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E53E3">
      <w:pPr>
        <w:snapToGrid w:val="0"/>
        <w:spacing w:before="120" w:beforeLines="50" w:line="360" w:lineRule="auto"/>
        <w:rPr>
          <w:rFonts w:hint="eastAsia" w:ascii="仿宋" w:hAnsi="仿宋" w:eastAsia="仿宋" w:cs="仿宋"/>
          <w:color w:val="auto"/>
          <w:sz w:val="44"/>
          <w:szCs w:val="44"/>
          <w:highlight w:val="none"/>
        </w:rPr>
      </w:pPr>
    </w:p>
    <w:p w14:paraId="03E505E8">
      <w:pPr>
        <w:pStyle w:val="36"/>
        <w:rPr>
          <w:rFonts w:hint="eastAsia" w:ascii="仿宋" w:hAnsi="仿宋" w:eastAsia="仿宋" w:cs="仿宋"/>
          <w:color w:val="auto"/>
          <w:sz w:val="44"/>
          <w:szCs w:val="44"/>
          <w:highlight w:val="none"/>
        </w:rPr>
      </w:pPr>
    </w:p>
    <w:p w14:paraId="042051FA">
      <w:pPr>
        <w:pStyle w:val="41"/>
        <w:ind w:firstLine="422"/>
        <w:rPr>
          <w:color w:val="auto"/>
          <w:highlight w:val="none"/>
        </w:rPr>
      </w:pPr>
    </w:p>
    <w:p w14:paraId="66F59C3D">
      <w:pPr>
        <w:snapToGrid w:val="0"/>
        <w:spacing w:before="120" w:beforeLines="50" w:line="360" w:lineRule="auto"/>
        <w:jc w:val="center"/>
        <w:rPr>
          <w:rFonts w:hint="eastAsia" w:ascii="仿宋" w:hAnsi="仿宋" w:eastAsia="仿宋" w:cs="仿宋"/>
          <w:color w:val="auto"/>
          <w:sz w:val="56"/>
          <w:szCs w:val="56"/>
          <w:highlight w:val="none"/>
        </w:rPr>
      </w:pPr>
      <w:r>
        <w:rPr>
          <w:rFonts w:hint="eastAsia" w:ascii="仿宋" w:hAnsi="仿宋" w:eastAsia="仿宋" w:cs="仿宋"/>
          <w:color w:val="auto"/>
          <w:sz w:val="56"/>
          <w:szCs w:val="56"/>
          <w:highlight w:val="none"/>
        </w:rPr>
        <w:t>广西泽玺工程项目管理有限公司</w:t>
      </w:r>
    </w:p>
    <w:p w14:paraId="7777C7BE">
      <w:pPr>
        <w:pStyle w:val="36"/>
        <w:rPr>
          <w:rFonts w:hint="eastAsia" w:ascii="仿宋" w:hAnsi="仿宋" w:eastAsia="仿宋" w:cs="仿宋"/>
          <w:color w:val="auto"/>
          <w:sz w:val="56"/>
          <w:szCs w:val="56"/>
          <w:highlight w:val="none"/>
        </w:rPr>
      </w:pPr>
    </w:p>
    <w:p w14:paraId="4936C054">
      <w:pPr>
        <w:pStyle w:val="41"/>
        <w:ind w:firstLine="1124"/>
        <w:rPr>
          <w:rFonts w:hint="eastAsia" w:ascii="仿宋" w:hAnsi="仿宋" w:eastAsia="仿宋" w:cs="仿宋"/>
          <w:color w:val="auto"/>
          <w:sz w:val="56"/>
          <w:szCs w:val="56"/>
          <w:highlight w:val="none"/>
        </w:rPr>
      </w:pPr>
    </w:p>
    <w:p w14:paraId="547D3D8B">
      <w:pPr>
        <w:rPr>
          <w:color w:val="auto"/>
          <w:highlight w:val="none"/>
        </w:rPr>
      </w:pPr>
    </w:p>
    <w:p w14:paraId="63AECDF8">
      <w:pPr>
        <w:snapToGrid w:val="0"/>
        <w:spacing w:before="120" w:beforeLines="50" w:line="360" w:lineRule="auto"/>
        <w:jc w:val="center"/>
        <w:rPr>
          <w:rFonts w:hint="eastAsia" w:ascii="仿宋" w:hAnsi="仿宋" w:eastAsia="仿宋" w:cs="仿宋"/>
          <w:color w:val="auto"/>
          <w:sz w:val="72"/>
          <w:szCs w:val="72"/>
          <w:highlight w:val="none"/>
        </w:rPr>
      </w:pPr>
      <w:r>
        <w:rPr>
          <w:rFonts w:hint="eastAsia" w:ascii="仿宋" w:hAnsi="仿宋" w:eastAsia="仿宋" w:cs="仿宋"/>
          <w:color w:val="auto"/>
          <w:sz w:val="72"/>
          <w:szCs w:val="72"/>
          <w:highlight w:val="none"/>
        </w:rPr>
        <w:t>招 标 文 件</w:t>
      </w:r>
    </w:p>
    <w:p w14:paraId="44208014">
      <w:pPr>
        <w:snapToGrid w:val="0"/>
        <w:spacing w:before="120" w:beforeLines="50" w:line="360" w:lineRule="auto"/>
        <w:rPr>
          <w:rFonts w:hint="eastAsia" w:ascii="仿宋" w:hAnsi="仿宋" w:eastAsia="仿宋" w:cs="仿宋"/>
          <w:color w:val="auto"/>
          <w:sz w:val="30"/>
          <w:szCs w:val="72"/>
          <w:highlight w:val="none"/>
        </w:rPr>
      </w:pPr>
    </w:p>
    <w:p w14:paraId="2DDE6911">
      <w:pPr>
        <w:snapToGrid w:val="0"/>
        <w:spacing w:before="120" w:beforeLines="50" w:line="360" w:lineRule="auto"/>
        <w:rPr>
          <w:rFonts w:hint="eastAsia" w:ascii="仿宋" w:hAnsi="仿宋" w:eastAsia="仿宋" w:cs="仿宋"/>
          <w:color w:val="auto"/>
          <w:sz w:val="30"/>
          <w:szCs w:val="72"/>
          <w:highlight w:val="none"/>
        </w:rPr>
      </w:pPr>
    </w:p>
    <w:p w14:paraId="487176EF">
      <w:pPr>
        <w:pStyle w:val="23"/>
        <w:snapToGrid w:val="0"/>
        <w:spacing w:before="50" w:after="120" w:line="360" w:lineRule="auto"/>
        <w:jc w:val="center"/>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项目</w:t>
      </w:r>
      <w:r>
        <w:rPr>
          <w:rFonts w:hint="eastAsia" w:ascii="仿宋" w:hAnsi="仿宋" w:eastAsia="仿宋" w:cs="仿宋"/>
          <w:b/>
          <w:bCs/>
          <w:color w:val="auto"/>
          <w:w w:val="95"/>
          <w:sz w:val="30"/>
          <w:szCs w:val="30"/>
          <w:highlight w:val="none"/>
        </w:rPr>
        <w:t>名称</w:t>
      </w:r>
      <w:r>
        <w:rPr>
          <w:rFonts w:hint="eastAsia" w:ascii="仿宋" w:hAnsi="仿宋" w:eastAsia="仿宋" w:cs="仿宋"/>
          <w:b/>
          <w:bCs/>
          <w:color w:val="auto"/>
          <w:sz w:val="30"/>
          <w:szCs w:val="30"/>
          <w:highlight w:val="none"/>
        </w:rPr>
        <w:t>：广西壮族自治区直属重点国有林区森林火灾高风险区综合治理项目(森林防火监测预警设施设备类)</w:t>
      </w:r>
    </w:p>
    <w:p w14:paraId="43EC8CC9">
      <w:pPr>
        <w:snapToGrid w:val="0"/>
        <w:spacing w:before="120" w:beforeLines="50" w:line="360" w:lineRule="auto"/>
        <w:jc w:val="center"/>
        <w:rPr>
          <w:rFonts w:hint="eastAsia" w:ascii="仿宋" w:hAnsi="仿宋" w:eastAsia="仿宋" w:cs="仿宋"/>
          <w:b/>
          <w:color w:val="auto"/>
          <w:sz w:val="30"/>
          <w:szCs w:val="48"/>
          <w:highlight w:val="none"/>
          <w:lang w:eastAsia="zh-CN"/>
        </w:rPr>
      </w:pPr>
      <w:r>
        <w:rPr>
          <w:rFonts w:hint="eastAsia" w:ascii="仿宋" w:hAnsi="仿宋" w:eastAsia="仿宋" w:cs="仿宋"/>
          <w:b/>
          <w:bCs/>
          <w:color w:val="auto"/>
          <w:w w:val="95"/>
          <w:sz w:val="30"/>
          <w:szCs w:val="30"/>
          <w:highlight w:val="none"/>
        </w:rPr>
        <w:t>项目</w:t>
      </w:r>
      <w:r>
        <w:rPr>
          <w:rFonts w:hint="eastAsia" w:ascii="仿宋" w:hAnsi="仿宋" w:eastAsia="仿宋" w:cs="仿宋"/>
          <w:b/>
          <w:bCs/>
          <w:color w:val="auto"/>
          <w:sz w:val="30"/>
          <w:szCs w:val="30"/>
          <w:highlight w:val="none"/>
        </w:rPr>
        <w:t>编号</w:t>
      </w:r>
      <w:r>
        <w:rPr>
          <w:rFonts w:hint="eastAsia" w:ascii="仿宋" w:hAnsi="仿宋" w:eastAsia="仿宋" w:cs="仿宋"/>
          <w:b/>
          <w:bCs/>
          <w:color w:val="auto"/>
          <w:w w:val="95"/>
          <w:sz w:val="30"/>
          <w:szCs w:val="30"/>
          <w:highlight w:val="none"/>
        </w:rPr>
        <w:t>：</w:t>
      </w:r>
      <w:r>
        <w:rPr>
          <w:rFonts w:hint="eastAsia" w:ascii="仿宋" w:hAnsi="仿宋" w:eastAsia="仿宋" w:cs="仿宋"/>
          <w:b/>
          <w:bCs/>
          <w:color w:val="auto"/>
          <w:w w:val="95"/>
          <w:sz w:val="30"/>
          <w:szCs w:val="30"/>
          <w:highlight w:val="none"/>
          <w:lang w:eastAsia="zh-CN"/>
        </w:rPr>
        <w:t>GXZC2026-G1-000644-GXZX</w:t>
      </w:r>
    </w:p>
    <w:p w14:paraId="64E1CC51">
      <w:pPr>
        <w:snapToGrid w:val="0"/>
        <w:spacing w:before="120" w:beforeLines="50" w:line="360" w:lineRule="auto"/>
        <w:jc w:val="center"/>
        <w:rPr>
          <w:rFonts w:hint="eastAsia" w:ascii="仿宋" w:hAnsi="仿宋" w:eastAsia="仿宋" w:cs="仿宋"/>
          <w:b/>
          <w:bCs/>
          <w:color w:val="auto"/>
          <w:w w:val="95"/>
          <w:sz w:val="30"/>
          <w:szCs w:val="30"/>
          <w:highlight w:val="none"/>
        </w:rPr>
      </w:pPr>
      <w:r>
        <w:rPr>
          <w:rFonts w:hint="eastAsia" w:ascii="仿宋" w:hAnsi="仿宋" w:eastAsia="仿宋" w:cs="仿宋"/>
          <w:b/>
          <w:bCs/>
          <w:color w:val="auto"/>
          <w:w w:val="95"/>
          <w:sz w:val="30"/>
          <w:szCs w:val="30"/>
          <w:highlight w:val="none"/>
        </w:rPr>
        <w:t>采 购 人：广西壮族自治区森林消防装备服务中心</w:t>
      </w:r>
    </w:p>
    <w:p w14:paraId="45681C56">
      <w:pPr>
        <w:snapToGrid w:val="0"/>
        <w:spacing w:before="120" w:beforeLines="50" w:line="360" w:lineRule="auto"/>
        <w:jc w:val="center"/>
        <w:rPr>
          <w:rFonts w:hint="eastAsia" w:ascii="仿宋" w:hAnsi="仿宋" w:eastAsia="仿宋" w:cs="仿宋"/>
          <w:b/>
          <w:bCs/>
          <w:color w:val="auto"/>
          <w:w w:val="95"/>
          <w:sz w:val="30"/>
          <w:szCs w:val="30"/>
          <w:highlight w:val="none"/>
        </w:rPr>
      </w:pPr>
      <w:r>
        <w:rPr>
          <w:rFonts w:hint="eastAsia" w:ascii="仿宋" w:hAnsi="仿宋" w:eastAsia="仿宋" w:cs="仿宋"/>
          <w:b/>
          <w:bCs/>
          <w:color w:val="auto"/>
          <w:w w:val="95"/>
          <w:sz w:val="30"/>
          <w:szCs w:val="30"/>
          <w:highlight w:val="none"/>
        </w:rPr>
        <w:t>采购代理机构：广西泽玺工程项目管理有限公司</w:t>
      </w:r>
    </w:p>
    <w:p w14:paraId="4613F213">
      <w:pPr>
        <w:pStyle w:val="23"/>
        <w:snapToGrid w:val="0"/>
        <w:spacing w:before="50" w:after="120" w:line="360" w:lineRule="auto"/>
        <w:ind w:firstLine="841" w:firstLineChars="294"/>
        <w:rPr>
          <w:rFonts w:hint="eastAsia" w:ascii="仿宋" w:hAnsi="仿宋" w:eastAsia="仿宋" w:cs="仿宋"/>
          <w:color w:val="auto"/>
          <w:szCs w:val="20"/>
          <w:highlight w:val="none"/>
        </w:rPr>
      </w:pPr>
      <w:r>
        <w:rPr>
          <w:rFonts w:hint="eastAsia" w:ascii="仿宋" w:hAnsi="仿宋" w:eastAsia="仿宋" w:cs="仿宋"/>
          <w:b/>
          <w:bCs/>
          <w:color w:val="auto"/>
          <w:w w:val="95"/>
          <w:sz w:val="30"/>
          <w:szCs w:val="30"/>
          <w:highlight w:val="none"/>
        </w:rPr>
        <w:t xml:space="preserve">                     二〇二六年</w:t>
      </w:r>
      <w:r>
        <w:rPr>
          <w:rFonts w:hint="eastAsia" w:ascii="仿宋" w:hAnsi="仿宋" w:eastAsia="仿宋" w:cs="仿宋"/>
          <w:b/>
          <w:bCs/>
          <w:color w:val="auto"/>
          <w:w w:val="95"/>
          <w:sz w:val="30"/>
          <w:szCs w:val="30"/>
          <w:highlight w:val="none"/>
          <w:lang w:eastAsia="zh-CN"/>
        </w:rPr>
        <w:t>三</w:t>
      </w:r>
      <w:r>
        <w:rPr>
          <w:rFonts w:hint="eastAsia" w:ascii="仿宋" w:hAnsi="仿宋" w:eastAsia="仿宋" w:cs="仿宋"/>
          <w:b/>
          <w:bCs/>
          <w:color w:val="auto"/>
          <w:w w:val="95"/>
          <w:sz w:val="30"/>
          <w:szCs w:val="30"/>
          <w:highlight w:val="none"/>
        </w:rPr>
        <w:t>月</w:t>
      </w:r>
    </w:p>
    <w:p w14:paraId="063A8CC9">
      <w:pPr>
        <w:pStyle w:val="23"/>
        <w:spacing w:before="120" w:after="120" w:line="360" w:lineRule="auto"/>
        <w:jc w:val="center"/>
        <w:rPr>
          <w:rFonts w:hint="eastAsia" w:ascii="仿宋" w:hAnsi="仿宋" w:eastAsia="仿宋" w:cs="仿宋"/>
          <w:color w:val="auto"/>
          <w:highlight w:val="none"/>
        </w:rPr>
      </w:pPr>
    </w:p>
    <w:p w14:paraId="0F37B23F">
      <w:pPr>
        <w:pStyle w:val="17"/>
        <w:kinsoku w:val="0"/>
        <w:overflowPunct w:val="0"/>
        <w:rPr>
          <w:rFonts w:hint="eastAsia" w:ascii="仿宋" w:hAnsi="仿宋" w:eastAsia="仿宋" w:cs="仿宋"/>
          <w:color w:val="auto"/>
          <w:sz w:val="40"/>
          <w:highlight w:val="none"/>
        </w:rPr>
      </w:pPr>
    </w:p>
    <w:p w14:paraId="66BDC957">
      <w:pPr>
        <w:spacing w:line="360" w:lineRule="auto"/>
        <w:rPr>
          <w:rFonts w:hint="eastAsia" w:ascii="仿宋" w:hAnsi="仿宋" w:eastAsia="仿宋" w:cs="仿宋"/>
          <w:b/>
          <w:color w:val="auto"/>
          <w:sz w:val="32"/>
          <w:szCs w:val="32"/>
          <w:highlight w:val="none"/>
        </w:rPr>
      </w:pPr>
    </w:p>
    <w:p w14:paraId="19E20020">
      <w:pPr>
        <w:pStyle w:val="23"/>
        <w:spacing w:before="120" w:after="120" w:line="360" w:lineRule="auto"/>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0E2B8639">
      <w:pPr>
        <w:pStyle w:val="23"/>
        <w:spacing w:before="120" w:after="120" w:line="360" w:lineRule="auto"/>
        <w:jc w:val="center"/>
        <w:rPr>
          <w:rFonts w:hint="eastAsia" w:ascii="仿宋" w:hAnsi="仿宋" w:eastAsia="仿宋" w:cs="仿宋"/>
          <w:color w:val="auto"/>
          <w:sz w:val="40"/>
          <w:szCs w:val="40"/>
          <w:highlight w:val="none"/>
        </w:rPr>
      </w:pPr>
      <w:r>
        <w:rPr>
          <w:rFonts w:hint="eastAsia" w:ascii="仿宋" w:hAnsi="仿宋" w:eastAsia="仿宋" w:cs="仿宋"/>
          <w:color w:val="auto"/>
          <w:sz w:val="40"/>
          <w:szCs w:val="40"/>
          <w:highlight w:val="none"/>
        </w:rPr>
        <w:t>目    录</w:t>
      </w:r>
    </w:p>
    <w:p w14:paraId="36C8EDD5">
      <w:pPr>
        <w:pStyle w:val="37"/>
        <w:tabs>
          <w:tab w:val="right" w:leader="dot" w:pos="9880"/>
        </w:tabs>
        <w:spacing w:line="360" w:lineRule="auto"/>
        <w:rPr>
          <w:rFonts w:hint="eastAsia" w:ascii="仿宋" w:hAnsi="仿宋" w:eastAsia="仿宋" w:cs="仿宋"/>
          <w:b/>
          <w:bCs/>
          <w:color w:val="auto"/>
          <w:sz w:val="32"/>
          <w:szCs w:val="32"/>
          <w:highlight w:val="none"/>
          <w:lang w:val="en-US" w:eastAsia="zh-CN"/>
        </w:rPr>
      </w:pPr>
      <w:r>
        <w:rPr>
          <w:rFonts w:hint="eastAsia" w:ascii="仿宋" w:hAnsi="仿宋" w:eastAsia="仿宋" w:cs="仿宋"/>
          <w:b/>
          <w:color w:val="auto"/>
          <w:sz w:val="32"/>
          <w:szCs w:val="32"/>
          <w:highlight w:val="none"/>
        </w:rPr>
        <w:fldChar w:fldCharType="begin"/>
      </w:r>
      <w:r>
        <w:rPr>
          <w:rFonts w:hint="eastAsia" w:ascii="仿宋" w:hAnsi="仿宋" w:eastAsia="仿宋" w:cs="仿宋"/>
          <w:b/>
          <w:color w:val="auto"/>
          <w:sz w:val="32"/>
          <w:szCs w:val="32"/>
          <w:highlight w:val="none"/>
        </w:rPr>
        <w:instrText xml:space="preserve"> TOC \o "1-2" \h \z \u </w:instrText>
      </w:r>
      <w:r>
        <w:rPr>
          <w:rFonts w:hint="eastAsia" w:ascii="仿宋" w:hAnsi="仿宋" w:eastAsia="仿宋" w:cs="仿宋"/>
          <w:b/>
          <w:color w:val="auto"/>
          <w:sz w:val="32"/>
          <w:szCs w:val="32"/>
          <w:highlight w:val="none"/>
        </w:rPr>
        <w:fldChar w:fldCharType="separate"/>
      </w:r>
      <w:r>
        <w:rPr>
          <w:color w:val="auto"/>
          <w:highlight w:val="none"/>
        </w:rPr>
        <w:fldChar w:fldCharType="begin"/>
      </w:r>
      <w:r>
        <w:rPr>
          <w:color w:val="auto"/>
          <w:highlight w:val="none"/>
        </w:rPr>
        <w:instrText xml:space="preserve"> HYPERLINK \l "_Toc8417" </w:instrText>
      </w:r>
      <w:r>
        <w:rPr>
          <w:color w:val="auto"/>
          <w:highlight w:val="none"/>
        </w:rPr>
        <w:fldChar w:fldCharType="separate"/>
      </w:r>
      <w:r>
        <w:rPr>
          <w:rFonts w:hint="eastAsia" w:ascii="仿宋" w:hAnsi="仿宋" w:eastAsia="仿宋" w:cs="仿宋"/>
          <w:b/>
          <w:bCs/>
          <w:color w:val="auto"/>
          <w:sz w:val="32"/>
          <w:szCs w:val="32"/>
          <w:highlight w:val="none"/>
        </w:rPr>
        <w:t>第一章 招标公告</w:t>
      </w:r>
      <w:r>
        <w:rPr>
          <w:rFonts w:hint="eastAsia" w:ascii="仿宋" w:hAnsi="仿宋" w:eastAsia="仿宋" w:cs="仿宋"/>
          <w:b/>
          <w:bCs/>
          <w:color w:val="auto"/>
          <w:sz w:val="32"/>
          <w:szCs w:val="32"/>
          <w:highlight w:val="none"/>
        </w:rPr>
        <w:tab/>
      </w:r>
      <w:r>
        <w:rPr>
          <w:rFonts w:hint="eastAsia" w:ascii="仿宋" w:hAnsi="仿宋" w:eastAsia="仿宋" w:cs="仿宋"/>
          <w:b/>
          <w:bCs/>
          <w:color w:val="auto"/>
          <w:sz w:val="32"/>
          <w:szCs w:val="32"/>
          <w:highlight w:val="none"/>
        </w:rPr>
        <w:fldChar w:fldCharType="end"/>
      </w:r>
      <w:r>
        <w:rPr>
          <w:rFonts w:hint="eastAsia" w:ascii="仿宋" w:hAnsi="仿宋" w:eastAsia="仿宋" w:cs="仿宋"/>
          <w:b/>
          <w:bCs/>
          <w:color w:val="auto"/>
          <w:sz w:val="32"/>
          <w:szCs w:val="32"/>
          <w:highlight w:val="none"/>
          <w:lang w:val="en-US" w:eastAsia="zh-CN"/>
        </w:rPr>
        <w:t>3</w:t>
      </w:r>
    </w:p>
    <w:p w14:paraId="5558D5E6">
      <w:pPr>
        <w:pStyle w:val="37"/>
        <w:tabs>
          <w:tab w:val="right" w:leader="dot" w:pos="9880"/>
        </w:tabs>
        <w:spacing w:line="360" w:lineRule="auto"/>
        <w:rPr>
          <w:rFonts w:hint="eastAsia" w:ascii="仿宋" w:hAnsi="仿宋" w:eastAsia="仿宋" w:cs="仿宋"/>
          <w:b/>
          <w:bCs/>
          <w:color w:val="auto"/>
          <w:sz w:val="32"/>
          <w:szCs w:val="32"/>
          <w:highlight w:val="none"/>
          <w:lang w:val="en-US" w:eastAsia="zh-CN"/>
        </w:rPr>
      </w:pPr>
      <w:r>
        <w:rPr>
          <w:color w:val="auto"/>
          <w:highlight w:val="none"/>
        </w:rPr>
        <w:fldChar w:fldCharType="begin"/>
      </w:r>
      <w:r>
        <w:rPr>
          <w:color w:val="auto"/>
          <w:highlight w:val="none"/>
        </w:rPr>
        <w:instrText xml:space="preserve"> HYPERLINK \l "_Toc614" </w:instrText>
      </w:r>
      <w:r>
        <w:rPr>
          <w:color w:val="auto"/>
          <w:highlight w:val="none"/>
        </w:rPr>
        <w:fldChar w:fldCharType="separate"/>
      </w:r>
      <w:r>
        <w:rPr>
          <w:rFonts w:hint="eastAsia" w:ascii="仿宋" w:hAnsi="仿宋" w:eastAsia="仿宋" w:cs="仿宋"/>
          <w:b/>
          <w:bCs/>
          <w:color w:val="auto"/>
          <w:sz w:val="32"/>
          <w:szCs w:val="32"/>
          <w:highlight w:val="none"/>
        </w:rPr>
        <w:t>第二章 采购需求</w:t>
      </w:r>
      <w:r>
        <w:rPr>
          <w:rFonts w:hint="eastAsia" w:ascii="仿宋" w:hAnsi="仿宋" w:eastAsia="仿宋" w:cs="仿宋"/>
          <w:b/>
          <w:bCs/>
          <w:color w:val="auto"/>
          <w:sz w:val="32"/>
          <w:szCs w:val="32"/>
          <w:highlight w:val="none"/>
        </w:rPr>
        <w:tab/>
      </w:r>
      <w:r>
        <w:rPr>
          <w:rFonts w:hint="eastAsia" w:ascii="仿宋" w:hAnsi="仿宋" w:eastAsia="仿宋" w:cs="仿宋"/>
          <w:b/>
          <w:bCs/>
          <w:color w:val="auto"/>
          <w:sz w:val="32"/>
          <w:szCs w:val="32"/>
          <w:highlight w:val="none"/>
        </w:rPr>
        <w:fldChar w:fldCharType="end"/>
      </w:r>
      <w:r>
        <w:rPr>
          <w:rFonts w:hint="eastAsia" w:ascii="仿宋" w:hAnsi="仿宋" w:eastAsia="仿宋" w:cs="仿宋"/>
          <w:b/>
          <w:bCs/>
          <w:color w:val="auto"/>
          <w:sz w:val="32"/>
          <w:szCs w:val="32"/>
          <w:highlight w:val="none"/>
          <w:lang w:val="en-US" w:eastAsia="zh-CN"/>
        </w:rPr>
        <w:t>8</w:t>
      </w:r>
    </w:p>
    <w:p w14:paraId="4C12CA5F">
      <w:pPr>
        <w:pStyle w:val="37"/>
        <w:tabs>
          <w:tab w:val="right" w:leader="dot" w:pos="9880"/>
        </w:tabs>
        <w:spacing w:line="360" w:lineRule="auto"/>
        <w:rPr>
          <w:rFonts w:hint="default" w:ascii="仿宋" w:hAnsi="仿宋" w:eastAsia="仿宋" w:cs="仿宋"/>
          <w:b/>
          <w:bCs/>
          <w:color w:val="auto"/>
          <w:sz w:val="32"/>
          <w:szCs w:val="32"/>
          <w:highlight w:val="none"/>
          <w:lang w:val="en-US" w:eastAsia="zh-CN"/>
        </w:rPr>
      </w:pPr>
      <w:r>
        <w:rPr>
          <w:color w:val="auto"/>
          <w:highlight w:val="none"/>
        </w:rPr>
        <w:fldChar w:fldCharType="begin"/>
      </w:r>
      <w:r>
        <w:rPr>
          <w:color w:val="auto"/>
          <w:highlight w:val="none"/>
        </w:rPr>
        <w:instrText xml:space="preserve"> HYPERLINK \l "_Toc32224" </w:instrText>
      </w:r>
      <w:r>
        <w:rPr>
          <w:color w:val="auto"/>
          <w:highlight w:val="none"/>
        </w:rPr>
        <w:fldChar w:fldCharType="separate"/>
      </w:r>
      <w:r>
        <w:rPr>
          <w:rFonts w:hint="eastAsia" w:ascii="仿宋" w:hAnsi="仿宋" w:eastAsia="仿宋" w:cs="仿宋"/>
          <w:b/>
          <w:bCs/>
          <w:color w:val="auto"/>
          <w:sz w:val="32"/>
          <w:szCs w:val="32"/>
          <w:highlight w:val="none"/>
        </w:rPr>
        <w:t>第三章 投标人须知</w:t>
      </w:r>
      <w:r>
        <w:rPr>
          <w:rFonts w:hint="eastAsia" w:ascii="仿宋" w:hAnsi="仿宋" w:eastAsia="仿宋" w:cs="仿宋"/>
          <w:b/>
          <w:bCs/>
          <w:color w:val="auto"/>
          <w:sz w:val="32"/>
          <w:szCs w:val="32"/>
          <w:highlight w:val="none"/>
        </w:rPr>
        <w:tab/>
      </w:r>
      <w:r>
        <w:rPr>
          <w:rFonts w:hint="eastAsia" w:ascii="仿宋" w:hAnsi="仿宋" w:eastAsia="仿宋" w:cs="仿宋"/>
          <w:b/>
          <w:bCs/>
          <w:color w:val="auto"/>
          <w:sz w:val="32"/>
          <w:szCs w:val="32"/>
          <w:highlight w:val="none"/>
        </w:rPr>
        <w:fldChar w:fldCharType="end"/>
      </w:r>
      <w:r>
        <w:rPr>
          <w:rFonts w:hint="eastAsia" w:ascii="仿宋" w:hAnsi="仿宋" w:eastAsia="仿宋" w:cs="仿宋"/>
          <w:b/>
          <w:bCs/>
          <w:color w:val="auto"/>
          <w:sz w:val="32"/>
          <w:szCs w:val="32"/>
          <w:highlight w:val="none"/>
          <w:lang w:val="en-US" w:eastAsia="zh-CN"/>
        </w:rPr>
        <w:t>27</w:t>
      </w:r>
    </w:p>
    <w:p w14:paraId="07EA74FC">
      <w:pPr>
        <w:pStyle w:val="37"/>
        <w:tabs>
          <w:tab w:val="right" w:leader="dot" w:pos="9880"/>
        </w:tabs>
        <w:spacing w:line="360" w:lineRule="auto"/>
        <w:rPr>
          <w:rFonts w:hint="default" w:ascii="仿宋" w:hAnsi="仿宋" w:eastAsia="仿宋" w:cs="仿宋"/>
          <w:b/>
          <w:bCs/>
          <w:color w:val="auto"/>
          <w:sz w:val="32"/>
          <w:szCs w:val="32"/>
          <w:highlight w:val="none"/>
          <w:lang w:val="en-US" w:eastAsia="zh-CN"/>
        </w:rPr>
      </w:pPr>
      <w:r>
        <w:rPr>
          <w:color w:val="auto"/>
          <w:highlight w:val="none"/>
        </w:rPr>
        <w:fldChar w:fldCharType="begin"/>
      </w:r>
      <w:r>
        <w:rPr>
          <w:color w:val="auto"/>
          <w:highlight w:val="none"/>
        </w:rPr>
        <w:instrText xml:space="preserve"> HYPERLINK \l "_Toc16645" </w:instrText>
      </w:r>
      <w:r>
        <w:rPr>
          <w:color w:val="auto"/>
          <w:highlight w:val="none"/>
        </w:rPr>
        <w:fldChar w:fldCharType="separate"/>
      </w:r>
      <w:r>
        <w:rPr>
          <w:rFonts w:hint="eastAsia" w:ascii="仿宋" w:hAnsi="仿宋" w:eastAsia="仿宋" w:cs="仿宋"/>
          <w:b/>
          <w:bCs/>
          <w:color w:val="auto"/>
          <w:sz w:val="32"/>
          <w:szCs w:val="32"/>
          <w:highlight w:val="none"/>
        </w:rPr>
        <w:t>第四章 评标方法及评标标准</w:t>
      </w:r>
      <w:r>
        <w:rPr>
          <w:rFonts w:hint="eastAsia" w:ascii="仿宋" w:hAnsi="仿宋" w:eastAsia="仿宋" w:cs="仿宋"/>
          <w:b/>
          <w:bCs/>
          <w:color w:val="auto"/>
          <w:sz w:val="32"/>
          <w:szCs w:val="32"/>
          <w:highlight w:val="none"/>
        </w:rPr>
        <w:tab/>
      </w:r>
      <w:r>
        <w:rPr>
          <w:rFonts w:hint="eastAsia" w:ascii="仿宋" w:hAnsi="仿宋" w:eastAsia="仿宋" w:cs="仿宋"/>
          <w:b/>
          <w:bCs/>
          <w:color w:val="auto"/>
          <w:sz w:val="32"/>
          <w:szCs w:val="32"/>
          <w:highlight w:val="none"/>
        </w:rPr>
        <w:fldChar w:fldCharType="end"/>
      </w:r>
      <w:r>
        <w:rPr>
          <w:rFonts w:hint="eastAsia" w:ascii="仿宋" w:hAnsi="仿宋" w:eastAsia="仿宋" w:cs="仿宋"/>
          <w:b/>
          <w:bCs/>
          <w:color w:val="auto"/>
          <w:sz w:val="32"/>
          <w:szCs w:val="32"/>
          <w:highlight w:val="none"/>
          <w:lang w:val="en-US" w:eastAsia="zh-CN"/>
        </w:rPr>
        <w:t>50</w:t>
      </w:r>
    </w:p>
    <w:p w14:paraId="48968C30">
      <w:pPr>
        <w:pStyle w:val="37"/>
        <w:tabs>
          <w:tab w:val="right" w:leader="dot" w:pos="9880"/>
        </w:tabs>
        <w:spacing w:line="360" w:lineRule="auto"/>
        <w:rPr>
          <w:rFonts w:hint="default" w:ascii="仿宋" w:hAnsi="仿宋" w:eastAsia="仿宋" w:cs="仿宋"/>
          <w:b/>
          <w:bCs/>
          <w:color w:val="auto"/>
          <w:sz w:val="32"/>
          <w:szCs w:val="32"/>
          <w:highlight w:val="none"/>
          <w:lang w:val="en-US" w:eastAsia="zh-CN"/>
        </w:rPr>
      </w:pPr>
      <w:r>
        <w:rPr>
          <w:color w:val="auto"/>
          <w:highlight w:val="none"/>
        </w:rPr>
        <w:fldChar w:fldCharType="begin"/>
      </w:r>
      <w:r>
        <w:rPr>
          <w:color w:val="auto"/>
          <w:highlight w:val="none"/>
        </w:rPr>
        <w:instrText xml:space="preserve"> HYPERLINK \l "_Toc21964" </w:instrText>
      </w:r>
      <w:r>
        <w:rPr>
          <w:color w:val="auto"/>
          <w:highlight w:val="none"/>
        </w:rPr>
        <w:fldChar w:fldCharType="separate"/>
      </w:r>
      <w:r>
        <w:rPr>
          <w:rFonts w:hint="eastAsia" w:ascii="仿宋" w:hAnsi="仿宋" w:eastAsia="仿宋" w:cs="仿宋"/>
          <w:b/>
          <w:bCs/>
          <w:color w:val="auto"/>
          <w:sz w:val="32"/>
          <w:szCs w:val="32"/>
          <w:highlight w:val="none"/>
        </w:rPr>
        <w:t>第五章 拟签订的合同文本</w:t>
      </w:r>
      <w:r>
        <w:rPr>
          <w:rFonts w:hint="eastAsia" w:ascii="仿宋" w:hAnsi="仿宋" w:eastAsia="仿宋" w:cs="仿宋"/>
          <w:b/>
          <w:bCs/>
          <w:color w:val="auto"/>
          <w:sz w:val="32"/>
          <w:szCs w:val="32"/>
          <w:highlight w:val="none"/>
        </w:rPr>
        <w:tab/>
      </w:r>
      <w:r>
        <w:rPr>
          <w:rFonts w:hint="eastAsia" w:ascii="仿宋" w:hAnsi="仿宋" w:eastAsia="仿宋" w:cs="仿宋"/>
          <w:b/>
          <w:bCs/>
          <w:color w:val="auto"/>
          <w:sz w:val="32"/>
          <w:szCs w:val="32"/>
          <w:highlight w:val="none"/>
        </w:rPr>
        <w:fldChar w:fldCharType="end"/>
      </w:r>
      <w:r>
        <w:rPr>
          <w:rFonts w:hint="eastAsia" w:ascii="仿宋" w:hAnsi="仿宋" w:eastAsia="仿宋" w:cs="仿宋"/>
          <w:b/>
          <w:bCs/>
          <w:color w:val="auto"/>
          <w:sz w:val="32"/>
          <w:szCs w:val="32"/>
          <w:highlight w:val="none"/>
          <w:lang w:val="en-US" w:eastAsia="zh-CN"/>
        </w:rPr>
        <w:t>69</w:t>
      </w:r>
    </w:p>
    <w:p w14:paraId="528CE075">
      <w:pPr>
        <w:pStyle w:val="37"/>
        <w:tabs>
          <w:tab w:val="right" w:leader="dot" w:pos="9880"/>
        </w:tabs>
        <w:spacing w:line="360" w:lineRule="auto"/>
        <w:rPr>
          <w:rFonts w:hint="default" w:eastAsia="仿宋"/>
          <w:color w:val="auto"/>
          <w:highlight w:val="none"/>
          <w:lang w:val="en-US" w:eastAsia="zh-CN"/>
        </w:rPr>
      </w:pPr>
      <w:r>
        <w:rPr>
          <w:color w:val="auto"/>
          <w:highlight w:val="none"/>
        </w:rPr>
        <w:fldChar w:fldCharType="begin"/>
      </w:r>
      <w:r>
        <w:rPr>
          <w:color w:val="auto"/>
          <w:highlight w:val="none"/>
        </w:rPr>
        <w:instrText xml:space="preserve"> HYPERLINK \l "_Toc32307" </w:instrText>
      </w:r>
      <w:r>
        <w:rPr>
          <w:color w:val="auto"/>
          <w:highlight w:val="none"/>
        </w:rPr>
        <w:fldChar w:fldCharType="separate"/>
      </w:r>
      <w:r>
        <w:rPr>
          <w:rFonts w:hint="eastAsia" w:ascii="仿宋" w:hAnsi="仿宋" w:eastAsia="仿宋" w:cs="仿宋"/>
          <w:b/>
          <w:bCs/>
          <w:color w:val="auto"/>
          <w:sz w:val="32"/>
          <w:szCs w:val="32"/>
          <w:highlight w:val="none"/>
        </w:rPr>
        <w:t>第六章 投标文件格式</w:t>
      </w:r>
      <w:r>
        <w:rPr>
          <w:rFonts w:hint="eastAsia" w:ascii="仿宋" w:hAnsi="仿宋" w:eastAsia="仿宋" w:cs="仿宋"/>
          <w:b/>
          <w:bCs/>
          <w:color w:val="auto"/>
          <w:sz w:val="32"/>
          <w:szCs w:val="32"/>
          <w:highlight w:val="none"/>
        </w:rPr>
        <w:tab/>
      </w:r>
      <w:r>
        <w:rPr>
          <w:rFonts w:hint="eastAsia" w:ascii="仿宋" w:hAnsi="仿宋" w:eastAsia="仿宋" w:cs="仿宋"/>
          <w:b/>
          <w:bCs/>
          <w:color w:val="auto"/>
          <w:sz w:val="32"/>
          <w:szCs w:val="32"/>
          <w:highlight w:val="none"/>
        </w:rPr>
        <w:fldChar w:fldCharType="end"/>
      </w:r>
      <w:r>
        <w:rPr>
          <w:rFonts w:hint="eastAsia" w:ascii="仿宋" w:hAnsi="仿宋" w:eastAsia="仿宋" w:cs="仿宋"/>
          <w:b/>
          <w:bCs/>
          <w:color w:val="auto"/>
          <w:sz w:val="32"/>
          <w:szCs w:val="32"/>
          <w:highlight w:val="none"/>
          <w:lang w:val="en-US" w:eastAsia="zh-CN"/>
        </w:rPr>
        <w:t>119</w:t>
      </w:r>
    </w:p>
    <w:p w14:paraId="018BCC3D">
      <w:pPr>
        <w:pStyle w:val="37"/>
        <w:tabs>
          <w:tab w:val="right" w:leader="dot" w:pos="9880"/>
        </w:tabs>
        <w:rPr>
          <w:color w:val="auto"/>
          <w:highlight w:val="none"/>
        </w:rPr>
      </w:pPr>
    </w:p>
    <w:p w14:paraId="6B26EA91">
      <w:pPr>
        <w:spacing w:before="120" w:beforeLines="50" w:line="480" w:lineRule="exact"/>
        <w:rPr>
          <w:rFonts w:hint="eastAsia" w:ascii="仿宋" w:hAnsi="仿宋" w:eastAsia="仿宋" w:cs="仿宋"/>
          <w:color w:val="auto"/>
          <w:sz w:val="24"/>
          <w:highlight w:val="none"/>
        </w:rPr>
      </w:pPr>
      <w:r>
        <w:rPr>
          <w:rFonts w:hint="eastAsia" w:ascii="仿宋" w:hAnsi="仿宋" w:eastAsia="仿宋" w:cs="仿宋"/>
          <w:color w:val="auto"/>
          <w:szCs w:val="32"/>
          <w:highlight w:val="none"/>
        </w:rPr>
        <w:fldChar w:fldCharType="end"/>
      </w:r>
    </w:p>
    <w:p w14:paraId="4F01B589">
      <w:pPr>
        <w:spacing w:before="120" w:beforeLines="50" w:line="480" w:lineRule="exact"/>
        <w:rPr>
          <w:rFonts w:hint="eastAsia" w:ascii="仿宋" w:hAnsi="仿宋" w:eastAsia="仿宋" w:cs="仿宋"/>
          <w:color w:val="auto"/>
          <w:sz w:val="30"/>
          <w:highlight w:val="none"/>
        </w:rPr>
      </w:pPr>
    </w:p>
    <w:p w14:paraId="0F9E2DB4">
      <w:pPr>
        <w:rPr>
          <w:rFonts w:hint="eastAsia" w:ascii="仿宋" w:hAnsi="仿宋" w:eastAsia="仿宋" w:cs="仿宋"/>
          <w:color w:val="auto"/>
          <w:highlight w:val="none"/>
        </w:rPr>
      </w:pPr>
    </w:p>
    <w:p w14:paraId="424BF934">
      <w:pPr>
        <w:spacing w:before="120" w:beforeLines="50" w:line="480" w:lineRule="exact"/>
        <w:rPr>
          <w:rFonts w:hint="eastAsia" w:ascii="仿宋" w:hAnsi="仿宋" w:eastAsia="仿宋" w:cs="仿宋"/>
          <w:color w:val="auto"/>
          <w:sz w:val="30"/>
          <w:highlight w:val="none"/>
        </w:rPr>
      </w:pPr>
    </w:p>
    <w:p w14:paraId="77A41D2C">
      <w:pPr>
        <w:spacing w:before="120" w:beforeLines="50" w:line="480" w:lineRule="exact"/>
        <w:rPr>
          <w:rFonts w:hint="eastAsia" w:ascii="仿宋" w:hAnsi="仿宋" w:eastAsia="仿宋" w:cs="仿宋"/>
          <w:color w:val="auto"/>
          <w:sz w:val="30"/>
          <w:highlight w:val="none"/>
        </w:rPr>
      </w:pPr>
    </w:p>
    <w:p w14:paraId="6E0026A7">
      <w:pPr>
        <w:pStyle w:val="15"/>
        <w:rPr>
          <w:rFonts w:hint="eastAsia" w:ascii="仿宋" w:hAnsi="仿宋" w:eastAsia="仿宋" w:cs="仿宋"/>
          <w:b/>
          <w:bCs/>
          <w:color w:val="auto"/>
          <w:highlight w:val="none"/>
        </w:rPr>
      </w:pPr>
      <w:bookmarkStart w:id="0" w:name="_Toc254970630"/>
      <w:bookmarkStart w:id="1" w:name="_Toc254970489"/>
    </w:p>
    <w:p w14:paraId="16D7D6AC">
      <w:pPr>
        <w:pStyle w:val="2"/>
        <w:keepNext w:val="0"/>
        <w:keepLines w:val="0"/>
        <w:tabs>
          <w:tab w:val="left" w:pos="0"/>
          <w:tab w:val="left" w:pos="3165"/>
          <w:tab w:val="center" w:pos="4153"/>
        </w:tabs>
        <w:autoSpaceDE w:val="0"/>
        <w:autoSpaceDN w:val="0"/>
        <w:adjustRightInd w:val="0"/>
        <w:spacing w:before="0" w:after="0" w:line="360" w:lineRule="auto"/>
        <w:jc w:val="center"/>
        <w:rPr>
          <w:rFonts w:hint="eastAsia" w:ascii="仿宋" w:hAnsi="仿宋" w:eastAsia="仿宋" w:cs="仿宋"/>
          <w:color w:val="auto"/>
          <w:highlight w:val="none"/>
        </w:rPr>
      </w:pPr>
      <w:r>
        <w:rPr>
          <w:rFonts w:hint="eastAsia" w:ascii="仿宋" w:hAnsi="仿宋" w:eastAsia="仿宋" w:cs="仿宋"/>
          <w:b w:val="0"/>
          <w:bCs w:val="0"/>
          <w:color w:val="auto"/>
          <w:highlight w:val="none"/>
        </w:rPr>
        <w:br w:type="page"/>
      </w:r>
      <w:bookmarkStart w:id="2" w:name="_Toc8417"/>
      <w:r>
        <w:rPr>
          <w:rFonts w:hint="eastAsia" w:ascii="仿宋" w:hAnsi="仿宋" w:eastAsia="仿宋" w:cs="仿宋"/>
          <w:color w:val="auto"/>
          <w:sz w:val="32"/>
          <w:szCs w:val="32"/>
          <w:highlight w:val="none"/>
        </w:rPr>
        <w:t>第一章</w:t>
      </w:r>
      <w:bookmarkEnd w:id="0"/>
      <w:bookmarkEnd w:id="1"/>
      <w:bookmarkStart w:id="3" w:name="_Toc35393789"/>
      <w:bookmarkStart w:id="4" w:name="_Toc28359001"/>
      <w:r>
        <w:rPr>
          <w:rFonts w:hint="eastAsia" w:ascii="仿宋" w:hAnsi="仿宋" w:eastAsia="仿宋" w:cs="仿宋"/>
          <w:color w:val="auto"/>
          <w:sz w:val="32"/>
          <w:szCs w:val="32"/>
          <w:highlight w:val="none"/>
        </w:rPr>
        <w:t xml:space="preserve"> 招标公告</w:t>
      </w:r>
      <w:bookmarkEnd w:id="2"/>
      <w:bookmarkEnd w:id="3"/>
      <w:bookmarkEnd w:id="4"/>
    </w:p>
    <w:p w14:paraId="71533DA7">
      <w:pPr>
        <w:spacing w:line="360" w:lineRule="auto"/>
        <w:rPr>
          <w:rFonts w:hint="eastAsia" w:ascii="仿宋" w:hAnsi="仿宋" w:eastAsia="仿宋" w:cs="仿宋"/>
          <w:color w:val="auto"/>
          <w:szCs w:val="21"/>
          <w:highlight w:val="none"/>
        </w:rPr>
      </w:pPr>
    </w:p>
    <w:p w14:paraId="21712036">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项目概况</w:t>
      </w:r>
    </w:p>
    <w:p w14:paraId="0BED8ADE">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广西壮族自治区直属重点国有林区森林火灾高风险区综合治理项目(森林防火监测预警设施设备类)招标项目的潜在投标人</w:t>
      </w:r>
      <w:r>
        <w:rPr>
          <w:rFonts w:hint="eastAsia" w:ascii="仿宋" w:hAnsi="仿宋" w:eastAsia="仿宋" w:cs="仿宋"/>
          <w:color w:val="auto"/>
          <w:sz w:val="24"/>
          <w:highlight w:val="none"/>
        </w:rPr>
        <w:t>在广西政府采购云平台（https://www.gcy.zfcg.gxzf.gov.cn）获取采购文件，并于2026年   月   日 09:20（北京时间）前提交投标文件。</w:t>
      </w:r>
    </w:p>
    <w:p w14:paraId="32F5128F">
      <w:pPr>
        <w:spacing w:line="360" w:lineRule="auto"/>
        <w:rPr>
          <w:rFonts w:hint="eastAsia" w:ascii="仿宋" w:hAnsi="仿宋" w:eastAsia="仿宋" w:cs="仿宋"/>
          <w:color w:val="auto"/>
          <w:szCs w:val="21"/>
          <w:highlight w:val="none"/>
        </w:rPr>
      </w:pPr>
    </w:p>
    <w:p w14:paraId="7ED5BC5B">
      <w:pPr>
        <w:spacing w:line="360" w:lineRule="auto"/>
        <w:rPr>
          <w:rFonts w:hint="eastAsia" w:ascii="仿宋" w:hAnsi="仿宋" w:eastAsia="仿宋" w:cs="仿宋"/>
          <w:b/>
          <w:bCs/>
          <w:color w:val="auto"/>
          <w:sz w:val="24"/>
          <w:highlight w:val="none"/>
        </w:rPr>
      </w:pPr>
      <w:bookmarkStart w:id="5" w:name="_Toc35393790"/>
      <w:bookmarkStart w:id="6" w:name="_Toc28359079"/>
      <w:bookmarkStart w:id="7" w:name="_Toc28359002"/>
      <w:bookmarkStart w:id="8" w:name="_Toc35393621"/>
      <w:bookmarkStart w:id="9" w:name="_Hlk24379207"/>
      <w:r>
        <w:rPr>
          <w:rFonts w:hint="eastAsia" w:ascii="仿宋" w:hAnsi="仿宋" w:eastAsia="仿宋" w:cs="仿宋"/>
          <w:b/>
          <w:bCs/>
          <w:color w:val="auto"/>
          <w:sz w:val="24"/>
          <w:highlight w:val="none"/>
        </w:rPr>
        <w:t>一、项目基本情况</w:t>
      </w:r>
      <w:bookmarkEnd w:id="5"/>
      <w:bookmarkEnd w:id="6"/>
      <w:bookmarkEnd w:id="7"/>
      <w:bookmarkEnd w:id="8"/>
    </w:p>
    <w:p w14:paraId="68A7E90A">
      <w:pPr>
        <w:spacing w:line="360" w:lineRule="auto"/>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1.项目编号：</w:t>
      </w:r>
      <w:r>
        <w:rPr>
          <w:rFonts w:hint="eastAsia" w:ascii="仿宋" w:hAnsi="仿宋" w:eastAsia="仿宋" w:cs="仿宋"/>
          <w:color w:val="auto"/>
          <w:sz w:val="24"/>
          <w:highlight w:val="none"/>
          <w:lang w:eastAsia="zh-CN"/>
        </w:rPr>
        <w:t>GXZC2026-G1-000644-GXZX</w:t>
      </w:r>
    </w:p>
    <w:p w14:paraId="0CA419C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2.项目名称：广西壮族自治区直属重点国有林区森林火灾高风险区综合治理项目(森林防火监测预警设施设备类)</w:t>
      </w:r>
    </w:p>
    <w:bookmarkEnd w:id="9"/>
    <w:p w14:paraId="0E7C8A8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3.预算总金额：人民币壹仟</w:t>
      </w:r>
      <w:r>
        <w:rPr>
          <w:rFonts w:hint="eastAsia" w:ascii="仿宋" w:hAnsi="仿宋" w:eastAsia="仿宋" w:cs="仿宋"/>
          <w:color w:val="auto"/>
          <w:sz w:val="24"/>
          <w:highlight w:val="none"/>
          <w:lang w:eastAsia="zh-CN"/>
        </w:rPr>
        <w:t>肆佰壹拾陆万伍仟玖佰玖拾元捌角捌</w:t>
      </w:r>
      <w:r>
        <w:rPr>
          <w:rFonts w:hint="eastAsia" w:ascii="仿宋" w:hAnsi="仿宋" w:eastAsia="仿宋" w:cs="仿宋"/>
          <w:color w:val="auto"/>
          <w:sz w:val="24"/>
          <w:highlight w:val="none"/>
        </w:rPr>
        <w:t>分（￥14,165,990.88元）</w:t>
      </w:r>
    </w:p>
    <w:p w14:paraId="5ADC3F1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4.采购需求：</w:t>
      </w:r>
    </w:p>
    <w:p w14:paraId="4E6CC5C5">
      <w:pPr>
        <w:spacing w:line="360" w:lineRule="auto"/>
        <w:rPr>
          <w:rFonts w:ascii="仿宋_GB2312" w:eastAsia="仿宋_GB2312"/>
          <w:b/>
          <w:color w:val="auto"/>
          <w:sz w:val="28"/>
          <w:szCs w:val="28"/>
          <w:highlight w:val="none"/>
        </w:rPr>
      </w:pPr>
      <w:r>
        <w:rPr>
          <w:rFonts w:ascii="仿宋" w:hAnsi="仿宋" w:eastAsia="仿宋"/>
          <w:bCs/>
          <w:color w:val="auto"/>
          <w:sz w:val="24"/>
          <w:highlight w:val="none"/>
        </w:rPr>
        <w:t>标项</w:t>
      </w:r>
      <w:r>
        <w:rPr>
          <w:rFonts w:hint="eastAsia" w:ascii="仿宋" w:hAnsi="仿宋" w:eastAsia="仿宋"/>
          <w:bCs/>
          <w:color w:val="auto"/>
          <w:sz w:val="24"/>
          <w:highlight w:val="none"/>
        </w:rPr>
        <w:t>1</w:t>
      </w:r>
      <w:r>
        <w:rPr>
          <w:rFonts w:ascii="仿宋" w:hAnsi="仿宋" w:eastAsia="仿宋"/>
          <w:bCs/>
          <w:color w:val="auto"/>
          <w:sz w:val="24"/>
          <w:highlight w:val="none"/>
        </w:rPr>
        <w:t>名称：</w:t>
      </w:r>
      <w:r>
        <w:rPr>
          <w:rFonts w:hint="eastAsia" w:ascii="仿宋" w:hAnsi="仿宋" w:eastAsia="仿宋"/>
          <w:bCs/>
          <w:color w:val="auto"/>
          <w:sz w:val="24"/>
          <w:highlight w:val="none"/>
        </w:rPr>
        <w:t>林火视频监控项目</w:t>
      </w:r>
      <w:r>
        <w:rPr>
          <w:rFonts w:ascii="仿宋" w:hAnsi="仿宋" w:eastAsia="仿宋"/>
          <w:bCs/>
          <w:color w:val="auto"/>
          <w:sz w:val="24"/>
          <w:highlight w:val="none"/>
        </w:rPr>
        <w:cr/>
      </w:r>
      <w:r>
        <w:rPr>
          <w:rFonts w:ascii="仿宋" w:hAnsi="仿宋" w:eastAsia="仿宋"/>
          <w:bCs/>
          <w:color w:val="auto"/>
          <w:sz w:val="24"/>
          <w:highlight w:val="none"/>
        </w:rPr>
        <w:t>数量：1</w:t>
      </w:r>
      <w:r>
        <w:rPr>
          <w:rFonts w:ascii="仿宋" w:hAnsi="仿宋" w:eastAsia="仿宋"/>
          <w:bCs/>
          <w:color w:val="auto"/>
          <w:sz w:val="24"/>
          <w:highlight w:val="none"/>
        </w:rPr>
        <w:cr/>
      </w:r>
      <w:r>
        <w:rPr>
          <w:rFonts w:ascii="仿宋" w:hAnsi="仿宋" w:eastAsia="仿宋"/>
          <w:bCs/>
          <w:color w:val="auto"/>
          <w:sz w:val="24"/>
          <w:highlight w:val="none"/>
        </w:rPr>
        <w:t>预算金额（元）：</w:t>
      </w:r>
      <w:r>
        <w:rPr>
          <w:rFonts w:hint="eastAsia" w:ascii="仿宋" w:hAnsi="仿宋" w:eastAsia="仿宋" w:cs="仿宋"/>
          <w:color w:val="auto"/>
          <w:sz w:val="24"/>
          <w:highlight w:val="none"/>
        </w:rPr>
        <w:t>人民币</w:t>
      </w:r>
      <w:r>
        <w:rPr>
          <w:rFonts w:hint="eastAsia" w:ascii="仿宋" w:hAnsi="仿宋" w:eastAsia="仿宋" w:cs="仿宋"/>
          <w:color w:val="auto"/>
          <w:sz w:val="24"/>
          <w:highlight w:val="none"/>
          <w:lang w:eastAsia="zh-CN"/>
        </w:rPr>
        <w:t>玖佰捌拾贰万捌仟肆佰壹拾元肆角捌</w:t>
      </w:r>
      <w:r>
        <w:rPr>
          <w:rFonts w:hint="eastAsia" w:ascii="仿宋" w:hAnsi="仿宋" w:eastAsia="仿宋" w:cs="仿宋"/>
          <w:color w:val="auto"/>
          <w:sz w:val="24"/>
          <w:highlight w:val="none"/>
        </w:rPr>
        <w:t>分（￥9,828,410.48元）</w:t>
      </w:r>
      <w:r>
        <w:rPr>
          <w:rFonts w:ascii="仿宋" w:hAnsi="仿宋" w:eastAsia="仿宋"/>
          <w:bCs/>
          <w:color w:val="auto"/>
          <w:sz w:val="24"/>
          <w:highlight w:val="none"/>
        </w:rPr>
        <w:cr/>
      </w:r>
      <w:r>
        <w:rPr>
          <w:rFonts w:ascii="仿宋" w:hAnsi="仿宋" w:eastAsia="仿宋"/>
          <w:bCs/>
          <w:color w:val="auto"/>
          <w:sz w:val="24"/>
          <w:highlight w:val="none"/>
        </w:rPr>
        <w:t>简要规格描述或项目基本概况介绍、用途：</w:t>
      </w:r>
      <w:r>
        <w:rPr>
          <w:rFonts w:hint="eastAsia" w:ascii="仿宋" w:hAnsi="仿宋" w:eastAsia="仿宋"/>
          <w:bCs/>
          <w:color w:val="auto"/>
          <w:sz w:val="24"/>
          <w:highlight w:val="none"/>
        </w:rPr>
        <w:t>（10km）林火视频监控系统前端21套、20米视频监控塔18座、25米视频监控塔3座，</w:t>
      </w:r>
      <w:r>
        <w:rPr>
          <w:rFonts w:hint="eastAsia" w:ascii="仿宋" w:hAnsi="仿宋" w:eastAsia="仿宋" w:cs="仿宋"/>
          <w:color w:val="auto"/>
          <w:sz w:val="24"/>
          <w:highlight w:val="none"/>
        </w:rPr>
        <w:t>如需进一步了解详细内容，详见招标文件。</w:t>
      </w:r>
      <w:r>
        <w:rPr>
          <w:rFonts w:ascii="仿宋" w:hAnsi="仿宋" w:eastAsia="仿宋"/>
          <w:bCs/>
          <w:color w:val="auto"/>
          <w:sz w:val="24"/>
          <w:highlight w:val="none"/>
        </w:rPr>
        <w:cr/>
      </w:r>
      <w:r>
        <w:rPr>
          <w:rFonts w:ascii="仿宋" w:hAnsi="仿宋" w:eastAsia="仿宋"/>
          <w:bCs/>
          <w:color w:val="auto"/>
          <w:sz w:val="24"/>
          <w:highlight w:val="none"/>
        </w:rPr>
        <w:t>最高限价：</w:t>
      </w:r>
      <w:r>
        <w:rPr>
          <w:rFonts w:hint="eastAsia" w:ascii="仿宋" w:hAnsi="仿宋" w:eastAsia="仿宋" w:cs="仿宋"/>
          <w:color w:val="auto"/>
          <w:sz w:val="24"/>
          <w:highlight w:val="none"/>
        </w:rPr>
        <w:t>人民币</w:t>
      </w:r>
      <w:r>
        <w:rPr>
          <w:rFonts w:hint="eastAsia" w:ascii="仿宋" w:hAnsi="仿宋" w:eastAsia="仿宋" w:cs="仿宋"/>
          <w:color w:val="auto"/>
          <w:sz w:val="24"/>
          <w:highlight w:val="none"/>
          <w:lang w:eastAsia="zh-CN"/>
        </w:rPr>
        <w:t>玖佰捌拾贰万捌仟肆佰壹拾元肆角捌</w:t>
      </w:r>
      <w:r>
        <w:rPr>
          <w:rFonts w:hint="eastAsia" w:ascii="仿宋" w:hAnsi="仿宋" w:eastAsia="仿宋" w:cs="仿宋"/>
          <w:color w:val="auto"/>
          <w:sz w:val="24"/>
          <w:highlight w:val="none"/>
        </w:rPr>
        <w:t>分（￥9,828,410.48元）</w:t>
      </w:r>
      <w:r>
        <w:rPr>
          <w:rFonts w:ascii="仿宋" w:hAnsi="仿宋" w:eastAsia="仿宋"/>
          <w:bCs/>
          <w:color w:val="auto"/>
          <w:sz w:val="24"/>
          <w:highlight w:val="none"/>
        </w:rPr>
        <w:cr/>
      </w:r>
      <w:r>
        <w:rPr>
          <w:rFonts w:ascii="仿宋" w:hAnsi="仿宋" w:eastAsia="仿宋"/>
          <w:bCs/>
          <w:color w:val="auto"/>
          <w:sz w:val="24"/>
          <w:highlight w:val="none"/>
        </w:rPr>
        <w:t>合同履约期限：自提供服务之日起</w:t>
      </w:r>
      <w:r>
        <w:rPr>
          <w:rFonts w:hint="eastAsia" w:ascii="仿宋" w:hAnsi="仿宋" w:eastAsia="仿宋"/>
          <w:bCs/>
          <w:color w:val="auto"/>
          <w:sz w:val="24"/>
          <w:highlight w:val="none"/>
        </w:rPr>
        <w:t>壹</w:t>
      </w:r>
      <w:r>
        <w:rPr>
          <w:rFonts w:ascii="仿宋" w:hAnsi="仿宋" w:eastAsia="仿宋"/>
          <w:bCs/>
          <w:color w:val="auto"/>
          <w:sz w:val="24"/>
          <w:highlight w:val="none"/>
        </w:rPr>
        <w:t>年，具体服务起止时间以合同约定日期为准。</w:t>
      </w:r>
      <w:r>
        <w:rPr>
          <w:rFonts w:ascii="仿宋" w:hAnsi="仿宋" w:eastAsia="仿宋"/>
          <w:bCs/>
          <w:color w:val="auto"/>
          <w:sz w:val="24"/>
          <w:highlight w:val="none"/>
        </w:rPr>
        <w:cr/>
      </w:r>
      <w:r>
        <w:rPr>
          <w:rFonts w:ascii="仿宋" w:hAnsi="仿宋" w:eastAsia="仿宋"/>
          <w:bCs/>
          <w:color w:val="auto"/>
          <w:sz w:val="24"/>
          <w:highlight w:val="none"/>
        </w:rPr>
        <w:t>本标项（</w:t>
      </w:r>
      <w:r>
        <w:rPr>
          <w:rFonts w:hint="eastAsia" w:ascii="仿宋" w:hAnsi="仿宋" w:eastAsia="仿宋"/>
          <w:bCs/>
          <w:color w:val="auto"/>
          <w:sz w:val="24"/>
          <w:highlight w:val="none"/>
        </w:rPr>
        <w:t>否</w:t>
      </w:r>
      <w:r>
        <w:rPr>
          <w:rFonts w:ascii="仿宋" w:hAnsi="仿宋" w:eastAsia="仿宋"/>
          <w:bCs/>
          <w:color w:val="auto"/>
          <w:sz w:val="24"/>
          <w:highlight w:val="none"/>
        </w:rPr>
        <w:t>）接受联合体投标</w:t>
      </w:r>
    </w:p>
    <w:p w14:paraId="3DEBF8CC">
      <w:pPr>
        <w:spacing w:line="400" w:lineRule="exact"/>
        <w:ind w:right="-330" w:rightChars="-157"/>
        <w:rPr>
          <w:rFonts w:hint="eastAsia" w:ascii="仿宋" w:hAnsi="仿宋" w:eastAsia="仿宋"/>
          <w:bCs/>
          <w:color w:val="auto"/>
          <w:sz w:val="24"/>
          <w:highlight w:val="none"/>
        </w:rPr>
      </w:pPr>
      <w:r>
        <w:rPr>
          <w:rFonts w:ascii="仿宋" w:hAnsi="仿宋" w:eastAsia="仿宋"/>
          <w:bCs/>
          <w:color w:val="auto"/>
          <w:sz w:val="24"/>
          <w:highlight w:val="none"/>
        </w:rPr>
        <w:t>标项</w:t>
      </w:r>
      <w:r>
        <w:rPr>
          <w:rFonts w:hint="eastAsia" w:ascii="仿宋" w:hAnsi="仿宋" w:eastAsia="仿宋"/>
          <w:bCs/>
          <w:color w:val="auto"/>
          <w:sz w:val="24"/>
          <w:highlight w:val="none"/>
        </w:rPr>
        <w:t>2</w:t>
      </w:r>
      <w:r>
        <w:rPr>
          <w:rFonts w:ascii="仿宋" w:hAnsi="仿宋" w:eastAsia="仿宋"/>
          <w:bCs/>
          <w:color w:val="auto"/>
          <w:sz w:val="24"/>
          <w:highlight w:val="none"/>
        </w:rPr>
        <w:t>名称：</w:t>
      </w:r>
      <w:r>
        <w:rPr>
          <w:rFonts w:hint="eastAsia" w:ascii="仿宋" w:hAnsi="仿宋" w:eastAsia="仿宋" w:cs="仿宋"/>
          <w:color w:val="auto"/>
          <w:sz w:val="24"/>
          <w:highlight w:val="none"/>
        </w:rPr>
        <w:t>野外火源监控设备项目</w:t>
      </w:r>
      <w:r>
        <w:rPr>
          <w:rFonts w:ascii="仿宋" w:hAnsi="仿宋" w:eastAsia="仿宋"/>
          <w:bCs/>
          <w:color w:val="auto"/>
          <w:sz w:val="24"/>
          <w:highlight w:val="none"/>
        </w:rPr>
        <w:cr/>
      </w:r>
      <w:r>
        <w:rPr>
          <w:rFonts w:ascii="仿宋" w:hAnsi="仿宋" w:eastAsia="仿宋"/>
          <w:bCs/>
          <w:color w:val="auto"/>
          <w:sz w:val="24"/>
          <w:highlight w:val="none"/>
        </w:rPr>
        <w:t>数量：1</w:t>
      </w:r>
      <w:r>
        <w:rPr>
          <w:rFonts w:ascii="仿宋" w:hAnsi="仿宋" w:eastAsia="仿宋"/>
          <w:bCs/>
          <w:color w:val="auto"/>
          <w:sz w:val="24"/>
          <w:highlight w:val="none"/>
        </w:rPr>
        <w:cr/>
      </w:r>
      <w:r>
        <w:rPr>
          <w:rFonts w:ascii="仿宋" w:hAnsi="仿宋" w:eastAsia="仿宋"/>
          <w:bCs/>
          <w:color w:val="auto"/>
          <w:sz w:val="24"/>
          <w:highlight w:val="none"/>
        </w:rPr>
        <w:t>预算金额（元）：</w:t>
      </w:r>
      <w:r>
        <w:rPr>
          <w:rFonts w:hint="eastAsia" w:ascii="仿宋" w:hAnsi="仿宋" w:eastAsia="仿宋" w:cs="仿宋"/>
          <w:color w:val="auto"/>
          <w:sz w:val="24"/>
          <w:highlight w:val="none"/>
        </w:rPr>
        <w:t>人民币肆佰叁拾叁万柒仟伍佰捌拾元肆角（￥4,337,580.4元）</w:t>
      </w:r>
      <w:r>
        <w:rPr>
          <w:rFonts w:ascii="仿宋" w:hAnsi="仿宋" w:eastAsia="仿宋"/>
          <w:bCs/>
          <w:color w:val="auto"/>
          <w:sz w:val="24"/>
          <w:highlight w:val="none"/>
        </w:rPr>
        <w:cr/>
      </w:r>
      <w:r>
        <w:rPr>
          <w:rFonts w:ascii="仿宋" w:hAnsi="仿宋" w:eastAsia="仿宋"/>
          <w:bCs/>
          <w:color w:val="auto"/>
          <w:sz w:val="24"/>
          <w:highlight w:val="none"/>
        </w:rPr>
        <w:t>简要规格描述或项目基本概况介绍、用途：</w:t>
      </w:r>
      <w:r>
        <w:rPr>
          <w:rFonts w:hint="eastAsia" w:ascii="仿宋" w:hAnsi="仿宋" w:eastAsia="仿宋"/>
          <w:bCs/>
          <w:color w:val="auto"/>
          <w:sz w:val="24"/>
          <w:highlight w:val="none"/>
        </w:rPr>
        <w:t>森林防火智能卡口前端设备224套、地表火探测器30套、地表火探测器管理终端1套、高倍望远镜41台，</w:t>
      </w:r>
      <w:r>
        <w:rPr>
          <w:rFonts w:hint="eastAsia" w:ascii="仿宋" w:hAnsi="仿宋" w:eastAsia="仿宋" w:cs="仿宋"/>
          <w:color w:val="auto"/>
          <w:sz w:val="24"/>
          <w:highlight w:val="none"/>
        </w:rPr>
        <w:t>如需进一步了解详细内容，详见招标文件。</w:t>
      </w:r>
      <w:r>
        <w:rPr>
          <w:rFonts w:ascii="仿宋" w:hAnsi="仿宋" w:eastAsia="仿宋"/>
          <w:bCs/>
          <w:color w:val="auto"/>
          <w:sz w:val="24"/>
          <w:highlight w:val="none"/>
        </w:rPr>
        <w:cr/>
      </w:r>
      <w:r>
        <w:rPr>
          <w:rFonts w:ascii="仿宋" w:hAnsi="仿宋" w:eastAsia="仿宋"/>
          <w:bCs/>
          <w:color w:val="auto"/>
          <w:sz w:val="24"/>
          <w:highlight w:val="none"/>
        </w:rPr>
        <w:t>最高限价：</w:t>
      </w:r>
      <w:r>
        <w:rPr>
          <w:rFonts w:hint="eastAsia" w:ascii="仿宋" w:hAnsi="仿宋" w:eastAsia="仿宋" w:cs="仿宋"/>
          <w:color w:val="auto"/>
          <w:sz w:val="24"/>
          <w:highlight w:val="none"/>
        </w:rPr>
        <w:t>人民币肆佰叁拾叁万柒仟伍佰捌拾元肆角（￥4,337,580.4元）</w:t>
      </w:r>
      <w:r>
        <w:rPr>
          <w:rFonts w:ascii="仿宋" w:hAnsi="仿宋" w:eastAsia="仿宋"/>
          <w:bCs/>
          <w:color w:val="auto"/>
          <w:sz w:val="24"/>
          <w:highlight w:val="none"/>
        </w:rPr>
        <w:cr/>
      </w:r>
      <w:r>
        <w:rPr>
          <w:rFonts w:ascii="仿宋" w:hAnsi="仿宋" w:eastAsia="仿宋"/>
          <w:bCs/>
          <w:color w:val="auto"/>
          <w:sz w:val="24"/>
          <w:highlight w:val="none"/>
        </w:rPr>
        <w:t>合同履约期限：自提供服务之日起</w:t>
      </w:r>
      <w:r>
        <w:rPr>
          <w:rFonts w:hint="eastAsia" w:ascii="仿宋" w:hAnsi="仿宋" w:eastAsia="仿宋"/>
          <w:bCs/>
          <w:color w:val="auto"/>
          <w:sz w:val="24"/>
          <w:highlight w:val="none"/>
        </w:rPr>
        <w:t>壹</w:t>
      </w:r>
      <w:r>
        <w:rPr>
          <w:rFonts w:ascii="仿宋" w:hAnsi="仿宋" w:eastAsia="仿宋"/>
          <w:bCs/>
          <w:color w:val="auto"/>
          <w:sz w:val="24"/>
          <w:highlight w:val="none"/>
        </w:rPr>
        <w:t>年，具体服务起止时间以合同约定日期为准。</w:t>
      </w:r>
      <w:r>
        <w:rPr>
          <w:rFonts w:ascii="仿宋" w:hAnsi="仿宋" w:eastAsia="仿宋"/>
          <w:bCs/>
          <w:color w:val="auto"/>
          <w:sz w:val="24"/>
          <w:highlight w:val="none"/>
        </w:rPr>
        <w:cr/>
      </w:r>
      <w:r>
        <w:rPr>
          <w:rFonts w:ascii="仿宋" w:hAnsi="仿宋" w:eastAsia="仿宋"/>
          <w:bCs/>
          <w:color w:val="auto"/>
          <w:sz w:val="24"/>
          <w:highlight w:val="none"/>
        </w:rPr>
        <w:t>本标项（否）接受联合体投标</w:t>
      </w:r>
    </w:p>
    <w:p w14:paraId="20B488F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5.备注：本项目为线上电子招标项目，采用远程异地评标，有意向参与本项目的供应商应当做好参与全流程电子招投标交易的充分准备。</w:t>
      </w:r>
    </w:p>
    <w:p w14:paraId="48F76A49">
      <w:pPr>
        <w:spacing w:line="360" w:lineRule="auto"/>
        <w:rPr>
          <w:rFonts w:hint="eastAsia" w:ascii="仿宋" w:hAnsi="仿宋" w:eastAsia="仿宋" w:cs="仿宋"/>
          <w:b/>
          <w:bCs/>
          <w:color w:val="auto"/>
          <w:sz w:val="24"/>
          <w:highlight w:val="none"/>
        </w:rPr>
      </w:pPr>
      <w:bookmarkStart w:id="10" w:name="_Toc28359003"/>
      <w:bookmarkStart w:id="11" w:name="_Toc28359080"/>
      <w:bookmarkStart w:id="12" w:name="_Toc35393791"/>
      <w:bookmarkStart w:id="13" w:name="_Toc35393622"/>
      <w:r>
        <w:rPr>
          <w:rFonts w:hint="eastAsia" w:ascii="仿宋" w:hAnsi="仿宋" w:eastAsia="仿宋" w:cs="仿宋"/>
          <w:b/>
          <w:bCs/>
          <w:color w:val="auto"/>
          <w:sz w:val="24"/>
          <w:highlight w:val="none"/>
        </w:rPr>
        <w:t>二、投标人的资格要求：</w:t>
      </w:r>
      <w:bookmarkEnd w:id="10"/>
      <w:bookmarkEnd w:id="11"/>
      <w:bookmarkEnd w:id="12"/>
      <w:bookmarkEnd w:id="13"/>
    </w:p>
    <w:p w14:paraId="56B54457">
      <w:pPr>
        <w:spacing w:line="360" w:lineRule="auto"/>
        <w:ind w:firstLine="480" w:firstLineChars="200"/>
        <w:rPr>
          <w:rFonts w:hint="eastAsia" w:ascii="仿宋" w:hAnsi="仿宋" w:eastAsia="仿宋" w:cs="仿宋"/>
          <w:color w:val="auto"/>
          <w:sz w:val="24"/>
          <w:highlight w:val="none"/>
        </w:rPr>
      </w:pPr>
      <w:bookmarkStart w:id="14" w:name="_Hlk51746371"/>
      <w:r>
        <w:rPr>
          <w:rFonts w:hint="eastAsia" w:ascii="仿宋" w:hAnsi="仿宋" w:eastAsia="仿宋" w:cs="仿宋"/>
          <w:color w:val="auto"/>
          <w:sz w:val="24"/>
          <w:highlight w:val="none"/>
        </w:rPr>
        <w:t>1.国内注册（指按国家工商管理或国家事业单位管理有关规定要求核准登记的）经营资格符合本次招标采购服务要求，具有合法资格的供应商；</w:t>
      </w:r>
    </w:p>
    <w:p w14:paraId="030BA4F0">
      <w:pPr>
        <w:spacing w:line="360" w:lineRule="auto"/>
        <w:ind w:firstLine="480" w:firstLineChars="200"/>
        <w:rPr>
          <w:rFonts w:hint="eastAsia" w:ascii="仿宋" w:hAnsi="仿宋" w:eastAsia="仿宋" w:cs="仿宋"/>
          <w:color w:val="auto"/>
          <w:sz w:val="24"/>
          <w:highlight w:val="none"/>
        </w:rPr>
      </w:pPr>
      <w:bookmarkStart w:id="15" w:name="_Toc28359004"/>
      <w:bookmarkStart w:id="16" w:name="_Toc28359081"/>
      <w:r>
        <w:rPr>
          <w:rFonts w:hint="eastAsia" w:ascii="仿宋" w:hAnsi="仿宋" w:eastAsia="仿宋" w:cs="仿宋"/>
          <w:color w:val="auto"/>
          <w:sz w:val="24"/>
          <w:highlight w:val="none"/>
        </w:rPr>
        <w:t>2.落实政府采购政策需满足的资格要求：分标1：非专门面向中小企业；分标2：面向中小企业。</w:t>
      </w:r>
    </w:p>
    <w:p w14:paraId="70C32AC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3.本项目的特定资格要求：</w:t>
      </w:r>
    </w:p>
    <w:p w14:paraId="0A4E13B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【分标1】</w:t>
      </w:r>
    </w:p>
    <w:p w14:paraId="7056BC5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（1）投标人具备有效的钢结构工程专业承包三级或以上资质、或有效的通信工程施工总承包三级或以上资质；</w:t>
      </w:r>
    </w:p>
    <w:p w14:paraId="4A83B77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本项目接受法人依法设立的分支机构（分公司）参与投标，分支机构（分公司）须获得总公司书面授权，以总公司名义参与本项目投标，并提交授权书原件或加盖公章的复印件。总公司持有的资格、资质等证书，可由分支机构（分公司）在投标文件中提供，评标委员会应予以认可，相关民事责任由总公司承担。招标文件中“法定代表人”，对分支机构（分公司）指分支机构（分公司）负责人。</w:t>
      </w:r>
    </w:p>
    <w:p w14:paraId="3A22E94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85C7C2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bookmarkEnd w:id="14"/>
    </w:p>
    <w:p w14:paraId="3F1477FB">
      <w:pPr>
        <w:spacing w:line="360" w:lineRule="auto"/>
        <w:rPr>
          <w:rFonts w:hint="eastAsia" w:ascii="仿宋" w:hAnsi="仿宋" w:eastAsia="仿宋" w:cs="仿宋"/>
          <w:b/>
          <w:bCs/>
          <w:color w:val="auto"/>
          <w:sz w:val="24"/>
          <w:highlight w:val="none"/>
        </w:rPr>
      </w:pPr>
      <w:bookmarkStart w:id="17" w:name="_Toc35393623"/>
      <w:bookmarkStart w:id="18" w:name="_Toc35393792"/>
      <w:r>
        <w:rPr>
          <w:rFonts w:hint="eastAsia" w:ascii="仿宋" w:hAnsi="仿宋" w:eastAsia="仿宋" w:cs="仿宋"/>
          <w:b/>
          <w:bCs/>
          <w:color w:val="auto"/>
          <w:sz w:val="24"/>
          <w:highlight w:val="none"/>
        </w:rPr>
        <w:t>三、获取招标文件</w:t>
      </w:r>
      <w:bookmarkEnd w:id="15"/>
      <w:bookmarkEnd w:id="16"/>
      <w:bookmarkEnd w:id="17"/>
      <w:bookmarkEnd w:id="18"/>
    </w:p>
    <w:p w14:paraId="0F4BA36A">
      <w:pPr>
        <w:spacing w:line="360" w:lineRule="auto"/>
        <w:ind w:firstLine="540"/>
        <w:rPr>
          <w:rFonts w:hint="eastAsia" w:ascii="仿宋" w:hAnsi="仿宋" w:eastAsia="仿宋" w:cs="仿宋"/>
          <w:bCs/>
          <w:color w:val="auto"/>
          <w:kern w:val="0"/>
          <w:sz w:val="24"/>
          <w:highlight w:val="none"/>
        </w:rPr>
      </w:pPr>
      <w:bookmarkStart w:id="19" w:name="_Toc28359082"/>
      <w:bookmarkStart w:id="20" w:name="_Toc28359005"/>
      <w:bookmarkStart w:id="21" w:name="_Toc35393793"/>
      <w:bookmarkStart w:id="22" w:name="_Toc35393624"/>
      <w:r>
        <w:rPr>
          <w:rFonts w:hint="eastAsia" w:ascii="仿宋" w:hAnsi="仿宋" w:eastAsia="仿宋" w:cs="仿宋"/>
          <w:bCs/>
          <w:color w:val="auto"/>
          <w:kern w:val="0"/>
          <w:sz w:val="24"/>
          <w:highlight w:val="none"/>
        </w:rPr>
        <w:t>1.时间：自本公告发布之时起至2026年  月  日23时59分止；</w:t>
      </w:r>
    </w:p>
    <w:p w14:paraId="63C8DB11">
      <w:pPr>
        <w:spacing w:line="360" w:lineRule="auto"/>
        <w:ind w:firstLine="54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2.</w:t>
      </w:r>
      <w:r>
        <w:rPr>
          <w:rFonts w:hint="eastAsia" w:ascii="仿宋" w:hAnsi="仿宋" w:eastAsia="仿宋" w:cs="仿宋"/>
          <w:bCs/>
          <w:color w:val="auto"/>
          <w:kern w:val="0"/>
          <w:sz w:val="24"/>
          <w:highlight w:val="none"/>
        </w:rPr>
        <w:t>地点：广西政府采购云平台（https://www.gcy.zfcg.gxzf.gov.cn）。</w:t>
      </w:r>
    </w:p>
    <w:p w14:paraId="2B8918E8">
      <w:pPr>
        <w:spacing w:line="360" w:lineRule="auto"/>
        <w:ind w:firstLine="54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3.方式：在获取招标文件截止时间前登陆广西政府采购云平台（https://www.gcy.zfcg.gxzf.gov.cn）在线办理报名：“项目采购”——“获取采购文件”；</w:t>
      </w:r>
    </w:p>
    <w:p w14:paraId="458D4E2E">
      <w:pPr>
        <w:spacing w:line="360" w:lineRule="auto"/>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注： ①未注册的供应商可在广西政府采购云平台完成注册后再行获取招标文件。</w:t>
      </w:r>
    </w:p>
    <w:p w14:paraId="58FD02A4">
      <w:pPr>
        <w:spacing w:line="360" w:lineRule="auto"/>
        <w:ind w:firstLine="240" w:firstLineChars="10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 xml:space="preserve">   ②供应商只有在“广西政府采购云平台”完成获取招标文件申请并下载了招标文件后 才视作依法获取招标文件（法律法规所指的供应商获取招标文件时间以供 应商完成获取招标文件申请后下载招标文件的时间为准）。</w:t>
      </w:r>
    </w:p>
    <w:p w14:paraId="7D5B35CD">
      <w:pPr>
        <w:spacing w:line="360" w:lineRule="auto"/>
        <w:ind w:firstLine="240" w:firstLineChars="10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 xml:space="preserve">   ③已获取招标文 件的投标人不等于符合本项目的投标人资格。</w:t>
      </w:r>
    </w:p>
    <w:p w14:paraId="2F2BECB7">
      <w:pPr>
        <w:spacing w:line="360" w:lineRule="auto"/>
        <w:ind w:firstLine="54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4.售价：免费获取。</w:t>
      </w:r>
    </w:p>
    <w:p w14:paraId="4324EA0B">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四、提交投标文件</w:t>
      </w:r>
      <w:bookmarkEnd w:id="19"/>
      <w:bookmarkEnd w:id="20"/>
      <w:r>
        <w:rPr>
          <w:rFonts w:hint="eastAsia" w:ascii="仿宋" w:hAnsi="仿宋" w:eastAsia="仿宋" w:cs="仿宋"/>
          <w:b/>
          <w:bCs/>
          <w:color w:val="auto"/>
          <w:sz w:val="24"/>
          <w:highlight w:val="none"/>
        </w:rPr>
        <w:t>截止时间、开标时间和地点</w:t>
      </w:r>
      <w:bookmarkEnd w:id="21"/>
      <w:bookmarkEnd w:id="22"/>
    </w:p>
    <w:p w14:paraId="7A337F5C">
      <w:pPr>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bCs/>
          <w:color w:val="auto"/>
          <w:sz w:val="24"/>
          <w:highlight w:val="none"/>
        </w:rPr>
        <w:t>提交投标文件截止时间和开标时间：</w:t>
      </w:r>
      <w:r>
        <w:rPr>
          <w:rFonts w:hint="eastAsia" w:ascii="仿宋" w:hAnsi="仿宋" w:eastAsia="仿宋" w:cs="仿宋"/>
          <w:bCs/>
          <w:color w:val="auto"/>
          <w:sz w:val="24"/>
          <w:highlight w:val="none"/>
          <w:u w:val="single"/>
        </w:rPr>
        <w:t>2026年  月  日09时30分</w:t>
      </w:r>
      <w:r>
        <w:rPr>
          <w:rFonts w:hint="eastAsia" w:ascii="仿宋" w:hAnsi="仿宋" w:eastAsia="仿宋" w:cs="仿宋"/>
          <w:bCs/>
          <w:color w:val="auto"/>
          <w:sz w:val="24"/>
          <w:highlight w:val="none"/>
        </w:rPr>
        <w:t>（北京时间）</w:t>
      </w:r>
    </w:p>
    <w:p w14:paraId="24A9E4AF">
      <w:pPr>
        <w:spacing w:line="360" w:lineRule="auto"/>
        <w:ind w:firstLine="480" w:firstLineChars="200"/>
        <w:rPr>
          <w:rFonts w:hint="eastAsia" w:ascii="仿宋" w:hAnsi="仿宋" w:eastAsia="仿宋" w:cs="仿宋"/>
          <w:bCs/>
          <w:color w:val="auto"/>
          <w:sz w:val="24"/>
          <w:highlight w:val="none"/>
          <w:u w:val="single"/>
        </w:rPr>
      </w:pPr>
      <w:r>
        <w:rPr>
          <w:rFonts w:hint="eastAsia" w:ascii="仿宋" w:hAnsi="仿宋" w:eastAsia="仿宋" w:cs="仿宋"/>
          <w:bCs/>
          <w:color w:val="auto"/>
          <w:sz w:val="24"/>
          <w:highlight w:val="none"/>
        </w:rPr>
        <w:t>投标文件提交</w:t>
      </w:r>
      <w:bookmarkStart w:id="23" w:name="_Hlk37428909"/>
      <w:r>
        <w:rPr>
          <w:rFonts w:hint="eastAsia" w:ascii="仿宋" w:hAnsi="仿宋" w:eastAsia="仿宋" w:cs="仿宋"/>
          <w:bCs/>
          <w:color w:val="auto"/>
          <w:sz w:val="24"/>
          <w:highlight w:val="none"/>
        </w:rPr>
        <w:t>截止时间：</w:t>
      </w:r>
      <w:r>
        <w:rPr>
          <w:rFonts w:hint="eastAsia" w:ascii="仿宋" w:hAnsi="仿宋" w:eastAsia="仿宋" w:cs="仿宋"/>
          <w:bCs/>
          <w:color w:val="auto"/>
          <w:sz w:val="24"/>
          <w:highlight w:val="none"/>
          <w:u w:val="single"/>
        </w:rPr>
        <w:t>2026年  月  日09时30分</w:t>
      </w:r>
      <w:bookmarkEnd w:id="23"/>
      <w:r>
        <w:rPr>
          <w:rFonts w:hint="eastAsia" w:ascii="仿宋" w:hAnsi="仿宋" w:eastAsia="仿宋" w:cs="仿宋"/>
          <w:bCs/>
          <w:color w:val="auto"/>
          <w:sz w:val="24"/>
          <w:highlight w:val="none"/>
        </w:rPr>
        <w:t>（北京时间）</w:t>
      </w:r>
    </w:p>
    <w:p w14:paraId="24B6D59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投标和开标地点：广西政府采购云平台（https://www.gcy.zfcg.gxzf.gov.cn）。</w:t>
      </w:r>
    </w:p>
    <w:p w14:paraId="152C7DF6">
      <w:pPr>
        <w:spacing w:line="360" w:lineRule="auto"/>
        <w:ind w:firstLine="480" w:firstLineChars="200"/>
        <w:rPr>
          <w:rFonts w:hint="eastAsia" w:ascii="仿宋" w:hAnsi="仿宋" w:eastAsia="仿宋" w:cs="仿宋"/>
          <w:bCs/>
          <w:color w:val="auto"/>
          <w:sz w:val="24"/>
          <w:highlight w:val="none"/>
          <w:u w:val="single"/>
        </w:rPr>
      </w:pPr>
      <w:r>
        <w:rPr>
          <w:rFonts w:hint="eastAsia" w:ascii="仿宋" w:hAnsi="仿宋" w:eastAsia="仿宋" w:cs="仿宋"/>
          <w:bCs/>
          <w:color w:val="auto"/>
          <w:sz w:val="24"/>
          <w:highlight w:val="none"/>
          <w:u w:val="single"/>
        </w:rPr>
        <w:t>注：（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未按规定编制并加密的电子投标文件，将被广西政府采购云平台拒收。）</w:t>
      </w:r>
    </w:p>
    <w:p w14:paraId="66E90F1F">
      <w:pPr>
        <w:spacing w:line="360" w:lineRule="auto"/>
        <w:rPr>
          <w:rFonts w:hint="eastAsia" w:ascii="仿宋" w:hAnsi="仿宋" w:eastAsia="仿宋" w:cs="仿宋"/>
          <w:b/>
          <w:bCs/>
          <w:color w:val="auto"/>
          <w:sz w:val="24"/>
          <w:highlight w:val="none"/>
        </w:rPr>
      </w:pPr>
      <w:bookmarkStart w:id="24" w:name="_Toc28359007"/>
      <w:bookmarkStart w:id="25" w:name="_Toc28359084"/>
      <w:bookmarkStart w:id="26" w:name="_Toc35393625"/>
      <w:bookmarkStart w:id="27" w:name="_Toc35393794"/>
      <w:r>
        <w:rPr>
          <w:rFonts w:hint="eastAsia" w:ascii="仿宋" w:hAnsi="仿宋" w:eastAsia="仿宋" w:cs="仿宋"/>
          <w:b/>
          <w:bCs/>
          <w:color w:val="auto"/>
          <w:sz w:val="24"/>
          <w:highlight w:val="none"/>
        </w:rPr>
        <w:t>五、公告期限</w:t>
      </w:r>
      <w:bookmarkEnd w:id="24"/>
      <w:bookmarkEnd w:id="25"/>
      <w:bookmarkEnd w:id="26"/>
      <w:bookmarkEnd w:id="27"/>
    </w:p>
    <w:p w14:paraId="15F6006A">
      <w:pPr>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自本公告发布之日起5个工作日。</w:t>
      </w:r>
    </w:p>
    <w:p w14:paraId="197AA86B">
      <w:pPr>
        <w:spacing w:line="360" w:lineRule="auto"/>
        <w:rPr>
          <w:rFonts w:hint="eastAsia" w:ascii="仿宋" w:hAnsi="仿宋" w:eastAsia="仿宋" w:cs="仿宋"/>
          <w:b/>
          <w:bCs/>
          <w:color w:val="auto"/>
          <w:sz w:val="24"/>
          <w:highlight w:val="none"/>
        </w:rPr>
      </w:pPr>
      <w:bookmarkStart w:id="28" w:name="_Toc35393795"/>
      <w:bookmarkStart w:id="29" w:name="_Toc35393626"/>
      <w:r>
        <w:rPr>
          <w:rFonts w:hint="eastAsia" w:ascii="仿宋" w:hAnsi="仿宋" w:eastAsia="仿宋" w:cs="仿宋"/>
          <w:b/>
          <w:bCs/>
          <w:color w:val="auto"/>
          <w:sz w:val="24"/>
          <w:highlight w:val="none"/>
        </w:rPr>
        <w:t>六、其他补充事宜</w:t>
      </w:r>
      <w:bookmarkEnd w:id="28"/>
      <w:bookmarkEnd w:id="29"/>
    </w:p>
    <w:p w14:paraId="119BD668">
      <w:pPr>
        <w:spacing w:line="360" w:lineRule="auto"/>
        <w:ind w:firstLine="360" w:firstLineChars="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1.投标保证金</w:t>
      </w:r>
      <w:bookmarkStart w:id="30" w:name="_Hlk37429585"/>
      <w:r>
        <w:rPr>
          <w:rFonts w:hint="eastAsia" w:ascii="仿宋" w:hAnsi="仿宋" w:eastAsia="仿宋" w:cs="仿宋"/>
          <w:color w:val="auto"/>
          <w:kern w:val="0"/>
          <w:sz w:val="24"/>
          <w:highlight w:val="none"/>
        </w:rPr>
        <w:t>（人民币）：标项一：</w:t>
      </w:r>
      <w:r>
        <w:rPr>
          <w:rFonts w:hint="eastAsia" w:ascii="仿宋" w:hAnsi="仿宋" w:eastAsia="仿宋" w:cs="仿宋"/>
          <w:color w:val="auto"/>
          <w:sz w:val="24"/>
          <w:highlight w:val="none"/>
        </w:rPr>
        <w:t>￥100,000.00元</w:t>
      </w:r>
      <w:r>
        <w:rPr>
          <w:rFonts w:hint="eastAsia" w:ascii="仿宋" w:hAnsi="仿宋" w:eastAsia="仿宋" w:cs="仿宋"/>
          <w:color w:val="auto"/>
          <w:kern w:val="0"/>
          <w:sz w:val="24"/>
          <w:highlight w:val="none"/>
        </w:rPr>
        <w:t>；标项二：</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40</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000.00元。</w:t>
      </w:r>
    </w:p>
    <w:p w14:paraId="227D1CD7">
      <w:pPr>
        <w:spacing w:line="360" w:lineRule="auto"/>
        <w:ind w:firstLine="360" w:firstLineChars="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投标保证金的交纳方式：银行转账、支票、汇票、本票或者银行、保险机构出具的保函、保险，禁止采用现钞方式。采用银行转账方式的，在投标截止时间前交至指定账户并且到账（开户名称：</w:t>
      </w:r>
      <w:r>
        <w:rPr>
          <w:rFonts w:hint="eastAsia" w:ascii="仿宋" w:hAnsi="仿宋" w:eastAsia="仿宋" w:cs="仿宋"/>
          <w:color w:val="auto"/>
          <w:sz w:val="24"/>
          <w:highlight w:val="none"/>
        </w:rPr>
        <w:t>广西泽玺工程项目管理有限公司</w:t>
      </w:r>
      <w:r>
        <w:rPr>
          <w:rFonts w:hint="eastAsia" w:ascii="仿宋" w:hAnsi="仿宋" w:eastAsia="仿宋" w:cs="仿宋"/>
          <w:color w:val="auto"/>
          <w:kern w:val="0"/>
          <w:sz w:val="24"/>
          <w:highlight w:val="none"/>
        </w:rPr>
        <w:t>；银行账号：</w:t>
      </w:r>
      <w:r>
        <w:rPr>
          <w:rFonts w:hint="eastAsia" w:ascii="仿宋" w:hAnsi="仿宋" w:eastAsia="仿宋" w:cs="仿宋"/>
          <w:color w:val="auto"/>
          <w:sz w:val="24"/>
          <w:highlight w:val="none"/>
        </w:rPr>
        <w:t>70303500000000027633</w:t>
      </w:r>
      <w:r>
        <w:rPr>
          <w:rFonts w:hint="eastAsia" w:ascii="仿宋" w:hAnsi="仿宋" w:eastAsia="仿宋" w:cs="仿宋"/>
          <w:color w:val="auto"/>
          <w:kern w:val="0"/>
          <w:sz w:val="24"/>
          <w:highlight w:val="none"/>
        </w:rPr>
        <w:t>；开户银行：</w:t>
      </w:r>
      <w:r>
        <w:rPr>
          <w:rFonts w:hint="eastAsia" w:ascii="仿宋" w:hAnsi="仿宋" w:eastAsia="仿宋" w:cs="仿宋"/>
          <w:color w:val="auto"/>
          <w:sz w:val="24"/>
          <w:highlight w:val="none"/>
        </w:rPr>
        <w:t>柳州银行股份有限公司高新技术开发区支行</w:t>
      </w:r>
      <w:r>
        <w:rPr>
          <w:rFonts w:hint="eastAsia" w:ascii="仿宋" w:hAnsi="仿宋" w:eastAsia="仿宋" w:cs="仿宋"/>
          <w:color w:val="auto"/>
          <w:kern w:val="0"/>
          <w:sz w:val="24"/>
          <w:highlight w:val="none"/>
        </w:rPr>
        <w:t>）；采用支票、汇票、本票或者保函、保险等方式的，在投标截止时间前，投标人应当递交单独密封的支票、汇票、本票或者保函、保险原件。否则视为无效投标保证金。</w:t>
      </w:r>
    </w:p>
    <w:p w14:paraId="34C81B67">
      <w:pPr>
        <w:spacing w:line="360" w:lineRule="auto"/>
        <w:ind w:firstLine="360" w:firstLineChars="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bookmarkStart w:id="31" w:name="_Hlk37429595"/>
      <w:r>
        <w:rPr>
          <w:rFonts w:hint="eastAsia" w:ascii="仿宋" w:hAnsi="仿宋" w:eastAsia="仿宋" w:cs="仿宋"/>
          <w:color w:val="auto"/>
          <w:kern w:val="0"/>
          <w:sz w:val="24"/>
          <w:highlight w:val="none"/>
        </w:rPr>
        <w:t>网上查询地址</w:t>
      </w:r>
    </w:p>
    <w:bookmarkEnd w:id="30"/>
    <w:bookmarkEnd w:id="31"/>
    <w:p w14:paraId="7BD01A34">
      <w:pPr>
        <w:spacing w:line="360" w:lineRule="auto"/>
        <w:ind w:firstLine="360" w:firstLineChars="150"/>
        <w:rPr>
          <w:rFonts w:hint="eastAsia" w:ascii="仿宋" w:hAnsi="仿宋" w:eastAsia="仿宋" w:cs="仿宋"/>
          <w:color w:val="auto"/>
          <w:sz w:val="24"/>
          <w:highlight w:val="none"/>
        </w:rPr>
      </w:pPr>
      <w:bookmarkStart w:id="32" w:name="_Hlk37429674"/>
      <w:r>
        <w:rPr>
          <w:rFonts w:hint="eastAsia" w:ascii="仿宋" w:hAnsi="仿宋" w:eastAsia="仿宋" w:cs="仿宋"/>
          <w:color w:val="auto"/>
          <w:sz w:val="24"/>
          <w:highlight w:val="none"/>
        </w:rPr>
        <w:t>中国政府采购网（www.ccgp.gov.cn）、广西壮族自治区政府采购网（zfcg.gxzf.gov.cn）</w:t>
      </w:r>
    </w:p>
    <w:p w14:paraId="798A2A48">
      <w:pPr>
        <w:spacing w:line="360" w:lineRule="auto"/>
        <w:ind w:firstLine="360" w:firstLineChars="15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kern w:val="0"/>
          <w:sz w:val="24"/>
          <w:highlight w:val="none"/>
        </w:rPr>
        <w:t>本项目需要落实的政府采购政策</w:t>
      </w:r>
    </w:p>
    <w:p w14:paraId="448513DA">
      <w:pPr>
        <w:spacing w:line="360" w:lineRule="auto"/>
        <w:ind w:firstLine="360" w:firstLineChars="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（1）政府采购促进中小企业发展。</w:t>
      </w:r>
    </w:p>
    <w:p w14:paraId="40576A3D">
      <w:pPr>
        <w:spacing w:line="360" w:lineRule="auto"/>
        <w:ind w:firstLine="360" w:firstLineChars="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（2）政府采购支持采用本国产品的政策。</w:t>
      </w:r>
    </w:p>
    <w:p w14:paraId="74936A0B">
      <w:pPr>
        <w:spacing w:line="360" w:lineRule="auto"/>
        <w:ind w:firstLine="360" w:firstLineChars="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（3）强制采购节能产品；优先采购节能产品、环境标志产品。</w:t>
      </w:r>
    </w:p>
    <w:p w14:paraId="56581790">
      <w:pPr>
        <w:spacing w:line="360" w:lineRule="auto"/>
        <w:ind w:firstLine="360" w:firstLineChars="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（4）政府采购促进残疾人就业政策。</w:t>
      </w:r>
    </w:p>
    <w:p w14:paraId="0C8CDAFD">
      <w:pPr>
        <w:spacing w:line="360" w:lineRule="auto"/>
        <w:ind w:firstLine="360" w:firstLineChars="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（5）政府采购支持监狱企业发展。</w:t>
      </w:r>
      <w:bookmarkEnd w:id="32"/>
    </w:p>
    <w:p w14:paraId="12B9D010">
      <w:pPr>
        <w:spacing w:line="360" w:lineRule="auto"/>
        <w:ind w:firstLine="360" w:firstLineChars="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4.投标人参与电子投标特别说明</w:t>
      </w:r>
    </w:p>
    <w:p w14:paraId="7D6FB978">
      <w:pPr>
        <w:spacing w:line="360" w:lineRule="auto"/>
        <w:ind w:firstLine="360" w:firstLineChars="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（1）本项目通过广西政府采购云平台实行电子投标，投标人应按照本项目招标文件和广西政府采购云平台的要求，通过“广西政府采购云平台客户端”编制、加密并提交电子投标文件。</w:t>
      </w:r>
    </w:p>
    <w:p w14:paraId="422B319F">
      <w:pPr>
        <w:spacing w:line="360" w:lineRule="auto"/>
        <w:ind w:firstLine="360" w:firstLineChars="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（2）参与电子标的投标人必须为广西政府采购云平台的正式供应商且申领CA证书，各供应商应在开标前及时完成平台注册、CA证书申领、CA证书绑定、下载投标客户端，熟悉并掌握政采云电子标系统操作。</w:t>
      </w:r>
    </w:p>
    <w:p w14:paraId="0E1B7283">
      <w:pPr>
        <w:spacing w:line="360" w:lineRule="auto"/>
        <w:ind w:firstLine="360" w:firstLineChars="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（2.1）供应商应及时熟悉掌握电子标系统操作指南（见政采云电子卖场首页右上角—服务中心-帮助文档-项目采购）：https://service.zcygov.cn/#/knowledges/tree?tag=AG1DtGwBFdiHxlNdhY0r。</w:t>
      </w:r>
    </w:p>
    <w:p w14:paraId="4E04C595">
      <w:pPr>
        <w:spacing w:line="360" w:lineRule="auto"/>
        <w:ind w:firstLine="360" w:firstLineChars="15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2.2）供应商应及时完成CA申领和绑定（见广西壮族自治区政府采购网—办事服务—下载专区-政采云CA证书办理操作指南）：http://zfcg.gxzf.gov.cn/OfficeService/DownloadArea/4759578.html?utm=sites_group_front.b8b6c91.0.0.272124d0107e11ec92d74f64427aa31d</w:t>
      </w:r>
    </w:p>
    <w:p w14:paraId="281CD599">
      <w:pPr>
        <w:spacing w:line="360" w:lineRule="auto"/>
        <w:ind w:firstLine="360" w:firstLineChars="15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2.3）供应商通过广西政府采购云平台客户端软件制作投标文件，广西政府采购云平台客户端软件请供应商自行前往下载并安装（见广西壮族自治区政府采购网—办事服务—下载专区-广西政府采购云平台新版客户端）：http://zfcg.gxzf.gov.cn/OfficeService/DownloadArea/2455918.html?utm=sites_group_front.b8b6c91.0.0.f1cd53b0111a11ec895201ba18210e49。</w:t>
      </w:r>
    </w:p>
    <w:p w14:paraId="753B1AB5">
      <w:pPr>
        <w:spacing w:line="360" w:lineRule="auto"/>
        <w:ind w:firstLine="360" w:firstLineChars="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电子标项目不要求参与投标的投标人到现场，但投标人应派法定代表人（负责人、自然人）或委托代理人准时在线出席电子开评标会议，随时关注开评标进度，如在开评标过程中有电子询标，应在规定的时间内对电子询标函进行澄清回复。</w:t>
      </w:r>
    </w:p>
    <w:p w14:paraId="777C8092">
      <w:pPr>
        <w:spacing w:line="360" w:lineRule="auto"/>
        <w:ind w:firstLine="360" w:firstLineChars="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（4）因未注册广西政府采购云平台、未办理CA证书、CA证书故障、操作不当等原因造成无法投标或投标失败等后果由投标人自行承担；</w:t>
      </w:r>
    </w:p>
    <w:p w14:paraId="7E5D53C0">
      <w:pPr>
        <w:spacing w:line="360" w:lineRule="auto"/>
        <w:ind w:firstLine="360" w:firstLineChars="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（5）投标人在使用广西政府采购云平台参与投标过程中遇到涉及平台使用的任何问题，可致电广西政府采购云平台技术支持热线咨询，联系方式：95763。</w:t>
      </w:r>
    </w:p>
    <w:p w14:paraId="5D62F08C">
      <w:pPr>
        <w:spacing w:line="360" w:lineRule="auto"/>
        <w:rPr>
          <w:rFonts w:hint="eastAsia" w:ascii="仿宋" w:hAnsi="仿宋" w:eastAsia="仿宋" w:cs="仿宋"/>
          <w:b/>
          <w:bCs/>
          <w:color w:val="auto"/>
          <w:sz w:val="24"/>
          <w:highlight w:val="none"/>
        </w:rPr>
      </w:pPr>
      <w:bookmarkStart w:id="33" w:name="_Toc28359008"/>
      <w:bookmarkStart w:id="34" w:name="_Toc35393796"/>
      <w:bookmarkStart w:id="35" w:name="_Toc35393627"/>
      <w:bookmarkStart w:id="36" w:name="_Toc28359085"/>
      <w:r>
        <w:rPr>
          <w:rFonts w:hint="eastAsia" w:ascii="仿宋" w:hAnsi="仿宋" w:eastAsia="仿宋" w:cs="仿宋"/>
          <w:b/>
          <w:bCs/>
          <w:color w:val="auto"/>
          <w:sz w:val="24"/>
          <w:highlight w:val="none"/>
        </w:rPr>
        <w:t>七、对本次招标提出询问，请按以下方式联系。</w:t>
      </w:r>
      <w:bookmarkEnd w:id="33"/>
      <w:bookmarkEnd w:id="34"/>
      <w:bookmarkEnd w:id="35"/>
      <w:bookmarkEnd w:id="36"/>
    </w:p>
    <w:p w14:paraId="37B3182E">
      <w:pPr>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1.采购人信息</w:t>
      </w:r>
    </w:p>
    <w:p w14:paraId="6CB37712">
      <w:pPr>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称：广西壮族自治区森林消防装备服务中心</w:t>
      </w:r>
    </w:p>
    <w:p w14:paraId="3BEBEFFD">
      <w:pPr>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地址：广西南宁市青秀区云景路 21 号</w:t>
      </w:r>
    </w:p>
    <w:p w14:paraId="65629FE3">
      <w:pPr>
        <w:spacing w:line="360" w:lineRule="auto"/>
        <w:ind w:firstLine="480"/>
        <w:jc w:val="left"/>
        <w:rPr>
          <w:rFonts w:hint="eastAsia" w:ascii="仿宋" w:hAnsi="仿宋" w:eastAsia="仿宋" w:cs="仿宋"/>
          <w:color w:val="auto"/>
          <w:sz w:val="24"/>
          <w:highlight w:val="none"/>
        </w:rPr>
      </w:pPr>
      <w:bookmarkStart w:id="37" w:name="_Toc28359086"/>
      <w:bookmarkStart w:id="38" w:name="_Toc28359009"/>
      <w:r>
        <w:rPr>
          <w:rFonts w:hint="eastAsia" w:ascii="仿宋" w:hAnsi="仿宋" w:eastAsia="仿宋" w:cs="仿宋"/>
          <w:color w:val="auto"/>
          <w:sz w:val="24"/>
          <w:highlight w:val="none"/>
        </w:rPr>
        <w:t>联系人：李贤隽</w:t>
      </w:r>
    </w:p>
    <w:p w14:paraId="139CC5A6">
      <w:pPr>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联系电话：0771-6783551</w:t>
      </w:r>
    </w:p>
    <w:p w14:paraId="0057204A">
      <w:pPr>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2.采购代理机构信息</w:t>
      </w:r>
      <w:bookmarkEnd w:id="37"/>
      <w:bookmarkEnd w:id="38"/>
    </w:p>
    <w:p w14:paraId="297E6617">
      <w:pPr>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称：广西泽玺工程项目管理有限公司</w:t>
      </w:r>
    </w:p>
    <w:p w14:paraId="711F4477">
      <w:pPr>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址：柳州市桂中大道7号东方百盛4栋20楼9号</w:t>
      </w:r>
    </w:p>
    <w:p w14:paraId="579275BA">
      <w:pPr>
        <w:spacing w:line="360" w:lineRule="auto"/>
        <w:ind w:firstLine="480"/>
        <w:jc w:val="left"/>
        <w:rPr>
          <w:rFonts w:hint="eastAsia" w:ascii="仿宋" w:hAnsi="仿宋" w:eastAsia="仿宋" w:cs="仿宋"/>
          <w:color w:val="auto"/>
          <w:sz w:val="24"/>
          <w:highlight w:val="none"/>
        </w:rPr>
      </w:pPr>
      <w:bookmarkStart w:id="39" w:name="_Toc28359087"/>
      <w:bookmarkStart w:id="40" w:name="_Toc28359010"/>
      <w:r>
        <w:rPr>
          <w:rFonts w:hint="eastAsia" w:ascii="仿宋" w:hAnsi="仿宋" w:eastAsia="仿宋" w:cs="仿宋"/>
          <w:color w:val="auto"/>
          <w:sz w:val="24"/>
          <w:highlight w:val="none"/>
        </w:rPr>
        <w:t>联系人：黄运</w:t>
      </w:r>
    </w:p>
    <w:p w14:paraId="28BB3B03">
      <w:pPr>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电话/传真：0772-3599263</w:t>
      </w:r>
    </w:p>
    <w:p w14:paraId="31D39EC8">
      <w:pPr>
        <w:spacing w:line="360" w:lineRule="auto"/>
        <w:ind w:firstLine="720" w:firstLineChars="300"/>
        <w:rPr>
          <w:rFonts w:hint="eastAsia" w:ascii="仿宋" w:hAnsi="仿宋" w:eastAsia="仿宋" w:cs="仿宋"/>
          <w:color w:val="auto"/>
          <w:sz w:val="24"/>
          <w:highlight w:val="none"/>
        </w:rPr>
      </w:pPr>
    </w:p>
    <w:bookmarkEnd w:id="39"/>
    <w:bookmarkEnd w:id="40"/>
    <w:p w14:paraId="1E7F3D71">
      <w:pPr>
        <w:spacing w:line="360" w:lineRule="auto"/>
        <w:rPr>
          <w:rFonts w:hint="eastAsia" w:ascii="仿宋" w:hAnsi="仿宋" w:eastAsia="仿宋" w:cs="仿宋"/>
          <w:color w:val="auto"/>
          <w:sz w:val="24"/>
          <w:highlight w:val="none"/>
        </w:rPr>
      </w:pPr>
    </w:p>
    <w:p w14:paraId="1264E947">
      <w:pPr>
        <w:spacing w:line="360" w:lineRule="auto"/>
        <w:ind w:firstLine="240" w:firstLineChars="1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广西泽玺工程项目管理有限公司</w:t>
      </w:r>
    </w:p>
    <w:p w14:paraId="4455F85F">
      <w:pPr>
        <w:spacing w:line="360" w:lineRule="auto"/>
        <w:ind w:firstLine="240" w:firstLineChars="1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2026年  月  日</w:t>
      </w:r>
    </w:p>
    <w:p w14:paraId="31263B77">
      <w:pPr>
        <w:snapToGrid w:val="0"/>
        <w:spacing w:line="320" w:lineRule="exact"/>
        <w:ind w:left="238"/>
        <w:jc w:val="center"/>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br w:type="page"/>
      </w:r>
    </w:p>
    <w:p w14:paraId="22C40DBD">
      <w:pPr>
        <w:pStyle w:val="3"/>
        <w:keepNext w:val="0"/>
        <w:keepLines w:val="0"/>
        <w:numPr>
          <w:ilvl w:val="0"/>
          <w:numId w:val="3"/>
        </w:numPr>
        <w:jc w:val="center"/>
        <w:rPr>
          <w:rFonts w:hint="eastAsia" w:ascii="仿宋" w:hAnsi="仿宋" w:eastAsia="仿宋" w:cs="仿宋"/>
          <w:color w:val="auto"/>
          <w:highlight w:val="none"/>
        </w:rPr>
      </w:pPr>
      <w:bookmarkStart w:id="41" w:name="_Toc614"/>
      <w:r>
        <w:rPr>
          <w:rFonts w:hint="eastAsia" w:ascii="仿宋" w:hAnsi="仿宋" w:eastAsia="仿宋" w:cs="仿宋"/>
          <w:color w:val="auto"/>
          <w:highlight w:val="none"/>
        </w:rPr>
        <w:t>采购需求</w:t>
      </w:r>
      <w:bookmarkEnd w:id="41"/>
    </w:p>
    <w:p w14:paraId="564FC667">
      <w:pPr>
        <w:spacing w:line="360" w:lineRule="auto"/>
        <w:ind w:firstLine="484" w:firstLineChars="20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1.根据《财政部 发展改革委 生态环境部 市场监管总局关于调整优化节能产品、环境标志产品政府采购执行机制的通知》（财库〔2019〕9号）和《关于印发节能产品政府采购品目清单的通知》（财库〔2019〕19号）的规定，节能产品政府采购品目清单内标注“★”的品目属于政府强制采购节能产品，如本项目包含的货物属于品目清单内标注“★”的产品时，投标人的投标货物必须使用政府强制采购的节能产品，投标人必须在投标文件中提供所投标产品的节能产品认证证书复印件（加盖投标人公章），否则投标文件作无效处理。如本项目包含的货物属于品目清单内非标注“★”的产品时，应优先采购，具体详见“第四章 评标方法和评标标准”。</w:t>
      </w:r>
    </w:p>
    <w:p w14:paraId="4D7B46D7">
      <w:pPr>
        <w:spacing w:line="360" w:lineRule="auto"/>
        <w:ind w:firstLine="484" w:firstLineChars="20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2.“实质性要求”是指招标文件中已经指明不满足则投标无效的条款，或者不能负偏离的条款，或者采购需求中带“▲ ”的条款。</w:t>
      </w:r>
    </w:p>
    <w:p w14:paraId="0D5995C1">
      <w:pPr>
        <w:ind w:firstLine="723" w:firstLineChars="300"/>
        <w:rPr>
          <w:rFonts w:hint="eastAsia" w:ascii="仿宋" w:hAnsi="仿宋" w:eastAsia="仿宋" w:cs="仿宋"/>
          <w:b/>
          <w:bCs/>
          <w:color w:val="auto"/>
          <w:highlight w:val="none"/>
        </w:rPr>
      </w:pPr>
      <w:r>
        <w:rPr>
          <w:rFonts w:hint="eastAsia" w:ascii="仿宋" w:hAnsi="仿宋" w:eastAsia="仿宋" w:cs="仿宋"/>
          <w:b/>
          <w:bCs/>
          <w:color w:val="auto"/>
          <w:sz w:val="24"/>
          <w:highlight w:val="none"/>
        </w:rPr>
        <w:t>01分标</w:t>
      </w:r>
    </w:p>
    <w:p w14:paraId="40D2B2F4">
      <w:pPr>
        <w:spacing w:line="360" w:lineRule="auto"/>
        <w:ind w:firstLine="484" w:firstLineChars="202"/>
        <w:jc w:val="left"/>
        <w:rPr>
          <w:rFonts w:hint="eastAsia" w:ascii="仿宋" w:hAnsi="仿宋" w:eastAsia="仿宋" w:cs="仿宋"/>
          <w:color w:val="auto"/>
          <w:sz w:val="24"/>
          <w:highlight w:val="none"/>
        </w:rPr>
      </w:pPr>
    </w:p>
    <w:tbl>
      <w:tblPr>
        <w:tblStyle w:val="46"/>
        <w:tblpPr w:leftFromText="180" w:rightFromText="180" w:vertAnchor="page" w:horzAnchor="page" w:tblpX="1339" w:tblpY="72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850"/>
        <w:gridCol w:w="913"/>
        <w:gridCol w:w="6750"/>
        <w:gridCol w:w="750"/>
      </w:tblGrid>
      <w:tr w14:paraId="591BF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Align w:val="center"/>
          </w:tcPr>
          <w:p w14:paraId="6E280A10">
            <w:pPr>
              <w:jc w:val="center"/>
              <w:rPr>
                <w:rFonts w:hint="eastAsia" w:ascii="仿宋" w:hAnsi="仿宋" w:eastAsia="仿宋" w:cs="仿宋"/>
                <w:color w:val="auto"/>
                <w:sz w:val="24"/>
                <w:highlight w:val="none"/>
              </w:rPr>
            </w:pPr>
            <w:r>
              <w:rPr>
                <w:rFonts w:hint="eastAsia" w:ascii="仿宋" w:hAnsi="仿宋" w:eastAsia="仿宋" w:cs="仿宋"/>
                <w:b/>
                <w:bCs/>
                <w:color w:val="auto"/>
                <w:spacing w:val="21"/>
                <w:sz w:val="24"/>
                <w:highlight w:val="none"/>
              </w:rPr>
              <w:t>序号</w:t>
            </w:r>
          </w:p>
        </w:tc>
        <w:tc>
          <w:tcPr>
            <w:tcW w:w="1763" w:type="dxa"/>
            <w:gridSpan w:val="2"/>
            <w:vAlign w:val="center"/>
          </w:tcPr>
          <w:p w14:paraId="1116F656">
            <w:pPr>
              <w:jc w:val="center"/>
              <w:rPr>
                <w:rFonts w:hint="eastAsia" w:ascii="仿宋" w:hAnsi="仿宋" w:eastAsia="仿宋" w:cs="仿宋"/>
                <w:color w:val="auto"/>
                <w:sz w:val="24"/>
                <w:highlight w:val="none"/>
              </w:rPr>
            </w:pPr>
            <w:r>
              <w:rPr>
                <w:rFonts w:hint="eastAsia" w:ascii="仿宋" w:hAnsi="仿宋" w:eastAsia="仿宋" w:cs="仿宋"/>
                <w:b/>
                <w:bCs/>
                <w:color w:val="auto"/>
                <w:spacing w:val="21"/>
                <w:sz w:val="24"/>
                <w:highlight w:val="none"/>
              </w:rPr>
              <w:t>项目</w:t>
            </w:r>
            <w:r>
              <w:rPr>
                <w:rFonts w:hint="eastAsia" w:ascii="仿宋" w:hAnsi="仿宋" w:eastAsia="仿宋" w:cs="仿宋"/>
                <w:b/>
                <w:bCs/>
                <w:color w:val="auto"/>
                <w:spacing w:val="5"/>
                <w:sz w:val="24"/>
                <w:highlight w:val="none"/>
              </w:rPr>
              <w:t>名称</w:t>
            </w:r>
          </w:p>
        </w:tc>
        <w:tc>
          <w:tcPr>
            <w:tcW w:w="6750" w:type="dxa"/>
            <w:vAlign w:val="center"/>
          </w:tcPr>
          <w:p w14:paraId="38F4F1B9">
            <w:pPr>
              <w:jc w:val="center"/>
              <w:rPr>
                <w:rFonts w:hint="eastAsia" w:ascii="仿宋" w:hAnsi="仿宋" w:eastAsia="仿宋" w:cs="仿宋"/>
                <w:color w:val="auto"/>
                <w:sz w:val="24"/>
                <w:highlight w:val="none"/>
              </w:rPr>
            </w:pPr>
            <w:r>
              <w:rPr>
                <w:rFonts w:hint="eastAsia" w:ascii="仿宋" w:hAnsi="仿宋" w:eastAsia="仿宋" w:cs="仿宋"/>
                <w:b/>
                <w:bCs/>
                <w:color w:val="auto"/>
                <w:spacing w:val="5"/>
                <w:sz w:val="24"/>
                <w:highlight w:val="none"/>
              </w:rPr>
              <w:t>技术指标</w:t>
            </w:r>
          </w:p>
        </w:tc>
        <w:tc>
          <w:tcPr>
            <w:tcW w:w="750" w:type="dxa"/>
            <w:vAlign w:val="center"/>
          </w:tcPr>
          <w:p w14:paraId="27EA0DB1">
            <w:pPr>
              <w:jc w:val="center"/>
              <w:rPr>
                <w:rFonts w:hint="eastAsia" w:ascii="仿宋" w:hAnsi="仿宋" w:eastAsia="仿宋" w:cs="仿宋"/>
                <w:color w:val="auto"/>
                <w:sz w:val="24"/>
                <w:highlight w:val="none"/>
              </w:rPr>
            </w:pPr>
            <w:r>
              <w:rPr>
                <w:rFonts w:hint="eastAsia" w:ascii="仿宋" w:hAnsi="仿宋" w:eastAsia="仿宋" w:cs="仿宋"/>
                <w:b/>
                <w:bCs/>
                <w:color w:val="auto"/>
                <w:spacing w:val="1"/>
                <w:sz w:val="24"/>
                <w:highlight w:val="none"/>
              </w:rPr>
              <w:t>数量</w:t>
            </w:r>
          </w:p>
        </w:tc>
      </w:tr>
      <w:tr w14:paraId="7C08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restart"/>
            <w:vAlign w:val="center"/>
          </w:tcPr>
          <w:p w14:paraId="21E13B16">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50" w:type="dxa"/>
            <w:vMerge w:val="restart"/>
            <w:vAlign w:val="center"/>
          </w:tcPr>
          <w:p w14:paraId="58A47A28">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前端监控设备</w:t>
            </w:r>
          </w:p>
        </w:tc>
        <w:tc>
          <w:tcPr>
            <w:tcW w:w="913" w:type="dxa"/>
            <w:vMerge w:val="restart"/>
            <w:vAlign w:val="center"/>
          </w:tcPr>
          <w:p w14:paraId="38EF2F17">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可见光成像系统</w:t>
            </w:r>
          </w:p>
        </w:tc>
        <w:tc>
          <w:tcPr>
            <w:tcW w:w="6750" w:type="dxa"/>
          </w:tcPr>
          <w:p w14:paraId="4AEE6809">
            <w:pPr>
              <w:rPr>
                <w:rFonts w:hint="eastAsia" w:ascii="仿宋" w:hAnsi="仿宋" w:eastAsia="仿宋" w:cs="仿宋"/>
                <w:color w:val="auto"/>
                <w:sz w:val="24"/>
                <w:highlight w:val="none"/>
              </w:rPr>
            </w:pPr>
            <w:r>
              <w:rPr>
                <w:rFonts w:hint="eastAsia" w:ascii="仿宋" w:hAnsi="仿宋" w:eastAsia="仿宋" w:cs="仿宋"/>
                <w:color w:val="auto"/>
                <w:sz w:val="24"/>
                <w:highlight w:val="none"/>
              </w:rPr>
              <w:t>1、靶面尺寸 1／1.8 英寸</w:t>
            </w:r>
          </w:p>
        </w:tc>
        <w:tc>
          <w:tcPr>
            <w:tcW w:w="750" w:type="dxa"/>
            <w:vMerge w:val="restart"/>
            <w:vAlign w:val="center"/>
          </w:tcPr>
          <w:p w14:paraId="371A0394">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21套</w:t>
            </w:r>
          </w:p>
        </w:tc>
      </w:tr>
      <w:tr w14:paraId="79494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A971F80">
            <w:pPr>
              <w:jc w:val="center"/>
              <w:rPr>
                <w:rFonts w:hint="eastAsia" w:ascii="仿宋" w:hAnsi="仿宋" w:eastAsia="仿宋" w:cs="仿宋"/>
                <w:color w:val="auto"/>
                <w:sz w:val="24"/>
                <w:highlight w:val="none"/>
              </w:rPr>
            </w:pPr>
          </w:p>
        </w:tc>
        <w:tc>
          <w:tcPr>
            <w:tcW w:w="850" w:type="dxa"/>
            <w:vMerge w:val="continue"/>
            <w:vAlign w:val="center"/>
          </w:tcPr>
          <w:p w14:paraId="72A06A35">
            <w:pPr>
              <w:jc w:val="center"/>
              <w:rPr>
                <w:rFonts w:hint="eastAsia" w:ascii="仿宋" w:hAnsi="仿宋" w:eastAsia="仿宋" w:cs="仿宋"/>
                <w:color w:val="auto"/>
                <w:sz w:val="24"/>
                <w:highlight w:val="none"/>
              </w:rPr>
            </w:pPr>
          </w:p>
        </w:tc>
        <w:tc>
          <w:tcPr>
            <w:tcW w:w="913" w:type="dxa"/>
            <w:vMerge w:val="continue"/>
            <w:vAlign w:val="center"/>
          </w:tcPr>
          <w:p w14:paraId="0F176500">
            <w:pPr>
              <w:jc w:val="center"/>
              <w:rPr>
                <w:rFonts w:hint="eastAsia" w:ascii="仿宋" w:hAnsi="仿宋" w:eastAsia="仿宋" w:cs="仿宋"/>
                <w:color w:val="auto"/>
                <w:sz w:val="24"/>
                <w:highlight w:val="none"/>
              </w:rPr>
            </w:pPr>
          </w:p>
        </w:tc>
        <w:tc>
          <w:tcPr>
            <w:tcW w:w="6750" w:type="dxa"/>
          </w:tcPr>
          <w:p w14:paraId="0F8A5A4A">
            <w:pPr>
              <w:rPr>
                <w:rFonts w:hint="eastAsia" w:ascii="仿宋" w:hAnsi="仿宋" w:eastAsia="仿宋" w:cs="仿宋"/>
                <w:color w:val="auto"/>
                <w:sz w:val="24"/>
                <w:highlight w:val="none"/>
              </w:rPr>
            </w:pPr>
            <w:r>
              <w:rPr>
                <w:rFonts w:hint="eastAsia" w:ascii="仿宋" w:hAnsi="仿宋" w:eastAsia="仿宋" w:cs="仿宋"/>
                <w:color w:val="auto"/>
                <w:sz w:val="24"/>
                <w:highlight w:val="none"/>
              </w:rPr>
              <w:t>2、像元尺寸为 2.9μm（H） ×2.9μm（V）</w:t>
            </w:r>
          </w:p>
        </w:tc>
        <w:tc>
          <w:tcPr>
            <w:tcW w:w="750" w:type="dxa"/>
            <w:vMerge w:val="continue"/>
          </w:tcPr>
          <w:p w14:paraId="49B67F95">
            <w:pPr>
              <w:rPr>
                <w:rFonts w:hint="eastAsia" w:ascii="仿宋" w:hAnsi="仿宋" w:eastAsia="仿宋" w:cs="仿宋"/>
                <w:color w:val="auto"/>
                <w:sz w:val="24"/>
                <w:highlight w:val="none"/>
              </w:rPr>
            </w:pPr>
          </w:p>
        </w:tc>
      </w:tr>
      <w:tr w14:paraId="3BEAD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A63E669">
            <w:pPr>
              <w:jc w:val="center"/>
              <w:rPr>
                <w:rFonts w:hint="eastAsia" w:ascii="仿宋" w:hAnsi="仿宋" w:eastAsia="仿宋" w:cs="仿宋"/>
                <w:color w:val="auto"/>
                <w:sz w:val="24"/>
                <w:highlight w:val="none"/>
              </w:rPr>
            </w:pPr>
          </w:p>
        </w:tc>
        <w:tc>
          <w:tcPr>
            <w:tcW w:w="850" w:type="dxa"/>
            <w:vMerge w:val="continue"/>
            <w:vAlign w:val="center"/>
          </w:tcPr>
          <w:p w14:paraId="358B021E">
            <w:pPr>
              <w:jc w:val="center"/>
              <w:rPr>
                <w:rFonts w:hint="eastAsia" w:ascii="仿宋" w:hAnsi="仿宋" w:eastAsia="仿宋" w:cs="仿宋"/>
                <w:color w:val="auto"/>
                <w:sz w:val="24"/>
                <w:highlight w:val="none"/>
              </w:rPr>
            </w:pPr>
          </w:p>
        </w:tc>
        <w:tc>
          <w:tcPr>
            <w:tcW w:w="913" w:type="dxa"/>
            <w:vMerge w:val="continue"/>
            <w:vAlign w:val="center"/>
          </w:tcPr>
          <w:p w14:paraId="30DD06AD">
            <w:pPr>
              <w:jc w:val="center"/>
              <w:rPr>
                <w:rFonts w:hint="eastAsia" w:ascii="仿宋" w:hAnsi="仿宋" w:eastAsia="仿宋" w:cs="仿宋"/>
                <w:color w:val="auto"/>
                <w:sz w:val="24"/>
                <w:highlight w:val="none"/>
              </w:rPr>
            </w:pPr>
          </w:p>
        </w:tc>
        <w:tc>
          <w:tcPr>
            <w:tcW w:w="6750" w:type="dxa"/>
          </w:tcPr>
          <w:p w14:paraId="2A55E328">
            <w:pPr>
              <w:rPr>
                <w:rFonts w:hint="eastAsia" w:ascii="仿宋" w:hAnsi="仿宋" w:eastAsia="仿宋" w:cs="仿宋"/>
                <w:color w:val="auto"/>
                <w:sz w:val="24"/>
                <w:highlight w:val="none"/>
              </w:rPr>
            </w:pPr>
            <w:r>
              <w:rPr>
                <w:rFonts w:hint="eastAsia" w:ascii="仿宋" w:hAnsi="仿宋" w:eastAsia="仿宋" w:cs="仿宋"/>
                <w:color w:val="auto"/>
                <w:sz w:val="24"/>
                <w:highlight w:val="none"/>
              </w:rPr>
              <w:t>3、内置电动变焦镜头，最大焦段≥850mm</w:t>
            </w:r>
          </w:p>
        </w:tc>
        <w:tc>
          <w:tcPr>
            <w:tcW w:w="750" w:type="dxa"/>
            <w:vMerge w:val="continue"/>
          </w:tcPr>
          <w:p w14:paraId="3BF833DF">
            <w:pPr>
              <w:rPr>
                <w:rFonts w:hint="eastAsia" w:ascii="仿宋" w:hAnsi="仿宋" w:eastAsia="仿宋" w:cs="仿宋"/>
                <w:color w:val="auto"/>
                <w:sz w:val="24"/>
                <w:highlight w:val="none"/>
              </w:rPr>
            </w:pPr>
          </w:p>
        </w:tc>
      </w:tr>
      <w:tr w14:paraId="30D4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A533397">
            <w:pPr>
              <w:jc w:val="center"/>
              <w:rPr>
                <w:rFonts w:hint="eastAsia" w:ascii="仿宋" w:hAnsi="仿宋" w:eastAsia="仿宋" w:cs="仿宋"/>
                <w:color w:val="auto"/>
                <w:sz w:val="24"/>
                <w:highlight w:val="none"/>
              </w:rPr>
            </w:pPr>
          </w:p>
        </w:tc>
        <w:tc>
          <w:tcPr>
            <w:tcW w:w="850" w:type="dxa"/>
            <w:vMerge w:val="continue"/>
            <w:vAlign w:val="center"/>
          </w:tcPr>
          <w:p w14:paraId="24EF060B">
            <w:pPr>
              <w:jc w:val="center"/>
              <w:rPr>
                <w:rFonts w:hint="eastAsia" w:ascii="仿宋" w:hAnsi="仿宋" w:eastAsia="仿宋" w:cs="仿宋"/>
                <w:color w:val="auto"/>
                <w:sz w:val="24"/>
                <w:highlight w:val="none"/>
              </w:rPr>
            </w:pPr>
          </w:p>
        </w:tc>
        <w:tc>
          <w:tcPr>
            <w:tcW w:w="913" w:type="dxa"/>
            <w:vMerge w:val="continue"/>
            <w:vAlign w:val="center"/>
          </w:tcPr>
          <w:p w14:paraId="00C793D7">
            <w:pPr>
              <w:jc w:val="center"/>
              <w:rPr>
                <w:rFonts w:hint="eastAsia" w:ascii="仿宋" w:hAnsi="仿宋" w:eastAsia="仿宋" w:cs="仿宋"/>
                <w:color w:val="auto"/>
                <w:sz w:val="24"/>
                <w:highlight w:val="none"/>
              </w:rPr>
            </w:pPr>
          </w:p>
        </w:tc>
        <w:tc>
          <w:tcPr>
            <w:tcW w:w="6750" w:type="dxa"/>
          </w:tcPr>
          <w:p w14:paraId="037F494B">
            <w:pPr>
              <w:rPr>
                <w:rFonts w:hint="eastAsia" w:ascii="仿宋" w:hAnsi="仿宋" w:eastAsia="仿宋" w:cs="仿宋"/>
                <w:color w:val="auto"/>
                <w:sz w:val="24"/>
                <w:highlight w:val="none"/>
              </w:rPr>
            </w:pPr>
            <w:r>
              <w:rPr>
                <w:rFonts w:hint="eastAsia" w:ascii="仿宋" w:hAnsi="仿宋" w:eastAsia="仿宋" w:cs="仿宋"/>
                <w:color w:val="auto"/>
                <w:sz w:val="24"/>
                <w:highlight w:val="none"/>
              </w:rPr>
              <w:t>4、有效像素：400 万</w:t>
            </w:r>
          </w:p>
        </w:tc>
        <w:tc>
          <w:tcPr>
            <w:tcW w:w="750" w:type="dxa"/>
            <w:vMerge w:val="continue"/>
          </w:tcPr>
          <w:p w14:paraId="452B7FD7">
            <w:pPr>
              <w:rPr>
                <w:rFonts w:hint="eastAsia" w:ascii="仿宋" w:hAnsi="仿宋" w:eastAsia="仿宋" w:cs="仿宋"/>
                <w:color w:val="auto"/>
                <w:sz w:val="24"/>
                <w:highlight w:val="none"/>
              </w:rPr>
            </w:pPr>
          </w:p>
        </w:tc>
      </w:tr>
      <w:tr w14:paraId="4E7BD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5BF758C">
            <w:pPr>
              <w:jc w:val="center"/>
              <w:rPr>
                <w:rFonts w:hint="eastAsia" w:ascii="仿宋" w:hAnsi="仿宋" w:eastAsia="仿宋" w:cs="仿宋"/>
                <w:color w:val="auto"/>
                <w:sz w:val="24"/>
                <w:highlight w:val="none"/>
              </w:rPr>
            </w:pPr>
          </w:p>
        </w:tc>
        <w:tc>
          <w:tcPr>
            <w:tcW w:w="850" w:type="dxa"/>
            <w:vMerge w:val="continue"/>
            <w:vAlign w:val="center"/>
          </w:tcPr>
          <w:p w14:paraId="2D0D5926">
            <w:pPr>
              <w:jc w:val="center"/>
              <w:rPr>
                <w:rFonts w:hint="eastAsia" w:ascii="仿宋" w:hAnsi="仿宋" w:eastAsia="仿宋" w:cs="仿宋"/>
                <w:color w:val="auto"/>
                <w:sz w:val="24"/>
                <w:highlight w:val="none"/>
              </w:rPr>
            </w:pPr>
          </w:p>
        </w:tc>
        <w:tc>
          <w:tcPr>
            <w:tcW w:w="913" w:type="dxa"/>
            <w:vMerge w:val="continue"/>
            <w:vAlign w:val="center"/>
          </w:tcPr>
          <w:p w14:paraId="7421BFBF">
            <w:pPr>
              <w:jc w:val="center"/>
              <w:rPr>
                <w:rFonts w:hint="eastAsia" w:ascii="仿宋" w:hAnsi="仿宋" w:eastAsia="仿宋" w:cs="仿宋"/>
                <w:color w:val="auto"/>
                <w:sz w:val="24"/>
                <w:highlight w:val="none"/>
              </w:rPr>
            </w:pPr>
          </w:p>
        </w:tc>
        <w:tc>
          <w:tcPr>
            <w:tcW w:w="6750" w:type="dxa"/>
          </w:tcPr>
          <w:p w14:paraId="4DC60463">
            <w:pPr>
              <w:rPr>
                <w:rFonts w:hint="eastAsia" w:ascii="仿宋" w:hAnsi="仿宋" w:eastAsia="仿宋" w:cs="仿宋"/>
                <w:color w:val="auto"/>
                <w:sz w:val="24"/>
                <w:highlight w:val="none"/>
              </w:rPr>
            </w:pPr>
            <w:r>
              <w:rPr>
                <w:rFonts w:hint="eastAsia" w:ascii="仿宋" w:hAnsi="仿宋" w:eastAsia="仿宋" w:cs="仿宋"/>
                <w:color w:val="auto"/>
                <w:sz w:val="24"/>
                <w:highlight w:val="none"/>
              </w:rPr>
              <w:t>5、照度适应范围不小于 135dB。</w:t>
            </w:r>
          </w:p>
        </w:tc>
        <w:tc>
          <w:tcPr>
            <w:tcW w:w="750" w:type="dxa"/>
            <w:vMerge w:val="continue"/>
          </w:tcPr>
          <w:p w14:paraId="40A32980">
            <w:pPr>
              <w:rPr>
                <w:rFonts w:hint="eastAsia" w:ascii="仿宋" w:hAnsi="仿宋" w:eastAsia="仿宋" w:cs="仿宋"/>
                <w:color w:val="auto"/>
                <w:sz w:val="24"/>
                <w:highlight w:val="none"/>
              </w:rPr>
            </w:pPr>
          </w:p>
        </w:tc>
      </w:tr>
      <w:tr w14:paraId="4C3E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0F42F50">
            <w:pPr>
              <w:jc w:val="center"/>
              <w:rPr>
                <w:rFonts w:hint="eastAsia" w:ascii="仿宋" w:hAnsi="仿宋" w:eastAsia="仿宋" w:cs="仿宋"/>
                <w:color w:val="auto"/>
                <w:sz w:val="24"/>
                <w:highlight w:val="none"/>
              </w:rPr>
            </w:pPr>
          </w:p>
        </w:tc>
        <w:tc>
          <w:tcPr>
            <w:tcW w:w="850" w:type="dxa"/>
            <w:vMerge w:val="continue"/>
            <w:vAlign w:val="center"/>
          </w:tcPr>
          <w:p w14:paraId="32C7AE09">
            <w:pPr>
              <w:jc w:val="center"/>
              <w:rPr>
                <w:rFonts w:hint="eastAsia" w:ascii="仿宋" w:hAnsi="仿宋" w:eastAsia="仿宋" w:cs="仿宋"/>
                <w:color w:val="auto"/>
                <w:sz w:val="24"/>
                <w:highlight w:val="none"/>
              </w:rPr>
            </w:pPr>
          </w:p>
        </w:tc>
        <w:tc>
          <w:tcPr>
            <w:tcW w:w="913" w:type="dxa"/>
            <w:vMerge w:val="continue"/>
            <w:vAlign w:val="center"/>
          </w:tcPr>
          <w:p w14:paraId="316C5BEC">
            <w:pPr>
              <w:jc w:val="center"/>
              <w:rPr>
                <w:rFonts w:hint="eastAsia" w:ascii="仿宋" w:hAnsi="仿宋" w:eastAsia="仿宋" w:cs="仿宋"/>
                <w:color w:val="auto"/>
                <w:sz w:val="24"/>
                <w:highlight w:val="none"/>
              </w:rPr>
            </w:pPr>
          </w:p>
        </w:tc>
        <w:tc>
          <w:tcPr>
            <w:tcW w:w="6750" w:type="dxa"/>
          </w:tcPr>
          <w:p w14:paraId="250F4B1C">
            <w:pPr>
              <w:rPr>
                <w:rFonts w:hint="eastAsia" w:ascii="仿宋" w:hAnsi="仿宋" w:eastAsia="仿宋" w:cs="仿宋"/>
                <w:color w:val="auto"/>
                <w:sz w:val="24"/>
                <w:highlight w:val="none"/>
              </w:rPr>
            </w:pPr>
            <w:r>
              <w:rPr>
                <w:rFonts w:hint="eastAsia" w:ascii="仿宋" w:hAnsi="仿宋" w:eastAsia="仿宋" w:cs="仿宋"/>
                <w:color w:val="auto"/>
                <w:sz w:val="24"/>
                <w:highlight w:val="none"/>
              </w:rPr>
              <w:t>6、最大亮度鉴别等级检查不小于 13 级（RJ45 输出，13 级测试卡）。</w:t>
            </w:r>
          </w:p>
        </w:tc>
        <w:tc>
          <w:tcPr>
            <w:tcW w:w="750" w:type="dxa"/>
            <w:vMerge w:val="continue"/>
          </w:tcPr>
          <w:p w14:paraId="56C12F40">
            <w:pPr>
              <w:rPr>
                <w:rFonts w:hint="eastAsia" w:ascii="仿宋" w:hAnsi="仿宋" w:eastAsia="仿宋" w:cs="仿宋"/>
                <w:color w:val="auto"/>
                <w:sz w:val="24"/>
                <w:highlight w:val="none"/>
              </w:rPr>
            </w:pPr>
          </w:p>
        </w:tc>
      </w:tr>
      <w:tr w14:paraId="140E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54E68B4">
            <w:pPr>
              <w:jc w:val="center"/>
              <w:rPr>
                <w:rFonts w:hint="eastAsia" w:ascii="仿宋" w:hAnsi="仿宋" w:eastAsia="仿宋" w:cs="仿宋"/>
                <w:color w:val="auto"/>
                <w:sz w:val="24"/>
                <w:highlight w:val="none"/>
              </w:rPr>
            </w:pPr>
          </w:p>
        </w:tc>
        <w:tc>
          <w:tcPr>
            <w:tcW w:w="850" w:type="dxa"/>
            <w:vMerge w:val="continue"/>
            <w:vAlign w:val="center"/>
          </w:tcPr>
          <w:p w14:paraId="7C138798">
            <w:pPr>
              <w:jc w:val="center"/>
              <w:rPr>
                <w:rFonts w:hint="eastAsia" w:ascii="仿宋" w:hAnsi="仿宋" w:eastAsia="仿宋" w:cs="仿宋"/>
                <w:color w:val="auto"/>
                <w:sz w:val="24"/>
                <w:highlight w:val="none"/>
              </w:rPr>
            </w:pPr>
          </w:p>
        </w:tc>
        <w:tc>
          <w:tcPr>
            <w:tcW w:w="913" w:type="dxa"/>
            <w:vMerge w:val="continue"/>
            <w:vAlign w:val="center"/>
          </w:tcPr>
          <w:p w14:paraId="1445D9FE">
            <w:pPr>
              <w:jc w:val="center"/>
              <w:rPr>
                <w:rFonts w:hint="eastAsia" w:ascii="仿宋" w:hAnsi="仿宋" w:eastAsia="仿宋" w:cs="仿宋"/>
                <w:color w:val="auto"/>
                <w:sz w:val="24"/>
                <w:highlight w:val="none"/>
              </w:rPr>
            </w:pPr>
          </w:p>
        </w:tc>
        <w:tc>
          <w:tcPr>
            <w:tcW w:w="6750" w:type="dxa"/>
          </w:tcPr>
          <w:p w14:paraId="56C89DD8">
            <w:pPr>
              <w:rPr>
                <w:rFonts w:hint="eastAsia" w:ascii="仿宋" w:hAnsi="仿宋" w:eastAsia="仿宋" w:cs="仿宋"/>
                <w:color w:val="auto"/>
                <w:sz w:val="24"/>
                <w:highlight w:val="none"/>
              </w:rPr>
            </w:pPr>
            <w:r>
              <w:rPr>
                <w:rFonts w:hint="eastAsia" w:ascii="仿宋" w:hAnsi="仿宋" w:eastAsia="仿宋" w:cs="仿宋"/>
                <w:color w:val="auto"/>
                <w:sz w:val="24"/>
                <w:highlight w:val="none"/>
              </w:rPr>
              <w:t>7、亮度信号信噪比检查≥60dB。</w:t>
            </w:r>
          </w:p>
        </w:tc>
        <w:tc>
          <w:tcPr>
            <w:tcW w:w="750" w:type="dxa"/>
            <w:vMerge w:val="continue"/>
          </w:tcPr>
          <w:p w14:paraId="695C46A0">
            <w:pPr>
              <w:rPr>
                <w:rFonts w:hint="eastAsia" w:ascii="仿宋" w:hAnsi="仿宋" w:eastAsia="仿宋" w:cs="仿宋"/>
                <w:color w:val="auto"/>
                <w:sz w:val="24"/>
                <w:highlight w:val="none"/>
              </w:rPr>
            </w:pPr>
          </w:p>
        </w:tc>
      </w:tr>
      <w:tr w14:paraId="1681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5F38524">
            <w:pPr>
              <w:jc w:val="center"/>
              <w:rPr>
                <w:rFonts w:hint="eastAsia" w:ascii="仿宋" w:hAnsi="仿宋" w:eastAsia="仿宋" w:cs="仿宋"/>
                <w:color w:val="auto"/>
                <w:sz w:val="24"/>
                <w:highlight w:val="none"/>
              </w:rPr>
            </w:pPr>
          </w:p>
        </w:tc>
        <w:tc>
          <w:tcPr>
            <w:tcW w:w="850" w:type="dxa"/>
            <w:vMerge w:val="continue"/>
            <w:vAlign w:val="center"/>
          </w:tcPr>
          <w:p w14:paraId="6A47788A">
            <w:pPr>
              <w:jc w:val="center"/>
              <w:rPr>
                <w:rFonts w:hint="eastAsia" w:ascii="仿宋" w:hAnsi="仿宋" w:eastAsia="仿宋" w:cs="仿宋"/>
                <w:color w:val="auto"/>
                <w:sz w:val="24"/>
                <w:highlight w:val="none"/>
              </w:rPr>
            </w:pPr>
          </w:p>
        </w:tc>
        <w:tc>
          <w:tcPr>
            <w:tcW w:w="913" w:type="dxa"/>
            <w:vMerge w:val="continue"/>
            <w:vAlign w:val="center"/>
          </w:tcPr>
          <w:p w14:paraId="52E82464">
            <w:pPr>
              <w:jc w:val="center"/>
              <w:rPr>
                <w:rFonts w:hint="eastAsia" w:ascii="仿宋" w:hAnsi="仿宋" w:eastAsia="仿宋" w:cs="仿宋"/>
                <w:color w:val="auto"/>
                <w:sz w:val="24"/>
                <w:highlight w:val="none"/>
              </w:rPr>
            </w:pPr>
          </w:p>
        </w:tc>
        <w:tc>
          <w:tcPr>
            <w:tcW w:w="6750" w:type="dxa"/>
          </w:tcPr>
          <w:p w14:paraId="2EC8FD80">
            <w:pPr>
              <w:rPr>
                <w:rFonts w:hint="eastAsia" w:ascii="仿宋" w:hAnsi="仿宋" w:eastAsia="仿宋" w:cs="仿宋"/>
                <w:color w:val="auto"/>
                <w:sz w:val="24"/>
                <w:highlight w:val="none"/>
              </w:rPr>
            </w:pPr>
            <w:r>
              <w:rPr>
                <w:rFonts w:hint="eastAsia" w:ascii="仿宋" w:hAnsi="仿宋" w:eastAsia="仿宋" w:cs="仿宋"/>
                <w:color w:val="auto"/>
                <w:sz w:val="24"/>
                <w:highlight w:val="none"/>
              </w:rPr>
              <w:t>8、在 Web 客户端下，摄像机具有宽动态设置选项；在环境亮度变化时，可宽动态设置选项可以自动进行关闭／开启切换。</w:t>
            </w:r>
          </w:p>
        </w:tc>
        <w:tc>
          <w:tcPr>
            <w:tcW w:w="750" w:type="dxa"/>
            <w:vMerge w:val="continue"/>
          </w:tcPr>
          <w:p w14:paraId="6FB1E3ED">
            <w:pPr>
              <w:rPr>
                <w:rFonts w:hint="eastAsia" w:ascii="仿宋" w:hAnsi="仿宋" w:eastAsia="仿宋" w:cs="仿宋"/>
                <w:color w:val="auto"/>
                <w:sz w:val="24"/>
                <w:highlight w:val="none"/>
              </w:rPr>
            </w:pPr>
          </w:p>
        </w:tc>
      </w:tr>
      <w:tr w14:paraId="53F3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F653AD5">
            <w:pPr>
              <w:jc w:val="center"/>
              <w:rPr>
                <w:rFonts w:hint="eastAsia" w:ascii="仿宋" w:hAnsi="仿宋" w:eastAsia="仿宋" w:cs="仿宋"/>
                <w:color w:val="auto"/>
                <w:sz w:val="24"/>
                <w:highlight w:val="none"/>
              </w:rPr>
            </w:pPr>
          </w:p>
        </w:tc>
        <w:tc>
          <w:tcPr>
            <w:tcW w:w="850" w:type="dxa"/>
            <w:vMerge w:val="continue"/>
            <w:vAlign w:val="center"/>
          </w:tcPr>
          <w:p w14:paraId="398EB5E0">
            <w:pPr>
              <w:jc w:val="center"/>
              <w:rPr>
                <w:rFonts w:hint="eastAsia" w:ascii="仿宋" w:hAnsi="仿宋" w:eastAsia="仿宋" w:cs="仿宋"/>
                <w:color w:val="auto"/>
                <w:sz w:val="24"/>
                <w:highlight w:val="none"/>
              </w:rPr>
            </w:pPr>
          </w:p>
        </w:tc>
        <w:tc>
          <w:tcPr>
            <w:tcW w:w="913" w:type="dxa"/>
            <w:vMerge w:val="continue"/>
            <w:vAlign w:val="center"/>
          </w:tcPr>
          <w:p w14:paraId="32E42A91">
            <w:pPr>
              <w:jc w:val="center"/>
              <w:rPr>
                <w:rFonts w:hint="eastAsia" w:ascii="仿宋" w:hAnsi="仿宋" w:eastAsia="仿宋" w:cs="仿宋"/>
                <w:color w:val="auto"/>
                <w:sz w:val="24"/>
                <w:highlight w:val="none"/>
              </w:rPr>
            </w:pPr>
          </w:p>
        </w:tc>
        <w:tc>
          <w:tcPr>
            <w:tcW w:w="6750" w:type="dxa"/>
          </w:tcPr>
          <w:p w14:paraId="7641CE7F">
            <w:pPr>
              <w:rPr>
                <w:rFonts w:hint="eastAsia" w:ascii="仿宋" w:hAnsi="仿宋" w:eastAsia="仿宋" w:cs="仿宋"/>
                <w:color w:val="auto"/>
                <w:sz w:val="24"/>
                <w:highlight w:val="none"/>
              </w:rPr>
            </w:pPr>
            <w:r>
              <w:rPr>
                <w:rFonts w:hint="eastAsia" w:ascii="仿宋" w:hAnsi="仿宋" w:eastAsia="仿宋" w:cs="仿宋"/>
                <w:color w:val="auto"/>
                <w:sz w:val="24"/>
                <w:highlight w:val="none"/>
              </w:rPr>
              <w:t>9、摄像机具有宽动态条纹抑制选项。</w:t>
            </w:r>
          </w:p>
        </w:tc>
        <w:tc>
          <w:tcPr>
            <w:tcW w:w="750" w:type="dxa"/>
            <w:vMerge w:val="continue"/>
          </w:tcPr>
          <w:p w14:paraId="559BC576">
            <w:pPr>
              <w:rPr>
                <w:rFonts w:hint="eastAsia" w:ascii="仿宋" w:hAnsi="仿宋" w:eastAsia="仿宋" w:cs="仿宋"/>
                <w:color w:val="auto"/>
                <w:sz w:val="24"/>
                <w:highlight w:val="none"/>
              </w:rPr>
            </w:pPr>
          </w:p>
        </w:tc>
      </w:tr>
      <w:tr w14:paraId="3696C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2F6E65B">
            <w:pPr>
              <w:jc w:val="center"/>
              <w:rPr>
                <w:rFonts w:hint="eastAsia" w:ascii="仿宋" w:hAnsi="仿宋" w:eastAsia="仿宋" w:cs="仿宋"/>
                <w:color w:val="auto"/>
                <w:sz w:val="24"/>
                <w:highlight w:val="none"/>
              </w:rPr>
            </w:pPr>
          </w:p>
        </w:tc>
        <w:tc>
          <w:tcPr>
            <w:tcW w:w="850" w:type="dxa"/>
            <w:vMerge w:val="continue"/>
            <w:vAlign w:val="center"/>
          </w:tcPr>
          <w:p w14:paraId="44EFF1DF">
            <w:pPr>
              <w:jc w:val="center"/>
              <w:rPr>
                <w:rFonts w:hint="eastAsia" w:ascii="仿宋" w:hAnsi="仿宋" w:eastAsia="仿宋" w:cs="仿宋"/>
                <w:color w:val="auto"/>
                <w:sz w:val="24"/>
                <w:highlight w:val="none"/>
              </w:rPr>
            </w:pPr>
          </w:p>
        </w:tc>
        <w:tc>
          <w:tcPr>
            <w:tcW w:w="913" w:type="dxa"/>
            <w:vMerge w:val="continue"/>
            <w:vAlign w:val="center"/>
          </w:tcPr>
          <w:p w14:paraId="441ED66C">
            <w:pPr>
              <w:jc w:val="center"/>
              <w:rPr>
                <w:rFonts w:hint="eastAsia" w:ascii="仿宋" w:hAnsi="仿宋" w:eastAsia="仿宋" w:cs="仿宋"/>
                <w:color w:val="auto"/>
                <w:sz w:val="24"/>
                <w:highlight w:val="none"/>
              </w:rPr>
            </w:pPr>
          </w:p>
        </w:tc>
        <w:tc>
          <w:tcPr>
            <w:tcW w:w="6750" w:type="dxa"/>
          </w:tcPr>
          <w:p w14:paraId="6E14C1FA">
            <w:pPr>
              <w:rPr>
                <w:rFonts w:hint="eastAsia" w:ascii="仿宋" w:hAnsi="仿宋" w:eastAsia="仿宋" w:cs="仿宋"/>
                <w:color w:val="auto"/>
                <w:sz w:val="24"/>
                <w:highlight w:val="none"/>
              </w:rPr>
            </w:pPr>
            <w:r>
              <w:rPr>
                <w:rFonts w:hint="eastAsia" w:ascii="仿宋" w:hAnsi="仿宋" w:eastAsia="仿宋" w:cs="仿宋"/>
                <w:color w:val="auto"/>
                <w:sz w:val="24"/>
                <w:highlight w:val="none"/>
              </w:rPr>
              <w:t>10、宽动态范围≥120dB。</w:t>
            </w:r>
          </w:p>
        </w:tc>
        <w:tc>
          <w:tcPr>
            <w:tcW w:w="750" w:type="dxa"/>
            <w:vMerge w:val="continue"/>
          </w:tcPr>
          <w:p w14:paraId="2D627E5F">
            <w:pPr>
              <w:rPr>
                <w:rFonts w:hint="eastAsia" w:ascii="仿宋" w:hAnsi="仿宋" w:eastAsia="仿宋" w:cs="仿宋"/>
                <w:color w:val="auto"/>
                <w:sz w:val="24"/>
                <w:highlight w:val="none"/>
              </w:rPr>
            </w:pPr>
          </w:p>
        </w:tc>
      </w:tr>
      <w:tr w14:paraId="312E5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08568EC">
            <w:pPr>
              <w:jc w:val="center"/>
              <w:rPr>
                <w:rFonts w:hint="eastAsia" w:ascii="仿宋" w:hAnsi="仿宋" w:eastAsia="仿宋" w:cs="仿宋"/>
                <w:color w:val="auto"/>
                <w:sz w:val="24"/>
                <w:highlight w:val="none"/>
              </w:rPr>
            </w:pPr>
          </w:p>
        </w:tc>
        <w:tc>
          <w:tcPr>
            <w:tcW w:w="850" w:type="dxa"/>
            <w:vMerge w:val="continue"/>
            <w:vAlign w:val="center"/>
          </w:tcPr>
          <w:p w14:paraId="291718E7">
            <w:pPr>
              <w:jc w:val="center"/>
              <w:rPr>
                <w:rFonts w:hint="eastAsia" w:ascii="仿宋" w:hAnsi="仿宋" w:eastAsia="仿宋" w:cs="仿宋"/>
                <w:color w:val="auto"/>
                <w:sz w:val="24"/>
                <w:highlight w:val="none"/>
              </w:rPr>
            </w:pPr>
          </w:p>
        </w:tc>
        <w:tc>
          <w:tcPr>
            <w:tcW w:w="913" w:type="dxa"/>
            <w:vMerge w:val="continue"/>
            <w:vAlign w:val="center"/>
          </w:tcPr>
          <w:p w14:paraId="7623105C">
            <w:pPr>
              <w:jc w:val="center"/>
              <w:rPr>
                <w:rFonts w:hint="eastAsia" w:ascii="仿宋" w:hAnsi="仿宋" w:eastAsia="仿宋" w:cs="仿宋"/>
                <w:color w:val="auto"/>
                <w:sz w:val="24"/>
                <w:highlight w:val="none"/>
              </w:rPr>
            </w:pPr>
          </w:p>
        </w:tc>
        <w:tc>
          <w:tcPr>
            <w:tcW w:w="6750" w:type="dxa"/>
          </w:tcPr>
          <w:p w14:paraId="3A378D56">
            <w:pPr>
              <w:rPr>
                <w:rFonts w:hint="eastAsia" w:ascii="仿宋" w:hAnsi="仿宋" w:eastAsia="仿宋" w:cs="仿宋"/>
                <w:color w:val="auto"/>
                <w:sz w:val="24"/>
                <w:highlight w:val="none"/>
              </w:rPr>
            </w:pPr>
            <w:r>
              <w:rPr>
                <w:rFonts w:hint="eastAsia" w:ascii="仿宋" w:hAnsi="仿宋" w:eastAsia="仿宋" w:cs="仿宋"/>
                <w:color w:val="auto"/>
                <w:sz w:val="24"/>
                <w:highlight w:val="none"/>
              </w:rPr>
              <w:t>11、在 WEB 客户端下，具有低拖影曝光设置选项。</w:t>
            </w:r>
          </w:p>
        </w:tc>
        <w:tc>
          <w:tcPr>
            <w:tcW w:w="750" w:type="dxa"/>
            <w:vMerge w:val="continue"/>
          </w:tcPr>
          <w:p w14:paraId="0035F616">
            <w:pPr>
              <w:rPr>
                <w:rFonts w:hint="eastAsia" w:ascii="仿宋" w:hAnsi="仿宋" w:eastAsia="仿宋" w:cs="仿宋"/>
                <w:color w:val="auto"/>
                <w:sz w:val="24"/>
                <w:highlight w:val="none"/>
              </w:rPr>
            </w:pPr>
          </w:p>
        </w:tc>
      </w:tr>
      <w:tr w14:paraId="656F5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98B445D">
            <w:pPr>
              <w:jc w:val="center"/>
              <w:rPr>
                <w:rFonts w:hint="eastAsia" w:ascii="仿宋" w:hAnsi="仿宋" w:eastAsia="仿宋" w:cs="仿宋"/>
                <w:color w:val="auto"/>
                <w:sz w:val="24"/>
                <w:highlight w:val="none"/>
              </w:rPr>
            </w:pPr>
          </w:p>
        </w:tc>
        <w:tc>
          <w:tcPr>
            <w:tcW w:w="850" w:type="dxa"/>
            <w:vMerge w:val="continue"/>
            <w:vAlign w:val="center"/>
          </w:tcPr>
          <w:p w14:paraId="4ECA8065">
            <w:pPr>
              <w:jc w:val="center"/>
              <w:rPr>
                <w:rFonts w:hint="eastAsia" w:ascii="仿宋" w:hAnsi="仿宋" w:eastAsia="仿宋" w:cs="仿宋"/>
                <w:color w:val="auto"/>
                <w:sz w:val="24"/>
                <w:highlight w:val="none"/>
              </w:rPr>
            </w:pPr>
          </w:p>
        </w:tc>
        <w:tc>
          <w:tcPr>
            <w:tcW w:w="913" w:type="dxa"/>
            <w:vMerge w:val="continue"/>
            <w:vAlign w:val="center"/>
          </w:tcPr>
          <w:p w14:paraId="49AC9003">
            <w:pPr>
              <w:jc w:val="center"/>
              <w:rPr>
                <w:rFonts w:hint="eastAsia" w:ascii="仿宋" w:hAnsi="仿宋" w:eastAsia="仿宋" w:cs="仿宋"/>
                <w:color w:val="auto"/>
                <w:sz w:val="24"/>
                <w:highlight w:val="none"/>
              </w:rPr>
            </w:pPr>
          </w:p>
        </w:tc>
        <w:tc>
          <w:tcPr>
            <w:tcW w:w="6750" w:type="dxa"/>
          </w:tcPr>
          <w:p w14:paraId="7C1D9D73">
            <w:pPr>
              <w:rPr>
                <w:rFonts w:hint="eastAsia" w:ascii="仿宋" w:hAnsi="仿宋" w:eastAsia="仿宋" w:cs="仿宋"/>
                <w:color w:val="auto"/>
                <w:sz w:val="24"/>
                <w:highlight w:val="none"/>
              </w:rPr>
            </w:pPr>
            <w:r>
              <w:rPr>
                <w:rFonts w:hint="eastAsia" w:ascii="仿宋" w:hAnsi="仿宋" w:eastAsia="仿宋" w:cs="仿宋"/>
                <w:color w:val="auto"/>
                <w:sz w:val="24"/>
                <w:highlight w:val="none"/>
              </w:rPr>
              <w:t>12、具有自动、关闭、开启光学透雾设置选项，透雾等级1~9可调。当检验到雾的浓度达到设定的</w:t>
            </w:r>
            <w:r>
              <w:rPr>
                <w:rFonts w:hint="eastAsia" w:ascii="仿宋" w:hAnsi="仿宋" w:eastAsia="仿宋" w:cs="仿宋"/>
                <w:color w:val="auto"/>
                <w:sz w:val="24"/>
                <w:highlight w:val="none"/>
              </w:rPr>
              <w:t>阀值</w:t>
            </w:r>
            <w:r>
              <w:rPr>
                <w:rFonts w:hint="eastAsia" w:ascii="仿宋" w:hAnsi="仿宋" w:eastAsia="仿宋" w:cs="仿宋"/>
                <w:color w:val="auto"/>
                <w:sz w:val="24"/>
                <w:highlight w:val="none"/>
              </w:rPr>
              <w:t>时，可自动在算法透雾和光学透雾之间进行切换。</w:t>
            </w:r>
          </w:p>
        </w:tc>
        <w:tc>
          <w:tcPr>
            <w:tcW w:w="750" w:type="dxa"/>
            <w:vMerge w:val="continue"/>
          </w:tcPr>
          <w:p w14:paraId="172E473B">
            <w:pPr>
              <w:rPr>
                <w:rFonts w:hint="eastAsia" w:ascii="仿宋" w:hAnsi="仿宋" w:eastAsia="仿宋" w:cs="仿宋"/>
                <w:color w:val="auto"/>
                <w:sz w:val="24"/>
                <w:highlight w:val="none"/>
              </w:rPr>
            </w:pPr>
          </w:p>
        </w:tc>
      </w:tr>
      <w:tr w14:paraId="02BC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7C9E4D89">
            <w:pPr>
              <w:jc w:val="center"/>
              <w:rPr>
                <w:rFonts w:hint="eastAsia" w:ascii="仿宋" w:hAnsi="仿宋" w:eastAsia="仿宋" w:cs="仿宋"/>
                <w:color w:val="auto"/>
                <w:sz w:val="24"/>
                <w:highlight w:val="none"/>
              </w:rPr>
            </w:pPr>
          </w:p>
        </w:tc>
        <w:tc>
          <w:tcPr>
            <w:tcW w:w="850" w:type="dxa"/>
            <w:vMerge w:val="continue"/>
            <w:vAlign w:val="center"/>
          </w:tcPr>
          <w:p w14:paraId="60117C79">
            <w:pPr>
              <w:jc w:val="center"/>
              <w:rPr>
                <w:rFonts w:hint="eastAsia" w:ascii="仿宋" w:hAnsi="仿宋" w:eastAsia="仿宋" w:cs="仿宋"/>
                <w:color w:val="auto"/>
                <w:sz w:val="24"/>
                <w:highlight w:val="none"/>
              </w:rPr>
            </w:pPr>
          </w:p>
        </w:tc>
        <w:tc>
          <w:tcPr>
            <w:tcW w:w="913" w:type="dxa"/>
            <w:vMerge w:val="restart"/>
            <w:vAlign w:val="center"/>
          </w:tcPr>
          <w:p w14:paraId="19E129F7">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红外热成像系统</w:t>
            </w:r>
          </w:p>
        </w:tc>
        <w:tc>
          <w:tcPr>
            <w:tcW w:w="6750" w:type="dxa"/>
          </w:tcPr>
          <w:p w14:paraId="6E13B3CE">
            <w:pPr>
              <w:rPr>
                <w:rFonts w:hint="eastAsia" w:ascii="仿宋" w:hAnsi="仿宋" w:eastAsia="仿宋" w:cs="仿宋"/>
                <w:color w:val="auto"/>
                <w:sz w:val="24"/>
                <w:highlight w:val="none"/>
              </w:rPr>
            </w:pPr>
            <w:r>
              <w:rPr>
                <w:rFonts w:hint="eastAsia" w:ascii="仿宋" w:hAnsi="仿宋" w:eastAsia="仿宋" w:cs="仿宋"/>
                <w:color w:val="auto"/>
                <w:sz w:val="24"/>
                <w:highlight w:val="none"/>
              </w:rPr>
              <w:t>1、最大图像尺寸 640＊512</w:t>
            </w:r>
          </w:p>
        </w:tc>
        <w:tc>
          <w:tcPr>
            <w:tcW w:w="750" w:type="dxa"/>
            <w:vMerge w:val="continue"/>
          </w:tcPr>
          <w:p w14:paraId="04E5E631">
            <w:pPr>
              <w:rPr>
                <w:rFonts w:hint="eastAsia" w:ascii="仿宋" w:hAnsi="仿宋" w:eastAsia="仿宋" w:cs="仿宋"/>
                <w:color w:val="auto"/>
                <w:sz w:val="24"/>
                <w:highlight w:val="none"/>
              </w:rPr>
            </w:pPr>
          </w:p>
        </w:tc>
      </w:tr>
      <w:tr w14:paraId="5781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9314061">
            <w:pPr>
              <w:jc w:val="center"/>
              <w:rPr>
                <w:rFonts w:hint="eastAsia" w:ascii="仿宋" w:hAnsi="仿宋" w:eastAsia="仿宋" w:cs="仿宋"/>
                <w:color w:val="auto"/>
                <w:sz w:val="24"/>
                <w:highlight w:val="none"/>
              </w:rPr>
            </w:pPr>
          </w:p>
        </w:tc>
        <w:tc>
          <w:tcPr>
            <w:tcW w:w="850" w:type="dxa"/>
            <w:vMerge w:val="continue"/>
            <w:vAlign w:val="center"/>
          </w:tcPr>
          <w:p w14:paraId="117F9419">
            <w:pPr>
              <w:jc w:val="center"/>
              <w:rPr>
                <w:rFonts w:hint="eastAsia" w:ascii="仿宋" w:hAnsi="仿宋" w:eastAsia="仿宋" w:cs="仿宋"/>
                <w:color w:val="auto"/>
                <w:sz w:val="24"/>
                <w:highlight w:val="none"/>
              </w:rPr>
            </w:pPr>
          </w:p>
        </w:tc>
        <w:tc>
          <w:tcPr>
            <w:tcW w:w="913" w:type="dxa"/>
            <w:vMerge w:val="continue"/>
            <w:vAlign w:val="center"/>
          </w:tcPr>
          <w:p w14:paraId="666138CE">
            <w:pPr>
              <w:jc w:val="center"/>
              <w:rPr>
                <w:rFonts w:hint="eastAsia" w:ascii="仿宋" w:hAnsi="仿宋" w:eastAsia="仿宋" w:cs="仿宋"/>
                <w:color w:val="auto"/>
                <w:sz w:val="24"/>
                <w:highlight w:val="none"/>
              </w:rPr>
            </w:pPr>
          </w:p>
        </w:tc>
        <w:tc>
          <w:tcPr>
            <w:tcW w:w="6750" w:type="dxa"/>
          </w:tcPr>
          <w:p w14:paraId="3ACD19BE">
            <w:pPr>
              <w:rPr>
                <w:rFonts w:hint="eastAsia" w:ascii="仿宋" w:hAnsi="仿宋" w:eastAsia="仿宋" w:cs="仿宋"/>
                <w:color w:val="auto"/>
                <w:sz w:val="24"/>
                <w:highlight w:val="none"/>
              </w:rPr>
            </w:pPr>
            <w:r>
              <w:rPr>
                <w:rFonts w:hint="eastAsia" w:ascii="仿宋" w:hAnsi="仿宋" w:eastAsia="仿宋" w:cs="仿宋"/>
                <w:color w:val="auto"/>
                <w:sz w:val="24"/>
                <w:highlight w:val="none"/>
              </w:rPr>
              <w:t>2、像元尺寸为 12μm（H） ×12μm（V）</w:t>
            </w:r>
          </w:p>
        </w:tc>
        <w:tc>
          <w:tcPr>
            <w:tcW w:w="750" w:type="dxa"/>
            <w:vMerge w:val="continue"/>
          </w:tcPr>
          <w:p w14:paraId="69615EDE">
            <w:pPr>
              <w:rPr>
                <w:rFonts w:hint="eastAsia" w:ascii="仿宋" w:hAnsi="仿宋" w:eastAsia="仿宋" w:cs="仿宋"/>
                <w:color w:val="auto"/>
                <w:sz w:val="24"/>
                <w:highlight w:val="none"/>
              </w:rPr>
            </w:pPr>
          </w:p>
        </w:tc>
      </w:tr>
      <w:tr w14:paraId="3221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ADE9F84">
            <w:pPr>
              <w:jc w:val="center"/>
              <w:rPr>
                <w:rFonts w:hint="eastAsia" w:ascii="仿宋" w:hAnsi="仿宋" w:eastAsia="仿宋" w:cs="仿宋"/>
                <w:color w:val="auto"/>
                <w:sz w:val="24"/>
                <w:highlight w:val="none"/>
              </w:rPr>
            </w:pPr>
          </w:p>
        </w:tc>
        <w:tc>
          <w:tcPr>
            <w:tcW w:w="850" w:type="dxa"/>
            <w:vMerge w:val="continue"/>
            <w:vAlign w:val="center"/>
          </w:tcPr>
          <w:p w14:paraId="699A5295">
            <w:pPr>
              <w:jc w:val="center"/>
              <w:rPr>
                <w:rFonts w:hint="eastAsia" w:ascii="仿宋" w:hAnsi="仿宋" w:eastAsia="仿宋" w:cs="仿宋"/>
                <w:color w:val="auto"/>
                <w:sz w:val="24"/>
                <w:highlight w:val="none"/>
              </w:rPr>
            </w:pPr>
          </w:p>
        </w:tc>
        <w:tc>
          <w:tcPr>
            <w:tcW w:w="913" w:type="dxa"/>
            <w:vMerge w:val="continue"/>
            <w:vAlign w:val="center"/>
          </w:tcPr>
          <w:p w14:paraId="605F10D8">
            <w:pPr>
              <w:jc w:val="center"/>
              <w:rPr>
                <w:rFonts w:hint="eastAsia" w:ascii="仿宋" w:hAnsi="仿宋" w:eastAsia="仿宋" w:cs="仿宋"/>
                <w:color w:val="auto"/>
                <w:sz w:val="24"/>
                <w:highlight w:val="none"/>
              </w:rPr>
            </w:pPr>
          </w:p>
        </w:tc>
        <w:tc>
          <w:tcPr>
            <w:tcW w:w="6750" w:type="dxa"/>
          </w:tcPr>
          <w:p w14:paraId="3A160BD5">
            <w:pPr>
              <w:rPr>
                <w:rFonts w:hint="eastAsia" w:ascii="仿宋" w:hAnsi="仿宋" w:eastAsia="仿宋" w:cs="仿宋"/>
                <w:color w:val="auto"/>
                <w:sz w:val="24"/>
                <w:highlight w:val="none"/>
              </w:rPr>
            </w:pPr>
            <w:r>
              <w:rPr>
                <w:rFonts w:hint="eastAsia" w:ascii="仿宋" w:hAnsi="仿宋" w:eastAsia="仿宋" w:cs="仿宋"/>
                <w:color w:val="auto"/>
                <w:sz w:val="24"/>
                <w:highlight w:val="none"/>
              </w:rPr>
              <w:t>3、内置电动变焦镜头，最大焦段≥140mm</w:t>
            </w:r>
          </w:p>
        </w:tc>
        <w:tc>
          <w:tcPr>
            <w:tcW w:w="750" w:type="dxa"/>
            <w:vMerge w:val="continue"/>
          </w:tcPr>
          <w:p w14:paraId="7AD0AA4A">
            <w:pPr>
              <w:rPr>
                <w:rFonts w:hint="eastAsia" w:ascii="仿宋" w:hAnsi="仿宋" w:eastAsia="仿宋" w:cs="仿宋"/>
                <w:color w:val="auto"/>
                <w:sz w:val="24"/>
                <w:highlight w:val="none"/>
              </w:rPr>
            </w:pPr>
          </w:p>
        </w:tc>
      </w:tr>
      <w:tr w14:paraId="7A6DD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738D6AC">
            <w:pPr>
              <w:jc w:val="center"/>
              <w:rPr>
                <w:rFonts w:hint="eastAsia" w:ascii="仿宋" w:hAnsi="仿宋" w:eastAsia="仿宋" w:cs="仿宋"/>
                <w:color w:val="auto"/>
                <w:sz w:val="24"/>
                <w:highlight w:val="none"/>
              </w:rPr>
            </w:pPr>
          </w:p>
        </w:tc>
        <w:tc>
          <w:tcPr>
            <w:tcW w:w="850" w:type="dxa"/>
            <w:vMerge w:val="continue"/>
            <w:vAlign w:val="center"/>
          </w:tcPr>
          <w:p w14:paraId="3A906A8A">
            <w:pPr>
              <w:jc w:val="center"/>
              <w:rPr>
                <w:rFonts w:hint="eastAsia" w:ascii="仿宋" w:hAnsi="仿宋" w:eastAsia="仿宋" w:cs="仿宋"/>
                <w:color w:val="auto"/>
                <w:sz w:val="24"/>
                <w:highlight w:val="none"/>
              </w:rPr>
            </w:pPr>
          </w:p>
        </w:tc>
        <w:tc>
          <w:tcPr>
            <w:tcW w:w="913" w:type="dxa"/>
            <w:vMerge w:val="continue"/>
            <w:vAlign w:val="center"/>
          </w:tcPr>
          <w:p w14:paraId="5153F2BE">
            <w:pPr>
              <w:jc w:val="center"/>
              <w:rPr>
                <w:rFonts w:hint="eastAsia" w:ascii="仿宋" w:hAnsi="仿宋" w:eastAsia="仿宋" w:cs="仿宋"/>
                <w:color w:val="auto"/>
                <w:sz w:val="24"/>
                <w:highlight w:val="none"/>
              </w:rPr>
            </w:pPr>
          </w:p>
        </w:tc>
        <w:tc>
          <w:tcPr>
            <w:tcW w:w="6750" w:type="dxa"/>
          </w:tcPr>
          <w:p w14:paraId="1C944F39">
            <w:pPr>
              <w:rPr>
                <w:rFonts w:hint="eastAsia" w:ascii="仿宋" w:hAnsi="仿宋" w:eastAsia="仿宋" w:cs="仿宋"/>
                <w:color w:val="auto"/>
                <w:sz w:val="24"/>
                <w:highlight w:val="none"/>
              </w:rPr>
            </w:pPr>
            <w:r>
              <w:rPr>
                <w:rFonts w:hint="eastAsia" w:ascii="仿宋" w:hAnsi="仿宋" w:eastAsia="仿宋" w:cs="仿宋"/>
                <w:color w:val="auto"/>
                <w:sz w:val="24"/>
                <w:highlight w:val="none"/>
              </w:rPr>
              <w:t>▲4、内置热成像镜头磁编反馈系统</w:t>
            </w:r>
          </w:p>
        </w:tc>
        <w:tc>
          <w:tcPr>
            <w:tcW w:w="750" w:type="dxa"/>
            <w:vMerge w:val="continue"/>
          </w:tcPr>
          <w:p w14:paraId="00AFFC47">
            <w:pPr>
              <w:rPr>
                <w:rFonts w:hint="eastAsia" w:ascii="仿宋" w:hAnsi="仿宋" w:eastAsia="仿宋" w:cs="仿宋"/>
                <w:color w:val="auto"/>
                <w:sz w:val="24"/>
                <w:highlight w:val="none"/>
              </w:rPr>
            </w:pPr>
          </w:p>
        </w:tc>
      </w:tr>
      <w:tr w14:paraId="3AC1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512" w:type="dxa"/>
            <w:vMerge w:val="continue"/>
            <w:vAlign w:val="center"/>
          </w:tcPr>
          <w:p w14:paraId="62CED598">
            <w:pPr>
              <w:jc w:val="center"/>
              <w:rPr>
                <w:rFonts w:hint="eastAsia" w:ascii="仿宋" w:hAnsi="仿宋" w:eastAsia="仿宋" w:cs="仿宋"/>
                <w:color w:val="auto"/>
                <w:sz w:val="24"/>
                <w:highlight w:val="none"/>
              </w:rPr>
            </w:pPr>
          </w:p>
        </w:tc>
        <w:tc>
          <w:tcPr>
            <w:tcW w:w="850" w:type="dxa"/>
            <w:vMerge w:val="continue"/>
            <w:vAlign w:val="center"/>
          </w:tcPr>
          <w:p w14:paraId="33E51324">
            <w:pPr>
              <w:jc w:val="center"/>
              <w:rPr>
                <w:rFonts w:hint="eastAsia" w:ascii="仿宋" w:hAnsi="仿宋" w:eastAsia="仿宋" w:cs="仿宋"/>
                <w:color w:val="auto"/>
                <w:sz w:val="24"/>
                <w:highlight w:val="none"/>
              </w:rPr>
            </w:pPr>
          </w:p>
        </w:tc>
        <w:tc>
          <w:tcPr>
            <w:tcW w:w="913" w:type="dxa"/>
            <w:vMerge w:val="continue"/>
            <w:vAlign w:val="center"/>
          </w:tcPr>
          <w:p w14:paraId="761C2DA2">
            <w:pPr>
              <w:jc w:val="center"/>
              <w:rPr>
                <w:rFonts w:hint="eastAsia" w:ascii="仿宋" w:hAnsi="仿宋" w:eastAsia="仿宋" w:cs="仿宋"/>
                <w:color w:val="auto"/>
                <w:sz w:val="24"/>
                <w:highlight w:val="none"/>
              </w:rPr>
            </w:pPr>
          </w:p>
        </w:tc>
        <w:tc>
          <w:tcPr>
            <w:tcW w:w="6750" w:type="dxa"/>
          </w:tcPr>
          <w:p w14:paraId="320F8CB9">
            <w:pPr>
              <w:rPr>
                <w:rFonts w:hint="eastAsia" w:ascii="仿宋" w:hAnsi="仿宋" w:eastAsia="仿宋" w:cs="仿宋"/>
                <w:color w:val="auto"/>
                <w:sz w:val="24"/>
                <w:highlight w:val="none"/>
              </w:rPr>
            </w:pPr>
            <w:r>
              <w:rPr>
                <w:rFonts w:hint="eastAsia" w:ascii="仿宋" w:hAnsi="仿宋" w:eastAsia="仿宋" w:cs="仿宋"/>
                <w:color w:val="auto"/>
                <w:sz w:val="24"/>
                <w:highlight w:val="none"/>
              </w:rPr>
              <w:t>5、设备重复变焦后，镜头焦距变化≤变焦操作前焦距值的0.5％。</w:t>
            </w:r>
          </w:p>
        </w:tc>
        <w:tc>
          <w:tcPr>
            <w:tcW w:w="750" w:type="dxa"/>
            <w:vMerge w:val="continue"/>
          </w:tcPr>
          <w:p w14:paraId="19966C34">
            <w:pPr>
              <w:rPr>
                <w:rFonts w:hint="eastAsia" w:ascii="仿宋" w:hAnsi="仿宋" w:eastAsia="仿宋" w:cs="仿宋"/>
                <w:color w:val="auto"/>
                <w:sz w:val="24"/>
                <w:highlight w:val="none"/>
              </w:rPr>
            </w:pPr>
          </w:p>
        </w:tc>
      </w:tr>
      <w:tr w14:paraId="1B7E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46DE174">
            <w:pPr>
              <w:jc w:val="center"/>
              <w:rPr>
                <w:rFonts w:hint="eastAsia" w:ascii="仿宋" w:hAnsi="仿宋" w:eastAsia="仿宋" w:cs="仿宋"/>
                <w:color w:val="auto"/>
                <w:sz w:val="24"/>
                <w:highlight w:val="none"/>
              </w:rPr>
            </w:pPr>
          </w:p>
        </w:tc>
        <w:tc>
          <w:tcPr>
            <w:tcW w:w="850" w:type="dxa"/>
            <w:vMerge w:val="continue"/>
            <w:vAlign w:val="center"/>
          </w:tcPr>
          <w:p w14:paraId="766EDF20">
            <w:pPr>
              <w:jc w:val="center"/>
              <w:rPr>
                <w:rFonts w:hint="eastAsia" w:ascii="仿宋" w:hAnsi="仿宋" w:eastAsia="仿宋" w:cs="仿宋"/>
                <w:color w:val="auto"/>
                <w:sz w:val="24"/>
                <w:highlight w:val="none"/>
              </w:rPr>
            </w:pPr>
          </w:p>
        </w:tc>
        <w:tc>
          <w:tcPr>
            <w:tcW w:w="913" w:type="dxa"/>
            <w:vMerge w:val="continue"/>
            <w:vAlign w:val="center"/>
          </w:tcPr>
          <w:p w14:paraId="1672D37A">
            <w:pPr>
              <w:jc w:val="center"/>
              <w:rPr>
                <w:rFonts w:hint="eastAsia" w:ascii="仿宋" w:hAnsi="仿宋" w:eastAsia="仿宋" w:cs="仿宋"/>
                <w:color w:val="auto"/>
                <w:sz w:val="24"/>
                <w:highlight w:val="none"/>
              </w:rPr>
            </w:pPr>
          </w:p>
        </w:tc>
        <w:tc>
          <w:tcPr>
            <w:tcW w:w="6750" w:type="dxa"/>
          </w:tcPr>
          <w:p w14:paraId="4E27A4BE">
            <w:pPr>
              <w:rPr>
                <w:rFonts w:hint="eastAsia" w:ascii="仿宋" w:hAnsi="仿宋" w:eastAsia="仿宋" w:cs="仿宋"/>
                <w:color w:val="auto"/>
                <w:sz w:val="24"/>
                <w:highlight w:val="none"/>
              </w:rPr>
            </w:pPr>
            <w:r>
              <w:rPr>
                <w:rFonts w:hint="eastAsia" w:ascii="仿宋" w:hAnsi="仿宋" w:eastAsia="仿宋" w:cs="仿宋"/>
                <w:color w:val="auto"/>
                <w:sz w:val="24"/>
                <w:highlight w:val="none"/>
              </w:rPr>
              <w:t>6、设备支持自动休眠和唤醒功能，可以配置多个休眠时间段，在配置的时间段内，设备可以自动关闭可见光通道机芯电源和热成像通道机芯电源、云台电源， 已进入休眠模式，未在该时间段内设备自动启动。</w:t>
            </w:r>
          </w:p>
        </w:tc>
        <w:tc>
          <w:tcPr>
            <w:tcW w:w="750" w:type="dxa"/>
            <w:vMerge w:val="continue"/>
          </w:tcPr>
          <w:p w14:paraId="61E7FA6B">
            <w:pPr>
              <w:rPr>
                <w:rFonts w:hint="eastAsia" w:ascii="仿宋" w:hAnsi="仿宋" w:eastAsia="仿宋" w:cs="仿宋"/>
                <w:color w:val="auto"/>
                <w:sz w:val="24"/>
                <w:highlight w:val="none"/>
              </w:rPr>
            </w:pPr>
          </w:p>
        </w:tc>
      </w:tr>
      <w:tr w14:paraId="4CAF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512" w:type="dxa"/>
            <w:vMerge w:val="continue"/>
            <w:vAlign w:val="center"/>
          </w:tcPr>
          <w:p w14:paraId="6806EEDB">
            <w:pPr>
              <w:jc w:val="center"/>
              <w:rPr>
                <w:rFonts w:hint="eastAsia" w:ascii="仿宋" w:hAnsi="仿宋" w:eastAsia="仿宋" w:cs="仿宋"/>
                <w:color w:val="auto"/>
                <w:sz w:val="24"/>
                <w:highlight w:val="none"/>
              </w:rPr>
            </w:pPr>
          </w:p>
        </w:tc>
        <w:tc>
          <w:tcPr>
            <w:tcW w:w="850" w:type="dxa"/>
            <w:vMerge w:val="continue"/>
            <w:vAlign w:val="center"/>
          </w:tcPr>
          <w:p w14:paraId="6D062AD6">
            <w:pPr>
              <w:jc w:val="center"/>
              <w:rPr>
                <w:rFonts w:hint="eastAsia" w:ascii="仿宋" w:hAnsi="仿宋" w:eastAsia="仿宋" w:cs="仿宋"/>
                <w:color w:val="auto"/>
                <w:sz w:val="24"/>
                <w:highlight w:val="none"/>
              </w:rPr>
            </w:pPr>
          </w:p>
        </w:tc>
        <w:tc>
          <w:tcPr>
            <w:tcW w:w="913" w:type="dxa"/>
            <w:vMerge w:val="continue"/>
            <w:vAlign w:val="center"/>
          </w:tcPr>
          <w:p w14:paraId="20A6476F">
            <w:pPr>
              <w:jc w:val="center"/>
              <w:rPr>
                <w:rFonts w:hint="eastAsia" w:ascii="仿宋" w:hAnsi="仿宋" w:eastAsia="仿宋" w:cs="仿宋"/>
                <w:color w:val="auto"/>
                <w:sz w:val="24"/>
                <w:highlight w:val="none"/>
              </w:rPr>
            </w:pPr>
          </w:p>
        </w:tc>
        <w:tc>
          <w:tcPr>
            <w:tcW w:w="6750" w:type="dxa"/>
          </w:tcPr>
          <w:p w14:paraId="260F322F">
            <w:pPr>
              <w:rPr>
                <w:rFonts w:hint="eastAsia" w:ascii="仿宋" w:hAnsi="仿宋" w:eastAsia="仿宋" w:cs="仿宋"/>
                <w:color w:val="auto"/>
                <w:sz w:val="24"/>
                <w:highlight w:val="none"/>
              </w:rPr>
            </w:pPr>
            <w:r>
              <w:rPr>
                <w:rFonts w:hint="eastAsia" w:ascii="仿宋" w:hAnsi="仿宋" w:eastAsia="仿宋" w:cs="仿宋"/>
                <w:color w:val="auto"/>
                <w:sz w:val="24"/>
                <w:highlight w:val="none"/>
              </w:rPr>
              <w:t>▲7、内置≥4个MCU 独立控制系统。</w:t>
            </w:r>
          </w:p>
        </w:tc>
        <w:tc>
          <w:tcPr>
            <w:tcW w:w="750" w:type="dxa"/>
            <w:vMerge w:val="continue"/>
          </w:tcPr>
          <w:p w14:paraId="30050C24">
            <w:pPr>
              <w:rPr>
                <w:rFonts w:hint="eastAsia" w:ascii="仿宋" w:hAnsi="仿宋" w:eastAsia="仿宋" w:cs="仿宋"/>
                <w:color w:val="auto"/>
                <w:sz w:val="24"/>
                <w:highlight w:val="none"/>
              </w:rPr>
            </w:pPr>
          </w:p>
        </w:tc>
      </w:tr>
      <w:tr w14:paraId="7323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12" w:type="dxa"/>
            <w:vMerge w:val="continue"/>
            <w:vAlign w:val="center"/>
          </w:tcPr>
          <w:p w14:paraId="0838B6A6">
            <w:pPr>
              <w:jc w:val="center"/>
              <w:rPr>
                <w:rFonts w:hint="eastAsia" w:ascii="仿宋" w:hAnsi="仿宋" w:eastAsia="仿宋" w:cs="仿宋"/>
                <w:color w:val="auto"/>
                <w:sz w:val="24"/>
                <w:highlight w:val="none"/>
              </w:rPr>
            </w:pPr>
          </w:p>
        </w:tc>
        <w:tc>
          <w:tcPr>
            <w:tcW w:w="850" w:type="dxa"/>
            <w:vMerge w:val="continue"/>
            <w:vAlign w:val="center"/>
          </w:tcPr>
          <w:p w14:paraId="02C3BEAC">
            <w:pPr>
              <w:jc w:val="center"/>
              <w:rPr>
                <w:rFonts w:hint="eastAsia" w:ascii="仿宋" w:hAnsi="仿宋" w:eastAsia="仿宋" w:cs="仿宋"/>
                <w:color w:val="auto"/>
                <w:sz w:val="24"/>
                <w:highlight w:val="none"/>
              </w:rPr>
            </w:pPr>
          </w:p>
        </w:tc>
        <w:tc>
          <w:tcPr>
            <w:tcW w:w="913" w:type="dxa"/>
            <w:vMerge w:val="restart"/>
            <w:vAlign w:val="center"/>
          </w:tcPr>
          <w:p w14:paraId="2A768116">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承载系统</w:t>
            </w:r>
          </w:p>
        </w:tc>
        <w:tc>
          <w:tcPr>
            <w:tcW w:w="6750" w:type="dxa"/>
          </w:tcPr>
          <w:p w14:paraId="1F42F01B">
            <w:pPr>
              <w:rPr>
                <w:rFonts w:hint="eastAsia" w:ascii="仿宋" w:hAnsi="仿宋" w:eastAsia="仿宋" w:cs="仿宋"/>
                <w:color w:val="auto"/>
                <w:sz w:val="24"/>
                <w:highlight w:val="none"/>
              </w:rPr>
            </w:pPr>
            <w:r>
              <w:rPr>
                <w:rFonts w:hint="eastAsia" w:ascii="仿宋" w:hAnsi="仿宋" w:eastAsia="仿宋" w:cs="仿宋"/>
                <w:color w:val="auto"/>
                <w:sz w:val="24"/>
                <w:highlight w:val="none"/>
              </w:rPr>
              <w:t>▲1、调节范围：支持水平范围 360°连续旋转，垂直范围：+90°~-90°俯仰旋转范围：上下运动夹角之和不小于 135°</w:t>
            </w:r>
          </w:p>
        </w:tc>
        <w:tc>
          <w:tcPr>
            <w:tcW w:w="750" w:type="dxa"/>
            <w:vMerge w:val="continue"/>
          </w:tcPr>
          <w:p w14:paraId="6601EE62">
            <w:pPr>
              <w:rPr>
                <w:rFonts w:hint="eastAsia" w:ascii="仿宋" w:hAnsi="仿宋" w:eastAsia="仿宋" w:cs="仿宋"/>
                <w:color w:val="auto"/>
                <w:sz w:val="24"/>
                <w:highlight w:val="none"/>
              </w:rPr>
            </w:pPr>
          </w:p>
        </w:tc>
      </w:tr>
      <w:tr w14:paraId="2855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512" w:type="dxa"/>
            <w:vMerge w:val="continue"/>
            <w:vAlign w:val="center"/>
          </w:tcPr>
          <w:p w14:paraId="242C5B81">
            <w:pPr>
              <w:jc w:val="center"/>
              <w:rPr>
                <w:rFonts w:hint="eastAsia" w:ascii="仿宋" w:hAnsi="仿宋" w:eastAsia="仿宋" w:cs="仿宋"/>
                <w:color w:val="auto"/>
                <w:sz w:val="24"/>
                <w:highlight w:val="none"/>
              </w:rPr>
            </w:pPr>
          </w:p>
        </w:tc>
        <w:tc>
          <w:tcPr>
            <w:tcW w:w="850" w:type="dxa"/>
            <w:vMerge w:val="continue"/>
            <w:vAlign w:val="center"/>
          </w:tcPr>
          <w:p w14:paraId="54BF2DAB">
            <w:pPr>
              <w:jc w:val="center"/>
              <w:rPr>
                <w:rFonts w:hint="eastAsia" w:ascii="仿宋" w:hAnsi="仿宋" w:eastAsia="仿宋" w:cs="仿宋"/>
                <w:color w:val="auto"/>
                <w:sz w:val="24"/>
                <w:highlight w:val="none"/>
              </w:rPr>
            </w:pPr>
          </w:p>
        </w:tc>
        <w:tc>
          <w:tcPr>
            <w:tcW w:w="913" w:type="dxa"/>
            <w:vMerge w:val="continue"/>
            <w:vAlign w:val="center"/>
          </w:tcPr>
          <w:p w14:paraId="4547CFBD">
            <w:pPr>
              <w:jc w:val="center"/>
              <w:rPr>
                <w:rFonts w:hint="eastAsia" w:ascii="仿宋" w:hAnsi="仿宋" w:eastAsia="仿宋" w:cs="仿宋"/>
                <w:color w:val="auto"/>
                <w:sz w:val="24"/>
                <w:highlight w:val="none"/>
              </w:rPr>
            </w:pPr>
          </w:p>
        </w:tc>
        <w:tc>
          <w:tcPr>
            <w:tcW w:w="6750" w:type="dxa"/>
          </w:tcPr>
          <w:p w14:paraId="6EF95E99">
            <w:pPr>
              <w:rPr>
                <w:rFonts w:hint="eastAsia" w:ascii="仿宋" w:hAnsi="仿宋" w:eastAsia="仿宋" w:cs="仿宋"/>
                <w:color w:val="auto"/>
                <w:sz w:val="24"/>
                <w:highlight w:val="none"/>
              </w:rPr>
            </w:pPr>
            <w:r>
              <w:rPr>
                <w:rFonts w:hint="eastAsia" w:ascii="仿宋" w:hAnsi="仿宋" w:eastAsia="仿宋" w:cs="仿宋"/>
                <w:color w:val="auto"/>
                <w:sz w:val="24"/>
                <w:highlight w:val="none"/>
              </w:rPr>
              <w:t>2、水平转速范围优于或等于 0.01°/s-30°/s，</w:t>
            </w:r>
          </w:p>
        </w:tc>
        <w:tc>
          <w:tcPr>
            <w:tcW w:w="750" w:type="dxa"/>
            <w:vMerge w:val="continue"/>
          </w:tcPr>
          <w:p w14:paraId="6FAF04B9">
            <w:pPr>
              <w:rPr>
                <w:rFonts w:hint="eastAsia" w:ascii="仿宋" w:hAnsi="仿宋" w:eastAsia="仿宋" w:cs="仿宋"/>
                <w:color w:val="auto"/>
                <w:sz w:val="24"/>
                <w:highlight w:val="none"/>
              </w:rPr>
            </w:pPr>
          </w:p>
        </w:tc>
      </w:tr>
      <w:tr w14:paraId="6F28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512" w:type="dxa"/>
            <w:vMerge w:val="continue"/>
            <w:vAlign w:val="center"/>
          </w:tcPr>
          <w:p w14:paraId="629A167B">
            <w:pPr>
              <w:jc w:val="center"/>
              <w:rPr>
                <w:rFonts w:hint="eastAsia" w:ascii="仿宋" w:hAnsi="仿宋" w:eastAsia="仿宋" w:cs="仿宋"/>
                <w:color w:val="auto"/>
                <w:sz w:val="24"/>
                <w:highlight w:val="none"/>
              </w:rPr>
            </w:pPr>
          </w:p>
        </w:tc>
        <w:tc>
          <w:tcPr>
            <w:tcW w:w="850" w:type="dxa"/>
            <w:vMerge w:val="continue"/>
            <w:vAlign w:val="center"/>
          </w:tcPr>
          <w:p w14:paraId="4C5D616C">
            <w:pPr>
              <w:jc w:val="center"/>
              <w:rPr>
                <w:rFonts w:hint="eastAsia" w:ascii="仿宋" w:hAnsi="仿宋" w:eastAsia="仿宋" w:cs="仿宋"/>
                <w:color w:val="auto"/>
                <w:sz w:val="24"/>
                <w:highlight w:val="none"/>
              </w:rPr>
            </w:pPr>
          </w:p>
        </w:tc>
        <w:tc>
          <w:tcPr>
            <w:tcW w:w="913" w:type="dxa"/>
            <w:vMerge w:val="continue"/>
            <w:vAlign w:val="center"/>
          </w:tcPr>
          <w:p w14:paraId="356F45ED">
            <w:pPr>
              <w:jc w:val="center"/>
              <w:rPr>
                <w:rFonts w:hint="eastAsia" w:ascii="仿宋" w:hAnsi="仿宋" w:eastAsia="仿宋" w:cs="仿宋"/>
                <w:color w:val="auto"/>
                <w:sz w:val="24"/>
                <w:highlight w:val="none"/>
              </w:rPr>
            </w:pPr>
          </w:p>
        </w:tc>
        <w:tc>
          <w:tcPr>
            <w:tcW w:w="6750" w:type="dxa"/>
          </w:tcPr>
          <w:p w14:paraId="08DA58D6">
            <w:pPr>
              <w:rPr>
                <w:rFonts w:hint="eastAsia" w:ascii="仿宋" w:hAnsi="仿宋" w:eastAsia="仿宋" w:cs="仿宋"/>
                <w:color w:val="auto"/>
                <w:sz w:val="24"/>
                <w:highlight w:val="none"/>
              </w:rPr>
            </w:pPr>
            <w:r>
              <w:rPr>
                <w:rFonts w:hint="eastAsia" w:ascii="仿宋" w:hAnsi="仿宋" w:eastAsia="仿宋" w:cs="仿宋"/>
                <w:color w:val="auto"/>
                <w:sz w:val="24"/>
                <w:highlight w:val="none"/>
              </w:rPr>
              <w:t>3、垂直转速范</w:t>
            </w:r>
            <w:r>
              <w:rPr>
                <w:rFonts w:hint="eastAsia" w:ascii="仿宋" w:hAnsi="仿宋" w:eastAsia="仿宋" w:cs="仿宋"/>
                <w:color w:val="auto"/>
                <w:sz w:val="24"/>
                <w:highlight w:val="none"/>
              </w:rPr>
              <w:t>围</w:t>
            </w:r>
            <w:r>
              <w:rPr>
                <w:rFonts w:hint="eastAsia" w:ascii="仿宋" w:hAnsi="仿宋" w:eastAsia="仿宋" w:cs="仿宋"/>
                <w:color w:val="auto"/>
                <w:sz w:val="24"/>
                <w:highlight w:val="none"/>
                <w:lang w:eastAsia="zh-CN"/>
              </w:rPr>
              <w:t>优</w:t>
            </w:r>
            <w:r>
              <w:rPr>
                <w:rFonts w:hint="eastAsia" w:ascii="仿宋" w:hAnsi="仿宋" w:eastAsia="仿宋" w:cs="仿宋"/>
                <w:color w:val="auto"/>
                <w:sz w:val="24"/>
                <w:highlight w:val="none"/>
              </w:rPr>
              <w:t>于等</w:t>
            </w:r>
            <w:r>
              <w:rPr>
                <w:rFonts w:hint="eastAsia" w:ascii="仿宋" w:hAnsi="仿宋" w:eastAsia="仿宋" w:cs="仿宋"/>
                <w:color w:val="auto"/>
                <w:sz w:val="24"/>
                <w:highlight w:val="none"/>
              </w:rPr>
              <w:t>于 0.01°/s-15°/s</w:t>
            </w:r>
          </w:p>
        </w:tc>
        <w:tc>
          <w:tcPr>
            <w:tcW w:w="750" w:type="dxa"/>
            <w:vMerge w:val="continue"/>
          </w:tcPr>
          <w:p w14:paraId="3B8EC503">
            <w:pPr>
              <w:rPr>
                <w:rFonts w:hint="eastAsia" w:ascii="仿宋" w:hAnsi="仿宋" w:eastAsia="仿宋" w:cs="仿宋"/>
                <w:color w:val="auto"/>
                <w:sz w:val="24"/>
                <w:highlight w:val="none"/>
              </w:rPr>
            </w:pPr>
          </w:p>
        </w:tc>
      </w:tr>
      <w:tr w14:paraId="62091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BFC7A7A">
            <w:pPr>
              <w:jc w:val="center"/>
              <w:rPr>
                <w:rFonts w:hint="eastAsia" w:ascii="仿宋" w:hAnsi="仿宋" w:eastAsia="仿宋" w:cs="仿宋"/>
                <w:color w:val="auto"/>
                <w:sz w:val="24"/>
                <w:highlight w:val="none"/>
              </w:rPr>
            </w:pPr>
          </w:p>
        </w:tc>
        <w:tc>
          <w:tcPr>
            <w:tcW w:w="850" w:type="dxa"/>
            <w:vMerge w:val="continue"/>
            <w:vAlign w:val="center"/>
          </w:tcPr>
          <w:p w14:paraId="6FF342DB">
            <w:pPr>
              <w:jc w:val="center"/>
              <w:rPr>
                <w:rFonts w:hint="eastAsia" w:ascii="仿宋" w:hAnsi="仿宋" w:eastAsia="仿宋" w:cs="仿宋"/>
                <w:color w:val="auto"/>
                <w:sz w:val="24"/>
                <w:highlight w:val="none"/>
              </w:rPr>
            </w:pPr>
          </w:p>
        </w:tc>
        <w:tc>
          <w:tcPr>
            <w:tcW w:w="913" w:type="dxa"/>
            <w:vMerge w:val="continue"/>
            <w:vAlign w:val="center"/>
          </w:tcPr>
          <w:p w14:paraId="6258AFA9">
            <w:pPr>
              <w:jc w:val="center"/>
              <w:rPr>
                <w:rFonts w:hint="eastAsia" w:ascii="仿宋" w:hAnsi="仿宋" w:eastAsia="仿宋" w:cs="仿宋"/>
                <w:color w:val="auto"/>
                <w:sz w:val="24"/>
                <w:highlight w:val="none"/>
              </w:rPr>
            </w:pPr>
          </w:p>
        </w:tc>
        <w:tc>
          <w:tcPr>
            <w:tcW w:w="6750" w:type="dxa"/>
          </w:tcPr>
          <w:p w14:paraId="7F57DA01">
            <w:pPr>
              <w:rPr>
                <w:rFonts w:hint="eastAsia" w:ascii="仿宋" w:hAnsi="仿宋" w:eastAsia="仿宋" w:cs="仿宋"/>
                <w:color w:val="auto"/>
                <w:sz w:val="24"/>
                <w:highlight w:val="none"/>
              </w:rPr>
            </w:pPr>
            <w:r>
              <w:rPr>
                <w:rFonts w:hint="eastAsia" w:ascii="仿宋" w:hAnsi="仿宋" w:eastAsia="仿宋" w:cs="仿宋"/>
                <w:color w:val="auto"/>
                <w:sz w:val="24"/>
                <w:highlight w:val="none"/>
              </w:rPr>
              <w:t>4、云台精度：±0.02°</w:t>
            </w:r>
          </w:p>
        </w:tc>
        <w:tc>
          <w:tcPr>
            <w:tcW w:w="750" w:type="dxa"/>
            <w:vMerge w:val="continue"/>
          </w:tcPr>
          <w:p w14:paraId="685362FA">
            <w:pPr>
              <w:rPr>
                <w:rFonts w:hint="eastAsia" w:ascii="仿宋" w:hAnsi="仿宋" w:eastAsia="仿宋" w:cs="仿宋"/>
                <w:color w:val="auto"/>
                <w:sz w:val="24"/>
                <w:highlight w:val="none"/>
              </w:rPr>
            </w:pPr>
          </w:p>
        </w:tc>
      </w:tr>
      <w:tr w14:paraId="5A47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1186245">
            <w:pPr>
              <w:jc w:val="center"/>
              <w:rPr>
                <w:rFonts w:hint="eastAsia" w:ascii="仿宋" w:hAnsi="仿宋" w:eastAsia="仿宋" w:cs="仿宋"/>
                <w:color w:val="auto"/>
                <w:sz w:val="24"/>
                <w:highlight w:val="none"/>
              </w:rPr>
            </w:pPr>
          </w:p>
        </w:tc>
        <w:tc>
          <w:tcPr>
            <w:tcW w:w="850" w:type="dxa"/>
            <w:vMerge w:val="continue"/>
            <w:vAlign w:val="center"/>
          </w:tcPr>
          <w:p w14:paraId="6F7E9E65">
            <w:pPr>
              <w:jc w:val="center"/>
              <w:rPr>
                <w:rFonts w:hint="eastAsia" w:ascii="仿宋" w:hAnsi="仿宋" w:eastAsia="仿宋" w:cs="仿宋"/>
                <w:color w:val="auto"/>
                <w:sz w:val="24"/>
                <w:highlight w:val="none"/>
              </w:rPr>
            </w:pPr>
          </w:p>
        </w:tc>
        <w:tc>
          <w:tcPr>
            <w:tcW w:w="913" w:type="dxa"/>
            <w:vMerge w:val="continue"/>
            <w:vAlign w:val="center"/>
          </w:tcPr>
          <w:p w14:paraId="678F84C5">
            <w:pPr>
              <w:jc w:val="center"/>
              <w:rPr>
                <w:rFonts w:hint="eastAsia" w:ascii="仿宋" w:hAnsi="仿宋" w:eastAsia="仿宋" w:cs="仿宋"/>
                <w:color w:val="auto"/>
                <w:sz w:val="24"/>
                <w:highlight w:val="none"/>
              </w:rPr>
            </w:pPr>
          </w:p>
        </w:tc>
        <w:tc>
          <w:tcPr>
            <w:tcW w:w="6750" w:type="dxa"/>
          </w:tcPr>
          <w:p w14:paraId="07E571FB">
            <w:pPr>
              <w:rPr>
                <w:rFonts w:hint="eastAsia" w:ascii="仿宋" w:hAnsi="仿宋" w:eastAsia="仿宋" w:cs="仿宋"/>
                <w:color w:val="auto"/>
                <w:sz w:val="24"/>
                <w:highlight w:val="none"/>
              </w:rPr>
            </w:pPr>
            <w:r>
              <w:rPr>
                <w:rFonts w:hint="eastAsia" w:ascii="仿宋" w:hAnsi="仿宋" w:eastAsia="仿宋" w:cs="仿宋"/>
                <w:color w:val="auto"/>
                <w:sz w:val="24"/>
                <w:highlight w:val="none"/>
              </w:rPr>
              <w:t>5、支持零点标定；支持断电记忆；支持预置位巡航|轨迹巡航|扫描巡航等巡航模式，</w:t>
            </w:r>
          </w:p>
        </w:tc>
        <w:tc>
          <w:tcPr>
            <w:tcW w:w="750" w:type="dxa"/>
            <w:vMerge w:val="continue"/>
          </w:tcPr>
          <w:p w14:paraId="085259B1">
            <w:pPr>
              <w:rPr>
                <w:rFonts w:hint="eastAsia" w:ascii="仿宋" w:hAnsi="仿宋" w:eastAsia="仿宋" w:cs="仿宋"/>
                <w:color w:val="auto"/>
                <w:sz w:val="24"/>
                <w:highlight w:val="none"/>
              </w:rPr>
            </w:pPr>
          </w:p>
        </w:tc>
      </w:tr>
      <w:tr w14:paraId="4EDA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728EF5D">
            <w:pPr>
              <w:jc w:val="center"/>
              <w:rPr>
                <w:rFonts w:hint="eastAsia" w:ascii="仿宋" w:hAnsi="仿宋" w:eastAsia="仿宋" w:cs="仿宋"/>
                <w:color w:val="auto"/>
                <w:sz w:val="24"/>
                <w:highlight w:val="none"/>
              </w:rPr>
            </w:pPr>
          </w:p>
        </w:tc>
        <w:tc>
          <w:tcPr>
            <w:tcW w:w="850" w:type="dxa"/>
            <w:vMerge w:val="continue"/>
            <w:vAlign w:val="center"/>
          </w:tcPr>
          <w:p w14:paraId="48737D27">
            <w:pPr>
              <w:jc w:val="center"/>
              <w:rPr>
                <w:rFonts w:hint="eastAsia" w:ascii="仿宋" w:hAnsi="仿宋" w:eastAsia="仿宋" w:cs="仿宋"/>
                <w:color w:val="auto"/>
                <w:sz w:val="24"/>
                <w:highlight w:val="none"/>
              </w:rPr>
            </w:pPr>
          </w:p>
        </w:tc>
        <w:tc>
          <w:tcPr>
            <w:tcW w:w="913" w:type="dxa"/>
            <w:vMerge w:val="continue"/>
            <w:vAlign w:val="center"/>
          </w:tcPr>
          <w:p w14:paraId="11952E1E">
            <w:pPr>
              <w:jc w:val="center"/>
              <w:rPr>
                <w:rFonts w:hint="eastAsia" w:ascii="仿宋" w:hAnsi="仿宋" w:eastAsia="仿宋" w:cs="仿宋"/>
                <w:color w:val="auto"/>
                <w:sz w:val="24"/>
                <w:highlight w:val="none"/>
              </w:rPr>
            </w:pPr>
          </w:p>
        </w:tc>
        <w:tc>
          <w:tcPr>
            <w:tcW w:w="6750" w:type="dxa"/>
          </w:tcPr>
          <w:p w14:paraId="2316EC6C">
            <w:pPr>
              <w:rPr>
                <w:rFonts w:hint="eastAsia" w:ascii="仿宋" w:hAnsi="仿宋" w:eastAsia="仿宋" w:cs="仿宋"/>
                <w:color w:val="auto"/>
                <w:sz w:val="24"/>
                <w:highlight w:val="none"/>
              </w:rPr>
            </w:pPr>
            <w:r>
              <w:rPr>
                <w:rFonts w:hint="eastAsia" w:ascii="仿宋" w:hAnsi="仿宋" w:eastAsia="仿宋" w:cs="仿宋"/>
                <w:color w:val="auto"/>
                <w:sz w:val="24"/>
                <w:highlight w:val="none"/>
              </w:rPr>
              <w:t>6、支持巡航个数≥ 16；</w:t>
            </w:r>
          </w:p>
        </w:tc>
        <w:tc>
          <w:tcPr>
            <w:tcW w:w="750" w:type="dxa"/>
            <w:vMerge w:val="continue"/>
          </w:tcPr>
          <w:p w14:paraId="4178B590">
            <w:pPr>
              <w:rPr>
                <w:rFonts w:hint="eastAsia" w:ascii="仿宋" w:hAnsi="仿宋" w:eastAsia="仿宋" w:cs="仿宋"/>
                <w:color w:val="auto"/>
                <w:sz w:val="24"/>
                <w:highlight w:val="none"/>
              </w:rPr>
            </w:pPr>
          </w:p>
        </w:tc>
      </w:tr>
      <w:tr w14:paraId="607C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2463B06D">
            <w:pPr>
              <w:jc w:val="center"/>
              <w:rPr>
                <w:rFonts w:hint="eastAsia" w:ascii="仿宋" w:hAnsi="仿宋" w:eastAsia="仿宋" w:cs="仿宋"/>
                <w:color w:val="auto"/>
                <w:sz w:val="24"/>
                <w:highlight w:val="none"/>
              </w:rPr>
            </w:pPr>
          </w:p>
        </w:tc>
        <w:tc>
          <w:tcPr>
            <w:tcW w:w="850" w:type="dxa"/>
            <w:vMerge w:val="continue"/>
            <w:vAlign w:val="center"/>
          </w:tcPr>
          <w:p w14:paraId="1F741300">
            <w:pPr>
              <w:jc w:val="center"/>
              <w:rPr>
                <w:rFonts w:hint="eastAsia" w:ascii="仿宋" w:hAnsi="仿宋" w:eastAsia="仿宋" w:cs="仿宋"/>
                <w:color w:val="auto"/>
                <w:sz w:val="24"/>
                <w:highlight w:val="none"/>
              </w:rPr>
            </w:pPr>
          </w:p>
        </w:tc>
        <w:tc>
          <w:tcPr>
            <w:tcW w:w="913" w:type="dxa"/>
            <w:vMerge w:val="continue"/>
            <w:vAlign w:val="center"/>
          </w:tcPr>
          <w:p w14:paraId="4309B2D4">
            <w:pPr>
              <w:jc w:val="center"/>
              <w:rPr>
                <w:rFonts w:hint="eastAsia" w:ascii="仿宋" w:hAnsi="仿宋" w:eastAsia="仿宋" w:cs="仿宋"/>
                <w:color w:val="auto"/>
                <w:sz w:val="24"/>
                <w:highlight w:val="none"/>
              </w:rPr>
            </w:pPr>
          </w:p>
        </w:tc>
        <w:tc>
          <w:tcPr>
            <w:tcW w:w="6750" w:type="dxa"/>
          </w:tcPr>
          <w:p w14:paraId="661E41F6">
            <w:pPr>
              <w:rPr>
                <w:rFonts w:hint="eastAsia" w:ascii="仿宋" w:hAnsi="仿宋" w:eastAsia="仿宋" w:cs="仿宋"/>
                <w:color w:val="auto"/>
                <w:sz w:val="24"/>
                <w:highlight w:val="none"/>
              </w:rPr>
            </w:pPr>
            <w:r>
              <w:rPr>
                <w:rFonts w:hint="eastAsia" w:ascii="仿宋" w:hAnsi="仿宋" w:eastAsia="仿宋" w:cs="仿宋"/>
                <w:color w:val="auto"/>
                <w:sz w:val="24"/>
                <w:highlight w:val="none"/>
              </w:rPr>
              <w:t>7、支持预置位个数≥ 1024；</w:t>
            </w:r>
          </w:p>
        </w:tc>
        <w:tc>
          <w:tcPr>
            <w:tcW w:w="750" w:type="dxa"/>
            <w:vMerge w:val="continue"/>
          </w:tcPr>
          <w:p w14:paraId="31D55721">
            <w:pPr>
              <w:rPr>
                <w:rFonts w:hint="eastAsia" w:ascii="仿宋" w:hAnsi="仿宋" w:eastAsia="仿宋" w:cs="仿宋"/>
                <w:color w:val="auto"/>
                <w:sz w:val="24"/>
                <w:highlight w:val="none"/>
              </w:rPr>
            </w:pPr>
          </w:p>
        </w:tc>
      </w:tr>
      <w:tr w14:paraId="4C4F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EC3ED3A">
            <w:pPr>
              <w:jc w:val="center"/>
              <w:rPr>
                <w:rFonts w:hint="eastAsia" w:ascii="仿宋" w:hAnsi="仿宋" w:eastAsia="仿宋" w:cs="仿宋"/>
                <w:color w:val="auto"/>
                <w:sz w:val="24"/>
                <w:highlight w:val="none"/>
              </w:rPr>
            </w:pPr>
          </w:p>
        </w:tc>
        <w:tc>
          <w:tcPr>
            <w:tcW w:w="850" w:type="dxa"/>
            <w:vMerge w:val="continue"/>
            <w:vAlign w:val="center"/>
          </w:tcPr>
          <w:p w14:paraId="5D70808B">
            <w:pPr>
              <w:jc w:val="center"/>
              <w:rPr>
                <w:rFonts w:hint="eastAsia" w:ascii="仿宋" w:hAnsi="仿宋" w:eastAsia="仿宋" w:cs="仿宋"/>
                <w:color w:val="auto"/>
                <w:sz w:val="24"/>
                <w:highlight w:val="none"/>
              </w:rPr>
            </w:pPr>
          </w:p>
        </w:tc>
        <w:tc>
          <w:tcPr>
            <w:tcW w:w="913" w:type="dxa"/>
            <w:vMerge w:val="continue"/>
            <w:vAlign w:val="center"/>
          </w:tcPr>
          <w:p w14:paraId="4000305C">
            <w:pPr>
              <w:jc w:val="center"/>
              <w:rPr>
                <w:rFonts w:hint="eastAsia" w:ascii="仿宋" w:hAnsi="仿宋" w:eastAsia="仿宋" w:cs="仿宋"/>
                <w:color w:val="auto"/>
                <w:sz w:val="24"/>
                <w:highlight w:val="none"/>
              </w:rPr>
            </w:pPr>
          </w:p>
        </w:tc>
        <w:tc>
          <w:tcPr>
            <w:tcW w:w="6750" w:type="dxa"/>
          </w:tcPr>
          <w:p w14:paraId="624C076C">
            <w:pPr>
              <w:rPr>
                <w:rFonts w:hint="eastAsia" w:ascii="仿宋" w:hAnsi="仿宋" w:eastAsia="仿宋" w:cs="仿宋"/>
                <w:color w:val="auto"/>
                <w:sz w:val="24"/>
                <w:highlight w:val="none"/>
              </w:rPr>
            </w:pPr>
            <w:r>
              <w:rPr>
                <w:rFonts w:hint="eastAsia" w:ascii="仿宋" w:hAnsi="仿宋" w:eastAsia="仿宋" w:cs="仿宋"/>
                <w:color w:val="auto"/>
                <w:sz w:val="24"/>
                <w:highlight w:val="none"/>
              </w:rPr>
              <w:t>8、支持云台守望</w:t>
            </w:r>
          </w:p>
        </w:tc>
        <w:tc>
          <w:tcPr>
            <w:tcW w:w="750" w:type="dxa"/>
            <w:vMerge w:val="continue"/>
          </w:tcPr>
          <w:p w14:paraId="19C59773">
            <w:pPr>
              <w:rPr>
                <w:rFonts w:hint="eastAsia" w:ascii="仿宋" w:hAnsi="仿宋" w:eastAsia="仿宋" w:cs="仿宋"/>
                <w:color w:val="auto"/>
                <w:sz w:val="24"/>
                <w:highlight w:val="none"/>
              </w:rPr>
            </w:pPr>
          </w:p>
        </w:tc>
      </w:tr>
      <w:tr w14:paraId="36189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2BD573E0">
            <w:pPr>
              <w:jc w:val="center"/>
              <w:rPr>
                <w:rFonts w:hint="eastAsia" w:ascii="仿宋" w:hAnsi="仿宋" w:eastAsia="仿宋" w:cs="仿宋"/>
                <w:color w:val="auto"/>
                <w:sz w:val="24"/>
                <w:highlight w:val="none"/>
              </w:rPr>
            </w:pPr>
          </w:p>
        </w:tc>
        <w:tc>
          <w:tcPr>
            <w:tcW w:w="850" w:type="dxa"/>
            <w:vMerge w:val="continue"/>
            <w:vAlign w:val="center"/>
          </w:tcPr>
          <w:p w14:paraId="36CB1119">
            <w:pPr>
              <w:jc w:val="center"/>
              <w:rPr>
                <w:rFonts w:hint="eastAsia" w:ascii="仿宋" w:hAnsi="仿宋" w:eastAsia="仿宋" w:cs="仿宋"/>
                <w:color w:val="auto"/>
                <w:sz w:val="24"/>
                <w:highlight w:val="none"/>
              </w:rPr>
            </w:pPr>
          </w:p>
        </w:tc>
        <w:tc>
          <w:tcPr>
            <w:tcW w:w="913" w:type="dxa"/>
            <w:vMerge w:val="continue"/>
            <w:vAlign w:val="center"/>
          </w:tcPr>
          <w:p w14:paraId="275BB2D1">
            <w:pPr>
              <w:jc w:val="center"/>
              <w:rPr>
                <w:rFonts w:hint="eastAsia" w:ascii="仿宋" w:hAnsi="仿宋" w:eastAsia="仿宋" w:cs="仿宋"/>
                <w:color w:val="auto"/>
                <w:sz w:val="24"/>
                <w:highlight w:val="none"/>
              </w:rPr>
            </w:pPr>
          </w:p>
        </w:tc>
        <w:tc>
          <w:tcPr>
            <w:tcW w:w="6750" w:type="dxa"/>
          </w:tcPr>
          <w:p w14:paraId="03E7C163">
            <w:pPr>
              <w:rPr>
                <w:rFonts w:hint="eastAsia" w:ascii="仿宋" w:hAnsi="仿宋" w:eastAsia="仿宋" w:cs="仿宋"/>
                <w:color w:val="auto"/>
                <w:sz w:val="24"/>
                <w:highlight w:val="none"/>
              </w:rPr>
            </w:pPr>
            <w:r>
              <w:rPr>
                <w:rFonts w:hint="eastAsia" w:ascii="仿宋" w:hAnsi="仿宋" w:eastAsia="仿宋" w:cs="仿宋"/>
                <w:color w:val="auto"/>
                <w:sz w:val="24"/>
                <w:highlight w:val="none"/>
              </w:rPr>
              <w:t>9、在丢包率设置为 35％，网络延时 50ms 环境下，可正常显示监视画面。</w:t>
            </w:r>
          </w:p>
        </w:tc>
        <w:tc>
          <w:tcPr>
            <w:tcW w:w="750" w:type="dxa"/>
            <w:vMerge w:val="continue"/>
          </w:tcPr>
          <w:p w14:paraId="6CF2B50D">
            <w:pPr>
              <w:rPr>
                <w:rFonts w:hint="eastAsia" w:ascii="仿宋" w:hAnsi="仿宋" w:eastAsia="仿宋" w:cs="仿宋"/>
                <w:color w:val="auto"/>
                <w:sz w:val="24"/>
                <w:highlight w:val="none"/>
              </w:rPr>
            </w:pPr>
          </w:p>
        </w:tc>
      </w:tr>
      <w:tr w14:paraId="720B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682C5159">
            <w:pPr>
              <w:jc w:val="center"/>
              <w:rPr>
                <w:rFonts w:hint="eastAsia" w:ascii="仿宋" w:hAnsi="仿宋" w:eastAsia="仿宋" w:cs="仿宋"/>
                <w:color w:val="auto"/>
                <w:sz w:val="24"/>
                <w:highlight w:val="none"/>
              </w:rPr>
            </w:pPr>
          </w:p>
        </w:tc>
        <w:tc>
          <w:tcPr>
            <w:tcW w:w="850" w:type="dxa"/>
            <w:vMerge w:val="continue"/>
            <w:vAlign w:val="center"/>
          </w:tcPr>
          <w:p w14:paraId="0739BB39">
            <w:pPr>
              <w:jc w:val="center"/>
              <w:rPr>
                <w:rFonts w:hint="eastAsia" w:ascii="仿宋" w:hAnsi="仿宋" w:eastAsia="仿宋" w:cs="仿宋"/>
                <w:color w:val="auto"/>
                <w:sz w:val="24"/>
                <w:highlight w:val="none"/>
              </w:rPr>
            </w:pPr>
          </w:p>
        </w:tc>
        <w:tc>
          <w:tcPr>
            <w:tcW w:w="913" w:type="dxa"/>
            <w:vMerge w:val="continue"/>
            <w:vAlign w:val="center"/>
          </w:tcPr>
          <w:p w14:paraId="4CD01ECC">
            <w:pPr>
              <w:jc w:val="center"/>
              <w:rPr>
                <w:rFonts w:hint="eastAsia" w:ascii="仿宋" w:hAnsi="仿宋" w:eastAsia="仿宋" w:cs="仿宋"/>
                <w:color w:val="auto"/>
                <w:sz w:val="24"/>
                <w:highlight w:val="none"/>
              </w:rPr>
            </w:pPr>
          </w:p>
        </w:tc>
        <w:tc>
          <w:tcPr>
            <w:tcW w:w="6750" w:type="dxa"/>
          </w:tcPr>
          <w:p w14:paraId="673A4E93">
            <w:pPr>
              <w:rPr>
                <w:rFonts w:hint="eastAsia" w:ascii="仿宋" w:hAnsi="仿宋" w:eastAsia="仿宋" w:cs="仿宋"/>
                <w:color w:val="auto"/>
                <w:sz w:val="24"/>
                <w:highlight w:val="none"/>
              </w:rPr>
            </w:pPr>
            <w:r>
              <w:rPr>
                <w:rFonts w:hint="eastAsia" w:ascii="仿宋" w:hAnsi="仿宋" w:eastAsia="仿宋" w:cs="仿宋"/>
                <w:color w:val="auto"/>
                <w:sz w:val="24"/>
                <w:highlight w:val="none"/>
              </w:rPr>
              <w:t>▲10、在 WEB 客户端下，重启事件记录可包括正常重启和异常重启2 种类型。正常重启可记录重启的时间、服务类型、用户名、IP／域名信息；异常重启可记录重启时间、异常类型信息。</w:t>
            </w:r>
          </w:p>
        </w:tc>
        <w:tc>
          <w:tcPr>
            <w:tcW w:w="750" w:type="dxa"/>
            <w:vMerge w:val="continue"/>
          </w:tcPr>
          <w:p w14:paraId="42E54EC5">
            <w:pPr>
              <w:rPr>
                <w:rFonts w:hint="eastAsia" w:ascii="仿宋" w:hAnsi="仿宋" w:eastAsia="仿宋" w:cs="仿宋"/>
                <w:color w:val="auto"/>
                <w:sz w:val="24"/>
                <w:highlight w:val="none"/>
              </w:rPr>
            </w:pPr>
          </w:p>
        </w:tc>
      </w:tr>
      <w:tr w14:paraId="37A7A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45359439">
            <w:pPr>
              <w:jc w:val="center"/>
              <w:rPr>
                <w:rFonts w:hint="eastAsia" w:ascii="仿宋" w:hAnsi="仿宋" w:eastAsia="仿宋" w:cs="仿宋"/>
                <w:color w:val="auto"/>
                <w:sz w:val="24"/>
                <w:highlight w:val="none"/>
              </w:rPr>
            </w:pPr>
          </w:p>
        </w:tc>
        <w:tc>
          <w:tcPr>
            <w:tcW w:w="850" w:type="dxa"/>
            <w:vMerge w:val="continue"/>
            <w:vAlign w:val="center"/>
          </w:tcPr>
          <w:p w14:paraId="33841F8E">
            <w:pPr>
              <w:jc w:val="center"/>
              <w:rPr>
                <w:rFonts w:hint="eastAsia" w:ascii="仿宋" w:hAnsi="仿宋" w:eastAsia="仿宋" w:cs="仿宋"/>
                <w:color w:val="auto"/>
                <w:sz w:val="24"/>
                <w:highlight w:val="none"/>
              </w:rPr>
            </w:pPr>
          </w:p>
        </w:tc>
        <w:tc>
          <w:tcPr>
            <w:tcW w:w="913" w:type="dxa"/>
            <w:vMerge w:val="continue"/>
            <w:vAlign w:val="center"/>
          </w:tcPr>
          <w:p w14:paraId="6EBB640C">
            <w:pPr>
              <w:jc w:val="center"/>
              <w:rPr>
                <w:rFonts w:hint="eastAsia" w:ascii="仿宋" w:hAnsi="仿宋" w:eastAsia="仿宋" w:cs="仿宋"/>
                <w:color w:val="auto"/>
                <w:sz w:val="24"/>
                <w:highlight w:val="none"/>
              </w:rPr>
            </w:pPr>
          </w:p>
        </w:tc>
        <w:tc>
          <w:tcPr>
            <w:tcW w:w="6750" w:type="dxa"/>
          </w:tcPr>
          <w:p w14:paraId="25FA1BEB">
            <w:pPr>
              <w:rPr>
                <w:rFonts w:hint="eastAsia" w:ascii="仿宋" w:hAnsi="仿宋" w:eastAsia="仿宋" w:cs="仿宋"/>
                <w:color w:val="auto"/>
                <w:sz w:val="24"/>
                <w:highlight w:val="none"/>
              </w:rPr>
            </w:pPr>
            <w:r>
              <w:rPr>
                <w:rFonts w:hint="eastAsia" w:ascii="仿宋" w:hAnsi="仿宋" w:eastAsia="仿宋" w:cs="仿宋"/>
                <w:color w:val="auto"/>
                <w:sz w:val="24"/>
                <w:highlight w:val="none"/>
              </w:rPr>
              <w:t>▲11、可同时支持 10 路客户端和 5 路web 端事件布防，设备在布防时间段内主动上传感知数据，断网重连后，报警信息与报警图片可继续上传。</w:t>
            </w:r>
          </w:p>
        </w:tc>
        <w:tc>
          <w:tcPr>
            <w:tcW w:w="750" w:type="dxa"/>
            <w:vMerge w:val="continue"/>
          </w:tcPr>
          <w:p w14:paraId="070DCE15">
            <w:pPr>
              <w:rPr>
                <w:rFonts w:hint="eastAsia" w:ascii="仿宋" w:hAnsi="仿宋" w:eastAsia="仿宋" w:cs="仿宋"/>
                <w:color w:val="auto"/>
                <w:sz w:val="24"/>
                <w:highlight w:val="none"/>
              </w:rPr>
            </w:pPr>
          </w:p>
        </w:tc>
      </w:tr>
      <w:tr w14:paraId="0272C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5FB5BBC">
            <w:pPr>
              <w:jc w:val="center"/>
              <w:rPr>
                <w:rFonts w:hint="eastAsia" w:ascii="仿宋" w:hAnsi="仿宋" w:eastAsia="仿宋" w:cs="仿宋"/>
                <w:color w:val="auto"/>
                <w:sz w:val="24"/>
                <w:highlight w:val="none"/>
              </w:rPr>
            </w:pPr>
          </w:p>
        </w:tc>
        <w:tc>
          <w:tcPr>
            <w:tcW w:w="850" w:type="dxa"/>
            <w:vMerge w:val="continue"/>
            <w:vAlign w:val="center"/>
          </w:tcPr>
          <w:p w14:paraId="06FAFB97">
            <w:pPr>
              <w:jc w:val="center"/>
              <w:rPr>
                <w:rFonts w:hint="eastAsia" w:ascii="仿宋" w:hAnsi="仿宋" w:eastAsia="仿宋" w:cs="仿宋"/>
                <w:color w:val="auto"/>
                <w:sz w:val="24"/>
                <w:highlight w:val="none"/>
              </w:rPr>
            </w:pPr>
          </w:p>
        </w:tc>
        <w:tc>
          <w:tcPr>
            <w:tcW w:w="913" w:type="dxa"/>
            <w:vMerge w:val="continue"/>
            <w:vAlign w:val="center"/>
          </w:tcPr>
          <w:p w14:paraId="65927D7C">
            <w:pPr>
              <w:jc w:val="center"/>
              <w:rPr>
                <w:rFonts w:hint="eastAsia" w:ascii="仿宋" w:hAnsi="仿宋" w:eastAsia="仿宋" w:cs="仿宋"/>
                <w:color w:val="auto"/>
                <w:sz w:val="24"/>
                <w:highlight w:val="none"/>
              </w:rPr>
            </w:pPr>
          </w:p>
        </w:tc>
        <w:tc>
          <w:tcPr>
            <w:tcW w:w="6750" w:type="dxa"/>
          </w:tcPr>
          <w:p w14:paraId="3FE4EFA3">
            <w:pPr>
              <w:rPr>
                <w:rFonts w:hint="eastAsia" w:ascii="仿宋" w:hAnsi="仿宋" w:eastAsia="仿宋" w:cs="仿宋"/>
                <w:color w:val="auto"/>
                <w:sz w:val="24"/>
                <w:highlight w:val="none"/>
              </w:rPr>
            </w:pPr>
            <w:r>
              <w:rPr>
                <w:rFonts w:hint="eastAsia" w:ascii="仿宋" w:hAnsi="仿宋" w:eastAsia="仿宋" w:cs="仿宋"/>
                <w:color w:val="auto"/>
                <w:sz w:val="24"/>
                <w:highlight w:val="none"/>
              </w:rPr>
              <w:t>▲12、可同时支持 3 路web 监听通道，设备响应web 端发送的查询请求，并返回对应的感知数据；断网重连后，报警信息可继续上传。</w:t>
            </w:r>
          </w:p>
        </w:tc>
        <w:tc>
          <w:tcPr>
            <w:tcW w:w="750" w:type="dxa"/>
            <w:vMerge w:val="continue"/>
          </w:tcPr>
          <w:p w14:paraId="4CCA2824">
            <w:pPr>
              <w:rPr>
                <w:rFonts w:hint="eastAsia" w:ascii="仿宋" w:hAnsi="仿宋" w:eastAsia="仿宋" w:cs="仿宋"/>
                <w:color w:val="auto"/>
                <w:sz w:val="24"/>
                <w:highlight w:val="none"/>
              </w:rPr>
            </w:pPr>
          </w:p>
        </w:tc>
      </w:tr>
      <w:tr w14:paraId="63D1D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7E71B50">
            <w:pPr>
              <w:jc w:val="center"/>
              <w:rPr>
                <w:rFonts w:hint="eastAsia" w:ascii="仿宋" w:hAnsi="仿宋" w:eastAsia="仿宋" w:cs="仿宋"/>
                <w:color w:val="auto"/>
                <w:sz w:val="24"/>
                <w:highlight w:val="none"/>
              </w:rPr>
            </w:pPr>
          </w:p>
        </w:tc>
        <w:tc>
          <w:tcPr>
            <w:tcW w:w="850" w:type="dxa"/>
            <w:vMerge w:val="continue"/>
            <w:vAlign w:val="center"/>
          </w:tcPr>
          <w:p w14:paraId="480F93FF">
            <w:pPr>
              <w:jc w:val="center"/>
              <w:rPr>
                <w:rFonts w:hint="eastAsia" w:ascii="仿宋" w:hAnsi="仿宋" w:eastAsia="仿宋" w:cs="仿宋"/>
                <w:color w:val="auto"/>
                <w:sz w:val="24"/>
                <w:highlight w:val="none"/>
              </w:rPr>
            </w:pPr>
          </w:p>
        </w:tc>
        <w:tc>
          <w:tcPr>
            <w:tcW w:w="913" w:type="dxa"/>
            <w:vMerge w:val="continue"/>
            <w:vAlign w:val="center"/>
          </w:tcPr>
          <w:p w14:paraId="18AD767F">
            <w:pPr>
              <w:jc w:val="center"/>
              <w:rPr>
                <w:rFonts w:hint="eastAsia" w:ascii="仿宋" w:hAnsi="仿宋" w:eastAsia="仿宋" w:cs="仿宋"/>
                <w:color w:val="auto"/>
                <w:sz w:val="24"/>
                <w:highlight w:val="none"/>
              </w:rPr>
            </w:pPr>
          </w:p>
        </w:tc>
        <w:tc>
          <w:tcPr>
            <w:tcW w:w="6750" w:type="dxa"/>
          </w:tcPr>
          <w:p w14:paraId="51A79AA9">
            <w:pPr>
              <w:rPr>
                <w:rFonts w:hint="eastAsia" w:ascii="仿宋" w:hAnsi="仿宋" w:eastAsia="仿宋" w:cs="仿宋"/>
                <w:color w:val="auto"/>
                <w:sz w:val="24"/>
                <w:highlight w:val="none"/>
              </w:rPr>
            </w:pPr>
            <w:r>
              <w:rPr>
                <w:rFonts w:hint="eastAsia" w:ascii="仿宋" w:hAnsi="仿宋" w:eastAsia="仿宋" w:cs="仿宋"/>
                <w:color w:val="auto"/>
                <w:sz w:val="24"/>
                <w:highlight w:val="none"/>
              </w:rPr>
              <w:t>▲13、可配置启用或关闭视频内容保护功能，启用该功能时可对视频图像码流进行随机混淆处理，即对每帧视频图像编码随机改变每帧视频数据报文中若干字节的内容后再进行网络传输。</w:t>
            </w:r>
          </w:p>
        </w:tc>
        <w:tc>
          <w:tcPr>
            <w:tcW w:w="750" w:type="dxa"/>
            <w:vMerge w:val="continue"/>
          </w:tcPr>
          <w:p w14:paraId="25E52BE6">
            <w:pPr>
              <w:rPr>
                <w:rFonts w:hint="eastAsia" w:ascii="仿宋" w:hAnsi="仿宋" w:eastAsia="仿宋" w:cs="仿宋"/>
                <w:color w:val="auto"/>
                <w:sz w:val="24"/>
                <w:highlight w:val="none"/>
              </w:rPr>
            </w:pPr>
          </w:p>
        </w:tc>
      </w:tr>
      <w:tr w14:paraId="71B8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5094682">
            <w:pPr>
              <w:jc w:val="center"/>
              <w:rPr>
                <w:rFonts w:hint="eastAsia" w:ascii="仿宋" w:hAnsi="仿宋" w:eastAsia="仿宋" w:cs="仿宋"/>
                <w:color w:val="auto"/>
                <w:sz w:val="24"/>
                <w:highlight w:val="none"/>
              </w:rPr>
            </w:pPr>
          </w:p>
        </w:tc>
        <w:tc>
          <w:tcPr>
            <w:tcW w:w="850" w:type="dxa"/>
            <w:vMerge w:val="continue"/>
            <w:vAlign w:val="center"/>
          </w:tcPr>
          <w:p w14:paraId="4FE2AA0A">
            <w:pPr>
              <w:jc w:val="center"/>
              <w:rPr>
                <w:rFonts w:hint="eastAsia" w:ascii="仿宋" w:hAnsi="仿宋" w:eastAsia="仿宋" w:cs="仿宋"/>
                <w:color w:val="auto"/>
                <w:sz w:val="24"/>
                <w:highlight w:val="none"/>
              </w:rPr>
            </w:pPr>
          </w:p>
        </w:tc>
        <w:tc>
          <w:tcPr>
            <w:tcW w:w="913" w:type="dxa"/>
            <w:vMerge w:val="continue"/>
            <w:vAlign w:val="center"/>
          </w:tcPr>
          <w:p w14:paraId="45A2200B">
            <w:pPr>
              <w:jc w:val="center"/>
              <w:rPr>
                <w:rFonts w:hint="eastAsia" w:ascii="仿宋" w:hAnsi="仿宋" w:eastAsia="仿宋" w:cs="仿宋"/>
                <w:color w:val="auto"/>
                <w:sz w:val="24"/>
                <w:highlight w:val="none"/>
              </w:rPr>
            </w:pPr>
          </w:p>
        </w:tc>
        <w:tc>
          <w:tcPr>
            <w:tcW w:w="6750" w:type="dxa"/>
            <w:vAlign w:val="center"/>
          </w:tcPr>
          <w:p w14:paraId="77B41ABD">
            <w:pPr>
              <w:rPr>
                <w:rFonts w:hint="eastAsia" w:ascii="仿宋" w:hAnsi="仿宋" w:eastAsia="仿宋" w:cs="仿宋"/>
                <w:color w:val="auto"/>
                <w:sz w:val="24"/>
                <w:highlight w:val="none"/>
              </w:rPr>
            </w:pPr>
            <w:r>
              <w:rPr>
                <w:rFonts w:hint="eastAsia" w:ascii="仿宋" w:hAnsi="仿宋" w:eastAsia="仿宋" w:cs="仿宋"/>
                <w:color w:val="auto"/>
                <w:sz w:val="24"/>
                <w:highlight w:val="none"/>
              </w:rPr>
              <w:t>14、可手动控制操作界面上的虚拟摇杆来实现云台方向的转动。</w:t>
            </w:r>
          </w:p>
        </w:tc>
        <w:tc>
          <w:tcPr>
            <w:tcW w:w="750" w:type="dxa"/>
            <w:vMerge w:val="continue"/>
          </w:tcPr>
          <w:p w14:paraId="5372AF35">
            <w:pPr>
              <w:rPr>
                <w:rFonts w:hint="eastAsia" w:ascii="仿宋" w:hAnsi="仿宋" w:eastAsia="仿宋" w:cs="仿宋"/>
                <w:color w:val="auto"/>
                <w:sz w:val="24"/>
                <w:highlight w:val="none"/>
              </w:rPr>
            </w:pPr>
          </w:p>
        </w:tc>
      </w:tr>
      <w:tr w14:paraId="37537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4AB37CBC">
            <w:pPr>
              <w:jc w:val="center"/>
              <w:rPr>
                <w:rFonts w:hint="eastAsia" w:ascii="仿宋" w:hAnsi="仿宋" w:eastAsia="仿宋" w:cs="仿宋"/>
                <w:color w:val="auto"/>
                <w:sz w:val="24"/>
                <w:highlight w:val="none"/>
              </w:rPr>
            </w:pPr>
          </w:p>
        </w:tc>
        <w:tc>
          <w:tcPr>
            <w:tcW w:w="850" w:type="dxa"/>
            <w:vMerge w:val="continue"/>
            <w:vAlign w:val="center"/>
          </w:tcPr>
          <w:p w14:paraId="62C5053F">
            <w:pPr>
              <w:jc w:val="center"/>
              <w:rPr>
                <w:rFonts w:hint="eastAsia" w:ascii="仿宋" w:hAnsi="仿宋" w:eastAsia="仿宋" w:cs="仿宋"/>
                <w:color w:val="auto"/>
                <w:sz w:val="24"/>
                <w:highlight w:val="none"/>
              </w:rPr>
            </w:pPr>
          </w:p>
        </w:tc>
        <w:tc>
          <w:tcPr>
            <w:tcW w:w="913" w:type="dxa"/>
            <w:vMerge w:val="continue"/>
            <w:vAlign w:val="center"/>
          </w:tcPr>
          <w:p w14:paraId="3B6730A2">
            <w:pPr>
              <w:jc w:val="center"/>
              <w:rPr>
                <w:rFonts w:hint="eastAsia" w:ascii="仿宋" w:hAnsi="仿宋" w:eastAsia="仿宋" w:cs="仿宋"/>
                <w:color w:val="auto"/>
                <w:sz w:val="24"/>
                <w:highlight w:val="none"/>
              </w:rPr>
            </w:pPr>
          </w:p>
        </w:tc>
        <w:tc>
          <w:tcPr>
            <w:tcW w:w="6750" w:type="dxa"/>
            <w:vAlign w:val="center"/>
          </w:tcPr>
          <w:p w14:paraId="00C17C2A">
            <w:pPr>
              <w:rPr>
                <w:rFonts w:hint="eastAsia" w:ascii="仿宋" w:hAnsi="仿宋" w:eastAsia="仿宋" w:cs="仿宋"/>
                <w:color w:val="auto"/>
                <w:sz w:val="24"/>
                <w:highlight w:val="none"/>
              </w:rPr>
            </w:pPr>
            <w:r>
              <w:rPr>
                <w:rFonts w:hint="eastAsia" w:ascii="仿宋" w:hAnsi="仿宋" w:eastAsia="仿宋" w:cs="仿宋"/>
                <w:color w:val="auto"/>
                <w:sz w:val="24"/>
                <w:highlight w:val="none"/>
              </w:rPr>
              <w:t>15、设备支持可见光镜头和热成像镜头自动聚焦。</w:t>
            </w:r>
          </w:p>
        </w:tc>
        <w:tc>
          <w:tcPr>
            <w:tcW w:w="750" w:type="dxa"/>
            <w:vMerge w:val="continue"/>
          </w:tcPr>
          <w:p w14:paraId="19C50B69">
            <w:pPr>
              <w:rPr>
                <w:rFonts w:hint="eastAsia" w:ascii="仿宋" w:hAnsi="仿宋" w:eastAsia="仿宋" w:cs="仿宋"/>
                <w:color w:val="auto"/>
                <w:sz w:val="24"/>
                <w:highlight w:val="none"/>
              </w:rPr>
            </w:pPr>
          </w:p>
        </w:tc>
      </w:tr>
      <w:tr w14:paraId="48F7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9348B01">
            <w:pPr>
              <w:jc w:val="center"/>
              <w:rPr>
                <w:rFonts w:hint="eastAsia" w:ascii="仿宋" w:hAnsi="仿宋" w:eastAsia="仿宋" w:cs="仿宋"/>
                <w:color w:val="auto"/>
                <w:sz w:val="24"/>
                <w:highlight w:val="none"/>
              </w:rPr>
            </w:pPr>
          </w:p>
        </w:tc>
        <w:tc>
          <w:tcPr>
            <w:tcW w:w="850" w:type="dxa"/>
            <w:vMerge w:val="continue"/>
            <w:vAlign w:val="center"/>
          </w:tcPr>
          <w:p w14:paraId="0FC55F36">
            <w:pPr>
              <w:jc w:val="center"/>
              <w:rPr>
                <w:rFonts w:hint="eastAsia" w:ascii="仿宋" w:hAnsi="仿宋" w:eastAsia="仿宋" w:cs="仿宋"/>
                <w:color w:val="auto"/>
                <w:sz w:val="24"/>
                <w:highlight w:val="none"/>
              </w:rPr>
            </w:pPr>
          </w:p>
        </w:tc>
        <w:tc>
          <w:tcPr>
            <w:tcW w:w="913" w:type="dxa"/>
            <w:vMerge w:val="continue"/>
            <w:vAlign w:val="center"/>
          </w:tcPr>
          <w:p w14:paraId="21E256C9">
            <w:pPr>
              <w:jc w:val="center"/>
              <w:rPr>
                <w:rFonts w:hint="eastAsia" w:ascii="仿宋" w:hAnsi="仿宋" w:eastAsia="仿宋" w:cs="仿宋"/>
                <w:color w:val="auto"/>
                <w:sz w:val="24"/>
                <w:highlight w:val="none"/>
              </w:rPr>
            </w:pPr>
          </w:p>
        </w:tc>
        <w:tc>
          <w:tcPr>
            <w:tcW w:w="6750" w:type="dxa"/>
            <w:vAlign w:val="center"/>
          </w:tcPr>
          <w:p w14:paraId="03283165">
            <w:pPr>
              <w:rPr>
                <w:rFonts w:hint="eastAsia" w:ascii="仿宋" w:hAnsi="仿宋" w:eastAsia="仿宋" w:cs="仿宋"/>
                <w:color w:val="auto"/>
                <w:sz w:val="24"/>
                <w:highlight w:val="none"/>
              </w:rPr>
            </w:pPr>
            <w:r>
              <w:rPr>
                <w:rFonts w:hint="eastAsia" w:ascii="仿宋" w:hAnsi="仿宋" w:eastAsia="仿宋" w:cs="仿宋"/>
                <w:color w:val="auto"/>
                <w:sz w:val="24"/>
                <w:highlight w:val="none"/>
              </w:rPr>
              <w:t>16、设备应支持在不高于60℃的环境下正常工作。</w:t>
            </w:r>
          </w:p>
        </w:tc>
        <w:tc>
          <w:tcPr>
            <w:tcW w:w="750" w:type="dxa"/>
            <w:vMerge w:val="continue"/>
          </w:tcPr>
          <w:p w14:paraId="37FB9109">
            <w:pPr>
              <w:rPr>
                <w:rFonts w:hint="eastAsia" w:ascii="仿宋" w:hAnsi="仿宋" w:eastAsia="仿宋" w:cs="仿宋"/>
                <w:color w:val="auto"/>
                <w:sz w:val="24"/>
                <w:highlight w:val="none"/>
              </w:rPr>
            </w:pPr>
          </w:p>
        </w:tc>
      </w:tr>
      <w:tr w14:paraId="6F3F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67636619">
            <w:pPr>
              <w:jc w:val="center"/>
              <w:rPr>
                <w:rFonts w:hint="eastAsia" w:ascii="仿宋" w:hAnsi="仿宋" w:eastAsia="仿宋" w:cs="仿宋"/>
                <w:color w:val="auto"/>
                <w:sz w:val="24"/>
                <w:highlight w:val="none"/>
              </w:rPr>
            </w:pPr>
          </w:p>
        </w:tc>
        <w:tc>
          <w:tcPr>
            <w:tcW w:w="850" w:type="dxa"/>
            <w:vMerge w:val="continue"/>
            <w:vAlign w:val="center"/>
          </w:tcPr>
          <w:p w14:paraId="6B50AAAA">
            <w:pPr>
              <w:jc w:val="center"/>
              <w:rPr>
                <w:rFonts w:hint="eastAsia" w:ascii="仿宋" w:hAnsi="仿宋" w:eastAsia="仿宋" w:cs="仿宋"/>
                <w:color w:val="auto"/>
                <w:sz w:val="24"/>
                <w:highlight w:val="none"/>
              </w:rPr>
            </w:pPr>
          </w:p>
        </w:tc>
        <w:tc>
          <w:tcPr>
            <w:tcW w:w="913" w:type="dxa"/>
            <w:vMerge w:val="continue"/>
            <w:vAlign w:val="center"/>
          </w:tcPr>
          <w:p w14:paraId="10B036F1">
            <w:pPr>
              <w:jc w:val="center"/>
              <w:rPr>
                <w:rFonts w:hint="eastAsia" w:ascii="仿宋" w:hAnsi="仿宋" w:eastAsia="仿宋" w:cs="仿宋"/>
                <w:color w:val="auto"/>
                <w:sz w:val="24"/>
                <w:highlight w:val="none"/>
              </w:rPr>
            </w:pPr>
          </w:p>
        </w:tc>
        <w:tc>
          <w:tcPr>
            <w:tcW w:w="6750" w:type="dxa"/>
            <w:vAlign w:val="center"/>
          </w:tcPr>
          <w:p w14:paraId="533886B4">
            <w:pPr>
              <w:rPr>
                <w:rFonts w:hint="eastAsia" w:ascii="仿宋" w:hAnsi="仿宋" w:eastAsia="仿宋" w:cs="仿宋"/>
                <w:color w:val="auto"/>
                <w:sz w:val="24"/>
                <w:highlight w:val="none"/>
              </w:rPr>
            </w:pPr>
            <w:r>
              <w:rPr>
                <w:rFonts w:hint="eastAsia" w:ascii="仿宋" w:hAnsi="仿宋" w:eastAsia="仿宋" w:cs="仿宋"/>
                <w:color w:val="auto"/>
                <w:sz w:val="24"/>
                <w:highlight w:val="none"/>
              </w:rPr>
              <w:t>17、设备防护等级不低于IP66。</w:t>
            </w:r>
          </w:p>
        </w:tc>
        <w:tc>
          <w:tcPr>
            <w:tcW w:w="750" w:type="dxa"/>
            <w:vMerge w:val="continue"/>
          </w:tcPr>
          <w:p w14:paraId="3A948859">
            <w:pPr>
              <w:rPr>
                <w:rFonts w:hint="eastAsia" w:ascii="仿宋" w:hAnsi="仿宋" w:eastAsia="仿宋" w:cs="仿宋"/>
                <w:color w:val="auto"/>
                <w:sz w:val="24"/>
                <w:highlight w:val="none"/>
              </w:rPr>
            </w:pPr>
          </w:p>
        </w:tc>
      </w:tr>
      <w:tr w14:paraId="6C58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75FCDECF">
            <w:pPr>
              <w:jc w:val="center"/>
              <w:rPr>
                <w:rFonts w:hint="eastAsia" w:ascii="仿宋" w:hAnsi="仿宋" w:eastAsia="仿宋" w:cs="仿宋"/>
                <w:color w:val="auto"/>
                <w:sz w:val="24"/>
                <w:highlight w:val="none"/>
              </w:rPr>
            </w:pPr>
          </w:p>
        </w:tc>
        <w:tc>
          <w:tcPr>
            <w:tcW w:w="850" w:type="dxa"/>
            <w:vMerge w:val="continue"/>
            <w:vAlign w:val="center"/>
          </w:tcPr>
          <w:p w14:paraId="00FC9D05">
            <w:pPr>
              <w:jc w:val="center"/>
              <w:rPr>
                <w:rFonts w:hint="eastAsia" w:ascii="仿宋" w:hAnsi="仿宋" w:eastAsia="仿宋" w:cs="仿宋"/>
                <w:color w:val="auto"/>
                <w:sz w:val="24"/>
                <w:highlight w:val="none"/>
              </w:rPr>
            </w:pPr>
          </w:p>
        </w:tc>
        <w:tc>
          <w:tcPr>
            <w:tcW w:w="913" w:type="dxa"/>
            <w:vMerge w:val="restart"/>
            <w:vAlign w:val="center"/>
          </w:tcPr>
          <w:p w14:paraId="762078FE">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双光谱火情识别系统</w:t>
            </w:r>
          </w:p>
        </w:tc>
        <w:tc>
          <w:tcPr>
            <w:tcW w:w="6750" w:type="dxa"/>
          </w:tcPr>
          <w:p w14:paraId="56CEA09C">
            <w:pPr>
              <w:rPr>
                <w:rFonts w:hint="eastAsia" w:ascii="仿宋" w:hAnsi="仿宋" w:eastAsia="仿宋" w:cs="仿宋"/>
                <w:color w:val="auto"/>
                <w:sz w:val="24"/>
                <w:highlight w:val="none"/>
              </w:rPr>
            </w:pPr>
            <w:r>
              <w:rPr>
                <w:rFonts w:hint="eastAsia" w:ascii="仿宋" w:hAnsi="仿宋" w:eastAsia="仿宋" w:cs="仿宋"/>
                <w:color w:val="auto"/>
                <w:sz w:val="24"/>
                <w:highlight w:val="none"/>
              </w:rPr>
              <w:t>▲1、通过提取通信网络数据包方式获得的经过数字随机混淆处理的视频码流无法正常播放。</w:t>
            </w:r>
          </w:p>
        </w:tc>
        <w:tc>
          <w:tcPr>
            <w:tcW w:w="750" w:type="dxa"/>
            <w:vMerge w:val="continue"/>
          </w:tcPr>
          <w:p w14:paraId="4FF45B1C">
            <w:pPr>
              <w:rPr>
                <w:rFonts w:hint="eastAsia" w:ascii="仿宋" w:hAnsi="仿宋" w:eastAsia="仿宋" w:cs="仿宋"/>
                <w:color w:val="auto"/>
                <w:sz w:val="24"/>
                <w:highlight w:val="none"/>
              </w:rPr>
            </w:pPr>
          </w:p>
        </w:tc>
      </w:tr>
      <w:tr w14:paraId="6C884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C72A3DC">
            <w:pPr>
              <w:jc w:val="center"/>
              <w:rPr>
                <w:rFonts w:hint="eastAsia" w:ascii="仿宋" w:hAnsi="仿宋" w:eastAsia="仿宋" w:cs="仿宋"/>
                <w:color w:val="auto"/>
                <w:sz w:val="24"/>
                <w:highlight w:val="none"/>
              </w:rPr>
            </w:pPr>
          </w:p>
        </w:tc>
        <w:tc>
          <w:tcPr>
            <w:tcW w:w="850" w:type="dxa"/>
            <w:vMerge w:val="continue"/>
            <w:vAlign w:val="center"/>
          </w:tcPr>
          <w:p w14:paraId="2504D9DC">
            <w:pPr>
              <w:jc w:val="center"/>
              <w:rPr>
                <w:rFonts w:hint="eastAsia" w:ascii="仿宋" w:hAnsi="仿宋" w:eastAsia="仿宋" w:cs="仿宋"/>
                <w:color w:val="auto"/>
                <w:sz w:val="24"/>
                <w:highlight w:val="none"/>
              </w:rPr>
            </w:pPr>
          </w:p>
        </w:tc>
        <w:tc>
          <w:tcPr>
            <w:tcW w:w="913" w:type="dxa"/>
            <w:vMerge w:val="continue"/>
            <w:vAlign w:val="center"/>
          </w:tcPr>
          <w:p w14:paraId="46268378">
            <w:pPr>
              <w:jc w:val="center"/>
              <w:rPr>
                <w:rFonts w:hint="eastAsia" w:ascii="仿宋" w:hAnsi="仿宋" w:eastAsia="仿宋" w:cs="仿宋"/>
                <w:color w:val="auto"/>
                <w:sz w:val="24"/>
                <w:highlight w:val="none"/>
              </w:rPr>
            </w:pPr>
          </w:p>
        </w:tc>
        <w:tc>
          <w:tcPr>
            <w:tcW w:w="6750" w:type="dxa"/>
          </w:tcPr>
          <w:p w14:paraId="4E8E756C">
            <w:pPr>
              <w:rPr>
                <w:rFonts w:hint="eastAsia" w:ascii="仿宋" w:hAnsi="仿宋" w:eastAsia="仿宋" w:cs="仿宋"/>
                <w:color w:val="auto"/>
                <w:sz w:val="24"/>
                <w:highlight w:val="none"/>
              </w:rPr>
            </w:pPr>
            <w:r>
              <w:rPr>
                <w:rFonts w:hint="eastAsia" w:ascii="仿宋" w:hAnsi="仿宋" w:eastAsia="仿宋" w:cs="仿宋"/>
                <w:color w:val="auto"/>
                <w:sz w:val="24"/>
                <w:highlight w:val="none"/>
              </w:rPr>
              <w:t>▲2、IPC 支持光 口、RJ45 口同时使用，RJ45 口可以串接供给另外 1 台 IPC 正常使用。</w:t>
            </w:r>
          </w:p>
        </w:tc>
        <w:tc>
          <w:tcPr>
            <w:tcW w:w="750" w:type="dxa"/>
            <w:vMerge w:val="continue"/>
          </w:tcPr>
          <w:p w14:paraId="4A3BA07A">
            <w:pPr>
              <w:rPr>
                <w:rFonts w:hint="eastAsia" w:ascii="仿宋" w:hAnsi="仿宋" w:eastAsia="仿宋" w:cs="仿宋"/>
                <w:color w:val="auto"/>
                <w:sz w:val="24"/>
                <w:highlight w:val="none"/>
              </w:rPr>
            </w:pPr>
          </w:p>
        </w:tc>
      </w:tr>
      <w:tr w14:paraId="103D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42EEAA1A">
            <w:pPr>
              <w:jc w:val="center"/>
              <w:rPr>
                <w:rFonts w:hint="eastAsia" w:ascii="仿宋" w:hAnsi="仿宋" w:eastAsia="仿宋" w:cs="仿宋"/>
                <w:color w:val="auto"/>
                <w:sz w:val="24"/>
                <w:highlight w:val="none"/>
              </w:rPr>
            </w:pPr>
          </w:p>
        </w:tc>
        <w:tc>
          <w:tcPr>
            <w:tcW w:w="850" w:type="dxa"/>
            <w:vMerge w:val="continue"/>
            <w:vAlign w:val="center"/>
          </w:tcPr>
          <w:p w14:paraId="59007299">
            <w:pPr>
              <w:jc w:val="center"/>
              <w:rPr>
                <w:rFonts w:hint="eastAsia" w:ascii="仿宋" w:hAnsi="仿宋" w:eastAsia="仿宋" w:cs="仿宋"/>
                <w:color w:val="auto"/>
                <w:sz w:val="24"/>
                <w:highlight w:val="none"/>
              </w:rPr>
            </w:pPr>
          </w:p>
        </w:tc>
        <w:tc>
          <w:tcPr>
            <w:tcW w:w="913" w:type="dxa"/>
            <w:vMerge w:val="continue"/>
            <w:vAlign w:val="center"/>
          </w:tcPr>
          <w:p w14:paraId="0139388B">
            <w:pPr>
              <w:jc w:val="center"/>
              <w:rPr>
                <w:rFonts w:hint="eastAsia" w:ascii="仿宋" w:hAnsi="仿宋" w:eastAsia="仿宋" w:cs="仿宋"/>
                <w:color w:val="auto"/>
                <w:sz w:val="24"/>
                <w:highlight w:val="none"/>
              </w:rPr>
            </w:pPr>
          </w:p>
        </w:tc>
        <w:tc>
          <w:tcPr>
            <w:tcW w:w="6750" w:type="dxa"/>
          </w:tcPr>
          <w:p w14:paraId="0B3AE1A0">
            <w:pPr>
              <w:rPr>
                <w:rFonts w:hint="eastAsia" w:ascii="仿宋" w:hAnsi="仿宋" w:eastAsia="仿宋" w:cs="仿宋"/>
                <w:color w:val="auto"/>
                <w:sz w:val="24"/>
                <w:highlight w:val="none"/>
              </w:rPr>
            </w:pPr>
            <w:r>
              <w:rPr>
                <w:rFonts w:hint="eastAsia" w:ascii="仿宋" w:hAnsi="仿宋" w:eastAsia="仿宋" w:cs="仿宋"/>
                <w:color w:val="auto"/>
                <w:sz w:val="24"/>
                <w:highlight w:val="none"/>
              </w:rPr>
              <w:t>3、热成像视频图像具有多种显示模式。</w:t>
            </w:r>
          </w:p>
        </w:tc>
        <w:tc>
          <w:tcPr>
            <w:tcW w:w="750" w:type="dxa"/>
            <w:vMerge w:val="continue"/>
          </w:tcPr>
          <w:p w14:paraId="6CEE6248">
            <w:pPr>
              <w:rPr>
                <w:rFonts w:hint="eastAsia" w:ascii="仿宋" w:hAnsi="仿宋" w:eastAsia="仿宋" w:cs="仿宋"/>
                <w:color w:val="auto"/>
                <w:sz w:val="24"/>
                <w:highlight w:val="none"/>
              </w:rPr>
            </w:pPr>
          </w:p>
        </w:tc>
      </w:tr>
      <w:tr w14:paraId="034A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DD14430">
            <w:pPr>
              <w:jc w:val="center"/>
              <w:rPr>
                <w:rFonts w:hint="eastAsia" w:ascii="仿宋" w:hAnsi="仿宋" w:eastAsia="仿宋" w:cs="仿宋"/>
                <w:color w:val="auto"/>
                <w:sz w:val="24"/>
                <w:highlight w:val="none"/>
              </w:rPr>
            </w:pPr>
          </w:p>
        </w:tc>
        <w:tc>
          <w:tcPr>
            <w:tcW w:w="850" w:type="dxa"/>
            <w:vMerge w:val="continue"/>
            <w:vAlign w:val="center"/>
          </w:tcPr>
          <w:p w14:paraId="0031A821">
            <w:pPr>
              <w:jc w:val="center"/>
              <w:rPr>
                <w:rFonts w:hint="eastAsia" w:ascii="仿宋" w:hAnsi="仿宋" w:eastAsia="仿宋" w:cs="仿宋"/>
                <w:color w:val="auto"/>
                <w:sz w:val="24"/>
                <w:highlight w:val="none"/>
              </w:rPr>
            </w:pPr>
          </w:p>
        </w:tc>
        <w:tc>
          <w:tcPr>
            <w:tcW w:w="913" w:type="dxa"/>
            <w:vMerge w:val="continue"/>
            <w:vAlign w:val="center"/>
          </w:tcPr>
          <w:p w14:paraId="0C0BA06E">
            <w:pPr>
              <w:jc w:val="center"/>
              <w:rPr>
                <w:rFonts w:hint="eastAsia" w:ascii="仿宋" w:hAnsi="仿宋" w:eastAsia="仿宋" w:cs="仿宋"/>
                <w:color w:val="auto"/>
                <w:sz w:val="24"/>
                <w:highlight w:val="none"/>
              </w:rPr>
            </w:pPr>
          </w:p>
        </w:tc>
        <w:tc>
          <w:tcPr>
            <w:tcW w:w="6750" w:type="dxa"/>
          </w:tcPr>
          <w:p w14:paraId="35165668">
            <w:pPr>
              <w:rPr>
                <w:rFonts w:hint="eastAsia" w:ascii="仿宋" w:hAnsi="仿宋" w:eastAsia="仿宋" w:cs="仿宋"/>
                <w:color w:val="auto"/>
                <w:sz w:val="24"/>
                <w:highlight w:val="none"/>
              </w:rPr>
            </w:pPr>
            <w:r>
              <w:rPr>
                <w:rFonts w:hint="eastAsia" w:ascii="仿宋" w:hAnsi="仿宋" w:eastAsia="仿宋" w:cs="仿宋"/>
                <w:color w:val="auto"/>
                <w:sz w:val="24"/>
                <w:highlight w:val="none"/>
              </w:rPr>
              <w:t>4、当开启挡片或自动转动功能后，太阳光直射热成像镜头时，会自动进行挡片遮挡或者自动转动到预先设定的角度。</w:t>
            </w:r>
          </w:p>
        </w:tc>
        <w:tc>
          <w:tcPr>
            <w:tcW w:w="750" w:type="dxa"/>
            <w:vMerge w:val="continue"/>
          </w:tcPr>
          <w:p w14:paraId="34FDAFB6">
            <w:pPr>
              <w:rPr>
                <w:rFonts w:hint="eastAsia" w:ascii="仿宋" w:hAnsi="仿宋" w:eastAsia="仿宋" w:cs="仿宋"/>
                <w:color w:val="auto"/>
                <w:sz w:val="24"/>
                <w:highlight w:val="none"/>
              </w:rPr>
            </w:pPr>
          </w:p>
        </w:tc>
      </w:tr>
      <w:tr w14:paraId="00690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512" w:type="dxa"/>
            <w:vMerge w:val="continue"/>
            <w:vAlign w:val="center"/>
          </w:tcPr>
          <w:p w14:paraId="60BC6566">
            <w:pPr>
              <w:jc w:val="center"/>
              <w:rPr>
                <w:rFonts w:hint="eastAsia" w:ascii="仿宋" w:hAnsi="仿宋" w:eastAsia="仿宋" w:cs="仿宋"/>
                <w:color w:val="auto"/>
                <w:sz w:val="24"/>
                <w:highlight w:val="none"/>
              </w:rPr>
            </w:pPr>
          </w:p>
        </w:tc>
        <w:tc>
          <w:tcPr>
            <w:tcW w:w="850" w:type="dxa"/>
            <w:vMerge w:val="continue"/>
            <w:vAlign w:val="center"/>
          </w:tcPr>
          <w:p w14:paraId="368AE099">
            <w:pPr>
              <w:jc w:val="center"/>
              <w:rPr>
                <w:rFonts w:hint="eastAsia" w:ascii="仿宋" w:hAnsi="仿宋" w:eastAsia="仿宋" w:cs="仿宋"/>
                <w:color w:val="auto"/>
                <w:sz w:val="24"/>
                <w:highlight w:val="none"/>
              </w:rPr>
            </w:pPr>
          </w:p>
        </w:tc>
        <w:tc>
          <w:tcPr>
            <w:tcW w:w="913" w:type="dxa"/>
            <w:vMerge w:val="continue"/>
            <w:vAlign w:val="center"/>
          </w:tcPr>
          <w:p w14:paraId="08D71AE9">
            <w:pPr>
              <w:jc w:val="center"/>
              <w:rPr>
                <w:rFonts w:hint="eastAsia" w:ascii="仿宋" w:hAnsi="仿宋" w:eastAsia="仿宋" w:cs="仿宋"/>
                <w:color w:val="auto"/>
                <w:sz w:val="24"/>
                <w:highlight w:val="none"/>
              </w:rPr>
            </w:pPr>
          </w:p>
        </w:tc>
        <w:tc>
          <w:tcPr>
            <w:tcW w:w="6750" w:type="dxa"/>
          </w:tcPr>
          <w:p w14:paraId="3F302181">
            <w:pPr>
              <w:rPr>
                <w:rFonts w:hint="eastAsia" w:ascii="仿宋" w:hAnsi="仿宋" w:eastAsia="仿宋" w:cs="仿宋"/>
                <w:color w:val="auto"/>
                <w:sz w:val="24"/>
                <w:highlight w:val="none"/>
              </w:rPr>
            </w:pPr>
            <w:r>
              <w:rPr>
                <w:rFonts w:hint="eastAsia" w:ascii="仿宋" w:hAnsi="仿宋" w:eastAsia="仿宋" w:cs="仿宋"/>
                <w:color w:val="auto"/>
                <w:sz w:val="24"/>
                <w:highlight w:val="none"/>
              </w:rPr>
              <w:t>5、设备可以进行背景补偿、快门补偿进行热成像非均匀校正。</w:t>
            </w:r>
          </w:p>
        </w:tc>
        <w:tc>
          <w:tcPr>
            <w:tcW w:w="750" w:type="dxa"/>
            <w:vMerge w:val="continue"/>
          </w:tcPr>
          <w:p w14:paraId="348228EE">
            <w:pPr>
              <w:rPr>
                <w:rFonts w:hint="eastAsia" w:ascii="仿宋" w:hAnsi="仿宋" w:eastAsia="仿宋" w:cs="仿宋"/>
                <w:color w:val="auto"/>
                <w:sz w:val="24"/>
                <w:highlight w:val="none"/>
              </w:rPr>
            </w:pPr>
          </w:p>
        </w:tc>
      </w:tr>
      <w:tr w14:paraId="2212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96B733F">
            <w:pPr>
              <w:jc w:val="center"/>
              <w:rPr>
                <w:rFonts w:hint="eastAsia" w:ascii="仿宋" w:hAnsi="仿宋" w:eastAsia="仿宋" w:cs="仿宋"/>
                <w:color w:val="auto"/>
                <w:sz w:val="24"/>
                <w:highlight w:val="none"/>
              </w:rPr>
            </w:pPr>
          </w:p>
        </w:tc>
        <w:tc>
          <w:tcPr>
            <w:tcW w:w="850" w:type="dxa"/>
            <w:vMerge w:val="continue"/>
            <w:vAlign w:val="center"/>
          </w:tcPr>
          <w:p w14:paraId="0A311E9E">
            <w:pPr>
              <w:jc w:val="center"/>
              <w:rPr>
                <w:rFonts w:hint="eastAsia" w:ascii="仿宋" w:hAnsi="仿宋" w:eastAsia="仿宋" w:cs="仿宋"/>
                <w:color w:val="auto"/>
                <w:sz w:val="24"/>
                <w:highlight w:val="none"/>
              </w:rPr>
            </w:pPr>
          </w:p>
        </w:tc>
        <w:tc>
          <w:tcPr>
            <w:tcW w:w="913" w:type="dxa"/>
            <w:vMerge w:val="continue"/>
            <w:vAlign w:val="center"/>
          </w:tcPr>
          <w:p w14:paraId="19705663">
            <w:pPr>
              <w:jc w:val="center"/>
              <w:rPr>
                <w:rFonts w:hint="eastAsia" w:ascii="仿宋" w:hAnsi="仿宋" w:eastAsia="仿宋" w:cs="仿宋"/>
                <w:color w:val="auto"/>
                <w:sz w:val="24"/>
                <w:highlight w:val="none"/>
              </w:rPr>
            </w:pPr>
          </w:p>
        </w:tc>
        <w:tc>
          <w:tcPr>
            <w:tcW w:w="6750" w:type="dxa"/>
          </w:tcPr>
          <w:p w14:paraId="05AED648">
            <w:pPr>
              <w:rPr>
                <w:rFonts w:hint="eastAsia" w:ascii="仿宋" w:hAnsi="仿宋" w:eastAsia="仿宋" w:cs="仿宋"/>
                <w:color w:val="auto"/>
                <w:sz w:val="24"/>
                <w:highlight w:val="none"/>
              </w:rPr>
            </w:pPr>
            <w:r>
              <w:rPr>
                <w:rFonts w:hint="eastAsia" w:ascii="仿宋" w:hAnsi="仿宋" w:eastAsia="仿宋" w:cs="仿宋"/>
                <w:color w:val="auto"/>
                <w:sz w:val="24"/>
                <w:highlight w:val="none"/>
              </w:rPr>
              <w:t>▲6、针对第一次检测到火点上报后记录当前时间和火点位置，下一次检测到火点时，如果在同一区域且与上次告警时间差比抑制时间小的话不会进行上报，防止重复告警。</w:t>
            </w:r>
          </w:p>
        </w:tc>
        <w:tc>
          <w:tcPr>
            <w:tcW w:w="750" w:type="dxa"/>
            <w:vMerge w:val="continue"/>
          </w:tcPr>
          <w:p w14:paraId="1F5F321E">
            <w:pPr>
              <w:rPr>
                <w:rFonts w:hint="eastAsia" w:ascii="仿宋" w:hAnsi="仿宋" w:eastAsia="仿宋" w:cs="仿宋"/>
                <w:color w:val="auto"/>
                <w:sz w:val="24"/>
                <w:highlight w:val="none"/>
              </w:rPr>
            </w:pPr>
          </w:p>
        </w:tc>
      </w:tr>
      <w:tr w14:paraId="56604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99070F5">
            <w:pPr>
              <w:jc w:val="center"/>
              <w:rPr>
                <w:rFonts w:hint="eastAsia" w:ascii="仿宋" w:hAnsi="仿宋" w:eastAsia="仿宋" w:cs="仿宋"/>
                <w:color w:val="auto"/>
                <w:sz w:val="24"/>
                <w:highlight w:val="none"/>
              </w:rPr>
            </w:pPr>
          </w:p>
        </w:tc>
        <w:tc>
          <w:tcPr>
            <w:tcW w:w="850" w:type="dxa"/>
            <w:vMerge w:val="continue"/>
            <w:vAlign w:val="center"/>
          </w:tcPr>
          <w:p w14:paraId="754A2C03">
            <w:pPr>
              <w:jc w:val="center"/>
              <w:rPr>
                <w:rFonts w:hint="eastAsia" w:ascii="仿宋" w:hAnsi="仿宋" w:eastAsia="仿宋" w:cs="仿宋"/>
                <w:color w:val="auto"/>
                <w:sz w:val="24"/>
                <w:highlight w:val="none"/>
              </w:rPr>
            </w:pPr>
          </w:p>
        </w:tc>
        <w:tc>
          <w:tcPr>
            <w:tcW w:w="913" w:type="dxa"/>
            <w:vMerge w:val="continue"/>
            <w:vAlign w:val="center"/>
          </w:tcPr>
          <w:p w14:paraId="39875418">
            <w:pPr>
              <w:jc w:val="center"/>
              <w:rPr>
                <w:rFonts w:hint="eastAsia" w:ascii="仿宋" w:hAnsi="仿宋" w:eastAsia="仿宋" w:cs="仿宋"/>
                <w:color w:val="auto"/>
                <w:sz w:val="24"/>
                <w:highlight w:val="none"/>
              </w:rPr>
            </w:pPr>
          </w:p>
        </w:tc>
        <w:tc>
          <w:tcPr>
            <w:tcW w:w="6750" w:type="dxa"/>
          </w:tcPr>
          <w:p w14:paraId="17B1F0DE">
            <w:pPr>
              <w:rPr>
                <w:rFonts w:hint="eastAsia" w:ascii="仿宋" w:hAnsi="仿宋" w:eastAsia="仿宋" w:cs="仿宋"/>
                <w:color w:val="auto"/>
                <w:sz w:val="24"/>
                <w:highlight w:val="none"/>
              </w:rPr>
            </w:pPr>
            <w:r>
              <w:rPr>
                <w:rFonts w:hint="eastAsia" w:ascii="仿宋" w:hAnsi="仿宋" w:eastAsia="仿宋" w:cs="仿宋"/>
                <w:color w:val="auto"/>
                <w:sz w:val="24"/>
                <w:highlight w:val="none"/>
              </w:rPr>
              <w:t>7、可对监控画面中由目标发生镜面反射而产生的报警进行过滤；对移动车辆、太阳、香炉、烟囱等热源不应该产生报警；可自定义设置火点尺寸大小过滤。</w:t>
            </w:r>
          </w:p>
        </w:tc>
        <w:tc>
          <w:tcPr>
            <w:tcW w:w="750" w:type="dxa"/>
            <w:vMerge w:val="continue"/>
          </w:tcPr>
          <w:p w14:paraId="20722774">
            <w:pPr>
              <w:rPr>
                <w:rFonts w:hint="eastAsia" w:ascii="仿宋" w:hAnsi="仿宋" w:eastAsia="仿宋" w:cs="仿宋"/>
                <w:color w:val="auto"/>
                <w:sz w:val="24"/>
                <w:highlight w:val="none"/>
              </w:rPr>
            </w:pPr>
          </w:p>
        </w:tc>
      </w:tr>
      <w:tr w14:paraId="4A22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467BF4FC">
            <w:pPr>
              <w:jc w:val="center"/>
              <w:rPr>
                <w:rFonts w:hint="eastAsia" w:ascii="仿宋" w:hAnsi="仿宋" w:eastAsia="仿宋" w:cs="仿宋"/>
                <w:color w:val="auto"/>
                <w:sz w:val="24"/>
                <w:highlight w:val="none"/>
              </w:rPr>
            </w:pPr>
          </w:p>
        </w:tc>
        <w:tc>
          <w:tcPr>
            <w:tcW w:w="850" w:type="dxa"/>
            <w:vMerge w:val="continue"/>
            <w:vAlign w:val="center"/>
          </w:tcPr>
          <w:p w14:paraId="1C723267">
            <w:pPr>
              <w:jc w:val="center"/>
              <w:rPr>
                <w:rFonts w:hint="eastAsia" w:ascii="仿宋" w:hAnsi="仿宋" w:eastAsia="仿宋" w:cs="仿宋"/>
                <w:color w:val="auto"/>
                <w:sz w:val="24"/>
                <w:highlight w:val="none"/>
              </w:rPr>
            </w:pPr>
          </w:p>
        </w:tc>
        <w:tc>
          <w:tcPr>
            <w:tcW w:w="913" w:type="dxa"/>
            <w:vMerge w:val="continue"/>
            <w:vAlign w:val="center"/>
          </w:tcPr>
          <w:p w14:paraId="64045E80">
            <w:pPr>
              <w:jc w:val="center"/>
              <w:rPr>
                <w:rFonts w:hint="eastAsia" w:ascii="仿宋" w:hAnsi="仿宋" w:eastAsia="仿宋" w:cs="仿宋"/>
                <w:color w:val="auto"/>
                <w:sz w:val="24"/>
                <w:highlight w:val="none"/>
              </w:rPr>
            </w:pPr>
          </w:p>
        </w:tc>
        <w:tc>
          <w:tcPr>
            <w:tcW w:w="6750" w:type="dxa"/>
          </w:tcPr>
          <w:p w14:paraId="16AA4079">
            <w:pPr>
              <w:rPr>
                <w:rFonts w:hint="eastAsia" w:ascii="仿宋" w:hAnsi="仿宋" w:eastAsia="仿宋" w:cs="仿宋"/>
                <w:color w:val="auto"/>
                <w:sz w:val="24"/>
                <w:highlight w:val="none"/>
              </w:rPr>
            </w:pPr>
            <w:r>
              <w:rPr>
                <w:rFonts w:hint="eastAsia" w:ascii="仿宋" w:hAnsi="仿宋" w:eastAsia="仿宋" w:cs="仿宋"/>
                <w:color w:val="auto"/>
                <w:sz w:val="24"/>
                <w:highlight w:val="none"/>
              </w:rPr>
              <w:t>8、监视范围万公顷以内，且实际未触发火点情况下， 日误报次数应≤1次。</w:t>
            </w:r>
          </w:p>
        </w:tc>
        <w:tc>
          <w:tcPr>
            <w:tcW w:w="750" w:type="dxa"/>
            <w:vMerge w:val="continue"/>
          </w:tcPr>
          <w:p w14:paraId="1C7831FC">
            <w:pPr>
              <w:rPr>
                <w:rFonts w:hint="eastAsia" w:ascii="仿宋" w:hAnsi="仿宋" w:eastAsia="仿宋" w:cs="仿宋"/>
                <w:color w:val="auto"/>
                <w:sz w:val="24"/>
                <w:highlight w:val="none"/>
              </w:rPr>
            </w:pPr>
          </w:p>
        </w:tc>
      </w:tr>
      <w:tr w14:paraId="733B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F8CEC5F">
            <w:pPr>
              <w:jc w:val="center"/>
              <w:rPr>
                <w:rFonts w:hint="eastAsia" w:ascii="仿宋" w:hAnsi="仿宋" w:eastAsia="仿宋" w:cs="仿宋"/>
                <w:color w:val="auto"/>
                <w:sz w:val="24"/>
                <w:highlight w:val="none"/>
              </w:rPr>
            </w:pPr>
          </w:p>
        </w:tc>
        <w:tc>
          <w:tcPr>
            <w:tcW w:w="850" w:type="dxa"/>
            <w:vMerge w:val="continue"/>
            <w:vAlign w:val="center"/>
          </w:tcPr>
          <w:p w14:paraId="7C54BC05">
            <w:pPr>
              <w:jc w:val="center"/>
              <w:rPr>
                <w:rFonts w:hint="eastAsia" w:ascii="仿宋" w:hAnsi="仿宋" w:eastAsia="仿宋" w:cs="仿宋"/>
                <w:color w:val="auto"/>
                <w:sz w:val="24"/>
                <w:highlight w:val="none"/>
              </w:rPr>
            </w:pPr>
          </w:p>
        </w:tc>
        <w:tc>
          <w:tcPr>
            <w:tcW w:w="913" w:type="dxa"/>
            <w:vMerge w:val="continue"/>
            <w:vAlign w:val="center"/>
          </w:tcPr>
          <w:p w14:paraId="59BDFEE8">
            <w:pPr>
              <w:jc w:val="center"/>
              <w:rPr>
                <w:rFonts w:hint="eastAsia" w:ascii="仿宋" w:hAnsi="仿宋" w:eastAsia="仿宋" w:cs="仿宋"/>
                <w:color w:val="auto"/>
                <w:sz w:val="24"/>
                <w:highlight w:val="none"/>
              </w:rPr>
            </w:pPr>
          </w:p>
        </w:tc>
        <w:tc>
          <w:tcPr>
            <w:tcW w:w="6750" w:type="dxa"/>
          </w:tcPr>
          <w:p w14:paraId="68E8E41E">
            <w:pPr>
              <w:rPr>
                <w:rFonts w:hint="eastAsia" w:ascii="仿宋" w:hAnsi="仿宋" w:eastAsia="仿宋" w:cs="仿宋"/>
                <w:color w:val="auto"/>
                <w:sz w:val="24"/>
                <w:highlight w:val="none"/>
              </w:rPr>
            </w:pPr>
            <w:r>
              <w:rPr>
                <w:rFonts w:hint="eastAsia" w:ascii="仿宋" w:hAnsi="仿宋" w:eastAsia="仿宋" w:cs="仿宋"/>
                <w:color w:val="auto"/>
                <w:sz w:val="24"/>
                <w:highlight w:val="none"/>
              </w:rPr>
              <w:t>9、支持通过客户端软件对监控画面中有明火的位置进行定位并显示该位置的经纬度坐标。</w:t>
            </w:r>
          </w:p>
        </w:tc>
        <w:tc>
          <w:tcPr>
            <w:tcW w:w="750" w:type="dxa"/>
            <w:vMerge w:val="continue"/>
          </w:tcPr>
          <w:p w14:paraId="49844AEF">
            <w:pPr>
              <w:rPr>
                <w:rFonts w:hint="eastAsia" w:ascii="仿宋" w:hAnsi="仿宋" w:eastAsia="仿宋" w:cs="仿宋"/>
                <w:color w:val="auto"/>
                <w:sz w:val="24"/>
                <w:highlight w:val="none"/>
              </w:rPr>
            </w:pPr>
          </w:p>
        </w:tc>
      </w:tr>
      <w:tr w14:paraId="5553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4E7EE834">
            <w:pPr>
              <w:jc w:val="center"/>
              <w:rPr>
                <w:rFonts w:hint="eastAsia" w:ascii="仿宋" w:hAnsi="仿宋" w:eastAsia="仿宋" w:cs="仿宋"/>
                <w:color w:val="auto"/>
                <w:sz w:val="24"/>
                <w:highlight w:val="none"/>
              </w:rPr>
            </w:pPr>
          </w:p>
        </w:tc>
        <w:tc>
          <w:tcPr>
            <w:tcW w:w="850" w:type="dxa"/>
            <w:vMerge w:val="continue"/>
            <w:vAlign w:val="center"/>
          </w:tcPr>
          <w:p w14:paraId="759F0501">
            <w:pPr>
              <w:jc w:val="center"/>
              <w:rPr>
                <w:rFonts w:hint="eastAsia" w:ascii="仿宋" w:hAnsi="仿宋" w:eastAsia="仿宋" w:cs="仿宋"/>
                <w:color w:val="auto"/>
                <w:sz w:val="24"/>
                <w:highlight w:val="none"/>
              </w:rPr>
            </w:pPr>
          </w:p>
        </w:tc>
        <w:tc>
          <w:tcPr>
            <w:tcW w:w="913" w:type="dxa"/>
            <w:vMerge w:val="continue"/>
            <w:vAlign w:val="center"/>
          </w:tcPr>
          <w:p w14:paraId="708FE9B4">
            <w:pPr>
              <w:jc w:val="center"/>
              <w:rPr>
                <w:rFonts w:hint="eastAsia" w:ascii="仿宋" w:hAnsi="仿宋" w:eastAsia="仿宋" w:cs="仿宋"/>
                <w:color w:val="auto"/>
                <w:sz w:val="24"/>
                <w:highlight w:val="none"/>
              </w:rPr>
            </w:pPr>
          </w:p>
        </w:tc>
        <w:tc>
          <w:tcPr>
            <w:tcW w:w="6750" w:type="dxa"/>
          </w:tcPr>
          <w:p w14:paraId="5C057F6C">
            <w:pPr>
              <w:rPr>
                <w:rFonts w:hint="eastAsia" w:ascii="仿宋" w:hAnsi="仿宋" w:eastAsia="仿宋" w:cs="仿宋"/>
                <w:color w:val="auto"/>
                <w:sz w:val="24"/>
                <w:highlight w:val="none"/>
              </w:rPr>
            </w:pPr>
            <w:r>
              <w:rPr>
                <w:rFonts w:hint="eastAsia" w:ascii="仿宋" w:hAnsi="仿宋" w:eastAsia="仿宋" w:cs="仿宋"/>
                <w:color w:val="auto"/>
                <w:sz w:val="24"/>
                <w:highlight w:val="none"/>
              </w:rPr>
              <w:t>10、支持对火情报警事件、热源目标、移动目标的报警图片、报警时间、报警位置等信息进行上报、标记、处理等操作。</w:t>
            </w:r>
          </w:p>
        </w:tc>
        <w:tc>
          <w:tcPr>
            <w:tcW w:w="750" w:type="dxa"/>
            <w:vMerge w:val="continue"/>
          </w:tcPr>
          <w:p w14:paraId="59F634C4">
            <w:pPr>
              <w:rPr>
                <w:rFonts w:hint="eastAsia" w:ascii="仿宋" w:hAnsi="仿宋" w:eastAsia="仿宋" w:cs="仿宋"/>
                <w:color w:val="auto"/>
                <w:sz w:val="24"/>
                <w:highlight w:val="none"/>
              </w:rPr>
            </w:pPr>
          </w:p>
        </w:tc>
      </w:tr>
      <w:tr w14:paraId="4A5BC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6FBC2A1B">
            <w:pPr>
              <w:jc w:val="center"/>
              <w:rPr>
                <w:rFonts w:hint="eastAsia" w:ascii="仿宋" w:hAnsi="仿宋" w:eastAsia="仿宋" w:cs="仿宋"/>
                <w:color w:val="auto"/>
                <w:sz w:val="24"/>
                <w:highlight w:val="none"/>
              </w:rPr>
            </w:pPr>
          </w:p>
        </w:tc>
        <w:tc>
          <w:tcPr>
            <w:tcW w:w="850" w:type="dxa"/>
            <w:vMerge w:val="continue"/>
            <w:vAlign w:val="center"/>
          </w:tcPr>
          <w:p w14:paraId="20A8477F">
            <w:pPr>
              <w:jc w:val="center"/>
              <w:rPr>
                <w:rFonts w:hint="eastAsia" w:ascii="仿宋" w:hAnsi="仿宋" w:eastAsia="仿宋" w:cs="仿宋"/>
                <w:color w:val="auto"/>
                <w:sz w:val="24"/>
                <w:highlight w:val="none"/>
              </w:rPr>
            </w:pPr>
          </w:p>
        </w:tc>
        <w:tc>
          <w:tcPr>
            <w:tcW w:w="913" w:type="dxa"/>
            <w:vMerge w:val="continue"/>
            <w:vAlign w:val="center"/>
          </w:tcPr>
          <w:p w14:paraId="72CB8603">
            <w:pPr>
              <w:jc w:val="center"/>
              <w:rPr>
                <w:rFonts w:hint="eastAsia" w:ascii="仿宋" w:hAnsi="仿宋" w:eastAsia="仿宋" w:cs="仿宋"/>
                <w:color w:val="auto"/>
                <w:sz w:val="24"/>
                <w:highlight w:val="none"/>
              </w:rPr>
            </w:pPr>
          </w:p>
        </w:tc>
        <w:tc>
          <w:tcPr>
            <w:tcW w:w="6750" w:type="dxa"/>
          </w:tcPr>
          <w:p w14:paraId="04E107BF">
            <w:pPr>
              <w:rPr>
                <w:rFonts w:hint="eastAsia" w:ascii="仿宋" w:hAnsi="仿宋" w:eastAsia="仿宋" w:cs="仿宋"/>
                <w:color w:val="auto"/>
                <w:sz w:val="24"/>
                <w:highlight w:val="none"/>
              </w:rPr>
            </w:pPr>
            <w:r>
              <w:rPr>
                <w:rFonts w:hint="eastAsia" w:ascii="仿宋" w:hAnsi="仿宋" w:eastAsia="仿宋" w:cs="仿宋"/>
                <w:color w:val="auto"/>
                <w:sz w:val="24"/>
                <w:highlight w:val="none"/>
              </w:rPr>
              <w:t>11、可通过可见光通道和热成像通道分别对明火或存在由火焰产生的烟气进行识别和报警。</w:t>
            </w:r>
          </w:p>
        </w:tc>
        <w:tc>
          <w:tcPr>
            <w:tcW w:w="750" w:type="dxa"/>
            <w:vMerge w:val="continue"/>
          </w:tcPr>
          <w:p w14:paraId="47F2D82B">
            <w:pPr>
              <w:rPr>
                <w:rFonts w:hint="eastAsia" w:ascii="仿宋" w:hAnsi="仿宋" w:eastAsia="仿宋" w:cs="仿宋"/>
                <w:color w:val="auto"/>
                <w:sz w:val="24"/>
                <w:highlight w:val="none"/>
              </w:rPr>
            </w:pPr>
          </w:p>
        </w:tc>
      </w:tr>
      <w:tr w14:paraId="3E31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D4C78B4">
            <w:pPr>
              <w:jc w:val="center"/>
              <w:rPr>
                <w:rFonts w:hint="eastAsia" w:ascii="仿宋" w:hAnsi="仿宋" w:eastAsia="仿宋" w:cs="仿宋"/>
                <w:color w:val="auto"/>
                <w:sz w:val="24"/>
                <w:highlight w:val="none"/>
              </w:rPr>
            </w:pPr>
          </w:p>
        </w:tc>
        <w:tc>
          <w:tcPr>
            <w:tcW w:w="850" w:type="dxa"/>
            <w:vMerge w:val="continue"/>
            <w:vAlign w:val="center"/>
          </w:tcPr>
          <w:p w14:paraId="39BF6982">
            <w:pPr>
              <w:jc w:val="center"/>
              <w:rPr>
                <w:rFonts w:hint="eastAsia" w:ascii="仿宋" w:hAnsi="仿宋" w:eastAsia="仿宋" w:cs="仿宋"/>
                <w:color w:val="auto"/>
                <w:sz w:val="24"/>
                <w:highlight w:val="none"/>
              </w:rPr>
            </w:pPr>
          </w:p>
        </w:tc>
        <w:tc>
          <w:tcPr>
            <w:tcW w:w="913" w:type="dxa"/>
            <w:vMerge w:val="continue"/>
            <w:vAlign w:val="center"/>
          </w:tcPr>
          <w:p w14:paraId="7F3F6B14">
            <w:pPr>
              <w:jc w:val="center"/>
              <w:rPr>
                <w:rFonts w:hint="eastAsia" w:ascii="仿宋" w:hAnsi="仿宋" w:eastAsia="仿宋" w:cs="仿宋"/>
                <w:color w:val="auto"/>
                <w:sz w:val="24"/>
                <w:highlight w:val="none"/>
              </w:rPr>
            </w:pPr>
          </w:p>
        </w:tc>
        <w:tc>
          <w:tcPr>
            <w:tcW w:w="6750" w:type="dxa"/>
          </w:tcPr>
          <w:p w14:paraId="3EFBC9B7">
            <w:pPr>
              <w:rPr>
                <w:rFonts w:hint="eastAsia" w:ascii="仿宋" w:hAnsi="仿宋" w:eastAsia="仿宋" w:cs="仿宋"/>
                <w:color w:val="auto"/>
                <w:sz w:val="24"/>
                <w:highlight w:val="none"/>
              </w:rPr>
            </w:pPr>
            <w:r>
              <w:rPr>
                <w:rFonts w:hint="eastAsia" w:ascii="仿宋" w:hAnsi="仿宋" w:eastAsia="仿宋" w:cs="仿宋"/>
                <w:color w:val="auto"/>
                <w:sz w:val="24"/>
                <w:highlight w:val="none"/>
              </w:rPr>
              <w:t>12、当可见光通道烟火识别结果为正且／或热成像通道烟火识别结果为正时，可给出报警提示。</w:t>
            </w:r>
          </w:p>
        </w:tc>
        <w:tc>
          <w:tcPr>
            <w:tcW w:w="750" w:type="dxa"/>
            <w:vMerge w:val="continue"/>
          </w:tcPr>
          <w:p w14:paraId="5C76373D">
            <w:pPr>
              <w:rPr>
                <w:rFonts w:hint="eastAsia" w:ascii="仿宋" w:hAnsi="仿宋" w:eastAsia="仿宋" w:cs="仿宋"/>
                <w:color w:val="auto"/>
                <w:sz w:val="24"/>
                <w:highlight w:val="none"/>
              </w:rPr>
            </w:pPr>
          </w:p>
        </w:tc>
      </w:tr>
      <w:tr w14:paraId="003E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EC85F90">
            <w:pPr>
              <w:jc w:val="center"/>
              <w:rPr>
                <w:rFonts w:hint="eastAsia" w:ascii="仿宋" w:hAnsi="仿宋" w:eastAsia="仿宋" w:cs="仿宋"/>
                <w:color w:val="auto"/>
                <w:sz w:val="24"/>
                <w:highlight w:val="none"/>
              </w:rPr>
            </w:pPr>
          </w:p>
        </w:tc>
        <w:tc>
          <w:tcPr>
            <w:tcW w:w="850" w:type="dxa"/>
            <w:vMerge w:val="continue"/>
            <w:vAlign w:val="center"/>
          </w:tcPr>
          <w:p w14:paraId="0806CDDD">
            <w:pPr>
              <w:jc w:val="center"/>
              <w:rPr>
                <w:rFonts w:hint="eastAsia" w:ascii="仿宋" w:hAnsi="仿宋" w:eastAsia="仿宋" w:cs="仿宋"/>
                <w:color w:val="auto"/>
                <w:sz w:val="24"/>
                <w:highlight w:val="none"/>
              </w:rPr>
            </w:pPr>
          </w:p>
        </w:tc>
        <w:tc>
          <w:tcPr>
            <w:tcW w:w="913" w:type="dxa"/>
            <w:vMerge w:val="continue"/>
            <w:vAlign w:val="center"/>
          </w:tcPr>
          <w:p w14:paraId="081453C2">
            <w:pPr>
              <w:jc w:val="center"/>
              <w:rPr>
                <w:rFonts w:hint="eastAsia" w:ascii="仿宋" w:hAnsi="仿宋" w:eastAsia="仿宋" w:cs="仿宋"/>
                <w:color w:val="auto"/>
                <w:sz w:val="24"/>
                <w:highlight w:val="none"/>
              </w:rPr>
            </w:pPr>
          </w:p>
        </w:tc>
        <w:tc>
          <w:tcPr>
            <w:tcW w:w="6750" w:type="dxa"/>
          </w:tcPr>
          <w:p w14:paraId="61D47F01">
            <w:pP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13、可见光视频图像：可对监控画面中大小为3×3像素的火焰目标或烟气目标进行检测，并给出报警提示。</w:t>
            </w:r>
          </w:p>
          <w:p w14:paraId="214D5BE6">
            <w:pPr>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热成像视频图像：最小识别高温热源目标面积不小于2像素×2像素。</w:t>
            </w:r>
          </w:p>
        </w:tc>
        <w:tc>
          <w:tcPr>
            <w:tcW w:w="750" w:type="dxa"/>
            <w:vMerge w:val="continue"/>
          </w:tcPr>
          <w:p w14:paraId="2779A1BE">
            <w:pPr>
              <w:rPr>
                <w:rFonts w:hint="eastAsia" w:ascii="仿宋" w:hAnsi="仿宋" w:eastAsia="仿宋" w:cs="仿宋"/>
                <w:color w:val="auto"/>
                <w:sz w:val="24"/>
                <w:highlight w:val="none"/>
              </w:rPr>
            </w:pPr>
          </w:p>
        </w:tc>
      </w:tr>
      <w:tr w14:paraId="59CD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285BC4F">
            <w:pPr>
              <w:jc w:val="center"/>
              <w:rPr>
                <w:rFonts w:hint="eastAsia" w:ascii="仿宋" w:hAnsi="仿宋" w:eastAsia="仿宋" w:cs="仿宋"/>
                <w:color w:val="auto"/>
                <w:sz w:val="24"/>
                <w:highlight w:val="none"/>
              </w:rPr>
            </w:pPr>
          </w:p>
        </w:tc>
        <w:tc>
          <w:tcPr>
            <w:tcW w:w="850" w:type="dxa"/>
            <w:vMerge w:val="continue"/>
            <w:vAlign w:val="center"/>
          </w:tcPr>
          <w:p w14:paraId="5F95D7D3">
            <w:pPr>
              <w:jc w:val="center"/>
              <w:rPr>
                <w:rFonts w:hint="eastAsia" w:ascii="仿宋" w:hAnsi="仿宋" w:eastAsia="仿宋" w:cs="仿宋"/>
                <w:color w:val="auto"/>
                <w:sz w:val="24"/>
                <w:highlight w:val="none"/>
              </w:rPr>
            </w:pPr>
          </w:p>
        </w:tc>
        <w:tc>
          <w:tcPr>
            <w:tcW w:w="913" w:type="dxa"/>
            <w:vMerge w:val="continue"/>
            <w:vAlign w:val="center"/>
          </w:tcPr>
          <w:p w14:paraId="1285998D">
            <w:pPr>
              <w:jc w:val="center"/>
              <w:rPr>
                <w:rFonts w:hint="eastAsia" w:ascii="仿宋" w:hAnsi="仿宋" w:eastAsia="仿宋" w:cs="仿宋"/>
                <w:color w:val="auto"/>
                <w:sz w:val="24"/>
                <w:highlight w:val="none"/>
              </w:rPr>
            </w:pPr>
          </w:p>
        </w:tc>
        <w:tc>
          <w:tcPr>
            <w:tcW w:w="6750" w:type="dxa"/>
          </w:tcPr>
          <w:p w14:paraId="2A607CF5">
            <w:pP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、有效识别半径：配合烟火识别算法有效半径达≥10km</w:t>
            </w:r>
          </w:p>
        </w:tc>
        <w:tc>
          <w:tcPr>
            <w:tcW w:w="750" w:type="dxa"/>
            <w:vMerge w:val="continue"/>
          </w:tcPr>
          <w:p w14:paraId="52A68876">
            <w:pPr>
              <w:rPr>
                <w:rFonts w:hint="eastAsia" w:ascii="仿宋" w:hAnsi="仿宋" w:eastAsia="仿宋" w:cs="仿宋"/>
                <w:color w:val="auto"/>
                <w:sz w:val="24"/>
                <w:highlight w:val="none"/>
              </w:rPr>
            </w:pPr>
          </w:p>
        </w:tc>
      </w:tr>
      <w:tr w14:paraId="52CC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512" w:type="dxa"/>
            <w:vMerge w:val="continue"/>
            <w:vAlign w:val="center"/>
          </w:tcPr>
          <w:p w14:paraId="4EC8A835">
            <w:pPr>
              <w:jc w:val="center"/>
              <w:rPr>
                <w:rFonts w:hint="eastAsia" w:ascii="仿宋" w:hAnsi="仿宋" w:eastAsia="仿宋" w:cs="仿宋"/>
                <w:color w:val="auto"/>
                <w:sz w:val="24"/>
                <w:highlight w:val="none"/>
              </w:rPr>
            </w:pPr>
          </w:p>
        </w:tc>
        <w:tc>
          <w:tcPr>
            <w:tcW w:w="850" w:type="dxa"/>
            <w:vMerge w:val="continue"/>
            <w:vAlign w:val="center"/>
          </w:tcPr>
          <w:p w14:paraId="02E9D4AC">
            <w:pPr>
              <w:jc w:val="center"/>
              <w:rPr>
                <w:rFonts w:hint="eastAsia" w:ascii="仿宋" w:hAnsi="仿宋" w:eastAsia="仿宋" w:cs="仿宋"/>
                <w:color w:val="auto"/>
                <w:sz w:val="24"/>
                <w:highlight w:val="none"/>
              </w:rPr>
            </w:pPr>
          </w:p>
        </w:tc>
        <w:tc>
          <w:tcPr>
            <w:tcW w:w="913" w:type="dxa"/>
            <w:vMerge w:val="continue"/>
            <w:vAlign w:val="center"/>
          </w:tcPr>
          <w:p w14:paraId="5F906EAC">
            <w:pPr>
              <w:jc w:val="center"/>
              <w:rPr>
                <w:rFonts w:hint="eastAsia" w:ascii="仿宋" w:hAnsi="仿宋" w:eastAsia="仿宋" w:cs="仿宋"/>
                <w:color w:val="auto"/>
                <w:sz w:val="24"/>
                <w:highlight w:val="none"/>
              </w:rPr>
            </w:pPr>
          </w:p>
        </w:tc>
        <w:tc>
          <w:tcPr>
            <w:tcW w:w="6750" w:type="dxa"/>
          </w:tcPr>
          <w:p w14:paraId="42F2B26D">
            <w:pP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、支持多种智能算法应用，算力≥8Tops INT8</w:t>
            </w:r>
          </w:p>
        </w:tc>
        <w:tc>
          <w:tcPr>
            <w:tcW w:w="750" w:type="dxa"/>
            <w:vMerge w:val="continue"/>
          </w:tcPr>
          <w:p w14:paraId="73B3C654">
            <w:pPr>
              <w:rPr>
                <w:rFonts w:hint="eastAsia" w:ascii="仿宋" w:hAnsi="仿宋" w:eastAsia="仿宋" w:cs="仿宋"/>
                <w:color w:val="auto"/>
                <w:sz w:val="24"/>
                <w:highlight w:val="none"/>
              </w:rPr>
            </w:pPr>
          </w:p>
        </w:tc>
      </w:tr>
      <w:tr w14:paraId="03939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7FE7BC5">
            <w:pPr>
              <w:jc w:val="center"/>
              <w:rPr>
                <w:rFonts w:hint="eastAsia" w:ascii="仿宋" w:hAnsi="仿宋" w:eastAsia="仿宋" w:cs="仿宋"/>
                <w:color w:val="auto"/>
                <w:sz w:val="24"/>
                <w:highlight w:val="none"/>
              </w:rPr>
            </w:pPr>
          </w:p>
        </w:tc>
        <w:tc>
          <w:tcPr>
            <w:tcW w:w="850" w:type="dxa"/>
            <w:vMerge w:val="continue"/>
            <w:vAlign w:val="center"/>
          </w:tcPr>
          <w:p w14:paraId="48DEF6F4">
            <w:pPr>
              <w:jc w:val="center"/>
              <w:rPr>
                <w:rFonts w:hint="eastAsia" w:ascii="仿宋" w:hAnsi="仿宋" w:eastAsia="仿宋" w:cs="仿宋"/>
                <w:color w:val="auto"/>
                <w:sz w:val="24"/>
                <w:highlight w:val="none"/>
              </w:rPr>
            </w:pPr>
          </w:p>
        </w:tc>
        <w:tc>
          <w:tcPr>
            <w:tcW w:w="913" w:type="dxa"/>
            <w:vAlign w:val="center"/>
          </w:tcPr>
          <w:p w14:paraId="2CB4C5EF">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监控支架</w:t>
            </w:r>
          </w:p>
        </w:tc>
        <w:tc>
          <w:tcPr>
            <w:tcW w:w="6750" w:type="dxa"/>
          </w:tcPr>
          <w:p w14:paraId="2E1A2CC1">
            <w:pPr>
              <w:rPr>
                <w:rFonts w:hint="eastAsia" w:ascii="仿宋" w:hAnsi="仿宋" w:eastAsia="仿宋" w:cs="仿宋"/>
                <w:color w:val="auto"/>
                <w:sz w:val="24"/>
                <w:highlight w:val="none"/>
              </w:rPr>
            </w:pPr>
            <w:r>
              <w:rPr>
                <w:rFonts w:hint="eastAsia" w:ascii="仿宋" w:hAnsi="仿宋" w:eastAsia="仿宋" w:cs="仿宋"/>
                <w:color w:val="auto"/>
                <w:sz w:val="24"/>
                <w:highlight w:val="none"/>
              </w:rPr>
              <w:t>材质：铝合金型材,尺寸：定制</w:t>
            </w:r>
          </w:p>
        </w:tc>
        <w:tc>
          <w:tcPr>
            <w:tcW w:w="750" w:type="dxa"/>
            <w:vAlign w:val="center"/>
          </w:tcPr>
          <w:p w14:paraId="3D33B42A">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21套</w:t>
            </w:r>
          </w:p>
        </w:tc>
      </w:tr>
      <w:tr w14:paraId="72C51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018DD92">
            <w:pPr>
              <w:jc w:val="center"/>
              <w:rPr>
                <w:rFonts w:hint="eastAsia" w:ascii="仿宋" w:hAnsi="仿宋" w:eastAsia="仿宋" w:cs="仿宋"/>
                <w:color w:val="auto"/>
                <w:sz w:val="24"/>
                <w:highlight w:val="none"/>
              </w:rPr>
            </w:pPr>
          </w:p>
        </w:tc>
        <w:tc>
          <w:tcPr>
            <w:tcW w:w="850" w:type="dxa"/>
            <w:vMerge w:val="continue"/>
            <w:vAlign w:val="center"/>
          </w:tcPr>
          <w:p w14:paraId="64F9000E">
            <w:pPr>
              <w:jc w:val="center"/>
              <w:rPr>
                <w:rFonts w:hint="eastAsia" w:ascii="仿宋" w:hAnsi="仿宋" w:eastAsia="仿宋" w:cs="仿宋"/>
                <w:color w:val="auto"/>
                <w:sz w:val="24"/>
                <w:highlight w:val="none"/>
              </w:rPr>
            </w:pPr>
          </w:p>
        </w:tc>
        <w:tc>
          <w:tcPr>
            <w:tcW w:w="913" w:type="dxa"/>
            <w:vAlign w:val="center"/>
          </w:tcPr>
          <w:p w14:paraId="3F840702">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监控底座</w:t>
            </w:r>
          </w:p>
        </w:tc>
        <w:tc>
          <w:tcPr>
            <w:tcW w:w="6750" w:type="dxa"/>
          </w:tcPr>
          <w:p w14:paraId="470D9D1C">
            <w:pPr>
              <w:rPr>
                <w:rFonts w:hint="eastAsia" w:ascii="仿宋" w:hAnsi="仿宋" w:eastAsia="仿宋" w:cs="仿宋"/>
                <w:color w:val="auto"/>
                <w:sz w:val="24"/>
                <w:highlight w:val="none"/>
              </w:rPr>
            </w:pPr>
            <w:r>
              <w:rPr>
                <w:rFonts w:hint="eastAsia" w:ascii="仿宋" w:hAnsi="仿宋" w:eastAsia="仿宋" w:cs="仿宋"/>
                <w:color w:val="auto"/>
                <w:sz w:val="24"/>
                <w:highlight w:val="none"/>
              </w:rPr>
              <w:t>材质：铝合金/防腐处理：采用阳极氧化方式/外镀锌工艺/制造工艺：数控加工/精度调节机构：丝杠螺母副配合压簧方式/支持二维方向调节/单向调节范围±5°</w:t>
            </w:r>
          </w:p>
        </w:tc>
        <w:tc>
          <w:tcPr>
            <w:tcW w:w="750" w:type="dxa"/>
            <w:vAlign w:val="center"/>
          </w:tcPr>
          <w:p w14:paraId="70511CA7">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21套</w:t>
            </w:r>
          </w:p>
        </w:tc>
      </w:tr>
      <w:tr w14:paraId="5F4C3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restart"/>
            <w:vAlign w:val="center"/>
          </w:tcPr>
          <w:p w14:paraId="0E4C7415">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50" w:type="dxa"/>
            <w:vMerge w:val="restart"/>
            <w:vAlign w:val="center"/>
          </w:tcPr>
          <w:p w14:paraId="260DF16B">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供电</w:t>
            </w:r>
          </w:p>
          <w:p w14:paraId="7FF35AA7">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系统</w:t>
            </w:r>
          </w:p>
          <w:p w14:paraId="35E9AF21">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（太</w:t>
            </w:r>
          </w:p>
          <w:p w14:paraId="60F06592">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阳</w:t>
            </w:r>
          </w:p>
          <w:p w14:paraId="0175710D">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能）</w:t>
            </w:r>
          </w:p>
        </w:tc>
        <w:tc>
          <w:tcPr>
            <w:tcW w:w="913" w:type="dxa"/>
            <w:vMerge w:val="restart"/>
            <w:vAlign w:val="center"/>
          </w:tcPr>
          <w:p w14:paraId="117EBF7D">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太阳能电池组件</w:t>
            </w:r>
          </w:p>
        </w:tc>
        <w:tc>
          <w:tcPr>
            <w:tcW w:w="6750" w:type="dxa"/>
          </w:tcPr>
          <w:p w14:paraId="4684E7FE">
            <w:pPr>
              <w:rPr>
                <w:rFonts w:hint="eastAsia" w:ascii="仿宋" w:hAnsi="仿宋" w:eastAsia="仿宋" w:cs="仿宋"/>
                <w:color w:val="auto"/>
                <w:sz w:val="24"/>
                <w:highlight w:val="none"/>
              </w:rPr>
            </w:pPr>
            <w:r>
              <w:rPr>
                <w:rFonts w:hint="eastAsia" w:ascii="仿宋" w:hAnsi="仿宋" w:eastAsia="仿宋" w:cs="仿宋"/>
                <w:color w:val="auto"/>
                <w:sz w:val="24"/>
                <w:highlight w:val="none"/>
              </w:rPr>
              <w:t>1、最大功率：330wp</w:t>
            </w:r>
          </w:p>
        </w:tc>
        <w:tc>
          <w:tcPr>
            <w:tcW w:w="750" w:type="dxa"/>
            <w:vMerge w:val="restart"/>
            <w:vAlign w:val="center"/>
          </w:tcPr>
          <w:p w14:paraId="73C4C87C">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96套</w:t>
            </w:r>
          </w:p>
        </w:tc>
      </w:tr>
      <w:tr w14:paraId="6012A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9020701">
            <w:pPr>
              <w:jc w:val="center"/>
              <w:rPr>
                <w:rFonts w:hint="eastAsia" w:ascii="仿宋" w:hAnsi="仿宋" w:eastAsia="仿宋" w:cs="仿宋"/>
                <w:color w:val="auto"/>
                <w:sz w:val="24"/>
                <w:highlight w:val="none"/>
              </w:rPr>
            </w:pPr>
          </w:p>
        </w:tc>
        <w:tc>
          <w:tcPr>
            <w:tcW w:w="850" w:type="dxa"/>
            <w:vMerge w:val="continue"/>
            <w:vAlign w:val="center"/>
          </w:tcPr>
          <w:p w14:paraId="2DD377F2">
            <w:pPr>
              <w:jc w:val="center"/>
              <w:rPr>
                <w:rFonts w:hint="eastAsia" w:ascii="仿宋" w:hAnsi="仿宋" w:eastAsia="仿宋" w:cs="仿宋"/>
                <w:color w:val="auto"/>
                <w:sz w:val="24"/>
                <w:highlight w:val="none"/>
              </w:rPr>
            </w:pPr>
          </w:p>
        </w:tc>
        <w:tc>
          <w:tcPr>
            <w:tcW w:w="913" w:type="dxa"/>
            <w:vMerge w:val="continue"/>
            <w:vAlign w:val="center"/>
          </w:tcPr>
          <w:p w14:paraId="24AD5CCD">
            <w:pPr>
              <w:jc w:val="center"/>
              <w:rPr>
                <w:rFonts w:hint="eastAsia" w:ascii="仿宋" w:hAnsi="仿宋" w:eastAsia="仿宋" w:cs="仿宋"/>
                <w:color w:val="auto"/>
                <w:sz w:val="24"/>
                <w:highlight w:val="none"/>
              </w:rPr>
            </w:pPr>
          </w:p>
        </w:tc>
        <w:tc>
          <w:tcPr>
            <w:tcW w:w="6750" w:type="dxa"/>
          </w:tcPr>
          <w:p w14:paraId="29CDEECE">
            <w:pPr>
              <w:rPr>
                <w:rFonts w:hint="eastAsia" w:ascii="仿宋" w:hAnsi="仿宋" w:eastAsia="仿宋" w:cs="仿宋"/>
                <w:color w:val="auto"/>
                <w:sz w:val="24"/>
                <w:highlight w:val="none"/>
              </w:rPr>
            </w:pPr>
            <w:r>
              <w:rPr>
                <w:rFonts w:hint="eastAsia" w:ascii="仿宋" w:hAnsi="仿宋" w:eastAsia="仿宋" w:cs="仿宋"/>
                <w:color w:val="auto"/>
                <w:sz w:val="24"/>
                <w:highlight w:val="none"/>
              </w:rPr>
              <w:t>2、最大工作电压：37.9V</w:t>
            </w:r>
          </w:p>
        </w:tc>
        <w:tc>
          <w:tcPr>
            <w:tcW w:w="750" w:type="dxa"/>
            <w:vMerge w:val="continue"/>
            <w:vAlign w:val="center"/>
          </w:tcPr>
          <w:p w14:paraId="5C4F0F81">
            <w:pPr>
              <w:jc w:val="center"/>
              <w:rPr>
                <w:rFonts w:hint="eastAsia" w:ascii="仿宋" w:hAnsi="仿宋" w:eastAsia="仿宋" w:cs="仿宋"/>
                <w:color w:val="auto"/>
                <w:sz w:val="24"/>
                <w:highlight w:val="none"/>
              </w:rPr>
            </w:pPr>
          </w:p>
        </w:tc>
      </w:tr>
      <w:tr w14:paraId="6DE3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471CD931">
            <w:pPr>
              <w:jc w:val="center"/>
              <w:rPr>
                <w:rFonts w:hint="eastAsia" w:ascii="仿宋" w:hAnsi="仿宋" w:eastAsia="仿宋" w:cs="仿宋"/>
                <w:color w:val="auto"/>
                <w:sz w:val="24"/>
                <w:highlight w:val="none"/>
              </w:rPr>
            </w:pPr>
          </w:p>
        </w:tc>
        <w:tc>
          <w:tcPr>
            <w:tcW w:w="850" w:type="dxa"/>
            <w:vMerge w:val="continue"/>
            <w:vAlign w:val="center"/>
          </w:tcPr>
          <w:p w14:paraId="38C4F8A1">
            <w:pPr>
              <w:jc w:val="center"/>
              <w:rPr>
                <w:rFonts w:hint="eastAsia" w:ascii="仿宋" w:hAnsi="仿宋" w:eastAsia="仿宋" w:cs="仿宋"/>
                <w:color w:val="auto"/>
                <w:sz w:val="24"/>
                <w:highlight w:val="none"/>
              </w:rPr>
            </w:pPr>
          </w:p>
        </w:tc>
        <w:tc>
          <w:tcPr>
            <w:tcW w:w="913" w:type="dxa"/>
            <w:vMerge w:val="continue"/>
            <w:vAlign w:val="center"/>
          </w:tcPr>
          <w:p w14:paraId="77830B6E">
            <w:pPr>
              <w:jc w:val="center"/>
              <w:rPr>
                <w:rFonts w:hint="eastAsia" w:ascii="仿宋" w:hAnsi="仿宋" w:eastAsia="仿宋" w:cs="仿宋"/>
                <w:color w:val="auto"/>
                <w:sz w:val="24"/>
                <w:highlight w:val="none"/>
              </w:rPr>
            </w:pPr>
          </w:p>
        </w:tc>
        <w:tc>
          <w:tcPr>
            <w:tcW w:w="6750" w:type="dxa"/>
          </w:tcPr>
          <w:p w14:paraId="795A7E15">
            <w:pPr>
              <w:rPr>
                <w:rFonts w:hint="eastAsia" w:ascii="仿宋" w:hAnsi="仿宋" w:eastAsia="仿宋" w:cs="仿宋"/>
                <w:color w:val="auto"/>
                <w:sz w:val="24"/>
                <w:highlight w:val="none"/>
              </w:rPr>
            </w:pPr>
            <w:r>
              <w:rPr>
                <w:rFonts w:hint="eastAsia" w:ascii="仿宋" w:hAnsi="仿宋" w:eastAsia="仿宋" w:cs="仿宋"/>
                <w:color w:val="auto"/>
                <w:sz w:val="24"/>
                <w:highlight w:val="none"/>
              </w:rPr>
              <w:t>3、最大工作电流：8.74A</w:t>
            </w:r>
          </w:p>
        </w:tc>
        <w:tc>
          <w:tcPr>
            <w:tcW w:w="750" w:type="dxa"/>
            <w:vMerge w:val="continue"/>
            <w:vAlign w:val="center"/>
          </w:tcPr>
          <w:p w14:paraId="1FA3E70A">
            <w:pPr>
              <w:jc w:val="center"/>
              <w:rPr>
                <w:rFonts w:hint="eastAsia" w:ascii="仿宋" w:hAnsi="仿宋" w:eastAsia="仿宋" w:cs="仿宋"/>
                <w:color w:val="auto"/>
                <w:sz w:val="24"/>
                <w:highlight w:val="none"/>
              </w:rPr>
            </w:pPr>
          </w:p>
        </w:tc>
      </w:tr>
      <w:tr w14:paraId="30A1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DF85EFB">
            <w:pPr>
              <w:jc w:val="center"/>
              <w:rPr>
                <w:rFonts w:hint="eastAsia" w:ascii="仿宋" w:hAnsi="仿宋" w:eastAsia="仿宋" w:cs="仿宋"/>
                <w:color w:val="auto"/>
                <w:sz w:val="24"/>
                <w:highlight w:val="none"/>
              </w:rPr>
            </w:pPr>
          </w:p>
        </w:tc>
        <w:tc>
          <w:tcPr>
            <w:tcW w:w="850" w:type="dxa"/>
            <w:vMerge w:val="continue"/>
            <w:vAlign w:val="center"/>
          </w:tcPr>
          <w:p w14:paraId="7C609BD2">
            <w:pPr>
              <w:jc w:val="center"/>
              <w:rPr>
                <w:rFonts w:hint="eastAsia" w:ascii="仿宋" w:hAnsi="仿宋" w:eastAsia="仿宋" w:cs="仿宋"/>
                <w:color w:val="auto"/>
                <w:sz w:val="24"/>
                <w:highlight w:val="none"/>
              </w:rPr>
            </w:pPr>
          </w:p>
        </w:tc>
        <w:tc>
          <w:tcPr>
            <w:tcW w:w="913" w:type="dxa"/>
            <w:vMerge w:val="continue"/>
            <w:vAlign w:val="center"/>
          </w:tcPr>
          <w:p w14:paraId="2146C2EC">
            <w:pPr>
              <w:jc w:val="center"/>
              <w:rPr>
                <w:rFonts w:hint="eastAsia" w:ascii="仿宋" w:hAnsi="仿宋" w:eastAsia="仿宋" w:cs="仿宋"/>
                <w:color w:val="auto"/>
                <w:sz w:val="24"/>
                <w:highlight w:val="none"/>
              </w:rPr>
            </w:pPr>
          </w:p>
        </w:tc>
        <w:tc>
          <w:tcPr>
            <w:tcW w:w="6750" w:type="dxa"/>
          </w:tcPr>
          <w:p w14:paraId="32B0A67C">
            <w:pPr>
              <w:rPr>
                <w:rFonts w:hint="eastAsia" w:ascii="仿宋" w:hAnsi="仿宋" w:eastAsia="仿宋" w:cs="仿宋"/>
                <w:color w:val="auto"/>
                <w:sz w:val="24"/>
                <w:highlight w:val="none"/>
              </w:rPr>
            </w:pPr>
            <w:r>
              <w:rPr>
                <w:rFonts w:hint="eastAsia" w:ascii="仿宋" w:hAnsi="仿宋" w:eastAsia="仿宋" w:cs="仿宋"/>
                <w:color w:val="auto"/>
                <w:sz w:val="24"/>
                <w:highlight w:val="none"/>
              </w:rPr>
              <w:t>4、开路电压:46.9V</w:t>
            </w:r>
          </w:p>
        </w:tc>
        <w:tc>
          <w:tcPr>
            <w:tcW w:w="750" w:type="dxa"/>
            <w:vMerge w:val="continue"/>
            <w:vAlign w:val="center"/>
          </w:tcPr>
          <w:p w14:paraId="3DEFB937">
            <w:pPr>
              <w:jc w:val="center"/>
              <w:rPr>
                <w:rFonts w:hint="eastAsia" w:ascii="仿宋" w:hAnsi="仿宋" w:eastAsia="仿宋" w:cs="仿宋"/>
                <w:color w:val="auto"/>
                <w:sz w:val="24"/>
                <w:highlight w:val="none"/>
              </w:rPr>
            </w:pPr>
          </w:p>
        </w:tc>
      </w:tr>
      <w:tr w14:paraId="58649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6662D76">
            <w:pPr>
              <w:jc w:val="center"/>
              <w:rPr>
                <w:rFonts w:hint="eastAsia" w:ascii="仿宋" w:hAnsi="仿宋" w:eastAsia="仿宋" w:cs="仿宋"/>
                <w:color w:val="auto"/>
                <w:sz w:val="24"/>
                <w:highlight w:val="none"/>
              </w:rPr>
            </w:pPr>
          </w:p>
        </w:tc>
        <w:tc>
          <w:tcPr>
            <w:tcW w:w="850" w:type="dxa"/>
            <w:vMerge w:val="continue"/>
            <w:vAlign w:val="center"/>
          </w:tcPr>
          <w:p w14:paraId="08EAEA1A">
            <w:pPr>
              <w:jc w:val="center"/>
              <w:rPr>
                <w:rFonts w:hint="eastAsia" w:ascii="仿宋" w:hAnsi="仿宋" w:eastAsia="仿宋" w:cs="仿宋"/>
                <w:color w:val="auto"/>
                <w:sz w:val="24"/>
                <w:highlight w:val="none"/>
              </w:rPr>
            </w:pPr>
          </w:p>
        </w:tc>
        <w:tc>
          <w:tcPr>
            <w:tcW w:w="913" w:type="dxa"/>
            <w:vMerge w:val="continue"/>
            <w:vAlign w:val="center"/>
          </w:tcPr>
          <w:p w14:paraId="37239FF1">
            <w:pPr>
              <w:jc w:val="center"/>
              <w:rPr>
                <w:rFonts w:hint="eastAsia" w:ascii="仿宋" w:hAnsi="仿宋" w:eastAsia="仿宋" w:cs="仿宋"/>
                <w:color w:val="auto"/>
                <w:sz w:val="24"/>
                <w:highlight w:val="none"/>
              </w:rPr>
            </w:pPr>
          </w:p>
        </w:tc>
        <w:tc>
          <w:tcPr>
            <w:tcW w:w="6750" w:type="dxa"/>
          </w:tcPr>
          <w:p w14:paraId="6CBBB8BD">
            <w:pPr>
              <w:rPr>
                <w:rFonts w:hint="eastAsia" w:ascii="仿宋" w:hAnsi="仿宋" w:eastAsia="仿宋" w:cs="仿宋"/>
                <w:color w:val="auto"/>
                <w:sz w:val="24"/>
                <w:highlight w:val="none"/>
              </w:rPr>
            </w:pPr>
            <w:r>
              <w:rPr>
                <w:rFonts w:hint="eastAsia" w:ascii="仿宋" w:hAnsi="仿宋" w:eastAsia="仿宋" w:cs="仿宋"/>
                <w:color w:val="auto"/>
                <w:sz w:val="24"/>
                <w:highlight w:val="none"/>
              </w:rPr>
              <w:t>5、短路电流:9. 14A</w:t>
            </w:r>
          </w:p>
        </w:tc>
        <w:tc>
          <w:tcPr>
            <w:tcW w:w="750" w:type="dxa"/>
            <w:vMerge w:val="continue"/>
            <w:vAlign w:val="center"/>
          </w:tcPr>
          <w:p w14:paraId="78AB22D8">
            <w:pPr>
              <w:jc w:val="center"/>
              <w:rPr>
                <w:rFonts w:hint="eastAsia" w:ascii="仿宋" w:hAnsi="仿宋" w:eastAsia="仿宋" w:cs="仿宋"/>
                <w:color w:val="auto"/>
                <w:sz w:val="24"/>
                <w:highlight w:val="none"/>
              </w:rPr>
            </w:pPr>
          </w:p>
        </w:tc>
      </w:tr>
      <w:tr w14:paraId="4E8D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27531B2B">
            <w:pPr>
              <w:jc w:val="center"/>
              <w:rPr>
                <w:rFonts w:hint="eastAsia" w:ascii="仿宋" w:hAnsi="仿宋" w:eastAsia="仿宋" w:cs="仿宋"/>
                <w:color w:val="auto"/>
                <w:sz w:val="24"/>
                <w:highlight w:val="none"/>
              </w:rPr>
            </w:pPr>
          </w:p>
        </w:tc>
        <w:tc>
          <w:tcPr>
            <w:tcW w:w="850" w:type="dxa"/>
            <w:vMerge w:val="continue"/>
            <w:vAlign w:val="center"/>
          </w:tcPr>
          <w:p w14:paraId="3A461418">
            <w:pPr>
              <w:jc w:val="center"/>
              <w:rPr>
                <w:rFonts w:hint="eastAsia" w:ascii="仿宋" w:hAnsi="仿宋" w:eastAsia="仿宋" w:cs="仿宋"/>
                <w:color w:val="auto"/>
                <w:sz w:val="24"/>
                <w:highlight w:val="none"/>
              </w:rPr>
            </w:pPr>
          </w:p>
        </w:tc>
        <w:tc>
          <w:tcPr>
            <w:tcW w:w="913" w:type="dxa"/>
            <w:vMerge w:val="continue"/>
            <w:vAlign w:val="center"/>
          </w:tcPr>
          <w:p w14:paraId="2D7D9D88">
            <w:pPr>
              <w:jc w:val="center"/>
              <w:rPr>
                <w:rFonts w:hint="eastAsia" w:ascii="仿宋" w:hAnsi="仿宋" w:eastAsia="仿宋" w:cs="仿宋"/>
                <w:color w:val="auto"/>
                <w:sz w:val="24"/>
                <w:highlight w:val="none"/>
              </w:rPr>
            </w:pPr>
          </w:p>
        </w:tc>
        <w:tc>
          <w:tcPr>
            <w:tcW w:w="6750" w:type="dxa"/>
          </w:tcPr>
          <w:p w14:paraId="471148D1">
            <w:pPr>
              <w:rPr>
                <w:rFonts w:hint="eastAsia" w:ascii="仿宋" w:hAnsi="仿宋" w:eastAsia="仿宋" w:cs="仿宋"/>
                <w:color w:val="auto"/>
                <w:sz w:val="24"/>
                <w:highlight w:val="none"/>
              </w:rPr>
            </w:pPr>
            <w:r>
              <w:rPr>
                <w:rFonts w:hint="eastAsia" w:ascii="仿宋" w:hAnsi="仿宋" w:eastAsia="仿宋" w:cs="仿宋"/>
                <w:color w:val="auto"/>
                <w:sz w:val="24"/>
                <w:highlight w:val="none"/>
              </w:rPr>
              <w:t>6、工作温度范围：-40℃ ~+85℃</w:t>
            </w:r>
          </w:p>
        </w:tc>
        <w:tc>
          <w:tcPr>
            <w:tcW w:w="750" w:type="dxa"/>
            <w:vMerge w:val="continue"/>
            <w:vAlign w:val="center"/>
          </w:tcPr>
          <w:p w14:paraId="7D234EAB">
            <w:pPr>
              <w:jc w:val="center"/>
              <w:rPr>
                <w:rFonts w:hint="eastAsia" w:ascii="仿宋" w:hAnsi="仿宋" w:eastAsia="仿宋" w:cs="仿宋"/>
                <w:color w:val="auto"/>
                <w:sz w:val="24"/>
                <w:highlight w:val="none"/>
              </w:rPr>
            </w:pPr>
          </w:p>
        </w:tc>
      </w:tr>
      <w:tr w14:paraId="6243A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3F0E55A">
            <w:pPr>
              <w:jc w:val="center"/>
              <w:rPr>
                <w:rFonts w:hint="eastAsia" w:ascii="仿宋" w:hAnsi="仿宋" w:eastAsia="仿宋" w:cs="仿宋"/>
                <w:color w:val="auto"/>
                <w:sz w:val="24"/>
                <w:highlight w:val="none"/>
              </w:rPr>
            </w:pPr>
          </w:p>
        </w:tc>
        <w:tc>
          <w:tcPr>
            <w:tcW w:w="850" w:type="dxa"/>
            <w:vMerge w:val="continue"/>
            <w:vAlign w:val="center"/>
          </w:tcPr>
          <w:p w14:paraId="3B9B7062">
            <w:pPr>
              <w:jc w:val="center"/>
              <w:rPr>
                <w:rFonts w:hint="eastAsia" w:ascii="仿宋" w:hAnsi="仿宋" w:eastAsia="仿宋" w:cs="仿宋"/>
                <w:color w:val="auto"/>
                <w:sz w:val="24"/>
                <w:highlight w:val="none"/>
              </w:rPr>
            </w:pPr>
          </w:p>
        </w:tc>
        <w:tc>
          <w:tcPr>
            <w:tcW w:w="913" w:type="dxa"/>
            <w:vMerge w:val="restart"/>
            <w:vAlign w:val="center"/>
          </w:tcPr>
          <w:p w14:paraId="55332C67">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太阳能控制器</w:t>
            </w:r>
          </w:p>
        </w:tc>
        <w:tc>
          <w:tcPr>
            <w:tcW w:w="6750" w:type="dxa"/>
          </w:tcPr>
          <w:p w14:paraId="273B4C3A">
            <w:pPr>
              <w:rPr>
                <w:rFonts w:hint="eastAsia" w:ascii="仿宋" w:hAnsi="仿宋" w:eastAsia="仿宋" w:cs="仿宋"/>
                <w:color w:val="auto"/>
                <w:sz w:val="24"/>
                <w:highlight w:val="none"/>
              </w:rPr>
            </w:pPr>
            <w:r>
              <w:rPr>
                <w:rFonts w:hint="eastAsia" w:ascii="仿宋" w:hAnsi="仿宋" w:eastAsia="仿宋" w:cs="仿宋"/>
                <w:color w:val="auto"/>
                <w:sz w:val="24"/>
                <w:highlight w:val="none"/>
              </w:rPr>
              <w:t>1、电池设置</w:t>
            </w:r>
          </w:p>
          <w:p w14:paraId="28E81A9F">
            <w:pPr>
              <w:rPr>
                <w:rFonts w:hint="eastAsia" w:ascii="仿宋" w:hAnsi="仿宋" w:eastAsia="仿宋" w:cs="仿宋"/>
                <w:color w:val="auto"/>
                <w:sz w:val="24"/>
                <w:highlight w:val="none"/>
              </w:rPr>
            </w:pPr>
            <w:r>
              <w:rPr>
                <w:rFonts w:hint="eastAsia" w:ascii="仿宋" w:hAnsi="仿宋" w:eastAsia="仿宋" w:cs="仿宋"/>
                <w:color w:val="auto"/>
                <w:sz w:val="24"/>
                <w:highlight w:val="none"/>
              </w:rPr>
              <w:t>均充电压：54.0 V/浮充电压：54.0 V/均充系数：-4.0m V/</w:t>
            </w:r>
          </w:p>
          <w:p w14:paraId="6B521F86">
            <w:pPr>
              <w:rPr>
                <w:rFonts w:hint="eastAsia" w:ascii="仿宋_GB2312" w:hAnsi="仿宋_GB2312" w:eastAsia="仿宋_GB2312" w:cs="仿宋_GB2312"/>
                <w:color w:val="auto"/>
                <w:spacing w:val="3"/>
                <w:sz w:val="24"/>
                <w:highlight w:val="none"/>
              </w:rPr>
            </w:pPr>
            <w:r>
              <w:rPr>
                <w:rFonts w:hint="eastAsia" w:ascii="仿宋" w:hAnsi="仿宋" w:eastAsia="仿宋" w:cs="仿宋"/>
                <w:color w:val="auto"/>
                <w:sz w:val="24"/>
                <w:highlight w:val="none"/>
              </w:rPr>
              <w:t>浮充系数:-3.0m V/软件一次下电压:47.0 V（可设置）/软件一次恢复电压:52.0 V（可设置）/软件二次下电压:43.0 V （可设置）/软件二次恢复电压:50.0 V（可设置） /硬件一次下电压:45.5 V/硬件一次恢复电压:48.5 V/硬件二次下电压:42.5 V/硬件二次恢复电压:49.5 V/过压下电过压:58.0 V/过压恢复电过压:56.0 V/均转浮充电压:55.2 V/浮转均充电压:51.0V</w:t>
            </w:r>
          </w:p>
        </w:tc>
        <w:tc>
          <w:tcPr>
            <w:tcW w:w="750" w:type="dxa"/>
            <w:vMerge w:val="restart"/>
            <w:vAlign w:val="center"/>
          </w:tcPr>
          <w:p w14:paraId="489048BF">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12套</w:t>
            </w:r>
          </w:p>
        </w:tc>
      </w:tr>
      <w:tr w14:paraId="1FED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81CB946">
            <w:pPr>
              <w:jc w:val="center"/>
              <w:rPr>
                <w:rFonts w:hint="eastAsia" w:ascii="仿宋" w:hAnsi="仿宋" w:eastAsia="仿宋" w:cs="仿宋"/>
                <w:color w:val="auto"/>
                <w:sz w:val="24"/>
                <w:highlight w:val="none"/>
              </w:rPr>
            </w:pPr>
          </w:p>
        </w:tc>
        <w:tc>
          <w:tcPr>
            <w:tcW w:w="850" w:type="dxa"/>
            <w:vMerge w:val="continue"/>
            <w:vAlign w:val="center"/>
          </w:tcPr>
          <w:p w14:paraId="60FCA3F2">
            <w:pPr>
              <w:jc w:val="center"/>
              <w:rPr>
                <w:rFonts w:hint="eastAsia" w:ascii="仿宋" w:hAnsi="仿宋" w:eastAsia="仿宋" w:cs="仿宋"/>
                <w:color w:val="auto"/>
                <w:sz w:val="24"/>
                <w:highlight w:val="none"/>
              </w:rPr>
            </w:pPr>
          </w:p>
        </w:tc>
        <w:tc>
          <w:tcPr>
            <w:tcW w:w="913" w:type="dxa"/>
            <w:vMerge w:val="continue"/>
            <w:vAlign w:val="center"/>
          </w:tcPr>
          <w:p w14:paraId="572A5BDF">
            <w:pPr>
              <w:jc w:val="center"/>
              <w:rPr>
                <w:rFonts w:hint="eastAsia" w:ascii="仿宋" w:hAnsi="仿宋" w:eastAsia="仿宋" w:cs="仿宋"/>
                <w:color w:val="auto"/>
                <w:sz w:val="24"/>
                <w:highlight w:val="none"/>
              </w:rPr>
            </w:pPr>
          </w:p>
        </w:tc>
        <w:tc>
          <w:tcPr>
            <w:tcW w:w="6750" w:type="dxa"/>
          </w:tcPr>
          <w:p w14:paraId="0F135581">
            <w:pPr>
              <w:rPr>
                <w:rFonts w:hint="eastAsia" w:ascii="仿宋" w:hAnsi="仿宋" w:eastAsia="仿宋" w:cs="仿宋"/>
                <w:color w:val="auto"/>
                <w:sz w:val="24"/>
                <w:highlight w:val="none"/>
              </w:rPr>
            </w:pPr>
            <w:r>
              <w:rPr>
                <w:rFonts w:hint="eastAsia" w:ascii="仿宋" w:hAnsi="仿宋" w:eastAsia="仿宋" w:cs="仿宋"/>
                <w:color w:val="auto"/>
                <w:sz w:val="24"/>
                <w:highlight w:val="none"/>
              </w:rPr>
              <w:t>2、通讯设置</w:t>
            </w:r>
          </w:p>
          <w:p w14:paraId="73C3E105">
            <w:pPr>
              <w:rPr>
                <w:rFonts w:hint="eastAsia" w:ascii="仿宋" w:hAnsi="仿宋" w:eastAsia="仿宋" w:cs="仿宋"/>
                <w:color w:val="auto"/>
                <w:sz w:val="24"/>
                <w:highlight w:val="none"/>
              </w:rPr>
            </w:pPr>
            <w:r>
              <w:rPr>
                <w:rFonts w:hint="eastAsia" w:ascii="仿宋" w:hAnsi="仿宋" w:eastAsia="仿宋" w:cs="仿宋"/>
                <w:color w:val="auto"/>
                <w:sz w:val="24"/>
                <w:highlight w:val="none"/>
              </w:rPr>
              <w:t>定时开关机：支持/波特率：115200/通讯协议：支持/语言</w:t>
            </w:r>
          </w:p>
          <w:p w14:paraId="3C9C6EA2">
            <w:pPr>
              <w:rPr>
                <w:rFonts w:hint="eastAsia" w:ascii="仿宋" w:hAnsi="仿宋" w:eastAsia="仿宋" w:cs="仿宋"/>
                <w:color w:val="auto"/>
                <w:sz w:val="24"/>
                <w:highlight w:val="none"/>
              </w:rPr>
            </w:pPr>
            <w:r>
              <w:rPr>
                <w:rFonts w:hint="eastAsia" w:ascii="仿宋" w:hAnsi="仿宋" w:eastAsia="仿宋" w:cs="仿宋"/>
                <w:color w:val="auto"/>
                <w:sz w:val="24"/>
                <w:highlight w:val="none"/>
              </w:rPr>
              <w:t>选择： 中文</w:t>
            </w:r>
          </w:p>
        </w:tc>
        <w:tc>
          <w:tcPr>
            <w:tcW w:w="750" w:type="dxa"/>
            <w:vMerge w:val="continue"/>
          </w:tcPr>
          <w:p w14:paraId="584D1365">
            <w:pPr>
              <w:rPr>
                <w:rFonts w:hint="eastAsia" w:ascii="仿宋" w:hAnsi="仿宋" w:eastAsia="仿宋" w:cs="仿宋"/>
                <w:color w:val="auto"/>
                <w:sz w:val="24"/>
                <w:highlight w:val="none"/>
              </w:rPr>
            </w:pPr>
          </w:p>
        </w:tc>
      </w:tr>
      <w:tr w14:paraId="41B1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310D7A9">
            <w:pPr>
              <w:jc w:val="center"/>
              <w:rPr>
                <w:rFonts w:hint="eastAsia" w:ascii="仿宋" w:hAnsi="仿宋" w:eastAsia="仿宋" w:cs="仿宋"/>
                <w:color w:val="auto"/>
                <w:sz w:val="24"/>
                <w:highlight w:val="none"/>
              </w:rPr>
            </w:pPr>
          </w:p>
        </w:tc>
        <w:tc>
          <w:tcPr>
            <w:tcW w:w="850" w:type="dxa"/>
            <w:vMerge w:val="continue"/>
            <w:vAlign w:val="center"/>
          </w:tcPr>
          <w:p w14:paraId="382E2C23">
            <w:pPr>
              <w:jc w:val="center"/>
              <w:rPr>
                <w:rFonts w:hint="eastAsia" w:ascii="仿宋" w:hAnsi="仿宋" w:eastAsia="仿宋" w:cs="仿宋"/>
                <w:color w:val="auto"/>
                <w:sz w:val="24"/>
                <w:highlight w:val="none"/>
              </w:rPr>
            </w:pPr>
          </w:p>
        </w:tc>
        <w:tc>
          <w:tcPr>
            <w:tcW w:w="913" w:type="dxa"/>
            <w:vMerge w:val="continue"/>
            <w:vAlign w:val="center"/>
          </w:tcPr>
          <w:p w14:paraId="5E6007F7">
            <w:pPr>
              <w:jc w:val="center"/>
              <w:rPr>
                <w:rFonts w:hint="eastAsia" w:ascii="仿宋" w:hAnsi="仿宋" w:eastAsia="仿宋" w:cs="仿宋"/>
                <w:color w:val="auto"/>
                <w:sz w:val="24"/>
                <w:highlight w:val="none"/>
              </w:rPr>
            </w:pPr>
          </w:p>
        </w:tc>
        <w:tc>
          <w:tcPr>
            <w:tcW w:w="6750" w:type="dxa"/>
          </w:tcPr>
          <w:p w14:paraId="251E89FD">
            <w:pPr>
              <w:rPr>
                <w:rFonts w:hint="eastAsia" w:ascii="仿宋" w:hAnsi="仿宋" w:eastAsia="仿宋" w:cs="仿宋"/>
                <w:color w:val="auto"/>
                <w:sz w:val="24"/>
                <w:highlight w:val="none"/>
              </w:rPr>
            </w:pPr>
            <w:r>
              <w:rPr>
                <w:rFonts w:hint="eastAsia" w:ascii="仿宋" w:hAnsi="仿宋" w:eastAsia="仿宋" w:cs="仿宋"/>
                <w:color w:val="auto"/>
                <w:sz w:val="24"/>
                <w:highlight w:val="none"/>
              </w:rPr>
              <w:t>3、输入特性</w:t>
            </w:r>
          </w:p>
          <w:p w14:paraId="1FA08109">
            <w:pPr>
              <w:rPr>
                <w:rFonts w:hint="eastAsia" w:ascii="仿宋" w:hAnsi="仿宋" w:eastAsia="仿宋" w:cs="仿宋"/>
                <w:color w:val="auto"/>
                <w:sz w:val="24"/>
                <w:highlight w:val="none"/>
              </w:rPr>
            </w:pPr>
            <w:r>
              <w:rPr>
                <w:rFonts w:hint="eastAsia" w:ascii="仿宋" w:hAnsi="仿宋" w:eastAsia="仿宋" w:cs="仿宋"/>
                <w:color w:val="auto"/>
                <w:sz w:val="24"/>
                <w:highlight w:val="none"/>
              </w:rPr>
              <w:t>输入电压范围：DC(57.5V—150V）/额定输入电压：</w:t>
            </w:r>
          </w:p>
          <w:p w14:paraId="6B82ECBD">
            <w:pPr>
              <w:rPr>
                <w:rFonts w:hint="eastAsia" w:ascii="仿宋" w:hAnsi="仿宋" w:eastAsia="仿宋" w:cs="仿宋"/>
                <w:color w:val="auto"/>
                <w:sz w:val="24"/>
                <w:highlight w:val="none"/>
              </w:rPr>
            </w:pPr>
            <w:r>
              <w:rPr>
                <w:rFonts w:hint="eastAsia" w:ascii="仿宋" w:hAnsi="仿宋" w:eastAsia="仿宋" w:cs="仿宋"/>
                <w:color w:val="auto"/>
                <w:sz w:val="24"/>
                <w:highlight w:val="none"/>
              </w:rPr>
              <w:t>DC72V/标称输入电压：DC(57.5—108V）/最大输入电压：DC160V/最大输入电流：100A</w:t>
            </w:r>
          </w:p>
        </w:tc>
        <w:tc>
          <w:tcPr>
            <w:tcW w:w="750" w:type="dxa"/>
            <w:vMerge w:val="continue"/>
          </w:tcPr>
          <w:p w14:paraId="18C110E3">
            <w:pPr>
              <w:rPr>
                <w:rFonts w:hint="eastAsia" w:ascii="仿宋" w:hAnsi="仿宋" w:eastAsia="仿宋" w:cs="仿宋"/>
                <w:color w:val="auto"/>
                <w:sz w:val="24"/>
                <w:highlight w:val="none"/>
              </w:rPr>
            </w:pPr>
          </w:p>
        </w:tc>
      </w:tr>
      <w:tr w14:paraId="03E0C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6B84C2E">
            <w:pPr>
              <w:jc w:val="center"/>
              <w:rPr>
                <w:rFonts w:hint="eastAsia" w:ascii="仿宋" w:hAnsi="仿宋" w:eastAsia="仿宋" w:cs="仿宋"/>
                <w:color w:val="auto"/>
                <w:sz w:val="24"/>
                <w:highlight w:val="none"/>
              </w:rPr>
            </w:pPr>
          </w:p>
        </w:tc>
        <w:tc>
          <w:tcPr>
            <w:tcW w:w="850" w:type="dxa"/>
            <w:vMerge w:val="continue"/>
            <w:vAlign w:val="center"/>
          </w:tcPr>
          <w:p w14:paraId="774F772B">
            <w:pPr>
              <w:jc w:val="center"/>
              <w:rPr>
                <w:rFonts w:hint="eastAsia" w:ascii="仿宋" w:hAnsi="仿宋" w:eastAsia="仿宋" w:cs="仿宋"/>
                <w:color w:val="auto"/>
                <w:sz w:val="24"/>
                <w:highlight w:val="none"/>
              </w:rPr>
            </w:pPr>
          </w:p>
        </w:tc>
        <w:tc>
          <w:tcPr>
            <w:tcW w:w="913" w:type="dxa"/>
            <w:vMerge w:val="continue"/>
            <w:vAlign w:val="center"/>
          </w:tcPr>
          <w:p w14:paraId="3E9BB37E">
            <w:pPr>
              <w:jc w:val="center"/>
              <w:rPr>
                <w:rFonts w:hint="eastAsia" w:ascii="仿宋" w:hAnsi="仿宋" w:eastAsia="仿宋" w:cs="仿宋"/>
                <w:color w:val="auto"/>
                <w:sz w:val="24"/>
                <w:highlight w:val="none"/>
              </w:rPr>
            </w:pPr>
          </w:p>
        </w:tc>
        <w:tc>
          <w:tcPr>
            <w:tcW w:w="6750" w:type="dxa"/>
          </w:tcPr>
          <w:p w14:paraId="7641C0D0">
            <w:pPr>
              <w:rPr>
                <w:rFonts w:hint="eastAsia" w:ascii="仿宋" w:hAnsi="仿宋" w:eastAsia="仿宋" w:cs="仿宋"/>
                <w:color w:val="auto"/>
                <w:sz w:val="24"/>
                <w:highlight w:val="none"/>
              </w:rPr>
            </w:pPr>
            <w:r>
              <w:rPr>
                <w:rFonts w:hint="eastAsia" w:ascii="仿宋" w:hAnsi="仿宋" w:eastAsia="仿宋" w:cs="仿宋"/>
                <w:color w:val="auto"/>
                <w:sz w:val="24"/>
                <w:highlight w:val="none"/>
              </w:rPr>
              <w:t>4、输出特性</w:t>
            </w:r>
          </w:p>
          <w:p w14:paraId="538ED5CF">
            <w:pPr>
              <w:rPr>
                <w:rFonts w:hint="eastAsia" w:ascii="仿宋" w:hAnsi="仿宋" w:eastAsia="仿宋" w:cs="仿宋"/>
                <w:color w:val="auto"/>
                <w:sz w:val="24"/>
                <w:highlight w:val="none"/>
              </w:rPr>
            </w:pPr>
            <w:r>
              <w:rPr>
                <w:rFonts w:hint="eastAsia" w:ascii="仿宋" w:hAnsi="仿宋" w:eastAsia="仿宋" w:cs="仿宋"/>
                <w:color w:val="auto"/>
                <w:sz w:val="24"/>
                <w:highlight w:val="none"/>
              </w:rPr>
              <w:t>额定功率：5800W（DC57.5V—108V）/输出电压整定</w:t>
            </w:r>
          </w:p>
          <w:p w14:paraId="29AD55EB">
            <w:pPr>
              <w:rPr>
                <w:rFonts w:hint="eastAsia" w:ascii="仿宋" w:hAnsi="仿宋" w:eastAsia="仿宋" w:cs="仿宋"/>
                <w:color w:val="auto"/>
                <w:sz w:val="24"/>
                <w:highlight w:val="none"/>
              </w:rPr>
            </w:pPr>
            <w:r>
              <w:rPr>
                <w:rFonts w:hint="eastAsia" w:ascii="仿宋" w:hAnsi="仿宋" w:eastAsia="仿宋" w:cs="仿宋"/>
                <w:color w:val="auto"/>
                <w:sz w:val="24"/>
                <w:highlight w:val="none"/>
              </w:rPr>
              <w:t>值：54.5V/输出电压可调范围：43-60V/源效应：±0.2%/负载效应：±0.3%/稳压精度：±0.5%/额定电流：100A</w:t>
            </w:r>
          </w:p>
          <w:p w14:paraId="79C5EB8A">
            <w:pPr>
              <w:rPr>
                <w:rFonts w:hint="eastAsia" w:ascii="仿宋" w:hAnsi="仿宋" w:eastAsia="仿宋" w:cs="仿宋"/>
                <w:color w:val="auto"/>
                <w:sz w:val="24"/>
                <w:highlight w:val="none"/>
              </w:rPr>
            </w:pPr>
            <w:r>
              <w:rPr>
                <w:rFonts w:hint="eastAsia" w:ascii="仿宋" w:hAnsi="仿宋" w:eastAsia="仿宋" w:cs="仿宋"/>
                <w:color w:val="auto"/>
                <w:sz w:val="24"/>
                <w:highlight w:val="none"/>
              </w:rPr>
              <w:t>/峰值电流：105A/均流不平衡度： ≤±5%（5%至 100%负载测试）/转换效率： ≥93%（5%至 100%负载测试）/杂音电压： ≤20mV/蓄电池充电电流：Max 100A/允许最大负载电流：30A（一次下电 30A ，二次下电 30A）/空开数量：一次下电 2 个（16A ，32A），二次下电 2 个（16A， 32A）</w:t>
            </w:r>
          </w:p>
        </w:tc>
        <w:tc>
          <w:tcPr>
            <w:tcW w:w="750" w:type="dxa"/>
            <w:vMerge w:val="continue"/>
          </w:tcPr>
          <w:p w14:paraId="38E9FECD">
            <w:pPr>
              <w:rPr>
                <w:rFonts w:hint="eastAsia" w:ascii="仿宋" w:hAnsi="仿宋" w:eastAsia="仿宋" w:cs="仿宋"/>
                <w:color w:val="auto"/>
                <w:sz w:val="24"/>
                <w:highlight w:val="none"/>
              </w:rPr>
            </w:pPr>
          </w:p>
        </w:tc>
      </w:tr>
      <w:tr w14:paraId="154FD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6142247A">
            <w:pPr>
              <w:jc w:val="center"/>
              <w:rPr>
                <w:rFonts w:hint="eastAsia" w:ascii="仿宋" w:hAnsi="仿宋" w:eastAsia="仿宋" w:cs="仿宋"/>
                <w:color w:val="auto"/>
                <w:sz w:val="24"/>
                <w:highlight w:val="none"/>
              </w:rPr>
            </w:pPr>
          </w:p>
        </w:tc>
        <w:tc>
          <w:tcPr>
            <w:tcW w:w="850" w:type="dxa"/>
            <w:vMerge w:val="continue"/>
            <w:vAlign w:val="center"/>
          </w:tcPr>
          <w:p w14:paraId="417E50D6">
            <w:pPr>
              <w:jc w:val="center"/>
              <w:rPr>
                <w:rFonts w:hint="eastAsia" w:ascii="仿宋" w:hAnsi="仿宋" w:eastAsia="仿宋" w:cs="仿宋"/>
                <w:color w:val="auto"/>
                <w:sz w:val="24"/>
                <w:highlight w:val="none"/>
              </w:rPr>
            </w:pPr>
          </w:p>
        </w:tc>
        <w:tc>
          <w:tcPr>
            <w:tcW w:w="913" w:type="dxa"/>
            <w:vMerge w:val="continue"/>
            <w:vAlign w:val="center"/>
          </w:tcPr>
          <w:p w14:paraId="25EFE687">
            <w:pPr>
              <w:jc w:val="center"/>
              <w:rPr>
                <w:rFonts w:hint="eastAsia" w:ascii="仿宋" w:hAnsi="仿宋" w:eastAsia="仿宋" w:cs="仿宋"/>
                <w:color w:val="auto"/>
                <w:sz w:val="24"/>
                <w:highlight w:val="none"/>
              </w:rPr>
            </w:pPr>
          </w:p>
        </w:tc>
        <w:tc>
          <w:tcPr>
            <w:tcW w:w="6750" w:type="dxa"/>
          </w:tcPr>
          <w:p w14:paraId="7F6B9923">
            <w:pPr>
              <w:rPr>
                <w:rFonts w:hint="eastAsia" w:ascii="仿宋" w:hAnsi="仿宋" w:eastAsia="仿宋" w:cs="仿宋"/>
                <w:color w:val="auto"/>
                <w:sz w:val="24"/>
                <w:highlight w:val="none"/>
              </w:rPr>
            </w:pPr>
            <w:r>
              <w:rPr>
                <w:rFonts w:hint="eastAsia" w:ascii="仿宋" w:hAnsi="仿宋" w:eastAsia="仿宋" w:cs="仿宋"/>
                <w:color w:val="auto"/>
                <w:sz w:val="24"/>
                <w:highlight w:val="none"/>
              </w:rPr>
              <w:t>5、保护功能</w:t>
            </w:r>
          </w:p>
          <w:p w14:paraId="5DDEDA96">
            <w:pPr>
              <w:rPr>
                <w:rFonts w:hint="eastAsia" w:ascii="仿宋" w:hAnsi="仿宋" w:eastAsia="仿宋" w:cs="仿宋"/>
                <w:color w:val="auto"/>
                <w:sz w:val="24"/>
                <w:highlight w:val="none"/>
              </w:rPr>
            </w:pPr>
            <w:r>
              <w:rPr>
                <w:rFonts w:hint="eastAsia" w:ascii="仿宋" w:hAnsi="仿宋" w:eastAsia="仿宋" w:cs="仿宋"/>
                <w:color w:val="auto"/>
                <w:sz w:val="24"/>
                <w:highlight w:val="none"/>
              </w:rPr>
              <w:t>模块故障报警：声、光报警/输出限流保护：额定电流的105%-110%（限流输出）/输出短路保护：保护后需要重启模块/输出过压保护： ≥60V 输出关断（输出电压小于56V 后恢复正常）/输入过压保护： ≥150V 输出关断（模块重启恢复）/输入欠压保护： ≤43V 输出关断（ 电压正常后可自动恢复）/过温保护：60℃—70℃减容工作，温度降低到 55℃后正常工作；大于 70℃后控制器关机，温</w:t>
            </w:r>
          </w:p>
          <w:p w14:paraId="49748488">
            <w:pPr>
              <w:rPr>
                <w:rFonts w:hint="eastAsia" w:ascii="仿宋" w:hAnsi="仿宋" w:eastAsia="仿宋" w:cs="仿宋"/>
                <w:color w:val="auto"/>
                <w:sz w:val="24"/>
                <w:highlight w:val="none"/>
              </w:rPr>
            </w:pPr>
            <w:r>
              <w:rPr>
                <w:rFonts w:hint="eastAsia" w:ascii="仿宋" w:hAnsi="仿宋" w:eastAsia="仿宋" w:cs="仿宋"/>
                <w:color w:val="auto"/>
                <w:sz w:val="24"/>
                <w:highlight w:val="none"/>
              </w:rPr>
              <w:t>度降低到 55℃后正常工作</w:t>
            </w:r>
          </w:p>
        </w:tc>
        <w:tc>
          <w:tcPr>
            <w:tcW w:w="750" w:type="dxa"/>
            <w:vMerge w:val="continue"/>
          </w:tcPr>
          <w:p w14:paraId="160D3FA8">
            <w:pPr>
              <w:rPr>
                <w:rFonts w:hint="eastAsia" w:ascii="仿宋" w:hAnsi="仿宋" w:eastAsia="仿宋" w:cs="仿宋"/>
                <w:color w:val="auto"/>
                <w:sz w:val="24"/>
                <w:highlight w:val="none"/>
              </w:rPr>
            </w:pPr>
          </w:p>
        </w:tc>
      </w:tr>
      <w:tr w14:paraId="2782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34DBE65">
            <w:pPr>
              <w:jc w:val="center"/>
              <w:rPr>
                <w:rFonts w:hint="eastAsia" w:ascii="仿宋" w:hAnsi="仿宋" w:eastAsia="仿宋" w:cs="仿宋"/>
                <w:color w:val="auto"/>
                <w:sz w:val="24"/>
                <w:highlight w:val="none"/>
              </w:rPr>
            </w:pPr>
          </w:p>
        </w:tc>
        <w:tc>
          <w:tcPr>
            <w:tcW w:w="850" w:type="dxa"/>
            <w:vMerge w:val="continue"/>
            <w:vAlign w:val="center"/>
          </w:tcPr>
          <w:p w14:paraId="488DFC3C">
            <w:pPr>
              <w:jc w:val="center"/>
              <w:rPr>
                <w:rFonts w:hint="eastAsia" w:ascii="仿宋" w:hAnsi="仿宋" w:eastAsia="仿宋" w:cs="仿宋"/>
                <w:color w:val="auto"/>
                <w:sz w:val="24"/>
                <w:highlight w:val="none"/>
              </w:rPr>
            </w:pPr>
          </w:p>
        </w:tc>
        <w:tc>
          <w:tcPr>
            <w:tcW w:w="913" w:type="dxa"/>
            <w:vMerge w:val="restart"/>
            <w:vAlign w:val="center"/>
          </w:tcPr>
          <w:p w14:paraId="0A1277F2">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铅酸蓄电池</w:t>
            </w:r>
          </w:p>
        </w:tc>
        <w:tc>
          <w:tcPr>
            <w:tcW w:w="6750" w:type="dxa"/>
          </w:tcPr>
          <w:p w14:paraId="019032D8">
            <w:pPr>
              <w:rPr>
                <w:rFonts w:hint="eastAsia" w:ascii="仿宋" w:hAnsi="仿宋" w:eastAsia="仿宋" w:cs="仿宋"/>
                <w:color w:val="auto"/>
                <w:sz w:val="24"/>
                <w:highlight w:val="none"/>
              </w:rPr>
            </w:pPr>
            <w:r>
              <w:rPr>
                <w:rFonts w:hint="eastAsia" w:ascii="仿宋" w:hAnsi="仿宋" w:eastAsia="仿宋" w:cs="仿宋"/>
                <w:color w:val="auto"/>
                <w:sz w:val="24"/>
                <w:highlight w:val="none"/>
              </w:rPr>
              <w:t>1、自放电率≤2%</w:t>
            </w:r>
          </w:p>
        </w:tc>
        <w:tc>
          <w:tcPr>
            <w:tcW w:w="750" w:type="dxa"/>
            <w:vMerge w:val="restart"/>
            <w:vAlign w:val="center"/>
          </w:tcPr>
          <w:p w14:paraId="13FB373A">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96块</w:t>
            </w:r>
          </w:p>
        </w:tc>
      </w:tr>
      <w:tr w14:paraId="4EB45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1924445">
            <w:pPr>
              <w:jc w:val="center"/>
              <w:rPr>
                <w:rFonts w:hint="eastAsia" w:ascii="仿宋" w:hAnsi="仿宋" w:eastAsia="仿宋" w:cs="仿宋"/>
                <w:color w:val="auto"/>
                <w:sz w:val="24"/>
                <w:highlight w:val="none"/>
              </w:rPr>
            </w:pPr>
          </w:p>
        </w:tc>
        <w:tc>
          <w:tcPr>
            <w:tcW w:w="850" w:type="dxa"/>
            <w:vMerge w:val="continue"/>
            <w:vAlign w:val="center"/>
          </w:tcPr>
          <w:p w14:paraId="7351F6B3">
            <w:pPr>
              <w:jc w:val="center"/>
              <w:rPr>
                <w:rFonts w:hint="eastAsia" w:ascii="仿宋" w:hAnsi="仿宋" w:eastAsia="仿宋" w:cs="仿宋"/>
                <w:color w:val="auto"/>
                <w:sz w:val="24"/>
                <w:highlight w:val="none"/>
              </w:rPr>
            </w:pPr>
          </w:p>
        </w:tc>
        <w:tc>
          <w:tcPr>
            <w:tcW w:w="913" w:type="dxa"/>
            <w:vMerge w:val="continue"/>
            <w:vAlign w:val="center"/>
          </w:tcPr>
          <w:p w14:paraId="2A721B47">
            <w:pPr>
              <w:jc w:val="center"/>
              <w:rPr>
                <w:rFonts w:hint="eastAsia" w:ascii="仿宋" w:hAnsi="仿宋" w:eastAsia="仿宋" w:cs="仿宋"/>
                <w:color w:val="auto"/>
                <w:sz w:val="24"/>
                <w:highlight w:val="none"/>
              </w:rPr>
            </w:pPr>
          </w:p>
        </w:tc>
        <w:tc>
          <w:tcPr>
            <w:tcW w:w="6750" w:type="dxa"/>
          </w:tcPr>
          <w:p w14:paraId="768D3C25">
            <w:pPr>
              <w:rPr>
                <w:rFonts w:hint="eastAsia" w:ascii="仿宋" w:hAnsi="仿宋" w:eastAsia="仿宋" w:cs="仿宋"/>
                <w:color w:val="auto"/>
                <w:sz w:val="24"/>
                <w:highlight w:val="none"/>
              </w:rPr>
            </w:pPr>
            <w:r>
              <w:rPr>
                <w:rFonts w:hint="eastAsia" w:ascii="仿宋" w:hAnsi="仿宋" w:eastAsia="仿宋" w:cs="仿宋"/>
                <w:color w:val="auto"/>
                <w:sz w:val="24"/>
                <w:highlight w:val="none"/>
              </w:rPr>
              <w:t>2、设计寿命是 5 年</w:t>
            </w:r>
          </w:p>
        </w:tc>
        <w:tc>
          <w:tcPr>
            <w:tcW w:w="750" w:type="dxa"/>
            <w:vMerge w:val="continue"/>
            <w:vAlign w:val="center"/>
          </w:tcPr>
          <w:p w14:paraId="234950FA">
            <w:pPr>
              <w:jc w:val="center"/>
              <w:rPr>
                <w:rFonts w:hint="eastAsia" w:ascii="仿宋" w:hAnsi="仿宋" w:eastAsia="仿宋" w:cs="仿宋"/>
                <w:color w:val="auto"/>
                <w:sz w:val="24"/>
                <w:highlight w:val="none"/>
              </w:rPr>
            </w:pPr>
          </w:p>
        </w:tc>
      </w:tr>
      <w:tr w14:paraId="04F5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76C51DE5">
            <w:pPr>
              <w:jc w:val="center"/>
              <w:rPr>
                <w:rFonts w:hint="eastAsia" w:ascii="仿宋" w:hAnsi="仿宋" w:eastAsia="仿宋" w:cs="仿宋"/>
                <w:color w:val="auto"/>
                <w:sz w:val="24"/>
                <w:highlight w:val="none"/>
              </w:rPr>
            </w:pPr>
          </w:p>
        </w:tc>
        <w:tc>
          <w:tcPr>
            <w:tcW w:w="850" w:type="dxa"/>
            <w:vMerge w:val="continue"/>
            <w:vAlign w:val="center"/>
          </w:tcPr>
          <w:p w14:paraId="0318CB90">
            <w:pPr>
              <w:jc w:val="center"/>
              <w:rPr>
                <w:rFonts w:hint="eastAsia" w:ascii="仿宋" w:hAnsi="仿宋" w:eastAsia="仿宋" w:cs="仿宋"/>
                <w:color w:val="auto"/>
                <w:sz w:val="24"/>
                <w:highlight w:val="none"/>
              </w:rPr>
            </w:pPr>
          </w:p>
        </w:tc>
        <w:tc>
          <w:tcPr>
            <w:tcW w:w="913" w:type="dxa"/>
            <w:vMerge w:val="continue"/>
            <w:vAlign w:val="center"/>
          </w:tcPr>
          <w:p w14:paraId="6946000B">
            <w:pPr>
              <w:jc w:val="center"/>
              <w:rPr>
                <w:rFonts w:hint="eastAsia" w:ascii="仿宋" w:hAnsi="仿宋" w:eastAsia="仿宋" w:cs="仿宋"/>
                <w:color w:val="auto"/>
                <w:sz w:val="24"/>
                <w:highlight w:val="none"/>
              </w:rPr>
            </w:pPr>
          </w:p>
        </w:tc>
        <w:tc>
          <w:tcPr>
            <w:tcW w:w="6750" w:type="dxa"/>
          </w:tcPr>
          <w:p w14:paraId="3D7C90B2">
            <w:pPr>
              <w:rPr>
                <w:rFonts w:hint="eastAsia" w:ascii="仿宋" w:hAnsi="仿宋" w:eastAsia="仿宋" w:cs="仿宋"/>
                <w:color w:val="auto"/>
                <w:sz w:val="24"/>
                <w:highlight w:val="none"/>
              </w:rPr>
            </w:pPr>
            <w:r>
              <w:rPr>
                <w:rFonts w:hint="eastAsia" w:ascii="仿宋" w:hAnsi="仿宋" w:eastAsia="仿宋" w:cs="仿宋"/>
                <w:color w:val="auto"/>
                <w:sz w:val="24"/>
                <w:highlight w:val="none"/>
              </w:rPr>
              <w:t>3、尺寸：长 522*宽 240*高 219*（高 240 含端子）</w:t>
            </w:r>
          </w:p>
        </w:tc>
        <w:tc>
          <w:tcPr>
            <w:tcW w:w="750" w:type="dxa"/>
            <w:vMerge w:val="continue"/>
            <w:vAlign w:val="center"/>
          </w:tcPr>
          <w:p w14:paraId="6EC7E051">
            <w:pPr>
              <w:jc w:val="center"/>
              <w:rPr>
                <w:rFonts w:hint="eastAsia" w:ascii="仿宋" w:hAnsi="仿宋" w:eastAsia="仿宋" w:cs="仿宋"/>
                <w:color w:val="auto"/>
                <w:sz w:val="24"/>
                <w:highlight w:val="none"/>
              </w:rPr>
            </w:pPr>
          </w:p>
        </w:tc>
      </w:tr>
      <w:tr w14:paraId="36781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76064E9">
            <w:pPr>
              <w:jc w:val="center"/>
              <w:rPr>
                <w:rFonts w:hint="eastAsia" w:ascii="仿宋" w:hAnsi="仿宋" w:eastAsia="仿宋" w:cs="仿宋"/>
                <w:color w:val="auto"/>
                <w:sz w:val="24"/>
                <w:highlight w:val="none"/>
              </w:rPr>
            </w:pPr>
          </w:p>
        </w:tc>
        <w:tc>
          <w:tcPr>
            <w:tcW w:w="850" w:type="dxa"/>
            <w:vMerge w:val="continue"/>
            <w:vAlign w:val="center"/>
          </w:tcPr>
          <w:p w14:paraId="280C1E8E">
            <w:pPr>
              <w:jc w:val="center"/>
              <w:rPr>
                <w:rFonts w:hint="eastAsia" w:ascii="仿宋" w:hAnsi="仿宋" w:eastAsia="仿宋" w:cs="仿宋"/>
                <w:color w:val="auto"/>
                <w:sz w:val="24"/>
                <w:highlight w:val="none"/>
              </w:rPr>
            </w:pPr>
          </w:p>
        </w:tc>
        <w:tc>
          <w:tcPr>
            <w:tcW w:w="913" w:type="dxa"/>
            <w:vMerge w:val="continue"/>
            <w:vAlign w:val="center"/>
          </w:tcPr>
          <w:p w14:paraId="73FCF43E">
            <w:pPr>
              <w:jc w:val="center"/>
              <w:rPr>
                <w:rFonts w:hint="eastAsia" w:ascii="仿宋" w:hAnsi="仿宋" w:eastAsia="仿宋" w:cs="仿宋"/>
                <w:color w:val="auto"/>
                <w:sz w:val="24"/>
                <w:highlight w:val="none"/>
              </w:rPr>
            </w:pPr>
          </w:p>
        </w:tc>
        <w:tc>
          <w:tcPr>
            <w:tcW w:w="6750" w:type="dxa"/>
          </w:tcPr>
          <w:p w14:paraId="4A32D360">
            <w:pPr>
              <w:rPr>
                <w:rFonts w:hint="eastAsia" w:ascii="仿宋" w:hAnsi="仿宋" w:eastAsia="仿宋" w:cs="仿宋"/>
                <w:color w:val="auto"/>
                <w:sz w:val="24"/>
                <w:highlight w:val="none"/>
              </w:rPr>
            </w:pPr>
            <w:r>
              <w:rPr>
                <w:rFonts w:hint="eastAsia" w:ascii="仿宋" w:hAnsi="仿宋" w:eastAsia="仿宋" w:cs="仿宋"/>
                <w:color w:val="auto"/>
                <w:sz w:val="24"/>
                <w:highlight w:val="none"/>
              </w:rPr>
              <w:t>4、重量：55.5kg</w:t>
            </w:r>
          </w:p>
        </w:tc>
        <w:tc>
          <w:tcPr>
            <w:tcW w:w="750" w:type="dxa"/>
            <w:vMerge w:val="continue"/>
            <w:vAlign w:val="center"/>
          </w:tcPr>
          <w:p w14:paraId="1AE3F699">
            <w:pPr>
              <w:jc w:val="center"/>
              <w:rPr>
                <w:rFonts w:hint="eastAsia" w:ascii="仿宋" w:hAnsi="仿宋" w:eastAsia="仿宋" w:cs="仿宋"/>
                <w:color w:val="auto"/>
                <w:sz w:val="24"/>
                <w:highlight w:val="none"/>
              </w:rPr>
            </w:pPr>
          </w:p>
        </w:tc>
      </w:tr>
      <w:tr w14:paraId="6FD5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7B9AF01">
            <w:pPr>
              <w:jc w:val="center"/>
              <w:rPr>
                <w:rFonts w:hint="eastAsia" w:ascii="仿宋" w:hAnsi="仿宋" w:eastAsia="仿宋" w:cs="仿宋"/>
                <w:color w:val="auto"/>
                <w:sz w:val="24"/>
                <w:highlight w:val="none"/>
              </w:rPr>
            </w:pPr>
          </w:p>
        </w:tc>
        <w:tc>
          <w:tcPr>
            <w:tcW w:w="850" w:type="dxa"/>
            <w:vMerge w:val="continue"/>
            <w:vAlign w:val="center"/>
          </w:tcPr>
          <w:p w14:paraId="697B9945">
            <w:pPr>
              <w:jc w:val="center"/>
              <w:rPr>
                <w:rFonts w:hint="eastAsia" w:ascii="仿宋" w:hAnsi="仿宋" w:eastAsia="仿宋" w:cs="仿宋"/>
                <w:color w:val="auto"/>
                <w:sz w:val="24"/>
                <w:highlight w:val="none"/>
              </w:rPr>
            </w:pPr>
          </w:p>
        </w:tc>
        <w:tc>
          <w:tcPr>
            <w:tcW w:w="913" w:type="dxa"/>
            <w:vMerge w:val="restart"/>
            <w:vAlign w:val="center"/>
          </w:tcPr>
          <w:p w14:paraId="45B3D916">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电池柜</w:t>
            </w:r>
          </w:p>
        </w:tc>
        <w:tc>
          <w:tcPr>
            <w:tcW w:w="6750" w:type="dxa"/>
          </w:tcPr>
          <w:p w14:paraId="1F9C05D9">
            <w:pPr>
              <w:rPr>
                <w:rFonts w:hint="eastAsia" w:ascii="仿宋" w:hAnsi="仿宋" w:eastAsia="仿宋" w:cs="仿宋"/>
                <w:color w:val="auto"/>
                <w:sz w:val="24"/>
                <w:highlight w:val="none"/>
              </w:rPr>
            </w:pPr>
            <w:r>
              <w:rPr>
                <w:rFonts w:hint="eastAsia" w:ascii="仿宋" w:hAnsi="仿宋" w:eastAsia="仿宋" w:cs="仿宋"/>
                <w:color w:val="auto"/>
                <w:sz w:val="24"/>
                <w:highlight w:val="none"/>
              </w:rPr>
              <w:t>1、可配置 8 块，上下两层，每层 4 块电池</w:t>
            </w:r>
          </w:p>
        </w:tc>
        <w:tc>
          <w:tcPr>
            <w:tcW w:w="750" w:type="dxa"/>
            <w:vMerge w:val="restart"/>
            <w:vAlign w:val="center"/>
          </w:tcPr>
          <w:p w14:paraId="3F991C0A">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12套</w:t>
            </w:r>
          </w:p>
        </w:tc>
      </w:tr>
      <w:tr w14:paraId="7119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6E909790">
            <w:pPr>
              <w:jc w:val="center"/>
              <w:rPr>
                <w:rFonts w:hint="eastAsia" w:ascii="仿宋" w:hAnsi="仿宋" w:eastAsia="仿宋" w:cs="仿宋"/>
                <w:color w:val="auto"/>
                <w:sz w:val="24"/>
                <w:highlight w:val="none"/>
              </w:rPr>
            </w:pPr>
          </w:p>
        </w:tc>
        <w:tc>
          <w:tcPr>
            <w:tcW w:w="850" w:type="dxa"/>
            <w:vMerge w:val="continue"/>
            <w:vAlign w:val="center"/>
          </w:tcPr>
          <w:p w14:paraId="3C1374E9">
            <w:pPr>
              <w:jc w:val="center"/>
              <w:rPr>
                <w:rFonts w:hint="eastAsia" w:ascii="仿宋" w:hAnsi="仿宋" w:eastAsia="仿宋" w:cs="仿宋"/>
                <w:color w:val="auto"/>
                <w:sz w:val="24"/>
                <w:highlight w:val="none"/>
              </w:rPr>
            </w:pPr>
          </w:p>
        </w:tc>
        <w:tc>
          <w:tcPr>
            <w:tcW w:w="913" w:type="dxa"/>
            <w:vMerge w:val="continue"/>
            <w:vAlign w:val="center"/>
          </w:tcPr>
          <w:p w14:paraId="5178E363">
            <w:pPr>
              <w:jc w:val="center"/>
              <w:rPr>
                <w:rFonts w:hint="eastAsia" w:ascii="仿宋" w:hAnsi="仿宋" w:eastAsia="仿宋" w:cs="仿宋"/>
                <w:color w:val="auto"/>
                <w:sz w:val="24"/>
                <w:highlight w:val="none"/>
              </w:rPr>
            </w:pPr>
          </w:p>
        </w:tc>
        <w:tc>
          <w:tcPr>
            <w:tcW w:w="6750" w:type="dxa"/>
          </w:tcPr>
          <w:p w14:paraId="25B83784">
            <w:pPr>
              <w:rPr>
                <w:rFonts w:hint="eastAsia" w:ascii="仿宋" w:hAnsi="仿宋" w:eastAsia="仿宋" w:cs="仿宋"/>
                <w:color w:val="auto"/>
                <w:sz w:val="24"/>
                <w:highlight w:val="none"/>
              </w:rPr>
            </w:pPr>
            <w:r>
              <w:rPr>
                <w:rFonts w:hint="eastAsia" w:ascii="仿宋" w:hAnsi="仿宋" w:eastAsia="仿宋" w:cs="仿宋"/>
                <w:color w:val="auto"/>
                <w:sz w:val="24"/>
                <w:highlight w:val="none"/>
              </w:rPr>
              <w:t>2、尺寸：1150*600*850 mm</w:t>
            </w:r>
          </w:p>
        </w:tc>
        <w:tc>
          <w:tcPr>
            <w:tcW w:w="750" w:type="dxa"/>
            <w:vMerge w:val="continue"/>
            <w:vAlign w:val="center"/>
          </w:tcPr>
          <w:p w14:paraId="273681AC">
            <w:pPr>
              <w:jc w:val="center"/>
              <w:rPr>
                <w:rFonts w:hint="eastAsia" w:ascii="仿宋" w:hAnsi="仿宋" w:eastAsia="仿宋" w:cs="仿宋"/>
                <w:color w:val="auto"/>
                <w:sz w:val="24"/>
                <w:highlight w:val="none"/>
              </w:rPr>
            </w:pPr>
          </w:p>
        </w:tc>
      </w:tr>
      <w:tr w14:paraId="3A10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745ACAD6">
            <w:pPr>
              <w:jc w:val="center"/>
              <w:rPr>
                <w:rFonts w:hint="eastAsia" w:ascii="仿宋" w:hAnsi="仿宋" w:eastAsia="仿宋" w:cs="仿宋"/>
                <w:color w:val="auto"/>
                <w:sz w:val="24"/>
                <w:highlight w:val="none"/>
              </w:rPr>
            </w:pPr>
          </w:p>
        </w:tc>
        <w:tc>
          <w:tcPr>
            <w:tcW w:w="850" w:type="dxa"/>
            <w:vMerge w:val="continue"/>
            <w:vAlign w:val="center"/>
          </w:tcPr>
          <w:p w14:paraId="5A247A3D">
            <w:pPr>
              <w:jc w:val="center"/>
              <w:rPr>
                <w:rFonts w:hint="eastAsia" w:ascii="仿宋" w:hAnsi="仿宋" w:eastAsia="仿宋" w:cs="仿宋"/>
                <w:color w:val="auto"/>
                <w:sz w:val="24"/>
                <w:highlight w:val="none"/>
              </w:rPr>
            </w:pPr>
          </w:p>
        </w:tc>
        <w:tc>
          <w:tcPr>
            <w:tcW w:w="913" w:type="dxa"/>
            <w:vMerge w:val="continue"/>
            <w:vAlign w:val="center"/>
          </w:tcPr>
          <w:p w14:paraId="447251CC">
            <w:pPr>
              <w:jc w:val="center"/>
              <w:rPr>
                <w:rFonts w:hint="eastAsia" w:ascii="仿宋" w:hAnsi="仿宋" w:eastAsia="仿宋" w:cs="仿宋"/>
                <w:color w:val="auto"/>
                <w:sz w:val="24"/>
                <w:highlight w:val="none"/>
              </w:rPr>
            </w:pPr>
          </w:p>
        </w:tc>
        <w:tc>
          <w:tcPr>
            <w:tcW w:w="6750" w:type="dxa"/>
          </w:tcPr>
          <w:p w14:paraId="70B8DE91">
            <w:pPr>
              <w:rPr>
                <w:rFonts w:hint="eastAsia" w:ascii="仿宋" w:hAnsi="仿宋" w:eastAsia="仿宋" w:cs="仿宋"/>
                <w:color w:val="auto"/>
                <w:sz w:val="24"/>
                <w:highlight w:val="none"/>
              </w:rPr>
            </w:pPr>
            <w:r>
              <w:rPr>
                <w:rFonts w:hint="eastAsia" w:ascii="仿宋" w:hAnsi="仿宋" w:eastAsia="仿宋" w:cs="仿宋"/>
                <w:color w:val="auto"/>
                <w:sz w:val="24"/>
                <w:highlight w:val="none"/>
              </w:rPr>
              <w:t>3、材质：钢板</w:t>
            </w:r>
          </w:p>
        </w:tc>
        <w:tc>
          <w:tcPr>
            <w:tcW w:w="750" w:type="dxa"/>
            <w:vMerge w:val="continue"/>
            <w:vAlign w:val="center"/>
          </w:tcPr>
          <w:p w14:paraId="7F3F4A3F">
            <w:pPr>
              <w:jc w:val="center"/>
              <w:rPr>
                <w:rFonts w:hint="eastAsia" w:ascii="仿宋" w:hAnsi="仿宋" w:eastAsia="仿宋" w:cs="仿宋"/>
                <w:color w:val="auto"/>
                <w:sz w:val="24"/>
                <w:highlight w:val="none"/>
              </w:rPr>
            </w:pPr>
          </w:p>
        </w:tc>
      </w:tr>
      <w:tr w14:paraId="0985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EEEAF80">
            <w:pPr>
              <w:jc w:val="center"/>
              <w:rPr>
                <w:rFonts w:hint="eastAsia" w:ascii="仿宋" w:hAnsi="仿宋" w:eastAsia="仿宋" w:cs="仿宋"/>
                <w:color w:val="auto"/>
                <w:sz w:val="24"/>
                <w:highlight w:val="none"/>
              </w:rPr>
            </w:pPr>
          </w:p>
        </w:tc>
        <w:tc>
          <w:tcPr>
            <w:tcW w:w="850" w:type="dxa"/>
            <w:vMerge w:val="continue"/>
            <w:vAlign w:val="center"/>
          </w:tcPr>
          <w:p w14:paraId="45CF9485">
            <w:pPr>
              <w:jc w:val="center"/>
              <w:rPr>
                <w:rFonts w:hint="eastAsia" w:ascii="仿宋" w:hAnsi="仿宋" w:eastAsia="仿宋" w:cs="仿宋"/>
                <w:color w:val="auto"/>
                <w:sz w:val="24"/>
                <w:highlight w:val="none"/>
              </w:rPr>
            </w:pPr>
          </w:p>
        </w:tc>
        <w:tc>
          <w:tcPr>
            <w:tcW w:w="913" w:type="dxa"/>
            <w:vMerge w:val="continue"/>
            <w:vAlign w:val="center"/>
          </w:tcPr>
          <w:p w14:paraId="4781960C">
            <w:pPr>
              <w:jc w:val="center"/>
              <w:rPr>
                <w:rFonts w:hint="eastAsia" w:ascii="仿宋" w:hAnsi="仿宋" w:eastAsia="仿宋" w:cs="仿宋"/>
                <w:color w:val="auto"/>
                <w:sz w:val="24"/>
                <w:highlight w:val="none"/>
              </w:rPr>
            </w:pPr>
          </w:p>
        </w:tc>
        <w:tc>
          <w:tcPr>
            <w:tcW w:w="6750" w:type="dxa"/>
          </w:tcPr>
          <w:p w14:paraId="51661B22">
            <w:pPr>
              <w:rPr>
                <w:rFonts w:hint="eastAsia" w:ascii="仿宋" w:hAnsi="仿宋" w:eastAsia="仿宋" w:cs="仿宋"/>
                <w:color w:val="auto"/>
                <w:sz w:val="24"/>
                <w:highlight w:val="none"/>
              </w:rPr>
            </w:pPr>
            <w:r>
              <w:rPr>
                <w:rFonts w:hint="eastAsia" w:ascii="仿宋" w:hAnsi="仿宋" w:eastAsia="仿宋" w:cs="仿宋"/>
                <w:color w:val="auto"/>
                <w:sz w:val="24"/>
                <w:highlight w:val="none"/>
              </w:rPr>
              <w:t>4、板材厚度：1.5mm</w:t>
            </w:r>
          </w:p>
        </w:tc>
        <w:tc>
          <w:tcPr>
            <w:tcW w:w="750" w:type="dxa"/>
            <w:vMerge w:val="continue"/>
            <w:vAlign w:val="center"/>
          </w:tcPr>
          <w:p w14:paraId="552BB9D9">
            <w:pPr>
              <w:jc w:val="center"/>
              <w:rPr>
                <w:rFonts w:hint="eastAsia" w:ascii="仿宋" w:hAnsi="仿宋" w:eastAsia="仿宋" w:cs="仿宋"/>
                <w:color w:val="auto"/>
                <w:sz w:val="24"/>
                <w:highlight w:val="none"/>
              </w:rPr>
            </w:pPr>
          </w:p>
        </w:tc>
      </w:tr>
      <w:tr w14:paraId="7AEB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646AE00F">
            <w:pPr>
              <w:jc w:val="center"/>
              <w:rPr>
                <w:rFonts w:hint="eastAsia" w:ascii="仿宋" w:hAnsi="仿宋" w:eastAsia="仿宋" w:cs="仿宋"/>
                <w:color w:val="auto"/>
                <w:sz w:val="24"/>
                <w:highlight w:val="none"/>
              </w:rPr>
            </w:pPr>
          </w:p>
        </w:tc>
        <w:tc>
          <w:tcPr>
            <w:tcW w:w="850" w:type="dxa"/>
            <w:vMerge w:val="continue"/>
            <w:vAlign w:val="center"/>
          </w:tcPr>
          <w:p w14:paraId="732295AF">
            <w:pPr>
              <w:jc w:val="center"/>
              <w:rPr>
                <w:rFonts w:hint="eastAsia" w:ascii="仿宋" w:hAnsi="仿宋" w:eastAsia="仿宋" w:cs="仿宋"/>
                <w:color w:val="auto"/>
                <w:sz w:val="24"/>
                <w:highlight w:val="none"/>
              </w:rPr>
            </w:pPr>
          </w:p>
        </w:tc>
        <w:tc>
          <w:tcPr>
            <w:tcW w:w="913" w:type="dxa"/>
            <w:vMerge w:val="continue"/>
            <w:vAlign w:val="center"/>
          </w:tcPr>
          <w:p w14:paraId="10D54C8B">
            <w:pPr>
              <w:jc w:val="center"/>
              <w:rPr>
                <w:rFonts w:hint="eastAsia" w:ascii="仿宋" w:hAnsi="仿宋" w:eastAsia="仿宋" w:cs="仿宋"/>
                <w:color w:val="auto"/>
                <w:sz w:val="24"/>
                <w:highlight w:val="none"/>
              </w:rPr>
            </w:pPr>
          </w:p>
        </w:tc>
        <w:tc>
          <w:tcPr>
            <w:tcW w:w="6750" w:type="dxa"/>
          </w:tcPr>
          <w:p w14:paraId="61E62E9C">
            <w:pPr>
              <w:rPr>
                <w:rFonts w:hint="eastAsia" w:ascii="仿宋" w:hAnsi="仿宋" w:eastAsia="仿宋" w:cs="仿宋"/>
                <w:color w:val="auto"/>
                <w:sz w:val="24"/>
                <w:highlight w:val="none"/>
              </w:rPr>
            </w:pPr>
            <w:r>
              <w:rPr>
                <w:rFonts w:hint="eastAsia" w:ascii="仿宋" w:hAnsi="仿宋" w:eastAsia="仿宋" w:cs="仿宋"/>
                <w:color w:val="auto"/>
                <w:sz w:val="24"/>
                <w:highlight w:val="none"/>
              </w:rPr>
              <w:t>5、防腐蚀</w:t>
            </w:r>
          </w:p>
        </w:tc>
        <w:tc>
          <w:tcPr>
            <w:tcW w:w="750" w:type="dxa"/>
            <w:vMerge w:val="continue"/>
            <w:vAlign w:val="center"/>
          </w:tcPr>
          <w:p w14:paraId="569706C3">
            <w:pPr>
              <w:jc w:val="center"/>
              <w:rPr>
                <w:rFonts w:hint="eastAsia" w:ascii="仿宋" w:hAnsi="仿宋" w:eastAsia="仿宋" w:cs="仿宋"/>
                <w:color w:val="auto"/>
                <w:sz w:val="24"/>
                <w:highlight w:val="none"/>
              </w:rPr>
            </w:pPr>
          </w:p>
        </w:tc>
      </w:tr>
      <w:tr w14:paraId="677B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255F442">
            <w:pPr>
              <w:jc w:val="center"/>
              <w:rPr>
                <w:rFonts w:hint="eastAsia" w:ascii="仿宋" w:hAnsi="仿宋" w:eastAsia="仿宋" w:cs="仿宋"/>
                <w:color w:val="auto"/>
                <w:sz w:val="24"/>
                <w:highlight w:val="none"/>
              </w:rPr>
            </w:pPr>
          </w:p>
        </w:tc>
        <w:tc>
          <w:tcPr>
            <w:tcW w:w="850" w:type="dxa"/>
            <w:vMerge w:val="continue"/>
            <w:vAlign w:val="center"/>
          </w:tcPr>
          <w:p w14:paraId="26885288">
            <w:pPr>
              <w:jc w:val="center"/>
              <w:rPr>
                <w:rFonts w:hint="eastAsia" w:ascii="仿宋" w:hAnsi="仿宋" w:eastAsia="仿宋" w:cs="仿宋"/>
                <w:color w:val="auto"/>
                <w:sz w:val="24"/>
                <w:highlight w:val="none"/>
              </w:rPr>
            </w:pPr>
          </w:p>
        </w:tc>
        <w:tc>
          <w:tcPr>
            <w:tcW w:w="913" w:type="dxa"/>
            <w:vMerge w:val="continue"/>
            <w:vAlign w:val="center"/>
          </w:tcPr>
          <w:p w14:paraId="56D2FAFB">
            <w:pPr>
              <w:jc w:val="center"/>
              <w:rPr>
                <w:rFonts w:hint="eastAsia" w:ascii="仿宋" w:hAnsi="仿宋" w:eastAsia="仿宋" w:cs="仿宋"/>
                <w:color w:val="auto"/>
                <w:sz w:val="24"/>
                <w:highlight w:val="none"/>
              </w:rPr>
            </w:pPr>
          </w:p>
        </w:tc>
        <w:tc>
          <w:tcPr>
            <w:tcW w:w="6750" w:type="dxa"/>
          </w:tcPr>
          <w:p w14:paraId="76F34546">
            <w:pPr>
              <w:rPr>
                <w:rFonts w:hint="eastAsia" w:ascii="仿宋" w:hAnsi="仿宋" w:eastAsia="仿宋" w:cs="仿宋"/>
                <w:color w:val="auto"/>
                <w:sz w:val="24"/>
                <w:highlight w:val="none"/>
              </w:rPr>
            </w:pPr>
            <w:r>
              <w:rPr>
                <w:rFonts w:hint="eastAsia" w:ascii="仿宋" w:hAnsi="仿宋" w:eastAsia="仿宋" w:cs="仿宋"/>
                <w:color w:val="auto"/>
                <w:sz w:val="24"/>
                <w:highlight w:val="none"/>
              </w:rPr>
              <w:t>6、需考虑电池承重的问题，每块电池 55.5kg</w:t>
            </w:r>
          </w:p>
        </w:tc>
        <w:tc>
          <w:tcPr>
            <w:tcW w:w="750" w:type="dxa"/>
            <w:vMerge w:val="continue"/>
            <w:vAlign w:val="center"/>
          </w:tcPr>
          <w:p w14:paraId="6DB58351">
            <w:pPr>
              <w:jc w:val="center"/>
              <w:rPr>
                <w:rFonts w:hint="eastAsia" w:ascii="仿宋" w:hAnsi="仿宋" w:eastAsia="仿宋" w:cs="仿宋"/>
                <w:color w:val="auto"/>
                <w:sz w:val="24"/>
                <w:highlight w:val="none"/>
              </w:rPr>
            </w:pPr>
          </w:p>
        </w:tc>
      </w:tr>
      <w:tr w14:paraId="2600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D04AEA8">
            <w:pPr>
              <w:jc w:val="center"/>
              <w:rPr>
                <w:rFonts w:hint="eastAsia" w:ascii="仿宋" w:hAnsi="仿宋" w:eastAsia="仿宋" w:cs="仿宋"/>
                <w:color w:val="auto"/>
                <w:sz w:val="24"/>
                <w:highlight w:val="none"/>
              </w:rPr>
            </w:pPr>
          </w:p>
        </w:tc>
        <w:tc>
          <w:tcPr>
            <w:tcW w:w="850" w:type="dxa"/>
            <w:vMerge w:val="continue"/>
            <w:vAlign w:val="center"/>
          </w:tcPr>
          <w:p w14:paraId="07AD2605">
            <w:pPr>
              <w:jc w:val="center"/>
              <w:rPr>
                <w:rFonts w:hint="eastAsia" w:ascii="仿宋" w:hAnsi="仿宋" w:eastAsia="仿宋" w:cs="仿宋"/>
                <w:color w:val="auto"/>
                <w:sz w:val="24"/>
                <w:highlight w:val="none"/>
              </w:rPr>
            </w:pPr>
          </w:p>
        </w:tc>
        <w:tc>
          <w:tcPr>
            <w:tcW w:w="913" w:type="dxa"/>
            <w:vMerge w:val="restart"/>
            <w:vAlign w:val="center"/>
          </w:tcPr>
          <w:p w14:paraId="18985021">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室外工程箱</w:t>
            </w:r>
          </w:p>
        </w:tc>
        <w:tc>
          <w:tcPr>
            <w:tcW w:w="6750" w:type="dxa"/>
            <w:vAlign w:val="center"/>
          </w:tcPr>
          <w:p w14:paraId="2646D250">
            <w:pPr>
              <w:rPr>
                <w:rFonts w:hint="eastAsia" w:ascii="仿宋" w:hAnsi="仿宋" w:eastAsia="仿宋" w:cs="仿宋"/>
                <w:color w:val="auto"/>
                <w:sz w:val="24"/>
                <w:highlight w:val="none"/>
              </w:rPr>
            </w:pPr>
            <w:r>
              <w:rPr>
                <w:rFonts w:hint="eastAsia" w:ascii="仿宋" w:hAnsi="仿宋" w:eastAsia="仿宋" w:cs="仿宋"/>
                <w:color w:val="auto"/>
                <w:sz w:val="24"/>
                <w:highlight w:val="none"/>
              </w:rPr>
              <w:t>1、优于500*400*250</w:t>
            </w:r>
          </w:p>
        </w:tc>
        <w:tc>
          <w:tcPr>
            <w:tcW w:w="750" w:type="dxa"/>
            <w:vMerge w:val="restart"/>
            <w:vAlign w:val="center"/>
          </w:tcPr>
          <w:p w14:paraId="05FF161E">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12套</w:t>
            </w:r>
          </w:p>
        </w:tc>
      </w:tr>
      <w:tr w14:paraId="4CB3E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6E2D5CFD">
            <w:pPr>
              <w:jc w:val="center"/>
              <w:rPr>
                <w:rFonts w:hint="eastAsia" w:ascii="仿宋" w:hAnsi="仿宋" w:eastAsia="仿宋" w:cs="仿宋"/>
                <w:color w:val="auto"/>
                <w:sz w:val="24"/>
                <w:highlight w:val="none"/>
              </w:rPr>
            </w:pPr>
          </w:p>
        </w:tc>
        <w:tc>
          <w:tcPr>
            <w:tcW w:w="850" w:type="dxa"/>
            <w:vMerge w:val="continue"/>
            <w:vAlign w:val="center"/>
          </w:tcPr>
          <w:p w14:paraId="5D553AE9">
            <w:pPr>
              <w:jc w:val="center"/>
              <w:rPr>
                <w:rFonts w:hint="eastAsia" w:ascii="仿宋" w:hAnsi="仿宋" w:eastAsia="仿宋" w:cs="仿宋"/>
                <w:color w:val="auto"/>
                <w:sz w:val="24"/>
                <w:highlight w:val="none"/>
              </w:rPr>
            </w:pPr>
          </w:p>
        </w:tc>
        <w:tc>
          <w:tcPr>
            <w:tcW w:w="913" w:type="dxa"/>
            <w:vMerge w:val="continue"/>
            <w:vAlign w:val="center"/>
          </w:tcPr>
          <w:p w14:paraId="29C1F727">
            <w:pPr>
              <w:jc w:val="center"/>
              <w:rPr>
                <w:rFonts w:hint="eastAsia" w:ascii="仿宋" w:hAnsi="仿宋" w:eastAsia="仿宋" w:cs="仿宋"/>
                <w:color w:val="auto"/>
                <w:sz w:val="24"/>
                <w:highlight w:val="none"/>
              </w:rPr>
            </w:pPr>
          </w:p>
        </w:tc>
        <w:tc>
          <w:tcPr>
            <w:tcW w:w="6750" w:type="dxa"/>
            <w:vAlign w:val="center"/>
          </w:tcPr>
          <w:p w14:paraId="11336C56">
            <w:pPr>
              <w:rPr>
                <w:rFonts w:hint="eastAsia" w:ascii="仿宋" w:hAnsi="仿宋" w:eastAsia="仿宋" w:cs="仿宋"/>
                <w:color w:val="auto"/>
                <w:sz w:val="24"/>
                <w:highlight w:val="none"/>
              </w:rPr>
            </w:pPr>
            <w:r>
              <w:rPr>
                <w:rFonts w:hint="eastAsia" w:ascii="仿宋" w:hAnsi="仿宋" w:eastAsia="仿宋" w:cs="仿宋"/>
                <w:color w:val="auto"/>
                <w:sz w:val="24"/>
                <w:highlight w:val="none"/>
              </w:rPr>
              <w:t>2、防护等级IP55</w:t>
            </w:r>
          </w:p>
        </w:tc>
        <w:tc>
          <w:tcPr>
            <w:tcW w:w="750" w:type="dxa"/>
            <w:vMerge w:val="continue"/>
            <w:vAlign w:val="center"/>
          </w:tcPr>
          <w:p w14:paraId="7CCFD88F">
            <w:pPr>
              <w:jc w:val="center"/>
              <w:rPr>
                <w:rFonts w:hint="eastAsia" w:ascii="仿宋" w:hAnsi="仿宋" w:eastAsia="仿宋" w:cs="仿宋"/>
                <w:color w:val="auto"/>
                <w:sz w:val="24"/>
                <w:highlight w:val="none"/>
              </w:rPr>
            </w:pPr>
          </w:p>
        </w:tc>
      </w:tr>
      <w:tr w14:paraId="5A105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2C4F1AD1">
            <w:pPr>
              <w:jc w:val="center"/>
              <w:rPr>
                <w:rFonts w:hint="eastAsia" w:ascii="仿宋" w:hAnsi="仿宋" w:eastAsia="仿宋" w:cs="仿宋"/>
                <w:color w:val="auto"/>
                <w:sz w:val="24"/>
                <w:highlight w:val="none"/>
              </w:rPr>
            </w:pPr>
          </w:p>
        </w:tc>
        <w:tc>
          <w:tcPr>
            <w:tcW w:w="850" w:type="dxa"/>
            <w:vMerge w:val="continue"/>
            <w:vAlign w:val="center"/>
          </w:tcPr>
          <w:p w14:paraId="71C48902">
            <w:pPr>
              <w:jc w:val="center"/>
              <w:rPr>
                <w:rFonts w:hint="eastAsia" w:ascii="仿宋" w:hAnsi="仿宋" w:eastAsia="仿宋" w:cs="仿宋"/>
                <w:color w:val="auto"/>
                <w:sz w:val="24"/>
                <w:highlight w:val="none"/>
              </w:rPr>
            </w:pPr>
          </w:p>
        </w:tc>
        <w:tc>
          <w:tcPr>
            <w:tcW w:w="913" w:type="dxa"/>
            <w:vMerge w:val="continue"/>
            <w:vAlign w:val="center"/>
          </w:tcPr>
          <w:p w14:paraId="1BC8FDB3">
            <w:pPr>
              <w:jc w:val="center"/>
              <w:rPr>
                <w:rFonts w:hint="eastAsia" w:ascii="仿宋" w:hAnsi="仿宋" w:eastAsia="仿宋" w:cs="仿宋"/>
                <w:color w:val="auto"/>
                <w:sz w:val="24"/>
                <w:highlight w:val="none"/>
              </w:rPr>
            </w:pPr>
          </w:p>
        </w:tc>
        <w:tc>
          <w:tcPr>
            <w:tcW w:w="6750" w:type="dxa"/>
          </w:tcPr>
          <w:p w14:paraId="08B98C21">
            <w:pPr>
              <w:rPr>
                <w:rFonts w:hint="eastAsia" w:ascii="仿宋" w:hAnsi="仿宋" w:eastAsia="仿宋" w:cs="仿宋"/>
                <w:color w:val="auto"/>
                <w:sz w:val="24"/>
                <w:highlight w:val="none"/>
              </w:rPr>
            </w:pPr>
            <w:r>
              <w:rPr>
                <w:rFonts w:hint="eastAsia" w:ascii="仿宋" w:hAnsi="仿宋" w:eastAsia="仿宋" w:cs="仿宋"/>
                <w:color w:val="auto"/>
                <w:sz w:val="24"/>
                <w:highlight w:val="none"/>
              </w:rPr>
              <w:t>3、板材厚度1.5mm</w:t>
            </w:r>
          </w:p>
        </w:tc>
        <w:tc>
          <w:tcPr>
            <w:tcW w:w="750" w:type="dxa"/>
            <w:vMerge w:val="continue"/>
            <w:vAlign w:val="center"/>
          </w:tcPr>
          <w:p w14:paraId="51418822">
            <w:pPr>
              <w:jc w:val="center"/>
              <w:rPr>
                <w:rFonts w:hint="eastAsia" w:ascii="仿宋" w:hAnsi="仿宋" w:eastAsia="仿宋" w:cs="仿宋"/>
                <w:color w:val="auto"/>
                <w:sz w:val="24"/>
                <w:highlight w:val="none"/>
              </w:rPr>
            </w:pPr>
          </w:p>
        </w:tc>
      </w:tr>
      <w:tr w14:paraId="1E36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401BDE94">
            <w:pPr>
              <w:jc w:val="center"/>
              <w:rPr>
                <w:rFonts w:hint="eastAsia" w:ascii="仿宋" w:hAnsi="仿宋" w:eastAsia="仿宋" w:cs="仿宋"/>
                <w:color w:val="auto"/>
                <w:sz w:val="24"/>
                <w:highlight w:val="none"/>
              </w:rPr>
            </w:pPr>
          </w:p>
        </w:tc>
        <w:tc>
          <w:tcPr>
            <w:tcW w:w="850" w:type="dxa"/>
            <w:vMerge w:val="continue"/>
            <w:vAlign w:val="center"/>
          </w:tcPr>
          <w:p w14:paraId="08369CF9">
            <w:pPr>
              <w:jc w:val="center"/>
              <w:rPr>
                <w:rFonts w:hint="eastAsia" w:ascii="仿宋" w:hAnsi="仿宋" w:eastAsia="仿宋" w:cs="仿宋"/>
                <w:color w:val="auto"/>
                <w:sz w:val="24"/>
                <w:highlight w:val="none"/>
              </w:rPr>
            </w:pPr>
          </w:p>
        </w:tc>
        <w:tc>
          <w:tcPr>
            <w:tcW w:w="913" w:type="dxa"/>
            <w:vMerge w:val="continue"/>
            <w:vAlign w:val="center"/>
          </w:tcPr>
          <w:p w14:paraId="3230C1B1">
            <w:pPr>
              <w:jc w:val="center"/>
              <w:rPr>
                <w:rFonts w:hint="eastAsia" w:ascii="仿宋" w:hAnsi="仿宋" w:eastAsia="仿宋" w:cs="仿宋"/>
                <w:color w:val="auto"/>
                <w:sz w:val="24"/>
                <w:highlight w:val="none"/>
              </w:rPr>
            </w:pPr>
          </w:p>
        </w:tc>
        <w:tc>
          <w:tcPr>
            <w:tcW w:w="6750" w:type="dxa"/>
          </w:tcPr>
          <w:p w14:paraId="138376D9">
            <w:pPr>
              <w:rPr>
                <w:rFonts w:hint="eastAsia" w:ascii="仿宋" w:hAnsi="仿宋" w:eastAsia="仿宋" w:cs="仿宋"/>
                <w:color w:val="auto"/>
                <w:sz w:val="24"/>
                <w:highlight w:val="none"/>
              </w:rPr>
            </w:pPr>
            <w:r>
              <w:rPr>
                <w:rFonts w:hint="eastAsia" w:ascii="仿宋" w:hAnsi="仿宋" w:eastAsia="仿宋" w:cs="仿宋"/>
                <w:color w:val="auto"/>
                <w:sz w:val="24"/>
                <w:highlight w:val="none"/>
              </w:rPr>
              <w:t>4、防腐蚀</w:t>
            </w:r>
          </w:p>
        </w:tc>
        <w:tc>
          <w:tcPr>
            <w:tcW w:w="750" w:type="dxa"/>
            <w:vMerge w:val="continue"/>
            <w:vAlign w:val="center"/>
          </w:tcPr>
          <w:p w14:paraId="35732A9D">
            <w:pPr>
              <w:jc w:val="center"/>
              <w:rPr>
                <w:rFonts w:hint="eastAsia" w:ascii="仿宋" w:hAnsi="仿宋" w:eastAsia="仿宋" w:cs="仿宋"/>
                <w:color w:val="auto"/>
                <w:sz w:val="24"/>
                <w:highlight w:val="none"/>
              </w:rPr>
            </w:pPr>
          </w:p>
        </w:tc>
      </w:tr>
      <w:tr w14:paraId="045E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1247C46">
            <w:pPr>
              <w:jc w:val="center"/>
              <w:rPr>
                <w:rFonts w:hint="eastAsia" w:ascii="仿宋" w:hAnsi="仿宋" w:eastAsia="仿宋" w:cs="仿宋"/>
                <w:color w:val="auto"/>
                <w:sz w:val="24"/>
                <w:highlight w:val="none"/>
              </w:rPr>
            </w:pPr>
          </w:p>
        </w:tc>
        <w:tc>
          <w:tcPr>
            <w:tcW w:w="850" w:type="dxa"/>
            <w:vMerge w:val="continue"/>
            <w:vAlign w:val="center"/>
          </w:tcPr>
          <w:p w14:paraId="5FC04A17">
            <w:pPr>
              <w:jc w:val="center"/>
              <w:rPr>
                <w:rFonts w:hint="eastAsia" w:ascii="仿宋" w:hAnsi="仿宋" w:eastAsia="仿宋" w:cs="仿宋"/>
                <w:color w:val="auto"/>
                <w:sz w:val="24"/>
                <w:highlight w:val="none"/>
              </w:rPr>
            </w:pPr>
          </w:p>
        </w:tc>
        <w:tc>
          <w:tcPr>
            <w:tcW w:w="913" w:type="dxa"/>
            <w:vMerge w:val="restart"/>
            <w:vAlign w:val="center"/>
          </w:tcPr>
          <w:p w14:paraId="6EE74B30">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太阳能电源防雷器</w:t>
            </w:r>
          </w:p>
        </w:tc>
        <w:tc>
          <w:tcPr>
            <w:tcW w:w="6750" w:type="dxa"/>
          </w:tcPr>
          <w:p w14:paraId="3A3C73CA">
            <w:pPr>
              <w:rPr>
                <w:rFonts w:hint="eastAsia" w:ascii="仿宋" w:hAnsi="仿宋" w:eastAsia="仿宋" w:cs="仿宋"/>
                <w:color w:val="auto"/>
                <w:sz w:val="24"/>
                <w:highlight w:val="none"/>
              </w:rPr>
            </w:pPr>
            <w:r>
              <w:rPr>
                <w:rFonts w:hint="eastAsia" w:ascii="仿宋" w:hAnsi="仿宋" w:eastAsia="仿宋" w:cs="仿宋"/>
                <w:color w:val="auto"/>
                <w:sz w:val="24"/>
                <w:highlight w:val="none"/>
              </w:rPr>
              <w:t>1、使用电源：DC48v</w:t>
            </w:r>
          </w:p>
        </w:tc>
        <w:tc>
          <w:tcPr>
            <w:tcW w:w="750" w:type="dxa"/>
            <w:vMerge w:val="restart"/>
            <w:vAlign w:val="center"/>
          </w:tcPr>
          <w:p w14:paraId="3C32CFE5">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12个</w:t>
            </w:r>
          </w:p>
        </w:tc>
      </w:tr>
      <w:tr w14:paraId="5C69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1532136">
            <w:pPr>
              <w:jc w:val="center"/>
              <w:rPr>
                <w:rFonts w:hint="eastAsia" w:ascii="仿宋" w:hAnsi="仿宋" w:eastAsia="仿宋" w:cs="仿宋"/>
                <w:color w:val="auto"/>
                <w:sz w:val="24"/>
                <w:highlight w:val="none"/>
              </w:rPr>
            </w:pPr>
          </w:p>
        </w:tc>
        <w:tc>
          <w:tcPr>
            <w:tcW w:w="850" w:type="dxa"/>
            <w:vMerge w:val="continue"/>
            <w:vAlign w:val="center"/>
          </w:tcPr>
          <w:p w14:paraId="5D2DE64A">
            <w:pPr>
              <w:jc w:val="center"/>
              <w:rPr>
                <w:rFonts w:hint="eastAsia" w:ascii="仿宋" w:hAnsi="仿宋" w:eastAsia="仿宋" w:cs="仿宋"/>
                <w:color w:val="auto"/>
                <w:sz w:val="24"/>
                <w:highlight w:val="none"/>
              </w:rPr>
            </w:pPr>
          </w:p>
        </w:tc>
        <w:tc>
          <w:tcPr>
            <w:tcW w:w="913" w:type="dxa"/>
            <w:vMerge w:val="continue"/>
            <w:vAlign w:val="center"/>
          </w:tcPr>
          <w:p w14:paraId="44E87E46">
            <w:pPr>
              <w:jc w:val="center"/>
              <w:rPr>
                <w:rFonts w:hint="eastAsia" w:ascii="仿宋" w:hAnsi="仿宋" w:eastAsia="仿宋" w:cs="仿宋"/>
                <w:color w:val="auto"/>
                <w:sz w:val="24"/>
                <w:highlight w:val="none"/>
              </w:rPr>
            </w:pPr>
          </w:p>
        </w:tc>
        <w:tc>
          <w:tcPr>
            <w:tcW w:w="6750" w:type="dxa"/>
          </w:tcPr>
          <w:p w14:paraId="264111A8">
            <w:pPr>
              <w:rPr>
                <w:rFonts w:hint="eastAsia" w:ascii="仿宋" w:hAnsi="仿宋" w:eastAsia="仿宋" w:cs="仿宋"/>
                <w:color w:val="auto"/>
                <w:sz w:val="24"/>
                <w:highlight w:val="none"/>
              </w:rPr>
            </w:pPr>
            <w:r>
              <w:rPr>
                <w:rFonts w:hint="eastAsia" w:ascii="仿宋" w:hAnsi="仿宋" w:eastAsia="仿宋" w:cs="仿宋"/>
                <w:color w:val="auto"/>
                <w:sz w:val="24"/>
                <w:highlight w:val="none"/>
              </w:rPr>
              <w:t>2、最大连续直流工作电压：85v</w:t>
            </w:r>
          </w:p>
        </w:tc>
        <w:tc>
          <w:tcPr>
            <w:tcW w:w="750" w:type="dxa"/>
            <w:vMerge w:val="continue"/>
            <w:vAlign w:val="center"/>
          </w:tcPr>
          <w:p w14:paraId="294F25C9">
            <w:pPr>
              <w:jc w:val="center"/>
              <w:rPr>
                <w:rFonts w:hint="eastAsia" w:ascii="仿宋" w:hAnsi="仿宋" w:eastAsia="仿宋" w:cs="仿宋"/>
                <w:color w:val="auto"/>
                <w:sz w:val="24"/>
                <w:highlight w:val="none"/>
              </w:rPr>
            </w:pPr>
          </w:p>
        </w:tc>
      </w:tr>
      <w:tr w14:paraId="356E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0FB2685">
            <w:pPr>
              <w:jc w:val="center"/>
              <w:rPr>
                <w:rFonts w:hint="eastAsia" w:ascii="仿宋" w:hAnsi="仿宋" w:eastAsia="仿宋" w:cs="仿宋"/>
                <w:color w:val="auto"/>
                <w:sz w:val="24"/>
                <w:highlight w:val="none"/>
              </w:rPr>
            </w:pPr>
          </w:p>
        </w:tc>
        <w:tc>
          <w:tcPr>
            <w:tcW w:w="850" w:type="dxa"/>
            <w:vMerge w:val="continue"/>
            <w:vAlign w:val="center"/>
          </w:tcPr>
          <w:p w14:paraId="4E0190D6">
            <w:pPr>
              <w:jc w:val="center"/>
              <w:rPr>
                <w:rFonts w:hint="eastAsia" w:ascii="仿宋" w:hAnsi="仿宋" w:eastAsia="仿宋" w:cs="仿宋"/>
                <w:color w:val="auto"/>
                <w:sz w:val="24"/>
                <w:highlight w:val="none"/>
              </w:rPr>
            </w:pPr>
          </w:p>
        </w:tc>
        <w:tc>
          <w:tcPr>
            <w:tcW w:w="913" w:type="dxa"/>
            <w:vMerge w:val="continue"/>
            <w:vAlign w:val="center"/>
          </w:tcPr>
          <w:p w14:paraId="2D1E3763">
            <w:pPr>
              <w:jc w:val="center"/>
              <w:rPr>
                <w:rFonts w:hint="eastAsia" w:ascii="仿宋" w:hAnsi="仿宋" w:eastAsia="仿宋" w:cs="仿宋"/>
                <w:color w:val="auto"/>
                <w:sz w:val="24"/>
                <w:highlight w:val="none"/>
              </w:rPr>
            </w:pPr>
          </w:p>
        </w:tc>
        <w:tc>
          <w:tcPr>
            <w:tcW w:w="6750" w:type="dxa"/>
          </w:tcPr>
          <w:p w14:paraId="7B3F9C0A">
            <w:pPr>
              <w:rPr>
                <w:rFonts w:hint="eastAsia" w:ascii="仿宋" w:hAnsi="仿宋" w:eastAsia="仿宋" w:cs="仿宋"/>
                <w:color w:val="auto"/>
                <w:sz w:val="24"/>
                <w:highlight w:val="none"/>
              </w:rPr>
            </w:pPr>
            <w:r>
              <w:rPr>
                <w:rFonts w:hint="eastAsia" w:ascii="仿宋" w:hAnsi="仿宋" w:eastAsia="仿宋" w:cs="仿宋"/>
                <w:color w:val="auto"/>
                <w:sz w:val="24"/>
                <w:highlight w:val="none"/>
              </w:rPr>
              <w:t>3、标称放电电流10KA</w:t>
            </w:r>
          </w:p>
        </w:tc>
        <w:tc>
          <w:tcPr>
            <w:tcW w:w="750" w:type="dxa"/>
            <w:vMerge w:val="continue"/>
            <w:vAlign w:val="center"/>
          </w:tcPr>
          <w:p w14:paraId="52522BFC">
            <w:pPr>
              <w:jc w:val="center"/>
              <w:rPr>
                <w:rFonts w:hint="eastAsia" w:ascii="仿宋" w:hAnsi="仿宋" w:eastAsia="仿宋" w:cs="仿宋"/>
                <w:color w:val="auto"/>
                <w:sz w:val="24"/>
                <w:highlight w:val="none"/>
              </w:rPr>
            </w:pPr>
          </w:p>
        </w:tc>
      </w:tr>
      <w:tr w14:paraId="386B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61EFA98C">
            <w:pPr>
              <w:jc w:val="center"/>
              <w:rPr>
                <w:rFonts w:hint="eastAsia" w:ascii="仿宋" w:hAnsi="仿宋" w:eastAsia="仿宋" w:cs="仿宋"/>
                <w:color w:val="auto"/>
                <w:sz w:val="24"/>
                <w:highlight w:val="none"/>
              </w:rPr>
            </w:pPr>
          </w:p>
        </w:tc>
        <w:tc>
          <w:tcPr>
            <w:tcW w:w="850" w:type="dxa"/>
            <w:vMerge w:val="continue"/>
            <w:vAlign w:val="center"/>
          </w:tcPr>
          <w:p w14:paraId="42485114">
            <w:pPr>
              <w:jc w:val="center"/>
              <w:rPr>
                <w:rFonts w:hint="eastAsia" w:ascii="仿宋" w:hAnsi="仿宋" w:eastAsia="仿宋" w:cs="仿宋"/>
                <w:color w:val="auto"/>
                <w:sz w:val="24"/>
                <w:highlight w:val="none"/>
              </w:rPr>
            </w:pPr>
          </w:p>
        </w:tc>
        <w:tc>
          <w:tcPr>
            <w:tcW w:w="913" w:type="dxa"/>
            <w:vMerge w:val="continue"/>
            <w:vAlign w:val="center"/>
          </w:tcPr>
          <w:p w14:paraId="6B5B3159">
            <w:pPr>
              <w:jc w:val="center"/>
              <w:rPr>
                <w:rFonts w:hint="eastAsia" w:ascii="仿宋" w:hAnsi="仿宋" w:eastAsia="仿宋" w:cs="仿宋"/>
                <w:color w:val="auto"/>
                <w:sz w:val="24"/>
                <w:highlight w:val="none"/>
              </w:rPr>
            </w:pPr>
          </w:p>
        </w:tc>
        <w:tc>
          <w:tcPr>
            <w:tcW w:w="6750" w:type="dxa"/>
          </w:tcPr>
          <w:p w14:paraId="24810F4E">
            <w:pPr>
              <w:rPr>
                <w:rFonts w:hint="eastAsia" w:ascii="仿宋" w:hAnsi="仿宋" w:eastAsia="仿宋" w:cs="仿宋"/>
                <w:color w:val="auto"/>
                <w:sz w:val="24"/>
                <w:highlight w:val="none"/>
              </w:rPr>
            </w:pPr>
            <w:r>
              <w:rPr>
                <w:rFonts w:hint="eastAsia" w:ascii="仿宋" w:hAnsi="仿宋" w:eastAsia="仿宋" w:cs="仿宋"/>
                <w:color w:val="auto"/>
                <w:sz w:val="24"/>
                <w:highlight w:val="none"/>
              </w:rPr>
              <w:t>4、最大放电电流：20KA</w:t>
            </w:r>
          </w:p>
        </w:tc>
        <w:tc>
          <w:tcPr>
            <w:tcW w:w="750" w:type="dxa"/>
            <w:vMerge w:val="continue"/>
            <w:vAlign w:val="center"/>
          </w:tcPr>
          <w:p w14:paraId="0634F370">
            <w:pPr>
              <w:jc w:val="center"/>
              <w:rPr>
                <w:rFonts w:hint="eastAsia" w:ascii="仿宋" w:hAnsi="仿宋" w:eastAsia="仿宋" w:cs="仿宋"/>
                <w:color w:val="auto"/>
                <w:sz w:val="24"/>
                <w:highlight w:val="none"/>
              </w:rPr>
            </w:pPr>
          </w:p>
        </w:tc>
      </w:tr>
      <w:tr w14:paraId="523A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A2AC86C">
            <w:pPr>
              <w:jc w:val="center"/>
              <w:rPr>
                <w:rFonts w:hint="eastAsia" w:ascii="仿宋" w:hAnsi="仿宋" w:eastAsia="仿宋" w:cs="仿宋"/>
                <w:color w:val="auto"/>
                <w:sz w:val="24"/>
                <w:highlight w:val="none"/>
              </w:rPr>
            </w:pPr>
          </w:p>
        </w:tc>
        <w:tc>
          <w:tcPr>
            <w:tcW w:w="850" w:type="dxa"/>
            <w:vMerge w:val="continue"/>
            <w:vAlign w:val="center"/>
          </w:tcPr>
          <w:p w14:paraId="76579B1E">
            <w:pPr>
              <w:jc w:val="center"/>
              <w:rPr>
                <w:rFonts w:hint="eastAsia" w:ascii="仿宋" w:hAnsi="仿宋" w:eastAsia="仿宋" w:cs="仿宋"/>
                <w:color w:val="auto"/>
                <w:sz w:val="24"/>
                <w:highlight w:val="none"/>
              </w:rPr>
            </w:pPr>
          </w:p>
        </w:tc>
        <w:tc>
          <w:tcPr>
            <w:tcW w:w="913" w:type="dxa"/>
            <w:vMerge w:val="continue"/>
            <w:vAlign w:val="center"/>
          </w:tcPr>
          <w:p w14:paraId="19E6BD78">
            <w:pPr>
              <w:jc w:val="center"/>
              <w:rPr>
                <w:rFonts w:hint="eastAsia" w:ascii="仿宋" w:hAnsi="仿宋" w:eastAsia="仿宋" w:cs="仿宋"/>
                <w:color w:val="auto"/>
                <w:sz w:val="24"/>
                <w:highlight w:val="none"/>
              </w:rPr>
            </w:pPr>
          </w:p>
        </w:tc>
        <w:tc>
          <w:tcPr>
            <w:tcW w:w="6750" w:type="dxa"/>
          </w:tcPr>
          <w:p w14:paraId="43FF69E7">
            <w:pPr>
              <w:rPr>
                <w:rFonts w:hint="eastAsia" w:ascii="仿宋" w:hAnsi="仿宋" w:eastAsia="仿宋" w:cs="仿宋"/>
                <w:color w:val="auto"/>
                <w:sz w:val="24"/>
                <w:highlight w:val="none"/>
              </w:rPr>
            </w:pPr>
            <w:r>
              <w:rPr>
                <w:rFonts w:hint="eastAsia" w:ascii="仿宋" w:hAnsi="仿宋" w:eastAsia="仿宋" w:cs="仿宋"/>
                <w:color w:val="auto"/>
                <w:sz w:val="24"/>
                <w:highlight w:val="none"/>
              </w:rPr>
              <w:t>5、响应时间：＜25ns</w:t>
            </w:r>
          </w:p>
        </w:tc>
        <w:tc>
          <w:tcPr>
            <w:tcW w:w="750" w:type="dxa"/>
            <w:vMerge w:val="continue"/>
            <w:vAlign w:val="center"/>
          </w:tcPr>
          <w:p w14:paraId="388E9D6F">
            <w:pPr>
              <w:jc w:val="center"/>
              <w:rPr>
                <w:rFonts w:hint="eastAsia" w:ascii="仿宋" w:hAnsi="仿宋" w:eastAsia="仿宋" w:cs="仿宋"/>
                <w:color w:val="auto"/>
                <w:sz w:val="24"/>
                <w:highlight w:val="none"/>
              </w:rPr>
            </w:pPr>
          </w:p>
        </w:tc>
      </w:tr>
      <w:tr w14:paraId="168F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26C09436">
            <w:pPr>
              <w:jc w:val="center"/>
              <w:rPr>
                <w:rFonts w:hint="eastAsia" w:ascii="仿宋" w:hAnsi="仿宋" w:eastAsia="仿宋" w:cs="仿宋"/>
                <w:color w:val="auto"/>
                <w:sz w:val="24"/>
                <w:highlight w:val="none"/>
              </w:rPr>
            </w:pPr>
          </w:p>
        </w:tc>
        <w:tc>
          <w:tcPr>
            <w:tcW w:w="850" w:type="dxa"/>
            <w:vMerge w:val="continue"/>
            <w:vAlign w:val="center"/>
          </w:tcPr>
          <w:p w14:paraId="4502AD37">
            <w:pPr>
              <w:jc w:val="center"/>
              <w:rPr>
                <w:rFonts w:hint="eastAsia" w:ascii="仿宋" w:hAnsi="仿宋" w:eastAsia="仿宋" w:cs="仿宋"/>
                <w:color w:val="auto"/>
                <w:sz w:val="24"/>
                <w:highlight w:val="none"/>
              </w:rPr>
            </w:pPr>
          </w:p>
        </w:tc>
        <w:tc>
          <w:tcPr>
            <w:tcW w:w="913" w:type="dxa"/>
            <w:vMerge w:val="continue"/>
            <w:vAlign w:val="center"/>
          </w:tcPr>
          <w:p w14:paraId="12BBE968">
            <w:pPr>
              <w:jc w:val="center"/>
              <w:rPr>
                <w:rFonts w:hint="eastAsia" w:ascii="仿宋" w:hAnsi="仿宋" w:eastAsia="仿宋" w:cs="仿宋"/>
                <w:color w:val="auto"/>
                <w:sz w:val="24"/>
                <w:highlight w:val="none"/>
              </w:rPr>
            </w:pPr>
          </w:p>
        </w:tc>
        <w:tc>
          <w:tcPr>
            <w:tcW w:w="6750" w:type="dxa"/>
          </w:tcPr>
          <w:p w14:paraId="4DF5E6C3">
            <w:pPr>
              <w:rPr>
                <w:rFonts w:hint="eastAsia" w:ascii="仿宋" w:hAnsi="仿宋" w:eastAsia="仿宋" w:cs="仿宋"/>
                <w:color w:val="auto"/>
                <w:sz w:val="24"/>
                <w:highlight w:val="none"/>
              </w:rPr>
            </w:pPr>
            <w:r>
              <w:rPr>
                <w:rFonts w:hint="eastAsia" w:ascii="仿宋" w:hAnsi="仿宋" w:eastAsia="仿宋" w:cs="仿宋"/>
                <w:color w:val="auto"/>
                <w:sz w:val="24"/>
                <w:highlight w:val="none"/>
              </w:rPr>
              <w:t>6、电压保护水平：165v</w:t>
            </w:r>
          </w:p>
        </w:tc>
        <w:tc>
          <w:tcPr>
            <w:tcW w:w="750" w:type="dxa"/>
            <w:vMerge w:val="continue"/>
            <w:vAlign w:val="center"/>
          </w:tcPr>
          <w:p w14:paraId="6DA2B894">
            <w:pPr>
              <w:jc w:val="center"/>
              <w:rPr>
                <w:rFonts w:hint="eastAsia" w:ascii="仿宋" w:hAnsi="仿宋" w:eastAsia="仿宋" w:cs="仿宋"/>
                <w:color w:val="auto"/>
                <w:sz w:val="24"/>
                <w:highlight w:val="none"/>
              </w:rPr>
            </w:pPr>
          </w:p>
        </w:tc>
      </w:tr>
      <w:tr w14:paraId="0DD18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2CB51EB0">
            <w:pPr>
              <w:jc w:val="center"/>
              <w:rPr>
                <w:rFonts w:hint="eastAsia" w:ascii="仿宋" w:hAnsi="仿宋" w:eastAsia="仿宋" w:cs="仿宋"/>
                <w:color w:val="auto"/>
                <w:sz w:val="24"/>
                <w:highlight w:val="none"/>
              </w:rPr>
            </w:pPr>
          </w:p>
        </w:tc>
        <w:tc>
          <w:tcPr>
            <w:tcW w:w="850" w:type="dxa"/>
            <w:vMerge w:val="continue"/>
            <w:vAlign w:val="center"/>
          </w:tcPr>
          <w:p w14:paraId="3B671F8D">
            <w:pPr>
              <w:jc w:val="center"/>
              <w:rPr>
                <w:rFonts w:hint="eastAsia" w:ascii="仿宋" w:hAnsi="仿宋" w:eastAsia="仿宋" w:cs="仿宋"/>
                <w:color w:val="auto"/>
                <w:sz w:val="24"/>
                <w:highlight w:val="none"/>
              </w:rPr>
            </w:pPr>
          </w:p>
        </w:tc>
        <w:tc>
          <w:tcPr>
            <w:tcW w:w="913" w:type="dxa"/>
            <w:vAlign w:val="center"/>
          </w:tcPr>
          <w:p w14:paraId="7E324759">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辅材</w:t>
            </w:r>
          </w:p>
        </w:tc>
        <w:tc>
          <w:tcPr>
            <w:tcW w:w="6750" w:type="dxa"/>
          </w:tcPr>
          <w:p w14:paraId="69E82D72">
            <w:pPr>
              <w:rPr>
                <w:rFonts w:hint="eastAsia" w:ascii="仿宋" w:hAnsi="仿宋" w:eastAsia="仿宋" w:cs="仿宋"/>
                <w:color w:val="auto"/>
                <w:sz w:val="24"/>
                <w:highlight w:val="none"/>
              </w:rPr>
            </w:pPr>
            <w:r>
              <w:rPr>
                <w:rFonts w:hint="eastAsia" w:ascii="仿宋" w:hAnsi="仿宋" w:eastAsia="仿宋" w:cs="仿宋"/>
                <w:color w:val="auto"/>
                <w:sz w:val="24"/>
                <w:highlight w:val="none"/>
              </w:rPr>
              <w:t>配套安装电缆、电缆管、接线盒、膨胀螺丝、密封胶等根据现场施工配备。</w:t>
            </w:r>
          </w:p>
        </w:tc>
        <w:tc>
          <w:tcPr>
            <w:tcW w:w="750" w:type="dxa"/>
            <w:vAlign w:val="center"/>
          </w:tcPr>
          <w:p w14:paraId="0B246208">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1项</w:t>
            </w:r>
          </w:p>
        </w:tc>
      </w:tr>
      <w:tr w14:paraId="4B0FD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restart"/>
            <w:vAlign w:val="center"/>
          </w:tcPr>
          <w:p w14:paraId="3AC68F4C">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50" w:type="dxa"/>
            <w:vMerge w:val="restart"/>
            <w:vAlign w:val="center"/>
          </w:tcPr>
          <w:p w14:paraId="6E74329E">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供电系统（市电）</w:t>
            </w:r>
          </w:p>
        </w:tc>
        <w:tc>
          <w:tcPr>
            <w:tcW w:w="913" w:type="dxa"/>
            <w:vMerge w:val="restart"/>
            <w:vAlign w:val="center"/>
          </w:tcPr>
          <w:p w14:paraId="7AC6D9B2">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市电供电单元</w:t>
            </w:r>
          </w:p>
        </w:tc>
        <w:tc>
          <w:tcPr>
            <w:tcW w:w="6750" w:type="dxa"/>
          </w:tcPr>
          <w:p w14:paraId="399A7D12">
            <w:pPr>
              <w:rPr>
                <w:rFonts w:hint="eastAsia" w:ascii="仿宋" w:hAnsi="仿宋" w:eastAsia="仿宋" w:cs="仿宋"/>
                <w:color w:val="auto"/>
                <w:sz w:val="24"/>
                <w:highlight w:val="none"/>
              </w:rPr>
            </w:pPr>
            <w:r>
              <w:rPr>
                <w:rFonts w:hint="eastAsia" w:ascii="仿宋" w:hAnsi="仿宋" w:eastAsia="仿宋" w:cs="仿宋"/>
                <w:color w:val="auto"/>
                <w:sz w:val="24"/>
                <w:highlight w:val="none"/>
              </w:rPr>
              <w:t>1、输入电压：90~305Vac；</w:t>
            </w:r>
          </w:p>
        </w:tc>
        <w:tc>
          <w:tcPr>
            <w:tcW w:w="750" w:type="dxa"/>
            <w:vMerge w:val="restart"/>
            <w:vAlign w:val="center"/>
          </w:tcPr>
          <w:p w14:paraId="76BCFBAB">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9套</w:t>
            </w:r>
          </w:p>
        </w:tc>
      </w:tr>
      <w:tr w14:paraId="529A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8D39200">
            <w:pPr>
              <w:jc w:val="center"/>
              <w:rPr>
                <w:rFonts w:hint="eastAsia" w:ascii="仿宋" w:hAnsi="仿宋" w:eastAsia="仿宋" w:cs="仿宋"/>
                <w:color w:val="auto"/>
                <w:sz w:val="24"/>
                <w:highlight w:val="none"/>
              </w:rPr>
            </w:pPr>
          </w:p>
        </w:tc>
        <w:tc>
          <w:tcPr>
            <w:tcW w:w="850" w:type="dxa"/>
            <w:vMerge w:val="continue"/>
            <w:vAlign w:val="center"/>
          </w:tcPr>
          <w:p w14:paraId="2794DF45">
            <w:pPr>
              <w:jc w:val="center"/>
              <w:rPr>
                <w:rFonts w:hint="eastAsia" w:ascii="仿宋" w:hAnsi="仿宋" w:eastAsia="仿宋" w:cs="仿宋"/>
                <w:color w:val="auto"/>
                <w:sz w:val="24"/>
                <w:highlight w:val="none"/>
              </w:rPr>
            </w:pPr>
          </w:p>
        </w:tc>
        <w:tc>
          <w:tcPr>
            <w:tcW w:w="913" w:type="dxa"/>
            <w:vMerge w:val="continue"/>
            <w:vAlign w:val="center"/>
          </w:tcPr>
          <w:p w14:paraId="154628AB">
            <w:pPr>
              <w:jc w:val="center"/>
              <w:rPr>
                <w:rFonts w:hint="eastAsia" w:ascii="仿宋" w:hAnsi="仿宋" w:eastAsia="仿宋" w:cs="仿宋"/>
                <w:color w:val="auto"/>
                <w:sz w:val="24"/>
                <w:highlight w:val="none"/>
              </w:rPr>
            </w:pPr>
          </w:p>
        </w:tc>
        <w:tc>
          <w:tcPr>
            <w:tcW w:w="6750" w:type="dxa"/>
          </w:tcPr>
          <w:p w14:paraId="3F92F05A">
            <w:pPr>
              <w:rPr>
                <w:rFonts w:hint="eastAsia" w:ascii="仿宋" w:hAnsi="仿宋" w:eastAsia="仿宋" w:cs="仿宋"/>
                <w:color w:val="auto"/>
                <w:sz w:val="24"/>
                <w:highlight w:val="none"/>
              </w:rPr>
            </w:pPr>
            <w:r>
              <w:rPr>
                <w:rFonts w:hint="eastAsia" w:ascii="仿宋" w:hAnsi="仿宋" w:eastAsia="仿宋" w:cs="仿宋"/>
                <w:color w:val="auto"/>
                <w:sz w:val="24"/>
                <w:highlight w:val="none"/>
              </w:rPr>
              <w:t>2、输出电压：DC48V；</w:t>
            </w:r>
          </w:p>
        </w:tc>
        <w:tc>
          <w:tcPr>
            <w:tcW w:w="750" w:type="dxa"/>
            <w:vMerge w:val="continue"/>
            <w:vAlign w:val="center"/>
          </w:tcPr>
          <w:p w14:paraId="031B8A6F">
            <w:pPr>
              <w:jc w:val="center"/>
              <w:rPr>
                <w:rFonts w:hint="eastAsia" w:ascii="仿宋" w:hAnsi="仿宋" w:eastAsia="仿宋" w:cs="仿宋"/>
                <w:color w:val="auto"/>
                <w:sz w:val="24"/>
                <w:highlight w:val="none"/>
              </w:rPr>
            </w:pPr>
          </w:p>
        </w:tc>
      </w:tr>
      <w:tr w14:paraId="0147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C48D5C3">
            <w:pPr>
              <w:jc w:val="center"/>
              <w:rPr>
                <w:rFonts w:hint="eastAsia" w:ascii="仿宋" w:hAnsi="仿宋" w:eastAsia="仿宋" w:cs="仿宋"/>
                <w:color w:val="auto"/>
                <w:sz w:val="24"/>
                <w:highlight w:val="none"/>
              </w:rPr>
            </w:pPr>
          </w:p>
        </w:tc>
        <w:tc>
          <w:tcPr>
            <w:tcW w:w="850" w:type="dxa"/>
            <w:vMerge w:val="continue"/>
            <w:vAlign w:val="center"/>
          </w:tcPr>
          <w:p w14:paraId="613D45D2">
            <w:pPr>
              <w:jc w:val="center"/>
              <w:rPr>
                <w:rFonts w:hint="eastAsia" w:ascii="仿宋" w:hAnsi="仿宋" w:eastAsia="仿宋" w:cs="仿宋"/>
                <w:color w:val="auto"/>
                <w:sz w:val="24"/>
                <w:highlight w:val="none"/>
              </w:rPr>
            </w:pPr>
          </w:p>
        </w:tc>
        <w:tc>
          <w:tcPr>
            <w:tcW w:w="913" w:type="dxa"/>
            <w:vMerge w:val="continue"/>
            <w:vAlign w:val="center"/>
          </w:tcPr>
          <w:p w14:paraId="06AC7B09">
            <w:pPr>
              <w:jc w:val="center"/>
              <w:rPr>
                <w:rFonts w:hint="eastAsia" w:ascii="仿宋" w:hAnsi="仿宋" w:eastAsia="仿宋" w:cs="仿宋"/>
                <w:color w:val="auto"/>
                <w:sz w:val="24"/>
                <w:highlight w:val="none"/>
              </w:rPr>
            </w:pPr>
          </w:p>
        </w:tc>
        <w:tc>
          <w:tcPr>
            <w:tcW w:w="6750" w:type="dxa"/>
          </w:tcPr>
          <w:p w14:paraId="21F8B168">
            <w:pPr>
              <w:rPr>
                <w:rFonts w:hint="eastAsia" w:ascii="仿宋" w:hAnsi="仿宋" w:eastAsia="仿宋" w:cs="仿宋"/>
                <w:color w:val="auto"/>
                <w:sz w:val="24"/>
                <w:highlight w:val="none"/>
              </w:rPr>
            </w:pPr>
            <w:r>
              <w:rPr>
                <w:rFonts w:hint="eastAsia" w:ascii="仿宋" w:hAnsi="仿宋" w:eastAsia="仿宋" w:cs="仿宋"/>
                <w:color w:val="auto"/>
                <w:sz w:val="24"/>
                <w:highlight w:val="none"/>
              </w:rPr>
              <w:t>3、输出功率：600W；</w:t>
            </w:r>
          </w:p>
        </w:tc>
        <w:tc>
          <w:tcPr>
            <w:tcW w:w="750" w:type="dxa"/>
            <w:vMerge w:val="continue"/>
            <w:vAlign w:val="center"/>
          </w:tcPr>
          <w:p w14:paraId="5CBAB1E7">
            <w:pPr>
              <w:jc w:val="center"/>
              <w:rPr>
                <w:rFonts w:hint="eastAsia" w:ascii="仿宋" w:hAnsi="仿宋" w:eastAsia="仿宋" w:cs="仿宋"/>
                <w:color w:val="auto"/>
                <w:sz w:val="24"/>
                <w:highlight w:val="none"/>
              </w:rPr>
            </w:pPr>
          </w:p>
        </w:tc>
      </w:tr>
      <w:tr w14:paraId="66D10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DFFE259">
            <w:pPr>
              <w:jc w:val="center"/>
              <w:rPr>
                <w:rFonts w:hint="eastAsia" w:ascii="仿宋" w:hAnsi="仿宋" w:eastAsia="仿宋" w:cs="仿宋"/>
                <w:color w:val="auto"/>
                <w:sz w:val="24"/>
                <w:highlight w:val="none"/>
              </w:rPr>
            </w:pPr>
          </w:p>
        </w:tc>
        <w:tc>
          <w:tcPr>
            <w:tcW w:w="850" w:type="dxa"/>
            <w:vMerge w:val="continue"/>
            <w:vAlign w:val="center"/>
          </w:tcPr>
          <w:p w14:paraId="1C9B55B7">
            <w:pPr>
              <w:jc w:val="center"/>
              <w:rPr>
                <w:rFonts w:hint="eastAsia" w:ascii="仿宋" w:hAnsi="仿宋" w:eastAsia="仿宋" w:cs="仿宋"/>
                <w:color w:val="auto"/>
                <w:sz w:val="24"/>
                <w:highlight w:val="none"/>
              </w:rPr>
            </w:pPr>
          </w:p>
        </w:tc>
        <w:tc>
          <w:tcPr>
            <w:tcW w:w="913" w:type="dxa"/>
            <w:vMerge w:val="continue"/>
            <w:vAlign w:val="center"/>
          </w:tcPr>
          <w:p w14:paraId="0E340335">
            <w:pPr>
              <w:jc w:val="center"/>
              <w:rPr>
                <w:rFonts w:hint="eastAsia" w:ascii="仿宋" w:hAnsi="仿宋" w:eastAsia="仿宋" w:cs="仿宋"/>
                <w:color w:val="auto"/>
                <w:sz w:val="24"/>
                <w:highlight w:val="none"/>
              </w:rPr>
            </w:pPr>
          </w:p>
        </w:tc>
        <w:tc>
          <w:tcPr>
            <w:tcW w:w="6750" w:type="dxa"/>
          </w:tcPr>
          <w:p w14:paraId="7C6BC4CB">
            <w:pPr>
              <w:rPr>
                <w:rFonts w:hint="eastAsia" w:ascii="仿宋" w:hAnsi="仿宋" w:eastAsia="仿宋" w:cs="仿宋"/>
                <w:color w:val="auto"/>
                <w:sz w:val="24"/>
                <w:highlight w:val="none"/>
              </w:rPr>
            </w:pPr>
            <w:r>
              <w:rPr>
                <w:rFonts w:hint="eastAsia" w:ascii="仿宋" w:hAnsi="仿宋" w:eastAsia="仿宋" w:cs="仿宋"/>
                <w:color w:val="auto"/>
                <w:sz w:val="24"/>
                <w:highlight w:val="none"/>
              </w:rPr>
              <w:t>4、效率：96%；</w:t>
            </w:r>
          </w:p>
        </w:tc>
        <w:tc>
          <w:tcPr>
            <w:tcW w:w="750" w:type="dxa"/>
            <w:vMerge w:val="continue"/>
            <w:vAlign w:val="center"/>
          </w:tcPr>
          <w:p w14:paraId="4D6996F5">
            <w:pPr>
              <w:jc w:val="center"/>
              <w:rPr>
                <w:rFonts w:hint="eastAsia" w:ascii="仿宋" w:hAnsi="仿宋" w:eastAsia="仿宋" w:cs="仿宋"/>
                <w:color w:val="auto"/>
                <w:sz w:val="24"/>
                <w:highlight w:val="none"/>
              </w:rPr>
            </w:pPr>
          </w:p>
        </w:tc>
      </w:tr>
      <w:tr w14:paraId="6DC79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7D27C6A8">
            <w:pPr>
              <w:jc w:val="center"/>
              <w:rPr>
                <w:rFonts w:hint="eastAsia" w:ascii="仿宋" w:hAnsi="仿宋" w:eastAsia="仿宋" w:cs="仿宋"/>
                <w:color w:val="auto"/>
                <w:sz w:val="24"/>
                <w:highlight w:val="none"/>
              </w:rPr>
            </w:pPr>
          </w:p>
        </w:tc>
        <w:tc>
          <w:tcPr>
            <w:tcW w:w="850" w:type="dxa"/>
            <w:vMerge w:val="continue"/>
            <w:vAlign w:val="center"/>
          </w:tcPr>
          <w:p w14:paraId="79FD04E7">
            <w:pPr>
              <w:jc w:val="center"/>
              <w:rPr>
                <w:rFonts w:hint="eastAsia" w:ascii="仿宋" w:hAnsi="仿宋" w:eastAsia="仿宋" w:cs="仿宋"/>
                <w:color w:val="auto"/>
                <w:sz w:val="24"/>
                <w:highlight w:val="none"/>
              </w:rPr>
            </w:pPr>
          </w:p>
        </w:tc>
        <w:tc>
          <w:tcPr>
            <w:tcW w:w="913" w:type="dxa"/>
            <w:vMerge w:val="continue"/>
            <w:vAlign w:val="center"/>
          </w:tcPr>
          <w:p w14:paraId="7AB20514">
            <w:pPr>
              <w:jc w:val="center"/>
              <w:rPr>
                <w:rFonts w:hint="eastAsia" w:ascii="仿宋" w:hAnsi="仿宋" w:eastAsia="仿宋" w:cs="仿宋"/>
                <w:color w:val="auto"/>
                <w:sz w:val="24"/>
                <w:highlight w:val="none"/>
              </w:rPr>
            </w:pPr>
          </w:p>
        </w:tc>
        <w:tc>
          <w:tcPr>
            <w:tcW w:w="6750" w:type="dxa"/>
          </w:tcPr>
          <w:p w14:paraId="1A79D784">
            <w:pPr>
              <w:rPr>
                <w:rFonts w:hint="eastAsia" w:ascii="仿宋" w:hAnsi="仿宋" w:eastAsia="仿宋" w:cs="仿宋"/>
                <w:color w:val="auto"/>
                <w:sz w:val="24"/>
                <w:highlight w:val="none"/>
              </w:rPr>
            </w:pPr>
            <w:r>
              <w:rPr>
                <w:rFonts w:hint="eastAsia" w:ascii="仿宋" w:hAnsi="仿宋" w:eastAsia="仿宋" w:cs="仿宋"/>
                <w:color w:val="auto"/>
                <w:sz w:val="24"/>
                <w:highlight w:val="none"/>
              </w:rPr>
              <w:t>5、工作温度：-40℃ ~ +90℃</w:t>
            </w:r>
          </w:p>
        </w:tc>
        <w:tc>
          <w:tcPr>
            <w:tcW w:w="750" w:type="dxa"/>
            <w:vMerge w:val="continue"/>
            <w:vAlign w:val="center"/>
          </w:tcPr>
          <w:p w14:paraId="4F4D912F">
            <w:pPr>
              <w:jc w:val="center"/>
              <w:rPr>
                <w:rFonts w:hint="eastAsia" w:ascii="仿宋" w:hAnsi="仿宋" w:eastAsia="仿宋" w:cs="仿宋"/>
                <w:color w:val="auto"/>
                <w:sz w:val="24"/>
                <w:highlight w:val="none"/>
              </w:rPr>
            </w:pPr>
          </w:p>
        </w:tc>
      </w:tr>
      <w:tr w14:paraId="22110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C9FEAE6">
            <w:pPr>
              <w:jc w:val="center"/>
              <w:rPr>
                <w:rFonts w:hint="eastAsia" w:ascii="仿宋" w:hAnsi="仿宋" w:eastAsia="仿宋" w:cs="仿宋"/>
                <w:color w:val="auto"/>
                <w:sz w:val="24"/>
                <w:highlight w:val="none"/>
              </w:rPr>
            </w:pPr>
          </w:p>
        </w:tc>
        <w:tc>
          <w:tcPr>
            <w:tcW w:w="850" w:type="dxa"/>
            <w:vMerge w:val="continue"/>
            <w:vAlign w:val="center"/>
          </w:tcPr>
          <w:p w14:paraId="3E032DA1">
            <w:pPr>
              <w:jc w:val="center"/>
              <w:rPr>
                <w:rFonts w:hint="eastAsia" w:ascii="仿宋" w:hAnsi="仿宋" w:eastAsia="仿宋" w:cs="仿宋"/>
                <w:color w:val="auto"/>
                <w:sz w:val="24"/>
                <w:highlight w:val="none"/>
              </w:rPr>
            </w:pPr>
          </w:p>
        </w:tc>
        <w:tc>
          <w:tcPr>
            <w:tcW w:w="913" w:type="dxa"/>
            <w:vMerge w:val="restart"/>
            <w:vAlign w:val="center"/>
          </w:tcPr>
          <w:p w14:paraId="1AFA5C8C">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市电电源防雷器</w:t>
            </w:r>
          </w:p>
        </w:tc>
        <w:tc>
          <w:tcPr>
            <w:tcW w:w="6750" w:type="dxa"/>
          </w:tcPr>
          <w:p w14:paraId="11BD1F49">
            <w:pPr>
              <w:rPr>
                <w:rFonts w:hint="eastAsia" w:ascii="仿宋" w:hAnsi="仿宋" w:eastAsia="仿宋" w:cs="仿宋"/>
                <w:color w:val="auto"/>
                <w:sz w:val="24"/>
                <w:highlight w:val="none"/>
              </w:rPr>
            </w:pPr>
            <w:r>
              <w:rPr>
                <w:rFonts w:hint="eastAsia" w:ascii="仿宋" w:hAnsi="仿宋" w:eastAsia="仿宋" w:cs="仿宋"/>
                <w:color w:val="auto"/>
                <w:sz w:val="24"/>
                <w:highlight w:val="none"/>
              </w:rPr>
              <w:t>1、使用电源：AC220v</w:t>
            </w:r>
          </w:p>
        </w:tc>
        <w:tc>
          <w:tcPr>
            <w:tcW w:w="750" w:type="dxa"/>
            <w:vMerge w:val="restart"/>
            <w:vAlign w:val="center"/>
          </w:tcPr>
          <w:p w14:paraId="1F65DE61">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9个</w:t>
            </w:r>
          </w:p>
        </w:tc>
      </w:tr>
      <w:tr w14:paraId="2AC18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2009CAB">
            <w:pPr>
              <w:jc w:val="center"/>
              <w:rPr>
                <w:rFonts w:hint="eastAsia" w:ascii="仿宋" w:hAnsi="仿宋" w:eastAsia="仿宋" w:cs="仿宋"/>
                <w:color w:val="auto"/>
                <w:sz w:val="24"/>
                <w:highlight w:val="none"/>
              </w:rPr>
            </w:pPr>
          </w:p>
        </w:tc>
        <w:tc>
          <w:tcPr>
            <w:tcW w:w="850" w:type="dxa"/>
            <w:vMerge w:val="continue"/>
            <w:vAlign w:val="center"/>
          </w:tcPr>
          <w:p w14:paraId="6C86EF43">
            <w:pPr>
              <w:jc w:val="center"/>
              <w:rPr>
                <w:rFonts w:hint="eastAsia" w:ascii="仿宋" w:hAnsi="仿宋" w:eastAsia="仿宋" w:cs="仿宋"/>
                <w:color w:val="auto"/>
                <w:sz w:val="24"/>
                <w:highlight w:val="none"/>
              </w:rPr>
            </w:pPr>
          </w:p>
        </w:tc>
        <w:tc>
          <w:tcPr>
            <w:tcW w:w="913" w:type="dxa"/>
            <w:vMerge w:val="continue"/>
            <w:vAlign w:val="center"/>
          </w:tcPr>
          <w:p w14:paraId="0F95BE74">
            <w:pPr>
              <w:jc w:val="center"/>
              <w:rPr>
                <w:rFonts w:hint="eastAsia" w:ascii="仿宋" w:hAnsi="仿宋" w:eastAsia="仿宋" w:cs="仿宋"/>
                <w:color w:val="auto"/>
                <w:sz w:val="24"/>
                <w:highlight w:val="none"/>
              </w:rPr>
            </w:pPr>
          </w:p>
        </w:tc>
        <w:tc>
          <w:tcPr>
            <w:tcW w:w="6750" w:type="dxa"/>
          </w:tcPr>
          <w:p w14:paraId="7EB81BEA">
            <w:pPr>
              <w:rPr>
                <w:rFonts w:hint="eastAsia" w:ascii="仿宋" w:hAnsi="仿宋" w:eastAsia="仿宋" w:cs="仿宋"/>
                <w:color w:val="auto"/>
                <w:sz w:val="24"/>
                <w:highlight w:val="none"/>
              </w:rPr>
            </w:pPr>
            <w:r>
              <w:rPr>
                <w:rFonts w:hint="eastAsia" w:ascii="仿宋" w:hAnsi="仿宋" w:eastAsia="仿宋" w:cs="仿宋"/>
                <w:color w:val="auto"/>
                <w:sz w:val="24"/>
                <w:highlight w:val="none"/>
              </w:rPr>
              <w:t>2、最大连续直流工作电压：385v</w:t>
            </w:r>
          </w:p>
        </w:tc>
        <w:tc>
          <w:tcPr>
            <w:tcW w:w="750" w:type="dxa"/>
            <w:vMerge w:val="continue"/>
            <w:vAlign w:val="center"/>
          </w:tcPr>
          <w:p w14:paraId="7813CD8D">
            <w:pPr>
              <w:jc w:val="center"/>
              <w:rPr>
                <w:rFonts w:hint="eastAsia" w:ascii="仿宋" w:hAnsi="仿宋" w:eastAsia="仿宋" w:cs="仿宋"/>
                <w:color w:val="auto"/>
                <w:sz w:val="24"/>
                <w:highlight w:val="none"/>
              </w:rPr>
            </w:pPr>
          </w:p>
        </w:tc>
      </w:tr>
      <w:tr w14:paraId="5312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DCA3650">
            <w:pPr>
              <w:jc w:val="center"/>
              <w:rPr>
                <w:rFonts w:hint="eastAsia" w:ascii="仿宋" w:hAnsi="仿宋" w:eastAsia="仿宋" w:cs="仿宋"/>
                <w:color w:val="auto"/>
                <w:sz w:val="24"/>
                <w:highlight w:val="none"/>
              </w:rPr>
            </w:pPr>
          </w:p>
        </w:tc>
        <w:tc>
          <w:tcPr>
            <w:tcW w:w="850" w:type="dxa"/>
            <w:vMerge w:val="continue"/>
            <w:vAlign w:val="center"/>
          </w:tcPr>
          <w:p w14:paraId="31927DD2">
            <w:pPr>
              <w:jc w:val="center"/>
              <w:rPr>
                <w:rFonts w:hint="eastAsia" w:ascii="仿宋" w:hAnsi="仿宋" w:eastAsia="仿宋" w:cs="仿宋"/>
                <w:color w:val="auto"/>
                <w:sz w:val="24"/>
                <w:highlight w:val="none"/>
              </w:rPr>
            </w:pPr>
          </w:p>
        </w:tc>
        <w:tc>
          <w:tcPr>
            <w:tcW w:w="913" w:type="dxa"/>
            <w:vMerge w:val="continue"/>
            <w:vAlign w:val="center"/>
          </w:tcPr>
          <w:p w14:paraId="5BF1A433">
            <w:pPr>
              <w:jc w:val="center"/>
              <w:rPr>
                <w:rFonts w:hint="eastAsia" w:ascii="仿宋" w:hAnsi="仿宋" w:eastAsia="仿宋" w:cs="仿宋"/>
                <w:color w:val="auto"/>
                <w:sz w:val="24"/>
                <w:highlight w:val="none"/>
              </w:rPr>
            </w:pPr>
          </w:p>
        </w:tc>
        <w:tc>
          <w:tcPr>
            <w:tcW w:w="6750" w:type="dxa"/>
          </w:tcPr>
          <w:p w14:paraId="60351A3B">
            <w:pPr>
              <w:rPr>
                <w:rFonts w:hint="eastAsia" w:ascii="仿宋" w:hAnsi="仿宋" w:eastAsia="仿宋" w:cs="仿宋"/>
                <w:color w:val="auto"/>
                <w:sz w:val="24"/>
                <w:highlight w:val="none"/>
              </w:rPr>
            </w:pPr>
            <w:r>
              <w:rPr>
                <w:rFonts w:hint="eastAsia" w:ascii="仿宋" w:hAnsi="仿宋" w:eastAsia="仿宋" w:cs="仿宋"/>
                <w:color w:val="auto"/>
                <w:sz w:val="24"/>
                <w:highlight w:val="none"/>
              </w:rPr>
              <w:t>3、标称放电电流20KA</w:t>
            </w:r>
          </w:p>
        </w:tc>
        <w:tc>
          <w:tcPr>
            <w:tcW w:w="750" w:type="dxa"/>
            <w:vMerge w:val="continue"/>
            <w:vAlign w:val="center"/>
          </w:tcPr>
          <w:p w14:paraId="703C443D">
            <w:pPr>
              <w:jc w:val="center"/>
              <w:rPr>
                <w:rFonts w:hint="eastAsia" w:ascii="仿宋" w:hAnsi="仿宋" w:eastAsia="仿宋" w:cs="仿宋"/>
                <w:color w:val="auto"/>
                <w:sz w:val="24"/>
                <w:highlight w:val="none"/>
              </w:rPr>
            </w:pPr>
          </w:p>
        </w:tc>
      </w:tr>
      <w:tr w14:paraId="0A7F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356ECE1">
            <w:pPr>
              <w:jc w:val="center"/>
              <w:rPr>
                <w:rFonts w:hint="eastAsia" w:ascii="仿宋" w:hAnsi="仿宋" w:eastAsia="仿宋" w:cs="仿宋"/>
                <w:color w:val="auto"/>
                <w:sz w:val="24"/>
                <w:highlight w:val="none"/>
              </w:rPr>
            </w:pPr>
          </w:p>
        </w:tc>
        <w:tc>
          <w:tcPr>
            <w:tcW w:w="850" w:type="dxa"/>
            <w:vMerge w:val="continue"/>
            <w:vAlign w:val="center"/>
          </w:tcPr>
          <w:p w14:paraId="08CA34EE">
            <w:pPr>
              <w:jc w:val="center"/>
              <w:rPr>
                <w:rFonts w:hint="eastAsia" w:ascii="仿宋" w:hAnsi="仿宋" w:eastAsia="仿宋" w:cs="仿宋"/>
                <w:color w:val="auto"/>
                <w:sz w:val="24"/>
                <w:highlight w:val="none"/>
              </w:rPr>
            </w:pPr>
          </w:p>
        </w:tc>
        <w:tc>
          <w:tcPr>
            <w:tcW w:w="913" w:type="dxa"/>
            <w:vMerge w:val="continue"/>
            <w:vAlign w:val="center"/>
          </w:tcPr>
          <w:p w14:paraId="505D42FC">
            <w:pPr>
              <w:jc w:val="center"/>
              <w:rPr>
                <w:rFonts w:hint="eastAsia" w:ascii="仿宋" w:hAnsi="仿宋" w:eastAsia="仿宋" w:cs="仿宋"/>
                <w:color w:val="auto"/>
                <w:sz w:val="24"/>
                <w:highlight w:val="none"/>
              </w:rPr>
            </w:pPr>
          </w:p>
        </w:tc>
        <w:tc>
          <w:tcPr>
            <w:tcW w:w="6750" w:type="dxa"/>
          </w:tcPr>
          <w:p w14:paraId="24DFA40D">
            <w:pPr>
              <w:rPr>
                <w:rFonts w:hint="eastAsia" w:ascii="仿宋" w:hAnsi="仿宋" w:eastAsia="仿宋" w:cs="仿宋"/>
                <w:color w:val="auto"/>
                <w:sz w:val="24"/>
                <w:highlight w:val="none"/>
              </w:rPr>
            </w:pPr>
            <w:r>
              <w:rPr>
                <w:rFonts w:hint="eastAsia" w:ascii="仿宋" w:hAnsi="仿宋" w:eastAsia="仿宋" w:cs="仿宋"/>
                <w:color w:val="auto"/>
                <w:sz w:val="24"/>
                <w:highlight w:val="none"/>
              </w:rPr>
              <w:t>4、最大放电电流：40KA</w:t>
            </w:r>
          </w:p>
        </w:tc>
        <w:tc>
          <w:tcPr>
            <w:tcW w:w="750" w:type="dxa"/>
            <w:vMerge w:val="continue"/>
            <w:vAlign w:val="center"/>
          </w:tcPr>
          <w:p w14:paraId="32A54CC8">
            <w:pPr>
              <w:jc w:val="center"/>
              <w:rPr>
                <w:rFonts w:hint="eastAsia" w:ascii="仿宋" w:hAnsi="仿宋" w:eastAsia="仿宋" w:cs="仿宋"/>
                <w:color w:val="auto"/>
                <w:sz w:val="24"/>
                <w:highlight w:val="none"/>
              </w:rPr>
            </w:pPr>
          </w:p>
        </w:tc>
      </w:tr>
      <w:tr w14:paraId="68699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4CA7ACD">
            <w:pPr>
              <w:jc w:val="center"/>
              <w:rPr>
                <w:rFonts w:hint="eastAsia" w:ascii="仿宋" w:hAnsi="仿宋" w:eastAsia="仿宋" w:cs="仿宋"/>
                <w:color w:val="auto"/>
                <w:sz w:val="24"/>
                <w:highlight w:val="none"/>
              </w:rPr>
            </w:pPr>
          </w:p>
        </w:tc>
        <w:tc>
          <w:tcPr>
            <w:tcW w:w="850" w:type="dxa"/>
            <w:vMerge w:val="continue"/>
            <w:vAlign w:val="center"/>
          </w:tcPr>
          <w:p w14:paraId="76D5E8E1">
            <w:pPr>
              <w:jc w:val="center"/>
              <w:rPr>
                <w:rFonts w:hint="eastAsia" w:ascii="仿宋" w:hAnsi="仿宋" w:eastAsia="仿宋" w:cs="仿宋"/>
                <w:color w:val="auto"/>
                <w:sz w:val="24"/>
                <w:highlight w:val="none"/>
              </w:rPr>
            </w:pPr>
          </w:p>
        </w:tc>
        <w:tc>
          <w:tcPr>
            <w:tcW w:w="913" w:type="dxa"/>
            <w:vMerge w:val="continue"/>
            <w:vAlign w:val="center"/>
          </w:tcPr>
          <w:p w14:paraId="0753FAD9">
            <w:pPr>
              <w:jc w:val="center"/>
              <w:rPr>
                <w:rFonts w:hint="eastAsia" w:ascii="仿宋" w:hAnsi="仿宋" w:eastAsia="仿宋" w:cs="仿宋"/>
                <w:color w:val="auto"/>
                <w:sz w:val="24"/>
                <w:highlight w:val="none"/>
              </w:rPr>
            </w:pPr>
          </w:p>
        </w:tc>
        <w:tc>
          <w:tcPr>
            <w:tcW w:w="6750" w:type="dxa"/>
          </w:tcPr>
          <w:p w14:paraId="3BCB1B18">
            <w:pPr>
              <w:rPr>
                <w:rFonts w:hint="eastAsia" w:ascii="仿宋" w:hAnsi="仿宋" w:eastAsia="仿宋" w:cs="仿宋"/>
                <w:color w:val="auto"/>
                <w:sz w:val="24"/>
                <w:highlight w:val="none"/>
              </w:rPr>
            </w:pPr>
            <w:r>
              <w:rPr>
                <w:rFonts w:hint="eastAsia" w:ascii="仿宋" w:hAnsi="仿宋" w:eastAsia="仿宋" w:cs="仿宋"/>
                <w:color w:val="auto"/>
                <w:sz w:val="24"/>
                <w:highlight w:val="none"/>
              </w:rPr>
              <w:t>5、响应时间：＜25ns</w:t>
            </w:r>
          </w:p>
        </w:tc>
        <w:tc>
          <w:tcPr>
            <w:tcW w:w="750" w:type="dxa"/>
            <w:vMerge w:val="continue"/>
            <w:vAlign w:val="center"/>
          </w:tcPr>
          <w:p w14:paraId="79DB2D66">
            <w:pPr>
              <w:jc w:val="center"/>
              <w:rPr>
                <w:rFonts w:hint="eastAsia" w:ascii="仿宋" w:hAnsi="仿宋" w:eastAsia="仿宋" w:cs="仿宋"/>
                <w:color w:val="auto"/>
                <w:sz w:val="24"/>
                <w:highlight w:val="none"/>
              </w:rPr>
            </w:pPr>
          </w:p>
        </w:tc>
      </w:tr>
      <w:tr w14:paraId="1995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71554A3">
            <w:pPr>
              <w:jc w:val="center"/>
              <w:rPr>
                <w:rFonts w:hint="eastAsia" w:ascii="仿宋" w:hAnsi="仿宋" w:eastAsia="仿宋" w:cs="仿宋"/>
                <w:color w:val="auto"/>
                <w:sz w:val="24"/>
                <w:highlight w:val="none"/>
              </w:rPr>
            </w:pPr>
          </w:p>
        </w:tc>
        <w:tc>
          <w:tcPr>
            <w:tcW w:w="850" w:type="dxa"/>
            <w:vMerge w:val="continue"/>
            <w:vAlign w:val="center"/>
          </w:tcPr>
          <w:p w14:paraId="485CD4B8">
            <w:pPr>
              <w:jc w:val="center"/>
              <w:rPr>
                <w:rFonts w:hint="eastAsia" w:ascii="仿宋" w:hAnsi="仿宋" w:eastAsia="仿宋" w:cs="仿宋"/>
                <w:color w:val="auto"/>
                <w:sz w:val="24"/>
                <w:highlight w:val="none"/>
              </w:rPr>
            </w:pPr>
          </w:p>
        </w:tc>
        <w:tc>
          <w:tcPr>
            <w:tcW w:w="913" w:type="dxa"/>
            <w:vMerge w:val="continue"/>
            <w:vAlign w:val="center"/>
          </w:tcPr>
          <w:p w14:paraId="2C597914">
            <w:pPr>
              <w:jc w:val="center"/>
              <w:rPr>
                <w:rFonts w:hint="eastAsia" w:ascii="仿宋" w:hAnsi="仿宋" w:eastAsia="仿宋" w:cs="仿宋"/>
                <w:color w:val="auto"/>
                <w:sz w:val="24"/>
                <w:highlight w:val="none"/>
              </w:rPr>
            </w:pPr>
          </w:p>
        </w:tc>
        <w:tc>
          <w:tcPr>
            <w:tcW w:w="6750" w:type="dxa"/>
          </w:tcPr>
          <w:p w14:paraId="7F86ACC2">
            <w:pPr>
              <w:rPr>
                <w:rFonts w:hint="eastAsia" w:ascii="仿宋" w:hAnsi="仿宋" w:eastAsia="仿宋" w:cs="仿宋"/>
                <w:color w:val="auto"/>
                <w:sz w:val="24"/>
                <w:highlight w:val="none"/>
              </w:rPr>
            </w:pPr>
            <w:r>
              <w:rPr>
                <w:rFonts w:hint="eastAsia" w:ascii="仿宋" w:hAnsi="仿宋" w:eastAsia="仿宋" w:cs="仿宋"/>
                <w:color w:val="auto"/>
                <w:sz w:val="24"/>
                <w:highlight w:val="none"/>
              </w:rPr>
              <w:t>6、电压保护水平：1.5Kv</w:t>
            </w:r>
          </w:p>
        </w:tc>
        <w:tc>
          <w:tcPr>
            <w:tcW w:w="750" w:type="dxa"/>
            <w:vMerge w:val="continue"/>
            <w:vAlign w:val="center"/>
          </w:tcPr>
          <w:p w14:paraId="6C9E8D07">
            <w:pPr>
              <w:jc w:val="center"/>
              <w:rPr>
                <w:rFonts w:hint="eastAsia" w:ascii="仿宋" w:hAnsi="仿宋" w:eastAsia="仿宋" w:cs="仿宋"/>
                <w:color w:val="auto"/>
                <w:sz w:val="24"/>
                <w:highlight w:val="none"/>
              </w:rPr>
            </w:pPr>
          </w:p>
        </w:tc>
      </w:tr>
      <w:tr w14:paraId="36217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D70CFD8">
            <w:pPr>
              <w:jc w:val="center"/>
              <w:rPr>
                <w:rFonts w:hint="eastAsia" w:ascii="仿宋" w:hAnsi="仿宋" w:eastAsia="仿宋" w:cs="仿宋"/>
                <w:color w:val="auto"/>
                <w:sz w:val="24"/>
                <w:highlight w:val="none"/>
              </w:rPr>
            </w:pPr>
          </w:p>
        </w:tc>
        <w:tc>
          <w:tcPr>
            <w:tcW w:w="850" w:type="dxa"/>
            <w:vMerge w:val="continue"/>
            <w:vAlign w:val="center"/>
          </w:tcPr>
          <w:p w14:paraId="3BE25A4D">
            <w:pPr>
              <w:jc w:val="center"/>
              <w:rPr>
                <w:rFonts w:hint="eastAsia" w:ascii="仿宋" w:hAnsi="仿宋" w:eastAsia="仿宋" w:cs="仿宋"/>
                <w:color w:val="auto"/>
                <w:sz w:val="24"/>
                <w:highlight w:val="none"/>
              </w:rPr>
            </w:pPr>
          </w:p>
        </w:tc>
        <w:tc>
          <w:tcPr>
            <w:tcW w:w="913" w:type="dxa"/>
            <w:vMerge w:val="continue"/>
            <w:vAlign w:val="center"/>
          </w:tcPr>
          <w:p w14:paraId="75AF04BA">
            <w:pPr>
              <w:jc w:val="center"/>
              <w:rPr>
                <w:rFonts w:hint="eastAsia" w:ascii="仿宋" w:hAnsi="仿宋" w:eastAsia="仿宋" w:cs="仿宋"/>
                <w:color w:val="auto"/>
                <w:sz w:val="24"/>
                <w:highlight w:val="none"/>
              </w:rPr>
            </w:pPr>
          </w:p>
        </w:tc>
        <w:tc>
          <w:tcPr>
            <w:tcW w:w="6750" w:type="dxa"/>
          </w:tcPr>
          <w:p w14:paraId="56553BB8">
            <w:pPr>
              <w:rPr>
                <w:rFonts w:hint="eastAsia" w:ascii="仿宋" w:hAnsi="仿宋" w:eastAsia="仿宋" w:cs="仿宋"/>
                <w:color w:val="auto"/>
                <w:sz w:val="24"/>
                <w:highlight w:val="none"/>
              </w:rPr>
            </w:pPr>
            <w:r>
              <w:rPr>
                <w:rFonts w:hint="eastAsia" w:ascii="仿宋" w:hAnsi="仿宋" w:eastAsia="仿宋" w:cs="仿宋"/>
                <w:color w:val="auto"/>
                <w:sz w:val="24"/>
                <w:highlight w:val="none"/>
              </w:rPr>
              <w:t>7、防护等级IP55</w:t>
            </w:r>
          </w:p>
        </w:tc>
        <w:tc>
          <w:tcPr>
            <w:tcW w:w="750" w:type="dxa"/>
            <w:vMerge w:val="continue"/>
            <w:vAlign w:val="center"/>
          </w:tcPr>
          <w:p w14:paraId="1EE0EE44">
            <w:pPr>
              <w:jc w:val="center"/>
              <w:rPr>
                <w:rFonts w:hint="eastAsia" w:ascii="仿宋" w:hAnsi="仿宋" w:eastAsia="仿宋" w:cs="仿宋"/>
                <w:color w:val="auto"/>
                <w:sz w:val="24"/>
                <w:highlight w:val="none"/>
              </w:rPr>
            </w:pPr>
          </w:p>
        </w:tc>
      </w:tr>
      <w:tr w14:paraId="5BE2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D58D129">
            <w:pPr>
              <w:jc w:val="center"/>
              <w:rPr>
                <w:rFonts w:hint="eastAsia" w:ascii="仿宋" w:hAnsi="仿宋" w:eastAsia="仿宋" w:cs="仿宋"/>
                <w:color w:val="auto"/>
                <w:sz w:val="24"/>
                <w:highlight w:val="none"/>
              </w:rPr>
            </w:pPr>
          </w:p>
        </w:tc>
        <w:tc>
          <w:tcPr>
            <w:tcW w:w="850" w:type="dxa"/>
            <w:vMerge w:val="continue"/>
            <w:vAlign w:val="center"/>
          </w:tcPr>
          <w:p w14:paraId="135CF04F">
            <w:pPr>
              <w:jc w:val="center"/>
              <w:rPr>
                <w:rFonts w:hint="eastAsia" w:ascii="仿宋" w:hAnsi="仿宋" w:eastAsia="仿宋" w:cs="仿宋"/>
                <w:color w:val="auto"/>
                <w:sz w:val="24"/>
                <w:highlight w:val="none"/>
              </w:rPr>
            </w:pPr>
          </w:p>
        </w:tc>
        <w:tc>
          <w:tcPr>
            <w:tcW w:w="913" w:type="dxa"/>
            <w:vMerge w:val="continue"/>
            <w:vAlign w:val="center"/>
          </w:tcPr>
          <w:p w14:paraId="6F7BB514">
            <w:pPr>
              <w:jc w:val="center"/>
              <w:rPr>
                <w:rFonts w:hint="eastAsia" w:ascii="仿宋" w:hAnsi="仿宋" w:eastAsia="仿宋" w:cs="仿宋"/>
                <w:color w:val="auto"/>
                <w:sz w:val="24"/>
                <w:highlight w:val="none"/>
              </w:rPr>
            </w:pPr>
          </w:p>
        </w:tc>
        <w:tc>
          <w:tcPr>
            <w:tcW w:w="6750" w:type="dxa"/>
          </w:tcPr>
          <w:p w14:paraId="77DEAAD0">
            <w:pPr>
              <w:rPr>
                <w:rFonts w:hint="eastAsia" w:ascii="仿宋" w:hAnsi="仿宋" w:eastAsia="仿宋" w:cs="仿宋"/>
                <w:color w:val="auto"/>
                <w:sz w:val="24"/>
                <w:highlight w:val="none"/>
              </w:rPr>
            </w:pPr>
            <w:r>
              <w:rPr>
                <w:rFonts w:hint="eastAsia" w:ascii="仿宋" w:hAnsi="仿宋" w:eastAsia="仿宋" w:cs="仿宋"/>
                <w:color w:val="auto"/>
                <w:sz w:val="24"/>
                <w:highlight w:val="none"/>
              </w:rPr>
              <w:t>8、板材厚度1.5mm</w:t>
            </w:r>
          </w:p>
        </w:tc>
        <w:tc>
          <w:tcPr>
            <w:tcW w:w="750" w:type="dxa"/>
            <w:vMerge w:val="continue"/>
            <w:vAlign w:val="center"/>
          </w:tcPr>
          <w:p w14:paraId="344BD2CB">
            <w:pPr>
              <w:jc w:val="center"/>
              <w:rPr>
                <w:rFonts w:hint="eastAsia" w:ascii="仿宋" w:hAnsi="仿宋" w:eastAsia="仿宋" w:cs="仿宋"/>
                <w:color w:val="auto"/>
                <w:sz w:val="24"/>
                <w:highlight w:val="none"/>
              </w:rPr>
            </w:pPr>
          </w:p>
        </w:tc>
      </w:tr>
      <w:tr w14:paraId="4593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A35E700">
            <w:pPr>
              <w:jc w:val="center"/>
              <w:rPr>
                <w:rFonts w:hint="eastAsia" w:ascii="仿宋" w:hAnsi="仿宋" w:eastAsia="仿宋" w:cs="仿宋"/>
                <w:color w:val="auto"/>
                <w:sz w:val="24"/>
                <w:highlight w:val="none"/>
              </w:rPr>
            </w:pPr>
          </w:p>
        </w:tc>
        <w:tc>
          <w:tcPr>
            <w:tcW w:w="850" w:type="dxa"/>
            <w:vMerge w:val="continue"/>
            <w:vAlign w:val="center"/>
          </w:tcPr>
          <w:p w14:paraId="20EBA153">
            <w:pPr>
              <w:jc w:val="center"/>
              <w:rPr>
                <w:rFonts w:hint="eastAsia" w:ascii="仿宋" w:hAnsi="仿宋" w:eastAsia="仿宋" w:cs="仿宋"/>
                <w:color w:val="auto"/>
                <w:sz w:val="24"/>
                <w:highlight w:val="none"/>
              </w:rPr>
            </w:pPr>
          </w:p>
        </w:tc>
        <w:tc>
          <w:tcPr>
            <w:tcW w:w="913" w:type="dxa"/>
            <w:vMerge w:val="continue"/>
            <w:vAlign w:val="center"/>
          </w:tcPr>
          <w:p w14:paraId="0A98BB15">
            <w:pPr>
              <w:jc w:val="center"/>
              <w:rPr>
                <w:rFonts w:hint="eastAsia" w:ascii="仿宋" w:hAnsi="仿宋" w:eastAsia="仿宋" w:cs="仿宋"/>
                <w:color w:val="auto"/>
                <w:sz w:val="24"/>
                <w:highlight w:val="none"/>
              </w:rPr>
            </w:pPr>
          </w:p>
        </w:tc>
        <w:tc>
          <w:tcPr>
            <w:tcW w:w="6750" w:type="dxa"/>
          </w:tcPr>
          <w:p w14:paraId="204DC483">
            <w:pPr>
              <w:rPr>
                <w:rFonts w:hint="eastAsia" w:ascii="仿宋" w:hAnsi="仿宋" w:eastAsia="仿宋" w:cs="仿宋"/>
                <w:color w:val="auto"/>
                <w:sz w:val="24"/>
                <w:highlight w:val="none"/>
              </w:rPr>
            </w:pPr>
            <w:r>
              <w:rPr>
                <w:rFonts w:hint="eastAsia" w:ascii="仿宋" w:hAnsi="仿宋" w:eastAsia="仿宋" w:cs="仿宋"/>
                <w:color w:val="auto"/>
                <w:sz w:val="24"/>
                <w:highlight w:val="none"/>
              </w:rPr>
              <w:t>9、防腐蚀</w:t>
            </w:r>
          </w:p>
        </w:tc>
        <w:tc>
          <w:tcPr>
            <w:tcW w:w="750" w:type="dxa"/>
            <w:vMerge w:val="continue"/>
            <w:vAlign w:val="center"/>
          </w:tcPr>
          <w:p w14:paraId="62788BB0">
            <w:pPr>
              <w:jc w:val="center"/>
              <w:rPr>
                <w:rFonts w:hint="eastAsia" w:ascii="仿宋" w:hAnsi="仿宋" w:eastAsia="仿宋" w:cs="仿宋"/>
                <w:color w:val="auto"/>
                <w:sz w:val="24"/>
                <w:highlight w:val="none"/>
              </w:rPr>
            </w:pPr>
          </w:p>
        </w:tc>
      </w:tr>
      <w:tr w14:paraId="24C44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512" w:type="dxa"/>
            <w:vMerge w:val="continue"/>
            <w:vAlign w:val="center"/>
          </w:tcPr>
          <w:p w14:paraId="4FF93265">
            <w:pPr>
              <w:jc w:val="center"/>
              <w:rPr>
                <w:rFonts w:hint="eastAsia" w:ascii="仿宋" w:hAnsi="仿宋" w:eastAsia="仿宋" w:cs="仿宋"/>
                <w:color w:val="auto"/>
                <w:sz w:val="24"/>
                <w:highlight w:val="none"/>
              </w:rPr>
            </w:pPr>
          </w:p>
        </w:tc>
        <w:tc>
          <w:tcPr>
            <w:tcW w:w="850" w:type="dxa"/>
            <w:vMerge w:val="continue"/>
            <w:vAlign w:val="center"/>
          </w:tcPr>
          <w:p w14:paraId="260F2808">
            <w:pPr>
              <w:jc w:val="center"/>
              <w:rPr>
                <w:rFonts w:hint="eastAsia" w:ascii="仿宋" w:hAnsi="仿宋" w:eastAsia="仿宋" w:cs="仿宋"/>
                <w:color w:val="auto"/>
                <w:sz w:val="24"/>
                <w:highlight w:val="none"/>
              </w:rPr>
            </w:pPr>
          </w:p>
        </w:tc>
        <w:tc>
          <w:tcPr>
            <w:tcW w:w="913" w:type="dxa"/>
            <w:vMerge w:val="restart"/>
            <w:vAlign w:val="center"/>
          </w:tcPr>
          <w:p w14:paraId="2E7F7E7E">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电缆</w:t>
            </w:r>
          </w:p>
        </w:tc>
        <w:tc>
          <w:tcPr>
            <w:tcW w:w="6750" w:type="dxa"/>
          </w:tcPr>
          <w:p w14:paraId="6C247B77">
            <w:pPr>
              <w:rPr>
                <w:rFonts w:hint="eastAsia" w:ascii="仿宋" w:hAnsi="仿宋" w:eastAsia="仿宋" w:cs="仿宋"/>
                <w:color w:val="auto"/>
                <w:sz w:val="24"/>
                <w:highlight w:val="none"/>
              </w:rPr>
            </w:pPr>
            <w:r>
              <w:rPr>
                <w:rFonts w:hint="eastAsia" w:ascii="仿宋" w:hAnsi="仿宋" w:eastAsia="仿宋" w:cs="仿宋"/>
                <w:color w:val="auto"/>
                <w:sz w:val="24"/>
                <w:highlight w:val="none"/>
              </w:rPr>
              <w:t>1、名称：铝芯塑力电缆。</w:t>
            </w:r>
          </w:p>
        </w:tc>
        <w:tc>
          <w:tcPr>
            <w:tcW w:w="750" w:type="dxa"/>
            <w:vMerge w:val="restart"/>
            <w:vAlign w:val="center"/>
          </w:tcPr>
          <w:p w14:paraId="4EA18050">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11200米</w:t>
            </w:r>
          </w:p>
        </w:tc>
      </w:tr>
      <w:tr w14:paraId="0330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A1BBB0B">
            <w:pPr>
              <w:jc w:val="center"/>
              <w:rPr>
                <w:rFonts w:hint="eastAsia" w:ascii="仿宋" w:hAnsi="仿宋" w:eastAsia="仿宋" w:cs="仿宋"/>
                <w:color w:val="auto"/>
                <w:sz w:val="24"/>
                <w:highlight w:val="none"/>
              </w:rPr>
            </w:pPr>
          </w:p>
        </w:tc>
        <w:tc>
          <w:tcPr>
            <w:tcW w:w="850" w:type="dxa"/>
            <w:vMerge w:val="continue"/>
            <w:vAlign w:val="center"/>
          </w:tcPr>
          <w:p w14:paraId="34E34E9E">
            <w:pPr>
              <w:jc w:val="center"/>
              <w:rPr>
                <w:rFonts w:hint="eastAsia" w:ascii="仿宋" w:hAnsi="仿宋" w:eastAsia="仿宋" w:cs="仿宋"/>
                <w:color w:val="auto"/>
                <w:sz w:val="24"/>
                <w:highlight w:val="none"/>
              </w:rPr>
            </w:pPr>
          </w:p>
        </w:tc>
        <w:tc>
          <w:tcPr>
            <w:tcW w:w="913" w:type="dxa"/>
            <w:vMerge w:val="continue"/>
            <w:vAlign w:val="center"/>
          </w:tcPr>
          <w:p w14:paraId="0F4BD107">
            <w:pPr>
              <w:jc w:val="center"/>
              <w:rPr>
                <w:rFonts w:hint="eastAsia" w:ascii="仿宋" w:hAnsi="仿宋" w:eastAsia="仿宋" w:cs="仿宋"/>
                <w:color w:val="auto"/>
                <w:sz w:val="24"/>
                <w:highlight w:val="none"/>
              </w:rPr>
            </w:pPr>
          </w:p>
        </w:tc>
        <w:tc>
          <w:tcPr>
            <w:tcW w:w="6750" w:type="dxa"/>
          </w:tcPr>
          <w:p w14:paraId="6A9EB3E9">
            <w:pPr>
              <w:rPr>
                <w:rFonts w:hint="eastAsia" w:ascii="仿宋" w:hAnsi="仿宋" w:eastAsia="仿宋" w:cs="仿宋"/>
                <w:color w:val="auto"/>
                <w:sz w:val="24"/>
                <w:highlight w:val="none"/>
              </w:rPr>
            </w:pPr>
            <w:r>
              <w:rPr>
                <w:rFonts w:hint="eastAsia" w:ascii="仿宋" w:hAnsi="仿宋" w:eastAsia="仿宋" w:cs="仿宋"/>
                <w:color w:val="auto"/>
                <w:sz w:val="24"/>
                <w:highlight w:val="none"/>
              </w:rPr>
              <w:t>2、型号：YJLV22-3*35+1*16。</w:t>
            </w:r>
          </w:p>
        </w:tc>
        <w:tc>
          <w:tcPr>
            <w:tcW w:w="750" w:type="dxa"/>
            <w:vMerge w:val="continue"/>
            <w:vAlign w:val="center"/>
          </w:tcPr>
          <w:p w14:paraId="6568DE97">
            <w:pPr>
              <w:jc w:val="center"/>
              <w:rPr>
                <w:rFonts w:hint="eastAsia" w:ascii="仿宋" w:hAnsi="仿宋" w:eastAsia="仿宋" w:cs="仿宋"/>
                <w:color w:val="auto"/>
                <w:sz w:val="24"/>
                <w:highlight w:val="none"/>
              </w:rPr>
            </w:pPr>
          </w:p>
        </w:tc>
      </w:tr>
      <w:tr w14:paraId="579D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68FE575A">
            <w:pPr>
              <w:jc w:val="center"/>
              <w:rPr>
                <w:rFonts w:hint="eastAsia" w:ascii="仿宋" w:hAnsi="仿宋" w:eastAsia="仿宋" w:cs="仿宋"/>
                <w:color w:val="auto"/>
                <w:sz w:val="24"/>
                <w:highlight w:val="none"/>
              </w:rPr>
            </w:pPr>
          </w:p>
        </w:tc>
        <w:tc>
          <w:tcPr>
            <w:tcW w:w="850" w:type="dxa"/>
            <w:vMerge w:val="continue"/>
            <w:vAlign w:val="center"/>
          </w:tcPr>
          <w:p w14:paraId="0069F8BC">
            <w:pPr>
              <w:jc w:val="center"/>
              <w:rPr>
                <w:rFonts w:hint="eastAsia" w:ascii="仿宋" w:hAnsi="仿宋" w:eastAsia="仿宋" w:cs="仿宋"/>
                <w:color w:val="auto"/>
                <w:sz w:val="24"/>
                <w:highlight w:val="none"/>
              </w:rPr>
            </w:pPr>
          </w:p>
        </w:tc>
        <w:tc>
          <w:tcPr>
            <w:tcW w:w="913" w:type="dxa"/>
            <w:vMerge w:val="continue"/>
            <w:vAlign w:val="center"/>
          </w:tcPr>
          <w:p w14:paraId="7C77F107">
            <w:pPr>
              <w:jc w:val="center"/>
              <w:rPr>
                <w:rFonts w:hint="eastAsia" w:ascii="仿宋" w:hAnsi="仿宋" w:eastAsia="仿宋" w:cs="仿宋"/>
                <w:color w:val="auto"/>
                <w:sz w:val="24"/>
                <w:highlight w:val="none"/>
              </w:rPr>
            </w:pPr>
          </w:p>
        </w:tc>
        <w:tc>
          <w:tcPr>
            <w:tcW w:w="6750" w:type="dxa"/>
          </w:tcPr>
          <w:p w14:paraId="2066843F">
            <w:pPr>
              <w:rPr>
                <w:rFonts w:hint="eastAsia" w:ascii="仿宋" w:hAnsi="仿宋" w:eastAsia="仿宋" w:cs="仿宋"/>
                <w:color w:val="auto"/>
                <w:sz w:val="24"/>
                <w:highlight w:val="none"/>
              </w:rPr>
            </w:pPr>
            <w:r>
              <w:rPr>
                <w:rFonts w:hint="eastAsia" w:ascii="仿宋" w:hAnsi="仿宋" w:eastAsia="仿宋" w:cs="仿宋"/>
                <w:color w:val="auto"/>
                <w:sz w:val="24"/>
                <w:highlight w:val="none"/>
              </w:rPr>
              <w:t>3、电压等级(kV)：0.6/1KV。</w:t>
            </w:r>
          </w:p>
        </w:tc>
        <w:tc>
          <w:tcPr>
            <w:tcW w:w="750" w:type="dxa"/>
            <w:vMerge w:val="continue"/>
            <w:vAlign w:val="center"/>
          </w:tcPr>
          <w:p w14:paraId="17EC1990">
            <w:pPr>
              <w:jc w:val="center"/>
              <w:rPr>
                <w:rFonts w:hint="eastAsia" w:ascii="仿宋" w:hAnsi="仿宋" w:eastAsia="仿宋" w:cs="仿宋"/>
                <w:color w:val="auto"/>
                <w:sz w:val="24"/>
                <w:highlight w:val="none"/>
              </w:rPr>
            </w:pPr>
          </w:p>
        </w:tc>
      </w:tr>
      <w:tr w14:paraId="704DC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4EF9F525">
            <w:pPr>
              <w:jc w:val="center"/>
              <w:rPr>
                <w:rFonts w:hint="eastAsia" w:ascii="仿宋" w:hAnsi="仿宋" w:eastAsia="仿宋" w:cs="仿宋"/>
                <w:color w:val="auto"/>
                <w:sz w:val="24"/>
                <w:highlight w:val="none"/>
              </w:rPr>
            </w:pPr>
          </w:p>
        </w:tc>
        <w:tc>
          <w:tcPr>
            <w:tcW w:w="850" w:type="dxa"/>
            <w:vMerge w:val="continue"/>
            <w:vAlign w:val="center"/>
          </w:tcPr>
          <w:p w14:paraId="663E60A9">
            <w:pPr>
              <w:jc w:val="center"/>
              <w:rPr>
                <w:rFonts w:hint="eastAsia" w:ascii="仿宋" w:hAnsi="仿宋" w:eastAsia="仿宋" w:cs="仿宋"/>
                <w:color w:val="auto"/>
                <w:sz w:val="24"/>
                <w:highlight w:val="none"/>
              </w:rPr>
            </w:pPr>
          </w:p>
        </w:tc>
        <w:tc>
          <w:tcPr>
            <w:tcW w:w="913" w:type="dxa"/>
            <w:vMerge w:val="continue"/>
            <w:vAlign w:val="center"/>
          </w:tcPr>
          <w:p w14:paraId="020F1388">
            <w:pPr>
              <w:jc w:val="center"/>
              <w:rPr>
                <w:rFonts w:hint="eastAsia" w:ascii="仿宋" w:hAnsi="仿宋" w:eastAsia="仿宋" w:cs="仿宋"/>
                <w:color w:val="auto"/>
                <w:sz w:val="24"/>
                <w:highlight w:val="none"/>
              </w:rPr>
            </w:pPr>
          </w:p>
        </w:tc>
        <w:tc>
          <w:tcPr>
            <w:tcW w:w="6750" w:type="dxa"/>
          </w:tcPr>
          <w:p w14:paraId="176CFD9C">
            <w:pPr>
              <w:rPr>
                <w:rFonts w:hint="eastAsia" w:ascii="仿宋" w:hAnsi="仿宋" w:eastAsia="仿宋" w:cs="仿宋"/>
                <w:color w:val="auto"/>
                <w:sz w:val="24"/>
                <w:highlight w:val="none"/>
              </w:rPr>
            </w:pPr>
            <w:r>
              <w:rPr>
                <w:rFonts w:hint="eastAsia" w:ascii="仿宋" w:hAnsi="仿宋" w:eastAsia="仿宋" w:cs="仿宋"/>
                <w:color w:val="auto"/>
                <w:sz w:val="24"/>
                <w:highlight w:val="none"/>
              </w:rPr>
              <w:t>4、敷设方式、部位：一般山地埋地敷设，余缆10米。</w:t>
            </w:r>
          </w:p>
        </w:tc>
        <w:tc>
          <w:tcPr>
            <w:tcW w:w="750" w:type="dxa"/>
            <w:vMerge w:val="continue"/>
            <w:vAlign w:val="center"/>
          </w:tcPr>
          <w:p w14:paraId="4B49FBCD">
            <w:pPr>
              <w:jc w:val="center"/>
              <w:rPr>
                <w:rFonts w:hint="eastAsia" w:ascii="仿宋" w:hAnsi="仿宋" w:eastAsia="仿宋" w:cs="仿宋"/>
                <w:color w:val="auto"/>
                <w:sz w:val="24"/>
                <w:highlight w:val="none"/>
              </w:rPr>
            </w:pPr>
          </w:p>
        </w:tc>
      </w:tr>
      <w:tr w14:paraId="6876F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72AA63F9">
            <w:pPr>
              <w:jc w:val="center"/>
              <w:rPr>
                <w:rFonts w:hint="eastAsia" w:ascii="仿宋" w:hAnsi="仿宋" w:eastAsia="仿宋" w:cs="仿宋"/>
                <w:color w:val="auto"/>
                <w:sz w:val="24"/>
                <w:highlight w:val="none"/>
              </w:rPr>
            </w:pPr>
          </w:p>
        </w:tc>
        <w:tc>
          <w:tcPr>
            <w:tcW w:w="850" w:type="dxa"/>
            <w:vMerge w:val="continue"/>
            <w:vAlign w:val="center"/>
          </w:tcPr>
          <w:p w14:paraId="0DCA3648">
            <w:pPr>
              <w:jc w:val="center"/>
              <w:rPr>
                <w:rFonts w:hint="eastAsia" w:ascii="仿宋" w:hAnsi="仿宋" w:eastAsia="仿宋" w:cs="仿宋"/>
                <w:color w:val="auto"/>
                <w:sz w:val="24"/>
                <w:highlight w:val="none"/>
              </w:rPr>
            </w:pPr>
          </w:p>
        </w:tc>
        <w:tc>
          <w:tcPr>
            <w:tcW w:w="913" w:type="dxa"/>
            <w:vMerge w:val="continue"/>
            <w:vAlign w:val="center"/>
          </w:tcPr>
          <w:p w14:paraId="21910E26">
            <w:pPr>
              <w:jc w:val="center"/>
              <w:rPr>
                <w:rFonts w:hint="eastAsia" w:ascii="仿宋" w:hAnsi="仿宋" w:eastAsia="仿宋" w:cs="仿宋"/>
                <w:color w:val="auto"/>
                <w:sz w:val="24"/>
                <w:highlight w:val="none"/>
              </w:rPr>
            </w:pPr>
          </w:p>
        </w:tc>
        <w:tc>
          <w:tcPr>
            <w:tcW w:w="6750" w:type="dxa"/>
          </w:tcPr>
          <w:p w14:paraId="54D87ECD">
            <w:pPr>
              <w:rPr>
                <w:rFonts w:hint="eastAsia" w:ascii="仿宋" w:hAnsi="仿宋" w:eastAsia="仿宋" w:cs="仿宋"/>
                <w:color w:val="auto"/>
                <w:sz w:val="24"/>
                <w:highlight w:val="none"/>
              </w:rPr>
            </w:pPr>
            <w:r>
              <w:rPr>
                <w:rFonts w:hint="eastAsia" w:ascii="仿宋" w:hAnsi="仿宋" w:eastAsia="仿宋" w:cs="仿宋"/>
                <w:color w:val="auto"/>
                <w:sz w:val="24"/>
                <w:highlight w:val="none"/>
              </w:rPr>
              <w:t>5、电缆沟使用沙子和预制混凝土板覆盖。</w:t>
            </w:r>
          </w:p>
        </w:tc>
        <w:tc>
          <w:tcPr>
            <w:tcW w:w="750" w:type="dxa"/>
            <w:vMerge w:val="continue"/>
            <w:vAlign w:val="center"/>
          </w:tcPr>
          <w:p w14:paraId="108564C1">
            <w:pPr>
              <w:jc w:val="center"/>
              <w:rPr>
                <w:rFonts w:hint="eastAsia" w:ascii="仿宋" w:hAnsi="仿宋" w:eastAsia="仿宋" w:cs="仿宋"/>
                <w:color w:val="auto"/>
                <w:sz w:val="24"/>
                <w:highlight w:val="none"/>
              </w:rPr>
            </w:pPr>
          </w:p>
        </w:tc>
      </w:tr>
      <w:tr w14:paraId="02BD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6129D8A">
            <w:pPr>
              <w:jc w:val="center"/>
              <w:rPr>
                <w:rFonts w:hint="eastAsia" w:ascii="仿宋" w:hAnsi="仿宋" w:eastAsia="仿宋" w:cs="仿宋"/>
                <w:color w:val="auto"/>
                <w:sz w:val="24"/>
                <w:highlight w:val="none"/>
              </w:rPr>
            </w:pPr>
          </w:p>
        </w:tc>
        <w:tc>
          <w:tcPr>
            <w:tcW w:w="850" w:type="dxa"/>
            <w:vMerge w:val="continue"/>
            <w:vAlign w:val="center"/>
          </w:tcPr>
          <w:p w14:paraId="033276D3">
            <w:pPr>
              <w:jc w:val="center"/>
              <w:rPr>
                <w:rFonts w:hint="eastAsia" w:ascii="仿宋" w:hAnsi="仿宋" w:eastAsia="仿宋" w:cs="仿宋"/>
                <w:color w:val="auto"/>
                <w:sz w:val="24"/>
                <w:highlight w:val="none"/>
              </w:rPr>
            </w:pPr>
          </w:p>
        </w:tc>
        <w:tc>
          <w:tcPr>
            <w:tcW w:w="913" w:type="dxa"/>
            <w:vMerge w:val="continue"/>
            <w:vAlign w:val="center"/>
          </w:tcPr>
          <w:p w14:paraId="42053F44">
            <w:pPr>
              <w:jc w:val="center"/>
              <w:rPr>
                <w:rFonts w:hint="eastAsia" w:ascii="仿宋" w:hAnsi="仿宋" w:eastAsia="仿宋" w:cs="仿宋"/>
                <w:color w:val="auto"/>
                <w:sz w:val="24"/>
                <w:highlight w:val="none"/>
              </w:rPr>
            </w:pPr>
          </w:p>
        </w:tc>
        <w:tc>
          <w:tcPr>
            <w:tcW w:w="6750" w:type="dxa"/>
          </w:tcPr>
          <w:p w14:paraId="5E58D98A">
            <w:pPr>
              <w:rPr>
                <w:rFonts w:hint="eastAsia" w:ascii="仿宋" w:hAnsi="仿宋" w:eastAsia="仿宋" w:cs="仿宋"/>
                <w:color w:val="auto"/>
                <w:sz w:val="24"/>
                <w:highlight w:val="none"/>
              </w:rPr>
            </w:pPr>
            <w:r>
              <w:rPr>
                <w:rFonts w:hint="eastAsia" w:ascii="仿宋" w:hAnsi="仿宋" w:eastAsia="仿宋" w:cs="仿宋"/>
                <w:color w:val="auto"/>
                <w:sz w:val="24"/>
                <w:highlight w:val="none"/>
              </w:rPr>
              <w:t>6、开盘、检查、架盘、敷设、锯断、排列、整理、固定、收盘、临时封头、挂牌、绝缘测试。</w:t>
            </w:r>
          </w:p>
        </w:tc>
        <w:tc>
          <w:tcPr>
            <w:tcW w:w="750" w:type="dxa"/>
            <w:vMerge w:val="continue"/>
            <w:vAlign w:val="center"/>
          </w:tcPr>
          <w:p w14:paraId="119E58B4">
            <w:pPr>
              <w:jc w:val="center"/>
              <w:rPr>
                <w:rFonts w:hint="eastAsia" w:ascii="仿宋" w:hAnsi="仿宋" w:eastAsia="仿宋" w:cs="仿宋"/>
                <w:color w:val="auto"/>
                <w:sz w:val="24"/>
                <w:highlight w:val="none"/>
              </w:rPr>
            </w:pPr>
          </w:p>
        </w:tc>
      </w:tr>
      <w:tr w14:paraId="346BB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42E8CD9C">
            <w:pPr>
              <w:jc w:val="center"/>
              <w:rPr>
                <w:rFonts w:hint="eastAsia" w:ascii="仿宋" w:hAnsi="仿宋" w:eastAsia="仿宋" w:cs="仿宋"/>
                <w:color w:val="auto"/>
                <w:sz w:val="24"/>
                <w:highlight w:val="none"/>
              </w:rPr>
            </w:pPr>
          </w:p>
        </w:tc>
        <w:tc>
          <w:tcPr>
            <w:tcW w:w="850" w:type="dxa"/>
            <w:vMerge w:val="continue"/>
            <w:vAlign w:val="center"/>
          </w:tcPr>
          <w:p w14:paraId="7824B8E8">
            <w:pPr>
              <w:jc w:val="center"/>
              <w:rPr>
                <w:rFonts w:hint="eastAsia" w:ascii="仿宋" w:hAnsi="仿宋" w:eastAsia="仿宋" w:cs="仿宋"/>
                <w:color w:val="auto"/>
                <w:sz w:val="24"/>
                <w:highlight w:val="none"/>
              </w:rPr>
            </w:pPr>
          </w:p>
        </w:tc>
        <w:tc>
          <w:tcPr>
            <w:tcW w:w="913" w:type="dxa"/>
            <w:vAlign w:val="center"/>
          </w:tcPr>
          <w:p w14:paraId="33D687F4">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辅材</w:t>
            </w:r>
          </w:p>
        </w:tc>
        <w:tc>
          <w:tcPr>
            <w:tcW w:w="6750" w:type="dxa"/>
          </w:tcPr>
          <w:p w14:paraId="482A763B">
            <w:pPr>
              <w:rPr>
                <w:rFonts w:hint="eastAsia" w:ascii="仿宋" w:hAnsi="仿宋" w:eastAsia="仿宋" w:cs="仿宋"/>
                <w:color w:val="auto"/>
                <w:sz w:val="24"/>
                <w:highlight w:val="none"/>
              </w:rPr>
            </w:pPr>
            <w:r>
              <w:rPr>
                <w:rFonts w:hint="eastAsia" w:ascii="仿宋" w:hAnsi="仿宋" w:eastAsia="仿宋" w:cs="仿宋"/>
                <w:color w:val="auto"/>
                <w:sz w:val="24"/>
                <w:highlight w:val="none"/>
              </w:rPr>
              <w:t>电缆保护管（镀锌钢管/ PE管）、铜鼻子（线鼻子）、防水密封胶泥、卡箍/扎带、电缆支架等，根据市电建设点到供电点位距离实际配备。</w:t>
            </w:r>
          </w:p>
        </w:tc>
        <w:tc>
          <w:tcPr>
            <w:tcW w:w="750" w:type="dxa"/>
            <w:vAlign w:val="center"/>
          </w:tcPr>
          <w:p w14:paraId="20068010">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1批</w:t>
            </w:r>
          </w:p>
        </w:tc>
      </w:tr>
      <w:tr w14:paraId="5442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restart"/>
            <w:vAlign w:val="center"/>
          </w:tcPr>
          <w:p w14:paraId="2425C108">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850" w:type="dxa"/>
            <w:vMerge w:val="restart"/>
            <w:vAlign w:val="center"/>
          </w:tcPr>
          <w:p w14:paraId="576B1ECE">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防盗系统</w:t>
            </w:r>
          </w:p>
        </w:tc>
        <w:tc>
          <w:tcPr>
            <w:tcW w:w="913" w:type="dxa"/>
            <w:vMerge w:val="restart"/>
            <w:vAlign w:val="center"/>
          </w:tcPr>
          <w:p w14:paraId="4389A8F1">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防盗摄像机</w:t>
            </w:r>
          </w:p>
        </w:tc>
        <w:tc>
          <w:tcPr>
            <w:tcW w:w="6750" w:type="dxa"/>
          </w:tcPr>
          <w:p w14:paraId="1322F2CE">
            <w:pPr>
              <w:rPr>
                <w:rFonts w:hint="eastAsia" w:ascii="仿宋" w:hAnsi="仿宋" w:eastAsia="仿宋" w:cs="仿宋"/>
                <w:color w:val="auto"/>
                <w:sz w:val="24"/>
                <w:highlight w:val="none"/>
              </w:rPr>
            </w:pPr>
            <w:r>
              <w:rPr>
                <w:rFonts w:hint="eastAsia" w:ascii="仿宋" w:hAnsi="仿宋" w:eastAsia="仿宋" w:cs="仿宋"/>
                <w:color w:val="auto"/>
                <w:sz w:val="24"/>
                <w:highlight w:val="none"/>
              </w:rPr>
              <w:t>1、传感器靶面:1/3.0英寸，"像素:400 万，分辨率:2688*1520</w:t>
            </w:r>
          </w:p>
        </w:tc>
        <w:tc>
          <w:tcPr>
            <w:tcW w:w="750" w:type="dxa"/>
            <w:vMerge w:val="restart"/>
            <w:vAlign w:val="center"/>
          </w:tcPr>
          <w:p w14:paraId="3EC986BA">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21台</w:t>
            </w:r>
          </w:p>
        </w:tc>
      </w:tr>
      <w:tr w14:paraId="43E3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2B9B67E">
            <w:pPr>
              <w:jc w:val="center"/>
              <w:rPr>
                <w:rFonts w:hint="eastAsia" w:ascii="仿宋" w:hAnsi="仿宋" w:eastAsia="仿宋" w:cs="仿宋"/>
                <w:color w:val="auto"/>
                <w:sz w:val="24"/>
                <w:highlight w:val="none"/>
              </w:rPr>
            </w:pPr>
          </w:p>
        </w:tc>
        <w:tc>
          <w:tcPr>
            <w:tcW w:w="850" w:type="dxa"/>
            <w:vMerge w:val="continue"/>
            <w:vAlign w:val="center"/>
          </w:tcPr>
          <w:p w14:paraId="799AB558">
            <w:pPr>
              <w:jc w:val="center"/>
              <w:rPr>
                <w:rFonts w:hint="eastAsia" w:ascii="仿宋" w:hAnsi="仿宋" w:eastAsia="仿宋" w:cs="仿宋"/>
                <w:color w:val="auto"/>
                <w:sz w:val="24"/>
                <w:highlight w:val="none"/>
              </w:rPr>
            </w:pPr>
          </w:p>
        </w:tc>
        <w:tc>
          <w:tcPr>
            <w:tcW w:w="913" w:type="dxa"/>
            <w:vMerge w:val="continue"/>
            <w:vAlign w:val="center"/>
          </w:tcPr>
          <w:p w14:paraId="3F2BEC4D">
            <w:pPr>
              <w:jc w:val="center"/>
              <w:rPr>
                <w:rFonts w:hint="eastAsia" w:ascii="仿宋" w:hAnsi="仿宋" w:eastAsia="仿宋" w:cs="仿宋"/>
                <w:color w:val="auto"/>
                <w:sz w:val="24"/>
                <w:highlight w:val="none"/>
              </w:rPr>
            </w:pPr>
          </w:p>
        </w:tc>
        <w:tc>
          <w:tcPr>
            <w:tcW w:w="6750" w:type="dxa"/>
          </w:tcPr>
          <w:p w14:paraId="13151F37">
            <w:pPr>
              <w:rPr>
                <w:rFonts w:hint="eastAsia" w:ascii="仿宋" w:hAnsi="仿宋" w:eastAsia="仿宋" w:cs="仿宋"/>
                <w:color w:val="auto"/>
                <w:sz w:val="24"/>
                <w:highlight w:val="none"/>
              </w:rPr>
            </w:pPr>
            <w:r>
              <w:rPr>
                <w:rFonts w:hint="eastAsia" w:ascii="仿宋" w:hAnsi="仿宋" w:eastAsia="仿宋" w:cs="仿宋"/>
                <w:color w:val="auto"/>
                <w:sz w:val="24"/>
                <w:highlight w:val="none"/>
              </w:rPr>
              <w:t>2、水平中心分辨力：≥1400TVL</w:t>
            </w:r>
          </w:p>
        </w:tc>
        <w:tc>
          <w:tcPr>
            <w:tcW w:w="750" w:type="dxa"/>
            <w:vMerge w:val="continue"/>
          </w:tcPr>
          <w:p w14:paraId="2C5B4145">
            <w:pPr>
              <w:rPr>
                <w:rFonts w:hint="eastAsia" w:ascii="仿宋" w:hAnsi="仿宋" w:eastAsia="仿宋" w:cs="仿宋"/>
                <w:color w:val="auto"/>
                <w:sz w:val="24"/>
                <w:highlight w:val="none"/>
              </w:rPr>
            </w:pPr>
          </w:p>
        </w:tc>
      </w:tr>
      <w:tr w14:paraId="3D94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47ED90B">
            <w:pPr>
              <w:jc w:val="center"/>
              <w:rPr>
                <w:rFonts w:hint="eastAsia" w:ascii="仿宋" w:hAnsi="仿宋" w:eastAsia="仿宋" w:cs="仿宋"/>
                <w:color w:val="auto"/>
                <w:sz w:val="24"/>
                <w:highlight w:val="none"/>
              </w:rPr>
            </w:pPr>
          </w:p>
        </w:tc>
        <w:tc>
          <w:tcPr>
            <w:tcW w:w="850" w:type="dxa"/>
            <w:vMerge w:val="continue"/>
            <w:vAlign w:val="center"/>
          </w:tcPr>
          <w:p w14:paraId="61593C8F">
            <w:pPr>
              <w:jc w:val="center"/>
              <w:rPr>
                <w:rFonts w:hint="eastAsia" w:ascii="仿宋" w:hAnsi="仿宋" w:eastAsia="仿宋" w:cs="仿宋"/>
                <w:color w:val="auto"/>
                <w:sz w:val="24"/>
                <w:highlight w:val="none"/>
              </w:rPr>
            </w:pPr>
          </w:p>
        </w:tc>
        <w:tc>
          <w:tcPr>
            <w:tcW w:w="913" w:type="dxa"/>
            <w:vMerge w:val="continue"/>
            <w:vAlign w:val="center"/>
          </w:tcPr>
          <w:p w14:paraId="37751151">
            <w:pPr>
              <w:jc w:val="center"/>
              <w:rPr>
                <w:rFonts w:hint="eastAsia" w:ascii="仿宋" w:hAnsi="仿宋" w:eastAsia="仿宋" w:cs="仿宋"/>
                <w:color w:val="auto"/>
                <w:sz w:val="24"/>
                <w:highlight w:val="none"/>
              </w:rPr>
            </w:pPr>
          </w:p>
        </w:tc>
        <w:tc>
          <w:tcPr>
            <w:tcW w:w="6750" w:type="dxa"/>
          </w:tcPr>
          <w:p w14:paraId="21262253">
            <w:pPr>
              <w:rPr>
                <w:rFonts w:hint="eastAsia" w:ascii="仿宋" w:hAnsi="仿宋" w:eastAsia="仿宋" w:cs="仿宋"/>
                <w:color w:val="auto"/>
                <w:sz w:val="24"/>
                <w:highlight w:val="none"/>
              </w:rPr>
            </w:pPr>
            <w:r>
              <w:rPr>
                <w:rFonts w:hint="eastAsia" w:ascii="仿宋" w:hAnsi="仿宋" w:eastAsia="仿宋" w:cs="仿宋"/>
                <w:color w:val="auto"/>
                <w:sz w:val="24"/>
                <w:highlight w:val="none"/>
              </w:rPr>
              <w:t>3、走廊模式：开启走廊模式后，监控画面可 90°旋转并自动调整宽高比</w:t>
            </w:r>
          </w:p>
        </w:tc>
        <w:tc>
          <w:tcPr>
            <w:tcW w:w="750" w:type="dxa"/>
            <w:vMerge w:val="continue"/>
          </w:tcPr>
          <w:p w14:paraId="4EFF9215">
            <w:pPr>
              <w:rPr>
                <w:rFonts w:hint="eastAsia" w:ascii="仿宋" w:hAnsi="仿宋" w:eastAsia="仿宋" w:cs="仿宋"/>
                <w:color w:val="auto"/>
                <w:sz w:val="24"/>
                <w:highlight w:val="none"/>
              </w:rPr>
            </w:pPr>
          </w:p>
        </w:tc>
      </w:tr>
      <w:tr w14:paraId="552D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7563F96F">
            <w:pPr>
              <w:jc w:val="center"/>
              <w:rPr>
                <w:rFonts w:hint="eastAsia" w:ascii="仿宋" w:hAnsi="仿宋" w:eastAsia="仿宋" w:cs="仿宋"/>
                <w:color w:val="auto"/>
                <w:sz w:val="24"/>
                <w:highlight w:val="none"/>
              </w:rPr>
            </w:pPr>
          </w:p>
        </w:tc>
        <w:tc>
          <w:tcPr>
            <w:tcW w:w="850" w:type="dxa"/>
            <w:vMerge w:val="continue"/>
            <w:vAlign w:val="center"/>
          </w:tcPr>
          <w:p w14:paraId="1764FF1A">
            <w:pPr>
              <w:jc w:val="center"/>
              <w:rPr>
                <w:rFonts w:hint="eastAsia" w:ascii="仿宋" w:hAnsi="仿宋" w:eastAsia="仿宋" w:cs="仿宋"/>
                <w:color w:val="auto"/>
                <w:sz w:val="24"/>
                <w:highlight w:val="none"/>
              </w:rPr>
            </w:pPr>
          </w:p>
        </w:tc>
        <w:tc>
          <w:tcPr>
            <w:tcW w:w="913" w:type="dxa"/>
            <w:vMerge w:val="continue"/>
            <w:vAlign w:val="center"/>
          </w:tcPr>
          <w:p w14:paraId="189B51F4">
            <w:pPr>
              <w:jc w:val="center"/>
              <w:rPr>
                <w:rFonts w:hint="eastAsia" w:ascii="仿宋" w:hAnsi="仿宋" w:eastAsia="仿宋" w:cs="仿宋"/>
                <w:color w:val="auto"/>
                <w:sz w:val="24"/>
                <w:highlight w:val="none"/>
              </w:rPr>
            </w:pPr>
          </w:p>
        </w:tc>
        <w:tc>
          <w:tcPr>
            <w:tcW w:w="6750" w:type="dxa"/>
          </w:tcPr>
          <w:p w14:paraId="19A3B863">
            <w:pPr>
              <w:rPr>
                <w:rFonts w:hint="eastAsia" w:ascii="仿宋" w:hAnsi="仿宋" w:eastAsia="仿宋" w:cs="仿宋"/>
                <w:color w:val="auto"/>
                <w:sz w:val="24"/>
                <w:highlight w:val="none"/>
              </w:rPr>
            </w:pPr>
            <w:r>
              <w:rPr>
                <w:rFonts w:hint="eastAsia" w:ascii="仿宋" w:hAnsi="仿宋" w:eastAsia="仿宋" w:cs="仿宋"/>
                <w:color w:val="auto"/>
                <w:sz w:val="24"/>
                <w:highlight w:val="none"/>
              </w:rPr>
              <w:t>4、最低照度：彩色：0.0005 lux ，黑色：0.0001 lux</w:t>
            </w:r>
          </w:p>
        </w:tc>
        <w:tc>
          <w:tcPr>
            <w:tcW w:w="750" w:type="dxa"/>
            <w:vMerge w:val="continue"/>
          </w:tcPr>
          <w:p w14:paraId="38E57107">
            <w:pPr>
              <w:rPr>
                <w:rFonts w:hint="eastAsia" w:ascii="仿宋" w:hAnsi="仿宋" w:eastAsia="仿宋" w:cs="仿宋"/>
                <w:color w:val="auto"/>
                <w:sz w:val="24"/>
                <w:highlight w:val="none"/>
              </w:rPr>
            </w:pPr>
          </w:p>
        </w:tc>
      </w:tr>
      <w:tr w14:paraId="0A55F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C6384DA">
            <w:pPr>
              <w:jc w:val="center"/>
              <w:rPr>
                <w:rFonts w:hint="eastAsia" w:ascii="仿宋" w:hAnsi="仿宋" w:eastAsia="仿宋" w:cs="仿宋"/>
                <w:color w:val="auto"/>
                <w:sz w:val="24"/>
                <w:highlight w:val="none"/>
              </w:rPr>
            </w:pPr>
          </w:p>
        </w:tc>
        <w:tc>
          <w:tcPr>
            <w:tcW w:w="850" w:type="dxa"/>
            <w:vMerge w:val="continue"/>
            <w:vAlign w:val="center"/>
          </w:tcPr>
          <w:p w14:paraId="70EC94FB">
            <w:pPr>
              <w:jc w:val="center"/>
              <w:rPr>
                <w:rFonts w:hint="eastAsia" w:ascii="仿宋" w:hAnsi="仿宋" w:eastAsia="仿宋" w:cs="仿宋"/>
                <w:color w:val="auto"/>
                <w:sz w:val="24"/>
                <w:highlight w:val="none"/>
              </w:rPr>
            </w:pPr>
          </w:p>
        </w:tc>
        <w:tc>
          <w:tcPr>
            <w:tcW w:w="913" w:type="dxa"/>
            <w:vMerge w:val="continue"/>
            <w:vAlign w:val="center"/>
          </w:tcPr>
          <w:p w14:paraId="3F1C4FB4">
            <w:pPr>
              <w:jc w:val="center"/>
              <w:rPr>
                <w:rFonts w:hint="eastAsia" w:ascii="仿宋" w:hAnsi="仿宋" w:eastAsia="仿宋" w:cs="仿宋"/>
                <w:color w:val="auto"/>
                <w:sz w:val="24"/>
                <w:highlight w:val="none"/>
              </w:rPr>
            </w:pPr>
          </w:p>
        </w:tc>
        <w:tc>
          <w:tcPr>
            <w:tcW w:w="6750" w:type="dxa"/>
          </w:tcPr>
          <w:p w14:paraId="3C2A833C">
            <w:pPr>
              <w:rPr>
                <w:rFonts w:hint="eastAsia" w:ascii="仿宋" w:hAnsi="仿宋" w:eastAsia="仿宋" w:cs="仿宋"/>
                <w:color w:val="auto"/>
                <w:sz w:val="24"/>
                <w:highlight w:val="none"/>
              </w:rPr>
            </w:pPr>
            <w:r>
              <w:rPr>
                <w:rFonts w:hint="eastAsia" w:ascii="仿宋" w:hAnsi="仿宋" w:eastAsia="仿宋" w:cs="仿宋"/>
                <w:color w:val="auto"/>
                <w:sz w:val="24"/>
                <w:highlight w:val="none"/>
              </w:rPr>
              <w:t>5、照度适应范围：≥135dB</w:t>
            </w:r>
          </w:p>
        </w:tc>
        <w:tc>
          <w:tcPr>
            <w:tcW w:w="750" w:type="dxa"/>
            <w:vMerge w:val="continue"/>
          </w:tcPr>
          <w:p w14:paraId="45F95C47">
            <w:pPr>
              <w:rPr>
                <w:rFonts w:hint="eastAsia" w:ascii="仿宋" w:hAnsi="仿宋" w:eastAsia="仿宋" w:cs="仿宋"/>
                <w:color w:val="auto"/>
                <w:sz w:val="24"/>
                <w:highlight w:val="none"/>
              </w:rPr>
            </w:pPr>
          </w:p>
        </w:tc>
      </w:tr>
      <w:tr w14:paraId="270A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E946AA5">
            <w:pPr>
              <w:jc w:val="center"/>
              <w:rPr>
                <w:rFonts w:hint="eastAsia" w:ascii="仿宋" w:hAnsi="仿宋" w:eastAsia="仿宋" w:cs="仿宋"/>
                <w:color w:val="auto"/>
                <w:sz w:val="24"/>
                <w:highlight w:val="none"/>
              </w:rPr>
            </w:pPr>
          </w:p>
        </w:tc>
        <w:tc>
          <w:tcPr>
            <w:tcW w:w="850" w:type="dxa"/>
            <w:vMerge w:val="continue"/>
            <w:vAlign w:val="center"/>
          </w:tcPr>
          <w:p w14:paraId="3ECBFB1B">
            <w:pPr>
              <w:jc w:val="center"/>
              <w:rPr>
                <w:rFonts w:hint="eastAsia" w:ascii="仿宋" w:hAnsi="仿宋" w:eastAsia="仿宋" w:cs="仿宋"/>
                <w:color w:val="auto"/>
                <w:sz w:val="24"/>
                <w:highlight w:val="none"/>
              </w:rPr>
            </w:pPr>
          </w:p>
        </w:tc>
        <w:tc>
          <w:tcPr>
            <w:tcW w:w="913" w:type="dxa"/>
            <w:vMerge w:val="continue"/>
            <w:vAlign w:val="center"/>
          </w:tcPr>
          <w:p w14:paraId="326D195F">
            <w:pPr>
              <w:jc w:val="center"/>
              <w:rPr>
                <w:rFonts w:hint="eastAsia" w:ascii="仿宋" w:hAnsi="仿宋" w:eastAsia="仿宋" w:cs="仿宋"/>
                <w:color w:val="auto"/>
                <w:sz w:val="24"/>
                <w:highlight w:val="none"/>
              </w:rPr>
            </w:pPr>
          </w:p>
        </w:tc>
        <w:tc>
          <w:tcPr>
            <w:tcW w:w="6750" w:type="dxa"/>
          </w:tcPr>
          <w:p w14:paraId="1E730DD5">
            <w:pPr>
              <w:rPr>
                <w:rFonts w:hint="eastAsia" w:ascii="仿宋" w:hAnsi="仿宋" w:eastAsia="仿宋" w:cs="仿宋"/>
                <w:color w:val="auto"/>
                <w:sz w:val="24"/>
                <w:highlight w:val="none"/>
              </w:rPr>
            </w:pPr>
            <w:r>
              <w:rPr>
                <w:rFonts w:hint="eastAsia" w:ascii="仿宋" w:hAnsi="仿宋" w:eastAsia="仿宋" w:cs="仿宋"/>
                <w:color w:val="auto"/>
                <w:sz w:val="24"/>
                <w:highlight w:val="none"/>
              </w:rPr>
              <w:t>6、内置 Mic:1 个</w:t>
            </w:r>
          </w:p>
        </w:tc>
        <w:tc>
          <w:tcPr>
            <w:tcW w:w="750" w:type="dxa"/>
            <w:vMerge w:val="continue"/>
          </w:tcPr>
          <w:p w14:paraId="3EE66052">
            <w:pPr>
              <w:rPr>
                <w:rFonts w:hint="eastAsia" w:ascii="仿宋" w:hAnsi="仿宋" w:eastAsia="仿宋" w:cs="仿宋"/>
                <w:color w:val="auto"/>
                <w:sz w:val="24"/>
                <w:highlight w:val="none"/>
              </w:rPr>
            </w:pPr>
          </w:p>
        </w:tc>
      </w:tr>
      <w:tr w14:paraId="3A5D4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4805F478">
            <w:pPr>
              <w:jc w:val="center"/>
              <w:rPr>
                <w:rFonts w:hint="eastAsia" w:ascii="仿宋" w:hAnsi="仿宋" w:eastAsia="仿宋" w:cs="仿宋"/>
                <w:color w:val="auto"/>
                <w:sz w:val="24"/>
                <w:highlight w:val="none"/>
              </w:rPr>
            </w:pPr>
          </w:p>
        </w:tc>
        <w:tc>
          <w:tcPr>
            <w:tcW w:w="850" w:type="dxa"/>
            <w:vMerge w:val="continue"/>
            <w:vAlign w:val="center"/>
          </w:tcPr>
          <w:p w14:paraId="278071CB">
            <w:pPr>
              <w:jc w:val="center"/>
              <w:rPr>
                <w:rFonts w:hint="eastAsia" w:ascii="仿宋" w:hAnsi="仿宋" w:eastAsia="仿宋" w:cs="仿宋"/>
                <w:color w:val="auto"/>
                <w:sz w:val="24"/>
                <w:highlight w:val="none"/>
              </w:rPr>
            </w:pPr>
          </w:p>
        </w:tc>
        <w:tc>
          <w:tcPr>
            <w:tcW w:w="913" w:type="dxa"/>
            <w:vMerge w:val="continue"/>
            <w:vAlign w:val="center"/>
          </w:tcPr>
          <w:p w14:paraId="059A3631">
            <w:pPr>
              <w:jc w:val="center"/>
              <w:rPr>
                <w:rFonts w:hint="eastAsia" w:ascii="仿宋" w:hAnsi="仿宋" w:eastAsia="仿宋" w:cs="仿宋"/>
                <w:color w:val="auto"/>
                <w:sz w:val="24"/>
                <w:highlight w:val="none"/>
              </w:rPr>
            </w:pPr>
          </w:p>
        </w:tc>
        <w:tc>
          <w:tcPr>
            <w:tcW w:w="6750" w:type="dxa"/>
          </w:tcPr>
          <w:p w14:paraId="081DA72F">
            <w:pPr>
              <w:rPr>
                <w:rFonts w:hint="eastAsia" w:ascii="仿宋" w:hAnsi="仿宋" w:eastAsia="仿宋" w:cs="仿宋"/>
                <w:color w:val="auto"/>
                <w:sz w:val="24"/>
                <w:highlight w:val="none"/>
              </w:rPr>
            </w:pPr>
            <w:r>
              <w:rPr>
                <w:rFonts w:hint="eastAsia" w:ascii="仿宋" w:hAnsi="仿宋" w:eastAsia="仿宋" w:cs="仿宋"/>
                <w:color w:val="auto"/>
                <w:sz w:val="24"/>
                <w:highlight w:val="none"/>
              </w:rPr>
              <w:t>7、内置扬声器:1个</w:t>
            </w:r>
          </w:p>
        </w:tc>
        <w:tc>
          <w:tcPr>
            <w:tcW w:w="750" w:type="dxa"/>
            <w:vMerge w:val="continue"/>
          </w:tcPr>
          <w:p w14:paraId="74A35E15">
            <w:pPr>
              <w:rPr>
                <w:rFonts w:hint="eastAsia" w:ascii="仿宋" w:hAnsi="仿宋" w:eastAsia="仿宋" w:cs="仿宋"/>
                <w:color w:val="auto"/>
                <w:sz w:val="24"/>
                <w:highlight w:val="none"/>
              </w:rPr>
            </w:pPr>
          </w:p>
        </w:tc>
      </w:tr>
      <w:tr w14:paraId="2072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282D3C63">
            <w:pPr>
              <w:jc w:val="center"/>
              <w:rPr>
                <w:rFonts w:hint="eastAsia" w:ascii="仿宋" w:hAnsi="仿宋" w:eastAsia="仿宋" w:cs="仿宋"/>
                <w:color w:val="auto"/>
                <w:sz w:val="24"/>
                <w:highlight w:val="none"/>
              </w:rPr>
            </w:pPr>
          </w:p>
        </w:tc>
        <w:tc>
          <w:tcPr>
            <w:tcW w:w="850" w:type="dxa"/>
            <w:vMerge w:val="continue"/>
            <w:vAlign w:val="center"/>
          </w:tcPr>
          <w:p w14:paraId="6A726433">
            <w:pPr>
              <w:jc w:val="center"/>
              <w:rPr>
                <w:rFonts w:hint="eastAsia" w:ascii="仿宋" w:hAnsi="仿宋" w:eastAsia="仿宋" w:cs="仿宋"/>
                <w:color w:val="auto"/>
                <w:sz w:val="24"/>
                <w:highlight w:val="none"/>
              </w:rPr>
            </w:pPr>
          </w:p>
        </w:tc>
        <w:tc>
          <w:tcPr>
            <w:tcW w:w="913" w:type="dxa"/>
            <w:vMerge w:val="continue"/>
            <w:vAlign w:val="center"/>
          </w:tcPr>
          <w:p w14:paraId="417AE83F">
            <w:pPr>
              <w:jc w:val="center"/>
              <w:rPr>
                <w:rFonts w:hint="eastAsia" w:ascii="仿宋" w:hAnsi="仿宋" w:eastAsia="仿宋" w:cs="仿宋"/>
                <w:color w:val="auto"/>
                <w:sz w:val="24"/>
                <w:highlight w:val="none"/>
              </w:rPr>
            </w:pPr>
          </w:p>
        </w:tc>
        <w:tc>
          <w:tcPr>
            <w:tcW w:w="6750" w:type="dxa"/>
          </w:tcPr>
          <w:p w14:paraId="232C8C0F">
            <w:pPr>
              <w:rPr>
                <w:rFonts w:hint="eastAsia" w:ascii="仿宋" w:hAnsi="仿宋" w:eastAsia="仿宋" w:cs="仿宋"/>
                <w:color w:val="auto"/>
                <w:sz w:val="24"/>
                <w:highlight w:val="none"/>
              </w:rPr>
            </w:pPr>
            <w:r>
              <w:rPr>
                <w:rFonts w:hint="eastAsia" w:ascii="仿宋" w:hAnsi="仿宋" w:eastAsia="仿宋" w:cs="仿宋"/>
                <w:color w:val="auto"/>
                <w:sz w:val="24"/>
                <w:highlight w:val="none"/>
              </w:rPr>
              <w:t>8、拾音距离范围：设备可对距离设备 15m 处的声音进行采集，并可通过客户端软件进行播放</w:t>
            </w:r>
          </w:p>
        </w:tc>
        <w:tc>
          <w:tcPr>
            <w:tcW w:w="750" w:type="dxa"/>
            <w:vMerge w:val="continue"/>
          </w:tcPr>
          <w:p w14:paraId="7F05E6C0">
            <w:pPr>
              <w:rPr>
                <w:rFonts w:hint="eastAsia" w:ascii="仿宋" w:hAnsi="仿宋" w:eastAsia="仿宋" w:cs="仿宋"/>
                <w:color w:val="auto"/>
                <w:sz w:val="24"/>
                <w:highlight w:val="none"/>
              </w:rPr>
            </w:pPr>
          </w:p>
        </w:tc>
      </w:tr>
      <w:tr w14:paraId="393E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A73872F">
            <w:pPr>
              <w:jc w:val="center"/>
              <w:rPr>
                <w:rFonts w:hint="eastAsia" w:ascii="仿宋" w:hAnsi="仿宋" w:eastAsia="仿宋" w:cs="仿宋"/>
                <w:color w:val="auto"/>
                <w:sz w:val="24"/>
                <w:highlight w:val="none"/>
              </w:rPr>
            </w:pPr>
          </w:p>
        </w:tc>
        <w:tc>
          <w:tcPr>
            <w:tcW w:w="850" w:type="dxa"/>
            <w:vMerge w:val="continue"/>
            <w:vAlign w:val="center"/>
          </w:tcPr>
          <w:p w14:paraId="1D160EB6">
            <w:pPr>
              <w:jc w:val="center"/>
              <w:rPr>
                <w:rFonts w:hint="eastAsia" w:ascii="仿宋" w:hAnsi="仿宋" w:eastAsia="仿宋" w:cs="仿宋"/>
                <w:color w:val="auto"/>
                <w:sz w:val="24"/>
                <w:highlight w:val="none"/>
              </w:rPr>
            </w:pPr>
          </w:p>
        </w:tc>
        <w:tc>
          <w:tcPr>
            <w:tcW w:w="913" w:type="dxa"/>
            <w:vMerge w:val="continue"/>
            <w:vAlign w:val="center"/>
          </w:tcPr>
          <w:p w14:paraId="723F2086">
            <w:pPr>
              <w:jc w:val="center"/>
              <w:rPr>
                <w:rFonts w:hint="eastAsia" w:ascii="仿宋" w:hAnsi="仿宋" w:eastAsia="仿宋" w:cs="仿宋"/>
                <w:color w:val="auto"/>
                <w:sz w:val="24"/>
                <w:highlight w:val="none"/>
              </w:rPr>
            </w:pPr>
          </w:p>
        </w:tc>
        <w:tc>
          <w:tcPr>
            <w:tcW w:w="6750" w:type="dxa"/>
          </w:tcPr>
          <w:p w14:paraId="7ACFAEA9">
            <w:pPr>
              <w:rPr>
                <w:rFonts w:hint="eastAsia" w:ascii="仿宋" w:hAnsi="仿宋" w:eastAsia="仿宋" w:cs="仿宋"/>
                <w:color w:val="auto"/>
                <w:sz w:val="24"/>
                <w:highlight w:val="none"/>
              </w:rPr>
            </w:pPr>
            <w:r>
              <w:rPr>
                <w:rFonts w:hint="eastAsia" w:ascii="仿宋" w:hAnsi="仿宋" w:eastAsia="仿宋" w:cs="仿宋"/>
                <w:color w:val="auto"/>
                <w:sz w:val="24"/>
                <w:highlight w:val="none"/>
              </w:rPr>
              <w:t>9、宽动态自动切换功能：在 IE 浏览器下，摄像机具有宽动态自动切换设置选项。在环境亮度变化时，可自动进行关闭/开启切换</w:t>
            </w:r>
          </w:p>
        </w:tc>
        <w:tc>
          <w:tcPr>
            <w:tcW w:w="750" w:type="dxa"/>
            <w:vMerge w:val="continue"/>
          </w:tcPr>
          <w:p w14:paraId="0C6C7E83">
            <w:pPr>
              <w:rPr>
                <w:rFonts w:hint="eastAsia" w:ascii="仿宋" w:hAnsi="仿宋" w:eastAsia="仿宋" w:cs="仿宋"/>
                <w:color w:val="auto"/>
                <w:sz w:val="24"/>
                <w:highlight w:val="none"/>
              </w:rPr>
            </w:pPr>
          </w:p>
        </w:tc>
      </w:tr>
      <w:tr w14:paraId="40D5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E17330F">
            <w:pPr>
              <w:jc w:val="center"/>
              <w:rPr>
                <w:rFonts w:hint="eastAsia" w:ascii="仿宋" w:hAnsi="仿宋" w:eastAsia="仿宋" w:cs="仿宋"/>
                <w:color w:val="auto"/>
                <w:sz w:val="24"/>
                <w:highlight w:val="none"/>
              </w:rPr>
            </w:pPr>
          </w:p>
        </w:tc>
        <w:tc>
          <w:tcPr>
            <w:tcW w:w="850" w:type="dxa"/>
            <w:vMerge w:val="continue"/>
            <w:vAlign w:val="center"/>
          </w:tcPr>
          <w:p w14:paraId="7B0E7F77">
            <w:pPr>
              <w:jc w:val="center"/>
              <w:rPr>
                <w:rFonts w:hint="eastAsia" w:ascii="仿宋" w:hAnsi="仿宋" w:eastAsia="仿宋" w:cs="仿宋"/>
                <w:color w:val="auto"/>
                <w:sz w:val="24"/>
                <w:highlight w:val="none"/>
              </w:rPr>
            </w:pPr>
          </w:p>
        </w:tc>
        <w:tc>
          <w:tcPr>
            <w:tcW w:w="913" w:type="dxa"/>
            <w:vMerge w:val="continue"/>
            <w:vAlign w:val="center"/>
          </w:tcPr>
          <w:p w14:paraId="763D0132">
            <w:pPr>
              <w:jc w:val="center"/>
              <w:rPr>
                <w:rFonts w:hint="eastAsia" w:ascii="仿宋" w:hAnsi="仿宋" w:eastAsia="仿宋" w:cs="仿宋"/>
                <w:color w:val="auto"/>
                <w:sz w:val="24"/>
                <w:highlight w:val="none"/>
              </w:rPr>
            </w:pPr>
          </w:p>
        </w:tc>
        <w:tc>
          <w:tcPr>
            <w:tcW w:w="6750" w:type="dxa"/>
          </w:tcPr>
          <w:p w14:paraId="1D63DCDE">
            <w:pPr>
              <w:rPr>
                <w:rFonts w:hint="eastAsia" w:ascii="仿宋" w:hAnsi="仿宋" w:eastAsia="仿宋" w:cs="仿宋"/>
                <w:color w:val="auto"/>
                <w:sz w:val="24"/>
                <w:highlight w:val="none"/>
              </w:rPr>
            </w:pPr>
            <w:r>
              <w:rPr>
                <w:rFonts w:hint="eastAsia" w:ascii="仿宋" w:hAnsi="仿宋" w:eastAsia="仿宋" w:cs="仿宋"/>
                <w:color w:val="auto"/>
                <w:sz w:val="24"/>
                <w:highlight w:val="none"/>
              </w:rPr>
              <w:t>10、夜视距离：设备红外补光灯可定时或自动开启，开启后可识别距离摄像机 150m 处人体（1.7m×0.5m ）轮廓</w:t>
            </w:r>
          </w:p>
        </w:tc>
        <w:tc>
          <w:tcPr>
            <w:tcW w:w="750" w:type="dxa"/>
            <w:vMerge w:val="continue"/>
          </w:tcPr>
          <w:p w14:paraId="1B1CF450">
            <w:pPr>
              <w:rPr>
                <w:rFonts w:hint="eastAsia" w:ascii="仿宋" w:hAnsi="仿宋" w:eastAsia="仿宋" w:cs="仿宋"/>
                <w:color w:val="auto"/>
                <w:sz w:val="24"/>
                <w:highlight w:val="none"/>
              </w:rPr>
            </w:pPr>
          </w:p>
        </w:tc>
      </w:tr>
      <w:tr w14:paraId="02EEA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512" w:type="dxa"/>
            <w:vMerge w:val="continue"/>
            <w:vAlign w:val="center"/>
          </w:tcPr>
          <w:p w14:paraId="5338A262">
            <w:pPr>
              <w:jc w:val="center"/>
              <w:rPr>
                <w:rFonts w:hint="eastAsia" w:ascii="仿宋" w:hAnsi="仿宋" w:eastAsia="仿宋" w:cs="仿宋"/>
                <w:color w:val="auto"/>
                <w:sz w:val="24"/>
                <w:highlight w:val="none"/>
              </w:rPr>
            </w:pPr>
          </w:p>
        </w:tc>
        <w:tc>
          <w:tcPr>
            <w:tcW w:w="850" w:type="dxa"/>
            <w:vMerge w:val="continue"/>
            <w:vAlign w:val="center"/>
          </w:tcPr>
          <w:p w14:paraId="3EBA5C06">
            <w:pPr>
              <w:jc w:val="center"/>
              <w:rPr>
                <w:rFonts w:hint="eastAsia" w:ascii="仿宋" w:hAnsi="仿宋" w:eastAsia="仿宋" w:cs="仿宋"/>
                <w:color w:val="auto"/>
                <w:sz w:val="24"/>
                <w:highlight w:val="none"/>
              </w:rPr>
            </w:pPr>
          </w:p>
        </w:tc>
        <w:tc>
          <w:tcPr>
            <w:tcW w:w="913" w:type="dxa"/>
            <w:vMerge w:val="continue"/>
            <w:vAlign w:val="center"/>
          </w:tcPr>
          <w:p w14:paraId="0E692487">
            <w:pPr>
              <w:jc w:val="center"/>
              <w:rPr>
                <w:rFonts w:hint="eastAsia" w:ascii="仿宋" w:hAnsi="仿宋" w:eastAsia="仿宋" w:cs="仿宋"/>
                <w:color w:val="auto"/>
                <w:sz w:val="24"/>
                <w:highlight w:val="none"/>
              </w:rPr>
            </w:pPr>
          </w:p>
        </w:tc>
        <w:tc>
          <w:tcPr>
            <w:tcW w:w="6750" w:type="dxa"/>
          </w:tcPr>
          <w:p w14:paraId="72AB1A6B">
            <w:pPr>
              <w:rPr>
                <w:rFonts w:hint="eastAsia" w:ascii="仿宋" w:hAnsi="仿宋" w:eastAsia="仿宋" w:cs="仿宋"/>
                <w:color w:val="auto"/>
                <w:sz w:val="24"/>
                <w:highlight w:val="none"/>
              </w:rPr>
            </w:pPr>
            <w:r>
              <w:rPr>
                <w:rFonts w:hint="eastAsia" w:ascii="仿宋" w:hAnsi="仿宋" w:eastAsia="仿宋" w:cs="仿宋"/>
                <w:color w:val="auto"/>
                <w:sz w:val="24"/>
                <w:highlight w:val="none"/>
              </w:rPr>
              <w:t>11、设备白光补光灯可定时或自动开启，开启后可识别距离摄像机 100m 处人体（1.7m×0.5m ）轮廓</w:t>
            </w:r>
          </w:p>
        </w:tc>
        <w:tc>
          <w:tcPr>
            <w:tcW w:w="750" w:type="dxa"/>
            <w:vMerge w:val="continue"/>
          </w:tcPr>
          <w:p w14:paraId="292170BC">
            <w:pPr>
              <w:rPr>
                <w:rFonts w:hint="eastAsia" w:ascii="仿宋" w:hAnsi="仿宋" w:eastAsia="仿宋" w:cs="仿宋"/>
                <w:color w:val="auto"/>
                <w:sz w:val="24"/>
                <w:highlight w:val="none"/>
              </w:rPr>
            </w:pPr>
          </w:p>
        </w:tc>
      </w:tr>
      <w:tr w14:paraId="1C4FD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93600C1">
            <w:pPr>
              <w:jc w:val="center"/>
              <w:rPr>
                <w:rFonts w:hint="eastAsia" w:ascii="仿宋" w:hAnsi="仿宋" w:eastAsia="仿宋" w:cs="仿宋"/>
                <w:color w:val="auto"/>
                <w:sz w:val="24"/>
                <w:highlight w:val="none"/>
              </w:rPr>
            </w:pPr>
          </w:p>
        </w:tc>
        <w:tc>
          <w:tcPr>
            <w:tcW w:w="850" w:type="dxa"/>
            <w:vMerge w:val="continue"/>
            <w:vAlign w:val="center"/>
          </w:tcPr>
          <w:p w14:paraId="47C7A8E2">
            <w:pPr>
              <w:jc w:val="center"/>
              <w:rPr>
                <w:rFonts w:hint="eastAsia" w:ascii="仿宋" w:hAnsi="仿宋" w:eastAsia="仿宋" w:cs="仿宋"/>
                <w:color w:val="auto"/>
                <w:sz w:val="24"/>
                <w:highlight w:val="none"/>
              </w:rPr>
            </w:pPr>
          </w:p>
        </w:tc>
        <w:tc>
          <w:tcPr>
            <w:tcW w:w="913" w:type="dxa"/>
            <w:vMerge w:val="continue"/>
            <w:vAlign w:val="center"/>
          </w:tcPr>
          <w:p w14:paraId="51A6BC7E">
            <w:pPr>
              <w:jc w:val="center"/>
              <w:rPr>
                <w:rFonts w:hint="eastAsia" w:ascii="仿宋" w:hAnsi="仿宋" w:eastAsia="仿宋" w:cs="仿宋"/>
                <w:color w:val="auto"/>
                <w:sz w:val="24"/>
                <w:highlight w:val="none"/>
              </w:rPr>
            </w:pPr>
          </w:p>
        </w:tc>
        <w:tc>
          <w:tcPr>
            <w:tcW w:w="6750" w:type="dxa"/>
          </w:tcPr>
          <w:p w14:paraId="049A182D">
            <w:pPr>
              <w:rPr>
                <w:rFonts w:hint="eastAsia" w:ascii="仿宋" w:hAnsi="仿宋" w:eastAsia="仿宋" w:cs="仿宋"/>
                <w:color w:val="auto"/>
                <w:sz w:val="24"/>
                <w:highlight w:val="none"/>
              </w:rPr>
            </w:pPr>
            <w:r>
              <w:rPr>
                <w:rFonts w:hint="eastAsia" w:ascii="仿宋" w:hAnsi="仿宋" w:eastAsia="仿宋" w:cs="仿宋"/>
                <w:color w:val="auto"/>
                <w:sz w:val="24"/>
                <w:highlight w:val="none"/>
              </w:rPr>
              <w:t>12、语音功能：具有双向语音对讲和单向语音广播功能</w:t>
            </w:r>
          </w:p>
        </w:tc>
        <w:tc>
          <w:tcPr>
            <w:tcW w:w="750" w:type="dxa"/>
            <w:vMerge w:val="continue"/>
          </w:tcPr>
          <w:p w14:paraId="269E2721">
            <w:pPr>
              <w:rPr>
                <w:rFonts w:hint="eastAsia" w:ascii="仿宋" w:hAnsi="仿宋" w:eastAsia="仿宋" w:cs="仿宋"/>
                <w:color w:val="auto"/>
                <w:sz w:val="24"/>
                <w:highlight w:val="none"/>
              </w:rPr>
            </w:pPr>
          </w:p>
        </w:tc>
      </w:tr>
      <w:tr w14:paraId="5517C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E6A467A">
            <w:pPr>
              <w:jc w:val="center"/>
              <w:rPr>
                <w:rFonts w:hint="eastAsia" w:ascii="仿宋" w:hAnsi="仿宋" w:eastAsia="仿宋" w:cs="仿宋"/>
                <w:color w:val="auto"/>
                <w:sz w:val="24"/>
                <w:highlight w:val="none"/>
              </w:rPr>
            </w:pPr>
          </w:p>
        </w:tc>
        <w:tc>
          <w:tcPr>
            <w:tcW w:w="850" w:type="dxa"/>
            <w:vMerge w:val="continue"/>
            <w:vAlign w:val="center"/>
          </w:tcPr>
          <w:p w14:paraId="0E1E9D6D">
            <w:pPr>
              <w:jc w:val="center"/>
              <w:rPr>
                <w:rFonts w:hint="eastAsia" w:ascii="仿宋" w:hAnsi="仿宋" w:eastAsia="仿宋" w:cs="仿宋"/>
                <w:color w:val="auto"/>
                <w:sz w:val="24"/>
                <w:highlight w:val="none"/>
              </w:rPr>
            </w:pPr>
          </w:p>
        </w:tc>
        <w:tc>
          <w:tcPr>
            <w:tcW w:w="913" w:type="dxa"/>
            <w:vMerge w:val="continue"/>
            <w:vAlign w:val="center"/>
          </w:tcPr>
          <w:p w14:paraId="478A0FAD">
            <w:pPr>
              <w:jc w:val="center"/>
              <w:rPr>
                <w:rFonts w:hint="eastAsia" w:ascii="仿宋" w:hAnsi="仿宋" w:eastAsia="仿宋" w:cs="仿宋"/>
                <w:color w:val="auto"/>
                <w:sz w:val="24"/>
                <w:highlight w:val="none"/>
              </w:rPr>
            </w:pPr>
          </w:p>
        </w:tc>
        <w:tc>
          <w:tcPr>
            <w:tcW w:w="6750" w:type="dxa"/>
          </w:tcPr>
          <w:p w14:paraId="168838B7">
            <w:pPr>
              <w:rPr>
                <w:rFonts w:hint="eastAsia" w:ascii="仿宋" w:hAnsi="仿宋" w:eastAsia="仿宋" w:cs="仿宋"/>
                <w:color w:val="auto"/>
                <w:sz w:val="24"/>
                <w:highlight w:val="none"/>
              </w:rPr>
            </w:pPr>
            <w:r>
              <w:rPr>
                <w:rFonts w:hint="eastAsia" w:ascii="仿宋" w:hAnsi="仿宋" w:eastAsia="仿宋" w:cs="仿宋"/>
                <w:color w:val="auto"/>
                <w:sz w:val="24"/>
                <w:highlight w:val="none"/>
              </w:rPr>
              <w:t>13、存储方式：设备具有 MicroSD 卡插槽，支持</w:t>
            </w:r>
          </w:p>
          <w:p w14:paraId="02F4884B">
            <w:pPr>
              <w:rPr>
                <w:rFonts w:hint="eastAsia" w:ascii="仿宋" w:hAnsi="仿宋" w:eastAsia="仿宋" w:cs="仿宋"/>
                <w:color w:val="auto"/>
                <w:sz w:val="24"/>
                <w:highlight w:val="none"/>
              </w:rPr>
            </w:pPr>
            <w:r>
              <w:rPr>
                <w:rFonts w:hint="eastAsia" w:ascii="仿宋" w:hAnsi="仿宋" w:eastAsia="仿宋" w:cs="仿宋"/>
                <w:color w:val="auto"/>
                <w:sz w:val="24"/>
                <w:highlight w:val="none"/>
              </w:rPr>
              <w:t>MicroSDHC/MicroSDXC ，最大支持容量 512GB 内存卡</w:t>
            </w:r>
          </w:p>
        </w:tc>
        <w:tc>
          <w:tcPr>
            <w:tcW w:w="750" w:type="dxa"/>
            <w:vMerge w:val="continue"/>
          </w:tcPr>
          <w:p w14:paraId="7A1D677B">
            <w:pPr>
              <w:rPr>
                <w:rFonts w:hint="eastAsia" w:ascii="仿宋" w:hAnsi="仿宋" w:eastAsia="仿宋" w:cs="仿宋"/>
                <w:color w:val="auto"/>
                <w:sz w:val="24"/>
                <w:highlight w:val="none"/>
              </w:rPr>
            </w:pPr>
          </w:p>
        </w:tc>
      </w:tr>
      <w:tr w14:paraId="6E32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C965E98">
            <w:pPr>
              <w:jc w:val="center"/>
              <w:rPr>
                <w:rFonts w:hint="eastAsia" w:ascii="仿宋" w:hAnsi="仿宋" w:eastAsia="仿宋" w:cs="仿宋"/>
                <w:color w:val="auto"/>
                <w:sz w:val="24"/>
                <w:highlight w:val="none"/>
              </w:rPr>
            </w:pPr>
          </w:p>
        </w:tc>
        <w:tc>
          <w:tcPr>
            <w:tcW w:w="850" w:type="dxa"/>
            <w:vMerge w:val="continue"/>
            <w:vAlign w:val="center"/>
          </w:tcPr>
          <w:p w14:paraId="7FB7AF74">
            <w:pPr>
              <w:jc w:val="center"/>
              <w:rPr>
                <w:rFonts w:hint="eastAsia" w:ascii="仿宋" w:hAnsi="仿宋" w:eastAsia="仿宋" w:cs="仿宋"/>
                <w:color w:val="auto"/>
                <w:sz w:val="24"/>
                <w:highlight w:val="none"/>
              </w:rPr>
            </w:pPr>
          </w:p>
        </w:tc>
        <w:tc>
          <w:tcPr>
            <w:tcW w:w="913" w:type="dxa"/>
            <w:vMerge w:val="continue"/>
            <w:vAlign w:val="center"/>
          </w:tcPr>
          <w:p w14:paraId="44D2E4DC">
            <w:pPr>
              <w:jc w:val="center"/>
              <w:rPr>
                <w:rFonts w:hint="eastAsia" w:ascii="仿宋" w:hAnsi="仿宋" w:eastAsia="仿宋" w:cs="仿宋"/>
                <w:color w:val="auto"/>
                <w:sz w:val="24"/>
                <w:highlight w:val="none"/>
              </w:rPr>
            </w:pPr>
          </w:p>
        </w:tc>
        <w:tc>
          <w:tcPr>
            <w:tcW w:w="6750" w:type="dxa"/>
          </w:tcPr>
          <w:p w14:paraId="69A29F2A">
            <w:pPr>
              <w:rPr>
                <w:rFonts w:hint="eastAsia" w:ascii="仿宋" w:hAnsi="仿宋" w:eastAsia="仿宋" w:cs="仿宋"/>
                <w:color w:val="auto"/>
                <w:sz w:val="24"/>
                <w:highlight w:val="none"/>
              </w:rPr>
            </w:pPr>
            <w:r>
              <w:rPr>
                <w:rFonts w:hint="eastAsia" w:ascii="仿宋" w:hAnsi="仿宋" w:eastAsia="仿宋" w:cs="仿宋"/>
                <w:color w:val="auto"/>
                <w:sz w:val="24"/>
                <w:highlight w:val="none"/>
              </w:rPr>
              <w:t>14、视频内容保护功能：启用该功能时可对视频图像码流进行随机混淆处理，提取设备网络通信数据包获得的视频码流无法正常播放，从设备存储介质拷贝和下载的文件需解码密钥才可播放；通过平台播放、回放下载设备的视频需要解码密钥；解码密钥应能周期性变化。</w:t>
            </w:r>
          </w:p>
        </w:tc>
        <w:tc>
          <w:tcPr>
            <w:tcW w:w="750" w:type="dxa"/>
            <w:vMerge w:val="continue"/>
          </w:tcPr>
          <w:p w14:paraId="1EC106E5">
            <w:pPr>
              <w:rPr>
                <w:rFonts w:hint="eastAsia" w:ascii="仿宋" w:hAnsi="仿宋" w:eastAsia="仿宋" w:cs="仿宋"/>
                <w:color w:val="auto"/>
                <w:sz w:val="24"/>
                <w:highlight w:val="none"/>
              </w:rPr>
            </w:pPr>
          </w:p>
        </w:tc>
      </w:tr>
      <w:tr w14:paraId="6AD2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9583E91">
            <w:pPr>
              <w:jc w:val="center"/>
              <w:rPr>
                <w:rFonts w:hint="eastAsia" w:ascii="仿宋" w:hAnsi="仿宋" w:eastAsia="仿宋" w:cs="仿宋"/>
                <w:color w:val="auto"/>
                <w:sz w:val="24"/>
                <w:highlight w:val="none"/>
              </w:rPr>
            </w:pPr>
          </w:p>
        </w:tc>
        <w:tc>
          <w:tcPr>
            <w:tcW w:w="850" w:type="dxa"/>
            <w:vMerge w:val="continue"/>
            <w:vAlign w:val="center"/>
          </w:tcPr>
          <w:p w14:paraId="69650F6C">
            <w:pPr>
              <w:jc w:val="center"/>
              <w:rPr>
                <w:rFonts w:hint="eastAsia" w:ascii="仿宋" w:hAnsi="仿宋" w:eastAsia="仿宋" w:cs="仿宋"/>
                <w:color w:val="auto"/>
                <w:sz w:val="24"/>
                <w:highlight w:val="none"/>
              </w:rPr>
            </w:pPr>
          </w:p>
        </w:tc>
        <w:tc>
          <w:tcPr>
            <w:tcW w:w="913" w:type="dxa"/>
            <w:vMerge w:val="continue"/>
            <w:vAlign w:val="center"/>
          </w:tcPr>
          <w:p w14:paraId="650D9EC3">
            <w:pPr>
              <w:jc w:val="center"/>
              <w:rPr>
                <w:rFonts w:hint="eastAsia" w:ascii="仿宋" w:hAnsi="仿宋" w:eastAsia="仿宋" w:cs="仿宋"/>
                <w:color w:val="auto"/>
                <w:sz w:val="24"/>
                <w:highlight w:val="none"/>
              </w:rPr>
            </w:pPr>
          </w:p>
        </w:tc>
        <w:tc>
          <w:tcPr>
            <w:tcW w:w="6750" w:type="dxa"/>
          </w:tcPr>
          <w:p w14:paraId="56909AB2">
            <w:pPr>
              <w:rPr>
                <w:rFonts w:hint="eastAsia" w:ascii="仿宋" w:hAnsi="仿宋" w:eastAsia="仿宋" w:cs="仿宋"/>
                <w:color w:val="auto"/>
                <w:sz w:val="24"/>
                <w:highlight w:val="none"/>
              </w:rPr>
            </w:pPr>
            <w:r>
              <w:rPr>
                <w:rFonts w:hint="eastAsia" w:ascii="仿宋" w:hAnsi="仿宋" w:eastAsia="仿宋" w:cs="仿宋"/>
                <w:color w:val="auto"/>
                <w:sz w:val="24"/>
                <w:highlight w:val="none"/>
              </w:rPr>
              <w:t>15、友好密码功能：启用友好密码功能策略时，与设备处于同一网段的地址可以使用设备出厂密码登录和访问设</w:t>
            </w:r>
          </w:p>
          <w:p w14:paraId="048B822C">
            <w:pPr>
              <w:rPr>
                <w:rFonts w:hint="eastAsia" w:ascii="仿宋" w:hAnsi="仿宋" w:eastAsia="仿宋" w:cs="仿宋"/>
                <w:color w:val="auto"/>
                <w:sz w:val="24"/>
                <w:highlight w:val="none"/>
              </w:rPr>
            </w:pPr>
            <w:r>
              <w:rPr>
                <w:rFonts w:hint="eastAsia" w:ascii="仿宋" w:hAnsi="仿宋" w:eastAsia="仿宋" w:cs="仿宋"/>
                <w:color w:val="auto"/>
                <w:sz w:val="24"/>
                <w:highlight w:val="none"/>
              </w:rPr>
              <w:t>备；跨网段的地址只能使用复杂度为高的密码（至少 8</w:t>
            </w:r>
          </w:p>
          <w:p w14:paraId="770D8DD9">
            <w:pPr>
              <w:rPr>
                <w:rFonts w:hint="eastAsia" w:ascii="仿宋" w:hAnsi="仿宋" w:eastAsia="仿宋" w:cs="仿宋"/>
                <w:color w:val="auto"/>
                <w:sz w:val="24"/>
                <w:highlight w:val="none"/>
              </w:rPr>
            </w:pPr>
            <w:r>
              <w:rPr>
                <w:rFonts w:hint="eastAsia" w:ascii="仿宋" w:hAnsi="仿宋" w:eastAsia="仿宋" w:cs="仿宋"/>
                <w:color w:val="auto"/>
                <w:sz w:val="24"/>
                <w:highlight w:val="none"/>
              </w:rPr>
              <w:t>位， 由大小写字母、数字和特殊字符组成）登录和访问设备；关闭友好密码功能策略时，与设备处于同一网段的地址和跨网段的地址都只能使用复杂度为高的密码（至少 8位， 由大小写字母、数字和特殊字符组成）登录和访问设备</w:t>
            </w:r>
          </w:p>
        </w:tc>
        <w:tc>
          <w:tcPr>
            <w:tcW w:w="750" w:type="dxa"/>
            <w:vMerge w:val="continue"/>
          </w:tcPr>
          <w:p w14:paraId="5E07C30E">
            <w:pPr>
              <w:rPr>
                <w:rFonts w:hint="eastAsia" w:ascii="仿宋" w:hAnsi="仿宋" w:eastAsia="仿宋" w:cs="仿宋"/>
                <w:color w:val="auto"/>
                <w:sz w:val="24"/>
                <w:highlight w:val="none"/>
              </w:rPr>
            </w:pPr>
          </w:p>
        </w:tc>
      </w:tr>
      <w:tr w14:paraId="6EC9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35FDD5B">
            <w:pPr>
              <w:jc w:val="center"/>
              <w:rPr>
                <w:rFonts w:hint="eastAsia" w:ascii="仿宋" w:hAnsi="仿宋" w:eastAsia="仿宋" w:cs="仿宋"/>
                <w:color w:val="auto"/>
                <w:sz w:val="24"/>
                <w:highlight w:val="none"/>
              </w:rPr>
            </w:pPr>
          </w:p>
        </w:tc>
        <w:tc>
          <w:tcPr>
            <w:tcW w:w="850" w:type="dxa"/>
            <w:vMerge w:val="continue"/>
            <w:vAlign w:val="center"/>
          </w:tcPr>
          <w:p w14:paraId="7FBBCB4A">
            <w:pPr>
              <w:jc w:val="center"/>
              <w:rPr>
                <w:rFonts w:hint="eastAsia" w:ascii="仿宋" w:hAnsi="仿宋" w:eastAsia="仿宋" w:cs="仿宋"/>
                <w:color w:val="auto"/>
                <w:sz w:val="24"/>
                <w:highlight w:val="none"/>
              </w:rPr>
            </w:pPr>
          </w:p>
        </w:tc>
        <w:tc>
          <w:tcPr>
            <w:tcW w:w="913" w:type="dxa"/>
            <w:vMerge w:val="continue"/>
            <w:vAlign w:val="center"/>
          </w:tcPr>
          <w:p w14:paraId="6272D0EA">
            <w:pPr>
              <w:jc w:val="center"/>
              <w:rPr>
                <w:rFonts w:hint="eastAsia" w:ascii="仿宋" w:hAnsi="仿宋" w:eastAsia="仿宋" w:cs="仿宋"/>
                <w:color w:val="auto"/>
                <w:sz w:val="24"/>
                <w:highlight w:val="none"/>
              </w:rPr>
            </w:pPr>
          </w:p>
        </w:tc>
        <w:tc>
          <w:tcPr>
            <w:tcW w:w="6750" w:type="dxa"/>
          </w:tcPr>
          <w:p w14:paraId="69C584BC">
            <w:pPr>
              <w:rPr>
                <w:rFonts w:hint="eastAsia" w:ascii="仿宋" w:hAnsi="仿宋" w:eastAsia="仿宋" w:cs="仿宋"/>
                <w:color w:val="auto"/>
                <w:sz w:val="24"/>
                <w:highlight w:val="none"/>
              </w:rPr>
            </w:pPr>
            <w:r>
              <w:rPr>
                <w:rFonts w:hint="eastAsia" w:ascii="仿宋" w:hAnsi="仿宋" w:eastAsia="仿宋" w:cs="仿宋"/>
                <w:color w:val="auto"/>
                <w:sz w:val="24"/>
                <w:highlight w:val="none"/>
              </w:rPr>
              <w:t>16、SD 卡功能：支持 SD 卡录像文件保护功能，可以在一张内存卡中实现图片和视频分区域存储，SD 卡中录像文件仅能通过专属客户端播放，并支持 SD 卡热插拔，最大支持 512GB SD 卡</w:t>
            </w:r>
          </w:p>
        </w:tc>
        <w:tc>
          <w:tcPr>
            <w:tcW w:w="750" w:type="dxa"/>
            <w:vMerge w:val="continue"/>
          </w:tcPr>
          <w:p w14:paraId="5982176E">
            <w:pPr>
              <w:rPr>
                <w:rFonts w:hint="eastAsia" w:ascii="仿宋" w:hAnsi="仿宋" w:eastAsia="仿宋" w:cs="仿宋"/>
                <w:color w:val="auto"/>
                <w:sz w:val="24"/>
                <w:highlight w:val="none"/>
              </w:rPr>
            </w:pPr>
          </w:p>
        </w:tc>
      </w:tr>
      <w:tr w14:paraId="7BC8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4F36849A">
            <w:pPr>
              <w:jc w:val="center"/>
              <w:rPr>
                <w:rFonts w:hint="eastAsia" w:ascii="仿宋" w:hAnsi="仿宋" w:eastAsia="仿宋" w:cs="仿宋"/>
                <w:color w:val="auto"/>
                <w:sz w:val="24"/>
                <w:highlight w:val="none"/>
              </w:rPr>
            </w:pPr>
          </w:p>
        </w:tc>
        <w:tc>
          <w:tcPr>
            <w:tcW w:w="850" w:type="dxa"/>
            <w:vMerge w:val="continue"/>
            <w:vAlign w:val="center"/>
          </w:tcPr>
          <w:p w14:paraId="7989F590">
            <w:pPr>
              <w:jc w:val="center"/>
              <w:rPr>
                <w:rFonts w:hint="eastAsia" w:ascii="仿宋" w:hAnsi="仿宋" w:eastAsia="仿宋" w:cs="仿宋"/>
                <w:color w:val="auto"/>
                <w:sz w:val="24"/>
                <w:highlight w:val="none"/>
              </w:rPr>
            </w:pPr>
          </w:p>
        </w:tc>
        <w:tc>
          <w:tcPr>
            <w:tcW w:w="913" w:type="dxa"/>
            <w:vMerge w:val="continue"/>
            <w:vAlign w:val="center"/>
          </w:tcPr>
          <w:p w14:paraId="3C9E8B8D">
            <w:pPr>
              <w:jc w:val="center"/>
              <w:rPr>
                <w:rFonts w:hint="eastAsia" w:ascii="仿宋" w:hAnsi="仿宋" w:eastAsia="仿宋" w:cs="仿宋"/>
                <w:color w:val="auto"/>
                <w:sz w:val="24"/>
                <w:highlight w:val="none"/>
              </w:rPr>
            </w:pPr>
          </w:p>
        </w:tc>
        <w:tc>
          <w:tcPr>
            <w:tcW w:w="6750" w:type="dxa"/>
          </w:tcPr>
          <w:p w14:paraId="295C6BFA">
            <w:pPr>
              <w:rPr>
                <w:rFonts w:hint="eastAsia" w:ascii="仿宋" w:hAnsi="仿宋" w:eastAsia="仿宋" w:cs="仿宋"/>
                <w:color w:val="auto"/>
                <w:sz w:val="24"/>
                <w:highlight w:val="none"/>
              </w:rPr>
            </w:pPr>
            <w:r>
              <w:rPr>
                <w:rFonts w:hint="eastAsia" w:ascii="仿宋" w:hAnsi="仿宋" w:eastAsia="仿宋" w:cs="仿宋"/>
                <w:color w:val="auto"/>
                <w:sz w:val="24"/>
                <w:highlight w:val="none"/>
              </w:rPr>
              <w:t>17、认证模式设置功能：可通过 IE 浏览器或客户端软件设置身份认证模式，设置选项包括无、Basic 和 Digest 三种</w:t>
            </w:r>
          </w:p>
        </w:tc>
        <w:tc>
          <w:tcPr>
            <w:tcW w:w="750" w:type="dxa"/>
            <w:vMerge w:val="continue"/>
          </w:tcPr>
          <w:p w14:paraId="59A721CC">
            <w:pPr>
              <w:rPr>
                <w:rFonts w:hint="eastAsia" w:ascii="仿宋" w:hAnsi="仿宋" w:eastAsia="仿宋" w:cs="仿宋"/>
                <w:color w:val="auto"/>
                <w:sz w:val="24"/>
                <w:highlight w:val="none"/>
              </w:rPr>
            </w:pPr>
          </w:p>
        </w:tc>
      </w:tr>
      <w:tr w14:paraId="738B2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37D37CB">
            <w:pPr>
              <w:jc w:val="center"/>
              <w:rPr>
                <w:rFonts w:hint="eastAsia" w:ascii="仿宋" w:hAnsi="仿宋" w:eastAsia="仿宋" w:cs="仿宋"/>
                <w:color w:val="auto"/>
                <w:sz w:val="24"/>
                <w:highlight w:val="none"/>
              </w:rPr>
            </w:pPr>
          </w:p>
        </w:tc>
        <w:tc>
          <w:tcPr>
            <w:tcW w:w="850" w:type="dxa"/>
            <w:vMerge w:val="continue"/>
            <w:vAlign w:val="center"/>
          </w:tcPr>
          <w:p w14:paraId="05D23C65">
            <w:pPr>
              <w:jc w:val="center"/>
              <w:rPr>
                <w:rFonts w:hint="eastAsia" w:ascii="仿宋" w:hAnsi="仿宋" w:eastAsia="仿宋" w:cs="仿宋"/>
                <w:color w:val="auto"/>
                <w:sz w:val="24"/>
                <w:highlight w:val="none"/>
              </w:rPr>
            </w:pPr>
          </w:p>
        </w:tc>
        <w:tc>
          <w:tcPr>
            <w:tcW w:w="913" w:type="dxa"/>
            <w:vMerge w:val="continue"/>
            <w:vAlign w:val="center"/>
          </w:tcPr>
          <w:p w14:paraId="6D639367">
            <w:pPr>
              <w:jc w:val="center"/>
              <w:rPr>
                <w:rFonts w:hint="eastAsia" w:ascii="仿宋" w:hAnsi="仿宋" w:eastAsia="仿宋" w:cs="仿宋"/>
                <w:color w:val="auto"/>
                <w:sz w:val="24"/>
                <w:highlight w:val="none"/>
              </w:rPr>
            </w:pPr>
          </w:p>
        </w:tc>
        <w:tc>
          <w:tcPr>
            <w:tcW w:w="6750" w:type="dxa"/>
          </w:tcPr>
          <w:p w14:paraId="201AD6C6">
            <w:pPr>
              <w:rPr>
                <w:rFonts w:hint="eastAsia" w:ascii="仿宋" w:hAnsi="仿宋" w:eastAsia="仿宋" w:cs="仿宋"/>
                <w:color w:val="auto"/>
                <w:sz w:val="24"/>
                <w:highlight w:val="none"/>
              </w:rPr>
            </w:pPr>
            <w:r>
              <w:rPr>
                <w:rFonts w:hint="eastAsia" w:ascii="仿宋" w:hAnsi="仿宋" w:eastAsia="仿宋" w:cs="仿宋"/>
                <w:color w:val="auto"/>
                <w:sz w:val="24"/>
                <w:highlight w:val="none"/>
              </w:rPr>
              <w:t>18、人脸优选设置：可通过 IE 浏览器开启或关闭人脸优选功能，开启后具有效果优先或速度优先设置选项</w:t>
            </w:r>
          </w:p>
        </w:tc>
        <w:tc>
          <w:tcPr>
            <w:tcW w:w="750" w:type="dxa"/>
            <w:vMerge w:val="continue"/>
          </w:tcPr>
          <w:p w14:paraId="40AE2340">
            <w:pPr>
              <w:rPr>
                <w:rFonts w:hint="eastAsia" w:ascii="仿宋" w:hAnsi="仿宋" w:eastAsia="仿宋" w:cs="仿宋"/>
                <w:color w:val="auto"/>
                <w:sz w:val="24"/>
                <w:highlight w:val="none"/>
              </w:rPr>
            </w:pPr>
          </w:p>
        </w:tc>
      </w:tr>
      <w:tr w14:paraId="24B3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C4BAF01">
            <w:pPr>
              <w:jc w:val="center"/>
              <w:rPr>
                <w:rFonts w:hint="eastAsia" w:ascii="仿宋" w:hAnsi="仿宋" w:eastAsia="仿宋" w:cs="仿宋"/>
                <w:color w:val="auto"/>
                <w:sz w:val="24"/>
                <w:highlight w:val="none"/>
              </w:rPr>
            </w:pPr>
          </w:p>
        </w:tc>
        <w:tc>
          <w:tcPr>
            <w:tcW w:w="850" w:type="dxa"/>
            <w:vMerge w:val="continue"/>
            <w:vAlign w:val="center"/>
          </w:tcPr>
          <w:p w14:paraId="3E857E86">
            <w:pPr>
              <w:jc w:val="center"/>
              <w:rPr>
                <w:rFonts w:hint="eastAsia" w:ascii="仿宋" w:hAnsi="仿宋" w:eastAsia="仿宋" w:cs="仿宋"/>
                <w:color w:val="auto"/>
                <w:sz w:val="24"/>
                <w:highlight w:val="none"/>
              </w:rPr>
            </w:pPr>
          </w:p>
        </w:tc>
        <w:tc>
          <w:tcPr>
            <w:tcW w:w="913" w:type="dxa"/>
            <w:vMerge w:val="continue"/>
            <w:vAlign w:val="center"/>
          </w:tcPr>
          <w:p w14:paraId="2253A742">
            <w:pPr>
              <w:jc w:val="center"/>
              <w:rPr>
                <w:rFonts w:hint="eastAsia" w:ascii="仿宋" w:hAnsi="仿宋" w:eastAsia="仿宋" w:cs="仿宋"/>
                <w:color w:val="auto"/>
                <w:sz w:val="24"/>
                <w:highlight w:val="none"/>
              </w:rPr>
            </w:pPr>
          </w:p>
        </w:tc>
        <w:tc>
          <w:tcPr>
            <w:tcW w:w="6750" w:type="dxa"/>
          </w:tcPr>
          <w:p w14:paraId="7E445AE0">
            <w:pPr>
              <w:rPr>
                <w:rFonts w:hint="eastAsia" w:ascii="仿宋" w:hAnsi="仿宋" w:eastAsia="仿宋" w:cs="仿宋"/>
                <w:color w:val="auto"/>
                <w:sz w:val="24"/>
                <w:highlight w:val="none"/>
              </w:rPr>
            </w:pPr>
            <w:r>
              <w:rPr>
                <w:rFonts w:hint="eastAsia" w:ascii="仿宋" w:hAnsi="仿宋" w:eastAsia="仿宋" w:cs="仿宋"/>
                <w:color w:val="auto"/>
                <w:sz w:val="24"/>
                <w:highlight w:val="none"/>
              </w:rPr>
              <w:t>19、人脸抓拍功能：应具有人脸抓拍功能，可对经过设定区域的行人进行人脸检测和人脸跟踪， 当检测到人脸后，可抓拍人脸图片，抓拍图片数量可设，可设置抓拍人脸小图</w:t>
            </w:r>
          </w:p>
        </w:tc>
        <w:tc>
          <w:tcPr>
            <w:tcW w:w="750" w:type="dxa"/>
            <w:vMerge w:val="continue"/>
          </w:tcPr>
          <w:p w14:paraId="1F5F43A8">
            <w:pPr>
              <w:rPr>
                <w:rFonts w:hint="eastAsia" w:ascii="仿宋" w:hAnsi="仿宋" w:eastAsia="仿宋" w:cs="仿宋"/>
                <w:color w:val="auto"/>
                <w:sz w:val="24"/>
                <w:highlight w:val="none"/>
              </w:rPr>
            </w:pPr>
          </w:p>
        </w:tc>
      </w:tr>
      <w:tr w14:paraId="1BAB1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A3749F9">
            <w:pPr>
              <w:jc w:val="center"/>
              <w:rPr>
                <w:rFonts w:hint="eastAsia" w:ascii="仿宋" w:hAnsi="仿宋" w:eastAsia="仿宋" w:cs="仿宋"/>
                <w:color w:val="auto"/>
                <w:sz w:val="24"/>
                <w:highlight w:val="none"/>
              </w:rPr>
            </w:pPr>
          </w:p>
        </w:tc>
        <w:tc>
          <w:tcPr>
            <w:tcW w:w="850" w:type="dxa"/>
            <w:vMerge w:val="continue"/>
            <w:vAlign w:val="center"/>
          </w:tcPr>
          <w:p w14:paraId="061D7DB3">
            <w:pPr>
              <w:jc w:val="center"/>
              <w:rPr>
                <w:rFonts w:hint="eastAsia" w:ascii="仿宋" w:hAnsi="仿宋" w:eastAsia="仿宋" w:cs="仿宋"/>
                <w:color w:val="auto"/>
                <w:sz w:val="24"/>
                <w:highlight w:val="none"/>
              </w:rPr>
            </w:pPr>
          </w:p>
        </w:tc>
        <w:tc>
          <w:tcPr>
            <w:tcW w:w="913" w:type="dxa"/>
            <w:vMerge w:val="continue"/>
            <w:vAlign w:val="center"/>
          </w:tcPr>
          <w:p w14:paraId="346BDDE5">
            <w:pPr>
              <w:jc w:val="center"/>
              <w:rPr>
                <w:rFonts w:hint="eastAsia" w:ascii="仿宋" w:hAnsi="仿宋" w:eastAsia="仿宋" w:cs="仿宋"/>
                <w:color w:val="auto"/>
                <w:sz w:val="24"/>
                <w:highlight w:val="none"/>
              </w:rPr>
            </w:pPr>
          </w:p>
        </w:tc>
        <w:tc>
          <w:tcPr>
            <w:tcW w:w="6750" w:type="dxa"/>
          </w:tcPr>
          <w:p w14:paraId="292C77EE">
            <w:pPr>
              <w:rPr>
                <w:rFonts w:hint="eastAsia" w:ascii="仿宋" w:hAnsi="仿宋" w:eastAsia="仿宋" w:cs="仿宋"/>
                <w:color w:val="auto"/>
                <w:sz w:val="24"/>
                <w:highlight w:val="none"/>
              </w:rPr>
            </w:pPr>
            <w:r>
              <w:rPr>
                <w:rFonts w:hint="eastAsia" w:ascii="仿宋" w:hAnsi="仿宋" w:eastAsia="仿宋" w:cs="仿宋"/>
                <w:color w:val="auto"/>
                <w:sz w:val="24"/>
                <w:highlight w:val="none"/>
              </w:rPr>
              <w:t>20、非机动车、机动车及行人抓拍功能：可对监控区域内出现的单辆自行车、电瓶车、三轮车、机动车及行人进行抓拍</w:t>
            </w:r>
          </w:p>
        </w:tc>
        <w:tc>
          <w:tcPr>
            <w:tcW w:w="750" w:type="dxa"/>
            <w:vMerge w:val="continue"/>
          </w:tcPr>
          <w:p w14:paraId="2A01A1DB">
            <w:pPr>
              <w:rPr>
                <w:rFonts w:hint="eastAsia" w:ascii="仿宋" w:hAnsi="仿宋" w:eastAsia="仿宋" w:cs="仿宋"/>
                <w:color w:val="auto"/>
                <w:sz w:val="24"/>
                <w:highlight w:val="none"/>
              </w:rPr>
            </w:pPr>
          </w:p>
        </w:tc>
      </w:tr>
      <w:tr w14:paraId="168D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CCA0A4E">
            <w:pPr>
              <w:jc w:val="center"/>
              <w:rPr>
                <w:rFonts w:hint="eastAsia" w:ascii="仿宋" w:hAnsi="仿宋" w:eastAsia="仿宋" w:cs="仿宋"/>
                <w:color w:val="auto"/>
                <w:sz w:val="24"/>
                <w:highlight w:val="none"/>
              </w:rPr>
            </w:pPr>
          </w:p>
        </w:tc>
        <w:tc>
          <w:tcPr>
            <w:tcW w:w="850" w:type="dxa"/>
            <w:vMerge w:val="continue"/>
            <w:vAlign w:val="center"/>
          </w:tcPr>
          <w:p w14:paraId="3DFA006B">
            <w:pPr>
              <w:jc w:val="center"/>
              <w:rPr>
                <w:rFonts w:hint="eastAsia" w:ascii="仿宋" w:hAnsi="仿宋" w:eastAsia="仿宋" w:cs="仿宋"/>
                <w:color w:val="auto"/>
                <w:sz w:val="24"/>
                <w:highlight w:val="none"/>
              </w:rPr>
            </w:pPr>
          </w:p>
        </w:tc>
        <w:tc>
          <w:tcPr>
            <w:tcW w:w="913" w:type="dxa"/>
            <w:vMerge w:val="continue"/>
            <w:vAlign w:val="center"/>
          </w:tcPr>
          <w:p w14:paraId="3AEED78C">
            <w:pPr>
              <w:jc w:val="center"/>
              <w:rPr>
                <w:rFonts w:hint="eastAsia" w:ascii="仿宋" w:hAnsi="仿宋" w:eastAsia="仿宋" w:cs="仿宋"/>
                <w:color w:val="auto"/>
                <w:sz w:val="24"/>
                <w:highlight w:val="none"/>
              </w:rPr>
            </w:pPr>
          </w:p>
        </w:tc>
        <w:tc>
          <w:tcPr>
            <w:tcW w:w="6750" w:type="dxa"/>
          </w:tcPr>
          <w:p w14:paraId="77CFE50E">
            <w:pPr>
              <w:rPr>
                <w:rFonts w:hint="eastAsia" w:ascii="仿宋" w:hAnsi="仿宋" w:eastAsia="仿宋" w:cs="仿宋"/>
                <w:color w:val="auto"/>
                <w:sz w:val="24"/>
                <w:highlight w:val="none"/>
              </w:rPr>
            </w:pPr>
            <w:r>
              <w:rPr>
                <w:rFonts w:hint="eastAsia" w:ascii="仿宋" w:hAnsi="仿宋" w:eastAsia="仿宋" w:cs="仿宋"/>
                <w:color w:val="auto"/>
                <w:sz w:val="24"/>
                <w:highlight w:val="none"/>
              </w:rPr>
              <w:t>21、电源适应性：未使用适配器的情况下，电源电压在DC12V±35%范围内变化时，设备应能正常工作</w:t>
            </w:r>
          </w:p>
        </w:tc>
        <w:tc>
          <w:tcPr>
            <w:tcW w:w="750" w:type="dxa"/>
            <w:vMerge w:val="continue"/>
          </w:tcPr>
          <w:p w14:paraId="7D934A0F">
            <w:pPr>
              <w:rPr>
                <w:rFonts w:hint="eastAsia" w:ascii="仿宋" w:hAnsi="仿宋" w:eastAsia="仿宋" w:cs="仿宋"/>
                <w:color w:val="auto"/>
                <w:sz w:val="24"/>
                <w:highlight w:val="none"/>
              </w:rPr>
            </w:pPr>
          </w:p>
        </w:tc>
      </w:tr>
      <w:tr w14:paraId="01295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40B54561">
            <w:pPr>
              <w:jc w:val="center"/>
              <w:rPr>
                <w:rFonts w:hint="eastAsia" w:ascii="仿宋" w:hAnsi="仿宋" w:eastAsia="仿宋" w:cs="仿宋"/>
                <w:color w:val="auto"/>
                <w:sz w:val="24"/>
                <w:highlight w:val="none"/>
              </w:rPr>
            </w:pPr>
          </w:p>
        </w:tc>
        <w:tc>
          <w:tcPr>
            <w:tcW w:w="850" w:type="dxa"/>
            <w:vMerge w:val="continue"/>
            <w:vAlign w:val="center"/>
          </w:tcPr>
          <w:p w14:paraId="05336E50">
            <w:pPr>
              <w:jc w:val="center"/>
              <w:rPr>
                <w:rFonts w:hint="eastAsia" w:ascii="仿宋" w:hAnsi="仿宋" w:eastAsia="仿宋" w:cs="仿宋"/>
                <w:color w:val="auto"/>
                <w:sz w:val="24"/>
                <w:highlight w:val="none"/>
              </w:rPr>
            </w:pPr>
          </w:p>
        </w:tc>
        <w:tc>
          <w:tcPr>
            <w:tcW w:w="913" w:type="dxa"/>
            <w:vMerge w:val="continue"/>
            <w:vAlign w:val="center"/>
          </w:tcPr>
          <w:p w14:paraId="211B9EE6">
            <w:pPr>
              <w:jc w:val="center"/>
              <w:rPr>
                <w:rFonts w:hint="eastAsia" w:ascii="仿宋" w:hAnsi="仿宋" w:eastAsia="仿宋" w:cs="仿宋"/>
                <w:color w:val="auto"/>
                <w:sz w:val="24"/>
                <w:highlight w:val="none"/>
              </w:rPr>
            </w:pPr>
          </w:p>
        </w:tc>
        <w:tc>
          <w:tcPr>
            <w:tcW w:w="6750" w:type="dxa"/>
          </w:tcPr>
          <w:p w14:paraId="3BAB9AFF">
            <w:pPr>
              <w:rPr>
                <w:rFonts w:hint="eastAsia" w:ascii="仿宋" w:hAnsi="仿宋" w:eastAsia="仿宋" w:cs="仿宋"/>
                <w:color w:val="auto"/>
                <w:sz w:val="24"/>
                <w:highlight w:val="none"/>
              </w:rPr>
            </w:pPr>
            <w:r>
              <w:rPr>
                <w:rFonts w:hint="eastAsia" w:ascii="仿宋" w:hAnsi="仿宋" w:eastAsia="仿宋" w:cs="仿宋"/>
                <w:color w:val="auto"/>
                <w:sz w:val="24"/>
                <w:highlight w:val="none"/>
              </w:rPr>
              <w:t>22、外壳防护能力：应符合 GB/T4208-2017 中 IP68 的要求（水下 1m ，持续时间 1h）</w:t>
            </w:r>
          </w:p>
        </w:tc>
        <w:tc>
          <w:tcPr>
            <w:tcW w:w="750" w:type="dxa"/>
            <w:vMerge w:val="continue"/>
          </w:tcPr>
          <w:p w14:paraId="41660061">
            <w:pPr>
              <w:rPr>
                <w:rFonts w:hint="eastAsia" w:ascii="仿宋" w:hAnsi="仿宋" w:eastAsia="仿宋" w:cs="仿宋"/>
                <w:color w:val="auto"/>
                <w:sz w:val="24"/>
                <w:highlight w:val="none"/>
              </w:rPr>
            </w:pPr>
          </w:p>
        </w:tc>
      </w:tr>
      <w:tr w14:paraId="7D9BC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2A12FBBA">
            <w:pPr>
              <w:jc w:val="center"/>
              <w:rPr>
                <w:rFonts w:hint="eastAsia" w:ascii="仿宋" w:hAnsi="仿宋" w:eastAsia="仿宋" w:cs="仿宋"/>
                <w:color w:val="auto"/>
                <w:sz w:val="24"/>
                <w:highlight w:val="none"/>
              </w:rPr>
            </w:pPr>
          </w:p>
        </w:tc>
        <w:tc>
          <w:tcPr>
            <w:tcW w:w="850" w:type="dxa"/>
            <w:vMerge w:val="continue"/>
            <w:vAlign w:val="center"/>
          </w:tcPr>
          <w:p w14:paraId="354FD24F">
            <w:pPr>
              <w:jc w:val="center"/>
              <w:rPr>
                <w:rFonts w:hint="eastAsia" w:ascii="仿宋" w:hAnsi="仿宋" w:eastAsia="仿宋" w:cs="仿宋"/>
                <w:color w:val="auto"/>
                <w:sz w:val="24"/>
                <w:highlight w:val="none"/>
              </w:rPr>
            </w:pPr>
          </w:p>
        </w:tc>
        <w:tc>
          <w:tcPr>
            <w:tcW w:w="913" w:type="dxa"/>
            <w:vMerge w:val="continue"/>
            <w:vAlign w:val="center"/>
          </w:tcPr>
          <w:p w14:paraId="5243E778">
            <w:pPr>
              <w:jc w:val="center"/>
              <w:rPr>
                <w:rFonts w:hint="eastAsia" w:ascii="仿宋" w:hAnsi="仿宋" w:eastAsia="仿宋" w:cs="仿宋"/>
                <w:color w:val="auto"/>
                <w:sz w:val="24"/>
                <w:highlight w:val="none"/>
              </w:rPr>
            </w:pPr>
          </w:p>
        </w:tc>
        <w:tc>
          <w:tcPr>
            <w:tcW w:w="6750" w:type="dxa"/>
          </w:tcPr>
          <w:p w14:paraId="1213C2B9">
            <w:pPr>
              <w:rPr>
                <w:rFonts w:hint="eastAsia" w:ascii="仿宋" w:hAnsi="仿宋" w:eastAsia="仿宋" w:cs="仿宋"/>
                <w:color w:val="auto"/>
                <w:sz w:val="24"/>
                <w:highlight w:val="none"/>
              </w:rPr>
            </w:pPr>
            <w:r>
              <w:rPr>
                <w:rFonts w:hint="eastAsia" w:ascii="仿宋" w:hAnsi="仿宋" w:eastAsia="仿宋" w:cs="仿宋"/>
                <w:color w:val="auto"/>
                <w:sz w:val="24"/>
                <w:highlight w:val="none"/>
              </w:rPr>
              <w:t>23、网线传输距离：设备和客户端之间使用 300m 超 5 类非屏蔽网线连接 POE 供电时，可正常显示监视画面</w:t>
            </w:r>
          </w:p>
        </w:tc>
        <w:tc>
          <w:tcPr>
            <w:tcW w:w="750" w:type="dxa"/>
            <w:vMerge w:val="continue"/>
          </w:tcPr>
          <w:p w14:paraId="1B21E004">
            <w:pPr>
              <w:rPr>
                <w:rFonts w:hint="eastAsia" w:ascii="仿宋" w:hAnsi="仿宋" w:eastAsia="仿宋" w:cs="仿宋"/>
                <w:color w:val="auto"/>
                <w:sz w:val="24"/>
                <w:highlight w:val="none"/>
              </w:rPr>
            </w:pPr>
          </w:p>
        </w:tc>
      </w:tr>
      <w:tr w14:paraId="048B9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BD80F01">
            <w:pPr>
              <w:jc w:val="center"/>
              <w:rPr>
                <w:rFonts w:hint="eastAsia" w:ascii="仿宋" w:hAnsi="仿宋" w:eastAsia="仿宋" w:cs="仿宋"/>
                <w:color w:val="auto"/>
                <w:sz w:val="24"/>
                <w:highlight w:val="none"/>
              </w:rPr>
            </w:pPr>
          </w:p>
        </w:tc>
        <w:tc>
          <w:tcPr>
            <w:tcW w:w="850" w:type="dxa"/>
            <w:vMerge w:val="continue"/>
            <w:vAlign w:val="center"/>
          </w:tcPr>
          <w:p w14:paraId="0AC492FA">
            <w:pPr>
              <w:jc w:val="center"/>
              <w:rPr>
                <w:rFonts w:hint="eastAsia" w:ascii="仿宋" w:hAnsi="仿宋" w:eastAsia="仿宋" w:cs="仿宋"/>
                <w:color w:val="auto"/>
                <w:sz w:val="24"/>
                <w:highlight w:val="none"/>
              </w:rPr>
            </w:pPr>
          </w:p>
        </w:tc>
        <w:tc>
          <w:tcPr>
            <w:tcW w:w="913" w:type="dxa"/>
            <w:vMerge w:val="continue"/>
            <w:vAlign w:val="center"/>
          </w:tcPr>
          <w:p w14:paraId="32472CBB">
            <w:pPr>
              <w:jc w:val="center"/>
              <w:rPr>
                <w:rFonts w:hint="eastAsia" w:ascii="仿宋" w:hAnsi="仿宋" w:eastAsia="仿宋" w:cs="仿宋"/>
                <w:color w:val="auto"/>
                <w:sz w:val="24"/>
                <w:highlight w:val="none"/>
              </w:rPr>
            </w:pPr>
          </w:p>
        </w:tc>
        <w:tc>
          <w:tcPr>
            <w:tcW w:w="6750" w:type="dxa"/>
          </w:tcPr>
          <w:p w14:paraId="6F8BC657">
            <w:pPr>
              <w:rPr>
                <w:rFonts w:hint="eastAsia" w:ascii="仿宋" w:hAnsi="仿宋" w:eastAsia="仿宋" w:cs="仿宋"/>
                <w:color w:val="auto"/>
                <w:sz w:val="24"/>
                <w:highlight w:val="none"/>
              </w:rPr>
            </w:pPr>
            <w:r>
              <w:rPr>
                <w:rFonts w:hint="eastAsia" w:ascii="仿宋" w:hAnsi="仿宋" w:eastAsia="仿宋" w:cs="仿宋"/>
                <w:color w:val="auto"/>
                <w:sz w:val="24"/>
                <w:highlight w:val="none"/>
              </w:rPr>
              <w:t>24、网关 ARP 绑定功能：设备可通过 IE 浏览器添加并绑定设备所在网段网关的MAC 地址， 当其它终端设备访问设备时，若使用正确的网关 MAC 地址即设备绑定的</w:t>
            </w:r>
          </w:p>
          <w:p w14:paraId="6044F196">
            <w:pPr>
              <w:rPr>
                <w:rFonts w:hint="eastAsia" w:ascii="仿宋" w:hAnsi="仿宋" w:eastAsia="仿宋" w:cs="仿宋"/>
                <w:color w:val="auto"/>
                <w:sz w:val="24"/>
                <w:highlight w:val="none"/>
              </w:rPr>
            </w:pPr>
            <w:r>
              <w:rPr>
                <w:rFonts w:hint="eastAsia" w:ascii="仿宋" w:hAnsi="仿宋" w:eastAsia="仿宋" w:cs="仿宋"/>
                <w:color w:val="auto"/>
                <w:sz w:val="24"/>
                <w:highlight w:val="none"/>
              </w:rPr>
              <w:t>MAC 地址则可以正常访问设备； 当使用错误的网关 MAC地址即不是设备绑定的MAC 地址则不能访问设备</w:t>
            </w:r>
          </w:p>
        </w:tc>
        <w:tc>
          <w:tcPr>
            <w:tcW w:w="750" w:type="dxa"/>
            <w:vMerge w:val="continue"/>
          </w:tcPr>
          <w:p w14:paraId="4FF4FC9B">
            <w:pPr>
              <w:rPr>
                <w:rFonts w:hint="eastAsia" w:ascii="仿宋" w:hAnsi="仿宋" w:eastAsia="仿宋" w:cs="仿宋"/>
                <w:color w:val="auto"/>
                <w:sz w:val="24"/>
                <w:highlight w:val="none"/>
              </w:rPr>
            </w:pPr>
          </w:p>
        </w:tc>
      </w:tr>
      <w:tr w14:paraId="6474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restart"/>
            <w:vAlign w:val="center"/>
          </w:tcPr>
          <w:p w14:paraId="7AFEC9CF">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850" w:type="dxa"/>
            <w:vMerge w:val="restart"/>
            <w:vAlign w:val="center"/>
          </w:tcPr>
          <w:p w14:paraId="1B911412">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信号传输系统（无线微波）</w:t>
            </w:r>
          </w:p>
        </w:tc>
        <w:tc>
          <w:tcPr>
            <w:tcW w:w="913" w:type="dxa"/>
            <w:vMerge w:val="restart"/>
            <w:vAlign w:val="center"/>
          </w:tcPr>
          <w:p w14:paraId="27BBB269">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5.8G</w:t>
            </w:r>
          </w:p>
          <w:p w14:paraId="66B81EA3">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300Mbp s 一体化无线网桥</w:t>
            </w:r>
          </w:p>
          <w:p w14:paraId="407C51C5">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5km</w:t>
            </w:r>
          </w:p>
          <w:p w14:paraId="7C59C462">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（微波传输）</w:t>
            </w:r>
          </w:p>
        </w:tc>
        <w:tc>
          <w:tcPr>
            <w:tcW w:w="6750" w:type="dxa"/>
          </w:tcPr>
          <w:p w14:paraId="1ACFF14B">
            <w:pPr>
              <w:rPr>
                <w:rFonts w:hint="eastAsia" w:ascii="仿宋" w:hAnsi="仿宋" w:eastAsia="仿宋" w:cs="仿宋"/>
                <w:color w:val="auto"/>
                <w:sz w:val="24"/>
                <w:highlight w:val="none"/>
              </w:rPr>
            </w:pPr>
            <w:r>
              <w:rPr>
                <w:rFonts w:hint="eastAsia" w:ascii="仿宋" w:hAnsi="仿宋" w:eastAsia="仿宋" w:cs="仿宋"/>
                <w:color w:val="auto"/>
                <w:sz w:val="24"/>
                <w:highlight w:val="none"/>
              </w:rPr>
              <w:t>1、无线标准 802. 11 A/N 频率范围 4920～6100MHz;</w:t>
            </w:r>
          </w:p>
        </w:tc>
        <w:tc>
          <w:tcPr>
            <w:tcW w:w="750" w:type="dxa"/>
            <w:vMerge w:val="restart"/>
            <w:vAlign w:val="center"/>
          </w:tcPr>
          <w:p w14:paraId="3668904E">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9对</w:t>
            </w:r>
          </w:p>
        </w:tc>
      </w:tr>
      <w:tr w14:paraId="4403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70EE6D02">
            <w:pPr>
              <w:jc w:val="center"/>
              <w:rPr>
                <w:rFonts w:hint="eastAsia" w:ascii="仿宋" w:hAnsi="仿宋" w:eastAsia="仿宋" w:cs="仿宋"/>
                <w:color w:val="auto"/>
                <w:sz w:val="24"/>
                <w:highlight w:val="none"/>
              </w:rPr>
            </w:pPr>
          </w:p>
        </w:tc>
        <w:tc>
          <w:tcPr>
            <w:tcW w:w="850" w:type="dxa"/>
            <w:vMerge w:val="continue"/>
            <w:vAlign w:val="center"/>
          </w:tcPr>
          <w:p w14:paraId="05D8EA81">
            <w:pPr>
              <w:jc w:val="center"/>
              <w:rPr>
                <w:rFonts w:hint="eastAsia" w:ascii="仿宋" w:hAnsi="仿宋" w:eastAsia="仿宋" w:cs="仿宋"/>
                <w:color w:val="auto"/>
                <w:sz w:val="24"/>
                <w:highlight w:val="none"/>
              </w:rPr>
            </w:pPr>
          </w:p>
        </w:tc>
        <w:tc>
          <w:tcPr>
            <w:tcW w:w="913" w:type="dxa"/>
            <w:vMerge w:val="continue"/>
            <w:vAlign w:val="center"/>
          </w:tcPr>
          <w:p w14:paraId="6DA9053E">
            <w:pPr>
              <w:jc w:val="center"/>
              <w:rPr>
                <w:rFonts w:hint="eastAsia" w:ascii="仿宋" w:hAnsi="仿宋" w:eastAsia="仿宋" w:cs="仿宋"/>
                <w:color w:val="auto"/>
                <w:sz w:val="24"/>
                <w:highlight w:val="none"/>
              </w:rPr>
            </w:pPr>
          </w:p>
        </w:tc>
        <w:tc>
          <w:tcPr>
            <w:tcW w:w="6750" w:type="dxa"/>
          </w:tcPr>
          <w:p w14:paraId="083B0613">
            <w:pPr>
              <w:rPr>
                <w:rFonts w:hint="eastAsia" w:ascii="仿宋" w:hAnsi="仿宋" w:eastAsia="仿宋" w:cs="仿宋"/>
                <w:color w:val="auto"/>
                <w:sz w:val="24"/>
                <w:highlight w:val="none"/>
              </w:rPr>
            </w:pPr>
            <w:r>
              <w:rPr>
                <w:rFonts w:hint="eastAsia" w:ascii="仿宋" w:hAnsi="仿宋" w:eastAsia="仿宋" w:cs="仿宋"/>
                <w:color w:val="auto"/>
                <w:sz w:val="24"/>
                <w:highlight w:val="none"/>
              </w:rPr>
              <w:t>2、最大传输带宽 300Mbps 最大输出功率 dBm&lt;400mW);</w:t>
            </w:r>
          </w:p>
        </w:tc>
        <w:tc>
          <w:tcPr>
            <w:tcW w:w="750" w:type="dxa"/>
            <w:vMerge w:val="continue"/>
          </w:tcPr>
          <w:p w14:paraId="5B64C5C4">
            <w:pPr>
              <w:rPr>
                <w:rFonts w:hint="eastAsia" w:ascii="仿宋" w:hAnsi="仿宋" w:eastAsia="仿宋" w:cs="仿宋"/>
                <w:color w:val="auto"/>
                <w:sz w:val="24"/>
                <w:highlight w:val="none"/>
              </w:rPr>
            </w:pPr>
          </w:p>
        </w:tc>
      </w:tr>
      <w:tr w14:paraId="27CC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62B25F6A">
            <w:pPr>
              <w:jc w:val="center"/>
              <w:rPr>
                <w:rFonts w:hint="eastAsia" w:ascii="仿宋" w:hAnsi="仿宋" w:eastAsia="仿宋" w:cs="仿宋"/>
                <w:color w:val="auto"/>
                <w:sz w:val="24"/>
                <w:highlight w:val="none"/>
              </w:rPr>
            </w:pPr>
          </w:p>
        </w:tc>
        <w:tc>
          <w:tcPr>
            <w:tcW w:w="850" w:type="dxa"/>
            <w:vMerge w:val="continue"/>
            <w:vAlign w:val="center"/>
          </w:tcPr>
          <w:p w14:paraId="70034650">
            <w:pPr>
              <w:jc w:val="center"/>
              <w:rPr>
                <w:rFonts w:hint="eastAsia" w:ascii="仿宋" w:hAnsi="仿宋" w:eastAsia="仿宋" w:cs="仿宋"/>
                <w:color w:val="auto"/>
                <w:sz w:val="24"/>
                <w:highlight w:val="none"/>
              </w:rPr>
            </w:pPr>
          </w:p>
        </w:tc>
        <w:tc>
          <w:tcPr>
            <w:tcW w:w="913" w:type="dxa"/>
            <w:vMerge w:val="continue"/>
            <w:vAlign w:val="center"/>
          </w:tcPr>
          <w:p w14:paraId="48AD5EFA">
            <w:pPr>
              <w:jc w:val="center"/>
              <w:rPr>
                <w:rFonts w:hint="eastAsia" w:ascii="仿宋" w:hAnsi="仿宋" w:eastAsia="仿宋" w:cs="仿宋"/>
                <w:color w:val="auto"/>
                <w:sz w:val="24"/>
                <w:highlight w:val="none"/>
              </w:rPr>
            </w:pPr>
          </w:p>
        </w:tc>
        <w:tc>
          <w:tcPr>
            <w:tcW w:w="6750" w:type="dxa"/>
          </w:tcPr>
          <w:p w14:paraId="3E2176A9">
            <w:pPr>
              <w:rPr>
                <w:rFonts w:hint="eastAsia" w:ascii="仿宋" w:hAnsi="仿宋" w:eastAsia="仿宋" w:cs="仿宋"/>
                <w:color w:val="auto"/>
                <w:sz w:val="24"/>
                <w:highlight w:val="none"/>
              </w:rPr>
            </w:pPr>
            <w:r>
              <w:rPr>
                <w:rFonts w:hint="eastAsia" w:ascii="仿宋" w:hAnsi="仿宋" w:eastAsia="仿宋" w:cs="仿宋"/>
                <w:color w:val="auto"/>
                <w:sz w:val="24"/>
                <w:highlight w:val="none"/>
              </w:rPr>
              <w:t>3、极化方式 MIMO：2X2；双极化 1~5km;</w:t>
            </w:r>
          </w:p>
        </w:tc>
        <w:tc>
          <w:tcPr>
            <w:tcW w:w="750" w:type="dxa"/>
            <w:vMerge w:val="continue"/>
          </w:tcPr>
          <w:p w14:paraId="24D20311">
            <w:pPr>
              <w:rPr>
                <w:rFonts w:hint="eastAsia" w:ascii="仿宋" w:hAnsi="仿宋" w:eastAsia="仿宋" w:cs="仿宋"/>
                <w:color w:val="auto"/>
                <w:sz w:val="24"/>
                <w:highlight w:val="none"/>
              </w:rPr>
            </w:pPr>
          </w:p>
        </w:tc>
      </w:tr>
      <w:tr w14:paraId="7842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6AD394E6">
            <w:pPr>
              <w:jc w:val="center"/>
              <w:rPr>
                <w:rFonts w:hint="eastAsia" w:ascii="仿宋" w:hAnsi="仿宋" w:eastAsia="仿宋" w:cs="仿宋"/>
                <w:color w:val="auto"/>
                <w:sz w:val="24"/>
                <w:highlight w:val="none"/>
              </w:rPr>
            </w:pPr>
          </w:p>
        </w:tc>
        <w:tc>
          <w:tcPr>
            <w:tcW w:w="850" w:type="dxa"/>
            <w:vMerge w:val="continue"/>
            <w:vAlign w:val="center"/>
          </w:tcPr>
          <w:p w14:paraId="52042DAB">
            <w:pPr>
              <w:jc w:val="center"/>
              <w:rPr>
                <w:rFonts w:hint="eastAsia" w:ascii="仿宋" w:hAnsi="仿宋" w:eastAsia="仿宋" w:cs="仿宋"/>
                <w:color w:val="auto"/>
                <w:sz w:val="24"/>
                <w:highlight w:val="none"/>
              </w:rPr>
            </w:pPr>
          </w:p>
        </w:tc>
        <w:tc>
          <w:tcPr>
            <w:tcW w:w="913" w:type="dxa"/>
            <w:vMerge w:val="continue"/>
            <w:vAlign w:val="center"/>
          </w:tcPr>
          <w:p w14:paraId="0558EB8A">
            <w:pPr>
              <w:jc w:val="center"/>
              <w:rPr>
                <w:rFonts w:hint="eastAsia" w:ascii="仿宋" w:hAnsi="仿宋" w:eastAsia="仿宋" w:cs="仿宋"/>
                <w:color w:val="auto"/>
                <w:sz w:val="24"/>
                <w:highlight w:val="none"/>
              </w:rPr>
            </w:pPr>
          </w:p>
        </w:tc>
        <w:tc>
          <w:tcPr>
            <w:tcW w:w="6750" w:type="dxa"/>
          </w:tcPr>
          <w:p w14:paraId="3F50CE9F">
            <w:pPr>
              <w:rPr>
                <w:rFonts w:hint="eastAsia" w:ascii="仿宋" w:hAnsi="仿宋" w:eastAsia="仿宋" w:cs="仿宋"/>
                <w:color w:val="auto"/>
                <w:sz w:val="24"/>
                <w:highlight w:val="none"/>
              </w:rPr>
            </w:pPr>
            <w:r>
              <w:rPr>
                <w:rFonts w:hint="eastAsia" w:ascii="仿宋" w:hAnsi="仿宋" w:eastAsia="仿宋" w:cs="仿宋"/>
                <w:color w:val="auto"/>
                <w:sz w:val="24"/>
                <w:highlight w:val="none"/>
              </w:rPr>
              <w:t>4、CPU 600MHz  内存 64MB;铝铸万向节安装抱箍；</w:t>
            </w:r>
          </w:p>
        </w:tc>
        <w:tc>
          <w:tcPr>
            <w:tcW w:w="750" w:type="dxa"/>
            <w:vMerge w:val="continue"/>
          </w:tcPr>
          <w:p w14:paraId="1A137A2A">
            <w:pPr>
              <w:rPr>
                <w:rFonts w:hint="eastAsia" w:ascii="仿宋" w:hAnsi="仿宋" w:eastAsia="仿宋" w:cs="仿宋"/>
                <w:color w:val="auto"/>
                <w:sz w:val="24"/>
                <w:highlight w:val="none"/>
              </w:rPr>
            </w:pPr>
          </w:p>
        </w:tc>
      </w:tr>
      <w:tr w14:paraId="0F103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228D7491">
            <w:pPr>
              <w:jc w:val="center"/>
              <w:rPr>
                <w:rFonts w:hint="eastAsia" w:ascii="仿宋" w:hAnsi="仿宋" w:eastAsia="仿宋" w:cs="仿宋"/>
                <w:color w:val="auto"/>
                <w:sz w:val="24"/>
                <w:highlight w:val="none"/>
              </w:rPr>
            </w:pPr>
          </w:p>
        </w:tc>
        <w:tc>
          <w:tcPr>
            <w:tcW w:w="850" w:type="dxa"/>
            <w:vMerge w:val="continue"/>
            <w:vAlign w:val="center"/>
          </w:tcPr>
          <w:p w14:paraId="27BDA423">
            <w:pPr>
              <w:jc w:val="center"/>
              <w:rPr>
                <w:rFonts w:hint="eastAsia" w:ascii="仿宋" w:hAnsi="仿宋" w:eastAsia="仿宋" w:cs="仿宋"/>
                <w:color w:val="auto"/>
                <w:sz w:val="24"/>
                <w:highlight w:val="none"/>
              </w:rPr>
            </w:pPr>
          </w:p>
        </w:tc>
        <w:tc>
          <w:tcPr>
            <w:tcW w:w="913" w:type="dxa"/>
            <w:vMerge w:val="continue"/>
            <w:vAlign w:val="center"/>
          </w:tcPr>
          <w:p w14:paraId="314E94CE">
            <w:pPr>
              <w:jc w:val="center"/>
              <w:rPr>
                <w:rFonts w:hint="eastAsia" w:ascii="仿宋" w:hAnsi="仿宋" w:eastAsia="仿宋" w:cs="仿宋"/>
                <w:color w:val="auto"/>
                <w:sz w:val="24"/>
                <w:highlight w:val="none"/>
              </w:rPr>
            </w:pPr>
          </w:p>
        </w:tc>
        <w:tc>
          <w:tcPr>
            <w:tcW w:w="6750" w:type="dxa"/>
          </w:tcPr>
          <w:p w14:paraId="2EAF5E41">
            <w:pPr>
              <w:rPr>
                <w:rFonts w:hint="eastAsia" w:ascii="仿宋" w:hAnsi="仿宋" w:eastAsia="仿宋" w:cs="仿宋"/>
                <w:color w:val="auto"/>
                <w:sz w:val="24"/>
                <w:highlight w:val="none"/>
              </w:rPr>
            </w:pPr>
            <w:r>
              <w:rPr>
                <w:rFonts w:hint="eastAsia" w:ascii="仿宋" w:hAnsi="仿宋" w:eastAsia="仿宋" w:cs="仿宋"/>
                <w:color w:val="auto"/>
                <w:sz w:val="24"/>
                <w:highlight w:val="none"/>
              </w:rPr>
              <w:t>5、网 口 网口数量 RJ-45*1 网口属性 10/100BASE-T;</w:t>
            </w:r>
          </w:p>
        </w:tc>
        <w:tc>
          <w:tcPr>
            <w:tcW w:w="750" w:type="dxa"/>
            <w:vMerge w:val="continue"/>
          </w:tcPr>
          <w:p w14:paraId="18BFBF07">
            <w:pPr>
              <w:rPr>
                <w:rFonts w:hint="eastAsia" w:ascii="仿宋" w:hAnsi="仿宋" w:eastAsia="仿宋" w:cs="仿宋"/>
                <w:color w:val="auto"/>
                <w:sz w:val="24"/>
                <w:highlight w:val="none"/>
              </w:rPr>
            </w:pPr>
          </w:p>
        </w:tc>
      </w:tr>
      <w:tr w14:paraId="74FD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7C91A0A7">
            <w:pPr>
              <w:jc w:val="center"/>
              <w:rPr>
                <w:rFonts w:hint="eastAsia" w:ascii="仿宋" w:hAnsi="仿宋" w:eastAsia="仿宋" w:cs="仿宋"/>
                <w:color w:val="auto"/>
                <w:sz w:val="24"/>
                <w:highlight w:val="none"/>
              </w:rPr>
            </w:pPr>
          </w:p>
        </w:tc>
        <w:tc>
          <w:tcPr>
            <w:tcW w:w="850" w:type="dxa"/>
            <w:vMerge w:val="continue"/>
            <w:vAlign w:val="center"/>
          </w:tcPr>
          <w:p w14:paraId="79CD231F">
            <w:pPr>
              <w:jc w:val="center"/>
              <w:rPr>
                <w:rFonts w:hint="eastAsia" w:ascii="仿宋" w:hAnsi="仿宋" w:eastAsia="仿宋" w:cs="仿宋"/>
                <w:color w:val="auto"/>
                <w:sz w:val="24"/>
                <w:highlight w:val="none"/>
              </w:rPr>
            </w:pPr>
          </w:p>
        </w:tc>
        <w:tc>
          <w:tcPr>
            <w:tcW w:w="913" w:type="dxa"/>
            <w:vMerge w:val="continue"/>
            <w:vAlign w:val="center"/>
          </w:tcPr>
          <w:p w14:paraId="4DC95139">
            <w:pPr>
              <w:jc w:val="center"/>
              <w:rPr>
                <w:rFonts w:hint="eastAsia" w:ascii="仿宋" w:hAnsi="仿宋" w:eastAsia="仿宋" w:cs="仿宋"/>
                <w:color w:val="auto"/>
                <w:sz w:val="24"/>
                <w:highlight w:val="none"/>
              </w:rPr>
            </w:pPr>
          </w:p>
        </w:tc>
        <w:tc>
          <w:tcPr>
            <w:tcW w:w="6750" w:type="dxa"/>
          </w:tcPr>
          <w:p w14:paraId="3F3DE660">
            <w:pPr>
              <w:rPr>
                <w:rFonts w:hint="eastAsia" w:ascii="仿宋" w:hAnsi="仿宋" w:eastAsia="仿宋" w:cs="仿宋"/>
                <w:color w:val="auto"/>
                <w:sz w:val="24"/>
                <w:highlight w:val="none"/>
              </w:rPr>
            </w:pPr>
            <w:r>
              <w:rPr>
                <w:rFonts w:hint="eastAsia" w:ascii="仿宋" w:hAnsi="仿宋" w:eastAsia="仿宋" w:cs="仿宋"/>
                <w:color w:val="auto"/>
                <w:sz w:val="24"/>
                <w:highlight w:val="none"/>
              </w:rPr>
              <w:t>6、天线： 天线增益 18dBi ,双极化定向天线 双极化水平/垂直角度 25°/25°;</w:t>
            </w:r>
          </w:p>
        </w:tc>
        <w:tc>
          <w:tcPr>
            <w:tcW w:w="750" w:type="dxa"/>
            <w:vMerge w:val="continue"/>
          </w:tcPr>
          <w:p w14:paraId="44BBD594">
            <w:pPr>
              <w:rPr>
                <w:rFonts w:hint="eastAsia" w:ascii="仿宋" w:hAnsi="仿宋" w:eastAsia="仿宋" w:cs="仿宋"/>
                <w:color w:val="auto"/>
                <w:sz w:val="24"/>
                <w:highlight w:val="none"/>
              </w:rPr>
            </w:pPr>
          </w:p>
        </w:tc>
      </w:tr>
      <w:tr w14:paraId="21D1F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95ACBB4">
            <w:pPr>
              <w:jc w:val="center"/>
              <w:rPr>
                <w:rFonts w:hint="eastAsia" w:ascii="仿宋" w:hAnsi="仿宋" w:eastAsia="仿宋" w:cs="仿宋"/>
                <w:color w:val="auto"/>
                <w:sz w:val="24"/>
                <w:highlight w:val="none"/>
              </w:rPr>
            </w:pPr>
          </w:p>
        </w:tc>
        <w:tc>
          <w:tcPr>
            <w:tcW w:w="850" w:type="dxa"/>
            <w:vMerge w:val="continue"/>
            <w:vAlign w:val="center"/>
          </w:tcPr>
          <w:p w14:paraId="6B4596B9">
            <w:pPr>
              <w:jc w:val="center"/>
              <w:rPr>
                <w:rFonts w:hint="eastAsia" w:ascii="仿宋" w:hAnsi="仿宋" w:eastAsia="仿宋" w:cs="仿宋"/>
                <w:color w:val="auto"/>
                <w:sz w:val="24"/>
                <w:highlight w:val="none"/>
              </w:rPr>
            </w:pPr>
          </w:p>
        </w:tc>
        <w:tc>
          <w:tcPr>
            <w:tcW w:w="913" w:type="dxa"/>
            <w:vMerge w:val="continue"/>
            <w:vAlign w:val="center"/>
          </w:tcPr>
          <w:p w14:paraId="67B42B58">
            <w:pPr>
              <w:jc w:val="center"/>
              <w:rPr>
                <w:rFonts w:hint="eastAsia" w:ascii="仿宋" w:hAnsi="仿宋" w:eastAsia="仿宋" w:cs="仿宋"/>
                <w:color w:val="auto"/>
                <w:sz w:val="24"/>
                <w:highlight w:val="none"/>
              </w:rPr>
            </w:pPr>
          </w:p>
        </w:tc>
        <w:tc>
          <w:tcPr>
            <w:tcW w:w="6750" w:type="dxa"/>
          </w:tcPr>
          <w:p w14:paraId="05EFBDCB">
            <w:pPr>
              <w:rPr>
                <w:rFonts w:hint="eastAsia" w:ascii="仿宋" w:hAnsi="仿宋" w:eastAsia="仿宋" w:cs="仿宋"/>
                <w:color w:val="auto"/>
                <w:sz w:val="24"/>
                <w:highlight w:val="none"/>
              </w:rPr>
            </w:pPr>
            <w:r>
              <w:rPr>
                <w:rFonts w:hint="eastAsia" w:ascii="仿宋" w:hAnsi="仿宋" w:eastAsia="仿宋" w:cs="仿宋"/>
                <w:color w:val="auto"/>
                <w:sz w:val="24"/>
                <w:highlight w:val="none"/>
              </w:rPr>
              <w:t>7、支持共模(DM)6Kv/差模(CM)2Kv 浪涌防护，支持</w:t>
            </w:r>
          </w:p>
          <w:p w14:paraId="5950BAA9">
            <w:pPr>
              <w:rPr>
                <w:rFonts w:hint="eastAsia" w:ascii="仿宋" w:hAnsi="仿宋" w:eastAsia="仿宋" w:cs="仿宋"/>
                <w:color w:val="auto"/>
                <w:sz w:val="24"/>
                <w:highlight w:val="none"/>
              </w:rPr>
            </w:pPr>
            <w:r>
              <w:rPr>
                <w:rFonts w:hint="eastAsia" w:ascii="仿宋" w:hAnsi="仿宋" w:eastAsia="仿宋" w:cs="仿宋"/>
                <w:color w:val="auto"/>
                <w:sz w:val="24"/>
                <w:highlight w:val="none"/>
              </w:rPr>
              <w:t>16KvESD 防护；外置电源指示灯、6 级信号指示灯，外置复位孔，外置透气阀，平衡基站内部与外界气压，增强设备在恶劣环境中使用可靠性;</w:t>
            </w:r>
          </w:p>
        </w:tc>
        <w:tc>
          <w:tcPr>
            <w:tcW w:w="750" w:type="dxa"/>
            <w:vMerge w:val="continue"/>
          </w:tcPr>
          <w:p w14:paraId="0915BBCA">
            <w:pPr>
              <w:rPr>
                <w:rFonts w:hint="eastAsia" w:ascii="仿宋" w:hAnsi="仿宋" w:eastAsia="仿宋" w:cs="仿宋"/>
                <w:color w:val="auto"/>
                <w:sz w:val="24"/>
                <w:highlight w:val="none"/>
              </w:rPr>
            </w:pPr>
          </w:p>
        </w:tc>
      </w:tr>
      <w:tr w14:paraId="0BEB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2" w:type="dxa"/>
            <w:vMerge w:val="continue"/>
            <w:vAlign w:val="center"/>
          </w:tcPr>
          <w:p w14:paraId="0F33F804">
            <w:pPr>
              <w:jc w:val="center"/>
              <w:rPr>
                <w:rFonts w:hint="eastAsia" w:ascii="仿宋" w:hAnsi="仿宋" w:eastAsia="仿宋" w:cs="仿宋"/>
                <w:color w:val="auto"/>
                <w:sz w:val="24"/>
                <w:highlight w:val="none"/>
              </w:rPr>
            </w:pPr>
          </w:p>
        </w:tc>
        <w:tc>
          <w:tcPr>
            <w:tcW w:w="850" w:type="dxa"/>
            <w:vMerge w:val="continue"/>
            <w:vAlign w:val="center"/>
          </w:tcPr>
          <w:p w14:paraId="57BE6E72">
            <w:pPr>
              <w:jc w:val="center"/>
              <w:rPr>
                <w:rFonts w:hint="eastAsia" w:ascii="仿宋" w:hAnsi="仿宋" w:eastAsia="仿宋" w:cs="仿宋"/>
                <w:color w:val="auto"/>
                <w:sz w:val="24"/>
                <w:highlight w:val="none"/>
              </w:rPr>
            </w:pPr>
          </w:p>
        </w:tc>
        <w:tc>
          <w:tcPr>
            <w:tcW w:w="913" w:type="dxa"/>
            <w:vMerge w:val="continue"/>
            <w:vAlign w:val="center"/>
          </w:tcPr>
          <w:p w14:paraId="3F9FDFB5">
            <w:pPr>
              <w:jc w:val="center"/>
              <w:rPr>
                <w:rFonts w:hint="eastAsia" w:ascii="仿宋" w:hAnsi="仿宋" w:eastAsia="仿宋" w:cs="仿宋"/>
                <w:color w:val="auto"/>
                <w:sz w:val="24"/>
                <w:highlight w:val="none"/>
              </w:rPr>
            </w:pPr>
          </w:p>
        </w:tc>
        <w:tc>
          <w:tcPr>
            <w:tcW w:w="6750" w:type="dxa"/>
          </w:tcPr>
          <w:p w14:paraId="735609DA">
            <w:pPr>
              <w:rPr>
                <w:rFonts w:hint="eastAsia" w:ascii="仿宋" w:hAnsi="仿宋" w:eastAsia="仿宋" w:cs="仿宋"/>
                <w:color w:val="auto"/>
                <w:sz w:val="24"/>
                <w:highlight w:val="none"/>
              </w:rPr>
            </w:pPr>
            <w:r>
              <w:rPr>
                <w:rFonts w:hint="eastAsia" w:ascii="仿宋" w:hAnsi="仿宋" w:eastAsia="仿宋" w:cs="仿宋"/>
                <w:color w:val="auto"/>
                <w:sz w:val="24"/>
                <w:highlight w:val="none"/>
              </w:rPr>
              <w:t>8、工作温度范围要求达到：-40～85℃;</w:t>
            </w:r>
          </w:p>
        </w:tc>
        <w:tc>
          <w:tcPr>
            <w:tcW w:w="750" w:type="dxa"/>
            <w:vMerge w:val="continue"/>
          </w:tcPr>
          <w:p w14:paraId="46C4EE00">
            <w:pPr>
              <w:rPr>
                <w:rFonts w:hint="eastAsia" w:ascii="仿宋" w:hAnsi="仿宋" w:eastAsia="仿宋" w:cs="仿宋"/>
                <w:color w:val="auto"/>
                <w:sz w:val="24"/>
                <w:highlight w:val="none"/>
              </w:rPr>
            </w:pPr>
          </w:p>
        </w:tc>
      </w:tr>
      <w:tr w14:paraId="10668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D403E54">
            <w:pPr>
              <w:jc w:val="center"/>
              <w:rPr>
                <w:rFonts w:hint="eastAsia" w:ascii="仿宋" w:hAnsi="仿宋" w:eastAsia="仿宋" w:cs="仿宋"/>
                <w:color w:val="auto"/>
                <w:sz w:val="24"/>
                <w:highlight w:val="none"/>
              </w:rPr>
            </w:pPr>
          </w:p>
        </w:tc>
        <w:tc>
          <w:tcPr>
            <w:tcW w:w="850" w:type="dxa"/>
            <w:vMerge w:val="continue"/>
            <w:vAlign w:val="center"/>
          </w:tcPr>
          <w:p w14:paraId="04A40100">
            <w:pPr>
              <w:jc w:val="center"/>
              <w:rPr>
                <w:rFonts w:hint="eastAsia" w:ascii="仿宋" w:hAnsi="仿宋" w:eastAsia="仿宋" w:cs="仿宋"/>
                <w:color w:val="auto"/>
                <w:sz w:val="24"/>
                <w:highlight w:val="none"/>
              </w:rPr>
            </w:pPr>
          </w:p>
        </w:tc>
        <w:tc>
          <w:tcPr>
            <w:tcW w:w="913" w:type="dxa"/>
            <w:vMerge w:val="continue"/>
            <w:vAlign w:val="center"/>
          </w:tcPr>
          <w:p w14:paraId="22C7005E">
            <w:pPr>
              <w:jc w:val="center"/>
              <w:rPr>
                <w:rFonts w:hint="eastAsia" w:ascii="仿宋" w:hAnsi="仿宋" w:eastAsia="仿宋" w:cs="仿宋"/>
                <w:color w:val="auto"/>
                <w:sz w:val="24"/>
                <w:highlight w:val="none"/>
              </w:rPr>
            </w:pPr>
          </w:p>
        </w:tc>
        <w:tc>
          <w:tcPr>
            <w:tcW w:w="6750" w:type="dxa"/>
          </w:tcPr>
          <w:p w14:paraId="4765E5CC">
            <w:pPr>
              <w:rPr>
                <w:rFonts w:hint="eastAsia" w:ascii="仿宋" w:hAnsi="仿宋" w:eastAsia="仿宋" w:cs="仿宋"/>
                <w:color w:val="auto"/>
                <w:sz w:val="24"/>
                <w:highlight w:val="none"/>
              </w:rPr>
            </w:pPr>
            <w:r>
              <w:rPr>
                <w:rFonts w:hint="eastAsia" w:ascii="仿宋" w:hAnsi="仿宋" w:eastAsia="仿宋" w:cs="仿宋"/>
                <w:color w:val="auto"/>
                <w:sz w:val="24"/>
                <w:highlight w:val="none"/>
              </w:rPr>
              <w:t>9、需采用金属遮蔽外壳，防水等级 IP68 ，支持 12～24V / 220V POE 供电;</w:t>
            </w:r>
          </w:p>
        </w:tc>
        <w:tc>
          <w:tcPr>
            <w:tcW w:w="750" w:type="dxa"/>
            <w:vMerge w:val="continue"/>
          </w:tcPr>
          <w:p w14:paraId="2B2DA02C">
            <w:pPr>
              <w:rPr>
                <w:rFonts w:hint="eastAsia" w:ascii="仿宋" w:hAnsi="仿宋" w:eastAsia="仿宋" w:cs="仿宋"/>
                <w:color w:val="auto"/>
                <w:sz w:val="24"/>
                <w:highlight w:val="none"/>
              </w:rPr>
            </w:pPr>
          </w:p>
        </w:tc>
      </w:tr>
      <w:tr w14:paraId="783F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2" w:type="dxa"/>
            <w:vMerge w:val="continue"/>
            <w:vAlign w:val="center"/>
          </w:tcPr>
          <w:p w14:paraId="47A4F7F7">
            <w:pPr>
              <w:jc w:val="center"/>
              <w:rPr>
                <w:rFonts w:hint="eastAsia" w:ascii="仿宋" w:hAnsi="仿宋" w:eastAsia="仿宋" w:cs="仿宋"/>
                <w:color w:val="auto"/>
                <w:sz w:val="24"/>
                <w:highlight w:val="none"/>
              </w:rPr>
            </w:pPr>
          </w:p>
        </w:tc>
        <w:tc>
          <w:tcPr>
            <w:tcW w:w="850" w:type="dxa"/>
            <w:vMerge w:val="continue"/>
            <w:vAlign w:val="center"/>
          </w:tcPr>
          <w:p w14:paraId="1EC99D11">
            <w:pPr>
              <w:jc w:val="center"/>
              <w:rPr>
                <w:rFonts w:hint="eastAsia" w:ascii="仿宋" w:hAnsi="仿宋" w:eastAsia="仿宋" w:cs="仿宋"/>
                <w:color w:val="auto"/>
                <w:sz w:val="24"/>
                <w:highlight w:val="none"/>
              </w:rPr>
            </w:pPr>
          </w:p>
        </w:tc>
        <w:tc>
          <w:tcPr>
            <w:tcW w:w="913" w:type="dxa"/>
            <w:vMerge w:val="continue"/>
            <w:vAlign w:val="center"/>
          </w:tcPr>
          <w:p w14:paraId="379B62F4">
            <w:pPr>
              <w:jc w:val="center"/>
              <w:rPr>
                <w:rFonts w:hint="eastAsia" w:ascii="仿宋" w:hAnsi="仿宋" w:eastAsia="仿宋" w:cs="仿宋"/>
                <w:color w:val="auto"/>
                <w:sz w:val="24"/>
                <w:highlight w:val="none"/>
              </w:rPr>
            </w:pPr>
          </w:p>
        </w:tc>
        <w:tc>
          <w:tcPr>
            <w:tcW w:w="6750" w:type="dxa"/>
          </w:tcPr>
          <w:p w14:paraId="5F2FF2F2">
            <w:pPr>
              <w:rPr>
                <w:rFonts w:hint="eastAsia" w:ascii="仿宋" w:hAnsi="仿宋" w:eastAsia="仿宋" w:cs="仿宋"/>
                <w:color w:val="auto"/>
                <w:sz w:val="24"/>
                <w:highlight w:val="none"/>
              </w:rPr>
            </w:pPr>
            <w:r>
              <w:rPr>
                <w:rFonts w:hint="eastAsia" w:ascii="仿宋" w:hAnsi="仿宋" w:eastAsia="仿宋" w:cs="仿宋"/>
                <w:color w:val="auto"/>
                <w:sz w:val="24"/>
                <w:highlight w:val="none"/>
              </w:rPr>
              <w:t>10、支持接入统一认证管理平台、支持网络拓扑结构发现、生成软件，实时监控链路的稳定性；</w:t>
            </w:r>
          </w:p>
        </w:tc>
        <w:tc>
          <w:tcPr>
            <w:tcW w:w="750" w:type="dxa"/>
            <w:vMerge w:val="continue"/>
          </w:tcPr>
          <w:p w14:paraId="4D88129E">
            <w:pPr>
              <w:rPr>
                <w:rFonts w:hint="eastAsia" w:ascii="仿宋" w:hAnsi="仿宋" w:eastAsia="仿宋" w:cs="仿宋"/>
                <w:color w:val="auto"/>
                <w:sz w:val="24"/>
                <w:highlight w:val="none"/>
              </w:rPr>
            </w:pPr>
          </w:p>
        </w:tc>
      </w:tr>
      <w:tr w14:paraId="67ACD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273D1A8F">
            <w:pPr>
              <w:jc w:val="center"/>
              <w:rPr>
                <w:rFonts w:hint="eastAsia" w:ascii="仿宋" w:hAnsi="仿宋" w:eastAsia="仿宋" w:cs="仿宋"/>
                <w:color w:val="auto"/>
                <w:sz w:val="24"/>
                <w:highlight w:val="none"/>
              </w:rPr>
            </w:pPr>
          </w:p>
        </w:tc>
        <w:tc>
          <w:tcPr>
            <w:tcW w:w="850" w:type="dxa"/>
            <w:vMerge w:val="continue"/>
            <w:vAlign w:val="center"/>
          </w:tcPr>
          <w:p w14:paraId="6E3097EB">
            <w:pPr>
              <w:jc w:val="center"/>
              <w:rPr>
                <w:rFonts w:hint="eastAsia" w:ascii="仿宋" w:hAnsi="仿宋" w:eastAsia="仿宋" w:cs="仿宋"/>
                <w:color w:val="auto"/>
                <w:sz w:val="24"/>
                <w:highlight w:val="none"/>
              </w:rPr>
            </w:pPr>
          </w:p>
        </w:tc>
        <w:tc>
          <w:tcPr>
            <w:tcW w:w="913" w:type="dxa"/>
            <w:vMerge w:val="restart"/>
            <w:vAlign w:val="center"/>
          </w:tcPr>
          <w:p w14:paraId="59410682">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供电模块单元</w:t>
            </w:r>
          </w:p>
        </w:tc>
        <w:tc>
          <w:tcPr>
            <w:tcW w:w="6750" w:type="dxa"/>
            <w:vAlign w:val="center"/>
          </w:tcPr>
          <w:p w14:paraId="2EA3980C">
            <w:pP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1、DC输入范围 36~ 72VDC  DC输入额定电压 48VDC  </w:t>
            </w:r>
          </w:p>
        </w:tc>
        <w:tc>
          <w:tcPr>
            <w:tcW w:w="750" w:type="dxa"/>
            <w:vMerge w:val="restart"/>
            <w:vAlign w:val="center"/>
          </w:tcPr>
          <w:p w14:paraId="550CD0A3">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9套</w:t>
            </w:r>
          </w:p>
        </w:tc>
      </w:tr>
      <w:tr w14:paraId="02473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6C3ECBB4">
            <w:pPr>
              <w:jc w:val="center"/>
              <w:rPr>
                <w:rFonts w:hint="eastAsia" w:ascii="仿宋" w:hAnsi="仿宋" w:eastAsia="仿宋" w:cs="仿宋"/>
                <w:color w:val="auto"/>
                <w:sz w:val="24"/>
                <w:highlight w:val="none"/>
              </w:rPr>
            </w:pPr>
          </w:p>
        </w:tc>
        <w:tc>
          <w:tcPr>
            <w:tcW w:w="850" w:type="dxa"/>
            <w:vMerge w:val="continue"/>
            <w:vAlign w:val="center"/>
          </w:tcPr>
          <w:p w14:paraId="4019B5E5">
            <w:pPr>
              <w:jc w:val="center"/>
              <w:rPr>
                <w:rFonts w:hint="eastAsia" w:ascii="仿宋" w:hAnsi="仿宋" w:eastAsia="仿宋" w:cs="仿宋"/>
                <w:color w:val="auto"/>
                <w:sz w:val="24"/>
                <w:highlight w:val="none"/>
              </w:rPr>
            </w:pPr>
          </w:p>
        </w:tc>
        <w:tc>
          <w:tcPr>
            <w:tcW w:w="913" w:type="dxa"/>
            <w:vMerge w:val="continue"/>
            <w:vAlign w:val="center"/>
          </w:tcPr>
          <w:p w14:paraId="3563F59F">
            <w:pPr>
              <w:jc w:val="center"/>
              <w:rPr>
                <w:rFonts w:hint="eastAsia" w:ascii="仿宋" w:hAnsi="仿宋" w:eastAsia="仿宋" w:cs="仿宋"/>
                <w:color w:val="auto"/>
                <w:sz w:val="24"/>
                <w:highlight w:val="none"/>
              </w:rPr>
            </w:pPr>
          </w:p>
        </w:tc>
        <w:tc>
          <w:tcPr>
            <w:tcW w:w="6750" w:type="dxa"/>
            <w:vAlign w:val="center"/>
          </w:tcPr>
          <w:p w14:paraId="56D2B006">
            <w:pPr>
              <w:rPr>
                <w:rFonts w:hint="eastAsia" w:ascii="仿宋" w:hAnsi="仿宋" w:eastAsia="仿宋" w:cs="仿宋"/>
                <w:color w:val="auto"/>
                <w:sz w:val="24"/>
                <w:highlight w:val="none"/>
              </w:rPr>
            </w:pPr>
            <w:r>
              <w:rPr>
                <w:rFonts w:hint="eastAsia" w:ascii="仿宋" w:hAnsi="仿宋" w:eastAsia="仿宋" w:cs="仿宋"/>
                <w:color w:val="auto"/>
                <w:sz w:val="24"/>
                <w:highlight w:val="none"/>
              </w:rPr>
              <w:t>2、负载 最小：0A；最大2.0A 传输速率 1000Mbps</w:t>
            </w:r>
          </w:p>
        </w:tc>
        <w:tc>
          <w:tcPr>
            <w:tcW w:w="750" w:type="dxa"/>
            <w:vMerge w:val="continue"/>
          </w:tcPr>
          <w:p w14:paraId="6BB7B928">
            <w:pPr>
              <w:rPr>
                <w:rFonts w:hint="eastAsia" w:ascii="仿宋" w:hAnsi="仿宋" w:eastAsia="仿宋" w:cs="仿宋"/>
                <w:color w:val="auto"/>
                <w:sz w:val="24"/>
                <w:highlight w:val="none"/>
              </w:rPr>
            </w:pPr>
          </w:p>
        </w:tc>
      </w:tr>
      <w:tr w14:paraId="624C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04AE877">
            <w:pPr>
              <w:jc w:val="center"/>
              <w:rPr>
                <w:rFonts w:hint="eastAsia" w:ascii="仿宋" w:hAnsi="仿宋" w:eastAsia="仿宋" w:cs="仿宋"/>
                <w:color w:val="auto"/>
                <w:sz w:val="24"/>
                <w:highlight w:val="none"/>
              </w:rPr>
            </w:pPr>
          </w:p>
        </w:tc>
        <w:tc>
          <w:tcPr>
            <w:tcW w:w="850" w:type="dxa"/>
            <w:vMerge w:val="continue"/>
            <w:vAlign w:val="center"/>
          </w:tcPr>
          <w:p w14:paraId="54C4CC70">
            <w:pPr>
              <w:jc w:val="center"/>
              <w:rPr>
                <w:rFonts w:hint="eastAsia" w:ascii="仿宋" w:hAnsi="仿宋" w:eastAsia="仿宋" w:cs="仿宋"/>
                <w:color w:val="auto"/>
                <w:sz w:val="24"/>
                <w:highlight w:val="none"/>
              </w:rPr>
            </w:pPr>
          </w:p>
        </w:tc>
        <w:tc>
          <w:tcPr>
            <w:tcW w:w="913" w:type="dxa"/>
            <w:vMerge w:val="continue"/>
            <w:vAlign w:val="center"/>
          </w:tcPr>
          <w:p w14:paraId="1CE3BFCC">
            <w:pPr>
              <w:jc w:val="center"/>
              <w:rPr>
                <w:rFonts w:hint="eastAsia" w:ascii="仿宋" w:hAnsi="仿宋" w:eastAsia="仿宋" w:cs="仿宋"/>
                <w:color w:val="auto"/>
                <w:sz w:val="24"/>
                <w:highlight w:val="none"/>
              </w:rPr>
            </w:pPr>
          </w:p>
        </w:tc>
        <w:tc>
          <w:tcPr>
            <w:tcW w:w="6750" w:type="dxa"/>
            <w:vAlign w:val="center"/>
          </w:tcPr>
          <w:p w14:paraId="6841B9E4">
            <w:pPr>
              <w:rPr>
                <w:rFonts w:hint="eastAsia" w:ascii="仿宋" w:hAnsi="仿宋" w:eastAsia="仿宋" w:cs="仿宋"/>
                <w:color w:val="auto"/>
                <w:sz w:val="24"/>
                <w:highlight w:val="none"/>
              </w:rPr>
            </w:pPr>
            <w:r>
              <w:rPr>
                <w:rFonts w:hint="eastAsia" w:ascii="仿宋" w:hAnsi="仿宋" w:eastAsia="仿宋" w:cs="仿宋"/>
                <w:color w:val="auto"/>
                <w:sz w:val="24"/>
                <w:highlight w:val="none"/>
              </w:rPr>
              <w:t>3、EMC电磁兼容性: FCC 15条B级 EK55022 B级</w:t>
            </w:r>
          </w:p>
        </w:tc>
        <w:tc>
          <w:tcPr>
            <w:tcW w:w="750" w:type="dxa"/>
            <w:vMerge w:val="continue"/>
          </w:tcPr>
          <w:p w14:paraId="3C85564A">
            <w:pPr>
              <w:rPr>
                <w:rFonts w:hint="eastAsia" w:ascii="仿宋" w:hAnsi="仿宋" w:eastAsia="仿宋" w:cs="仿宋"/>
                <w:color w:val="auto"/>
                <w:sz w:val="24"/>
                <w:highlight w:val="none"/>
              </w:rPr>
            </w:pPr>
          </w:p>
        </w:tc>
      </w:tr>
      <w:tr w14:paraId="278DB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20A9155F">
            <w:pPr>
              <w:jc w:val="center"/>
              <w:rPr>
                <w:rFonts w:hint="eastAsia" w:ascii="仿宋" w:hAnsi="仿宋" w:eastAsia="仿宋" w:cs="仿宋"/>
                <w:color w:val="auto"/>
                <w:sz w:val="24"/>
                <w:highlight w:val="none"/>
              </w:rPr>
            </w:pPr>
          </w:p>
        </w:tc>
        <w:tc>
          <w:tcPr>
            <w:tcW w:w="850" w:type="dxa"/>
            <w:vMerge w:val="continue"/>
            <w:vAlign w:val="center"/>
          </w:tcPr>
          <w:p w14:paraId="11A5A166">
            <w:pPr>
              <w:jc w:val="center"/>
              <w:rPr>
                <w:rFonts w:hint="eastAsia" w:ascii="仿宋" w:hAnsi="仿宋" w:eastAsia="仿宋" w:cs="仿宋"/>
                <w:color w:val="auto"/>
                <w:sz w:val="24"/>
                <w:highlight w:val="none"/>
              </w:rPr>
            </w:pPr>
          </w:p>
        </w:tc>
        <w:tc>
          <w:tcPr>
            <w:tcW w:w="913" w:type="dxa"/>
            <w:vMerge w:val="continue"/>
            <w:vAlign w:val="center"/>
          </w:tcPr>
          <w:p w14:paraId="1A2D8F43">
            <w:pPr>
              <w:jc w:val="center"/>
              <w:rPr>
                <w:rFonts w:hint="eastAsia" w:ascii="仿宋" w:hAnsi="仿宋" w:eastAsia="仿宋" w:cs="仿宋"/>
                <w:color w:val="auto"/>
                <w:sz w:val="24"/>
                <w:highlight w:val="none"/>
              </w:rPr>
            </w:pPr>
          </w:p>
        </w:tc>
        <w:tc>
          <w:tcPr>
            <w:tcW w:w="6750" w:type="dxa"/>
            <w:vAlign w:val="center"/>
          </w:tcPr>
          <w:p w14:paraId="60DDC292">
            <w:pPr>
              <w:rPr>
                <w:rFonts w:hint="eastAsia" w:ascii="仿宋" w:hAnsi="仿宋" w:eastAsia="仿宋" w:cs="仿宋"/>
                <w:color w:val="auto"/>
                <w:sz w:val="24"/>
                <w:highlight w:val="none"/>
              </w:rPr>
            </w:pPr>
            <w:r>
              <w:rPr>
                <w:rFonts w:hint="eastAsia" w:ascii="仿宋" w:hAnsi="仿宋" w:eastAsia="仿宋" w:cs="仿宋"/>
                <w:color w:val="auto"/>
                <w:sz w:val="24"/>
                <w:highlight w:val="none"/>
              </w:rPr>
              <w:t>4、标称放电电流 （80/20uS）：5KA</w:t>
            </w:r>
          </w:p>
        </w:tc>
        <w:tc>
          <w:tcPr>
            <w:tcW w:w="750" w:type="dxa"/>
            <w:vMerge w:val="continue"/>
          </w:tcPr>
          <w:p w14:paraId="367E54F3">
            <w:pPr>
              <w:rPr>
                <w:rFonts w:hint="eastAsia" w:ascii="仿宋" w:hAnsi="仿宋" w:eastAsia="仿宋" w:cs="仿宋"/>
                <w:color w:val="auto"/>
                <w:sz w:val="24"/>
                <w:highlight w:val="none"/>
              </w:rPr>
            </w:pPr>
          </w:p>
        </w:tc>
      </w:tr>
      <w:tr w14:paraId="7AC2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28E37BE">
            <w:pPr>
              <w:jc w:val="center"/>
              <w:rPr>
                <w:rFonts w:hint="eastAsia" w:ascii="仿宋" w:hAnsi="仿宋" w:eastAsia="仿宋" w:cs="仿宋"/>
                <w:color w:val="auto"/>
                <w:sz w:val="24"/>
                <w:highlight w:val="none"/>
              </w:rPr>
            </w:pPr>
          </w:p>
        </w:tc>
        <w:tc>
          <w:tcPr>
            <w:tcW w:w="850" w:type="dxa"/>
            <w:vMerge w:val="continue"/>
            <w:vAlign w:val="center"/>
          </w:tcPr>
          <w:p w14:paraId="24FD22C8">
            <w:pPr>
              <w:jc w:val="center"/>
              <w:rPr>
                <w:rFonts w:hint="eastAsia" w:ascii="仿宋" w:hAnsi="仿宋" w:eastAsia="仿宋" w:cs="仿宋"/>
                <w:color w:val="auto"/>
                <w:sz w:val="24"/>
                <w:highlight w:val="none"/>
              </w:rPr>
            </w:pPr>
          </w:p>
        </w:tc>
        <w:tc>
          <w:tcPr>
            <w:tcW w:w="913" w:type="dxa"/>
            <w:vMerge w:val="continue"/>
            <w:vAlign w:val="center"/>
          </w:tcPr>
          <w:p w14:paraId="1E2C1353">
            <w:pPr>
              <w:jc w:val="center"/>
              <w:rPr>
                <w:rFonts w:hint="eastAsia" w:ascii="仿宋" w:hAnsi="仿宋" w:eastAsia="仿宋" w:cs="仿宋"/>
                <w:color w:val="auto"/>
                <w:sz w:val="24"/>
                <w:highlight w:val="none"/>
              </w:rPr>
            </w:pPr>
          </w:p>
        </w:tc>
        <w:tc>
          <w:tcPr>
            <w:tcW w:w="6750" w:type="dxa"/>
            <w:vAlign w:val="center"/>
          </w:tcPr>
          <w:p w14:paraId="1BEE1844">
            <w:pP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5、工作温度工作温度：-40～50°储存温度-45～65℃ </w:t>
            </w:r>
          </w:p>
        </w:tc>
        <w:tc>
          <w:tcPr>
            <w:tcW w:w="750" w:type="dxa"/>
            <w:vMerge w:val="continue"/>
          </w:tcPr>
          <w:p w14:paraId="1825BCA0">
            <w:pPr>
              <w:rPr>
                <w:rFonts w:hint="eastAsia" w:ascii="仿宋" w:hAnsi="仿宋" w:eastAsia="仿宋" w:cs="仿宋"/>
                <w:color w:val="auto"/>
                <w:sz w:val="24"/>
                <w:highlight w:val="none"/>
              </w:rPr>
            </w:pPr>
          </w:p>
        </w:tc>
      </w:tr>
      <w:tr w14:paraId="37A78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1153DA7">
            <w:pPr>
              <w:jc w:val="center"/>
              <w:rPr>
                <w:rFonts w:hint="eastAsia" w:ascii="仿宋" w:hAnsi="仿宋" w:eastAsia="仿宋" w:cs="仿宋"/>
                <w:color w:val="auto"/>
                <w:sz w:val="24"/>
                <w:highlight w:val="none"/>
              </w:rPr>
            </w:pPr>
          </w:p>
        </w:tc>
        <w:tc>
          <w:tcPr>
            <w:tcW w:w="850" w:type="dxa"/>
            <w:vMerge w:val="continue"/>
            <w:vAlign w:val="center"/>
          </w:tcPr>
          <w:p w14:paraId="26EAE073">
            <w:pPr>
              <w:jc w:val="center"/>
              <w:rPr>
                <w:rFonts w:hint="eastAsia" w:ascii="仿宋" w:hAnsi="仿宋" w:eastAsia="仿宋" w:cs="仿宋"/>
                <w:color w:val="auto"/>
                <w:sz w:val="24"/>
                <w:highlight w:val="none"/>
              </w:rPr>
            </w:pPr>
          </w:p>
        </w:tc>
        <w:tc>
          <w:tcPr>
            <w:tcW w:w="913" w:type="dxa"/>
            <w:vMerge w:val="restart"/>
            <w:vAlign w:val="center"/>
          </w:tcPr>
          <w:p w14:paraId="1BB158C6">
            <w:pPr>
              <w:rPr>
                <w:rFonts w:hint="eastAsia" w:ascii="仿宋" w:hAnsi="仿宋" w:eastAsia="仿宋" w:cs="仿宋"/>
                <w:color w:val="auto"/>
                <w:sz w:val="24"/>
                <w:highlight w:val="none"/>
              </w:rPr>
            </w:pPr>
            <w:r>
              <w:rPr>
                <w:rFonts w:hint="eastAsia" w:ascii="仿宋" w:hAnsi="仿宋" w:eastAsia="仿宋" w:cs="仿宋"/>
                <w:color w:val="auto"/>
                <w:sz w:val="24"/>
                <w:highlight w:val="none"/>
              </w:rPr>
              <w:t>供电模块单元（市电）</w:t>
            </w:r>
          </w:p>
        </w:tc>
        <w:tc>
          <w:tcPr>
            <w:tcW w:w="6750" w:type="dxa"/>
            <w:vAlign w:val="center"/>
          </w:tcPr>
          <w:p w14:paraId="7DA75D5C">
            <w:pPr>
              <w:rPr>
                <w:rFonts w:hint="eastAsia" w:ascii="仿宋" w:hAnsi="仿宋" w:eastAsia="仿宋" w:cs="仿宋"/>
                <w:color w:val="auto"/>
                <w:sz w:val="24"/>
                <w:highlight w:val="none"/>
              </w:rPr>
            </w:pPr>
            <w:r>
              <w:rPr>
                <w:rFonts w:hint="eastAsia" w:ascii="仿宋" w:hAnsi="仿宋" w:eastAsia="仿宋" w:cs="仿宋"/>
                <w:color w:val="auto"/>
                <w:sz w:val="24"/>
                <w:highlight w:val="none"/>
              </w:rPr>
              <w:t>1、AC输入范围 90～240AC  AC输入额定电压 220VDC 波纹与噪声 &lt;500Hz  500Hz-150KHz 50KHz-SOOKHz；</w:t>
            </w:r>
          </w:p>
        </w:tc>
        <w:tc>
          <w:tcPr>
            <w:tcW w:w="750" w:type="dxa"/>
            <w:vMerge w:val="restart"/>
            <w:vAlign w:val="center"/>
          </w:tcPr>
          <w:p w14:paraId="18B5882D">
            <w:pPr>
              <w:jc w:val="center"/>
              <w:rPr>
                <w:rFonts w:hint="eastAsia" w:ascii="仿宋" w:hAnsi="仿宋" w:eastAsia="仿宋" w:cs="仿宋"/>
                <w:color w:val="auto"/>
                <w:sz w:val="24"/>
                <w:highlight w:val="none"/>
              </w:rPr>
            </w:pPr>
          </w:p>
          <w:p w14:paraId="0735D7E1">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9套</w:t>
            </w:r>
          </w:p>
        </w:tc>
      </w:tr>
      <w:tr w14:paraId="247B9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1339963">
            <w:pPr>
              <w:jc w:val="center"/>
              <w:rPr>
                <w:rFonts w:hint="eastAsia" w:ascii="仿宋" w:hAnsi="仿宋" w:eastAsia="仿宋" w:cs="仿宋"/>
                <w:color w:val="auto"/>
                <w:sz w:val="24"/>
                <w:highlight w:val="none"/>
              </w:rPr>
            </w:pPr>
          </w:p>
        </w:tc>
        <w:tc>
          <w:tcPr>
            <w:tcW w:w="850" w:type="dxa"/>
            <w:vMerge w:val="continue"/>
            <w:vAlign w:val="center"/>
          </w:tcPr>
          <w:p w14:paraId="23902F74">
            <w:pPr>
              <w:jc w:val="center"/>
              <w:rPr>
                <w:rFonts w:hint="eastAsia" w:ascii="仿宋" w:hAnsi="仿宋" w:eastAsia="仿宋" w:cs="仿宋"/>
                <w:color w:val="auto"/>
                <w:sz w:val="24"/>
                <w:highlight w:val="none"/>
              </w:rPr>
            </w:pPr>
          </w:p>
        </w:tc>
        <w:tc>
          <w:tcPr>
            <w:tcW w:w="913" w:type="dxa"/>
            <w:vMerge w:val="continue"/>
            <w:vAlign w:val="center"/>
          </w:tcPr>
          <w:p w14:paraId="6D79295D">
            <w:pPr>
              <w:jc w:val="center"/>
              <w:rPr>
                <w:rFonts w:hint="eastAsia" w:ascii="仿宋" w:hAnsi="仿宋" w:eastAsia="仿宋" w:cs="仿宋"/>
                <w:color w:val="auto"/>
                <w:sz w:val="24"/>
                <w:highlight w:val="none"/>
              </w:rPr>
            </w:pPr>
          </w:p>
        </w:tc>
        <w:tc>
          <w:tcPr>
            <w:tcW w:w="6750" w:type="dxa"/>
            <w:vAlign w:val="center"/>
          </w:tcPr>
          <w:p w14:paraId="5C34C5C7">
            <w:pPr>
              <w:rPr>
                <w:rFonts w:hint="eastAsia" w:ascii="仿宋" w:hAnsi="仿宋" w:eastAsia="仿宋" w:cs="仿宋"/>
                <w:color w:val="auto"/>
                <w:sz w:val="24"/>
                <w:highlight w:val="none"/>
              </w:rPr>
            </w:pPr>
            <w:r>
              <w:rPr>
                <w:rFonts w:hint="eastAsia" w:ascii="仿宋" w:hAnsi="仿宋" w:eastAsia="仿宋" w:cs="仿宋"/>
                <w:color w:val="auto"/>
                <w:sz w:val="24"/>
                <w:highlight w:val="none"/>
              </w:rPr>
              <w:t>2、负载 最小：0A；最大2.0A 传输速率 1000Mbps；</w:t>
            </w:r>
          </w:p>
        </w:tc>
        <w:tc>
          <w:tcPr>
            <w:tcW w:w="750" w:type="dxa"/>
            <w:vMerge w:val="continue"/>
          </w:tcPr>
          <w:p w14:paraId="6F9439D5">
            <w:pPr>
              <w:rPr>
                <w:rFonts w:hint="eastAsia" w:ascii="仿宋" w:hAnsi="仿宋" w:eastAsia="仿宋" w:cs="仿宋"/>
                <w:color w:val="auto"/>
                <w:sz w:val="24"/>
                <w:highlight w:val="none"/>
              </w:rPr>
            </w:pPr>
          </w:p>
        </w:tc>
      </w:tr>
      <w:tr w14:paraId="6D11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49E7388">
            <w:pPr>
              <w:jc w:val="center"/>
              <w:rPr>
                <w:rFonts w:hint="eastAsia" w:ascii="仿宋" w:hAnsi="仿宋" w:eastAsia="仿宋" w:cs="仿宋"/>
                <w:color w:val="auto"/>
                <w:sz w:val="24"/>
                <w:highlight w:val="none"/>
              </w:rPr>
            </w:pPr>
          </w:p>
        </w:tc>
        <w:tc>
          <w:tcPr>
            <w:tcW w:w="850" w:type="dxa"/>
            <w:vMerge w:val="continue"/>
            <w:vAlign w:val="center"/>
          </w:tcPr>
          <w:p w14:paraId="3DC2F416">
            <w:pPr>
              <w:jc w:val="center"/>
              <w:rPr>
                <w:rFonts w:hint="eastAsia" w:ascii="仿宋" w:hAnsi="仿宋" w:eastAsia="仿宋" w:cs="仿宋"/>
                <w:color w:val="auto"/>
                <w:sz w:val="24"/>
                <w:highlight w:val="none"/>
              </w:rPr>
            </w:pPr>
          </w:p>
        </w:tc>
        <w:tc>
          <w:tcPr>
            <w:tcW w:w="913" w:type="dxa"/>
            <w:vMerge w:val="continue"/>
            <w:vAlign w:val="center"/>
          </w:tcPr>
          <w:p w14:paraId="7B1AB4FF">
            <w:pPr>
              <w:jc w:val="center"/>
              <w:rPr>
                <w:rFonts w:hint="eastAsia" w:ascii="仿宋" w:hAnsi="仿宋" w:eastAsia="仿宋" w:cs="仿宋"/>
                <w:color w:val="auto"/>
                <w:sz w:val="24"/>
                <w:highlight w:val="none"/>
              </w:rPr>
            </w:pPr>
          </w:p>
        </w:tc>
        <w:tc>
          <w:tcPr>
            <w:tcW w:w="6750" w:type="dxa"/>
            <w:vAlign w:val="center"/>
          </w:tcPr>
          <w:p w14:paraId="4A9EA601">
            <w:pPr>
              <w:rPr>
                <w:rFonts w:hint="eastAsia" w:ascii="仿宋" w:hAnsi="仿宋" w:eastAsia="仿宋" w:cs="仿宋"/>
                <w:color w:val="auto"/>
                <w:sz w:val="24"/>
                <w:highlight w:val="none"/>
              </w:rPr>
            </w:pPr>
            <w:r>
              <w:rPr>
                <w:rFonts w:hint="eastAsia" w:ascii="仿宋" w:hAnsi="仿宋" w:eastAsia="仿宋" w:cs="仿宋"/>
                <w:color w:val="auto"/>
                <w:sz w:val="24"/>
                <w:highlight w:val="none"/>
              </w:rPr>
              <w:t>3、保护水平Up 80/20uS,5KA ≤150V；</w:t>
            </w:r>
          </w:p>
        </w:tc>
        <w:tc>
          <w:tcPr>
            <w:tcW w:w="750" w:type="dxa"/>
            <w:vMerge w:val="continue"/>
          </w:tcPr>
          <w:p w14:paraId="43534882">
            <w:pPr>
              <w:rPr>
                <w:rFonts w:hint="eastAsia" w:ascii="仿宋" w:hAnsi="仿宋" w:eastAsia="仿宋" w:cs="仿宋"/>
                <w:color w:val="auto"/>
                <w:sz w:val="24"/>
                <w:highlight w:val="none"/>
              </w:rPr>
            </w:pPr>
          </w:p>
        </w:tc>
      </w:tr>
      <w:tr w14:paraId="40E1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2DDE803">
            <w:pPr>
              <w:jc w:val="center"/>
              <w:rPr>
                <w:rFonts w:hint="eastAsia" w:ascii="仿宋" w:hAnsi="仿宋" w:eastAsia="仿宋" w:cs="仿宋"/>
                <w:color w:val="auto"/>
                <w:sz w:val="24"/>
                <w:highlight w:val="none"/>
              </w:rPr>
            </w:pPr>
          </w:p>
        </w:tc>
        <w:tc>
          <w:tcPr>
            <w:tcW w:w="850" w:type="dxa"/>
            <w:vMerge w:val="continue"/>
            <w:vAlign w:val="center"/>
          </w:tcPr>
          <w:p w14:paraId="261A9348">
            <w:pPr>
              <w:jc w:val="center"/>
              <w:rPr>
                <w:rFonts w:hint="eastAsia" w:ascii="仿宋" w:hAnsi="仿宋" w:eastAsia="仿宋" w:cs="仿宋"/>
                <w:color w:val="auto"/>
                <w:sz w:val="24"/>
                <w:highlight w:val="none"/>
              </w:rPr>
            </w:pPr>
          </w:p>
        </w:tc>
        <w:tc>
          <w:tcPr>
            <w:tcW w:w="913" w:type="dxa"/>
            <w:vMerge w:val="continue"/>
            <w:vAlign w:val="center"/>
          </w:tcPr>
          <w:p w14:paraId="649102FA">
            <w:pPr>
              <w:jc w:val="center"/>
              <w:rPr>
                <w:rFonts w:hint="eastAsia" w:ascii="仿宋" w:hAnsi="仿宋" w:eastAsia="仿宋" w:cs="仿宋"/>
                <w:color w:val="auto"/>
                <w:sz w:val="24"/>
                <w:highlight w:val="none"/>
              </w:rPr>
            </w:pPr>
          </w:p>
        </w:tc>
        <w:tc>
          <w:tcPr>
            <w:tcW w:w="6750" w:type="dxa"/>
            <w:vAlign w:val="center"/>
          </w:tcPr>
          <w:p w14:paraId="2A2C1826">
            <w:pPr>
              <w:rPr>
                <w:rFonts w:hint="eastAsia" w:ascii="仿宋" w:hAnsi="仿宋" w:eastAsia="仿宋" w:cs="仿宋"/>
                <w:color w:val="auto"/>
                <w:sz w:val="24"/>
                <w:highlight w:val="none"/>
              </w:rPr>
            </w:pPr>
            <w:r>
              <w:rPr>
                <w:rFonts w:hint="eastAsia" w:ascii="仿宋" w:hAnsi="仿宋" w:eastAsia="仿宋" w:cs="仿宋"/>
                <w:color w:val="auto"/>
                <w:sz w:val="24"/>
                <w:highlight w:val="none"/>
              </w:rPr>
              <w:t>4、标称放电电流 （80/20uS）：5KA；</w:t>
            </w:r>
          </w:p>
        </w:tc>
        <w:tc>
          <w:tcPr>
            <w:tcW w:w="750" w:type="dxa"/>
            <w:vMerge w:val="continue"/>
          </w:tcPr>
          <w:p w14:paraId="78A72FC9">
            <w:pPr>
              <w:rPr>
                <w:rFonts w:hint="eastAsia" w:ascii="仿宋" w:hAnsi="仿宋" w:eastAsia="仿宋" w:cs="仿宋"/>
                <w:color w:val="auto"/>
                <w:sz w:val="24"/>
                <w:highlight w:val="none"/>
              </w:rPr>
            </w:pPr>
          </w:p>
        </w:tc>
      </w:tr>
      <w:tr w14:paraId="207B5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850DD7A">
            <w:pPr>
              <w:jc w:val="center"/>
              <w:rPr>
                <w:rFonts w:hint="eastAsia" w:ascii="仿宋" w:hAnsi="仿宋" w:eastAsia="仿宋" w:cs="仿宋"/>
                <w:color w:val="auto"/>
                <w:sz w:val="24"/>
                <w:highlight w:val="none"/>
              </w:rPr>
            </w:pPr>
          </w:p>
        </w:tc>
        <w:tc>
          <w:tcPr>
            <w:tcW w:w="850" w:type="dxa"/>
            <w:vMerge w:val="continue"/>
            <w:vAlign w:val="center"/>
          </w:tcPr>
          <w:p w14:paraId="714D4FF5">
            <w:pPr>
              <w:jc w:val="center"/>
              <w:rPr>
                <w:rFonts w:hint="eastAsia" w:ascii="仿宋" w:hAnsi="仿宋" w:eastAsia="仿宋" w:cs="仿宋"/>
                <w:color w:val="auto"/>
                <w:sz w:val="24"/>
                <w:highlight w:val="none"/>
              </w:rPr>
            </w:pPr>
          </w:p>
        </w:tc>
        <w:tc>
          <w:tcPr>
            <w:tcW w:w="913" w:type="dxa"/>
            <w:vMerge w:val="continue"/>
            <w:vAlign w:val="center"/>
          </w:tcPr>
          <w:p w14:paraId="3E016483">
            <w:pPr>
              <w:jc w:val="center"/>
              <w:rPr>
                <w:rFonts w:hint="eastAsia" w:ascii="仿宋" w:hAnsi="仿宋" w:eastAsia="仿宋" w:cs="仿宋"/>
                <w:color w:val="auto"/>
                <w:sz w:val="24"/>
                <w:highlight w:val="none"/>
              </w:rPr>
            </w:pPr>
          </w:p>
        </w:tc>
        <w:tc>
          <w:tcPr>
            <w:tcW w:w="6750" w:type="dxa"/>
            <w:vAlign w:val="center"/>
          </w:tcPr>
          <w:p w14:paraId="5679CED4">
            <w:pPr>
              <w:rPr>
                <w:rFonts w:hint="eastAsia" w:ascii="仿宋" w:hAnsi="仿宋" w:eastAsia="仿宋" w:cs="仿宋"/>
                <w:color w:val="auto"/>
                <w:sz w:val="24"/>
                <w:highlight w:val="none"/>
              </w:rPr>
            </w:pPr>
            <w:r>
              <w:rPr>
                <w:rFonts w:hint="eastAsia" w:ascii="仿宋" w:hAnsi="仿宋" w:eastAsia="仿宋" w:cs="仿宋"/>
                <w:color w:val="auto"/>
                <w:sz w:val="24"/>
                <w:highlight w:val="none"/>
              </w:rPr>
              <w:t>5、工作温度 工作温度：-40 ～ 50° 储存温度 -45 ～ 65℃ ；</w:t>
            </w:r>
          </w:p>
        </w:tc>
        <w:tc>
          <w:tcPr>
            <w:tcW w:w="750" w:type="dxa"/>
            <w:vMerge w:val="continue"/>
          </w:tcPr>
          <w:p w14:paraId="1A0081AC">
            <w:pPr>
              <w:rPr>
                <w:rFonts w:hint="eastAsia" w:ascii="仿宋" w:hAnsi="仿宋" w:eastAsia="仿宋" w:cs="仿宋"/>
                <w:color w:val="auto"/>
                <w:sz w:val="24"/>
                <w:highlight w:val="none"/>
              </w:rPr>
            </w:pPr>
          </w:p>
        </w:tc>
      </w:tr>
      <w:tr w14:paraId="208E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5E3B721">
            <w:pPr>
              <w:jc w:val="center"/>
              <w:rPr>
                <w:rFonts w:hint="eastAsia" w:ascii="仿宋" w:hAnsi="仿宋" w:eastAsia="仿宋" w:cs="仿宋"/>
                <w:color w:val="auto"/>
                <w:sz w:val="24"/>
                <w:highlight w:val="none"/>
              </w:rPr>
            </w:pPr>
          </w:p>
        </w:tc>
        <w:tc>
          <w:tcPr>
            <w:tcW w:w="850" w:type="dxa"/>
            <w:vMerge w:val="continue"/>
            <w:vAlign w:val="center"/>
          </w:tcPr>
          <w:p w14:paraId="7BF52E8C">
            <w:pPr>
              <w:jc w:val="center"/>
              <w:rPr>
                <w:rFonts w:hint="eastAsia" w:ascii="仿宋" w:hAnsi="仿宋" w:eastAsia="仿宋" w:cs="仿宋"/>
                <w:color w:val="auto"/>
                <w:sz w:val="24"/>
                <w:highlight w:val="none"/>
              </w:rPr>
            </w:pPr>
          </w:p>
        </w:tc>
        <w:tc>
          <w:tcPr>
            <w:tcW w:w="913" w:type="dxa"/>
            <w:vAlign w:val="center"/>
          </w:tcPr>
          <w:p w14:paraId="0807AE98">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防雷器</w:t>
            </w:r>
          </w:p>
        </w:tc>
        <w:tc>
          <w:tcPr>
            <w:tcW w:w="6750" w:type="dxa"/>
            <w:vAlign w:val="center"/>
          </w:tcPr>
          <w:p w14:paraId="29C1A8E7">
            <w:pPr>
              <w:rPr>
                <w:rFonts w:hint="eastAsia" w:ascii="仿宋" w:hAnsi="仿宋" w:eastAsia="仿宋" w:cs="仿宋"/>
                <w:color w:val="auto"/>
                <w:sz w:val="24"/>
                <w:highlight w:val="none"/>
              </w:rPr>
            </w:pPr>
            <w:r>
              <w:rPr>
                <w:rFonts w:hint="eastAsia" w:ascii="仿宋" w:hAnsi="仿宋" w:eastAsia="仿宋" w:cs="仿宋"/>
                <w:color w:val="auto"/>
                <w:sz w:val="24"/>
                <w:highlight w:val="none"/>
              </w:rPr>
              <w:t>RJ45,100M网络防雷器</w:t>
            </w:r>
          </w:p>
        </w:tc>
        <w:tc>
          <w:tcPr>
            <w:tcW w:w="750" w:type="dxa"/>
            <w:vAlign w:val="center"/>
          </w:tcPr>
          <w:p w14:paraId="05797BCA">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18个</w:t>
            </w:r>
          </w:p>
        </w:tc>
      </w:tr>
      <w:tr w14:paraId="3415B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CB629FE">
            <w:pPr>
              <w:jc w:val="center"/>
              <w:rPr>
                <w:rFonts w:hint="eastAsia" w:ascii="仿宋" w:hAnsi="仿宋" w:eastAsia="仿宋" w:cs="仿宋"/>
                <w:color w:val="auto"/>
                <w:sz w:val="24"/>
                <w:highlight w:val="none"/>
              </w:rPr>
            </w:pPr>
          </w:p>
        </w:tc>
        <w:tc>
          <w:tcPr>
            <w:tcW w:w="850" w:type="dxa"/>
            <w:vMerge w:val="continue"/>
            <w:vAlign w:val="center"/>
          </w:tcPr>
          <w:p w14:paraId="1375AFA5">
            <w:pPr>
              <w:jc w:val="center"/>
              <w:rPr>
                <w:rFonts w:hint="eastAsia" w:ascii="仿宋" w:hAnsi="仿宋" w:eastAsia="仿宋" w:cs="仿宋"/>
                <w:color w:val="auto"/>
                <w:sz w:val="24"/>
                <w:highlight w:val="none"/>
              </w:rPr>
            </w:pPr>
          </w:p>
        </w:tc>
        <w:tc>
          <w:tcPr>
            <w:tcW w:w="913" w:type="dxa"/>
            <w:vAlign w:val="center"/>
          </w:tcPr>
          <w:p w14:paraId="24E01387">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光纤收发器</w:t>
            </w:r>
          </w:p>
        </w:tc>
        <w:tc>
          <w:tcPr>
            <w:tcW w:w="6750" w:type="dxa"/>
            <w:vAlign w:val="center"/>
          </w:tcPr>
          <w:p w14:paraId="4359D991">
            <w:pPr>
              <w:rPr>
                <w:rFonts w:hint="eastAsia" w:ascii="仿宋" w:hAnsi="仿宋" w:eastAsia="仿宋" w:cs="仿宋"/>
                <w:color w:val="auto"/>
                <w:sz w:val="24"/>
                <w:highlight w:val="none"/>
              </w:rPr>
            </w:pPr>
            <w:r>
              <w:rPr>
                <w:rFonts w:hint="eastAsia" w:ascii="仿宋" w:hAnsi="仿宋" w:eastAsia="仿宋" w:cs="仿宋"/>
                <w:color w:val="auto"/>
                <w:sz w:val="24"/>
                <w:highlight w:val="none"/>
              </w:rPr>
              <w:t>传输距离不低于3km、千兆电口、千兆光口、SC接口、自带电源适配器</w:t>
            </w:r>
          </w:p>
        </w:tc>
        <w:tc>
          <w:tcPr>
            <w:tcW w:w="750" w:type="dxa"/>
            <w:vAlign w:val="center"/>
          </w:tcPr>
          <w:p w14:paraId="68FC5A01">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18台</w:t>
            </w:r>
          </w:p>
        </w:tc>
      </w:tr>
      <w:tr w14:paraId="0F87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40763A26">
            <w:pPr>
              <w:jc w:val="center"/>
              <w:rPr>
                <w:rFonts w:hint="eastAsia" w:ascii="仿宋" w:hAnsi="仿宋" w:eastAsia="仿宋" w:cs="仿宋"/>
                <w:color w:val="auto"/>
                <w:sz w:val="24"/>
                <w:highlight w:val="none"/>
              </w:rPr>
            </w:pPr>
          </w:p>
        </w:tc>
        <w:tc>
          <w:tcPr>
            <w:tcW w:w="850" w:type="dxa"/>
            <w:vMerge w:val="continue"/>
            <w:vAlign w:val="center"/>
          </w:tcPr>
          <w:p w14:paraId="12A19135">
            <w:pPr>
              <w:jc w:val="center"/>
              <w:rPr>
                <w:rFonts w:hint="eastAsia" w:ascii="仿宋" w:hAnsi="仿宋" w:eastAsia="仿宋" w:cs="仿宋"/>
                <w:color w:val="auto"/>
                <w:sz w:val="24"/>
                <w:highlight w:val="none"/>
              </w:rPr>
            </w:pPr>
          </w:p>
        </w:tc>
        <w:tc>
          <w:tcPr>
            <w:tcW w:w="913" w:type="dxa"/>
            <w:vAlign w:val="center"/>
          </w:tcPr>
          <w:p w14:paraId="5B4C6A14">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辅材</w:t>
            </w:r>
          </w:p>
        </w:tc>
        <w:tc>
          <w:tcPr>
            <w:tcW w:w="6750" w:type="dxa"/>
            <w:vAlign w:val="center"/>
          </w:tcPr>
          <w:p w14:paraId="1D8E7A94">
            <w:pPr>
              <w:rPr>
                <w:rFonts w:hint="eastAsia" w:ascii="仿宋" w:hAnsi="仿宋" w:eastAsia="仿宋" w:cs="仿宋"/>
                <w:color w:val="auto"/>
                <w:sz w:val="24"/>
                <w:highlight w:val="none"/>
              </w:rPr>
            </w:pPr>
            <w:r>
              <w:rPr>
                <w:rFonts w:hint="eastAsia" w:ascii="仿宋" w:hAnsi="仿宋" w:eastAsia="仿宋" w:cs="仿宋"/>
                <w:color w:val="auto"/>
                <w:sz w:val="24"/>
                <w:highlight w:val="none"/>
              </w:rPr>
              <w:t>1、螺栓、螺母、垫片、室外阻水五类双绞线、U 型抱箍、防水胶带、铜质地线等根据无线传输实际需求配备。</w:t>
            </w:r>
          </w:p>
        </w:tc>
        <w:tc>
          <w:tcPr>
            <w:tcW w:w="750" w:type="dxa"/>
            <w:vAlign w:val="center"/>
          </w:tcPr>
          <w:p w14:paraId="7E013629">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1批</w:t>
            </w:r>
          </w:p>
        </w:tc>
      </w:tr>
      <w:tr w14:paraId="4C7E1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512" w:type="dxa"/>
            <w:vMerge w:val="restart"/>
            <w:vAlign w:val="center"/>
          </w:tcPr>
          <w:p w14:paraId="6596B05D">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50" w:type="dxa"/>
            <w:vMerge w:val="restart"/>
            <w:vAlign w:val="center"/>
          </w:tcPr>
          <w:p w14:paraId="60F8C397">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信号</w:t>
            </w:r>
          </w:p>
          <w:p w14:paraId="42744F99">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传输</w:t>
            </w:r>
          </w:p>
          <w:p w14:paraId="031E6EF6">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系统（市电）</w:t>
            </w:r>
          </w:p>
        </w:tc>
        <w:tc>
          <w:tcPr>
            <w:tcW w:w="913" w:type="dxa"/>
            <w:vMerge w:val="restart"/>
            <w:vAlign w:val="center"/>
          </w:tcPr>
          <w:p w14:paraId="419386B1">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工业以</w:t>
            </w:r>
          </w:p>
          <w:p w14:paraId="53A31E67">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太网交换机（光口、网管百兆）</w:t>
            </w:r>
          </w:p>
        </w:tc>
        <w:tc>
          <w:tcPr>
            <w:tcW w:w="6750" w:type="dxa"/>
          </w:tcPr>
          <w:p w14:paraId="33D227B1">
            <w:pPr>
              <w:rPr>
                <w:rFonts w:hint="eastAsia" w:ascii="仿宋" w:hAnsi="仿宋" w:eastAsia="仿宋" w:cs="仿宋"/>
                <w:color w:val="auto"/>
                <w:sz w:val="24"/>
                <w:highlight w:val="none"/>
              </w:rPr>
            </w:pPr>
            <w:r>
              <w:rPr>
                <w:rFonts w:hint="eastAsia" w:ascii="仿宋" w:hAnsi="仿宋" w:eastAsia="仿宋" w:cs="仿宋"/>
                <w:color w:val="auto"/>
                <w:sz w:val="24"/>
                <w:highlight w:val="none"/>
              </w:rPr>
              <w:t>MAC地址表：2K；数据包缓存：1Mbit；处理方式：存储转发；</w:t>
            </w:r>
          </w:p>
          <w:p w14:paraId="204975B6">
            <w:pPr>
              <w:rPr>
                <w:rFonts w:hint="eastAsia" w:ascii="仿宋" w:hAnsi="仿宋" w:eastAsia="仿宋" w:cs="仿宋"/>
                <w:color w:val="auto"/>
                <w:sz w:val="24"/>
                <w:highlight w:val="none"/>
              </w:rPr>
            </w:pPr>
            <w:r>
              <w:rPr>
                <w:rFonts w:hint="eastAsia" w:ascii="仿宋" w:hAnsi="仿宋" w:eastAsia="仿宋" w:cs="仿宋"/>
                <w:color w:val="auto"/>
                <w:sz w:val="24"/>
                <w:highlight w:val="none"/>
              </w:rPr>
              <w:t>RJ45端口数：6个；光口数：2个；光口传输距离：单模40km；支持IEEE802.3、IEEE802.3u、IEEE802.3x等协议，EMC认证：CE、FCC；MTBF：380000h；</w:t>
            </w:r>
          </w:p>
        </w:tc>
        <w:tc>
          <w:tcPr>
            <w:tcW w:w="750" w:type="dxa"/>
            <w:vMerge w:val="restart"/>
            <w:vAlign w:val="center"/>
          </w:tcPr>
          <w:p w14:paraId="3D359ABD">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21台</w:t>
            </w:r>
          </w:p>
        </w:tc>
      </w:tr>
      <w:tr w14:paraId="50DF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BBB7951">
            <w:pPr>
              <w:jc w:val="center"/>
              <w:rPr>
                <w:rFonts w:hint="eastAsia" w:ascii="仿宋" w:hAnsi="仿宋" w:eastAsia="仿宋" w:cs="仿宋"/>
                <w:color w:val="auto"/>
                <w:sz w:val="24"/>
                <w:highlight w:val="none"/>
              </w:rPr>
            </w:pPr>
          </w:p>
        </w:tc>
        <w:tc>
          <w:tcPr>
            <w:tcW w:w="850" w:type="dxa"/>
            <w:vMerge w:val="continue"/>
            <w:vAlign w:val="center"/>
          </w:tcPr>
          <w:p w14:paraId="0229C78F">
            <w:pPr>
              <w:jc w:val="center"/>
              <w:rPr>
                <w:rFonts w:hint="eastAsia" w:ascii="仿宋" w:hAnsi="仿宋" w:eastAsia="仿宋" w:cs="仿宋"/>
                <w:color w:val="auto"/>
                <w:sz w:val="24"/>
                <w:highlight w:val="none"/>
              </w:rPr>
            </w:pPr>
          </w:p>
        </w:tc>
        <w:tc>
          <w:tcPr>
            <w:tcW w:w="913" w:type="dxa"/>
            <w:vMerge w:val="restart"/>
            <w:vAlign w:val="center"/>
          </w:tcPr>
          <w:p w14:paraId="17D97618">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千兆光模块</w:t>
            </w:r>
          </w:p>
        </w:tc>
        <w:tc>
          <w:tcPr>
            <w:tcW w:w="6750" w:type="dxa"/>
          </w:tcPr>
          <w:p w14:paraId="0C943298">
            <w:pPr>
              <w:rPr>
                <w:rFonts w:hint="eastAsia" w:ascii="仿宋" w:hAnsi="仿宋" w:eastAsia="仿宋" w:cs="仿宋"/>
                <w:color w:val="auto"/>
                <w:sz w:val="24"/>
                <w:highlight w:val="none"/>
              </w:rPr>
            </w:pPr>
            <w:r>
              <w:rPr>
                <w:rFonts w:hint="eastAsia" w:ascii="仿宋" w:hAnsi="仿宋" w:eastAsia="仿宋" w:cs="仿宋"/>
                <w:color w:val="auto"/>
                <w:sz w:val="24"/>
                <w:highlight w:val="none"/>
              </w:rPr>
              <w:t>1 ）单模；</w:t>
            </w:r>
          </w:p>
        </w:tc>
        <w:tc>
          <w:tcPr>
            <w:tcW w:w="750" w:type="dxa"/>
            <w:vMerge w:val="restart"/>
            <w:vAlign w:val="center"/>
          </w:tcPr>
          <w:p w14:paraId="2C659A5B">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42块</w:t>
            </w:r>
          </w:p>
        </w:tc>
      </w:tr>
      <w:tr w14:paraId="2EEC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251331B9">
            <w:pPr>
              <w:jc w:val="center"/>
              <w:rPr>
                <w:rFonts w:hint="eastAsia" w:ascii="仿宋" w:hAnsi="仿宋" w:eastAsia="仿宋" w:cs="仿宋"/>
                <w:color w:val="auto"/>
                <w:sz w:val="24"/>
                <w:highlight w:val="none"/>
              </w:rPr>
            </w:pPr>
          </w:p>
        </w:tc>
        <w:tc>
          <w:tcPr>
            <w:tcW w:w="850" w:type="dxa"/>
            <w:vMerge w:val="continue"/>
            <w:vAlign w:val="center"/>
          </w:tcPr>
          <w:p w14:paraId="6C674718">
            <w:pPr>
              <w:jc w:val="center"/>
              <w:rPr>
                <w:rFonts w:hint="eastAsia" w:ascii="仿宋" w:hAnsi="仿宋" w:eastAsia="仿宋" w:cs="仿宋"/>
                <w:color w:val="auto"/>
                <w:sz w:val="24"/>
                <w:highlight w:val="none"/>
              </w:rPr>
            </w:pPr>
          </w:p>
        </w:tc>
        <w:tc>
          <w:tcPr>
            <w:tcW w:w="913" w:type="dxa"/>
            <w:vMerge w:val="continue"/>
            <w:vAlign w:val="center"/>
          </w:tcPr>
          <w:p w14:paraId="511F4919">
            <w:pPr>
              <w:jc w:val="center"/>
              <w:rPr>
                <w:rFonts w:hint="eastAsia" w:ascii="仿宋" w:hAnsi="仿宋" w:eastAsia="仿宋" w:cs="仿宋"/>
                <w:color w:val="auto"/>
                <w:sz w:val="24"/>
                <w:highlight w:val="none"/>
              </w:rPr>
            </w:pPr>
          </w:p>
        </w:tc>
        <w:tc>
          <w:tcPr>
            <w:tcW w:w="6750" w:type="dxa"/>
          </w:tcPr>
          <w:p w14:paraId="384414C8">
            <w:pPr>
              <w:rPr>
                <w:rFonts w:hint="eastAsia" w:ascii="仿宋" w:hAnsi="仿宋" w:eastAsia="仿宋" w:cs="仿宋"/>
                <w:color w:val="auto"/>
                <w:sz w:val="24"/>
                <w:highlight w:val="none"/>
              </w:rPr>
            </w:pPr>
            <w:r>
              <w:rPr>
                <w:rFonts w:hint="eastAsia" w:ascii="仿宋" w:hAnsi="仿宋" w:eastAsia="仿宋" w:cs="仿宋"/>
                <w:color w:val="auto"/>
                <w:sz w:val="24"/>
                <w:highlight w:val="none"/>
              </w:rPr>
              <w:t>2）双纤；</w:t>
            </w:r>
          </w:p>
        </w:tc>
        <w:tc>
          <w:tcPr>
            <w:tcW w:w="750" w:type="dxa"/>
            <w:vMerge w:val="continue"/>
            <w:vAlign w:val="center"/>
          </w:tcPr>
          <w:p w14:paraId="26DE0830">
            <w:pPr>
              <w:jc w:val="center"/>
              <w:rPr>
                <w:rFonts w:hint="eastAsia" w:ascii="仿宋" w:hAnsi="仿宋" w:eastAsia="仿宋" w:cs="仿宋"/>
                <w:color w:val="auto"/>
                <w:sz w:val="24"/>
                <w:highlight w:val="none"/>
              </w:rPr>
            </w:pPr>
          </w:p>
        </w:tc>
      </w:tr>
      <w:tr w14:paraId="28E73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4E07F879">
            <w:pPr>
              <w:jc w:val="center"/>
              <w:rPr>
                <w:rFonts w:hint="eastAsia" w:ascii="仿宋" w:hAnsi="仿宋" w:eastAsia="仿宋" w:cs="仿宋"/>
                <w:color w:val="auto"/>
                <w:sz w:val="24"/>
                <w:highlight w:val="none"/>
              </w:rPr>
            </w:pPr>
          </w:p>
        </w:tc>
        <w:tc>
          <w:tcPr>
            <w:tcW w:w="850" w:type="dxa"/>
            <w:vMerge w:val="continue"/>
            <w:vAlign w:val="center"/>
          </w:tcPr>
          <w:p w14:paraId="22D40D5B">
            <w:pPr>
              <w:jc w:val="center"/>
              <w:rPr>
                <w:rFonts w:hint="eastAsia" w:ascii="仿宋" w:hAnsi="仿宋" w:eastAsia="仿宋" w:cs="仿宋"/>
                <w:color w:val="auto"/>
                <w:sz w:val="24"/>
                <w:highlight w:val="none"/>
              </w:rPr>
            </w:pPr>
          </w:p>
        </w:tc>
        <w:tc>
          <w:tcPr>
            <w:tcW w:w="913" w:type="dxa"/>
            <w:vMerge w:val="continue"/>
            <w:vAlign w:val="center"/>
          </w:tcPr>
          <w:p w14:paraId="3C1115E7">
            <w:pPr>
              <w:jc w:val="center"/>
              <w:rPr>
                <w:rFonts w:hint="eastAsia" w:ascii="仿宋" w:hAnsi="仿宋" w:eastAsia="仿宋" w:cs="仿宋"/>
                <w:color w:val="auto"/>
                <w:sz w:val="24"/>
                <w:highlight w:val="none"/>
              </w:rPr>
            </w:pPr>
          </w:p>
        </w:tc>
        <w:tc>
          <w:tcPr>
            <w:tcW w:w="6750" w:type="dxa"/>
          </w:tcPr>
          <w:p w14:paraId="76822172">
            <w:pPr>
              <w:rPr>
                <w:rFonts w:hint="eastAsia" w:ascii="仿宋" w:hAnsi="仿宋" w:eastAsia="仿宋" w:cs="仿宋"/>
                <w:color w:val="auto"/>
                <w:sz w:val="24"/>
                <w:highlight w:val="none"/>
              </w:rPr>
            </w:pPr>
            <w:r>
              <w:rPr>
                <w:rFonts w:hint="eastAsia" w:ascii="仿宋" w:hAnsi="仿宋" w:eastAsia="仿宋" w:cs="仿宋"/>
                <w:color w:val="auto"/>
                <w:sz w:val="24"/>
                <w:highlight w:val="none"/>
              </w:rPr>
              <w:t>3）LC 接 口；</w:t>
            </w:r>
          </w:p>
        </w:tc>
        <w:tc>
          <w:tcPr>
            <w:tcW w:w="750" w:type="dxa"/>
            <w:vMerge w:val="continue"/>
            <w:vAlign w:val="center"/>
          </w:tcPr>
          <w:p w14:paraId="794A0D25">
            <w:pPr>
              <w:jc w:val="center"/>
              <w:rPr>
                <w:rFonts w:hint="eastAsia" w:ascii="仿宋" w:hAnsi="仿宋" w:eastAsia="仿宋" w:cs="仿宋"/>
                <w:color w:val="auto"/>
                <w:sz w:val="24"/>
                <w:highlight w:val="none"/>
              </w:rPr>
            </w:pPr>
          </w:p>
        </w:tc>
      </w:tr>
      <w:tr w14:paraId="1CD9E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488F5EBA">
            <w:pPr>
              <w:jc w:val="center"/>
              <w:rPr>
                <w:rFonts w:hint="eastAsia" w:ascii="仿宋" w:hAnsi="仿宋" w:eastAsia="仿宋" w:cs="仿宋"/>
                <w:color w:val="auto"/>
                <w:sz w:val="24"/>
                <w:highlight w:val="none"/>
              </w:rPr>
            </w:pPr>
          </w:p>
        </w:tc>
        <w:tc>
          <w:tcPr>
            <w:tcW w:w="850" w:type="dxa"/>
            <w:vMerge w:val="continue"/>
            <w:vAlign w:val="center"/>
          </w:tcPr>
          <w:p w14:paraId="3F31DD89">
            <w:pPr>
              <w:jc w:val="center"/>
              <w:rPr>
                <w:rFonts w:hint="eastAsia" w:ascii="仿宋" w:hAnsi="仿宋" w:eastAsia="仿宋" w:cs="仿宋"/>
                <w:color w:val="auto"/>
                <w:sz w:val="24"/>
                <w:highlight w:val="none"/>
              </w:rPr>
            </w:pPr>
          </w:p>
        </w:tc>
        <w:tc>
          <w:tcPr>
            <w:tcW w:w="913" w:type="dxa"/>
            <w:vMerge w:val="continue"/>
            <w:vAlign w:val="center"/>
          </w:tcPr>
          <w:p w14:paraId="770CB40C">
            <w:pPr>
              <w:jc w:val="center"/>
              <w:rPr>
                <w:rFonts w:hint="eastAsia" w:ascii="仿宋" w:hAnsi="仿宋" w:eastAsia="仿宋" w:cs="仿宋"/>
                <w:color w:val="auto"/>
                <w:sz w:val="24"/>
                <w:highlight w:val="none"/>
              </w:rPr>
            </w:pPr>
          </w:p>
        </w:tc>
        <w:tc>
          <w:tcPr>
            <w:tcW w:w="6750" w:type="dxa"/>
          </w:tcPr>
          <w:p w14:paraId="3D64240D">
            <w:pPr>
              <w:rPr>
                <w:rFonts w:hint="eastAsia" w:ascii="仿宋" w:hAnsi="仿宋" w:eastAsia="仿宋" w:cs="仿宋"/>
                <w:color w:val="auto"/>
                <w:sz w:val="24"/>
                <w:highlight w:val="none"/>
              </w:rPr>
            </w:pPr>
            <w:r>
              <w:rPr>
                <w:rFonts w:hint="eastAsia" w:ascii="仿宋" w:hAnsi="仿宋" w:eastAsia="仿宋" w:cs="仿宋"/>
                <w:color w:val="auto"/>
                <w:sz w:val="24"/>
                <w:highlight w:val="none"/>
              </w:rPr>
              <w:t>4）10 公里</w:t>
            </w:r>
          </w:p>
        </w:tc>
        <w:tc>
          <w:tcPr>
            <w:tcW w:w="750" w:type="dxa"/>
            <w:vMerge w:val="continue"/>
            <w:vAlign w:val="center"/>
          </w:tcPr>
          <w:p w14:paraId="45C7CB95">
            <w:pPr>
              <w:jc w:val="center"/>
              <w:rPr>
                <w:rFonts w:hint="eastAsia" w:ascii="仿宋" w:hAnsi="仿宋" w:eastAsia="仿宋" w:cs="仿宋"/>
                <w:color w:val="auto"/>
                <w:sz w:val="24"/>
                <w:highlight w:val="none"/>
              </w:rPr>
            </w:pPr>
          </w:p>
        </w:tc>
      </w:tr>
      <w:tr w14:paraId="007C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6EFA5C8C">
            <w:pPr>
              <w:jc w:val="center"/>
              <w:rPr>
                <w:rFonts w:hint="eastAsia" w:ascii="仿宋" w:hAnsi="仿宋" w:eastAsia="仿宋" w:cs="仿宋"/>
                <w:color w:val="auto"/>
                <w:sz w:val="24"/>
                <w:highlight w:val="none"/>
              </w:rPr>
            </w:pPr>
          </w:p>
        </w:tc>
        <w:tc>
          <w:tcPr>
            <w:tcW w:w="850" w:type="dxa"/>
            <w:vMerge w:val="continue"/>
            <w:vAlign w:val="center"/>
          </w:tcPr>
          <w:p w14:paraId="15BD65A4">
            <w:pPr>
              <w:jc w:val="center"/>
              <w:rPr>
                <w:rFonts w:hint="eastAsia" w:ascii="仿宋" w:hAnsi="仿宋" w:eastAsia="仿宋" w:cs="仿宋"/>
                <w:color w:val="auto"/>
                <w:sz w:val="24"/>
                <w:highlight w:val="none"/>
              </w:rPr>
            </w:pPr>
          </w:p>
        </w:tc>
        <w:tc>
          <w:tcPr>
            <w:tcW w:w="913" w:type="dxa"/>
            <w:vMerge w:val="restart"/>
            <w:vAlign w:val="center"/>
          </w:tcPr>
          <w:p w14:paraId="1DF104F2">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传输网络</w:t>
            </w:r>
          </w:p>
        </w:tc>
        <w:tc>
          <w:tcPr>
            <w:tcW w:w="6750" w:type="dxa"/>
          </w:tcPr>
          <w:p w14:paraId="42576C84">
            <w:pPr>
              <w:rPr>
                <w:rFonts w:hint="eastAsia" w:ascii="仿宋" w:hAnsi="仿宋" w:eastAsia="仿宋" w:cs="仿宋"/>
                <w:color w:val="auto"/>
                <w:sz w:val="24"/>
                <w:highlight w:val="none"/>
              </w:rPr>
            </w:pPr>
            <w:r>
              <w:rPr>
                <w:rFonts w:hint="eastAsia" w:ascii="仿宋" w:hAnsi="仿宋" w:eastAsia="仿宋" w:cs="仿宋"/>
                <w:color w:val="auto"/>
                <w:sz w:val="24"/>
                <w:highlight w:val="none"/>
              </w:rPr>
              <w:t>1、带宽配置：21条独立数字电路，单条20Mbit/s独占带宽，保障高清监控视频实时上传。</w:t>
            </w:r>
          </w:p>
        </w:tc>
        <w:tc>
          <w:tcPr>
            <w:tcW w:w="750" w:type="dxa"/>
            <w:vMerge w:val="restart"/>
            <w:vAlign w:val="center"/>
          </w:tcPr>
          <w:p w14:paraId="2EEACB10">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1年</w:t>
            </w:r>
          </w:p>
        </w:tc>
      </w:tr>
      <w:tr w14:paraId="4173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2AD2798">
            <w:pPr>
              <w:jc w:val="center"/>
              <w:rPr>
                <w:rFonts w:hint="eastAsia" w:ascii="仿宋" w:hAnsi="仿宋" w:eastAsia="仿宋" w:cs="仿宋"/>
                <w:color w:val="auto"/>
                <w:sz w:val="24"/>
                <w:highlight w:val="none"/>
              </w:rPr>
            </w:pPr>
          </w:p>
        </w:tc>
        <w:tc>
          <w:tcPr>
            <w:tcW w:w="850" w:type="dxa"/>
            <w:vMerge w:val="continue"/>
            <w:vAlign w:val="center"/>
          </w:tcPr>
          <w:p w14:paraId="57D4D5E0">
            <w:pPr>
              <w:jc w:val="center"/>
              <w:rPr>
                <w:rFonts w:hint="eastAsia" w:ascii="仿宋" w:hAnsi="仿宋" w:eastAsia="仿宋" w:cs="仿宋"/>
                <w:color w:val="auto"/>
                <w:sz w:val="24"/>
                <w:highlight w:val="none"/>
              </w:rPr>
            </w:pPr>
          </w:p>
        </w:tc>
        <w:tc>
          <w:tcPr>
            <w:tcW w:w="913" w:type="dxa"/>
            <w:vMerge w:val="continue"/>
            <w:vAlign w:val="center"/>
          </w:tcPr>
          <w:p w14:paraId="1B1DC7A5">
            <w:pPr>
              <w:jc w:val="center"/>
              <w:rPr>
                <w:rFonts w:hint="eastAsia" w:ascii="仿宋" w:hAnsi="仿宋" w:eastAsia="仿宋" w:cs="仿宋"/>
                <w:color w:val="auto"/>
                <w:sz w:val="24"/>
                <w:highlight w:val="none"/>
              </w:rPr>
            </w:pPr>
          </w:p>
        </w:tc>
        <w:tc>
          <w:tcPr>
            <w:tcW w:w="6750" w:type="dxa"/>
          </w:tcPr>
          <w:p w14:paraId="6080D38A">
            <w:pPr>
              <w:rPr>
                <w:rFonts w:hint="eastAsia" w:ascii="仿宋" w:hAnsi="仿宋" w:eastAsia="仿宋" w:cs="仿宋"/>
                <w:color w:val="auto"/>
                <w:sz w:val="24"/>
                <w:highlight w:val="none"/>
              </w:rPr>
            </w:pPr>
            <w:r>
              <w:rPr>
                <w:rFonts w:hint="eastAsia" w:ascii="仿宋" w:hAnsi="仿宋" w:eastAsia="仿宋" w:cs="仿宋"/>
                <w:color w:val="auto"/>
                <w:sz w:val="24"/>
                <w:highlight w:val="none"/>
              </w:rPr>
              <w:t>2、点对点传输质量：端到端时延≤50ms，丢包率≤0.1%，误码率≤2×10</w:t>
            </w:r>
            <w:r>
              <w:rPr>
                <w:rFonts w:hint="eastAsia" w:ascii="仿宋" w:hAnsi="仿宋" w:eastAsia="仿宋" w:cs="仿宋"/>
                <w:color w:val="auto"/>
                <w:sz w:val="24"/>
                <w:highlight w:val="none"/>
                <w:vertAlign w:val="superscript"/>
              </w:rPr>
              <w:t>-</w:t>
            </w:r>
            <w:r>
              <w:rPr>
                <w:rFonts w:hint="eastAsia" w:ascii="仿宋" w:hAnsi="仿宋" w:eastAsia="仿宋" w:cs="仿宋"/>
                <w:color w:val="auto"/>
                <w:sz w:val="24"/>
                <w:highlight w:val="none"/>
              </w:rPr>
              <w:t>⁴，保障监控数据完整流畅、预警及时</w:t>
            </w:r>
          </w:p>
        </w:tc>
        <w:tc>
          <w:tcPr>
            <w:tcW w:w="750" w:type="dxa"/>
            <w:vMerge w:val="continue"/>
            <w:vAlign w:val="center"/>
          </w:tcPr>
          <w:p w14:paraId="494043BA">
            <w:pPr>
              <w:jc w:val="center"/>
              <w:rPr>
                <w:rFonts w:hint="eastAsia" w:ascii="仿宋" w:hAnsi="仿宋" w:eastAsia="仿宋" w:cs="仿宋"/>
                <w:color w:val="auto"/>
                <w:sz w:val="24"/>
                <w:highlight w:val="none"/>
              </w:rPr>
            </w:pPr>
          </w:p>
        </w:tc>
      </w:tr>
      <w:tr w14:paraId="4375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76DED717">
            <w:pPr>
              <w:jc w:val="center"/>
              <w:rPr>
                <w:rFonts w:hint="eastAsia" w:ascii="仿宋" w:hAnsi="仿宋" w:eastAsia="仿宋" w:cs="仿宋"/>
                <w:color w:val="auto"/>
                <w:sz w:val="24"/>
                <w:highlight w:val="none"/>
              </w:rPr>
            </w:pPr>
          </w:p>
        </w:tc>
        <w:tc>
          <w:tcPr>
            <w:tcW w:w="850" w:type="dxa"/>
            <w:vMerge w:val="continue"/>
            <w:vAlign w:val="center"/>
          </w:tcPr>
          <w:p w14:paraId="5DEE76A1">
            <w:pPr>
              <w:jc w:val="center"/>
              <w:rPr>
                <w:rFonts w:hint="eastAsia" w:ascii="仿宋" w:hAnsi="仿宋" w:eastAsia="仿宋" w:cs="仿宋"/>
                <w:color w:val="auto"/>
                <w:sz w:val="24"/>
                <w:highlight w:val="none"/>
              </w:rPr>
            </w:pPr>
          </w:p>
        </w:tc>
        <w:tc>
          <w:tcPr>
            <w:tcW w:w="913" w:type="dxa"/>
            <w:vMerge w:val="continue"/>
            <w:vAlign w:val="center"/>
          </w:tcPr>
          <w:p w14:paraId="2049E046">
            <w:pPr>
              <w:jc w:val="center"/>
              <w:rPr>
                <w:rFonts w:hint="eastAsia" w:ascii="仿宋" w:hAnsi="仿宋" w:eastAsia="仿宋" w:cs="仿宋"/>
                <w:color w:val="auto"/>
                <w:sz w:val="24"/>
                <w:highlight w:val="none"/>
              </w:rPr>
            </w:pPr>
          </w:p>
        </w:tc>
        <w:tc>
          <w:tcPr>
            <w:tcW w:w="6750" w:type="dxa"/>
          </w:tcPr>
          <w:p w14:paraId="4D2D927A">
            <w:pPr>
              <w:rPr>
                <w:rFonts w:hint="eastAsia" w:ascii="仿宋" w:hAnsi="仿宋" w:eastAsia="仿宋" w:cs="仿宋"/>
                <w:color w:val="auto"/>
                <w:sz w:val="24"/>
                <w:highlight w:val="none"/>
              </w:rPr>
            </w:pPr>
            <w:r>
              <w:rPr>
                <w:rFonts w:hint="eastAsia" w:ascii="仿宋" w:hAnsi="仿宋" w:eastAsia="仿宋" w:cs="仿宋"/>
                <w:color w:val="auto"/>
                <w:sz w:val="24"/>
                <w:highlight w:val="none"/>
              </w:rPr>
              <w:t>3、点对点链路可靠性：端到端可用率≥99.9%，适配野外抗风抗冰雪环境，确保极端天气下连通性</w:t>
            </w:r>
          </w:p>
        </w:tc>
        <w:tc>
          <w:tcPr>
            <w:tcW w:w="750" w:type="dxa"/>
            <w:vMerge w:val="continue"/>
            <w:vAlign w:val="center"/>
          </w:tcPr>
          <w:p w14:paraId="6859433C">
            <w:pPr>
              <w:jc w:val="center"/>
              <w:rPr>
                <w:rFonts w:hint="eastAsia" w:ascii="仿宋" w:hAnsi="仿宋" w:eastAsia="仿宋" w:cs="仿宋"/>
                <w:color w:val="auto"/>
                <w:sz w:val="24"/>
                <w:highlight w:val="none"/>
              </w:rPr>
            </w:pPr>
          </w:p>
        </w:tc>
      </w:tr>
      <w:tr w14:paraId="623D8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5C0E465">
            <w:pPr>
              <w:jc w:val="center"/>
              <w:rPr>
                <w:rFonts w:hint="eastAsia" w:ascii="仿宋" w:hAnsi="仿宋" w:eastAsia="仿宋" w:cs="仿宋"/>
                <w:color w:val="auto"/>
                <w:sz w:val="24"/>
                <w:highlight w:val="none"/>
              </w:rPr>
            </w:pPr>
          </w:p>
        </w:tc>
        <w:tc>
          <w:tcPr>
            <w:tcW w:w="850" w:type="dxa"/>
            <w:vMerge w:val="continue"/>
            <w:vAlign w:val="center"/>
          </w:tcPr>
          <w:p w14:paraId="54069EDA">
            <w:pPr>
              <w:jc w:val="center"/>
              <w:rPr>
                <w:rFonts w:hint="eastAsia" w:ascii="仿宋" w:hAnsi="仿宋" w:eastAsia="仿宋" w:cs="仿宋"/>
                <w:color w:val="auto"/>
                <w:sz w:val="24"/>
                <w:highlight w:val="none"/>
              </w:rPr>
            </w:pPr>
          </w:p>
        </w:tc>
        <w:tc>
          <w:tcPr>
            <w:tcW w:w="913" w:type="dxa"/>
            <w:vMerge w:val="continue"/>
            <w:vAlign w:val="center"/>
          </w:tcPr>
          <w:p w14:paraId="1D08F8D3">
            <w:pPr>
              <w:jc w:val="center"/>
              <w:rPr>
                <w:rFonts w:hint="eastAsia" w:ascii="仿宋" w:hAnsi="仿宋" w:eastAsia="仿宋" w:cs="仿宋"/>
                <w:color w:val="auto"/>
                <w:sz w:val="24"/>
                <w:highlight w:val="none"/>
              </w:rPr>
            </w:pPr>
          </w:p>
        </w:tc>
        <w:tc>
          <w:tcPr>
            <w:tcW w:w="6750" w:type="dxa"/>
          </w:tcPr>
          <w:p w14:paraId="7C3E7224">
            <w:pPr>
              <w:rPr>
                <w:rFonts w:hint="eastAsia" w:ascii="仿宋" w:hAnsi="仿宋" w:eastAsia="仿宋" w:cs="仿宋"/>
                <w:color w:val="auto"/>
                <w:sz w:val="24"/>
                <w:highlight w:val="none"/>
              </w:rPr>
            </w:pPr>
            <w:r>
              <w:rPr>
                <w:rFonts w:hint="eastAsia" w:ascii="仿宋" w:hAnsi="仿宋" w:eastAsia="仿宋" w:cs="仿宋"/>
                <w:color w:val="auto"/>
                <w:sz w:val="24"/>
                <w:highlight w:val="none"/>
              </w:rPr>
              <w:t>4、接口协议：支持RJ45/SC/LC接口及TCP/IP，可对接网管系统实时监测。</w:t>
            </w:r>
          </w:p>
        </w:tc>
        <w:tc>
          <w:tcPr>
            <w:tcW w:w="750" w:type="dxa"/>
            <w:vMerge w:val="continue"/>
            <w:vAlign w:val="center"/>
          </w:tcPr>
          <w:p w14:paraId="02ADD7D4">
            <w:pPr>
              <w:jc w:val="center"/>
              <w:rPr>
                <w:rFonts w:hint="eastAsia" w:ascii="仿宋" w:hAnsi="仿宋" w:eastAsia="仿宋" w:cs="仿宋"/>
                <w:color w:val="auto"/>
                <w:sz w:val="24"/>
                <w:highlight w:val="none"/>
              </w:rPr>
            </w:pPr>
          </w:p>
        </w:tc>
      </w:tr>
      <w:tr w14:paraId="42B4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6C6A7BD0">
            <w:pPr>
              <w:jc w:val="center"/>
              <w:rPr>
                <w:rFonts w:hint="eastAsia" w:ascii="仿宋" w:hAnsi="仿宋" w:eastAsia="仿宋" w:cs="仿宋"/>
                <w:color w:val="auto"/>
                <w:sz w:val="24"/>
                <w:highlight w:val="none"/>
              </w:rPr>
            </w:pPr>
          </w:p>
        </w:tc>
        <w:tc>
          <w:tcPr>
            <w:tcW w:w="850" w:type="dxa"/>
            <w:vMerge w:val="continue"/>
            <w:vAlign w:val="center"/>
          </w:tcPr>
          <w:p w14:paraId="4C1CC004">
            <w:pPr>
              <w:jc w:val="center"/>
              <w:rPr>
                <w:rFonts w:hint="eastAsia" w:ascii="仿宋" w:hAnsi="仿宋" w:eastAsia="仿宋" w:cs="仿宋"/>
                <w:color w:val="auto"/>
                <w:sz w:val="24"/>
                <w:highlight w:val="none"/>
              </w:rPr>
            </w:pPr>
          </w:p>
        </w:tc>
        <w:tc>
          <w:tcPr>
            <w:tcW w:w="913" w:type="dxa"/>
            <w:vMerge w:val="restart"/>
            <w:vAlign w:val="center"/>
          </w:tcPr>
          <w:p w14:paraId="05FF3133">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光纤线缆</w:t>
            </w:r>
          </w:p>
        </w:tc>
        <w:tc>
          <w:tcPr>
            <w:tcW w:w="6750" w:type="dxa"/>
          </w:tcPr>
          <w:p w14:paraId="2A0F198A">
            <w:pPr>
              <w:rPr>
                <w:rFonts w:eastAsia="Times New Roman"/>
                <w:color w:val="auto"/>
                <w:spacing w:val="4"/>
                <w:sz w:val="24"/>
                <w:highlight w:val="none"/>
              </w:rPr>
            </w:pPr>
            <w:r>
              <w:rPr>
                <w:rFonts w:hint="eastAsia" w:ascii="仿宋" w:hAnsi="仿宋" w:eastAsia="仿宋" w:cs="仿宋"/>
                <w:color w:val="auto"/>
                <w:sz w:val="24"/>
                <w:highlight w:val="none"/>
              </w:rPr>
              <w:t>1、名称：12芯单模光纤。</w:t>
            </w:r>
          </w:p>
        </w:tc>
        <w:tc>
          <w:tcPr>
            <w:tcW w:w="750" w:type="dxa"/>
            <w:vMerge w:val="restart"/>
            <w:vAlign w:val="center"/>
          </w:tcPr>
          <w:p w14:paraId="20539CD3">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12500米</w:t>
            </w:r>
          </w:p>
        </w:tc>
      </w:tr>
      <w:tr w14:paraId="159D8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098CD9A">
            <w:pPr>
              <w:jc w:val="center"/>
              <w:rPr>
                <w:rFonts w:hint="eastAsia" w:ascii="仿宋" w:hAnsi="仿宋" w:eastAsia="仿宋" w:cs="仿宋"/>
                <w:color w:val="auto"/>
                <w:sz w:val="24"/>
                <w:highlight w:val="none"/>
              </w:rPr>
            </w:pPr>
          </w:p>
        </w:tc>
        <w:tc>
          <w:tcPr>
            <w:tcW w:w="850" w:type="dxa"/>
            <w:vMerge w:val="continue"/>
            <w:vAlign w:val="center"/>
          </w:tcPr>
          <w:p w14:paraId="5114340F">
            <w:pPr>
              <w:jc w:val="center"/>
              <w:rPr>
                <w:rFonts w:hint="eastAsia" w:ascii="仿宋" w:hAnsi="仿宋" w:eastAsia="仿宋" w:cs="仿宋"/>
                <w:color w:val="auto"/>
                <w:sz w:val="24"/>
                <w:highlight w:val="none"/>
              </w:rPr>
            </w:pPr>
          </w:p>
        </w:tc>
        <w:tc>
          <w:tcPr>
            <w:tcW w:w="913" w:type="dxa"/>
            <w:vMerge w:val="continue"/>
            <w:vAlign w:val="center"/>
          </w:tcPr>
          <w:p w14:paraId="0F1DF640">
            <w:pPr>
              <w:jc w:val="center"/>
              <w:rPr>
                <w:rFonts w:hint="eastAsia" w:ascii="仿宋" w:hAnsi="仿宋" w:eastAsia="仿宋" w:cs="仿宋"/>
                <w:color w:val="auto"/>
                <w:sz w:val="24"/>
                <w:highlight w:val="none"/>
              </w:rPr>
            </w:pPr>
          </w:p>
        </w:tc>
        <w:tc>
          <w:tcPr>
            <w:tcW w:w="6750" w:type="dxa"/>
          </w:tcPr>
          <w:p w14:paraId="0B7C9DB7">
            <w:pPr>
              <w:rPr>
                <w:rFonts w:hint="eastAsia" w:ascii="仿宋" w:hAnsi="仿宋" w:eastAsia="仿宋" w:cs="仿宋"/>
                <w:color w:val="auto"/>
                <w:sz w:val="24"/>
                <w:highlight w:val="none"/>
              </w:rPr>
            </w:pPr>
            <w:r>
              <w:rPr>
                <w:rFonts w:hint="eastAsia" w:ascii="仿宋" w:hAnsi="仿宋" w:eastAsia="仿宋" w:cs="仿宋"/>
                <w:color w:val="auto"/>
                <w:sz w:val="24"/>
                <w:highlight w:val="none"/>
              </w:rPr>
              <w:t>2、型号：GYTA53-12D。</w:t>
            </w:r>
          </w:p>
        </w:tc>
        <w:tc>
          <w:tcPr>
            <w:tcW w:w="750" w:type="dxa"/>
            <w:vMerge w:val="continue"/>
            <w:vAlign w:val="center"/>
          </w:tcPr>
          <w:p w14:paraId="46BB2C41">
            <w:pPr>
              <w:jc w:val="center"/>
              <w:rPr>
                <w:rFonts w:hint="eastAsia" w:ascii="仿宋" w:hAnsi="仿宋" w:eastAsia="仿宋" w:cs="仿宋"/>
                <w:color w:val="auto"/>
                <w:sz w:val="24"/>
                <w:highlight w:val="none"/>
              </w:rPr>
            </w:pPr>
          </w:p>
        </w:tc>
      </w:tr>
      <w:tr w14:paraId="071F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7E9C96D">
            <w:pPr>
              <w:jc w:val="center"/>
              <w:rPr>
                <w:rFonts w:hint="eastAsia" w:ascii="仿宋" w:hAnsi="仿宋" w:eastAsia="仿宋" w:cs="仿宋"/>
                <w:color w:val="auto"/>
                <w:sz w:val="24"/>
                <w:highlight w:val="none"/>
              </w:rPr>
            </w:pPr>
          </w:p>
        </w:tc>
        <w:tc>
          <w:tcPr>
            <w:tcW w:w="850" w:type="dxa"/>
            <w:vMerge w:val="continue"/>
            <w:vAlign w:val="center"/>
          </w:tcPr>
          <w:p w14:paraId="3EE1394F">
            <w:pPr>
              <w:jc w:val="center"/>
              <w:rPr>
                <w:rFonts w:hint="eastAsia" w:ascii="仿宋" w:hAnsi="仿宋" w:eastAsia="仿宋" w:cs="仿宋"/>
                <w:color w:val="auto"/>
                <w:sz w:val="24"/>
                <w:highlight w:val="none"/>
              </w:rPr>
            </w:pPr>
          </w:p>
        </w:tc>
        <w:tc>
          <w:tcPr>
            <w:tcW w:w="913" w:type="dxa"/>
            <w:vMerge w:val="continue"/>
            <w:vAlign w:val="center"/>
          </w:tcPr>
          <w:p w14:paraId="616055F4">
            <w:pPr>
              <w:jc w:val="center"/>
              <w:rPr>
                <w:rFonts w:hint="eastAsia" w:ascii="仿宋" w:hAnsi="仿宋" w:eastAsia="仿宋" w:cs="仿宋"/>
                <w:color w:val="auto"/>
                <w:sz w:val="24"/>
                <w:highlight w:val="none"/>
              </w:rPr>
            </w:pPr>
          </w:p>
        </w:tc>
        <w:tc>
          <w:tcPr>
            <w:tcW w:w="6750" w:type="dxa"/>
          </w:tcPr>
          <w:p w14:paraId="47CE4BB4">
            <w:pPr>
              <w:rPr>
                <w:rFonts w:hint="eastAsia" w:ascii="仿宋" w:hAnsi="仿宋" w:eastAsia="仿宋" w:cs="仿宋"/>
                <w:color w:val="auto"/>
                <w:sz w:val="24"/>
                <w:highlight w:val="none"/>
              </w:rPr>
            </w:pPr>
            <w:r>
              <w:rPr>
                <w:rFonts w:hint="eastAsia" w:ascii="仿宋" w:hAnsi="仿宋" w:eastAsia="仿宋" w:cs="仿宋"/>
                <w:color w:val="auto"/>
                <w:sz w:val="24"/>
                <w:highlight w:val="none"/>
              </w:rPr>
              <w:t>3、电压等级(kV)：0.6/1KV。</w:t>
            </w:r>
          </w:p>
        </w:tc>
        <w:tc>
          <w:tcPr>
            <w:tcW w:w="750" w:type="dxa"/>
            <w:vMerge w:val="continue"/>
            <w:vAlign w:val="center"/>
          </w:tcPr>
          <w:p w14:paraId="503B1EF7">
            <w:pPr>
              <w:jc w:val="center"/>
              <w:rPr>
                <w:rFonts w:hint="eastAsia" w:ascii="仿宋" w:hAnsi="仿宋" w:eastAsia="仿宋" w:cs="仿宋"/>
                <w:color w:val="auto"/>
                <w:sz w:val="24"/>
                <w:highlight w:val="none"/>
              </w:rPr>
            </w:pPr>
          </w:p>
        </w:tc>
      </w:tr>
      <w:tr w14:paraId="18EA5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6C72BD9C">
            <w:pPr>
              <w:jc w:val="center"/>
              <w:rPr>
                <w:rFonts w:hint="eastAsia" w:ascii="仿宋" w:hAnsi="仿宋" w:eastAsia="仿宋" w:cs="仿宋"/>
                <w:color w:val="auto"/>
                <w:sz w:val="24"/>
                <w:highlight w:val="none"/>
              </w:rPr>
            </w:pPr>
          </w:p>
        </w:tc>
        <w:tc>
          <w:tcPr>
            <w:tcW w:w="850" w:type="dxa"/>
            <w:vMerge w:val="continue"/>
            <w:vAlign w:val="center"/>
          </w:tcPr>
          <w:p w14:paraId="08E0F13A">
            <w:pPr>
              <w:jc w:val="center"/>
              <w:rPr>
                <w:rFonts w:hint="eastAsia" w:ascii="仿宋" w:hAnsi="仿宋" w:eastAsia="仿宋" w:cs="仿宋"/>
                <w:color w:val="auto"/>
                <w:sz w:val="24"/>
                <w:highlight w:val="none"/>
              </w:rPr>
            </w:pPr>
          </w:p>
        </w:tc>
        <w:tc>
          <w:tcPr>
            <w:tcW w:w="913" w:type="dxa"/>
            <w:vMerge w:val="continue"/>
            <w:vAlign w:val="center"/>
          </w:tcPr>
          <w:p w14:paraId="3892F2BF">
            <w:pPr>
              <w:jc w:val="center"/>
              <w:rPr>
                <w:rFonts w:hint="eastAsia" w:ascii="仿宋" w:hAnsi="仿宋" w:eastAsia="仿宋" w:cs="仿宋"/>
                <w:color w:val="auto"/>
                <w:sz w:val="24"/>
                <w:highlight w:val="none"/>
              </w:rPr>
            </w:pPr>
          </w:p>
        </w:tc>
        <w:tc>
          <w:tcPr>
            <w:tcW w:w="6750" w:type="dxa"/>
          </w:tcPr>
          <w:p w14:paraId="78775775">
            <w:pPr>
              <w:rPr>
                <w:rFonts w:hint="eastAsia" w:ascii="仿宋" w:hAnsi="仿宋" w:eastAsia="仿宋" w:cs="仿宋"/>
                <w:color w:val="auto"/>
                <w:sz w:val="24"/>
                <w:highlight w:val="none"/>
              </w:rPr>
            </w:pPr>
            <w:r>
              <w:rPr>
                <w:rFonts w:hint="eastAsia" w:ascii="仿宋" w:hAnsi="仿宋" w:eastAsia="仿宋" w:cs="仿宋"/>
                <w:color w:val="auto"/>
                <w:sz w:val="24"/>
                <w:highlight w:val="none"/>
              </w:rPr>
              <w:t>4、敷设方式、部位：一般山地埋地敷设。</w:t>
            </w:r>
          </w:p>
        </w:tc>
        <w:tc>
          <w:tcPr>
            <w:tcW w:w="750" w:type="dxa"/>
            <w:vMerge w:val="continue"/>
            <w:vAlign w:val="center"/>
          </w:tcPr>
          <w:p w14:paraId="15632E0D">
            <w:pPr>
              <w:jc w:val="center"/>
              <w:rPr>
                <w:rFonts w:hint="eastAsia" w:ascii="仿宋" w:hAnsi="仿宋" w:eastAsia="仿宋" w:cs="仿宋"/>
                <w:color w:val="auto"/>
                <w:sz w:val="24"/>
                <w:highlight w:val="none"/>
              </w:rPr>
            </w:pPr>
          </w:p>
        </w:tc>
      </w:tr>
      <w:tr w14:paraId="7F6B3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710B2BC4">
            <w:pPr>
              <w:jc w:val="center"/>
              <w:rPr>
                <w:rFonts w:hint="eastAsia" w:ascii="仿宋" w:hAnsi="仿宋" w:eastAsia="仿宋" w:cs="仿宋"/>
                <w:color w:val="auto"/>
                <w:sz w:val="24"/>
                <w:highlight w:val="none"/>
              </w:rPr>
            </w:pPr>
          </w:p>
        </w:tc>
        <w:tc>
          <w:tcPr>
            <w:tcW w:w="850" w:type="dxa"/>
            <w:vMerge w:val="continue"/>
            <w:vAlign w:val="center"/>
          </w:tcPr>
          <w:p w14:paraId="549AFC02">
            <w:pPr>
              <w:jc w:val="center"/>
              <w:rPr>
                <w:rFonts w:hint="eastAsia" w:ascii="仿宋" w:hAnsi="仿宋" w:eastAsia="仿宋" w:cs="仿宋"/>
                <w:color w:val="auto"/>
                <w:sz w:val="24"/>
                <w:highlight w:val="none"/>
              </w:rPr>
            </w:pPr>
          </w:p>
        </w:tc>
        <w:tc>
          <w:tcPr>
            <w:tcW w:w="913" w:type="dxa"/>
            <w:vMerge w:val="continue"/>
            <w:vAlign w:val="center"/>
          </w:tcPr>
          <w:p w14:paraId="58C2B1AA">
            <w:pPr>
              <w:jc w:val="center"/>
              <w:rPr>
                <w:rFonts w:hint="eastAsia" w:ascii="仿宋" w:hAnsi="仿宋" w:eastAsia="仿宋" w:cs="仿宋"/>
                <w:color w:val="auto"/>
                <w:sz w:val="24"/>
                <w:highlight w:val="none"/>
              </w:rPr>
            </w:pPr>
          </w:p>
        </w:tc>
        <w:tc>
          <w:tcPr>
            <w:tcW w:w="6750" w:type="dxa"/>
          </w:tcPr>
          <w:p w14:paraId="4026B7E6">
            <w:pPr>
              <w:rPr>
                <w:rFonts w:hint="eastAsia" w:ascii="仿宋" w:hAnsi="仿宋" w:eastAsia="仿宋" w:cs="仿宋"/>
                <w:color w:val="auto"/>
                <w:sz w:val="24"/>
                <w:highlight w:val="none"/>
              </w:rPr>
            </w:pPr>
            <w:r>
              <w:rPr>
                <w:rFonts w:hint="eastAsia" w:ascii="仿宋" w:hAnsi="仿宋" w:eastAsia="仿宋" w:cs="仿宋"/>
                <w:color w:val="auto"/>
                <w:sz w:val="24"/>
                <w:highlight w:val="none"/>
              </w:rPr>
              <w:t>5、检查光缆、清理管道、制作穿线端头（钩）、穿放引线、穿放光缆、出口衬垫、封堵出口等。</w:t>
            </w:r>
          </w:p>
        </w:tc>
        <w:tc>
          <w:tcPr>
            <w:tcW w:w="750" w:type="dxa"/>
            <w:vMerge w:val="continue"/>
            <w:vAlign w:val="center"/>
          </w:tcPr>
          <w:p w14:paraId="2869D709">
            <w:pPr>
              <w:jc w:val="center"/>
              <w:rPr>
                <w:rFonts w:hint="eastAsia" w:ascii="仿宋" w:hAnsi="仿宋" w:eastAsia="仿宋" w:cs="仿宋"/>
                <w:color w:val="auto"/>
                <w:sz w:val="24"/>
                <w:highlight w:val="none"/>
              </w:rPr>
            </w:pPr>
          </w:p>
        </w:tc>
      </w:tr>
      <w:tr w14:paraId="5983D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03655A6">
            <w:pPr>
              <w:jc w:val="center"/>
              <w:rPr>
                <w:rFonts w:hint="eastAsia" w:ascii="仿宋" w:hAnsi="仿宋" w:eastAsia="仿宋" w:cs="仿宋"/>
                <w:color w:val="auto"/>
                <w:sz w:val="24"/>
                <w:highlight w:val="none"/>
              </w:rPr>
            </w:pPr>
          </w:p>
        </w:tc>
        <w:tc>
          <w:tcPr>
            <w:tcW w:w="850" w:type="dxa"/>
            <w:vMerge w:val="continue"/>
            <w:vAlign w:val="center"/>
          </w:tcPr>
          <w:p w14:paraId="4F809E71">
            <w:pPr>
              <w:jc w:val="center"/>
              <w:rPr>
                <w:rFonts w:hint="eastAsia" w:ascii="仿宋" w:hAnsi="仿宋" w:eastAsia="仿宋" w:cs="仿宋"/>
                <w:color w:val="auto"/>
                <w:sz w:val="24"/>
                <w:highlight w:val="none"/>
              </w:rPr>
            </w:pPr>
          </w:p>
        </w:tc>
        <w:tc>
          <w:tcPr>
            <w:tcW w:w="913" w:type="dxa"/>
            <w:vAlign w:val="center"/>
          </w:tcPr>
          <w:p w14:paraId="144B266D">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辅材</w:t>
            </w:r>
          </w:p>
        </w:tc>
        <w:tc>
          <w:tcPr>
            <w:tcW w:w="6750" w:type="dxa"/>
            <w:vAlign w:val="center"/>
          </w:tcPr>
          <w:p w14:paraId="220DE11E">
            <w:pP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1、光纤跳线、光纤衰减器、光纤接头盒、光纤保护管、防雷器、冗余电源模块、酒精清洁棉等根据有线传输实际需求配备。</w:t>
            </w:r>
          </w:p>
        </w:tc>
        <w:tc>
          <w:tcPr>
            <w:tcW w:w="750" w:type="dxa"/>
            <w:vAlign w:val="center"/>
          </w:tcPr>
          <w:p w14:paraId="0981F440">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1批</w:t>
            </w:r>
          </w:p>
        </w:tc>
      </w:tr>
      <w:tr w14:paraId="5975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restart"/>
            <w:vAlign w:val="center"/>
          </w:tcPr>
          <w:p w14:paraId="33144225">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50" w:type="dxa"/>
            <w:vMerge w:val="restart"/>
            <w:vAlign w:val="center"/>
          </w:tcPr>
          <w:p w14:paraId="2B3A45A8">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视频监控挂载设施</w:t>
            </w:r>
          </w:p>
        </w:tc>
        <w:tc>
          <w:tcPr>
            <w:tcW w:w="913" w:type="dxa"/>
            <w:vMerge w:val="restart"/>
            <w:vAlign w:val="center"/>
          </w:tcPr>
          <w:p w14:paraId="758F0B0E">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视频监控塔</w:t>
            </w:r>
          </w:p>
        </w:tc>
        <w:tc>
          <w:tcPr>
            <w:tcW w:w="6750" w:type="dxa"/>
            <w:vAlign w:val="center"/>
          </w:tcPr>
          <w:p w14:paraId="0BA80DCD">
            <w:pP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1、高度数量：25米监控塔3座；20米监控塔18座</w:t>
            </w:r>
          </w:p>
        </w:tc>
        <w:tc>
          <w:tcPr>
            <w:tcW w:w="750" w:type="dxa"/>
            <w:vMerge w:val="restart"/>
            <w:vAlign w:val="center"/>
          </w:tcPr>
          <w:p w14:paraId="492632BC">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1项</w:t>
            </w:r>
          </w:p>
        </w:tc>
      </w:tr>
      <w:tr w14:paraId="5F51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0F8128E">
            <w:pPr>
              <w:jc w:val="center"/>
              <w:rPr>
                <w:rFonts w:hint="eastAsia" w:ascii="仿宋" w:hAnsi="仿宋" w:eastAsia="仿宋" w:cs="仿宋"/>
                <w:color w:val="auto"/>
                <w:sz w:val="24"/>
                <w:highlight w:val="none"/>
              </w:rPr>
            </w:pPr>
          </w:p>
        </w:tc>
        <w:tc>
          <w:tcPr>
            <w:tcW w:w="850" w:type="dxa"/>
            <w:vMerge w:val="continue"/>
            <w:vAlign w:val="center"/>
          </w:tcPr>
          <w:p w14:paraId="47EC71A8">
            <w:pPr>
              <w:jc w:val="center"/>
              <w:rPr>
                <w:rFonts w:hint="eastAsia" w:ascii="仿宋" w:hAnsi="仿宋" w:eastAsia="仿宋" w:cs="仿宋"/>
                <w:color w:val="auto"/>
                <w:sz w:val="24"/>
                <w:highlight w:val="none"/>
              </w:rPr>
            </w:pPr>
          </w:p>
        </w:tc>
        <w:tc>
          <w:tcPr>
            <w:tcW w:w="913" w:type="dxa"/>
            <w:vMerge w:val="continue"/>
            <w:vAlign w:val="center"/>
          </w:tcPr>
          <w:p w14:paraId="54D109FB">
            <w:pPr>
              <w:jc w:val="center"/>
              <w:rPr>
                <w:rFonts w:hint="eastAsia" w:ascii="仿宋" w:hAnsi="仿宋" w:eastAsia="仿宋" w:cs="仿宋"/>
                <w:color w:val="auto"/>
                <w:sz w:val="24"/>
                <w:highlight w:val="none"/>
              </w:rPr>
            </w:pPr>
          </w:p>
        </w:tc>
        <w:tc>
          <w:tcPr>
            <w:tcW w:w="6750" w:type="dxa"/>
            <w:vAlign w:val="center"/>
          </w:tcPr>
          <w:p w14:paraId="7278C037">
            <w:pP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2、结构安全等级:二级；结构设计工作年限:二十五年</w:t>
            </w:r>
          </w:p>
        </w:tc>
        <w:tc>
          <w:tcPr>
            <w:tcW w:w="750" w:type="dxa"/>
            <w:vMerge w:val="continue"/>
            <w:vAlign w:val="center"/>
          </w:tcPr>
          <w:p w14:paraId="1D72FC9D">
            <w:pPr>
              <w:jc w:val="center"/>
              <w:rPr>
                <w:rFonts w:hint="eastAsia" w:ascii="仿宋" w:hAnsi="仿宋" w:eastAsia="仿宋" w:cs="仿宋"/>
                <w:color w:val="auto"/>
                <w:sz w:val="24"/>
                <w:highlight w:val="none"/>
              </w:rPr>
            </w:pPr>
          </w:p>
        </w:tc>
      </w:tr>
      <w:tr w14:paraId="2D2F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F16E2D0">
            <w:pPr>
              <w:jc w:val="center"/>
              <w:rPr>
                <w:rFonts w:hint="eastAsia" w:ascii="仿宋" w:hAnsi="仿宋" w:eastAsia="仿宋" w:cs="仿宋"/>
                <w:color w:val="auto"/>
                <w:sz w:val="24"/>
                <w:highlight w:val="none"/>
              </w:rPr>
            </w:pPr>
          </w:p>
        </w:tc>
        <w:tc>
          <w:tcPr>
            <w:tcW w:w="850" w:type="dxa"/>
            <w:vMerge w:val="continue"/>
            <w:vAlign w:val="center"/>
          </w:tcPr>
          <w:p w14:paraId="0C082A0B">
            <w:pPr>
              <w:jc w:val="center"/>
              <w:rPr>
                <w:rFonts w:hint="eastAsia" w:ascii="仿宋" w:hAnsi="仿宋" w:eastAsia="仿宋" w:cs="仿宋"/>
                <w:color w:val="auto"/>
                <w:sz w:val="24"/>
                <w:highlight w:val="none"/>
              </w:rPr>
            </w:pPr>
          </w:p>
        </w:tc>
        <w:tc>
          <w:tcPr>
            <w:tcW w:w="913" w:type="dxa"/>
            <w:vMerge w:val="continue"/>
            <w:vAlign w:val="center"/>
          </w:tcPr>
          <w:p w14:paraId="3041B1BA">
            <w:pPr>
              <w:jc w:val="center"/>
              <w:rPr>
                <w:rFonts w:hint="eastAsia" w:ascii="仿宋" w:hAnsi="仿宋" w:eastAsia="仿宋" w:cs="仿宋"/>
                <w:color w:val="auto"/>
                <w:sz w:val="24"/>
                <w:highlight w:val="none"/>
              </w:rPr>
            </w:pPr>
          </w:p>
        </w:tc>
        <w:tc>
          <w:tcPr>
            <w:tcW w:w="6750" w:type="dxa"/>
            <w:vAlign w:val="center"/>
          </w:tcPr>
          <w:p w14:paraId="634BFC38">
            <w:pP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3、平台活荷载:0.50KN/㎡</w:t>
            </w:r>
          </w:p>
        </w:tc>
        <w:tc>
          <w:tcPr>
            <w:tcW w:w="750" w:type="dxa"/>
            <w:vMerge w:val="continue"/>
            <w:vAlign w:val="center"/>
          </w:tcPr>
          <w:p w14:paraId="7517CD67">
            <w:pPr>
              <w:jc w:val="center"/>
              <w:rPr>
                <w:rFonts w:hint="eastAsia" w:ascii="仿宋" w:hAnsi="仿宋" w:eastAsia="仿宋" w:cs="仿宋"/>
                <w:color w:val="auto"/>
                <w:sz w:val="24"/>
                <w:highlight w:val="none"/>
              </w:rPr>
            </w:pPr>
          </w:p>
        </w:tc>
      </w:tr>
      <w:tr w14:paraId="4ED0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1FABC827">
            <w:pPr>
              <w:jc w:val="center"/>
              <w:rPr>
                <w:rFonts w:hint="eastAsia" w:ascii="仿宋" w:hAnsi="仿宋" w:eastAsia="仿宋" w:cs="仿宋"/>
                <w:color w:val="auto"/>
                <w:sz w:val="24"/>
                <w:highlight w:val="none"/>
              </w:rPr>
            </w:pPr>
          </w:p>
        </w:tc>
        <w:tc>
          <w:tcPr>
            <w:tcW w:w="850" w:type="dxa"/>
            <w:vMerge w:val="continue"/>
            <w:vAlign w:val="center"/>
          </w:tcPr>
          <w:p w14:paraId="1C2A3F1C">
            <w:pPr>
              <w:jc w:val="center"/>
              <w:rPr>
                <w:rFonts w:hint="eastAsia" w:ascii="仿宋" w:hAnsi="仿宋" w:eastAsia="仿宋" w:cs="仿宋"/>
                <w:color w:val="auto"/>
                <w:sz w:val="24"/>
                <w:highlight w:val="none"/>
              </w:rPr>
            </w:pPr>
          </w:p>
        </w:tc>
        <w:tc>
          <w:tcPr>
            <w:tcW w:w="913" w:type="dxa"/>
            <w:vMerge w:val="continue"/>
            <w:vAlign w:val="center"/>
          </w:tcPr>
          <w:p w14:paraId="1BC3DED4">
            <w:pPr>
              <w:jc w:val="center"/>
              <w:rPr>
                <w:rFonts w:hint="eastAsia" w:ascii="仿宋" w:hAnsi="仿宋" w:eastAsia="仿宋" w:cs="仿宋"/>
                <w:color w:val="auto"/>
                <w:sz w:val="24"/>
                <w:highlight w:val="none"/>
              </w:rPr>
            </w:pPr>
          </w:p>
        </w:tc>
        <w:tc>
          <w:tcPr>
            <w:tcW w:w="6750" w:type="dxa"/>
            <w:vAlign w:val="center"/>
          </w:tcPr>
          <w:p w14:paraId="444833B2">
            <w:pP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4、采用Q235B钢。</w:t>
            </w:r>
          </w:p>
        </w:tc>
        <w:tc>
          <w:tcPr>
            <w:tcW w:w="750" w:type="dxa"/>
            <w:vMerge w:val="continue"/>
            <w:vAlign w:val="center"/>
          </w:tcPr>
          <w:p w14:paraId="20F414D9">
            <w:pPr>
              <w:jc w:val="center"/>
              <w:rPr>
                <w:rFonts w:hint="eastAsia" w:ascii="仿宋" w:hAnsi="仿宋" w:eastAsia="仿宋" w:cs="仿宋"/>
                <w:color w:val="auto"/>
                <w:sz w:val="24"/>
                <w:highlight w:val="none"/>
              </w:rPr>
            </w:pPr>
          </w:p>
        </w:tc>
      </w:tr>
      <w:tr w14:paraId="03A0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29EED72">
            <w:pPr>
              <w:jc w:val="center"/>
              <w:rPr>
                <w:rFonts w:hint="eastAsia" w:ascii="仿宋" w:hAnsi="仿宋" w:eastAsia="仿宋" w:cs="仿宋"/>
                <w:color w:val="auto"/>
                <w:sz w:val="24"/>
                <w:highlight w:val="none"/>
              </w:rPr>
            </w:pPr>
          </w:p>
        </w:tc>
        <w:tc>
          <w:tcPr>
            <w:tcW w:w="850" w:type="dxa"/>
            <w:vMerge w:val="continue"/>
            <w:vAlign w:val="center"/>
          </w:tcPr>
          <w:p w14:paraId="1607FAFE">
            <w:pPr>
              <w:jc w:val="center"/>
              <w:rPr>
                <w:rFonts w:hint="eastAsia" w:ascii="仿宋" w:hAnsi="仿宋" w:eastAsia="仿宋" w:cs="仿宋"/>
                <w:color w:val="auto"/>
                <w:sz w:val="24"/>
                <w:highlight w:val="none"/>
              </w:rPr>
            </w:pPr>
          </w:p>
        </w:tc>
        <w:tc>
          <w:tcPr>
            <w:tcW w:w="913" w:type="dxa"/>
            <w:vMerge w:val="continue"/>
            <w:vAlign w:val="center"/>
          </w:tcPr>
          <w:p w14:paraId="4B34AE2D">
            <w:pPr>
              <w:jc w:val="center"/>
              <w:rPr>
                <w:rFonts w:hint="eastAsia" w:ascii="仿宋" w:hAnsi="仿宋" w:eastAsia="仿宋" w:cs="仿宋"/>
                <w:color w:val="auto"/>
                <w:sz w:val="24"/>
                <w:highlight w:val="none"/>
              </w:rPr>
            </w:pPr>
          </w:p>
        </w:tc>
        <w:tc>
          <w:tcPr>
            <w:tcW w:w="6750" w:type="dxa"/>
            <w:vAlign w:val="center"/>
          </w:tcPr>
          <w:p w14:paraId="3F0ACE43">
            <w:pP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5、连接钢板采用:Q235B钢；柱脚螺栓:Q235B钢</w:t>
            </w:r>
          </w:p>
        </w:tc>
        <w:tc>
          <w:tcPr>
            <w:tcW w:w="750" w:type="dxa"/>
            <w:vMerge w:val="continue"/>
            <w:vAlign w:val="center"/>
          </w:tcPr>
          <w:p w14:paraId="1C97B8FC">
            <w:pPr>
              <w:jc w:val="center"/>
              <w:rPr>
                <w:rFonts w:hint="eastAsia" w:ascii="仿宋" w:hAnsi="仿宋" w:eastAsia="仿宋" w:cs="仿宋"/>
                <w:color w:val="auto"/>
                <w:sz w:val="24"/>
                <w:highlight w:val="none"/>
              </w:rPr>
            </w:pPr>
          </w:p>
        </w:tc>
      </w:tr>
      <w:tr w14:paraId="48DBD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75512BE">
            <w:pPr>
              <w:jc w:val="center"/>
              <w:rPr>
                <w:rFonts w:hint="eastAsia" w:ascii="仿宋" w:hAnsi="仿宋" w:eastAsia="仿宋" w:cs="仿宋"/>
                <w:color w:val="auto"/>
                <w:sz w:val="24"/>
                <w:highlight w:val="none"/>
              </w:rPr>
            </w:pPr>
          </w:p>
        </w:tc>
        <w:tc>
          <w:tcPr>
            <w:tcW w:w="850" w:type="dxa"/>
            <w:vMerge w:val="continue"/>
            <w:vAlign w:val="center"/>
          </w:tcPr>
          <w:p w14:paraId="55BCCB41">
            <w:pPr>
              <w:jc w:val="center"/>
              <w:rPr>
                <w:rFonts w:hint="eastAsia" w:ascii="仿宋" w:hAnsi="仿宋" w:eastAsia="仿宋" w:cs="仿宋"/>
                <w:color w:val="auto"/>
                <w:sz w:val="24"/>
                <w:highlight w:val="none"/>
              </w:rPr>
            </w:pPr>
          </w:p>
        </w:tc>
        <w:tc>
          <w:tcPr>
            <w:tcW w:w="913" w:type="dxa"/>
            <w:vMerge w:val="continue"/>
            <w:vAlign w:val="center"/>
          </w:tcPr>
          <w:p w14:paraId="46CE5A59">
            <w:pPr>
              <w:jc w:val="center"/>
              <w:rPr>
                <w:rFonts w:hint="eastAsia" w:ascii="仿宋" w:hAnsi="仿宋" w:eastAsia="仿宋" w:cs="仿宋"/>
                <w:color w:val="auto"/>
                <w:sz w:val="24"/>
                <w:highlight w:val="none"/>
              </w:rPr>
            </w:pPr>
          </w:p>
        </w:tc>
        <w:tc>
          <w:tcPr>
            <w:tcW w:w="6750" w:type="dxa"/>
            <w:vAlign w:val="center"/>
          </w:tcPr>
          <w:p w14:paraId="756CEB16">
            <w:pP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6、采用</w:t>
            </w:r>
            <w:r>
              <w:rPr>
                <w:rFonts w:hint="eastAsia" w:ascii="仿宋" w:hAnsi="仿宋" w:eastAsia="仿宋" w:cs="仿宋"/>
                <w:color w:val="auto"/>
                <w:sz w:val="24"/>
                <w:highlight w:val="none"/>
              </w:rPr>
              <w:t>热浸镀锌</w:t>
            </w:r>
            <w:r>
              <w:rPr>
                <w:rFonts w:hint="eastAsia" w:ascii="仿宋" w:hAnsi="仿宋" w:eastAsia="仿宋" w:cs="仿宋"/>
                <w:color w:val="auto"/>
                <w:sz w:val="24"/>
                <w:highlight w:val="none"/>
              </w:rPr>
              <w:t>防腐,构件表面双面其镀锌量不小于275g/㎡。</w:t>
            </w:r>
          </w:p>
        </w:tc>
        <w:tc>
          <w:tcPr>
            <w:tcW w:w="750" w:type="dxa"/>
            <w:vMerge w:val="continue"/>
            <w:vAlign w:val="center"/>
          </w:tcPr>
          <w:p w14:paraId="6E839444">
            <w:pPr>
              <w:jc w:val="center"/>
              <w:rPr>
                <w:rFonts w:hint="eastAsia" w:ascii="仿宋" w:hAnsi="仿宋" w:eastAsia="仿宋" w:cs="仿宋"/>
                <w:color w:val="auto"/>
                <w:sz w:val="24"/>
                <w:highlight w:val="none"/>
              </w:rPr>
            </w:pPr>
          </w:p>
        </w:tc>
      </w:tr>
      <w:tr w14:paraId="324F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34C02E89">
            <w:pPr>
              <w:jc w:val="center"/>
              <w:rPr>
                <w:rFonts w:hint="eastAsia" w:ascii="仿宋" w:hAnsi="仿宋" w:eastAsia="仿宋" w:cs="仿宋"/>
                <w:color w:val="auto"/>
                <w:sz w:val="24"/>
                <w:highlight w:val="none"/>
              </w:rPr>
            </w:pPr>
          </w:p>
        </w:tc>
        <w:tc>
          <w:tcPr>
            <w:tcW w:w="850" w:type="dxa"/>
            <w:vMerge w:val="continue"/>
            <w:vAlign w:val="center"/>
          </w:tcPr>
          <w:p w14:paraId="4BC60F4B">
            <w:pPr>
              <w:jc w:val="center"/>
              <w:rPr>
                <w:rFonts w:hint="eastAsia" w:ascii="仿宋" w:hAnsi="仿宋" w:eastAsia="仿宋" w:cs="仿宋"/>
                <w:color w:val="auto"/>
                <w:sz w:val="24"/>
                <w:highlight w:val="none"/>
              </w:rPr>
            </w:pPr>
          </w:p>
        </w:tc>
        <w:tc>
          <w:tcPr>
            <w:tcW w:w="913" w:type="dxa"/>
            <w:vMerge w:val="continue"/>
            <w:vAlign w:val="center"/>
          </w:tcPr>
          <w:p w14:paraId="08457BB4">
            <w:pPr>
              <w:jc w:val="center"/>
              <w:rPr>
                <w:rFonts w:hint="eastAsia" w:ascii="仿宋" w:hAnsi="仿宋" w:eastAsia="仿宋" w:cs="仿宋"/>
                <w:color w:val="auto"/>
                <w:sz w:val="24"/>
                <w:highlight w:val="none"/>
              </w:rPr>
            </w:pPr>
          </w:p>
        </w:tc>
        <w:tc>
          <w:tcPr>
            <w:tcW w:w="6750" w:type="dxa"/>
            <w:vAlign w:val="center"/>
          </w:tcPr>
          <w:p w14:paraId="6CA7587E">
            <w:pP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7、普通螺栓采用C级及配套的螺母、垫圈,C级螺栓孔，性能采用4.8级符合现行国家标准《六角头螺栓C级》GB/T 5780-2000的规定。</w:t>
            </w:r>
          </w:p>
        </w:tc>
        <w:tc>
          <w:tcPr>
            <w:tcW w:w="750" w:type="dxa"/>
            <w:vMerge w:val="continue"/>
            <w:vAlign w:val="center"/>
          </w:tcPr>
          <w:p w14:paraId="6AFACB23">
            <w:pPr>
              <w:jc w:val="center"/>
              <w:rPr>
                <w:rFonts w:hint="eastAsia" w:ascii="仿宋" w:hAnsi="仿宋" w:eastAsia="仿宋" w:cs="仿宋"/>
                <w:color w:val="auto"/>
                <w:sz w:val="24"/>
                <w:highlight w:val="none"/>
              </w:rPr>
            </w:pPr>
          </w:p>
        </w:tc>
      </w:tr>
      <w:tr w14:paraId="4623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40CA3DC2">
            <w:pPr>
              <w:jc w:val="center"/>
              <w:rPr>
                <w:rFonts w:hint="eastAsia" w:ascii="仿宋" w:hAnsi="仿宋" w:eastAsia="仿宋" w:cs="仿宋"/>
                <w:color w:val="auto"/>
                <w:sz w:val="24"/>
                <w:highlight w:val="none"/>
              </w:rPr>
            </w:pPr>
          </w:p>
        </w:tc>
        <w:tc>
          <w:tcPr>
            <w:tcW w:w="850" w:type="dxa"/>
            <w:vMerge w:val="continue"/>
            <w:vAlign w:val="center"/>
          </w:tcPr>
          <w:p w14:paraId="29B00F19">
            <w:pPr>
              <w:jc w:val="center"/>
              <w:rPr>
                <w:rFonts w:hint="eastAsia" w:ascii="仿宋" w:hAnsi="仿宋" w:eastAsia="仿宋" w:cs="仿宋"/>
                <w:color w:val="auto"/>
                <w:sz w:val="24"/>
                <w:highlight w:val="none"/>
              </w:rPr>
            </w:pPr>
          </w:p>
        </w:tc>
        <w:tc>
          <w:tcPr>
            <w:tcW w:w="913" w:type="dxa"/>
            <w:vMerge w:val="continue"/>
            <w:vAlign w:val="center"/>
          </w:tcPr>
          <w:p w14:paraId="624000D4">
            <w:pPr>
              <w:jc w:val="center"/>
              <w:rPr>
                <w:rFonts w:hint="eastAsia" w:ascii="仿宋" w:hAnsi="仿宋" w:eastAsia="仿宋" w:cs="仿宋"/>
                <w:color w:val="auto"/>
                <w:sz w:val="24"/>
                <w:highlight w:val="none"/>
              </w:rPr>
            </w:pPr>
          </w:p>
        </w:tc>
        <w:tc>
          <w:tcPr>
            <w:tcW w:w="6750" w:type="dxa"/>
            <w:vAlign w:val="center"/>
          </w:tcPr>
          <w:p w14:paraId="4C6CC18C">
            <w:pP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8、焊接质量等级:对接焊缝质量等级三级。</w:t>
            </w:r>
          </w:p>
        </w:tc>
        <w:tc>
          <w:tcPr>
            <w:tcW w:w="750" w:type="dxa"/>
            <w:vMerge w:val="continue"/>
            <w:vAlign w:val="center"/>
          </w:tcPr>
          <w:p w14:paraId="0349ED5B">
            <w:pPr>
              <w:jc w:val="center"/>
              <w:rPr>
                <w:rFonts w:hint="eastAsia" w:ascii="仿宋" w:hAnsi="仿宋" w:eastAsia="仿宋" w:cs="仿宋"/>
                <w:color w:val="auto"/>
                <w:sz w:val="24"/>
                <w:highlight w:val="none"/>
              </w:rPr>
            </w:pPr>
          </w:p>
        </w:tc>
      </w:tr>
      <w:tr w14:paraId="666F3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9ED7BC2">
            <w:pPr>
              <w:jc w:val="center"/>
              <w:rPr>
                <w:rFonts w:hint="eastAsia" w:ascii="仿宋" w:hAnsi="仿宋" w:eastAsia="仿宋" w:cs="仿宋"/>
                <w:color w:val="auto"/>
                <w:sz w:val="24"/>
                <w:highlight w:val="none"/>
              </w:rPr>
            </w:pPr>
          </w:p>
        </w:tc>
        <w:tc>
          <w:tcPr>
            <w:tcW w:w="850" w:type="dxa"/>
            <w:vMerge w:val="continue"/>
            <w:vAlign w:val="center"/>
          </w:tcPr>
          <w:p w14:paraId="06B1B758">
            <w:pPr>
              <w:jc w:val="center"/>
              <w:rPr>
                <w:rFonts w:hint="eastAsia" w:ascii="仿宋" w:hAnsi="仿宋" w:eastAsia="仿宋" w:cs="仿宋"/>
                <w:color w:val="auto"/>
                <w:sz w:val="24"/>
                <w:highlight w:val="none"/>
              </w:rPr>
            </w:pPr>
          </w:p>
        </w:tc>
        <w:tc>
          <w:tcPr>
            <w:tcW w:w="913" w:type="dxa"/>
            <w:vMerge w:val="continue"/>
            <w:vAlign w:val="center"/>
          </w:tcPr>
          <w:p w14:paraId="6AD353BA">
            <w:pPr>
              <w:jc w:val="center"/>
              <w:rPr>
                <w:rFonts w:hint="eastAsia" w:ascii="仿宋" w:hAnsi="仿宋" w:eastAsia="仿宋" w:cs="仿宋"/>
                <w:color w:val="auto"/>
                <w:sz w:val="24"/>
                <w:highlight w:val="none"/>
              </w:rPr>
            </w:pPr>
          </w:p>
        </w:tc>
        <w:tc>
          <w:tcPr>
            <w:tcW w:w="6750" w:type="dxa"/>
            <w:vAlign w:val="center"/>
          </w:tcPr>
          <w:p w14:paraId="483FFF94">
            <w:pP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9、钢构件涂装前应对构件表面进行喷砂处理，以彻底清除脏物及油污，严格除锈:除锈等级应达到《涂装前钢材表面锈蚀等级和除锈等级》(GB8923-2013)中规定的St3级。</w:t>
            </w:r>
          </w:p>
        </w:tc>
        <w:tc>
          <w:tcPr>
            <w:tcW w:w="750" w:type="dxa"/>
            <w:vMerge w:val="continue"/>
            <w:vAlign w:val="center"/>
          </w:tcPr>
          <w:p w14:paraId="5A3CB817">
            <w:pPr>
              <w:jc w:val="center"/>
              <w:rPr>
                <w:rFonts w:hint="eastAsia" w:ascii="仿宋" w:hAnsi="仿宋" w:eastAsia="仿宋" w:cs="仿宋"/>
                <w:color w:val="auto"/>
                <w:sz w:val="24"/>
                <w:highlight w:val="none"/>
              </w:rPr>
            </w:pPr>
          </w:p>
        </w:tc>
      </w:tr>
      <w:tr w14:paraId="6115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539263E4">
            <w:pPr>
              <w:jc w:val="center"/>
              <w:rPr>
                <w:rFonts w:hint="eastAsia" w:ascii="仿宋" w:hAnsi="仿宋" w:eastAsia="仿宋" w:cs="仿宋"/>
                <w:color w:val="auto"/>
                <w:sz w:val="24"/>
                <w:highlight w:val="none"/>
              </w:rPr>
            </w:pPr>
          </w:p>
        </w:tc>
        <w:tc>
          <w:tcPr>
            <w:tcW w:w="850" w:type="dxa"/>
            <w:vMerge w:val="continue"/>
            <w:vAlign w:val="center"/>
          </w:tcPr>
          <w:p w14:paraId="320F0D20">
            <w:pPr>
              <w:jc w:val="center"/>
              <w:rPr>
                <w:rFonts w:hint="eastAsia" w:ascii="仿宋" w:hAnsi="仿宋" w:eastAsia="仿宋" w:cs="仿宋"/>
                <w:color w:val="auto"/>
                <w:sz w:val="24"/>
                <w:highlight w:val="none"/>
              </w:rPr>
            </w:pPr>
          </w:p>
        </w:tc>
        <w:tc>
          <w:tcPr>
            <w:tcW w:w="913" w:type="dxa"/>
            <w:vAlign w:val="center"/>
          </w:tcPr>
          <w:p w14:paraId="067762AA">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配套设施</w:t>
            </w:r>
          </w:p>
        </w:tc>
        <w:tc>
          <w:tcPr>
            <w:tcW w:w="6750" w:type="dxa"/>
            <w:vAlign w:val="center"/>
          </w:tcPr>
          <w:p w14:paraId="2D10C5A9">
            <w:pP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避雷、机柜、开关电源控制、蓄电池、交流配电箱等杆塔配套设备，按杆塔配套实施。</w:t>
            </w:r>
          </w:p>
        </w:tc>
        <w:tc>
          <w:tcPr>
            <w:tcW w:w="750" w:type="dxa"/>
            <w:vAlign w:val="center"/>
          </w:tcPr>
          <w:p w14:paraId="777BBD2E">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1批</w:t>
            </w:r>
          </w:p>
        </w:tc>
      </w:tr>
      <w:tr w14:paraId="75EFD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restart"/>
            <w:vAlign w:val="center"/>
          </w:tcPr>
          <w:p w14:paraId="14596B84">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50" w:type="dxa"/>
            <w:vMerge w:val="restart"/>
            <w:vAlign w:val="center"/>
          </w:tcPr>
          <w:p w14:paraId="457E6FEF">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其他</w:t>
            </w:r>
          </w:p>
        </w:tc>
        <w:tc>
          <w:tcPr>
            <w:tcW w:w="913" w:type="dxa"/>
            <w:vAlign w:val="center"/>
          </w:tcPr>
          <w:p w14:paraId="1E98FA85">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辅材</w:t>
            </w:r>
          </w:p>
        </w:tc>
        <w:tc>
          <w:tcPr>
            <w:tcW w:w="6750" w:type="dxa"/>
          </w:tcPr>
          <w:p w14:paraId="6DCF79DC">
            <w:pPr>
              <w:rPr>
                <w:rFonts w:hint="eastAsia" w:ascii="仿宋" w:hAnsi="仿宋" w:eastAsia="仿宋" w:cs="仿宋"/>
                <w:color w:val="auto"/>
                <w:sz w:val="24"/>
                <w:highlight w:val="none"/>
              </w:rPr>
            </w:pPr>
            <w:r>
              <w:rPr>
                <w:rFonts w:hint="eastAsia" w:ascii="仿宋" w:hAnsi="仿宋" w:eastAsia="仿宋" w:cs="仿宋"/>
                <w:color w:val="auto"/>
                <w:sz w:val="24"/>
                <w:highlight w:val="none"/>
              </w:rPr>
              <w:t>管材，接插件。</w:t>
            </w:r>
          </w:p>
        </w:tc>
        <w:tc>
          <w:tcPr>
            <w:tcW w:w="750" w:type="dxa"/>
            <w:vAlign w:val="center"/>
          </w:tcPr>
          <w:p w14:paraId="4B82D9F1">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1项</w:t>
            </w:r>
          </w:p>
        </w:tc>
      </w:tr>
      <w:tr w14:paraId="1B84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Merge w:val="continue"/>
            <w:vAlign w:val="center"/>
          </w:tcPr>
          <w:p w14:paraId="0D2A56DD">
            <w:pPr>
              <w:jc w:val="center"/>
              <w:rPr>
                <w:rFonts w:hint="eastAsia" w:ascii="仿宋" w:hAnsi="仿宋" w:eastAsia="仿宋" w:cs="仿宋"/>
                <w:color w:val="auto"/>
                <w:sz w:val="24"/>
                <w:highlight w:val="none"/>
              </w:rPr>
            </w:pPr>
          </w:p>
        </w:tc>
        <w:tc>
          <w:tcPr>
            <w:tcW w:w="850" w:type="dxa"/>
            <w:vMerge w:val="continue"/>
            <w:vAlign w:val="center"/>
          </w:tcPr>
          <w:p w14:paraId="2C53135C">
            <w:pPr>
              <w:jc w:val="center"/>
              <w:rPr>
                <w:rFonts w:hint="eastAsia" w:ascii="仿宋" w:hAnsi="仿宋" w:eastAsia="仿宋" w:cs="仿宋"/>
                <w:color w:val="auto"/>
                <w:sz w:val="24"/>
                <w:highlight w:val="none"/>
              </w:rPr>
            </w:pPr>
          </w:p>
        </w:tc>
        <w:tc>
          <w:tcPr>
            <w:tcW w:w="913" w:type="dxa"/>
            <w:vAlign w:val="center"/>
          </w:tcPr>
          <w:p w14:paraId="0A1A774F">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安装调试费</w:t>
            </w:r>
          </w:p>
        </w:tc>
        <w:tc>
          <w:tcPr>
            <w:tcW w:w="6750" w:type="dxa"/>
          </w:tcPr>
          <w:p w14:paraId="345FBEBB">
            <w:pPr>
              <w:textAlignment w:val="center"/>
              <w:rPr>
                <w:rFonts w:eastAsia="Times New Roman"/>
                <w:color w:val="auto"/>
                <w:spacing w:val="4"/>
                <w:sz w:val="24"/>
                <w:highlight w:val="none"/>
              </w:rPr>
            </w:pPr>
            <w:r>
              <w:rPr>
                <w:rFonts w:hint="eastAsia" w:ascii="仿宋" w:hAnsi="仿宋" w:eastAsia="仿宋" w:cs="仿宋"/>
                <w:color w:val="auto"/>
                <w:sz w:val="24"/>
                <w:highlight w:val="none"/>
              </w:rPr>
              <w:t>各类设备、平台安装施工调试费用（包工包料），二次搬运、赔补等</w:t>
            </w:r>
          </w:p>
        </w:tc>
        <w:tc>
          <w:tcPr>
            <w:tcW w:w="750" w:type="dxa"/>
            <w:vAlign w:val="center"/>
          </w:tcPr>
          <w:p w14:paraId="5824EC24">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1项</w:t>
            </w:r>
          </w:p>
        </w:tc>
      </w:tr>
      <w:tr w14:paraId="24F10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5" w:type="dxa"/>
            <w:gridSpan w:val="5"/>
            <w:vAlign w:val="center"/>
          </w:tcPr>
          <w:p w14:paraId="328B4C0B">
            <w:pP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商务要求</w:t>
            </w:r>
          </w:p>
        </w:tc>
      </w:tr>
      <w:tr w14:paraId="47E0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5" w:type="dxa"/>
            <w:gridSpan w:val="3"/>
            <w:vAlign w:val="center"/>
          </w:tcPr>
          <w:p w14:paraId="4E0E11B6">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▲报价要求</w:t>
            </w:r>
          </w:p>
        </w:tc>
        <w:tc>
          <w:tcPr>
            <w:tcW w:w="7500" w:type="dxa"/>
            <w:gridSpan w:val="2"/>
            <w:vAlign w:val="center"/>
          </w:tcPr>
          <w:p w14:paraId="0CCA4C5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报价包括但不限于实施和完成本项目全部服务工作所需的劳务费、专家咨询、成果评审、物料费、资料费、培训费、交通、通讯、保险、税费、利润和招标代理服务费等业务有关一切费用，投标人须自行考虑完成项目所需的人力、物力等，投标报价中应包含全部内容，采购人不再另行支付额外费用。</w:t>
            </w:r>
          </w:p>
        </w:tc>
      </w:tr>
      <w:tr w14:paraId="28C1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5" w:type="dxa"/>
            <w:gridSpan w:val="3"/>
            <w:vAlign w:val="center"/>
          </w:tcPr>
          <w:p w14:paraId="7D138B1C">
            <w:pPr>
              <w:widowControl/>
              <w:spacing w:line="360" w:lineRule="auto"/>
              <w:jc w:val="center"/>
              <w:textAlignment w:val="center"/>
              <w:rPr>
                <w:rFonts w:hint="eastAsia" w:ascii="仿宋" w:hAnsi="仿宋" w:eastAsia="仿宋" w:cs="仿宋"/>
                <w:color w:val="auto"/>
                <w:sz w:val="24"/>
                <w:highlight w:val="none"/>
              </w:rPr>
            </w:pPr>
            <w:bookmarkStart w:id="42" w:name="_Toc32224"/>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bidi="ar"/>
              </w:rPr>
              <w:t>质量保证要求</w:t>
            </w:r>
          </w:p>
        </w:tc>
        <w:tc>
          <w:tcPr>
            <w:tcW w:w="7500" w:type="dxa"/>
            <w:gridSpan w:val="2"/>
          </w:tcPr>
          <w:p w14:paraId="71CCA2C3">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1、投标人承诺对项目全过程进行质量管理，并组织项目实施和文档编写，积极配合支持采购方的相关质量控制和质量管理监督活动。</w:t>
            </w:r>
          </w:p>
          <w:p w14:paraId="528CFAC4">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2、质量控制至少包括质量保证体系、质量保证文件、质量保证程序、质量保证措施。</w:t>
            </w:r>
          </w:p>
          <w:p w14:paraId="057D08A6">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3、投标人须保证提供生产厂商原装、全新的、符合国家及用户提出的有关质量标准的产品。</w:t>
            </w:r>
          </w:p>
        </w:tc>
      </w:tr>
      <w:tr w14:paraId="4A24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5" w:type="dxa"/>
            <w:gridSpan w:val="3"/>
            <w:vAlign w:val="center"/>
          </w:tcPr>
          <w:p w14:paraId="21911B03">
            <w:pPr>
              <w:widowControl/>
              <w:spacing w:line="360" w:lineRule="auto"/>
              <w:jc w:val="cente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bidi="ar"/>
              </w:rPr>
              <w:t>验收要求</w:t>
            </w:r>
          </w:p>
        </w:tc>
        <w:tc>
          <w:tcPr>
            <w:tcW w:w="7500" w:type="dxa"/>
            <w:gridSpan w:val="2"/>
          </w:tcPr>
          <w:p w14:paraId="56C60453">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1、验收标准原则上按照《广西壮族自治区政府采购项目履约验收管理办法》的有关要求进行。</w:t>
            </w:r>
          </w:p>
          <w:p w14:paraId="05A0D3E0">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2、验收过程中所产生的一切费用均由中标人承担。</w:t>
            </w:r>
          </w:p>
          <w:p w14:paraId="05ECE530">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3、验收时，由采购人对照合同条款进行核验。如不符合采购文件的技术需求及要求以及提供虚假承诺的，按相关规定作违约处理，中标人承担所有责任和费用，采购人保留进一步追究责任的权利。</w:t>
            </w:r>
          </w:p>
          <w:p w14:paraId="6C210760">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4、其它按合同条款的约定。</w:t>
            </w:r>
          </w:p>
        </w:tc>
      </w:tr>
      <w:tr w14:paraId="4BCF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5" w:type="dxa"/>
            <w:gridSpan w:val="3"/>
            <w:vAlign w:val="center"/>
          </w:tcPr>
          <w:p w14:paraId="033644D1">
            <w:pPr>
              <w:widowControl/>
              <w:spacing w:line="360" w:lineRule="auto"/>
              <w:jc w:val="cente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bidi="ar"/>
              </w:rPr>
              <w:t>其他要求</w:t>
            </w:r>
          </w:p>
        </w:tc>
        <w:tc>
          <w:tcPr>
            <w:tcW w:w="7500" w:type="dxa"/>
            <w:gridSpan w:val="2"/>
          </w:tcPr>
          <w:p w14:paraId="53FAB1D5">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1、项目实施地点的特殊性，投标人应无条件服从设备使用方的有关管理规定，对所获得的有关采购人各类数据、资料负有保密义务，未经采购人许可，不得向第三方泄露。</w:t>
            </w:r>
          </w:p>
          <w:p w14:paraId="53852327">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2、在本项目实施过程中，如涉及第三方知识产权等争议，由投标人承担全部责任。</w:t>
            </w:r>
          </w:p>
          <w:p w14:paraId="35A279CB">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人提供的产品技术参数、配置和性能指标必须真实有效，如高于招标要求的，应提供足以证明的技术支持资料；若经核实发现投标人有伪造、变造技术资料行为，构成提供虚假材料的，将按有关的法律、法规追究其相应的法律责任。</w:t>
            </w:r>
          </w:p>
          <w:p w14:paraId="3527266E">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为防止恶意虚假投标，采购人保留在验收前对中标人所提供的产品进行性能参数测试的权利，或要求中标人提供国家权威测试部门出具的针对这些硬件设备的测试报告，如证实有虚假应标，将按有关的法律、法规追究其相应的法律责任。</w:t>
            </w:r>
          </w:p>
          <w:p w14:paraId="39FA20F4">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投标人应保证针对本项目的货物涉及到的知识产权和所提供的相关技术资料是合法取得，并享有完整的知识产权，不会因为采购人的使用而被责令停止使用、追偿或要求赔偿损失，如出现此情况，一切经济和法律责任均由投标人承担。</w:t>
            </w:r>
          </w:p>
        </w:tc>
      </w:tr>
      <w:tr w14:paraId="42C39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5" w:type="dxa"/>
            <w:gridSpan w:val="3"/>
            <w:vAlign w:val="center"/>
          </w:tcPr>
          <w:p w14:paraId="602849FC">
            <w:pPr>
              <w:widowControl/>
              <w:spacing w:line="360" w:lineRule="auto"/>
              <w:jc w:val="cente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bidi="ar"/>
              </w:rPr>
              <w:t>售后服务要求</w:t>
            </w:r>
          </w:p>
        </w:tc>
        <w:tc>
          <w:tcPr>
            <w:tcW w:w="7500" w:type="dxa"/>
            <w:gridSpan w:val="2"/>
          </w:tcPr>
          <w:p w14:paraId="04AB2EE7">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项目维护及改造所涉及的产品按国家规定和厂家承诺实行“三包”服务。在规定的保修期内，凡货物质量事故和质量缺陷由成交人无偿保修。定期回访以及对设备维修；质保期后提供终身维修服务；其它售后服务按厂家</w:t>
            </w:r>
            <w:r>
              <w:rPr>
                <w:rFonts w:hint="eastAsia" w:ascii="仿宋" w:hAnsi="仿宋" w:eastAsia="仿宋" w:cs="仿宋"/>
                <w:color w:val="auto"/>
                <w:sz w:val="24"/>
                <w:highlight w:val="none"/>
                <w:lang w:eastAsia="zh-CN"/>
              </w:rPr>
              <w:t>承</w:t>
            </w:r>
            <w:r>
              <w:rPr>
                <w:rFonts w:hint="eastAsia" w:ascii="仿宋" w:hAnsi="仿宋" w:eastAsia="仿宋" w:cs="仿宋"/>
                <w:color w:val="auto"/>
                <w:sz w:val="24"/>
                <w:highlight w:val="none"/>
              </w:rPr>
              <w:t>诺书执行。</w:t>
            </w:r>
          </w:p>
          <w:p w14:paraId="36330C0A">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人要提供7×24小时的热线电话服务，出现故障1小时内做出响应，2小时内通过电话、邮件、微信等方式指导采购人排除故障，一般故障6小时内到现场维修，8小时内解决问题，重大故障24小时内解决问题，并提出详细的解决方案。若故障仍无法排除，中标人应提供可满足使用要求的替代产品供采购人使用，直至原产品故障排除为止（如“服务内容及技术要求”要求不一致时，按“服务内容及技术要求”中的条款执行）。</w:t>
            </w:r>
          </w:p>
          <w:p w14:paraId="5F61B758">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3、要求针对实际情况，对用户进行培训。通过培训，使采购人系统操作使用人员能熟练地使用设备；有详细培训计划，费用计入投标总价。</w:t>
            </w:r>
          </w:p>
        </w:tc>
      </w:tr>
      <w:tr w14:paraId="3872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5" w:type="dxa"/>
            <w:gridSpan w:val="3"/>
            <w:vAlign w:val="center"/>
          </w:tcPr>
          <w:p w14:paraId="63ADB524">
            <w:pPr>
              <w:widowControl/>
              <w:spacing w:line="360" w:lineRule="auto"/>
              <w:jc w:val="cente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bidi="ar"/>
              </w:rPr>
              <w:t>服务期</w:t>
            </w:r>
          </w:p>
        </w:tc>
        <w:tc>
          <w:tcPr>
            <w:tcW w:w="7500" w:type="dxa"/>
            <w:gridSpan w:val="2"/>
          </w:tcPr>
          <w:p w14:paraId="1A0B2409">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本标段项目竣工验收之日起，项目整体服务期限为5年。</w:t>
            </w:r>
          </w:p>
        </w:tc>
      </w:tr>
      <w:tr w14:paraId="7ABF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5" w:type="dxa"/>
            <w:gridSpan w:val="3"/>
            <w:vAlign w:val="center"/>
          </w:tcPr>
          <w:p w14:paraId="0F505AB0">
            <w:pPr>
              <w:widowControl/>
              <w:spacing w:line="360" w:lineRule="auto"/>
              <w:jc w:val="cente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bidi="ar"/>
              </w:rPr>
              <w:t>交货时间及地点</w:t>
            </w:r>
          </w:p>
        </w:tc>
        <w:tc>
          <w:tcPr>
            <w:tcW w:w="7500" w:type="dxa"/>
            <w:gridSpan w:val="2"/>
          </w:tcPr>
          <w:p w14:paraId="18B3D4E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kern w:val="0"/>
                <w:sz w:val="24"/>
                <w:highlight w:val="none"/>
                <w:lang w:bidi="ar"/>
              </w:rPr>
              <w:t>交货时间</w:t>
            </w:r>
            <w:r>
              <w:rPr>
                <w:rFonts w:hint="eastAsia" w:ascii="仿宋" w:hAnsi="仿宋" w:eastAsia="仿宋" w:cs="仿宋"/>
                <w:color w:val="auto"/>
                <w:sz w:val="24"/>
                <w:highlight w:val="none"/>
              </w:rPr>
              <w:t>：合同签订之日起200天内货物运抵采购人指定地点并且完成安装、调试，验收合格交付使用。</w:t>
            </w:r>
          </w:p>
          <w:p w14:paraId="45FC4A69">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2、交货地点：广西壮族自治区内，具体详见“附表”</w:t>
            </w:r>
          </w:p>
        </w:tc>
      </w:tr>
      <w:tr w14:paraId="5744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5" w:type="dxa"/>
            <w:gridSpan w:val="3"/>
            <w:vAlign w:val="center"/>
          </w:tcPr>
          <w:p w14:paraId="1CFDC0A5">
            <w:pPr>
              <w:widowControl/>
              <w:spacing w:line="360" w:lineRule="auto"/>
              <w:jc w:val="cente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bidi="ar"/>
              </w:rPr>
              <w:t>付款方式</w:t>
            </w:r>
          </w:p>
        </w:tc>
        <w:tc>
          <w:tcPr>
            <w:tcW w:w="7500" w:type="dxa"/>
            <w:gridSpan w:val="2"/>
          </w:tcPr>
          <w:p w14:paraId="4DD445B2">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rPr>
              <w:t>预</w:t>
            </w:r>
            <w:r>
              <w:rPr>
                <w:rFonts w:hint="eastAsia" w:ascii="仿宋" w:hAnsi="仿宋" w:eastAsia="仿宋" w:cs="仿宋"/>
                <w:color w:val="auto"/>
                <w:sz w:val="24"/>
                <w:highlight w:val="none"/>
              </w:rPr>
              <w:t>付款（合同总价的30%）合同签订生效后[10]个工作日内，招标人向中标人支付合同总价的30%作为项目</w:t>
            </w:r>
            <w:r>
              <w:rPr>
                <w:rFonts w:hint="eastAsia" w:ascii="仿宋" w:hAnsi="仿宋" w:eastAsia="仿宋" w:cs="仿宋"/>
                <w:color w:val="auto"/>
                <w:sz w:val="24"/>
                <w:highlight w:val="none"/>
              </w:rPr>
              <w:t>预</w:t>
            </w:r>
            <w:r>
              <w:rPr>
                <w:rFonts w:hint="eastAsia" w:ascii="仿宋" w:hAnsi="仿宋" w:eastAsia="仿宋" w:cs="仿宋"/>
                <w:color w:val="auto"/>
                <w:sz w:val="24"/>
                <w:highlight w:val="none"/>
              </w:rPr>
              <w:t>付款，用于中标人开展设备采购、生产备货等前期工作。</w:t>
            </w:r>
          </w:p>
          <w:p w14:paraId="638289A4">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2、竣工结算款（合同总价的65%）中标人完成本标段全部设备安装、调试、系统联调及人员培训工作，项目达到合同约定的技术标准和使用要求，经招标人组织竣工验收合格并签署《竣工验收报告》后 [10] 个工作日内，支付合同总价的65% 。</w:t>
            </w:r>
          </w:p>
          <w:p w14:paraId="21E73976">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3、项目终验款（合同总价的5%）通过项目整体验收，支付剩余本合同项下5%合同款，至此合同款支付完毕。</w:t>
            </w:r>
          </w:p>
          <w:p w14:paraId="3E943863">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其他约定（1）中标人每次申请付款时，需向招标人提供等额、合法、有效的增值税发票，否则招标人有权顺延付款时间，且不承担违约责任。（2）付款均通过银行转账方式进行，具体付款账户信息以合同约定为准。</w:t>
            </w:r>
          </w:p>
        </w:tc>
      </w:tr>
      <w:tr w14:paraId="7B93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5" w:type="dxa"/>
            <w:gridSpan w:val="3"/>
            <w:vAlign w:val="center"/>
          </w:tcPr>
          <w:p w14:paraId="674B42BF">
            <w:pPr>
              <w:widowControl/>
              <w:spacing w:line="360" w:lineRule="auto"/>
              <w:jc w:val="center"/>
              <w:textAlignment w:val="center"/>
              <w:rPr>
                <w:rFonts w:hint="eastAsia"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核心产品</w:t>
            </w:r>
          </w:p>
        </w:tc>
        <w:tc>
          <w:tcPr>
            <w:tcW w:w="7500" w:type="dxa"/>
            <w:gridSpan w:val="2"/>
          </w:tcPr>
          <w:p w14:paraId="4D4C99BD">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前端监控设备</w:t>
            </w:r>
            <w:r>
              <w:rPr>
                <w:rFonts w:hint="eastAsia" w:ascii="仿宋" w:hAnsi="仿宋" w:eastAsia="仿宋" w:cs="仿宋"/>
                <w:color w:val="auto"/>
                <w:sz w:val="24"/>
                <w:highlight w:val="none"/>
              </w:rPr>
              <w:t>为本项目核心产品。</w:t>
            </w:r>
          </w:p>
          <w:p w14:paraId="0EB2C746">
            <w:pPr>
              <w:widowControl/>
              <w:spacing w:line="360" w:lineRule="auto"/>
              <w:ind w:firstLine="480" w:firstLineChars="200"/>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14:paraId="7A85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5" w:type="dxa"/>
            <w:gridSpan w:val="5"/>
            <w:vAlign w:val="center"/>
          </w:tcPr>
          <w:p w14:paraId="62B7D3F4">
            <w:pPr>
              <w:widowControl/>
              <w:spacing w:line="360" w:lineRule="auto"/>
              <w:jc w:val="left"/>
              <w:textAlignment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说明：1、本项目招标控制价、招标工程量清单、图纸（另附）。货物的技术参数、功能要求、配置以本章采购需求为准。</w:t>
            </w:r>
          </w:p>
          <w:p w14:paraId="414B22DD">
            <w:pPr>
              <w:widowControl/>
              <w:spacing w:line="360" w:lineRule="auto"/>
              <w:jc w:val="left"/>
              <w:textAlignment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2、如招标控制价及招标工程量清单文件内项目名称与本招标文件项目名称不一致的， 以本招标文件项目名称为准。</w:t>
            </w:r>
          </w:p>
        </w:tc>
      </w:tr>
    </w:tbl>
    <w:p w14:paraId="67420C14">
      <w:pPr>
        <w:rPr>
          <w:rFonts w:hint="eastAsia" w:ascii="仿宋" w:hAnsi="仿宋" w:eastAsia="仿宋" w:cs="仿宋"/>
          <w:color w:val="auto"/>
          <w:sz w:val="24"/>
          <w:highlight w:val="none"/>
        </w:rPr>
      </w:pPr>
    </w:p>
    <w:p w14:paraId="6BD65A1E">
      <w:pPr>
        <w:rPr>
          <w:rFonts w:hint="eastAsia" w:ascii="仿宋" w:hAnsi="仿宋" w:eastAsia="仿宋" w:cs="仿宋"/>
          <w:color w:val="auto"/>
          <w:sz w:val="24"/>
          <w:highlight w:val="none"/>
        </w:rPr>
      </w:pPr>
      <w:r>
        <w:rPr>
          <w:rFonts w:hint="eastAsia" w:ascii="仿宋" w:hAnsi="仿宋" w:eastAsia="仿宋" w:cs="仿宋"/>
          <w:color w:val="auto"/>
          <w:sz w:val="24"/>
          <w:highlight w:val="none"/>
        </w:rPr>
        <w:t>附表：视频监控塔安装地点</w:t>
      </w:r>
    </w:p>
    <w:tbl>
      <w:tblPr>
        <w:tblStyle w:val="46"/>
        <w:tblW w:w="0" w:type="auto"/>
        <w:tblInd w:w="7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7500"/>
      </w:tblGrid>
      <w:tr w14:paraId="315D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194C1E99">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500" w:type="dxa"/>
          </w:tcPr>
          <w:p w14:paraId="183E8410">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安装地点</w:t>
            </w:r>
          </w:p>
        </w:tc>
      </w:tr>
      <w:tr w14:paraId="5BF5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5CD31F06">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7500" w:type="dxa"/>
          </w:tcPr>
          <w:p w14:paraId="2A5A0EC9">
            <w:pPr>
              <w:rPr>
                <w:rFonts w:hint="eastAsia" w:ascii="仿宋" w:hAnsi="仿宋" w:eastAsia="仿宋" w:cs="仿宋"/>
                <w:color w:val="auto"/>
                <w:sz w:val="24"/>
                <w:highlight w:val="none"/>
              </w:rPr>
            </w:pPr>
            <w:r>
              <w:rPr>
                <w:rFonts w:ascii="仿宋_GB2312" w:hAnsi="仿宋_GB2312" w:eastAsia="仿宋_GB2312" w:cs="仿宋_GB2312"/>
                <w:color w:val="auto"/>
                <w:spacing w:val="7"/>
                <w:sz w:val="24"/>
                <w:highlight w:val="none"/>
              </w:rPr>
              <w:t>黄冕林场板勒分场龙虎山视</w:t>
            </w:r>
            <w:r>
              <w:rPr>
                <w:rFonts w:ascii="仿宋_GB2312" w:hAnsi="仿宋_GB2312" w:eastAsia="仿宋_GB2312" w:cs="仿宋_GB2312"/>
                <w:color w:val="auto"/>
                <w:spacing w:val="6"/>
                <w:sz w:val="24"/>
                <w:highlight w:val="none"/>
              </w:rPr>
              <w:t>频监控点</w:t>
            </w:r>
          </w:p>
        </w:tc>
      </w:tr>
      <w:tr w14:paraId="56CB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05A58DA3">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7500" w:type="dxa"/>
          </w:tcPr>
          <w:p w14:paraId="3B376288">
            <w:pPr>
              <w:rPr>
                <w:rFonts w:hint="eastAsia" w:ascii="仿宋" w:hAnsi="仿宋" w:eastAsia="仿宋" w:cs="仿宋"/>
                <w:color w:val="auto"/>
                <w:sz w:val="24"/>
                <w:highlight w:val="none"/>
              </w:rPr>
            </w:pPr>
            <w:r>
              <w:rPr>
                <w:rFonts w:ascii="仿宋_GB2312" w:hAnsi="仿宋_GB2312" w:eastAsia="仿宋_GB2312" w:cs="仿宋_GB2312"/>
                <w:color w:val="auto"/>
                <w:spacing w:val="7"/>
                <w:sz w:val="24"/>
                <w:highlight w:val="none"/>
              </w:rPr>
              <w:t>黄冕林场沙塘分场古云背视</w:t>
            </w:r>
            <w:r>
              <w:rPr>
                <w:rFonts w:ascii="仿宋_GB2312" w:hAnsi="仿宋_GB2312" w:eastAsia="仿宋_GB2312" w:cs="仿宋_GB2312"/>
                <w:color w:val="auto"/>
                <w:spacing w:val="6"/>
                <w:sz w:val="24"/>
                <w:highlight w:val="none"/>
              </w:rPr>
              <w:t>频监控点</w:t>
            </w:r>
          </w:p>
        </w:tc>
      </w:tr>
      <w:tr w14:paraId="725E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660574F1">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7500" w:type="dxa"/>
          </w:tcPr>
          <w:p w14:paraId="7A643BFB">
            <w:pPr>
              <w:rPr>
                <w:rFonts w:hint="eastAsia" w:ascii="仿宋" w:hAnsi="仿宋" w:eastAsia="仿宋" w:cs="仿宋"/>
                <w:color w:val="auto"/>
                <w:sz w:val="24"/>
                <w:highlight w:val="none"/>
              </w:rPr>
            </w:pPr>
            <w:r>
              <w:rPr>
                <w:rFonts w:ascii="仿宋_GB2312" w:hAnsi="仿宋_GB2312" w:eastAsia="仿宋_GB2312" w:cs="仿宋_GB2312"/>
                <w:color w:val="auto"/>
                <w:spacing w:val="7"/>
                <w:sz w:val="24"/>
                <w:highlight w:val="none"/>
              </w:rPr>
              <w:t>黄冕林场盘龙分场秋鱼岭视</w:t>
            </w:r>
            <w:r>
              <w:rPr>
                <w:rFonts w:ascii="仿宋_GB2312" w:hAnsi="仿宋_GB2312" w:eastAsia="仿宋_GB2312" w:cs="仿宋_GB2312"/>
                <w:color w:val="auto"/>
                <w:spacing w:val="6"/>
                <w:sz w:val="24"/>
                <w:highlight w:val="none"/>
              </w:rPr>
              <w:t>频监控点</w:t>
            </w:r>
          </w:p>
        </w:tc>
      </w:tr>
      <w:tr w14:paraId="032B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1BE8D0E8">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7500" w:type="dxa"/>
          </w:tcPr>
          <w:p w14:paraId="4DA30CB4">
            <w:pPr>
              <w:spacing w:before="65" w:line="250" w:lineRule="auto"/>
              <w:ind w:right="198"/>
              <w:rPr>
                <w:rFonts w:hint="eastAsia" w:ascii="仿宋" w:hAnsi="仿宋" w:eastAsia="仿宋" w:cs="仿宋"/>
                <w:color w:val="auto"/>
                <w:sz w:val="24"/>
                <w:highlight w:val="none"/>
              </w:rPr>
            </w:pPr>
            <w:r>
              <w:rPr>
                <w:rFonts w:ascii="仿宋_GB2312" w:hAnsi="仿宋_GB2312" w:eastAsia="仿宋_GB2312" w:cs="仿宋_GB2312"/>
                <w:color w:val="auto"/>
                <w:spacing w:val="7"/>
                <w:sz w:val="24"/>
                <w:highlight w:val="none"/>
              </w:rPr>
              <w:t>黄冕林场里定分场上尧</w:t>
            </w:r>
            <w:r>
              <w:rPr>
                <w:rFonts w:ascii="宋体" w:hAnsi="宋体" w:cs="宋体"/>
                <w:color w:val="auto"/>
                <w:spacing w:val="7"/>
                <w:sz w:val="24"/>
                <w:highlight w:val="none"/>
              </w:rPr>
              <w:t>瞭</w:t>
            </w:r>
            <w:r>
              <w:rPr>
                <w:rFonts w:ascii="仿宋_GB2312" w:hAnsi="仿宋_GB2312" w:eastAsia="仿宋_GB2312" w:cs="仿宋_GB2312"/>
                <w:color w:val="auto"/>
                <w:spacing w:val="7"/>
                <w:sz w:val="24"/>
                <w:highlight w:val="none"/>
              </w:rPr>
              <w:t>望塔视频监控点</w:t>
            </w:r>
          </w:p>
        </w:tc>
      </w:tr>
      <w:tr w14:paraId="59444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29752AFB">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7500" w:type="dxa"/>
          </w:tcPr>
          <w:p w14:paraId="0EFE9FC7">
            <w:pPr>
              <w:spacing w:before="65" w:line="251" w:lineRule="auto"/>
              <w:ind w:right="198"/>
              <w:rPr>
                <w:rFonts w:hint="eastAsia" w:ascii="仿宋" w:hAnsi="仿宋" w:eastAsia="仿宋" w:cs="仿宋"/>
                <w:color w:val="auto"/>
                <w:sz w:val="24"/>
                <w:highlight w:val="none"/>
              </w:rPr>
            </w:pPr>
            <w:r>
              <w:rPr>
                <w:rFonts w:ascii="仿宋_GB2312" w:hAnsi="仿宋_GB2312" w:eastAsia="仿宋_GB2312" w:cs="仿宋_GB2312"/>
                <w:color w:val="auto"/>
                <w:spacing w:val="7"/>
                <w:sz w:val="24"/>
                <w:highlight w:val="none"/>
              </w:rPr>
              <w:t>黄冕林场洛清</w:t>
            </w:r>
            <w:r>
              <w:rPr>
                <w:rFonts w:ascii="仿宋_GB2312" w:hAnsi="仿宋_GB2312" w:eastAsia="仿宋_GB2312" w:cs="仿宋_GB2312"/>
                <w:color w:val="auto"/>
                <w:spacing w:val="6"/>
                <w:sz w:val="24"/>
                <w:highlight w:val="none"/>
              </w:rPr>
              <w:t>江分场兰麻视</w:t>
            </w:r>
            <w:r>
              <w:rPr>
                <w:rFonts w:ascii="仿宋_GB2312" w:hAnsi="仿宋_GB2312" w:eastAsia="仿宋_GB2312" w:cs="仿宋_GB2312"/>
                <w:color w:val="auto"/>
                <w:spacing w:val="4"/>
                <w:sz w:val="24"/>
                <w:highlight w:val="none"/>
              </w:rPr>
              <w:t>频监控点</w:t>
            </w:r>
          </w:p>
        </w:tc>
      </w:tr>
      <w:tr w14:paraId="4943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2CA853BB">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7500" w:type="dxa"/>
          </w:tcPr>
          <w:p w14:paraId="50A0F0D1">
            <w:pPr>
              <w:spacing w:before="65" w:line="250" w:lineRule="auto"/>
              <w:ind w:right="198"/>
              <w:rPr>
                <w:rFonts w:hint="eastAsia" w:ascii="仿宋" w:hAnsi="仿宋" w:eastAsia="仿宋" w:cs="仿宋"/>
                <w:color w:val="auto"/>
                <w:sz w:val="24"/>
                <w:highlight w:val="none"/>
              </w:rPr>
            </w:pPr>
            <w:r>
              <w:rPr>
                <w:rFonts w:ascii="仿宋_GB2312" w:hAnsi="仿宋_GB2312" w:eastAsia="仿宋_GB2312" w:cs="仿宋_GB2312"/>
                <w:color w:val="auto"/>
                <w:spacing w:val="8"/>
                <w:sz w:val="24"/>
                <w:highlight w:val="none"/>
              </w:rPr>
              <w:t>钦廉林场石湾</w:t>
            </w:r>
            <w:r>
              <w:rPr>
                <w:rFonts w:ascii="仿宋_GB2312" w:hAnsi="仿宋_GB2312" w:eastAsia="仿宋_GB2312" w:cs="仿宋_GB2312"/>
                <w:color w:val="auto"/>
                <w:spacing w:val="7"/>
                <w:sz w:val="24"/>
                <w:highlight w:val="none"/>
              </w:rPr>
              <w:t>分场西射马视</w:t>
            </w:r>
            <w:r>
              <w:rPr>
                <w:rFonts w:ascii="仿宋_GB2312" w:hAnsi="仿宋_GB2312" w:eastAsia="仿宋_GB2312" w:cs="仿宋_GB2312"/>
                <w:color w:val="auto"/>
                <w:spacing w:val="6"/>
                <w:sz w:val="24"/>
                <w:highlight w:val="none"/>
              </w:rPr>
              <w:t>频监控点</w:t>
            </w:r>
          </w:p>
        </w:tc>
      </w:tr>
      <w:tr w14:paraId="732E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3B65DA5F">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7500" w:type="dxa"/>
          </w:tcPr>
          <w:p w14:paraId="4D77420E">
            <w:pPr>
              <w:spacing w:before="65" w:line="251" w:lineRule="auto"/>
              <w:ind w:right="198"/>
              <w:rPr>
                <w:rFonts w:hint="eastAsia" w:ascii="仿宋" w:hAnsi="仿宋" w:eastAsia="仿宋" w:cs="仿宋"/>
                <w:color w:val="auto"/>
                <w:sz w:val="24"/>
                <w:highlight w:val="none"/>
              </w:rPr>
            </w:pPr>
            <w:r>
              <w:rPr>
                <w:rFonts w:ascii="仿宋_GB2312" w:hAnsi="仿宋_GB2312" w:eastAsia="仿宋_GB2312" w:cs="仿宋_GB2312"/>
                <w:color w:val="auto"/>
                <w:spacing w:val="7"/>
                <w:sz w:val="24"/>
                <w:highlight w:val="none"/>
              </w:rPr>
              <w:t>雅长林场果麻分场八坝坳视</w:t>
            </w:r>
            <w:r>
              <w:rPr>
                <w:rFonts w:ascii="仿宋_GB2312" w:hAnsi="仿宋_GB2312" w:eastAsia="仿宋_GB2312" w:cs="仿宋_GB2312"/>
                <w:color w:val="auto"/>
                <w:spacing w:val="6"/>
                <w:sz w:val="24"/>
                <w:highlight w:val="none"/>
              </w:rPr>
              <w:t>频监控点</w:t>
            </w:r>
          </w:p>
        </w:tc>
      </w:tr>
      <w:tr w14:paraId="584E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46F20EB9">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7500" w:type="dxa"/>
          </w:tcPr>
          <w:p w14:paraId="4F2BA466">
            <w:pPr>
              <w:spacing w:before="65" w:line="251" w:lineRule="auto"/>
              <w:ind w:right="198"/>
              <w:rPr>
                <w:rFonts w:hint="eastAsia" w:ascii="仿宋" w:hAnsi="仿宋" w:eastAsia="仿宋" w:cs="仿宋"/>
                <w:color w:val="auto"/>
                <w:sz w:val="24"/>
                <w:highlight w:val="none"/>
              </w:rPr>
            </w:pPr>
            <w:r>
              <w:rPr>
                <w:rFonts w:ascii="仿宋_GB2312" w:hAnsi="仿宋_GB2312" w:eastAsia="仿宋_GB2312" w:cs="仿宋_GB2312"/>
                <w:color w:val="auto"/>
                <w:spacing w:val="7"/>
                <w:sz w:val="24"/>
                <w:highlight w:val="none"/>
              </w:rPr>
              <w:t>雅长林场九龙分场九龙台视</w:t>
            </w:r>
            <w:r>
              <w:rPr>
                <w:rFonts w:ascii="仿宋_GB2312" w:hAnsi="仿宋_GB2312" w:eastAsia="仿宋_GB2312" w:cs="仿宋_GB2312"/>
                <w:color w:val="auto"/>
                <w:spacing w:val="6"/>
                <w:sz w:val="24"/>
                <w:highlight w:val="none"/>
              </w:rPr>
              <w:t>频监控点</w:t>
            </w:r>
          </w:p>
        </w:tc>
      </w:tr>
      <w:tr w14:paraId="0088F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61D07E13">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7500" w:type="dxa"/>
          </w:tcPr>
          <w:p w14:paraId="16817C44">
            <w:pPr>
              <w:spacing w:before="65" w:line="251" w:lineRule="auto"/>
              <w:ind w:right="198"/>
              <w:rPr>
                <w:rFonts w:hint="eastAsia" w:ascii="仿宋" w:hAnsi="仿宋" w:eastAsia="仿宋" w:cs="仿宋"/>
                <w:color w:val="auto"/>
                <w:sz w:val="24"/>
                <w:highlight w:val="none"/>
              </w:rPr>
            </w:pPr>
            <w:r>
              <w:rPr>
                <w:rFonts w:ascii="仿宋_GB2312" w:hAnsi="仿宋_GB2312" w:eastAsia="仿宋_GB2312" w:cs="仿宋_GB2312"/>
                <w:color w:val="auto"/>
                <w:spacing w:val="7"/>
                <w:sz w:val="24"/>
                <w:highlight w:val="none"/>
              </w:rPr>
              <w:t>雅长林场雅庭分场毛砍草台视频监控点</w:t>
            </w:r>
          </w:p>
        </w:tc>
      </w:tr>
      <w:tr w14:paraId="15E3E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225010EB">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7500" w:type="dxa"/>
          </w:tcPr>
          <w:p w14:paraId="74A5C0D7">
            <w:pPr>
              <w:spacing w:before="65" w:line="251" w:lineRule="auto"/>
              <w:ind w:right="198"/>
              <w:rPr>
                <w:rFonts w:hint="eastAsia" w:ascii="仿宋" w:hAnsi="仿宋" w:eastAsia="仿宋" w:cs="仿宋"/>
                <w:color w:val="auto"/>
                <w:sz w:val="24"/>
                <w:highlight w:val="none"/>
              </w:rPr>
            </w:pPr>
            <w:r>
              <w:rPr>
                <w:rFonts w:ascii="仿宋_GB2312" w:hAnsi="仿宋_GB2312" w:eastAsia="仿宋_GB2312" w:cs="仿宋_GB2312"/>
                <w:color w:val="auto"/>
                <w:spacing w:val="6"/>
                <w:sz w:val="24"/>
                <w:highlight w:val="none"/>
              </w:rPr>
              <w:t>大桂山林场六</w:t>
            </w:r>
            <w:r>
              <w:rPr>
                <w:rFonts w:ascii="仿宋_GB2312" w:hAnsi="仿宋_GB2312" w:eastAsia="仿宋_GB2312" w:cs="仿宋_GB2312"/>
                <w:color w:val="auto"/>
                <w:spacing w:val="7"/>
                <w:sz w:val="24"/>
                <w:highlight w:val="none"/>
              </w:rPr>
              <w:t>排分场留羊站视频监控点</w:t>
            </w:r>
          </w:p>
        </w:tc>
      </w:tr>
      <w:tr w14:paraId="2D1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6387C9B1">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7500" w:type="dxa"/>
          </w:tcPr>
          <w:p w14:paraId="6B516836">
            <w:pPr>
              <w:spacing w:before="65" w:line="251" w:lineRule="auto"/>
              <w:ind w:right="198"/>
              <w:rPr>
                <w:rFonts w:hint="eastAsia" w:ascii="仿宋" w:hAnsi="仿宋" w:eastAsia="仿宋" w:cs="仿宋"/>
                <w:color w:val="auto"/>
                <w:sz w:val="24"/>
                <w:highlight w:val="none"/>
              </w:rPr>
            </w:pPr>
            <w:r>
              <w:rPr>
                <w:rFonts w:ascii="仿宋_GB2312" w:hAnsi="仿宋_GB2312" w:eastAsia="仿宋_GB2312" w:cs="仿宋_GB2312"/>
                <w:color w:val="auto"/>
                <w:spacing w:val="6"/>
                <w:sz w:val="24"/>
                <w:highlight w:val="none"/>
              </w:rPr>
              <w:t>大桂山林场茶</w:t>
            </w:r>
            <w:r>
              <w:rPr>
                <w:rFonts w:ascii="仿宋_GB2312" w:hAnsi="仿宋_GB2312" w:eastAsia="仿宋_GB2312" w:cs="仿宋_GB2312"/>
                <w:color w:val="auto"/>
                <w:spacing w:val="8"/>
                <w:sz w:val="24"/>
                <w:highlight w:val="none"/>
              </w:rPr>
              <w:t>冲分场茶冲站猪婆顶视频监</w:t>
            </w:r>
            <w:r>
              <w:rPr>
                <w:rFonts w:ascii="仿宋_GB2312" w:hAnsi="仿宋_GB2312" w:eastAsia="仿宋_GB2312" w:cs="仿宋_GB2312"/>
                <w:color w:val="auto"/>
                <w:spacing w:val="5"/>
                <w:sz w:val="24"/>
                <w:highlight w:val="none"/>
              </w:rPr>
              <w:t>控点</w:t>
            </w:r>
          </w:p>
        </w:tc>
      </w:tr>
      <w:tr w14:paraId="1202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038B7FBC">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7500" w:type="dxa"/>
          </w:tcPr>
          <w:p w14:paraId="19B00D7D">
            <w:pPr>
              <w:spacing w:before="65" w:line="251" w:lineRule="auto"/>
              <w:ind w:right="198"/>
              <w:rPr>
                <w:rFonts w:hint="eastAsia" w:ascii="仿宋" w:hAnsi="仿宋" w:eastAsia="仿宋" w:cs="仿宋"/>
                <w:color w:val="auto"/>
                <w:sz w:val="24"/>
                <w:highlight w:val="none"/>
              </w:rPr>
            </w:pPr>
            <w:r>
              <w:rPr>
                <w:rFonts w:ascii="仿宋_GB2312" w:hAnsi="仿宋_GB2312" w:eastAsia="仿宋_GB2312" w:cs="仿宋_GB2312"/>
                <w:color w:val="auto"/>
                <w:spacing w:val="6"/>
                <w:sz w:val="24"/>
                <w:highlight w:val="none"/>
              </w:rPr>
              <w:t>大桂山林场清</w:t>
            </w:r>
            <w:r>
              <w:rPr>
                <w:rFonts w:ascii="仿宋_GB2312" w:hAnsi="仿宋_GB2312" w:eastAsia="仿宋_GB2312" w:cs="仿宋_GB2312"/>
                <w:color w:val="auto"/>
                <w:spacing w:val="8"/>
                <w:sz w:val="24"/>
                <w:highlight w:val="none"/>
              </w:rPr>
              <w:t>水分场桐冲站大洲顶视频监</w:t>
            </w:r>
            <w:r>
              <w:rPr>
                <w:rFonts w:ascii="仿宋_GB2312" w:hAnsi="仿宋_GB2312" w:eastAsia="仿宋_GB2312" w:cs="仿宋_GB2312"/>
                <w:color w:val="auto"/>
                <w:spacing w:val="5"/>
                <w:sz w:val="24"/>
                <w:highlight w:val="none"/>
              </w:rPr>
              <w:t>控点</w:t>
            </w:r>
          </w:p>
        </w:tc>
      </w:tr>
      <w:tr w14:paraId="69BC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7C220EB2">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7500" w:type="dxa"/>
          </w:tcPr>
          <w:p w14:paraId="419AC677">
            <w:pPr>
              <w:spacing w:before="65" w:line="251" w:lineRule="auto"/>
              <w:ind w:right="198"/>
              <w:rPr>
                <w:rFonts w:hint="eastAsia" w:ascii="仿宋" w:hAnsi="仿宋" w:eastAsia="仿宋" w:cs="仿宋"/>
                <w:color w:val="auto"/>
                <w:sz w:val="24"/>
                <w:highlight w:val="none"/>
              </w:rPr>
            </w:pPr>
            <w:r>
              <w:rPr>
                <w:rFonts w:ascii="仿宋_GB2312" w:hAnsi="仿宋_GB2312" w:eastAsia="仿宋_GB2312" w:cs="仿宋_GB2312"/>
                <w:color w:val="auto"/>
                <w:spacing w:val="6"/>
                <w:sz w:val="24"/>
                <w:highlight w:val="none"/>
              </w:rPr>
              <w:t>大桂山林场六</w:t>
            </w:r>
            <w:r>
              <w:rPr>
                <w:rFonts w:ascii="仿宋_GB2312" w:hAnsi="仿宋_GB2312" w:eastAsia="仿宋_GB2312" w:cs="仿宋_GB2312"/>
                <w:color w:val="auto"/>
                <w:spacing w:val="7"/>
                <w:sz w:val="24"/>
                <w:highlight w:val="none"/>
              </w:rPr>
              <w:t>排分场保塘站视频监控点</w:t>
            </w:r>
          </w:p>
        </w:tc>
      </w:tr>
      <w:tr w14:paraId="50496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010E2DCE">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14</w:t>
            </w:r>
          </w:p>
        </w:tc>
        <w:tc>
          <w:tcPr>
            <w:tcW w:w="7500" w:type="dxa"/>
          </w:tcPr>
          <w:p w14:paraId="17FFED90">
            <w:pPr>
              <w:spacing w:before="65" w:line="251" w:lineRule="auto"/>
              <w:ind w:right="198"/>
              <w:rPr>
                <w:rFonts w:hint="eastAsia" w:ascii="仿宋" w:hAnsi="仿宋" w:eastAsia="仿宋" w:cs="仿宋"/>
                <w:color w:val="auto"/>
                <w:sz w:val="24"/>
                <w:highlight w:val="none"/>
              </w:rPr>
            </w:pPr>
            <w:r>
              <w:rPr>
                <w:rFonts w:ascii="仿宋_GB2312" w:hAnsi="仿宋_GB2312" w:eastAsia="仿宋_GB2312" w:cs="仿宋_GB2312"/>
                <w:color w:val="auto"/>
                <w:spacing w:val="5"/>
                <w:sz w:val="24"/>
                <w:highlight w:val="none"/>
              </w:rPr>
              <w:t>三门江林场鹿</w:t>
            </w:r>
            <w:r>
              <w:rPr>
                <w:rFonts w:ascii="仿宋_GB2312" w:hAnsi="仿宋_GB2312" w:eastAsia="仿宋_GB2312" w:cs="仿宋_GB2312"/>
                <w:color w:val="auto"/>
                <w:spacing w:val="7"/>
                <w:sz w:val="24"/>
                <w:highlight w:val="none"/>
              </w:rPr>
              <w:t>寨县龙母分场视频监控点</w:t>
            </w:r>
          </w:p>
        </w:tc>
      </w:tr>
      <w:tr w14:paraId="2803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2B6ED2E9">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15</w:t>
            </w:r>
          </w:p>
        </w:tc>
        <w:tc>
          <w:tcPr>
            <w:tcW w:w="7500" w:type="dxa"/>
          </w:tcPr>
          <w:p w14:paraId="559DF66E">
            <w:pPr>
              <w:spacing w:before="65" w:line="252" w:lineRule="auto"/>
              <w:ind w:right="198"/>
              <w:rPr>
                <w:rFonts w:hint="eastAsia" w:ascii="仿宋" w:hAnsi="仿宋" w:eastAsia="仿宋" w:cs="仿宋"/>
                <w:color w:val="auto"/>
                <w:sz w:val="24"/>
                <w:highlight w:val="none"/>
              </w:rPr>
            </w:pPr>
            <w:r>
              <w:rPr>
                <w:rFonts w:ascii="仿宋_GB2312" w:hAnsi="仿宋_GB2312" w:eastAsia="仿宋_GB2312" w:cs="仿宋_GB2312"/>
                <w:color w:val="auto"/>
                <w:spacing w:val="5"/>
                <w:sz w:val="24"/>
                <w:highlight w:val="none"/>
              </w:rPr>
              <w:t>三门江林场鹿</w:t>
            </w:r>
            <w:r>
              <w:rPr>
                <w:rFonts w:ascii="仿宋_GB2312" w:hAnsi="仿宋_GB2312" w:eastAsia="仿宋_GB2312" w:cs="仿宋_GB2312"/>
                <w:color w:val="auto"/>
                <w:spacing w:val="8"/>
                <w:sz w:val="24"/>
                <w:highlight w:val="none"/>
              </w:rPr>
              <w:t>寨县江口分场桂兴视频监控</w:t>
            </w:r>
            <w:r>
              <w:rPr>
                <w:rFonts w:ascii="仿宋_GB2312" w:hAnsi="仿宋_GB2312" w:eastAsia="仿宋_GB2312" w:cs="仿宋_GB2312"/>
                <w:color w:val="auto"/>
                <w:spacing w:val="1"/>
                <w:sz w:val="24"/>
                <w:highlight w:val="none"/>
              </w:rPr>
              <w:t>点</w:t>
            </w:r>
          </w:p>
        </w:tc>
      </w:tr>
      <w:tr w14:paraId="7C03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33D8B155">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16</w:t>
            </w:r>
          </w:p>
        </w:tc>
        <w:tc>
          <w:tcPr>
            <w:tcW w:w="7500" w:type="dxa"/>
          </w:tcPr>
          <w:p w14:paraId="1B17D2F0">
            <w:pPr>
              <w:spacing w:before="65" w:line="252" w:lineRule="auto"/>
              <w:ind w:right="198"/>
              <w:rPr>
                <w:rFonts w:hint="eastAsia" w:ascii="仿宋" w:hAnsi="仿宋" w:eastAsia="仿宋" w:cs="仿宋"/>
                <w:color w:val="auto"/>
                <w:sz w:val="24"/>
                <w:highlight w:val="none"/>
              </w:rPr>
            </w:pPr>
            <w:r>
              <w:rPr>
                <w:rFonts w:ascii="仿宋_GB2312" w:hAnsi="仿宋_GB2312" w:eastAsia="仿宋_GB2312" w:cs="仿宋_GB2312"/>
                <w:color w:val="auto"/>
                <w:spacing w:val="5"/>
                <w:sz w:val="24"/>
                <w:highlight w:val="none"/>
              </w:rPr>
              <w:t>三门江林场鹿</w:t>
            </w:r>
            <w:r>
              <w:rPr>
                <w:rFonts w:ascii="仿宋_GB2312" w:hAnsi="仿宋_GB2312" w:eastAsia="仿宋_GB2312" w:cs="仿宋_GB2312"/>
                <w:color w:val="auto"/>
                <w:spacing w:val="7"/>
                <w:sz w:val="24"/>
                <w:highlight w:val="none"/>
              </w:rPr>
              <w:t>寨县马步分场望火楼视频监</w:t>
            </w:r>
            <w:r>
              <w:rPr>
                <w:rFonts w:ascii="仿宋_GB2312" w:hAnsi="仿宋_GB2312" w:eastAsia="仿宋_GB2312" w:cs="仿宋_GB2312"/>
                <w:color w:val="auto"/>
                <w:spacing w:val="3"/>
                <w:sz w:val="24"/>
                <w:highlight w:val="none"/>
              </w:rPr>
              <w:t>控点</w:t>
            </w:r>
          </w:p>
        </w:tc>
      </w:tr>
      <w:tr w14:paraId="21BA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3F6088D6">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17</w:t>
            </w:r>
          </w:p>
        </w:tc>
        <w:tc>
          <w:tcPr>
            <w:tcW w:w="7500" w:type="dxa"/>
          </w:tcPr>
          <w:p w14:paraId="756E40D9">
            <w:pPr>
              <w:spacing w:before="65" w:line="251" w:lineRule="auto"/>
              <w:ind w:right="198"/>
              <w:rPr>
                <w:rFonts w:hint="eastAsia" w:ascii="仿宋" w:hAnsi="仿宋" w:eastAsia="仿宋" w:cs="仿宋"/>
                <w:color w:val="auto"/>
                <w:sz w:val="24"/>
                <w:highlight w:val="none"/>
              </w:rPr>
            </w:pPr>
            <w:r>
              <w:rPr>
                <w:rFonts w:ascii="仿宋_GB2312" w:hAnsi="仿宋_GB2312" w:eastAsia="仿宋_GB2312" w:cs="仿宋_GB2312"/>
                <w:color w:val="auto"/>
                <w:spacing w:val="7"/>
                <w:sz w:val="24"/>
                <w:highlight w:val="none"/>
              </w:rPr>
              <w:t>雅长保护区罗家田视频监控</w:t>
            </w:r>
            <w:r>
              <w:rPr>
                <w:rFonts w:ascii="仿宋_GB2312" w:hAnsi="仿宋_GB2312" w:eastAsia="仿宋_GB2312" w:cs="仿宋_GB2312"/>
                <w:color w:val="auto"/>
                <w:sz w:val="24"/>
                <w:highlight w:val="none"/>
              </w:rPr>
              <w:t>点</w:t>
            </w:r>
          </w:p>
        </w:tc>
      </w:tr>
      <w:tr w14:paraId="1F15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1190C533">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18</w:t>
            </w:r>
          </w:p>
        </w:tc>
        <w:tc>
          <w:tcPr>
            <w:tcW w:w="7500" w:type="dxa"/>
          </w:tcPr>
          <w:p w14:paraId="79E9F2D1">
            <w:pPr>
              <w:spacing w:before="65" w:line="249" w:lineRule="auto"/>
              <w:ind w:right="198"/>
              <w:rPr>
                <w:rFonts w:hint="eastAsia" w:ascii="仿宋" w:hAnsi="仿宋" w:eastAsia="仿宋" w:cs="仿宋"/>
                <w:color w:val="auto"/>
                <w:sz w:val="24"/>
                <w:highlight w:val="none"/>
              </w:rPr>
            </w:pPr>
            <w:r>
              <w:rPr>
                <w:rFonts w:ascii="仿宋_GB2312" w:hAnsi="仿宋_GB2312" w:eastAsia="仿宋_GB2312" w:cs="仿宋_GB2312"/>
                <w:color w:val="auto"/>
                <w:spacing w:val="7"/>
                <w:sz w:val="24"/>
                <w:highlight w:val="none"/>
              </w:rPr>
              <w:t>雅长保护区洞</w:t>
            </w:r>
            <w:r>
              <w:rPr>
                <w:rFonts w:ascii="仿宋_GB2312" w:hAnsi="仿宋_GB2312" w:eastAsia="仿宋_GB2312" w:cs="仿宋_GB2312"/>
                <w:color w:val="auto"/>
                <w:spacing w:val="8"/>
                <w:sz w:val="24"/>
                <w:highlight w:val="none"/>
              </w:rPr>
              <w:t>坪视频监控点</w:t>
            </w:r>
          </w:p>
        </w:tc>
      </w:tr>
      <w:tr w14:paraId="503F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0A496B6A">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19</w:t>
            </w:r>
          </w:p>
        </w:tc>
        <w:tc>
          <w:tcPr>
            <w:tcW w:w="7500" w:type="dxa"/>
          </w:tcPr>
          <w:p w14:paraId="3DAA7B0E">
            <w:pPr>
              <w:spacing w:before="65" w:line="250" w:lineRule="auto"/>
              <w:ind w:right="198"/>
              <w:rPr>
                <w:rFonts w:hint="eastAsia" w:ascii="仿宋" w:hAnsi="仿宋" w:eastAsia="仿宋" w:cs="仿宋"/>
                <w:color w:val="auto"/>
                <w:sz w:val="24"/>
                <w:highlight w:val="none"/>
              </w:rPr>
            </w:pPr>
            <w:r>
              <w:rPr>
                <w:rFonts w:ascii="仿宋_GB2312" w:hAnsi="仿宋_GB2312" w:eastAsia="仿宋_GB2312" w:cs="仿宋_GB2312"/>
                <w:color w:val="auto"/>
                <w:spacing w:val="7"/>
                <w:sz w:val="24"/>
                <w:highlight w:val="none"/>
              </w:rPr>
              <w:t>雅长保护区坳寨视频监控点</w:t>
            </w:r>
          </w:p>
        </w:tc>
      </w:tr>
      <w:tr w14:paraId="63F35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3153F3E1">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20</w:t>
            </w:r>
          </w:p>
        </w:tc>
        <w:tc>
          <w:tcPr>
            <w:tcW w:w="7500" w:type="dxa"/>
          </w:tcPr>
          <w:p w14:paraId="7CBFC4F1">
            <w:pPr>
              <w:spacing w:before="65" w:line="249" w:lineRule="auto"/>
              <w:ind w:right="198"/>
              <w:rPr>
                <w:rFonts w:hint="eastAsia" w:ascii="仿宋" w:hAnsi="仿宋" w:eastAsia="仿宋" w:cs="仿宋"/>
                <w:color w:val="auto"/>
                <w:sz w:val="24"/>
                <w:highlight w:val="none"/>
              </w:rPr>
            </w:pPr>
            <w:r>
              <w:rPr>
                <w:rFonts w:ascii="仿宋_GB2312" w:hAnsi="仿宋_GB2312" w:eastAsia="仿宋_GB2312" w:cs="仿宋_GB2312"/>
                <w:color w:val="auto"/>
                <w:spacing w:val="6"/>
                <w:sz w:val="24"/>
                <w:highlight w:val="none"/>
              </w:rPr>
              <w:t>大桂山保护区</w:t>
            </w:r>
            <w:r>
              <w:rPr>
                <w:rFonts w:ascii="仿宋_GB2312" w:hAnsi="仿宋_GB2312" w:eastAsia="仿宋_GB2312" w:cs="仿宋_GB2312"/>
                <w:color w:val="auto"/>
                <w:spacing w:val="7"/>
                <w:sz w:val="24"/>
                <w:highlight w:val="none"/>
              </w:rPr>
              <w:t>七星冲片区总脑视频监控点</w:t>
            </w:r>
          </w:p>
        </w:tc>
      </w:tr>
      <w:tr w14:paraId="1CFB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tcPr>
          <w:p w14:paraId="09B67DBA">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21</w:t>
            </w:r>
          </w:p>
        </w:tc>
        <w:tc>
          <w:tcPr>
            <w:tcW w:w="7500" w:type="dxa"/>
          </w:tcPr>
          <w:p w14:paraId="3902015E">
            <w:pPr>
              <w:spacing w:before="65" w:line="249" w:lineRule="auto"/>
              <w:ind w:right="198"/>
              <w:rPr>
                <w:rFonts w:hint="eastAsia" w:ascii="仿宋" w:hAnsi="仿宋" w:eastAsia="仿宋" w:cs="仿宋"/>
                <w:color w:val="auto"/>
                <w:sz w:val="24"/>
                <w:highlight w:val="none"/>
              </w:rPr>
            </w:pPr>
            <w:r>
              <w:rPr>
                <w:rFonts w:ascii="仿宋_GB2312" w:hAnsi="仿宋_GB2312" w:eastAsia="仿宋_GB2312" w:cs="仿宋_GB2312"/>
                <w:color w:val="auto"/>
                <w:spacing w:val="6"/>
                <w:sz w:val="24"/>
                <w:highlight w:val="none"/>
              </w:rPr>
              <w:t>大桂山保护区</w:t>
            </w:r>
            <w:r>
              <w:rPr>
                <w:rFonts w:ascii="仿宋_GB2312" w:hAnsi="仿宋_GB2312" w:eastAsia="仿宋_GB2312" w:cs="仿宋_GB2312"/>
                <w:color w:val="auto"/>
                <w:spacing w:val="7"/>
                <w:sz w:val="24"/>
                <w:highlight w:val="none"/>
              </w:rPr>
              <w:t>北娄片区增山顶视频监控点</w:t>
            </w:r>
          </w:p>
        </w:tc>
      </w:tr>
    </w:tbl>
    <w:p w14:paraId="6DF3AC88">
      <w:pPr>
        <w:rPr>
          <w:rFonts w:hint="eastAsia" w:ascii="仿宋" w:hAnsi="仿宋" w:eastAsia="仿宋" w:cs="仿宋"/>
          <w:color w:val="auto"/>
          <w:highlight w:val="none"/>
        </w:rPr>
      </w:pPr>
    </w:p>
    <w:p w14:paraId="382EC63B">
      <w:pPr>
        <w:rPr>
          <w:rFonts w:hint="eastAsia" w:ascii="仿宋" w:hAnsi="仿宋" w:eastAsia="仿宋" w:cs="仿宋"/>
          <w:color w:val="auto"/>
          <w:highlight w:val="none"/>
        </w:rPr>
      </w:pPr>
    </w:p>
    <w:p w14:paraId="7577A3C4">
      <w:pPr>
        <w:rPr>
          <w:rFonts w:hint="eastAsia" w:ascii="仿宋" w:hAnsi="仿宋" w:eastAsia="仿宋" w:cs="仿宋"/>
          <w:color w:val="auto"/>
          <w:highlight w:val="none"/>
        </w:rPr>
      </w:pPr>
    </w:p>
    <w:p w14:paraId="09D28A58">
      <w:pPr>
        <w:rPr>
          <w:rFonts w:hint="eastAsia" w:ascii="仿宋" w:hAnsi="仿宋" w:eastAsia="仿宋" w:cs="仿宋"/>
          <w:color w:val="auto"/>
          <w:highlight w:val="none"/>
        </w:rPr>
      </w:pPr>
    </w:p>
    <w:p w14:paraId="6D121A6C">
      <w:pPr>
        <w:rPr>
          <w:rFonts w:hint="eastAsia" w:ascii="仿宋" w:hAnsi="仿宋" w:eastAsia="仿宋" w:cs="仿宋"/>
          <w:color w:val="auto"/>
          <w:highlight w:val="none"/>
        </w:rPr>
      </w:pPr>
    </w:p>
    <w:p w14:paraId="6A8C93DF">
      <w:pP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br w:type="page"/>
      </w:r>
    </w:p>
    <w:p w14:paraId="2E11CEEB">
      <w:pP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02分标</w:t>
      </w:r>
    </w:p>
    <w:tbl>
      <w:tblPr>
        <w:tblStyle w:val="46"/>
        <w:tblpPr w:leftFromText="180" w:rightFromText="180" w:vertAnchor="page" w:horzAnchor="page" w:tblpX="1792" w:tblpY="212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1499"/>
        <w:gridCol w:w="5504"/>
        <w:gridCol w:w="865"/>
      </w:tblGrid>
      <w:tr w14:paraId="6F50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14:paraId="7C3BDF57">
            <w:pPr>
              <w:jc w:val="center"/>
              <w:rPr>
                <w:rFonts w:hint="eastAsia" w:ascii="仿宋" w:hAnsi="仿宋" w:eastAsia="仿宋" w:cs="仿宋"/>
                <w:color w:val="auto"/>
                <w:sz w:val="24"/>
                <w:highlight w:val="none"/>
              </w:rPr>
            </w:pPr>
            <w:r>
              <w:rPr>
                <w:rFonts w:hint="eastAsia" w:ascii="仿宋" w:hAnsi="仿宋" w:eastAsia="仿宋" w:cs="仿宋"/>
                <w:b/>
                <w:bCs/>
                <w:color w:val="auto"/>
                <w:spacing w:val="21"/>
                <w:sz w:val="24"/>
                <w:highlight w:val="none"/>
              </w:rPr>
              <w:t>序号</w:t>
            </w:r>
          </w:p>
        </w:tc>
        <w:tc>
          <w:tcPr>
            <w:tcW w:w="1499" w:type="dxa"/>
            <w:vAlign w:val="center"/>
          </w:tcPr>
          <w:p w14:paraId="1FF401DF">
            <w:pPr>
              <w:jc w:val="center"/>
              <w:rPr>
                <w:rFonts w:hint="eastAsia" w:ascii="仿宋" w:hAnsi="仿宋" w:eastAsia="仿宋" w:cs="仿宋"/>
                <w:color w:val="auto"/>
                <w:sz w:val="24"/>
                <w:highlight w:val="none"/>
              </w:rPr>
            </w:pPr>
            <w:r>
              <w:rPr>
                <w:rFonts w:hint="eastAsia" w:ascii="仿宋" w:hAnsi="仿宋" w:eastAsia="仿宋" w:cs="仿宋"/>
                <w:b/>
                <w:bCs/>
                <w:color w:val="auto"/>
                <w:spacing w:val="21"/>
                <w:sz w:val="24"/>
                <w:highlight w:val="none"/>
              </w:rPr>
              <w:t>项目</w:t>
            </w:r>
            <w:r>
              <w:rPr>
                <w:rFonts w:hint="eastAsia" w:ascii="仿宋" w:hAnsi="仿宋" w:eastAsia="仿宋" w:cs="仿宋"/>
                <w:b/>
                <w:bCs/>
                <w:color w:val="auto"/>
                <w:spacing w:val="5"/>
                <w:sz w:val="24"/>
                <w:highlight w:val="none"/>
              </w:rPr>
              <w:t>名称</w:t>
            </w:r>
          </w:p>
        </w:tc>
        <w:tc>
          <w:tcPr>
            <w:tcW w:w="5504" w:type="dxa"/>
            <w:vAlign w:val="center"/>
          </w:tcPr>
          <w:p w14:paraId="6EF885D3">
            <w:pPr>
              <w:jc w:val="center"/>
              <w:rPr>
                <w:rFonts w:hint="eastAsia" w:ascii="仿宋" w:hAnsi="仿宋" w:eastAsia="仿宋" w:cs="仿宋"/>
                <w:color w:val="auto"/>
                <w:sz w:val="24"/>
                <w:highlight w:val="none"/>
              </w:rPr>
            </w:pPr>
            <w:r>
              <w:rPr>
                <w:rFonts w:hint="eastAsia" w:ascii="仿宋" w:hAnsi="仿宋" w:eastAsia="仿宋" w:cs="仿宋"/>
                <w:b/>
                <w:bCs/>
                <w:color w:val="auto"/>
                <w:spacing w:val="5"/>
                <w:sz w:val="24"/>
                <w:highlight w:val="none"/>
              </w:rPr>
              <w:t>技术指标</w:t>
            </w:r>
          </w:p>
        </w:tc>
        <w:tc>
          <w:tcPr>
            <w:tcW w:w="865" w:type="dxa"/>
            <w:vAlign w:val="center"/>
          </w:tcPr>
          <w:p w14:paraId="4F32EA3C">
            <w:pPr>
              <w:jc w:val="center"/>
              <w:rPr>
                <w:rFonts w:hint="eastAsia" w:ascii="仿宋" w:hAnsi="仿宋" w:eastAsia="仿宋" w:cs="仿宋"/>
                <w:color w:val="auto"/>
                <w:sz w:val="24"/>
                <w:highlight w:val="none"/>
              </w:rPr>
            </w:pPr>
            <w:r>
              <w:rPr>
                <w:rFonts w:hint="eastAsia" w:ascii="仿宋" w:hAnsi="仿宋" w:eastAsia="仿宋" w:cs="仿宋"/>
                <w:b/>
                <w:bCs/>
                <w:color w:val="auto"/>
                <w:spacing w:val="1"/>
                <w:sz w:val="24"/>
                <w:highlight w:val="none"/>
              </w:rPr>
              <w:t>数量</w:t>
            </w:r>
          </w:p>
        </w:tc>
      </w:tr>
      <w:tr w14:paraId="214C7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vAlign w:val="center"/>
          </w:tcPr>
          <w:p w14:paraId="0CAB8907">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499" w:type="dxa"/>
            <w:vMerge w:val="restart"/>
            <w:vAlign w:val="center"/>
          </w:tcPr>
          <w:p w14:paraId="2BB483D2">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森林防火智能卡口前端</w:t>
            </w:r>
          </w:p>
          <w:p w14:paraId="4731E48F">
            <w:pPr>
              <w:jc w:val="center"/>
              <w:rPr>
                <w:rFonts w:hint="eastAsia" w:ascii="仿宋" w:hAnsi="仿宋" w:eastAsia="仿宋" w:cs="仿宋"/>
                <w:color w:val="auto"/>
                <w:sz w:val="24"/>
                <w:highlight w:val="none"/>
              </w:rPr>
            </w:pPr>
          </w:p>
        </w:tc>
        <w:tc>
          <w:tcPr>
            <w:tcW w:w="5504" w:type="dxa"/>
          </w:tcPr>
          <w:p w14:paraId="601A108C">
            <w:pP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ascii="仿宋" w:hAnsi="仿宋" w:eastAsia="仿宋" w:cs="仿宋"/>
                <w:color w:val="auto"/>
                <w:sz w:val="24"/>
                <w:highlight w:val="none"/>
              </w:rPr>
              <w:t>采用一体化设计，集成摄像机、太阳能供电系统、多功能信息箱等组件，适用于林区、森林公园等户外重点区域。</w:t>
            </w:r>
          </w:p>
        </w:tc>
        <w:tc>
          <w:tcPr>
            <w:tcW w:w="865" w:type="dxa"/>
            <w:vMerge w:val="restart"/>
            <w:vAlign w:val="center"/>
          </w:tcPr>
          <w:p w14:paraId="62F9B974">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224套</w:t>
            </w:r>
          </w:p>
        </w:tc>
      </w:tr>
      <w:tr w14:paraId="2BA8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vAlign w:val="center"/>
          </w:tcPr>
          <w:p w14:paraId="0D2C9822">
            <w:pPr>
              <w:jc w:val="center"/>
              <w:rPr>
                <w:rFonts w:hint="eastAsia" w:ascii="仿宋" w:hAnsi="仿宋" w:eastAsia="仿宋" w:cs="仿宋"/>
                <w:color w:val="auto"/>
                <w:sz w:val="24"/>
                <w:highlight w:val="none"/>
              </w:rPr>
            </w:pPr>
          </w:p>
        </w:tc>
        <w:tc>
          <w:tcPr>
            <w:tcW w:w="1499" w:type="dxa"/>
            <w:vMerge w:val="continue"/>
            <w:vAlign w:val="center"/>
          </w:tcPr>
          <w:p w14:paraId="02D51344">
            <w:pPr>
              <w:jc w:val="center"/>
              <w:rPr>
                <w:rFonts w:hint="eastAsia" w:ascii="仿宋" w:hAnsi="仿宋" w:eastAsia="仿宋" w:cs="仿宋"/>
                <w:color w:val="auto"/>
                <w:sz w:val="24"/>
                <w:highlight w:val="none"/>
              </w:rPr>
            </w:pPr>
          </w:p>
        </w:tc>
        <w:tc>
          <w:tcPr>
            <w:tcW w:w="5504" w:type="dxa"/>
          </w:tcPr>
          <w:p w14:paraId="4350D30C">
            <w:pPr>
              <w:rPr>
                <w:rFonts w:hint="eastAsia" w:ascii="仿宋" w:hAnsi="仿宋" w:eastAsia="仿宋" w:cs="仿宋"/>
                <w:color w:val="auto"/>
                <w:sz w:val="24"/>
                <w:highlight w:val="none"/>
              </w:rPr>
            </w:pPr>
            <w:r>
              <w:rPr>
                <w:rFonts w:hint="eastAsia" w:ascii="仿宋" w:hAnsi="仿宋" w:eastAsia="仿宋" w:cs="仿宋"/>
                <w:color w:val="auto"/>
                <w:sz w:val="24"/>
                <w:highlight w:val="none"/>
              </w:rPr>
              <w:t>2、耗摄像机</w:t>
            </w:r>
          </w:p>
          <w:p w14:paraId="0EBD47CF">
            <w:pPr>
              <w:rPr>
                <w:rFonts w:hint="eastAsia" w:ascii="仿宋" w:hAnsi="仿宋" w:eastAsia="仿宋" w:cs="仿宋"/>
                <w:color w:val="auto"/>
                <w:sz w:val="24"/>
                <w:highlight w:val="none"/>
              </w:rPr>
            </w:pPr>
            <w:r>
              <w:rPr>
                <w:rFonts w:hint="eastAsia" w:ascii="仿宋" w:hAnsi="仿宋" w:eastAsia="仿宋" w:cs="仿宋"/>
                <w:color w:val="auto"/>
                <w:sz w:val="24"/>
                <w:highlight w:val="none"/>
              </w:rPr>
              <w:t>内置≥1颗一体化芯片，像素≥300万，≥2560x1440。</w:t>
            </w:r>
          </w:p>
          <w:p w14:paraId="0E788F84">
            <w:pPr>
              <w:rPr>
                <w:rFonts w:hint="eastAsia" w:ascii="仿宋" w:hAnsi="仿宋" w:eastAsia="仿宋" w:cs="仿宋"/>
                <w:color w:val="auto"/>
                <w:sz w:val="24"/>
                <w:highlight w:val="none"/>
              </w:rPr>
            </w:pPr>
            <w:r>
              <w:rPr>
                <w:rFonts w:hint="eastAsia" w:ascii="仿宋" w:hAnsi="仿宋" w:eastAsia="仿宋" w:cs="仿宋"/>
                <w:color w:val="auto"/>
                <w:sz w:val="24"/>
                <w:highlight w:val="none"/>
              </w:rPr>
              <w:t>支持告警联动、本地录像、告警图片上报。</w:t>
            </w:r>
          </w:p>
          <w:p w14:paraId="42268116">
            <w:pPr>
              <w:rPr>
                <w:rFonts w:hint="eastAsia" w:ascii="仿宋" w:hAnsi="仿宋" w:eastAsia="仿宋" w:cs="仿宋"/>
                <w:color w:val="auto"/>
                <w:sz w:val="24"/>
                <w:highlight w:val="none"/>
              </w:rPr>
            </w:pPr>
            <w:r>
              <w:rPr>
                <w:rFonts w:hint="eastAsia" w:ascii="仿宋" w:hAnsi="仿宋" w:eastAsia="仿宋" w:cs="仿宋"/>
                <w:color w:val="auto"/>
                <w:sz w:val="24"/>
                <w:highlight w:val="none"/>
              </w:rPr>
              <w:t>支持语音对讲，具备麦克风和喇叭。</w:t>
            </w:r>
          </w:p>
          <w:p w14:paraId="5A33036E">
            <w:pPr>
              <w:rPr>
                <w:rFonts w:hint="eastAsia" w:ascii="仿宋" w:hAnsi="仿宋" w:eastAsia="仿宋" w:cs="仿宋"/>
                <w:color w:val="auto"/>
                <w:sz w:val="24"/>
                <w:highlight w:val="none"/>
              </w:rPr>
            </w:pPr>
            <w:r>
              <w:rPr>
                <w:rFonts w:hint="eastAsia" w:ascii="仿宋" w:hAnsi="仿宋" w:eastAsia="仿宋" w:cs="仿宋"/>
                <w:color w:val="auto"/>
                <w:sz w:val="24"/>
                <w:highlight w:val="none"/>
              </w:rPr>
              <w:t>内置红外和雷达探测识别，可触发报警信息，包括图片抓拍和视频录制、数据上传、邮件发送、声音联动，报警名称、报警灵敏度及抓拍图片数量可设置。</w:t>
            </w:r>
          </w:p>
          <w:p w14:paraId="72177603">
            <w:pPr>
              <w:rPr>
                <w:rFonts w:hint="eastAsia" w:ascii="仿宋" w:hAnsi="仿宋" w:eastAsia="仿宋" w:cs="仿宋"/>
                <w:color w:val="auto"/>
                <w:sz w:val="24"/>
                <w:highlight w:val="none"/>
              </w:rPr>
            </w:pPr>
            <w:r>
              <w:rPr>
                <w:rFonts w:hint="eastAsia" w:ascii="仿宋" w:hAnsi="仿宋" w:eastAsia="仿宋" w:cs="仿宋"/>
                <w:color w:val="auto"/>
                <w:sz w:val="24"/>
                <w:highlight w:val="none"/>
              </w:rPr>
              <w:t>传感器类型≥1/3" CMOS。最低照度：彩色≤0.002 Lux @（F1.6，AGC ON）。</w:t>
            </w:r>
          </w:p>
          <w:p w14:paraId="0917563E">
            <w:pPr>
              <w:rPr>
                <w:rFonts w:hint="eastAsia" w:ascii="仿宋" w:hAnsi="仿宋" w:eastAsia="仿宋" w:cs="仿宋"/>
                <w:color w:val="auto"/>
                <w:sz w:val="24"/>
                <w:highlight w:val="none"/>
              </w:rPr>
            </w:pPr>
            <w:r>
              <w:rPr>
                <w:rFonts w:hint="eastAsia" w:ascii="仿宋" w:hAnsi="仿宋" w:eastAsia="仿宋" w:cs="仿宋"/>
                <w:color w:val="auto"/>
                <w:sz w:val="24"/>
                <w:highlight w:val="none"/>
              </w:rPr>
              <w:t>宽动态：≥120 dB，支持过曝。</w:t>
            </w:r>
          </w:p>
          <w:p w14:paraId="5F543375">
            <w:pPr>
              <w:rPr>
                <w:rFonts w:hint="eastAsia" w:ascii="仿宋" w:hAnsi="仿宋" w:eastAsia="仿宋" w:cs="仿宋"/>
                <w:color w:val="auto"/>
                <w:sz w:val="24"/>
                <w:highlight w:val="none"/>
              </w:rPr>
            </w:pPr>
            <w:r>
              <w:rPr>
                <w:rFonts w:hint="eastAsia" w:ascii="仿宋" w:hAnsi="仿宋" w:eastAsia="仿宋" w:cs="仿宋"/>
                <w:color w:val="auto"/>
                <w:sz w:val="24"/>
                <w:highlight w:val="none"/>
              </w:rPr>
              <w:t>具有红外补光功能，补光距离≥30米。红外波长范围：720nm-920 nm之间。</w:t>
            </w:r>
          </w:p>
          <w:p w14:paraId="3C46EC6A">
            <w:pPr>
              <w:rPr>
                <w:rFonts w:hint="eastAsia" w:ascii="仿宋" w:hAnsi="仿宋" w:eastAsia="仿宋" w:cs="仿宋"/>
                <w:color w:val="auto"/>
                <w:sz w:val="24"/>
                <w:highlight w:val="none"/>
              </w:rPr>
            </w:pPr>
            <w:r>
              <w:rPr>
                <w:rFonts w:hint="eastAsia" w:ascii="仿宋" w:hAnsi="仿宋" w:eastAsia="仿宋" w:cs="仿宋"/>
                <w:color w:val="auto"/>
                <w:sz w:val="24"/>
                <w:highlight w:val="none"/>
              </w:rPr>
              <w:t>视频压缩标准：主码流：支持H.265/H.264等，子码流：支持H.265/H.264等，或优于以上标准。</w:t>
            </w:r>
          </w:p>
          <w:p w14:paraId="07E88158">
            <w:pPr>
              <w:rPr>
                <w:rFonts w:hint="eastAsia" w:ascii="仿宋" w:hAnsi="仿宋" w:eastAsia="仿宋" w:cs="仿宋"/>
                <w:color w:val="auto"/>
                <w:sz w:val="24"/>
                <w:highlight w:val="none"/>
              </w:rPr>
            </w:pPr>
            <w:r>
              <w:rPr>
                <w:rFonts w:hint="eastAsia" w:ascii="仿宋" w:hAnsi="仿宋" w:eastAsia="仿宋" w:cs="仿宋"/>
                <w:color w:val="auto"/>
                <w:sz w:val="24"/>
                <w:highlight w:val="none"/>
              </w:rPr>
              <w:t>网络传输：SIM卡，支持4G全网通。</w:t>
            </w:r>
          </w:p>
          <w:p w14:paraId="7DB6B07B">
            <w:pPr>
              <w:rPr>
                <w:rFonts w:hint="eastAsia" w:ascii="仿宋" w:hAnsi="仿宋" w:eastAsia="仿宋" w:cs="仿宋"/>
                <w:color w:val="auto"/>
                <w:sz w:val="24"/>
                <w:highlight w:val="none"/>
              </w:rPr>
            </w:pPr>
            <w:r>
              <w:rPr>
                <w:rFonts w:hint="eastAsia" w:ascii="仿宋" w:hAnsi="仿宋" w:eastAsia="仿宋" w:cs="仿宋"/>
                <w:color w:val="auto"/>
                <w:sz w:val="24"/>
                <w:highlight w:val="none"/>
              </w:rPr>
              <w:t>接口：支持≥1个RJ45自适应以太网口，≥1个RS485，内置≥1个麦克风，≥1个喇叭，≥1路报警输入，1路报警输出。</w:t>
            </w:r>
          </w:p>
          <w:p w14:paraId="649D62A1">
            <w:pPr>
              <w:rPr>
                <w:rFonts w:hint="eastAsia" w:ascii="仿宋" w:hAnsi="仿宋" w:eastAsia="仿宋" w:cs="仿宋"/>
                <w:color w:val="auto"/>
                <w:sz w:val="24"/>
                <w:highlight w:val="none"/>
              </w:rPr>
            </w:pPr>
            <w:r>
              <w:rPr>
                <w:rFonts w:hint="eastAsia" w:ascii="仿宋" w:hAnsi="仿宋" w:eastAsia="仿宋" w:cs="仿宋"/>
                <w:color w:val="auto"/>
                <w:sz w:val="24"/>
                <w:highlight w:val="none"/>
              </w:rPr>
              <w:t>存储卡扩展：内置存储卡插槽，支持≥128GB。</w:t>
            </w:r>
          </w:p>
          <w:p w14:paraId="04DDB5C0">
            <w:pPr>
              <w:rPr>
                <w:rFonts w:hint="eastAsia" w:ascii="仿宋" w:hAnsi="仿宋" w:eastAsia="仿宋" w:cs="仿宋"/>
                <w:color w:val="auto"/>
                <w:sz w:val="24"/>
                <w:highlight w:val="none"/>
              </w:rPr>
            </w:pPr>
            <w:r>
              <w:rPr>
                <w:rFonts w:hint="eastAsia" w:ascii="仿宋" w:hAnsi="仿宋" w:eastAsia="仿宋" w:cs="仿宋"/>
                <w:color w:val="auto"/>
                <w:sz w:val="24"/>
                <w:highlight w:val="none"/>
              </w:rPr>
              <w:t>支持设备远程复位，升级，文件系统备份。支持RESET恢复出厂设置。</w:t>
            </w:r>
          </w:p>
        </w:tc>
        <w:tc>
          <w:tcPr>
            <w:tcW w:w="865" w:type="dxa"/>
            <w:vMerge w:val="continue"/>
            <w:vAlign w:val="center"/>
          </w:tcPr>
          <w:p w14:paraId="48923282">
            <w:pPr>
              <w:jc w:val="center"/>
              <w:rPr>
                <w:rFonts w:hint="eastAsia" w:ascii="仿宋" w:hAnsi="仿宋" w:eastAsia="仿宋" w:cs="仿宋"/>
                <w:color w:val="auto"/>
                <w:sz w:val="24"/>
                <w:highlight w:val="none"/>
              </w:rPr>
            </w:pPr>
          </w:p>
        </w:tc>
      </w:tr>
      <w:tr w14:paraId="084A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vAlign w:val="center"/>
          </w:tcPr>
          <w:p w14:paraId="7A927BAC">
            <w:pPr>
              <w:jc w:val="center"/>
              <w:rPr>
                <w:rFonts w:hint="eastAsia" w:ascii="仿宋" w:hAnsi="仿宋" w:eastAsia="仿宋" w:cs="仿宋"/>
                <w:color w:val="auto"/>
                <w:sz w:val="24"/>
                <w:highlight w:val="none"/>
              </w:rPr>
            </w:pPr>
          </w:p>
        </w:tc>
        <w:tc>
          <w:tcPr>
            <w:tcW w:w="1499" w:type="dxa"/>
            <w:vMerge w:val="continue"/>
            <w:vAlign w:val="center"/>
          </w:tcPr>
          <w:p w14:paraId="609F69D9">
            <w:pPr>
              <w:jc w:val="center"/>
              <w:rPr>
                <w:rFonts w:hint="eastAsia" w:ascii="仿宋" w:hAnsi="仿宋" w:eastAsia="仿宋" w:cs="仿宋"/>
                <w:color w:val="auto"/>
                <w:sz w:val="24"/>
                <w:highlight w:val="none"/>
              </w:rPr>
            </w:pPr>
          </w:p>
        </w:tc>
        <w:tc>
          <w:tcPr>
            <w:tcW w:w="5504" w:type="dxa"/>
          </w:tcPr>
          <w:p w14:paraId="5EAC871E">
            <w:pPr>
              <w:rPr>
                <w:rFonts w:hint="eastAsia" w:ascii="仿宋" w:hAnsi="仿宋" w:eastAsia="仿宋" w:cs="仿宋"/>
                <w:color w:val="auto"/>
                <w:sz w:val="24"/>
                <w:highlight w:val="none"/>
              </w:rPr>
            </w:pPr>
            <w:r>
              <w:rPr>
                <w:rFonts w:hint="eastAsia" w:ascii="仿宋" w:hAnsi="仿宋" w:eastAsia="仿宋" w:cs="仿宋"/>
                <w:color w:val="auto"/>
                <w:sz w:val="24"/>
                <w:highlight w:val="none"/>
              </w:rPr>
              <w:t>3、供电系统：</w:t>
            </w:r>
          </w:p>
          <w:p w14:paraId="1BC86936">
            <w:pPr>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供电方式：可选太阳能或市电</w:t>
            </w:r>
          </w:p>
          <w:p w14:paraId="7278F1E3">
            <w:pPr>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电池类型：太阳能电池采用≥40Ah电芯，常温容量≥480Wh，搭载≥80W光伏板。</w:t>
            </w:r>
          </w:p>
          <w:p w14:paraId="24E4974A">
            <w:pPr>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支持低温充电，自带加热功能。</w:t>
            </w:r>
          </w:p>
          <w:p w14:paraId="708CB53E">
            <w:pPr>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防护等级：IP66 。</w:t>
            </w:r>
          </w:p>
        </w:tc>
        <w:tc>
          <w:tcPr>
            <w:tcW w:w="865" w:type="dxa"/>
            <w:vMerge w:val="continue"/>
            <w:vAlign w:val="center"/>
          </w:tcPr>
          <w:p w14:paraId="6111F0AD">
            <w:pPr>
              <w:jc w:val="center"/>
              <w:rPr>
                <w:rFonts w:hint="eastAsia" w:ascii="仿宋" w:hAnsi="仿宋" w:eastAsia="仿宋" w:cs="仿宋"/>
                <w:color w:val="auto"/>
                <w:sz w:val="24"/>
                <w:highlight w:val="none"/>
              </w:rPr>
            </w:pPr>
          </w:p>
        </w:tc>
      </w:tr>
      <w:tr w14:paraId="3AEAB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vAlign w:val="center"/>
          </w:tcPr>
          <w:p w14:paraId="40288120">
            <w:pPr>
              <w:jc w:val="center"/>
              <w:rPr>
                <w:rFonts w:hint="eastAsia" w:ascii="仿宋" w:hAnsi="仿宋" w:eastAsia="仿宋" w:cs="仿宋"/>
                <w:color w:val="auto"/>
                <w:sz w:val="24"/>
                <w:highlight w:val="none"/>
              </w:rPr>
            </w:pPr>
          </w:p>
        </w:tc>
        <w:tc>
          <w:tcPr>
            <w:tcW w:w="1499" w:type="dxa"/>
            <w:vMerge w:val="continue"/>
            <w:vAlign w:val="center"/>
          </w:tcPr>
          <w:p w14:paraId="6CEE80D0">
            <w:pPr>
              <w:jc w:val="center"/>
              <w:rPr>
                <w:rFonts w:hint="eastAsia" w:ascii="仿宋" w:hAnsi="仿宋" w:eastAsia="仿宋" w:cs="仿宋"/>
                <w:color w:val="auto"/>
                <w:sz w:val="24"/>
                <w:highlight w:val="none"/>
              </w:rPr>
            </w:pPr>
          </w:p>
        </w:tc>
        <w:tc>
          <w:tcPr>
            <w:tcW w:w="5504" w:type="dxa"/>
          </w:tcPr>
          <w:p w14:paraId="14D0A3C0">
            <w:pPr>
              <w:rPr>
                <w:rFonts w:hint="eastAsia" w:ascii="仿宋" w:hAnsi="仿宋" w:eastAsia="仿宋" w:cs="仿宋"/>
                <w:color w:val="auto"/>
                <w:sz w:val="24"/>
                <w:highlight w:val="none"/>
              </w:rPr>
            </w:pPr>
            <w:r>
              <w:rPr>
                <w:rFonts w:hint="eastAsia" w:ascii="仿宋" w:hAnsi="仿宋" w:eastAsia="仿宋" w:cs="仿宋"/>
                <w:color w:val="auto"/>
                <w:sz w:val="24"/>
                <w:highlight w:val="none"/>
              </w:rPr>
              <w:t>4、多功能信息箱：</w:t>
            </w:r>
          </w:p>
          <w:p w14:paraId="2326BDB7">
            <w:pPr>
              <w:rPr>
                <w:rFonts w:hint="eastAsia" w:ascii="仿宋" w:hAnsi="仿宋" w:eastAsia="仿宋" w:cs="仿宋"/>
                <w:color w:val="auto"/>
                <w:sz w:val="24"/>
                <w:highlight w:val="none"/>
              </w:rPr>
            </w:pPr>
            <w:r>
              <w:rPr>
                <w:rFonts w:hint="eastAsia" w:ascii="仿宋" w:hAnsi="仿宋" w:eastAsia="仿宋" w:cs="仿宋"/>
                <w:color w:val="auto"/>
                <w:sz w:val="24"/>
                <w:highlight w:val="none"/>
              </w:rPr>
              <w:t>支持语音播放信息显示一体化，支持文本语音转换、播报功能，可远程在线更改语音播报及显示内容。支持远程喊话。</w:t>
            </w:r>
          </w:p>
          <w:p w14:paraId="2048DB77">
            <w:pPr>
              <w:rPr>
                <w:rFonts w:hint="eastAsia" w:ascii="仿宋" w:hAnsi="仿宋" w:eastAsia="仿宋" w:cs="仿宋"/>
                <w:color w:val="auto"/>
                <w:sz w:val="24"/>
                <w:highlight w:val="none"/>
              </w:rPr>
            </w:pPr>
            <w:r>
              <w:rPr>
                <w:rFonts w:hint="eastAsia" w:ascii="仿宋" w:hAnsi="仿宋" w:eastAsia="仿宋" w:cs="仿宋"/>
                <w:color w:val="auto"/>
                <w:sz w:val="24"/>
                <w:highlight w:val="none"/>
              </w:rPr>
              <w:t>支持大功率扬声器，工作功率≥30w。</w:t>
            </w:r>
          </w:p>
          <w:p w14:paraId="261830BC">
            <w:pPr>
              <w:rPr>
                <w:rFonts w:hint="eastAsia" w:ascii="仿宋" w:hAnsi="仿宋" w:eastAsia="仿宋" w:cs="仿宋"/>
                <w:color w:val="auto"/>
                <w:sz w:val="24"/>
                <w:highlight w:val="none"/>
              </w:rPr>
            </w:pPr>
            <w:r>
              <w:rPr>
                <w:rFonts w:hint="eastAsia" w:ascii="仿宋" w:hAnsi="仿宋" w:eastAsia="仿宋" w:cs="仿宋"/>
                <w:color w:val="auto"/>
                <w:sz w:val="24"/>
                <w:highlight w:val="none"/>
              </w:rPr>
              <w:t>支持显示汉字，可滚动播出，支持红蓝、高亮LED爆闪灯。</w:t>
            </w:r>
          </w:p>
          <w:p w14:paraId="0912613C">
            <w:pPr>
              <w:rPr>
                <w:rFonts w:hint="eastAsia" w:ascii="仿宋" w:hAnsi="仿宋" w:eastAsia="仿宋" w:cs="仿宋"/>
                <w:color w:val="auto"/>
                <w:sz w:val="24"/>
                <w:highlight w:val="none"/>
              </w:rPr>
            </w:pPr>
            <w:r>
              <w:rPr>
                <w:rFonts w:hint="eastAsia" w:ascii="仿宋" w:hAnsi="仿宋" w:eastAsia="仿宋" w:cs="仿宋"/>
                <w:color w:val="auto"/>
                <w:sz w:val="24"/>
                <w:highlight w:val="none"/>
              </w:rPr>
              <w:t>显示屏幕有效显示尺寸：≥64cm×16cm。显示密度：≥10000点/㎡。</w:t>
            </w:r>
          </w:p>
        </w:tc>
        <w:tc>
          <w:tcPr>
            <w:tcW w:w="865" w:type="dxa"/>
            <w:vMerge w:val="continue"/>
            <w:vAlign w:val="center"/>
          </w:tcPr>
          <w:p w14:paraId="2128F279">
            <w:pPr>
              <w:jc w:val="center"/>
              <w:rPr>
                <w:rFonts w:hint="eastAsia" w:ascii="仿宋" w:hAnsi="仿宋" w:eastAsia="仿宋" w:cs="仿宋"/>
                <w:color w:val="auto"/>
                <w:sz w:val="24"/>
                <w:highlight w:val="none"/>
              </w:rPr>
            </w:pPr>
          </w:p>
        </w:tc>
      </w:tr>
      <w:tr w14:paraId="78412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654" w:type="dxa"/>
            <w:vMerge w:val="continue"/>
            <w:vAlign w:val="center"/>
          </w:tcPr>
          <w:p w14:paraId="5A8279B6">
            <w:pPr>
              <w:jc w:val="center"/>
              <w:rPr>
                <w:rFonts w:hint="eastAsia" w:ascii="仿宋" w:hAnsi="仿宋" w:eastAsia="仿宋" w:cs="仿宋"/>
                <w:color w:val="auto"/>
                <w:sz w:val="24"/>
                <w:highlight w:val="none"/>
              </w:rPr>
            </w:pPr>
          </w:p>
        </w:tc>
        <w:tc>
          <w:tcPr>
            <w:tcW w:w="1499" w:type="dxa"/>
            <w:vMerge w:val="continue"/>
            <w:vAlign w:val="center"/>
          </w:tcPr>
          <w:p w14:paraId="5A841E52">
            <w:pPr>
              <w:jc w:val="center"/>
              <w:rPr>
                <w:rFonts w:hint="eastAsia" w:ascii="仿宋" w:hAnsi="仿宋" w:eastAsia="仿宋" w:cs="仿宋"/>
                <w:color w:val="auto"/>
                <w:sz w:val="24"/>
                <w:highlight w:val="none"/>
              </w:rPr>
            </w:pPr>
          </w:p>
        </w:tc>
        <w:tc>
          <w:tcPr>
            <w:tcW w:w="5504" w:type="dxa"/>
          </w:tcPr>
          <w:p w14:paraId="198C1C83">
            <w:pPr>
              <w:rPr>
                <w:rFonts w:hint="eastAsia" w:ascii="仿宋" w:hAnsi="仿宋" w:eastAsia="仿宋" w:cs="仿宋"/>
                <w:color w:val="auto"/>
                <w:sz w:val="24"/>
                <w:highlight w:val="none"/>
              </w:rPr>
            </w:pPr>
            <w:r>
              <w:rPr>
                <w:rFonts w:hint="eastAsia" w:ascii="仿宋" w:hAnsi="仿宋" w:eastAsia="仿宋" w:cs="仿宋"/>
                <w:color w:val="auto"/>
                <w:sz w:val="24"/>
                <w:highlight w:val="none"/>
              </w:rPr>
              <w:t>5、感应探头感应距离/灵敏度</w:t>
            </w:r>
          </w:p>
          <w:p w14:paraId="2F2E9692">
            <w:pPr>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支持对人车闯入观测区红外感应识别，感应距离不小于6米，水平感应角度≥110°。</w:t>
            </w:r>
          </w:p>
        </w:tc>
        <w:tc>
          <w:tcPr>
            <w:tcW w:w="865" w:type="dxa"/>
            <w:vMerge w:val="continue"/>
            <w:vAlign w:val="center"/>
          </w:tcPr>
          <w:p w14:paraId="295335BC">
            <w:pPr>
              <w:jc w:val="center"/>
              <w:rPr>
                <w:rFonts w:hint="eastAsia" w:ascii="仿宋" w:hAnsi="仿宋" w:eastAsia="仿宋" w:cs="仿宋"/>
                <w:color w:val="auto"/>
                <w:sz w:val="24"/>
                <w:highlight w:val="none"/>
              </w:rPr>
            </w:pPr>
          </w:p>
        </w:tc>
      </w:tr>
      <w:tr w14:paraId="5A5D2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54" w:type="dxa"/>
            <w:vMerge w:val="continue"/>
            <w:vAlign w:val="center"/>
          </w:tcPr>
          <w:p w14:paraId="767BF320">
            <w:pPr>
              <w:jc w:val="center"/>
              <w:rPr>
                <w:rFonts w:hint="eastAsia" w:ascii="仿宋" w:hAnsi="仿宋" w:eastAsia="仿宋" w:cs="仿宋"/>
                <w:color w:val="auto"/>
                <w:sz w:val="24"/>
                <w:highlight w:val="none"/>
              </w:rPr>
            </w:pPr>
          </w:p>
        </w:tc>
        <w:tc>
          <w:tcPr>
            <w:tcW w:w="1499" w:type="dxa"/>
            <w:vMerge w:val="continue"/>
            <w:vAlign w:val="center"/>
          </w:tcPr>
          <w:p w14:paraId="0C2AF78F">
            <w:pPr>
              <w:jc w:val="center"/>
              <w:rPr>
                <w:rFonts w:hint="eastAsia" w:ascii="仿宋" w:hAnsi="仿宋" w:eastAsia="仿宋" w:cs="仿宋"/>
                <w:color w:val="auto"/>
                <w:sz w:val="24"/>
                <w:highlight w:val="none"/>
              </w:rPr>
            </w:pPr>
          </w:p>
        </w:tc>
        <w:tc>
          <w:tcPr>
            <w:tcW w:w="5504" w:type="dxa"/>
          </w:tcPr>
          <w:p w14:paraId="6767CFD6">
            <w:pPr>
              <w:rPr>
                <w:rFonts w:hint="eastAsia" w:ascii="仿宋" w:hAnsi="仿宋" w:eastAsia="仿宋" w:cs="仿宋"/>
                <w:color w:val="auto"/>
                <w:sz w:val="24"/>
                <w:highlight w:val="none"/>
              </w:rPr>
            </w:pPr>
            <w:r>
              <w:rPr>
                <w:rFonts w:hint="eastAsia" w:ascii="仿宋" w:hAnsi="仿宋" w:eastAsia="仿宋" w:cs="仿宋"/>
                <w:color w:val="auto"/>
                <w:sz w:val="24"/>
                <w:highlight w:val="none"/>
              </w:rPr>
              <w:t>6、系统功能</w:t>
            </w:r>
          </w:p>
          <w:p w14:paraId="149D2900">
            <w:pPr>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支持公网接入，支持远程修改语音播报及屏幕显示内容。</w:t>
            </w:r>
          </w:p>
          <w:p w14:paraId="6C3A99D2">
            <w:pPr>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支持人车周界报警、区域入侵侦测等功能。</w:t>
            </w:r>
          </w:p>
          <w:p w14:paraId="1F2C0FAB">
            <w:pPr>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支持智能感应，设备检测到目标时，立即启动LED显示屏文字和语音播报，同时进行本地录像，便于事后追溯。</w:t>
            </w:r>
          </w:p>
        </w:tc>
        <w:tc>
          <w:tcPr>
            <w:tcW w:w="865" w:type="dxa"/>
            <w:vMerge w:val="continue"/>
            <w:vAlign w:val="center"/>
          </w:tcPr>
          <w:p w14:paraId="7861C8B1">
            <w:pPr>
              <w:jc w:val="center"/>
              <w:rPr>
                <w:rFonts w:hint="eastAsia" w:ascii="仿宋" w:hAnsi="仿宋" w:eastAsia="仿宋" w:cs="仿宋"/>
                <w:color w:val="auto"/>
                <w:sz w:val="24"/>
                <w:highlight w:val="none"/>
              </w:rPr>
            </w:pPr>
          </w:p>
        </w:tc>
      </w:tr>
      <w:tr w14:paraId="7A421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54" w:type="dxa"/>
            <w:vMerge w:val="continue"/>
            <w:vAlign w:val="center"/>
          </w:tcPr>
          <w:p w14:paraId="43130517">
            <w:pPr>
              <w:jc w:val="center"/>
              <w:rPr>
                <w:rFonts w:hint="eastAsia" w:ascii="仿宋" w:hAnsi="仿宋" w:eastAsia="仿宋" w:cs="仿宋"/>
                <w:color w:val="auto"/>
                <w:sz w:val="24"/>
                <w:highlight w:val="none"/>
              </w:rPr>
            </w:pPr>
          </w:p>
        </w:tc>
        <w:tc>
          <w:tcPr>
            <w:tcW w:w="1499" w:type="dxa"/>
            <w:vMerge w:val="continue"/>
            <w:vAlign w:val="center"/>
          </w:tcPr>
          <w:p w14:paraId="4BB72A02">
            <w:pPr>
              <w:jc w:val="center"/>
              <w:rPr>
                <w:rFonts w:hint="eastAsia" w:ascii="仿宋" w:hAnsi="仿宋" w:eastAsia="仿宋" w:cs="仿宋"/>
                <w:color w:val="auto"/>
                <w:sz w:val="24"/>
                <w:highlight w:val="none"/>
              </w:rPr>
            </w:pPr>
          </w:p>
        </w:tc>
        <w:tc>
          <w:tcPr>
            <w:tcW w:w="5504" w:type="dxa"/>
          </w:tcPr>
          <w:p w14:paraId="4CD362B9">
            <w:pPr>
              <w:rPr>
                <w:rFonts w:hint="eastAsia" w:ascii="仿宋" w:hAnsi="仿宋" w:eastAsia="仿宋" w:cs="仿宋"/>
                <w:color w:val="auto"/>
                <w:sz w:val="24"/>
                <w:highlight w:val="none"/>
              </w:rPr>
            </w:pPr>
            <w:r>
              <w:rPr>
                <w:rFonts w:hint="eastAsia" w:ascii="仿宋" w:hAnsi="仿宋" w:eastAsia="仿宋" w:cs="仿宋"/>
                <w:color w:val="auto"/>
                <w:sz w:val="24"/>
                <w:highlight w:val="none"/>
              </w:rPr>
              <w:t>7、管理服务器</w:t>
            </w:r>
          </w:p>
          <w:p w14:paraId="647F1E6F">
            <w:pPr>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支持网页版或APP版。</w:t>
            </w:r>
          </w:p>
        </w:tc>
        <w:tc>
          <w:tcPr>
            <w:tcW w:w="865" w:type="dxa"/>
            <w:vMerge w:val="continue"/>
            <w:vAlign w:val="center"/>
          </w:tcPr>
          <w:p w14:paraId="7BBF703F">
            <w:pPr>
              <w:jc w:val="center"/>
              <w:rPr>
                <w:rFonts w:hint="eastAsia" w:ascii="仿宋" w:hAnsi="仿宋" w:eastAsia="仿宋" w:cs="仿宋"/>
                <w:color w:val="auto"/>
                <w:sz w:val="24"/>
                <w:highlight w:val="none"/>
              </w:rPr>
            </w:pPr>
          </w:p>
        </w:tc>
      </w:tr>
      <w:tr w14:paraId="15DE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54" w:type="dxa"/>
            <w:vMerge w:val="continue"/>
            <w:vAlign w:val="center"/>
          </w:tcPr>
          <w:p w14:paraId="559D6572">
            <w:pPr>
              <w:jc w:val="center"/>
              <w:rPr>
                <w:rFonts w:hint="eastAsia" w:ascii="仿宋" w:hAnsi="仿宋" w:eastAsia="仿宋" w:cs="仿宋"/>
                <w:color w:val="auto"/>
                <w:sz w:val="24"/>
                <w:highlight w:val="none"/>
              </w:rPr>
            </w:pPr>
          </w:p>
        </w:tc>
        <w:tc>
          <w:tcPr>
            <w:tcW w:w="1499" w:type="dxa"/>
            <w:vMerge w:val="continue"/>
            <w:vAlign w:val="center"/>
          </w:tcPr>
          <w:p w14:paraId="12499C5C">
            <w:pPr>
              <w:jc w:val="center"/>
              <w:rPr>
                <w:rFonts w:hint="eastAsia" w:ascii="仿宋" w:hAnsi="仿宋" w:eastAsia="仿宋" w:cs="仿宋"/>
                <w:color w:val="auto"/>
                <w:sz w:val="24"/>
                <w:highlight w:val="none"/>
              </w:rPr>
            </w:pPr>
          </w:p>
        </w:tc>
        <w:tc>
          <w:tcPr>
            <w:tcW w:w="5504" w:type="dxa"/>
          </w:tcPr>
          <w:p w14:paraId="2D003603">
            <w:pPr>
              <w:rPr>
                <w:rFonts w:hint="eastAsia" w:ascii="仿宋" w:hAnsi="仿宋" w:eastAsia="仿宋" w:cs="仿宋"/>
                <w:color w:val="auto"/>
                <w:sz w:val="24"/>
                <w:highlight w:val="none"/>
              </w:rPr>
            </w:pPr>
            <w:r>
              <w:rPr>
                <w:rFonts w:hint="eastAsia" w:ascii="仿宋" w:hAnsi="仿宋" w:eastAsia="仿宋" w:cs="仿宋"/>
                <w:color w:val="auto"/>
                <w:sz w:val="24"/>
                <w:highlight w:val="none"/>
              </w:rPr>
              <w:t>8、安装杆</w:t>
            </w:r>
          </w:p>
          <w:p w14:paraId="7C24DA97">
            <w:pPr>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高度≥4米，直径≥110mm，材质碳钢</w:t>
            </w:r>
          </w:p>
        </w:tc>
        <w:tc>
          <w:tcPr>
            <w:tcW w:w="865" w:type="dxa"/>
            <w:vMerge w:val="continue"/>
            <w:vAlign w:val="center"/>
          </w:tcPr>
          <w:p w14:paraId="2CE2DA54">
            <w:pPr>
              <w:jc w:val="center"/>
              <w:rPr>
                <w:rFonts w:hint="eastAsia" w:ascii="仿宋" w:hAnsi="仿宋" w:eastAsia="仿宋" w:cs="仿宋"/>
                <w:color w:val="auto"/>
                <w:sz w:val="24"/>
                <w:highlight w:val="none"/>
              </w:rPr>
            </w:pPr>
          </w:p>
        </w:tc>
      </w:tr>
      <w:tr w14:paraId="171DA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vAlign w:val="center"/>
          </w:tcPr>
          <w:p w14:paraId="159D760C">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499" w:type="dxa"/>
            <w:vMerge w:val="restart"/>
            <w:vAlign w:val="center"/>
          </w:tcPr>
          <w:p w14:paraId="54C6768F">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地表火探测器</w:t>
            </w:r>
          </w:p>
        </w:tc>
        <w:tc>
          <w:tcPr>
            <w:tcW w:w="5504" w:type="dxa"/>
          </w:tcPr>
          <w:p w14:paraId="5CBF41BC">
            <w:pPr>
              <w:rPr>
                <w:rFonts w:hint="eastAsia" w:ascii="仿宋" w:hAnsi="仿宋" w:eastAsia="仿宋" w:cs="仿宋"/>
                <w:color w:val="auto"/>
                <w:sz w:val="24"/>
                <w:highlight w:val="none"/>
              </w:rPr>
            </w:pPr>
            <w:r>
              <w:rPr>
                <w:rFonts w:hint="eastAsia" w:ascii="仿宋" w:hAnsi="仿宋" w:eastAsia="仿宋" w:cs="仿宋"/>
                <w:color w:val="auto"/>
                <w:sz w:val="24"/>
                <w:highlight w:val="none"/>
              </w:rPr>
              <w:t>1、内置双核高性能嵌入式处理器，主频≥1.5GHz。</w:t>
            </w:r>
          </w:p>
        </w:tc>
        <w:tc>
          <w:tcPr>
            <w:tcW w:w="865" w:type="dxa"/>
            <w:vMerge w:val="restart"/>
            <w:vAlign w:val="center"/>
          </w:tcPr>
          <w:p w14:paraId="3049B7D1">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30套</w:t>
            </w:r>
          </w:p>
        </w:tc>
      </w:tr>
      <w:tr w14:paraId="0F217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vAlign w:val="center"/>
          </w:tcPr>
          <w:p w14:paraId="671DA42D">
            <w:pPr>
              <w:jc w:val="center"/>
              <w:rPr>
                <w:rFonts w:hint="eastAsia" w:ascii="仿宋" w:hAnsi="仿宋" w:eastAsia="仿宋" w:cs="仿宋"/>
                <w:color w:val="auto"/>
                <w:sz w:val="24"/>
                <w:highlight w:val="none"/>
              </w:rPr>
            </w:pPr>
          </w:p>
        </w:tc>
        <w:tc>
          <w:tcPr>
            <w:tcW w:w="1499" w:type="dxa"/>
            <w:vMerge w:val="continue"/>
            <w:vAlign w:val="center"/>
          </w:tcPr>
          <w:p w14:paraId="77303B3F">
            <w:pPr>
              <w:jc w:val="center"/>
              <w:rPr>
                <w:rFonts w:hint="eastAsia" w:ascii="仿宋" w:hAnsi="仿宋" w:eastAsia="仿宋" w:cs="仿宋"/>
                <w:color w:val="auto"/>
                <w:sz w:val="24"/>
                <w:highlight w:val="none"/>
              </w:rPr>
            </w:pPr>
          </w:p>
        </w:tc>
        <w:tc>
          <w:tcPr>
            <w:tcW w:w="5504" w:type="dxa"/>
          </w:tcPr>
          <w:p w14:paraId="105DC51E">
            <w:pP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2、≥32GB存储内存，支持程序、测控参数可编程配置，数据掉电不丢失。 </w:t>
            </w:r>
          </w:p>
        </w:tc>
        <w:tc>
          <w:tcPr>
            <w:tcW w:w="865" w:type="dxa"/>
            <w:vMerge w:val="continue"/>
            <w:vAlign w:val="center"/>
          </w:tcPr>
          <w:p w14:paraId="785FD2A8">
            <w:pPr>
              <w:jc w:val="center"/>
              <w:rPr>
                <w:rFonts w:hint="eastAsia" w:ascii="仿宋" w:hAnsi="仿宋" w:eastAsia="仿宋" w:cs="仿宋"/>
                <w:color w:val="auto"/>
                <w:sz w:val="24"/>
                <w:highlight w:val="none"/>
              </w:rPr>
            </w:pPr>
          </w:p>
        </w:tc>
      </w:tr>
      <w:tr w14:paraId="5E95E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vAlign w:val="center"/>
          </w:tcPr>
          <w:p w14:paraId="10FF3519">
            <w:pPr>
              <w:jc w:val="center"/>
              <w:rPr>
                <w:rFonts w:hint="eastAsia" w:ascii="仿宋" w:hAnsi="仿宋" w:eastAsia="仿宋" w:cs="仿宋"/>
                <w:color w:val="auto"/>
                <w:sz w:val="24"/>
                <w:highlight w:val="none"/>
              </w:rPr>
            </w:pPr>
          </w:p>
        </w:tc>
        <w:tc>
          <w:tcPr>
            <w:tcW w:w="1499" w:type="dxa"/>
            <w:vMerge w:val="continue"/>
            <w:vAlign w:val="center"/>
          </w:tcPr>
          <w:p w14:paraId="29A4B595">
            <w:pPr>
              <w:jc w:val="center"/>
              <w:rPr>
                <w:rFonts w:hint="eastAsia" w:ascii="仿宋" w:hAnsi="仿宋" w:eastAsia="仿宋" w:cs="仿宋"/>
                <w:color w:val="auto"/>
                <w:sz w:val="24"/>
                <w:highlight w:val="none"/>
              </w:rPr>
            </w:pPr>
          </w:p>
        </w:tc>
        <w:tc>
          <w:tcPr>
            <w:tcW w:w="5504" w:type="dxa"/>
          </w:tcPr>
          <w:p w14:paraId="2ED6E321">
            <w:pPr>
              <w:rPr>
                <w:rFonts w:hint="eastAsia" w:ascii="仿宋" w:hAnsi="仿宋" w:eastAsia="仿宋" w:cs="仿宋"/>
                <w:color w:val="auto"/>
                <w:sz w:val="24"/>
                <w:highlight w:val="none"/>
              </w:rPr>
            </w:pPr>
            <w:r>
              <w:rPr>
                <w:rFonts w:hint="eastAsia" w:ascii="仿宋" w:hAnsi="仿宋" w:eastAsia="仿宋" w:cs="仿宋"/>
                <w:color w:val="auto"/>
                <w:sz w:val="24"/>
                <w:highlight w:val="none"/>
              </w:rPr>
              <w:t>3、红外、紫外波段火情监测，监测范围：水平≥120°，垂直≥50°。</w:t>
            </w:r>
          </w:p>
        </w:tc>
        <w:tc>
          <w:tcPr>
            <w:tcW w:w="865" w:type="dxa"/>
            <w:vMerge w:val="continue"/>
            <w:vAlign w:val="center"/>
          </w:tcPr>
          <w:p w14:paraId="04D44634">
            <w:pPr>
              <w:jc w:val="center"/>
              <w:rPr>
                <w:rFonts w:hint="eastAsia" w:ascii="仿宋" w:hAnsi="仿宋" w:eastAsia="仿宋" w:cs="仿宋"/>
                <w:color w:val="auto"/>
                <w:sz w:val="24"/>
                <w:highlight w:val="none"/>
              </w:rPr>
            </w:pPr>
          </w:p>
        </w:tc>
      </w:tr>
      <w:tr w14:paraId="65A3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vAlign w:val="center"/>
          </w:tcPr>
          <w:p w14:paraId="38602668">
            <w:pPr>
              <w:jc w:val="center"/>
              <w:rPr>
                <w:rFonts w:hint="eastAsia" w:ascii="仿宋" w:hAnsi="仿宋" w:eastAsia="仿宋" w:cs="仿宋"/>
                <w:color w:val="auto"/>
                <w:sz w:val="24"/>
                <w:highlight w:val="none"/>
              </w:rPr>
            </w:pPr>
          </w:p>
        </w:tc>
        <w:tc>
          <w:tcPr>
            <w:tcW w:w="1499" w:type="dxa"/>
            <w:vMerge w:val="continue"/>
            <w:vAlign w:val="center"/>
          </w:tcPr>
          <w:p w14:paraId="5BAE42DD">
            <w:pPr>
              <w:jc w:val="center"/>
              <w:rPr>
                <w:rFonts w:hint="eastAsia" w:ascii="仿宋" w:hAnsi="仿宋" w:eastAsia="仿宋" w:cs="仿宋"/>
                <w:color w:val="auto"/>
                <w:sz w:val="24"/>
                <w:highlight w:val="none"/>
              </w:rPr>
            </w:pPr>
          </w:p>
        </w:tc>
        <w:tc>
          <w:tcPr>
            <w:tcW w:w="5504" w:type="dxa"/>
          </w:tcPr>
          <w:p w14:paraId="47480561">
            <w:pP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4、监测灵敏度：满足GB15631中I级灵敏度要求，探测距离≥50m。 </w:t>
            </w:r>
          </w:p>
        </w:tc>
        <w:tc>
          <w:tcPr>
            <w:tcW w:w="865" w:type="dxa"/>
            <w:vMerge w:val="continue"/>
            <w:vAlign w:val="center"/>
          </w:tcPr>
          <w:p w14:paraId="31034610">
            <w:pPr>
              <w:jc w:val="center"/>
              <w:rPr>
                <w:rFonts w:hint="eastAsia" w:ascii="仿宋" w:hAnsi="仿宋" w:eastAsia="仿宋" w:cs="仿宋"/>
                <w:color w:val="auto"/>
                <w:sz w:val="24"/>
                <w:highlight w:val="none"/>
              </w:rPr>
            </w:pPr>
          </w:p>
        </w:tc>
      </w:tr>
      <w:tr w14:paraId="714B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vAlign w:val="center"/>
          </w:tcPr>
          <w:p w14:paraId="4FBA7A56">
            <w:pPr>
              <w:jc w:val="center"/>
              <w:rPr>
                <w:rFonts w:hint="eastAsia" w:ascii="仿宋" w:hAnsi="仿宋" w:eastAsia="仿宋" w:cs="仿宋"/>
                <w:color w:val="auto"/>
                <w:sz w:val="24"/>
                <w:highlight w:val="none"/>
              </w:rPr>
            </w:pPr>
          </w:p>
        </w:tc>
        <w:tc>
          <w:tcPr>
            <w:tcW w:w="1499" w:type="dxa"/>
            <w:vMerge w:val="continue"/>
            <w:vAlign w:val="center"/>
          </w:tcPr>
          <w:p w14:paraId="3FF410A8">
            <w:pPr>
              <w:jc w:val="center"/>
              <w:rPr>
                <w:rFonts w:hint="eastAsia" w:ascii="仿宋" w:hAnsi="仿宋" w:eastAsia="仿宋" w:cs="仿宋"/>
                <w:color w:val="auto"/>
                <w:sz w:val="24"/>
                <w:highlight w:val="none"/>
              </w:rPr>
            </w:pPr>
          </w:p>
        </w:tc>
        <w:tc>
          <w:tcPr>
            <w:tcW w:w="5504" w:type="dxa"/>
          </w:tcPr>
          <w:p w14:paraId="112FC797">
            <w:pPr>
              <w:rPr>
                <w:rFonts w:hint="eastAsia" w:ascii="仿宋" w:hAnsi="仿宋" w:eastAsia="仿宋" w:cs="仿宋"/>
                <w:color w:val="auto"/>
                <w:sz w:val="24"/>
                <w:highlight w:val="none"/>
              </w:rPr>
            </w:pPr>
            <w:r>
              <w:rPr>
                <w:rFonts w:hint="eastAsia" w:ascii="仿宋" w:hAnsi="仿宋" w:eastAsia="仿宋" w:cs="仿宋"/>
                <w:color w:val="auto"/>
                <w:sz w:val="24"/>
                <w:highlight w:val="none"/>
              </w:rPr>
              <w:t>5、火情监测探测器响应时间≤35 秒。</w:t>
            </w:r>
          </w:p>
        </w:tc>
        <w:tc>
          <w:tcPr>
            <w:tcW w:w="865" w:type="dxa"/>
            <w:vMerge w:val="continue"/>
            <w:vAlign w:val="center"/>
          </w:tcPr>
          <w:p w14:paraId="71089510">
            <w:pPr>
              <w:jc w:val="center"/>
              <w:rPr>
                <w:rFonts w:hint="eastAsia" w:ascii="仿宋" w:hAnsi="仿宋" w:eastAsia="仿宋" w:cs="仿宋"/>
                <w:color w:val="auto"/>
                <w:sz w:val="24"/>
                <w:highlight w:val="none"/>
              </w:rPr>
            </w:pPr>
          </w:p>
        </w:tc>
      </w:tr>
      <w:tr w14:paraId="5461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vAlign w:val="center"/>
          </w:tcPr>
          <w:p w14:paraId="78F7BCAA">
            <w:pPr>
              <w:jc w:val="center"/>
              <w:rPr>
                <w:rFonts w:hint="eastAsia" w:ascii="仿宋" w:hAnsi="仿宋" w:eastAsia="仿宋" w:cs="仿宋"/>
                <w:color w:val="auto"/>
                <w:sz w:val="24"/>
                <w:highlight w:val="none"/>
              </w:rPr>
            </w:pPr>
          </w:p>
        </w:tc>
        <w:tc>
          <w:tcPr>
            <w:tcW w:w="1499" w:type="dxa"/>
            <w:vMerge w:val="continue"/>
            <w:vAlign w:val="center"/>
          </w:tcPr>
          <w:p w14:paraId="530DB46D">
            <w:pPr>
              <w:jc w:val="center"/>
              <w:rPr>
                <w:rFonts w:hint="eastAsia" w:ascii="仿宋" w:hAnsi="仿宋" w:eastAsia="仿宋" w:cs="仿宋"/>
                <w:color w:val="auto"/>
                <w:sz w:val="24"/>
                <w:highlight w:val="none"/>
              </w:rPr>
            </w:pPr>
          </w:p>
        </w:tc>
        <w:tc>
          <w:tcPr>
            <w:tcW w:w="5504" w:type="dxa"/>
          </w:tcPr>
          <w:p w14:paraId="4FCF9E60">
            <w:pPr>
              <w:rPr>
                <w:rFonts w:hint="eastAsia" w:ascii="仿宋" w:hAnsi="仿宋" w:eastAsia="仿宋" w:cs="仿宋"/>
                <w:color w:val="auto"/>
                <w:sz w:val="24"/>
                <w:highlight w:val="none"/>
              </w:rPr>
            </w:pPr>
            <w:r>
              <w:rPr>
                <w:rFonts w:hint="eastAsia" w:ascii="仿宋" w:hAnsi="仿宋" w:eastAsia="仿宋" w:cs="仿宋"/>
                <w:color w:val="auto"/>
                <w:sz w:val="24"/>
                <w:highlight w:val="none"/>
              </w:rPr>
              <w:t>6、图像分辨率 ≥1920*1080，视场角度≥100°。</w:t>
            </w:r>
          </w:p>
        </w:tc>
        <w:tc>
          <w:tcPr>
            <w:tcW w:w="865" w:type="dxa"/>
            <w:vMerge w:val="continue"/>
            <w:vAlign w:val="center"/>
          </w:tcPr>
          <w:p w14:paraId="6AFBAE7A">
            <w:pPr>
              <w:jc w:val="center"/>
              <w:rPr>
                <w:rFonts w:hint="eastAsia" w:ascii="仿宋" w:hAnsi="仿宋" w:eastAsia="仿宋" w:cs="仿宋"/>
                <w:color w:val="auto"/>
                <w:sz w:val="24"/>
                <w:highlight w:val="none"/>
              </w:rPr>
            </w:pPr>
          </w:p>
        </w:tc>
      </w:tr>
      <w:tr w14:paraId="7208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vAlign w:val="center"/>
          </w:tcPr>
          <w:p w14:paraId="37405A78">
            <w:pPr>
              <w:jc w:val="center"/>
              <w:rPr>
                <w:rFonts w:hint="eastAsia" w:ascii="仿宋" w:hAnsi="仿宋" w:eastAsia="仿宋" w:cs="仿宋"/>
                <w:color w:val="auto"/>
                <w:sz w:val="24"/>
                <w:highlight w:val="none"/>
              </w:rPr>
            </w:pPr>
          </w:p>
        </w:tc>
        <w:tc>
          <w:tcPr>
            <w:tcW w:w="1499" w:type="dxa"/>
            <w:vMerge w:val="continue"/>
            <w:vAlign w:val="center"/>
          </w:tcPr>
          <w:p w14:paraId="3ADB70E1">
            <w:pPr>
              <w:jc w:val="center"/>
              <w:rPr>
                <w:rFonts w:hint="eastAsia" w:ascii="仿宋" w:hAnsi="仿宋" w:eastAsia="仿宋" w:cs="仿宋"/>
                <w:color w:val="auto"/>
                <w:sz w:val="24"/>
                <w:highlight w:val="none"/>
              </w:rPr>
            </w:pPr>
          </w:p>
        </w:tc>
        <w:tc>
          <w:tcPr>
            <w:tcW w:w="5504" w:type="dxa"/>
          </w:tcPr>
          <w:p w14:paraId="0F8645ED">
            <w:pPr>
              <w:rPr>
                <w:rFonts w:hint="eastAsia" w:ascii="仿宋" w:hAnsi="仿宋" w:eastAsia="仿宋" w:cs="仿宋"/>
                <w:color w:val="auto"/>
                <w:sz w:val="24"/>
                <w:highlight w:val="none"/>
              </w:rPr>
            </w:pPr>
            <w:r>
              <w:rPr>
                <w:rFonts w:hint="eastAsia" w:ascii="仿宋" w:hAnsi="仿宋" w:eastAsia="仿宋" w:cs="仿宋"/>
                <w:color w:val="auto"/>
                <w:sz w:val="24"/>
                <w:highlight w:val="none"/>
              </w:rPr>
              <w:t>7、图像取证：对地表火情能进行报警及照相取证。</w:t>
            </w:r>
          </w:p>
        </w:tc>
        <w:tc>
          <w:tcPr>
            <w:tcW w:w="865" w:type="dxa"/>
            <w:vMerge w:val="continue"/>
            <w:vAlign w:val="center"/>
          </w:tcPr>
          <w:p w14:paraId="2D3554F0">
            <w:pPr>
              <w:jc w:val="center"/>
              <w:rPr>
                <w:rFonts w:hint="eastAsia" w:ascii="仿宋" w:hAnsi="仿宋" w:eastAsia="仿宋" w:cs="仿宋"/>
                <w:color w:val="auto"/>
                <w:sz w:val="24"/>
                <w:highlight w:val="none"/>
              </w:rPr>
            </w:pPr>
          </w:p>
        </w:tc>
      </w:tr>
      <w:tr w14:paraId="1456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vAlign w:val="center"/>
          </w:tcPr>
          <w:p w14:paraId="434E4F40">
            <w:pPr>
              <w:jc w:val="center"/>
              <w:rPr>
                <w:rFonts w:hint="eastAsia" w:ascii="仿宋" w:hAnsi="仿宋" w:eastAsia="仿宋" w:cs="仿宋"/>
                <w:color w:val="auto"/>
                <w:sz w:val="24"/>
                <w:highlight w:val="none"/>
              </w:rPr>
            </w:pPr>
          </w:p>
        </w:tc>
        <w:tc>
          <w:tcPr>
            <w:tcW w:w="1499" w:type="dxa"/>
            <w:vMerge w:val="continue"/>
            <w:vAlign w:val="center"/>
          </w:tcPr>
          <w:p w14:paraId="2E433014">
            <w:pPr>
              <w:jc w:val="center"/>
              <w:rPr>
                <w:rFonts w:hint="eastAsia" w:ascii="仿宋" w:hAnsi="仿宋" w:eastAsia="仿宋" w:cs="仿宋"/>
                <w:color w:val="auto"/>
                <w:sz w:val="24"/>
                <w:highlight w:val="none"/>
              </w:rPr>
            </w:pPr>
          </w:p>
        </w:tc>
        <w:tc>
          <w:tcPr>
            <w:tcW w:w="5504" w:type="dxa"/>
          </w:tcPr>
          <w:p w14:paraId="62984355">
            <w:pPr>
              <w:rPr>
                <w:rFonts w:hint="eastAsia" w:ascii="仿宋" w:hAnsi="仿宋" w:eastAsia="仿宋" w:cs="仿宋"/>
                <w:color w:val="auto"/>
                <w:sz w:val="24"/>
                <w:highlight w:val="none"/>
              </w:rPr>
            </w:pPr>
            <w:r>
              <w:rPr>
                <w:rFonts w:hint="eastAsia" w:ascii="仿宋" w:hAnsi="仿宋" w:eastAsia="仿宋" w:cs="仿宋"/>
                <w:color w:val="auto"/>
                <w:sz w:val="24"/>
                <w:highlight w:val="none"/>
              </w:rPr>
              <w:t>8、植被指数分析，可分析地表植被覆盖密度，支持输出NDVI等植被指数。</w:t>
            </w:r>
          </w:p>
        </w:tc>
        <w:tc>
          <w:tcPr>
            <w:tcW w:w="865" w:type="dxa"/>
            <w:vMerge w:val="continue"/>
            <w:vAlign w:val="center"/>
          </w:tcPr>
          <w:p w14:paraId="065C0C71">
            <w:pPr>
              <w:jc w:val="center"/>
              <w:rPr>
                <w:rFonts w:hint="eastAsia" w:ascii="仿宋" w:hAnsi="仿宋" w:eastAsia="仿宋" w:cs="仿宋"/>
                <w:color w:val="auto"/>
                <w:sz w:val="24"/>
                <w:highlight w:val="none"/>
              </w:rPr>
            </w:pPr>
          </w:p>
        </w:tc>
      </w:tr>
      <w:tr w14:paraId="3BC6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vAlign w:val="center"/>
          </w:tcPr>
          <w:p w14:paraId="4390A184">
            <w:pPr>
              <w:jc w:val="center"/>
              <w:rPr>
                <w:rFonts w:hint="eastAsia" w:ascii="仿宋" w:hAnsi="仿宋" w:eastAsia="仿宋" w:cs="仿宋"/>
                <w:color w:val="auto"/>
                <w:sz w:val="24"/>
                <w:highlight w:val="none"/>
              </w:rPr>
            </w:pPr>
          </w:p>
        </w:tc>
        <w:tc>
          <w:tcPr>
            <w:tcW w:w="1499" w:type="dxa"/>
            <w:vMerge w:val="continue"/>
            <w:vAlign w:val="center"/>
          </w:tcPr>
          <w:p w14:paraId="1E911355">
            <w:pPr>
              <w:jc w:val="center"/>
              <w:rPr>
                <w:rFonts w:hint="eastAsia" w:ascii="仿宋" w:hAnsi="仿宋" w:eastAsia="仿宋" w:cs="仿宋"/>
                <w:color w:val="auto"/>
                <w:sz w:val="24"/>
                <w:highlight w:val="none"/>
              </w:rPr>
            </w:pPr>
          </w:p>
        </w:tc>
        <w:tc>
          <w:tcPr>
            <w:tcW w:w="5504" w:type="dxa"/>
          </w:tcPr>
          <w:p w14:paraId="3E9F5735">
            <w:pPr>
              <w:rPr>
                <w:rFonts w:hint="eastAsia" w:ascii="仿宋" w:hAnsi="仿宋" w:eastAsia="仿宋" w:cs="仿宋"/>
                <w:color w:val="auto"/>
                <w:sz w:val="24"/>
                <w:highlight w:val="none"/>
              </w:rPr>
            </w:pPr>
            <w:r>
              <w:rPr>
                <w:rFonts w:hint="eastAsia" w:ascii="仿宋" w:hAnsi="仿宋" w:eastAsia="仿宋" w:cs="仿宋"/>
                <w:color w:val="auto"/>
                <w:sz w:val="24"/>
                <w:highlight w:val="none"/>
              </w:rPr>
              <w:t>9、支持监测、识别、传输、报警等运行状态测控管理，支持设备异常智能监测和异常告警。</w:t>
            </w:r>
          </w:p>
        </w:tc>
        <w:tc>
          <w:tcPr>
            <w:tcW w:w="865" w:type="dxa"/>
            <w:vMerge w:val="continue"/>
            <w:vAlign w:val="center"/>
          </w:tcPr>
          <w:p w14:paraId="01E14FFE">
            <w:pPr>
              <w:jc w:val="center"/>
              <w:rPr>
                <w:rFonts w:hint="eastAsia" w:ascii="仿宋" w:hAnsi="仿宋" w:eastAsia="仿宋" w:cs="仿宋"/>
                <w:color w:val="auto"/>
                <w:sz w:val="24"/>
                <w:highlight w:val="none"/>
              </w:rPr>
            </w:pPr>
          </w:p>
        </w:tc>
      </w:tr>
      <w:tr w14:paraId="47DF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vAlign w:val="center"/>
          </w:tcPr>
          <w:p w14:paraId="48F167F9">
            <w:pPr>
              <w:jc w:val="center"/>
              <w:rPr>
                <w:rFonts w:hint="eastAsia" w:ascii="仿宋" w:hAnsi="仿宋" w:eastAsia="仿宋" w:cs="仿宋"/>
                <w:color w:val="auto"/>
                <w:sz w:val="24"/>
                <w:highlight w:val="none"/>
              </w:rPr>
            </w:pPr>
          </w:p>
        </w:tc>
        <w:tc>
          <w:tcPr>
            <w:tcW w:w="1499" w:type="dxa"/>
            <w:vMerge w:val="continue"/>
            <w:vAlign w:val="center"/>
          </w:tcPr>
          <w:p w14:paraId="702EA541">
            <w:pPr>
              <w:jc w:val="center"/>
              <w:rPr>
                <w:rFonts w:hint="eastAsia" w:ascii="仿宋" w:hAnsi="仿宋" w:eastAsia="仿宋" w:cs="仿宋"/>
                <w:color w:val="auto"/>
                <w:sz w:val="24"/>
                <w:highlight w:val="none"/>
              </w:rPr>
            </w:pPr>
          </w:p>
        </w:tc>
        <w:tc>
          <w:tcPr>
            <w:tcW w:w="5504" w:type="dxa"/>
          </w:tcPr>
          <w:p w14:paraId="48869ABC">
            <w:pP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10、防盗监测：支持空间姿态传感实时监测设备跌落或人为盗取现象，防盗响应时间≤20秒 </w:t>
            </w:r>
          </w:p>
        </w:tc>
        <w:tc>
          <w:tcPr>
            <w:tcW w:w="865" w:type="dxa"/>
            <w:vMerge w:val="continue"/>
            <w:vAlign w:val="center"/>
          </w:tcPr>
          <w:p w14:paraId="6EEAFC54">
            <w:pPr>
              <w:jc w:val="center"/>
              <w:rPr>
                <w:rFonts w:hint="eastAsia" w:ascii="仿宋" w:hAnsi="仿宋" w:eastAsia="仿宋" w:cs="仿宋"/>
                <w:color w:val="auto"/>
                <w:sz w:val="24"/>
                <w:highlight w:val="none"/>
              </w:rPr>
            </w:pPr>
          </w:p>
        </w:tc>
      </w:tr>
      <w:tr w14:paraId="325F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vAlign w:val="center"/>
          </w:tcPr>
          <w:p w14:paraId="56076161">
            <w:pPr>
              <w:jc w:val="center"/>
              <w:rPr>
                <w:rFonts w:hint="eastAsia" w:ascii="仿宋" w:hAnsi="仿宋" w:eastAsia="仿宋" w:cs="仿宋"/>
                <w:color w:val="auto"/>
                <w:sz w:val="24"/>
                <w:highlight w:val="none"/>
              </w:rPr>
            </w:pPr>
          </w:p>
        </w:tc>
        <w:tc>
          <w:tcPr>
            <w:tcW w:w="1499" w:type="dxa"/>
            <w:vMerge w:val="continue"/>
            <w:vAlign w:val="center"/>
          </w:tcPr>
          <w:p w14:paraId="742FB761">
            <w:pPr>
              <w:jc w:val="center"/>
              <w:rPr>
                <w:rFonts w:hint="eastAsia" w:ascii="仿宋" w:hAnsi="仿宋" w:eastAsia="仿宋" w:cs="仿宋"/>
                <w:color w:val="auto"/>
                <w:sz w:val="24"/>
                <w:highlight w:val="none"/>
              </w:rPr>
            </w:pPr>
          </w:p>
        </w:tc>
        <w:tc>
          <w:tcPr>
            <w:tcW w:w="5504" w:type="dxa"/>
          </w:tcPr>
          <w:p w14:paraId="659AE8B7">
            <w:pP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11、具有防止直射、炫光干扰功能 </w:t>
            </w:r>
          </w:p>
        </w:tc>
        <w:tc>
          <w:tcPr>
            <w:tcW w:w="865" w:type="dxa"/>
            <w:vMerge w:val="continue"/>
            <w:vAlign w:val="center"/>
          </w:tcPr>
          <w:p w14:paraId="02DEA4A7">
            <w:pPr>
              <w:jc w:val="center"/>
              <w:rPr>
                <w:rFonts w:hint="eastAsia" w:ascii="仿宋" w:hAnsi="仿宋" w:eastAsia="仿宋" w:cs="仿宋"/>
                <w:color w:val="auto"/>
                <w:sz w:val="24"/>
                <w:highlight w:val="none"/>
              </w:rPr>
            </w:pPr>
          </w:p>
        </w:tc>
      </w:tr>
      <w:tr w14:paraId="4A776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654" w:type="dxa"/>
            <w:vMerge w:val="continue"/>
            <w:vAlign w:val="center"/>
          </w:tcPr>
          <w:p w14:paraId="0CCA18AE">
            <w:pPr>
              <w:jc w:val="center"/>
              <w:rPr>
                <w:rFonts w:hint="eastAsia" w:ascii="仿宋" w:hAnsi="仿宋" w:eastAsia="仿宋" w:cs="仿宋"/>
                <w:color w:val="auto"/>
                <w:sz w:val="24"/>
                <w:highlight w:val="none"/>
              </w:rPr>
            </w:pPr>
          </w:p>
        </w:tc>
        <w:tc>
          <w:tcPr>
            <w:tcW w:w="1499" w:type="dxa"/>
            <w:vMerge w:val="continue"/>
            <w:vAlign w:val="center"/>
          </w:tcPr>
          <w:p w14:paraId="402186A1">
            <w:pPr>
              <w:jc w:val="center"/>
              <w:rPr>
                <w:rFonts w:hint="eastAsia" w:ascii="仿宋" w:hAnsi="仿宋" w:eastAsia="仿宋" w:cs="仿宋"/>
                <w:color w:val="auto"/>
                <w:sz w:val="24"/>
                <w:highlight w:val="none"/>
              </w:rPr>
            </w:pPr>
          </w:p>
        </w:tc>
        <w:tc>
          <w:tcPr>
            <w:tcW w:w="5504" w:type="dxa"/>
          </w:tcPr>
          <w:p w14:paraId="6136A9E6">
            <w:pP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12、支持低功耗窄带远距离NB-IoT通信及组网上云或支持4G通信及组网上云 </w:t>
            </w:r>
          </w:p>
        </w:tc>
        <w:tc>
          <w:tcPr>
            <w:tcW w:w="865" w:type="dxa"/>
            <w:vMerge w:val="continue"/>
            <w:vAlign w:val="center"/>
          </w:tcPr>
          <w:p w14:paraId="0920CD7A">
            <w:pPr>
              <w:jc w:val="center"/>
              <w:rPr>
                <w:rFonts w:hint="eastAsia" w:ascii="仿宋" w:hAnsi="仿宋" w:eastAsia="仿宋" w:cs="仿宋"/>
                <w:color w:val="auto"/>
                <w:sz w:val="24"/>
                <w:highlight w:val="none"/>
              </w:rPr>
            </w:pPr>
          </w:p>
        </w:tc>
      </w:tr>
      <w:tr w14:paraId="77A71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654" w:type="dxa"/>
            <w:vMerge w:val="continue"/>
            <w:vAlign w:val="center"/>
          </w:tcPr>
          <w:p w14:paraId="623EB97F">
            <w:pPr>
              <w:jc w:val="center"/>
              <w:rPr>
                <w:rFonts w:hint="eastAsia" w:ascii="仿宋" w:hAnsi="仿宋" w:eastAsia="仿宋" w:cs="仿宋"/>
                <w:color w:val="auto"/>
                <w:sz w:val="24"/>
                <w:highlight w:val="none"/>
              </w:rPr>
            </w:pPr>
          </w:p>
        </w:tc>
        <w:tc>
          <w:tcPr>
            <w:tcW w:w="1499" w:type="dxa"/>
            <w:vMerge w:val="continue"/>
            <w:vAlign w:val="center"/>
          </w:tcPr>
          <w:p w14:paraId="1B5F3207">
            <w:pPr>
              <w:jc w:val="center"/>
              <w:rPr>
                <w:rFonts w:hint="eastAsia" w:ascii="仿宋" w:hAnsi="仿宋" w:eastAsia="仿宋" w:cs="仿宋"/>
                <w:color w:val="auto"/>
                <w:sz w:val="24"/>
                <w:highlight w:val="none"/>
              </w:rPr>
            </w:pPr>
          </w:p>
        </w:tc>
        <w:tc>
          <w:tcPr>
            <w:tcW w:w="5504" w:type="dxa"/>
          </w:tcPr>
          <w:p w14:paraId="2E0EF7CF">
            <w:pP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13、电源供应：太阳能可充电电池 </w:t>
            </w:r>
          </w:p>
        </w:tc>
        <w:tc>
          <w:tcPr>
            <w:tcW w:w="865" w:type="dxa"/>
            <w:vMerge w:val="continue"/>
            <w:vAlign w:val="center"/>
          </w:tcPr>
          <w:p w14:paraId="0F457BB2">
            <w:pPr>
              <w:jc w:val="center"/>
              <w:rPr>
                <w:rFonts w:hint="eastAsia" w:ascii="仿宋" w:hAnsi="仿宋" w:eastAsia="仿宋" w:cs="仿宋"/>
                <w:color w:val="auto"/>
                <w:sz w:val="24"/>
                <w:highlight w:val="none"/>
              </w:rPr>
            </w:pPr>
          </w:p>
        </w:tc>
      </w:tr>
      <w:tr w14:paraId="7E25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654" w:type="dxa"/>
            <w:vMerge w:val="continue"/>
            <w:vAlign w:val="center"/>
          </w:tcPr>
          <w:p w14:paraId="60445B01">
            <w:pPr>
              <w:jc w:val="center"/>
              <w:rPr>
                <w:rFonts w:hint="eastAsia" w:ascii="仿宋" w:hAnsi="仿宋" w:eastAsia="仿宋" w:cs="仿宋"/>
                <w:color w:val="auto"/>
                <w:sz w:val="24"/>
                <w:highlight w:val="none"/>
              </w:rPr>
            </w:pPr>
          </w:p>
        </w:tc>
        <w:tc>
          <w:tcPr>
            <w:tcW w:w="1499" w:type="dxa"/>
            <w:vMerge w:val="continue"/>
            <w:vAlign w:val="center"/>
          </w:tcPr>
          <w:p w14:paraId="39642BAD">
            <w:pPr>
              <w:jc w:val="center"/>
              <w:rPr>
                <w:rFonts w:hint="eastAsia" w:ascii="仿宋" w:hAnsi="仿宋" w:eastAsia="仿宋" w:cs="仿宋"/>
                <w:color w:val="auto"/>
                <w:sz w:val="24"/>
                <w:highlight w:val="none"/>
              </w:rPr>
            </w:pPr>
          </w:p>
        </w:tc>
        <w:tc>
          <w:tcPr>
            <w:tcW w:w="5504" w:type="dxa"/>
          </w:tcPr>
          <w:p w14:paraId="52EC5E6B">
            <w:pP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14、抗静电、抗环境光线、抗震动 </w:t>
            </w:r>
          </w:p>
        </w:tc>
        <w:tc>
          <w:tcPr>
            <w:tcW w:w="865" w:type="dxa"/>
            <w:vMerge w:val="continue"/>
            <w:vAlign w:val="center"/>
          </w:tcPr>
          <w:p w14:paraId="50EF0F27">
            <w:pPr>
              <w:jc w:val="center"/>
              <w:rPr>
                <w:rFonts w:hint="eastAsia" w:ascii="仿宋" w:hAnsi="仿宋" w:eastAsia="仿宋" w:cs="仿宋"/>
                <w:color w:val="auto"/>
                <w:sz w:val="24"/>
                <w:highlight w:val="none"/>
              </w:rPr>
            </w:pPr>
          </w:p>
        </w:tc>
      </w:tr>
      <w:tr w14:paraId="235A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654" w:type="dxa"/>
            <w:vMerge w:val="continue"/>
            <w:vAlign w:val="center"/>
          </w:tcPr>
          <w:p w14:paraId="7462545E">
            <w:pPr>
              <w:jc w:val="center"/>
              <w:rPr>
                <w:rFonts w:hint="eastAsia" w:ascii="仿宋" w:hAnsi="仿宋" w:eastAsia="仿宋" w:cs="仿宋"/>
                <w:color w:val="auto"/>
                <w:sz w:val="24"/>
                <w:highlight w:val="none"/>
              </w:rPr>
            </w:pPr>
          </w:p>
        </w:tc>
        <w:tc>
          <w:tcPr>
            <w:tcW w:w="1499" w:type="dxa"/>
            <w:vMerge w:val="continue"/>
            <w:vAlign w:val="center"/>
          </w:tcPr>
          <w:p w14:paraId="7B4B88AA">
            <w:pPr>
              <w:jc w:val="center"/>
              <w:rPr>
                <w:rFonts w:hint="eastAsia" w:ascii="仿宋" w:hAnsi="仿宋" w:eastAsia="仿宋" w:cs="仿宋"/>
                <w:color w:val="auto"/>
                <w:sz w:val="24"/>
                <w:highlight w:val="none"/>
              </w:rPr>
            </w:pPr>
          </w:p>
        </w:tc>
        <w:tc>
          <w:tcPr>
            <w:tcW w:w="5504" w:type="dxa"/>
          </w:tcPr>
          <w:p w14:paraId="1BC6DEF7">
            <w:pPr>
              <w:rPr>
                <w:rFonts w:hint="eastAsia" w:ascii="仿宋" w:hAnsi="仿宋" w:eastAsia="仿宋" w:cs="仿宋"/>
                <w:color w:val="auto"/>
                <w:sz w:val="24"/>
                <w:highlight w:val="none"/>
              </w:rPr>
            </w:pPr>
            <w:r>
              <w:rPr>
                <w:rFonts w:hint="eastAsia" w:ascii="仿宋" w:hAnsi="仿宋" w:eastAsia="仿宋" w:cs="仿宋"/>
                <w:color w:val="auto"/>
                <w:sz w:val="24"/>
                <w:highlight w:val="none"/>
              </w:rPr>
              <w:t>15、外壳防护等级：≥IP67。</w:t>
            </w:r>
          </w:p>
        </w:tc>
        <w:tc>
          <w:tcPr>
            <w:tcW w:w="865" w:type="dxa"/>
            <w:vMerge w:val="continue"/>
            <w:vAlign w:val="center"/>
          </w:tcPr>
          <w:p w14:paraId="3764714A">
            <w:pPr>
              <w:jc w:val="center"/>
              <w:rPr>
                <w:rFonts w:hint="eastAsia" w:ascii="仿宋" w:hAnsi="仿宋" w:eastAsia="仿宋" w:cs="仿宋"/>
                <w:color w:val="auto"/>
                <w:sz w:val="24"/>
                <w:highlight w:val="none"/>
              </w:rPr>
            </w:pPr>
          </w:p>
        </w:tc>
      </w:tr>
      <w:tr w14:paraId="229D5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654" w:type="dxa"/>
            <w:vMerge w:val="continue"/>
            <w:vAlign w:val="center"/>
          </w:tcPr>
          <w:p w14:paraId="71B3B72F">
            <w:pPr>
              <w:jc w:val="center"/>
              <w:rPr>
                <w:rFonts w:hint="eastAsia" w:ascii="仿宋" w:hAnsi="仿宋" w:eastAsia="仿宋" w:cs="仿宋"/>
                <w:color w:val="auto"/>
                <w:sz w:val="24"/>
                <w:highlight w:val="none"/>
              </w:rPr>
            </w:pPr>
          </w:p>
        </w:tc>
        <w:tc>
          <w:tcPr>
            <w:tcW w:w="1499" w:type="dxa"/>
            <w:vMerge w:val="continue"/>
            <w:vAlign w:val="center"/>
          </w:tcPr>
          <w:p w14:paraId="16876BFB">
            <w:pPr>
              <w:jc w:val="center"/>
              <w:rPr>
                <w:rFonts w:hint="eastAsia" w:ascii="仿宋" w:hAnsi="仿宋" w:eastAsia="仿宋" w:cs="仿宋"/>
                <w:color w:val="auto"/>
                <w:sz w:val="24"/>
                <w:highlight w:val="none"/>
              </w:rPr>
            </w:pPr>
          </w:p>
        </w:tc>
        <w:tc>
          <w:tcPr>
            <w:tcW w:w="5504" w:type="dxa"/>
          </w:tcPr>
          <w:p w14:paraId="644630DB">
            <w:pPr>
              <w:rPr>
                <w:rFonts w:hint="eastAsia" w:ascii="仿宋" w:hAnsi="仿宋" w:eastAsia="仿宋" w:cs="仿宋"/>
                <w:color w:val="auto"/>
                <w:sz w:val="24"/>
                <w:highlight w:val="none"/>
              </w:rPr>
            </w:pPr>
            <w:r>
              <w:rPr>
                <w:rFonts w:hint="eastAsia" w:ascii="仿宋" w:hAnsi="仿宋" w:eastAsia="仿宋" w:cs="仿宋"/>
                <w:color w:val="auto"/>
                <w:sz w:val="24"/>
                <w:highlight w:val="none"/>
              </w:rPr>
              <w:t>16、工作温度：-30℃~60℃。</w:t>
            </w:r>
          </w:p>
        </w:tc>
        <w:tc>
          <w:tcPr>
            <w:tcW w:w="865" w:type="dxa"/>
            <w:vMerge w:val="continue"/>
            <w:vAlign w:val="center"/>
          </w:tcPr>
          <w:p w14:paraId="73CD35FF">
            <w:pPr>
              <w:jc w:val="center"/>
              <w:rPr>
                <w:rFonts w:hint="eastAsia" w:ascii="仿宋" w:hAnsi="仿宋" w:eastAsia="仿宋" w:cs="仿宋"/>
                <w:color w:val="auto"/>
                <w:sz w:val="24"/>
                <w:highlight w:val="none"/>
              </w:rPr>
            </w:pPr>
          </w:p>
        </w:tc>
      </w:tr>
      <w:tr w14:paraId="5982E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54" w:type="dxa"/>
            <w:vMerge w:val="restart"/>
            <w:vAlign w:val="center"/>
          </w:tcPr>
          <w:p w14:paraId="09D83539">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1499" w:type="dxa"/>
            <w:vMerge w:val="restart"/>
            <w:vAlign w:val="center"/>
          </w:tcPr>
          <w:p w14:paraId="467E8C72">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地表火探测器管理终端</w:t>
            </w:r>
          </w:p>
        </w:tc>
        <w:tc>
          <w:tcPr>
            <w:tcW w:w="5504" w:type="dxa"/>
          </w:tcPr>
          <w:p w14:paraId="7FDEC8DA">
            <w:pPr>
              <w:rPr>
                <w:rFonts w:hint="eastAsia" w:ascii="仿宋" w:hAnsi="仿宋" w:eastAsia="仿宋" w:cs="仿宋"/>
                <w:color w:val="auto"/>
                <w:sz w:val="24"/>
                <w:highlight w:val="none"/>
              </w:rPr>
            </w:pPr>
            <w:r>
              <w:rPr>
                <w:rFonts w:ascii="仿宋" w:hAnsi="仿宋" w:eastAsia="仿宋" w:cs="仿宋"/>
                <w:color w:val="auto"/>
                <w:sz w:val="24"/>
                <w:highlight w:val="none"/>
              </w:rPr>
              <w:t>1、支持在 GIS 电子地图上查看管辖区域内设备的地理位置、设备详情和在线离线状态。</w:t>
            </w:r>
          </w:p>
        </w:tc>
        <w:tc>
          <w:tcPr>
            <w:tcW w:w="865" w:type="dxa"/>
            <w:vMerge w:val="restart"/>
            <w:vAlign w:val="center"/>
          </w:tcPr>
          <w:p w14:paraId="20CC526D">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1套</w:t>
            </w:r>
          </w:p>
        </w:tc>
      </w:tr>
      <w:tr w14:paraId="5046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54" w:type="dxa"/>
            <w:vMerge w:val="continue"/>
            <w:vAlign w:val="center"/>
          </w:tcPr>
          <w:p w14:paraId="0D60B520">
            <w:pPr>
              <w:rPr>
                <w:color w:val="auto"/>
                <w:highlight w:val="none"/>
              </w:rPr>
            </w:pPr>
          </w:p>
        </w:tc>
        <w:tc>
          <w:tcPr>
            <w:tcW w:w="1499" w:type="dxa"/>
            <w:vMerge w:val="continue"/>
            <w:vAlign w:val="center"/>
          </w:tcPr>
          <w:p w14:paraId="52114DBD">
            <w:pPr>
              <w:rPr>
                <w:color w:val="auto"/>
                <w:highlight w:val="none"/>
              </w:rPr>
            </w:pPr>
          </w:p>
        </w:tc>
        <w:tc>
          <w:tcPr>
            <w:tcW w:w="5504" w:type="dxa"/>
          </w:tcPr>
          <w:p w14:paraId="7CE01F94">
            <w:pP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ascii="仿宋" w:hAnsi="仿宋" w:eastAsia="仿宋" w:cs="仿宋"/>
                <w:color w:val="auto"/>
                <w:sz w:val="24"/>
                <w:highlight w:val="none"/>
              </w:rPr>
              <w:t>支持以曲线方式展示近 7 天的火情趋势。</w:t>
            </w:r>
          </w:p>
        </w:tc>
        <w:tc>
          <w:tcPr>
            <w:tcW w:w="865" w:type="dxa"/>
            <w:vMerge w:val="continue"/>
            <w:vAlign w:val="center"/>
          </w:tcPr>
          <w:p w14:paraId="3D285B64">
            <w:pPr>
              <w:rPr>
                <w:rFonts w:hint="eastAsia" w:ascii="仿宋" w:hAnsi="仿宋" w:eastAsia="仿宋" w:cs="仿宋"/>
                <w:color w:val="auto"/>
                <w:sz w:val="24"/>
                <w:highlight w:val="none"/>
              </w:rPr>
            </w:pPr>
          </w:p>
        </w:tc>
      </w:tr>
      <w:tr w14:paraId="2275A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54" w:type="dxa"/>
            <w:vMerge w:val="continue"/>
            <w:vAlign w:val="center"/>
          </w:tcPr>
          <w:p w14:paraId="47D016F4">
            <w:pPr>
              <w:rPr>
                <w:rFonts w:hint="eastAsia" w:ascii="仿宋" w:hAnsi="仿宋" w:eastAsia="仿宋" w:cs="仿宋"/>
                <w:color w:val="auto"/>
                <w:sz w:val="24"/>
                <w:highlight w:val="none"/>
              </w:rPr>
            </w:pPr>
          </w:p>
        </w:tc>
        <w:tc>
          <w:tcPr>
            <w:tcW w:w="1499" w:type="dxa"/>
            <w:vMerge w:val="continue"/>
            <w:vAlign w:val="center"/>
          </w:tcPr>
          <w:p w14:paraId="150D5FF1">
            <w:pPr>
              <w:rPr>
                <w:rFonts w:hint="eastAsia" w:ascii="仿宋" w:hAnsi="仿宋" w:eastAsia="仿宋" w:cs="仿宋"/>
                <w:color w:val="auto"/>
                <w:sz w:val="24"/>
                <w:highlight w:val="none"/>
              </w:rPr>
            </w:pPr>
          </w:p>
        </w:tc>
        <w:tc>
          <w:tcPr>
            <w:tcW w:w="5504" w:type="dxa"/>
          </w:tcPr>
          <w:p w14:paraId="3D265719">
            <w:pPr>
              <w:rPr>
                <w:rFonts w:hint="eastAsia" w:ascii="仿宋" w:hAnsi="仿宋" w:eastAsia="仿宋" w:cs="仿宋"/>
                <w:color w:val="auto"/>
                <w:sz w:val="24"/>
                <w:highlight w:val="none"/>
              </w:rPr>
            </w:pPr>
            <w:r>
              <w:rPr>
                <w:rFonts w:ascii="仿宋" w:hAnsi="仿宋" w:eastAsia="仿宋" w:cs="仿宋"/>
                <w:color w:val="auto"/>
                <w:sz w:val="24"/>
                <w:highlight w:val="none"/>
              </w:rPr>
              <w:t>3、支持统计展示区内部署安装的设备总数量和在线率情况，支持统计展示当前设备在线数量和离线数量，以列表方式展示设备在线离线情况。</w:t>
            </w:r>
          </w:p>
        </w:tc>
        <w:tc>
          <w:tcPr>
            <w:tcW w:w="865" w:type="dxa"/>
            <w:vMerge w:val="continue"/>
            <w:vAlign w:val="center"/>
          </w:tcPr>
          <w:p w14:paraId="02E83CEB">
            <w:pPr>
              <w:rPr>
                <w:rFonts w:hint="eastAsia" w:ascii="仿宋" w:hAnsi="仿宋" w:eastAsia="仿宋" w:cs="仿宋"/>
                <w:color w:val="auto"/>
                <w:sz w:val="24"/>
                <w:highlight w:val="none"/>
              </w:rPr>
            </w:pPr>
          </w:p>
        </w:tc>
      </w:tr>
      <w:tr w14:paraId="4E8A1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54" w:type="dxa"/>
            <w:vMerge w:val="continue"/>
            <w:vAlign w:val="center"/>
          </w:tcPr>
          <w:p w14:paraId="1690300E">
            <w:pPr>
              <w:rPr>
                <w:rFonts w:hint="eastAsia" w:ascii="仿宋" w:hAnsi="仿宋" w:eastAsia="仿宋" w:cs="仿宋"/>
                <w:color w:val="auto"/>
                <w:sz w:val="24"/>
                <w:highlight w:val="none"/>
              </w:rPr>
            </w:pPr>
          </w:p>
        </w:tc>
        <w:tc>
          <w:tcPr>
            <w:tcW w:w="1499" w:type="dxa"/>
            <w:vMerge w:val="continue"/>
            <w:vAlign w:val="center"/>
          </w:tcPr>
          <w:p w14:paraId="34904E8C">
            <w:pPr>
              <w:rPr>
                <w:rFonts w:hint="eastAsia" w:ascii="仿宋" w:hAnsi="仿宋" w:eastAsia="仿宋" w:cs="仿宋"/>
                <w:color w:val="auto"/>
                <w:sz w:val="24"/>
                <w:highlight w:val="none"/>
              </w:rPr>
            </w:pPr>
          </w:p>
        </w:tc>
        <w:tc>
          <w:tcPr>
            <w:tcW w:w="5504" w:type="dxa"/>
          </w:tcPr>
          <w:p w14:paraId="1F2212F3">
            <w:pPr>
              <w:rPr>
                <w:rFonts w:hint="eastAsia" w:ascii="仿宋" w:hAnsi="仿宋" w:eastAsia="仿宋" w:cs="仿宋"/>
                <w:color w:val="auto"/>
                <w:sz w:val="24"/>
                <w:highlight w:val="none"/>
              </w:rPr>
            </w:pPr>
            <w:r>
              <w:rPr>
                <w:rFonts w:hint="eastAsia" w:ascii="仿宋" w:hAnsi="仿宋" w:eastAsia="仿宋" w:cs="仿宋"/>
                <w:color w:val="auto"/>
                <w:sz w:val="24"/>
                <w:highlight w:val="none"/>
              </w:rPr>
              <w:t>4、支持点击设备查看设备基本情况，包括设备名称、设备类型、设备位置、经纬度、海拔。</w:t>
            </w:r>
          </w:p>
        </w:tc>
        <w:tc>
          <w:tcPr>
            <w:tcW w:w="865" w:type="dxa"/>
            <w:vMerge w:val="continue"/>
            <w:vAlign w:val="center"/>
          </w:tcPr>
          <w:p w14:paraId="793DAFB1">
            <w:pPr>
              <w:rPr>
                <w:rFonts w:hint="eastAsia" w:ascii="仿宋" w:hAnsi="仿宋" w:eastAsia="仿宋" w:cs="仿宋"/>
                <w:color w:val="auto"/>
                <w:sz w:val="24"/>
                <w:highlight w:val="none"/>
              </w:rPr>
            </w:pPr>
          </w:p>
        </w:tc>
      </w:tr>
      <w:tr w14:paraId="2207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54" w:type="dxa"/>
            <w:vMerge w:val="continue"/>
            <w:vAlign w:val="center"/>
          </w:tcPr>
          <w:p w14:paraId="44FC2C88">
            <w:pPr>
              <w:rPr>
                <w:rFonts w:hint="eastAsia" w:ascii="仿宋" w:hAnsi="仿宋" w:eastAsia="仿宋" w:cs="仿宋"/>
                <w:color w:val="auto"/>
                <w:sz w:val="24"/>
                <w:highlight w:val="none"/>
              </w:rPr>
            </w:pPr>
          </w:p>
        </w:tc>
        <w:tc>
          <w:tcPr>
            <w:tcW w:w="1499" w:type="dxa"/>
            <w:vMerge w:val="continue"/>
            <w:vAlign w:val="center"/>
          </w:tcPr>
          <w:p w14:paraId="194532D4">
            <w:pPr>
              <w:rPr>
                <w:rFonts w:hint="eastAsia" w:ascii="仿宋" w:hAnsi="仿宋" w:eastAsia="仿宋" w:cs="仿宋"/>
                <w:color w:val="auto"/>
                <w:sz w:val="24"/>
                <w:highlight w:val="none"/>
              </w:rPr>
            </w:pPr>
          </w:p>
        </w:tc>
        <w:tc>
          <w:tcPr>
            <w:tcW w:w="5504" w:type="dxa"/>
          </w:tcPr>
          <w:p w14:paraId="0EBBA531">
            <w:pPr>
              <w:rPr>
                <w:rFonts w:ascii="仿宋" w:hAnsi="仿宋" w:eastAsia="仿宋" w:cs="仿宋"/>
                <w:color w:val="auto"/>
                <w:sz w:val="24"/>
                <w:highlight w:val="none"/>
              </w:rPr>
            </w:pPr>
            <w:r>
              <w:rPr>
                <w:rFonts w:hint="eastAsia" w:ascii="仿宋" w:hAnsi="仿宋" w:eastAsia="仿宋" w:cs="仿宋"/>
                <w:color w:val="auto"/>
                <w:sz w:val="24"/>
                <w:highlight w:val="none"/>
              </w:rPr>
              <w:t>5、支持查看设备火警统计信息，包括今日、过去 30 天、过去 12 月的火警次数和火情数；支持查看本设备全部火警数量、待处置数量、处置中数量、已处置数量和已屏蔽数量等报警列表记录，支持按处置状态、时间段检索查询具体的报警事件信息。</w:t>
            </w:r>
          </w:p>
        </w:tc>
        <w:tc>
          <w:tcPr>
            <w:tcW w:w="865" w:type="dxa"/>
            <w:vMerge w:val="continue"/>
            <w:vAlign w:val="center"/>
          </w:tcPr>
          <w:p w14:paraId="4FBD08CA">
            <w:pPr>
              <w:rPr>
                <w:rFonts w:hint="eastAsia" w:ascii="仿宋" w:hAnsi="仿宋" w:eastAsia="仿宋" w:cs="仿宋"/>
                <w:color w:val="auto"/>
                <w:sz w:val="24"/>
                <w:highlight w:val="none"/>
              </w:rPr>
            </w:pPr>
          </w:p>
        </w:tc>
      </w:tr>
      <w:tr w14:paraId="0501C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54" w:type="dxa"/>
            <w:vMerge w:val="continue"/>
            <w:vAlign w:val="center"/>
          </w:tcPr>
          <w:p w14:paraId="233D98D2">
            <w:pPr>
              <w:rPr>
                <w:rFonts w:hint="eastAsia" w:ascii="仿宋" w:hAnsi="仿宋" w:eastAsia="仿宋" w:cs="仿宋"/>
                <w:color w:val="auto"/>
                <w:sz w:val="24"/>
                <w:highlight w:val="none"/>
              </w:rPr>
            </w:pPr>
          </w:p>
        </w:tc>
        <w:tc>
          <w:tcPr>
            <w:tcW w:w="1499" w:type="dxa"/>
            <w:vMerge w:val="continue"/>
            <w:vAlign w:val="center"/>
          </w:tcPr>
          <w:p w14:paraId="0D1C7FDE">
            <w:pPr>
              <w:rPr>
                <w:rFonts w:hint="eastAsia" w:ascii="仿宋" w:hAnsi="仿宋" w:eastAsia="仿宋" w:cs="仿宋"/>
                <w:color w:val="auto"/>
                <w:sz w:val="24"/>
                <w:highlight w:val="none"/>
              </w:rPr>
            </w:pPr>
          </w:p>
        </w:tc>
        <w:tc>
          <w:tcPr>
            <w:tcW w:w="5504" w:type="dxa"/>
          </w:tcPr>
          <w:p w14:paraId="19621761">
            <w:pPr>
              <w:rPr>
                <w:rFonts w:hint="eastAsia" w:ascii="仿宋" w:hAnsi="仿宋" w:eastAsia="仿宋" w:cs="仿宋"/>
                <w:color w:val="auto"/>
                <w:sz w:val="24"/>
                <w:highlight w:val="none"/>
              </w:rPr>
            </w:pPr>
            <w:r>
              <w:rPr>
                <w:rFonts w:hint="eastAsia" w:ascii="仿宋" w:hAnsi="仿宋" w:eastAsia="仿宋" w:cs="仿宋"/>
                <w:color w:val="auto"/>
                <w:sz w:val="24"/>
                <w:highlight w:val="none"/>
              </w:rPr>
              <w:t>6、支持统计经核实后的火情发生数量，支持统计已核实的火警数量，支持按涉林火情、非涉林火情、非火情和误报分类统计相应数量，支持按火源类型统计展示相应数量。</w:t>
            </w:r>
          </w:p>
        </w:tc>
        <w:tc>
          <w:tcPr>
            <w:tcW w:w="865" w:type="dxa"/>
            <w:vMerge w:val="continue"/>
            <w:vAlign w:val="center"/>
          </w:tcPr>
          <w:p w14:paraId="6327B2C3">
            <w:pPr>
              <w:rPr>
                <w:rFonts w:hint="eastAsia" w:ascii="仿宋" w:hAnsi="仿宋" w:eastAsia="仿宋" w:cs="仿宋"/>
                <w:color w:val="auto"/>
                <w:sz w:val="24"/>
                <w:highlight w:val="none"/>
              </w:rPr>
            </w:pPr>
          </w:p>
        </w:tc>
      </w:tr>
      <w:tr w14:paraId="3C4B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54" w:type="dxa"/>
            <w:vMerge w:val="continue"/>
            <w:vAlign w:val="center"/>
          </w:tcPr>
          <w:p w14:paraId="30C11917">
            <w:pPr>
              <w:jc w:val="center"/>
              <w:rPr>
                <w:rFonts w:hint="eastAsia" w:ascii="仿宋" w:hAnsi="仿宋" w:eastAsia="仿宋" w:cs="仿宋"/>
                <w:color w:val="auto"/>
                <w:sz w:val="24"/>
                <w:highlight w:val="none"/>
              </w:rPr>
            </w:pPr>
          </w:p>
        </w:tc>
        <w:tc>
          <w:tcPr>
            <w:tcW w:w="1499" w:type="dxa"/>
            <w:vMerge w:val="continue"/>
            <w:vAlign w:val="center"/>
          </w:tcPr>
          <w:p w14:paraId="7AEC435F">
            <w:pPr>
              <w:jc w:val="center"/>
              <w:rPr>
                <w:rFonts w:hint="eastAsia" w:ascii="仿宋" w:hAnsi="仿宋" w:eastAsia="仿宋" w:cs="仿宋"/>
                <w:color w:val="auto"/>
                <w:sz w:val="24"/>
                <w:highlight w:val="none"/>
              </w:rPr>
            </w:pPr>
          </w:p>
        </w:tc>
        <w:tc>
          <w:tcPr>
            <w:tcW w:w="5504" w:type="dxa"/>
          </w:tcPr>
          <w:p w14:paraId="54E1804F">
            <w:pP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r>
              <w:rPr>
                <w:rFonts w:ascii="仿宋" w:hAnsi="仿宋" w:eastAsia="仿宋" w:cs="仿宋"/>
                <w:color w:val="auto"/>
                <w:sz w:val="24"/>
                <w:highlight w:val="none"/>
              </w:rPr>
              <w:t>、支持以列表方式展示收藏的火警事件； 点击事件可查看报警详情，包括事件类型、报警来源、设备类型、报警时间、所在位置</w:t>
            </w:r>
            <w:r>
              <w:rPr>
                <w:rFonts w:hint="eastAsia" w:ascii="仿宋" w:hAnsi="仿宋" w:eastAsia="仿宋" w:cs="仿宋"/>
                <w:color w:val="auto"/>
                <w:sz w:val="24"/>
                <w:highlight w:val="none"/>
              </w:rPr>
              <w:t>、经纬度</w:t>
            </w:r>
            <w:r>
              <w:rPr>
                <w:rFonts w:ascii="仿宋" w:hAnsi="仿宋" w:eastAsia="仿宋" w:cs="仿宋"/>
                <w:color w:val="auto"/>
                <w:sz w:val="24"/>
                <w:highlight w:val="none"/>
              </w:rPr>
              <w:t>等；</w:t>
            </w:r>
            <w:r>
              <w:rPr>
                <w:rFonts w:hint="eastAsia" w:ascii="仿宋" w:hAnsi="仿宋" w:eastAsia="仿宋" w:cs="仿宋"/>
                <w:color w:val="auto"/>
                <w:sz w:val="24"/>
                <w:highlight w:val="none"/>
              </w:rPr>
              <w:t>支持查看接警人名单和关于本条火警事件的查看状态;支持对报警点位进行人工地图定位校准;支持查看火警事件处置流程。</w:t>
            </w:r>
          </w:p>
        </w:tc>
        <w:tc>
          <w:tcPr>
            <w:tcW w:w="865" w:type="dxa"/>
            <w:vMerge w:val="continue"/>
            <w:vAlign w:val="center"/>
          </w:tcPr>
          <w:p w14:paraId="6A0426A5">
            <w:pPr>
              <w:jc w:val="center"/>
              <w:rPr>
                <w:rFonts w:hint="eastAsia" w:ascii="仿宋" w:hAnsi="仿宋" w:eastAsia="仿宋" w:cs="仿宋"/>
                <w:color w:val="auto"/>
                <w:sz w:val="24"/>
                <w:highlight w:val="none"/>
              </w:rPr>
            </w:pPr>
          </w:p>
        </w:tc>
      </w:tr>
      <w:tr w14:paraId="26ADB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54" w:type="dxa"/>
            <w:vMerge w:val="continue"/>
            <w:vAlign w:val="center"/>
          </w:tcPr>
          <w:p w14:paraId="379BF1A9">
            <w:pPr>
              <w:rPr>
                <w:color w:val="auto"/>
                <w:highlight w:val="none"/>
              </w:rPr>
            </w:pPr>
          </w:p>
        </w:tc>
        <w:tc>
          <w:tcPr>
            <w:tcW w:w="1499" w:type="dxa"/>
            <w:vMerge w:val="continue"/>
            <w:vAlign w:val="center"/>
          </w:tcPr>
          <w:p w14:paraId="7492A387">
            <w:pPr>
              <w:rPr>
                <w:color w:val="auto"/>
                <w:highlight w:val="none"/>
              </w:rPr>
            </w:pPr>
          </w:p>
        </w:tc>
        <w:tc>
          <w:tcPr>
            <w:tcW w:w="5504" w:type="dxa"/>
          </w:tcPr>
          <w:p w14:paraId="389868A8">
            <w:pPr>
              <w:rPr>
                <w:rFonts w:hint="eastAsia" w:ascii="仿宋" w:hAnsi="仿宋" w:eastAsia="仿宋" w:cs="仿宋"/>
                <w:color w:val="auto"/>
                <w:sz w:val="24"/>
                <w:highlight w:val="none"/>
              </w:rPr>
            </w:pPr>
            <w:r>
              <w:rPr>
                <w:rFonts w:hint="eastAsia" w:ascii="仿宋" w:hAnsi="仿宋" w:eastAsia="仿宋" w:cs="仿宋"/>
                <w:color w:val="auto"/>
                <w:sz w:val="24"/>
                <w:highlight w:val="none"/>
              </w:rPr>
              <w:t>8、支持统计火警事件总数量、待处置数量、处置中数量、已处置数量和已屏蔽数量;支持按时间、设备查询火警事件;支持对待处置事件进行核实处置，填报核实结果(涉林火情、非涉林火情、非火情和误报)，上传图片和填写相关文字说明;支持对处置中事件进行处置，填报火情处置结果，上传图片和填写相关文字说明。</w:t>
            </w:r>
          </w:p>
        </w:tc>
        <w:tc>
          <w:tcPr>
            <w:tcW w:w="865" w:type="dxa"/>
            <w:vMerge w:val="continue"/>
            <w:vAlign w:val="center"/>
          </w:tcPr>
          <w:p w14:paraId="49F3BD30">
            <w:pPr>
              <w:rPr>
                <w:rFonts w:hint="eastAsia" w:ascii="仿宋" w:hAnsi="仿宋" w:eastAsia="仿宋" w:cs="仿宋"/>
                <w:color w:val="auto"/>
                <w:sz w:val="24"/>
                <w:highlight w:val="none"/>
              </w:rPr>
            </w:pPr>
          </w:p>
        </w:tc>
      </w:tr>
      <w:tr w14:paraId="3371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54" w:type="dxa"/>
            <w:vMerge w:val="continue"/>
            <w:vAlign w:val="center"/>
          </w:tcPr>
          <w:p w14:paraId="7073FEC4">
            <w:pPr>
              <w:jc w:val="center"/>
              <w:rPr>
                <w:rFonts w:hint="eastAsia" w:ascii="仿宋" w:hAnsi="仿宋" w:eastAsia="仿宋" w:cs="仿宋"/>
                <w:color w:val="auto"/>
                <w:sz w:val="24"/>
                <w:highlight w:val="none"/>
              </w:rPr>
            </w:pPr>
          </w:p>
        </w:tc>
        <w:tc>
          <w:tcPr>
            <w:tcW w:w="1499" w:type="dxa"/>
            <w:vMerge w:val="continue"/>
            <w:vAlign w:val="center"/>
          </w:tcPr>
          <w:p w14:paraId="2D018E1B">
            <w:pPr>
              <w:jc w:val="center"/>
              <w:rPr>
                <w:rFonts w:hint="eastAsia" w:ascii="仿宋" w:hAnsi="仿宋" w:eastAsia="仿宋" w:cs="仿宋"/>
                <w:color w:val="auto"/>
                <w:sz w:val="24"/>
                <w:highlight w:val="none"/>
              </w:rPr>
            </w:pPr>
          </w:p>
        </w:tc>
        <w:tc>
          <w:tcPr>
            <w:tcW w:w="5504" w:type="dxa"/>
          </w:tcPr>
          <w:p w14:paraId="2FB560AD">
            <w:pP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r>
              <w:rPr>
                <w:rFonts w:ascii="仿宋" w:hAnsi="仿宋" w:eastAsia="仿宋" w:cs="仿宋"/>
                <w:color w:val="auto"/>
                <w:sz w:val="24"/>
                <w:highlight w:val="none"/>
              </w:rPr>
              <w:t>、消息推送：支持以列表方式呈现消息推送设置情况 ，包括推送人、联系方式、所属部门、角色</w:t>
            </w:r>
            <w:r>
              <w:rPr>
                <w:rFonts w:hint="eastAsia" w:ascii="仿宋" w:hAnsi="仿宋" w:eastAsia="仿宋" w:cs="仿宋"/>
                <w:color w:val="auto"/>
                <w:sz w:val="24"/>
                <w:highlight w:val="none"/>
              </w:rPr>
              <w:t>、短信</w:t>
            </w:r>
            <w:r>
              <w:rPr>
                <w:rFonts w:ascii="仿宋" w:hAnsi="仿宋" w:eastAsia="仿宋" w:cs="仿宋"/>
                <w:color w:val="auto"/>
                <w:sz w:val="24"/>
                <w:highlight w:val="none"/>
              </w:rPr>
              <w:t>情况。</w:t>
            </w:r>
            <w:r>
              <w:rPr>
                <w:rFonts w:hint="eastAsia" w:ascii="仿宋" w:hAnsi="仿宋" w:eastAsia="仿宋" w:cs="仿宋"/>
                <w:color w:val="auto"/>
                <w:sz w:val="24"/>
                <w:highlight w:val="none"/>
              </w:rPr>
              <w:t>支持设置火情报警和设备</w:t>
            </w:r>
            <w:r>
              <w:rPr>
                <w:rFonts w:hint="eastAsia" w:ascii="仿宋" w:hAnsi="仿宋" w:eastAsia="仿宋" w:cs="仿宋"/>
                <w:color w:val="auto"/>
                <w:sz w:val="24"/>
                <w:highlight w:val="none"/>
              </w:rPr>
              <w:t>盗警</w:t>
            </w:r>
            <w:r>
              <w:rPr>
                <w:rFonts w:hint="eastAsia" w:ascii="仿宋" w:hAnsi="仿宋" w:eastAsia="仿宋" w:cs="仿宋"/>
                <w:color w:val="auto"/>
                <w:sz w:val="24"/>
                <w:highlight w:val="none"/>
              </w:rPr>
              <w:t>的推送方式。</w:t>
            </w:r>
          </w:p>
        </w:tc>
        <w:tc>
          <w:tcPr>
            <w:tcW w:w="865" w:type="dxa"/>
            <w:vMerge w:val="continue"/>
            <w:vAlign w:val="center"/>
          </w:tcPr>
          <w:p w14:paraId="5C4A8F88">
            <w:pPr>
              <w:jc w:val="center"/>
              <w:rPr>
                <w:rFonts w:hint="eastAsia" w:ascii="仿宋" w:hAnsi="仿宋" w:eastAsia="仿宋" w:cs="仿宋"/>
                <w:color w:val="auto"/>
                <w:sz w:val="24"/>
                <w:highlight w:val="none"/>
              </w:rPr>
            </w:pPr>
          </w:p>
        </w:tc>
      </w:tr>
      <w:tr w14:paraId="1FF0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54" w:type="dxa"/>
            <w:vMerge w:val="continue"/>
            <w:vAlign w:val="center"/>
          </w:tcPr>
          <w:p w14:paraId="1BD38CD9">
            <w:pPr>
              <w:rPr>
                <w:color w:val="auto"/>
                <w:highlight w:val="none"/>
              </w:rPr>
            </w:pPr>
          </w:p>
        </w:tc>
        <w:tc>
          <w:tcPr>
            <w:tcW w:w="1499" w:type="dxa"/>
            <w:vMerge w:val="continue"/>
            <w:vAlign w:val="center"/>
          </w:tcPr>
          <w:p w14:paraId="1DCF2E63">
            <w:pPr>
              <w:rPr>
                <w:color w:val="auto"/>
                <w:highlight w:val="none"/>
              </w:rPr>
            </w:pPr>
          </w:p>
        </w:tc>
        <w:tc>
          <w:tcPr>
            <w:tcW w:w="5504" w:type="dxa"/>
          </w:tcPr>
          <w:p w14:paraId="30333F5E">
            <w:pP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r>
              <w:rPr>
                <w:rFonts w:ascii="仿宋" w:hAnsi="仿宋" w:eastAsia="仿宋" w:cs="仿宋"/>
                <w:color w:val="auto"/>
                <w:sz w:val="24"/>
                <w:highlight w:val="none"/>
              </w:rPr>
              <w:t>、火情报警：支持按年 、月、 日统计展示报警总数量，支持统计展示当日报警待处置数量、处置中数量、 已处置数量；支持按日期、处置状态、设备名称查询浏览火情报警抓拍图片。</w:t>
            </w:r>
          </w:p>
        </w:tc>
        <w:tc>
          <w:tcPr>
            <w:tcW w:w="865" w:type="dxa"/>
            <w:vMerge w:val="continue"/>
            <w:vAlign w:val="center"/>
          </w:tcPr>
          <w:p w14:paraId="3912C3DA">
            <w:pPr>
              <w:rPr>
                <w:rFonts w:hint="eastAsia" w:ascii="仿宋" w:hAnsi="仿宋" w:eastAsia="仿宋" w:cs="仿宋"/>
                <w:color w:val="auto"/>
                <w:sz w:val="24"/>
                <w:highlight w:val="none"/>
              </w:rPr>
            </w:pPr>
          </w:p>
        </w:tc>
      </w:tr>
      <w:tr w14:paraId="2528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654" w:type="dxa"/>
            <w:vMerge w:val="continue"/>
            <w:vAlign w:val="center"/>
          </w:tcPr>
          <w:p w14:paraId="6394709A">
            <w:pPr>
              <w:jc w:val="center"/>
              <w:rPr>
                <w:rFonts w:hint="eastAsia" w:ascii="仿宋" w:hAnsi="仿宋" w:eastAsia="仿宋" w:cs="仿宋"/>
                <w:color w:val="auto"/>
                <w:sz w:val="24"/>
                <w:highlight w:val="none"/>
              </w:rPr>
            </w:pPr>
          </w:p>
        </w:tc>
        <w:tc>
          <w:tcPr>
            <w:tcW w:w="1499" w:type="dxa"/>
            <w:vMerge w:val="continue"/>
            <w:vAlign w:val="center"/>
          </w:tcPr>
          <w:p w14:paraId="50B0B995">
            <w:pPr>
              <w:jc w:val="center"/>
              <w:rPr>
                <w:rFonts w:hint="eastAsia" w:ascii="仿宋" w:hAnsi="仿宋" w:eastAsia="仿宋" w:cs="仿宋"/>
                <w:color w:val="auto"/>
                <w:sz w:val="24"/>
                <w:highlight w:val="none"/>
              </w:rPr>
            </w:pPr>
          </w:p>
        </w:tc>
        <w:tc>
          <w:tcPr>
            <w:tcW w:w="5504" w:type="dxa"/>
          </w:tcPr>
          <w:p w14:paraId="26CC69B7">
            <w:pPr>
              <w:rPr>
                <w:rFonts w:hint="eastAsia" w:ascii="仿宋" w:hAnsi="仿宋" w:eastAsia="仿宋" w:cs="仿宋"/>
                <w:color w:val="auto"/>
                <w:sz w:val="24"/>
                <w:highlight w:val="none"/>
              </w:rPr>
            </w:pPr>
            <w:r>
              <w:rPr>
                <w:rFonts w:ascii="仿宋" w:hAnsi="仿宋" w:eastAsia="仿宋" w:cs="仿宋"/>
                <w:color w:val="auto"/>
                <w:sz w:val="24"/>
                <w:highlight w:val="none"/>
              </w:rPr>
              <w:t>1</w:t>
            </w:r>
            <w:r>
              <w:rPr>
                <w:rFonts w:hint="eastAsia" w:ascii="仿宋" w:hAnsi="仿宋" w:eastAsia="仿宋" w:cs="仿宋"/>
                <w:color w:val="auto"/>
                <w:sz w:val="24"/>
                <w:highlight w:val="none"/>
              </w:rPr>
              <w:t>1</w:t>
            </w:r>
            <w:r>
              <w:rPr>
                <w:rFonts w:ascii="仿宋" w:hAnsi="仿宋" w:eastAsia="仿宋" w:cs="仿宋"/>
                <w:color w:val="auto"/>
                <w:sz w:val="24"/>
                <w:highlight w:val="none"/>
              </w:rPr>
              <w:t>、设备管理：支持以列表方式呈现各设备基础信息，支持对基础信息进行编辑修改，支持设置共享部门；支持按设备类型、在线离线状态、名称查询设备 。</w:t>
            </w:r>
          </w:p>
        </w:tc>
        <w:tc>
          <w:tcPr>
            <w:tcW w:w="865" w:type="dxa"/>
            <w:vMerge w:val="continue"/>
            <w:vAlign w:val="center"/>
          </w:tcPr>
          <w:p w14:paraId="0B004A21">
            <w:pPr>
              <w:jc w:val="center"/>
              <w:rPr>
                <w:rFonts w:hint="eastAsia" w:ascii="仿宋" w:hAnsi="仿宋" w:eastAsia="仿宋" w:cs="仿宋"/>
                <w:color w:val="auto"/>
                <w:sz w:val="24"/>
                <w:highlight w:val="none"/>
              </w:rPr>
            </w:pPr>
          </w:p>
        </w:tc>
      </w:tr>
      <w:tr w14:paraId="3EB1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654" w:type="dxa"/>
            <w:vMerge w:val="continue"/>
            <w:vAlign w:val="center"/>
          </w:tcPr>
          <w:p w14:paraId="709BE494">
            <w:pPr>
              <w:rPr>
                <w:color w:val="auto"/>
                <w:highlight w:val="none"/>
              </w:rPr>
            </w:pPr>
          </w:p>
        </w:tc>
        <w:tc>
          <w:tcPr>
            <w:tcW w:w="1499" w:type="dxa"/>
            <w:vMerge w:val="continue"/>
            <w:vAlign w:val="center"/>
          </w:tcPr>
          <w:p w14:paraId="279D00C5">
            <w:pPr>
              <w:rPr>
                <w:color w:val="auto"/>
                <w:highlight w:val="none"/>
              </w:rPr>
            </w:pPr>
          </w:p>
        </w:tc>
        <w:tc>
          <w:tcPr>
            <w:tcW w:w="5504" w:type="dxa"/>
          </w:tcPr>
          <w:p w14:paraId="4D335AE9">
            <w:pPr>
              <w:rPr>
                <w:rFonts w:hint="eastAsia" w:ascii="仿宋" w:hAnsi="仿宋" w:eastAsia="仿宋" w:cs="仿宋"/>
                <w:color w:val="auto"/>
                <w:sz w:val="24"/>
                <w:highlight w:val="none"/>
              </w:rPr>
            </w:pPr>
            <w:r>
              <w:rPr>
                <w:rFonts w:ascii="仿宋" w:hAnsi="仿宋" w:eastAsia="仿宋" w:cs="仿宋"/>
                <w:color w:val="auto"/>
                <w:sz w:val="24"/>
                <w:highlight w:val="none"/>
              </w:rPr>
              <w:t>1</w:t>
            </w:r>
            <w:r>
              <w:rPr>
                <w:rFonts w:hint="eastAsia" w:ascii="仿宋" w:hAnsi="仿宋" w:eastAsia="仿宋" w:cs="仿宋"/>
                <w:color w:val="auto"/>
                <w:sz w:val="24"/>
                <w:highlight w:val="none"/>
              </w:rPr>
              <w:t>2</w:t>
            </w:r>
            <w:r>
              <w:rPr>
                <w:rFonts w:ascii="仿宋" w:hAnsi="仿宋" w:eastAsia="仿宋" w:cs="仿宋"/>
                <w:color w:val="auto"/>
                <w:sz w:val="24"/>
                <w:highlight w:val="none"/>
              </w:rPr>
              <w:t>、</w:t>
            </w:r>
            <w:r>
              <w:rPr>
                <w:rFonts w:hint="eastAsia" w:ascii="仿宋" w:hAnsi="仿宋" w:eastAsia="仿宋" w:cs="仿宋"/>
                <w:color w:val="auto"/>
                <w:sz w:val="24"/>
                <w:highlight w:val="none"/>
              </w:rPr>
              <w:t>分析报告:支持按时间查询浏览监测报告;支持手动新增监测报告，添加报告名称和监测时间范围后自动生成相应的监测报告;支持删除、下载监测报告</w:t>
            </w:r>
            <w:r>
              <w:rPr>
                <w:rFonts w:ascii="仿宋" w:hAnsi="仿宋" w:eastAsia="仿宋" w:cs="仿宋"/>
                <w:color w:val="auto"/>
                <w:sz w:val="24"/>
                <w:highlight w:val="none"/>
              </w:rPr>
              <w:t>。</w:t>
            </w:r>
          </w:p>
        </w:tc>
        <w:tc>
          <w:tcPr>
            <w:tcW w:w="865" w:type="dxa"/>
            <w:vMerge w:val="continue"/>
            <w:vAlign w:val="center"/>
          </w:tcPr>
          <w:p w14:paraId="46337236">
            <w:pPr>
              <w:rPr>
                <w:rFonts w:hint="eastAsia" w:ascii="仿宋" w:hAnsi="仿宋" w:eastAsia="仿宋" w:cs="仿宋"/>
                <w:color w:val="auto"/>
                <w:sz w:val="24"/>
                <w:highlight w:val="none"/>
              </w:rPr>
            </w:pPr>
          </w:p>
        </w:tc>
      </w:tr>
      <w:tr w14:paraId="4DEB9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654" w:type="dxa"/>
            <w:vMerge w:val="continue"/>
            <w:vAlign w:val="center"/>
          </w:tcPr>
          <w:p w14:paraId="378C8C77">
            <w:pPr>
              <w:rPr>
                <w:color w:val="auto"/>
                <w:highlight w:val="none"/>
              </w:rPr>
            </w:pPr>
          </w:p>
        </w:tc>
        <w:tc>
          <w:tcPr>
            <w:tcW w:w="1499" w:type="dxa"/>
            <w:vMerge w:val="continue"/>
            <w:vAlign w:val="center"/>
          </w:tcPr>
          <w:p w14:paraId="25F59077">
            <w:pPr>
              <w:rPr>
                <w:color w:val="auto"/>
                <w:highlight w:val="none"/>
              </w:rPr>
            </w:pPr>
          </w:p>
        </w:tc>
        <w:tc>
          <w:tcPr>
            <w:tcW w:w="5504" w:type="dxa"/>
          </w:tcPr>
          <w:p w14:paraId="58B3F9E6">
            <w:pPr>
              <w:rPr>
                <w:rFonts w:hint="eastAsia" w:ascii="仿宋" w:hAnsi="仿宋" w:eastAsia="仿宋" w:cs="仿宋"/>
                <w:color w:val="auto"/>
                <w:sz w:val="24"/>
                <w:highlight w:val="none"/>
              </w:rPr>
            </w:pPr>
            <w:r>
              <w:rPr>
                <w:rFonts w:hint="eastAsia" w:ascii="仿宋" w:hAnsi="仿宋" w:eastAsia="仿宋" w:cs="仿宋"/>
                <w:color w:val="auto"/>
                <w:sz w:val="24"/>
                <w:highlight w:val="none"/>
              </w:rPr>
              <w:t>13、关联气象、地表可燃物、小班、历史火情数据，动态计算火险等级，依据新版《森林草原防灭火条例》进行火险等级4级预警，划分重点关注区域，实现重点监控。</w:t>
            </w:r>
          </w:p>
        </w:tc>
        <w:tc>
          <w:tcPr>
            <w:tcW w:w="865" w:type="dxa"/>
            <w:vMerge w:val="continue"/>
            <w:vAlign w:val="center"/>
          </w:tcPr>
          <w:p w14:paraId="0B86D023">
            <w:pPr>
              <w:rPr>
                <w:rFonts w:hint="eastAsia" w:ascii="仿宋" w:hAnsi="仿宋" w:eastAsia="仿宋" w:cs="仿宋"/>
                <w:color w:val="auto"/>
                <w:sz w:val="24"/>
                <w:highlight w:val="none"/>
              </w:rPr>
            </w:pPr>
          </w:p>
        </w:tc>
      </w:tr>
      <w:tr w14:paraId="5C31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654" w:type="dxa"/>
            <w:vMerge w:val="continue"/>
            <w:vAlign w:val="center"/>
          </w:tcPr>
          <w:p w14:paraId="613BA8F6">
            <w:pPr>
              <w:rPr>
                <w:color w:val="auto"/>
                <w:highlight w:val="none"/>
              </w:rPr>
            </w:pPr>
          </w:p>
        </w:tc>
        <w:tc>
          <w:tcPr>
            <w:tcW w:w="1499" w:type="dxa"/>
            <w:vMerge w:val="continue"/>
            <w:vAlign w:val="center"/>
          </w:tcPr>
          <w:p w14:paraId="48CDBDEF">
            <w:pPr>
              <w:rPr>
                <w:color w:val="auto"/>
                <w:highlight w:val="none"/>
              </w:rPr>
            </w:pPr>
          </w:p>
        </w:tc>
        <w:tc>
          <w:tcPr>
            <w:tcW w:w="5504" w:type="dxa"/>
          </w:tcPr>
          <w:p w14:paraId="17FC4821">
            <w:pPr>
              <w:rPr>
                <w:rFonts w:hint="eastAsia" w:ascii="仿宋" w:hAnsi="仿宋" w:eastAsia="仿宋" w:cs="仿宋"/>
                <w:color w:val="auto"/>
                <w:sz w:val="24"/>
                <w:highlight w:val="none"/>
              </w:rPr>
            </w:pPr>
            <w:r>
              <w:rPr>
                <w:rFonts w:hint="eastAsia" w:ascii="仿宋" w:hAnsi="仿宋" w:eastAsia="仿宋" w:cs="仿宋"/>
                <w:color w:val="auto"/>
                <w:sz w:val="24"/>
                <w:highlight w:val="none"/>
              </w:rPr>
              <w:t>14、根据新版《森林草原防灭火条例》对涉林火情构建“接警-研判-调度-处置”流程；支持查看事件处置流程进展状态。</w:t>
            </w:r>
          </w:p>
        </w:tc>
        <w:tc>
          <w:tcPr>
            <w:tcW w:w="865" w:type="dxa"/>
            <w:vMerge w:val="continue"/>
            <w:vAlign w:val="center"/>
          </w:tcPr>
          <w:p w14:paraId="4467C659">
            <w:pPr>
              <w:rPr>
                <w:rFonts w:hint="eastAsia" w:ascii="仿宋" w:hAnsi="仿宋" w:eastAsia="仿宋" w:cs="仿宋"/>
                <w:color w:val="auto"/>
                <w:sz w:val="24"/>
                <w:highlight w:val="none"/>
              </w:rPr>
            </w:pPr>
          </w:p>
        </w:tc>
      </w:tr>
      <w:tr w14:paraId="17067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654" w:type="dxa"/>
            <w:vMerge w:val="continue"/>
            <w:vAlign w:val="center"/>
          </w:tcPr>
          <w:p w14:paraId="60AD6EB1">
            <w:pPr>
              <w:rPr>
                <w:color w:val="auto"/>
                <w:highlight w:val="none"/>
              </w:rPr>
            </w:pPr>
          </w:p>
        </w:tc>
        <w:tc>
          <w:tcPr>
            <w:tcW w:w="1499" w:type="dxa"/>
            <w:vMerge w:val="continue"/>
            <w:vAlign w:val="center"/>
          </w:tcPr>
          <w:p w14:paraId="787C73A9">
            <w:pPr>
              <w:rPr>
                <w:color w:val="auto"/>
                <w:highlight w:val="none"/>
              </w:rPr>
            </w:pPr>
          </w:p>
        </w:tc>
        <w:tc>
          <w:tcPr>
            <w:tcW w:w="5504" w:type="dxa"/>
          </w:tcPr>
          <w:p w14:paraId="596E01CB">
            <w:pPr>
              <w:rPr>
                <w:rFonts w:hint="eastAsia" w:ascii="仿宋" w:hAnsi="仿宋" w:eastAsia="仿宋" w:cs="仿宋"/>
                <w:color w:val="auto"/>
                <w:sz w:val="24"/>
                <w:highlight w:val="none"/>
              </w:rPr>
            </w:pPr>
            <w:r>
              <w:rPr>
                <w:rFonts w:hint="eastAsia" w:ascii="仿宋" w:hAnsi="仿宋" w:eastAsia="仿宋" w:cs="仿宋"/>
                <w:color w:val="auto"/>
                <w:sz w:val="24"/>
                <w:highlight w:val="none"/>
              </w:rPr>
              <w:t>15、关联气象、地形、地表可燃物等数据，可视化模拟展示林火燃烧蔓延过程。</w:t>
            </w:r>
          </w:p>
        </w:tc>
        <w:tc>
          <w:tcPr>
            <w:tcW w:w="865" w:type="dxa"/>
            <w:vMerge w:val="continue"/>
            <w:vAlign w:val="center"/>
          </w:tcPr>
          <w:p w14:paraId="6C47BC0F">
            <w:pPr>
              <w:rPr>
                <w:rFonts w:hint="eastAsia" w:ascii="仿宋" w:hAnsi="仿宋" w:eastAsia="仿宋" w:cs="仿宋"/>
                <w:color w:val="auto"/>
                <w:sz w:val="24"/>
                <w:highlight w:val="none"/>
              </w:rPr>
            </w:pPr>
          </w:p>
        </w:tc>
      </w:tr>
      <w:tr w14:paraId="5437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654" w:type="dxa"/>
            <w:vMerge w:val="continue"/>
            <w:vAlign w:val="center"/>
          </w:tcPr>
          <w:p w14:paraId="6E8A959F">
            <w:pPr>
              <w:rPr>
                <w:color w:val="auto"/>
                <w:highlight w:val="none"/>
              </w:rPr>
            </w:pPr>
          </w:p>
        </w:tc>
        <w:tc>
          <w:tcPr>
            <w:tcW w:w="1499" w:type="dxa"/>
            <w:vMerge w:val="continue"/>
            <w:vAlign w:val="center"/>
          </w:tcPr>
          <w:p w14:paraId="559ADD36">
            <w:pPr>
              <w:rPr>
                <w:color w:val="auto"/>
                <w:highlight w:val="none"/>
              </w:rPr>
            </w:pPr>
          </w:p>
        </w:tc>
        <w:tc>
          <w:tcPr>
            <w:tcW w:w="5504" w:type="dxa"/>
          </w:tcPr>
          <w:p w14:paraId="3125428D">
            <w:pPr>
              <w:rPr>
                <w:rFonts w:hint="eastAsia" w:ascii="仿宋" w:hAnsi="仿宋" w:eastAsia="仿宋" w:cs="仿宋"/>
                <w:color w:val="auto"/>
                <w:sz w:val="24"/>
                <w:highlight w:val="none"/>
              </w:rPr>
            </w:pPr>
            <w:r>
              <w:rPr>
                <w:rFonts w:hint="eastAsia" w:ascii="仿宋" w:hAnsi="仿宋" w:eastAsia="仿宋" w:cs="仿宋"/>
                <w:color w:val="auto"/>
                <w:sz w:val="24"/>
                <w:highlight w:val="none"/>
              </w:rPr>
              <w:t>16、内置绘制工具，支持进行林区地形影像火场态势图的绘制。支持火场前指图标、火线以及人员部署框、进攻及撤退路线、隔离带、安全撤离点、重点关注对象等图形的绘制。标绘完成后，可将标绘图层下发任务给相关人员。</w:t>
            </w:r>
          </w:p>
        </w:tc>
        <w:tc>
          <w:tcPr>
            <w:tcW w:w="865" w:type="dxa"/>
            <w:vMerge w:val="continue"/>
            <w:vAlign w:val="center"/>
          </w:tcPr>
          <w:p w14:paraId="7D76DE35">
            <w:pPr>
              <w:rPr>
                <w:rFonts w:hint="eastAsia" w:ascii="仿宋" w:hAnsi="仿宋" w:eastAsia="仿宋" w:cs="仿宋"/>
                <w:color w:val="auto"/>
                <w:sz w:val="24"/>
                <w:highlight w:val="none"/>
              </w:rPr>
            </w:pPr>
          </w:p>
        </w:tc>
      </w:tr>
      <w:tr w14:paraId="07C5D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654" w:type="dxa"/>
            <w:vMerge w:val="continue"/>
            <w:vAlign w:val="center"/>
          </w:tcPr>
          <w:p w14:paraId="70339DDB">
            <w:pPr>
              <w:rPr>
                <w:color w:val="auto"/>
                <w:highlight w:val="none"/>
              </w:rPr>
            </w:pPr>
          </w:p>
        </w:tc>
        <w:tc>
          <w:tcPr>
            <w:tcW w:w="1499" w:type="dxa"/>
            <w:vMerge w:val="continue"/>
            <w:vAlign w:val="center"/>
          </w:tcPr>
          <w:p w14:paraId="073BD6F1">
            <w:pPr>
              <w:rPr>
                <w:color w:val="auto"/>
                <w:highlight w:val="none"/>
              </w:rPr>
            </w:pPr>
          </w:p>
        </w:tc>
        <w:tc>
          <w:tcPr>
            <w:tcW w:w="5504" w:type="dxa"/>
          </w:tcPr>
          <w:p w14:paraId="1DB1A31C">
            <w:pPr>
              <w:rPr>
                <w:rFonts w:hint="eastAsia" w:ascii="仿宋" w:hAnsi="仿宋" w:eastAsia="仿宋" w:cs="仿宋"/>
                <w:color w:val="auto"/>
                <w:sz w:val="24"/>
                <w:highlight w:val="none"/>
              </w:rPr>
            </w:pPr>
            <w:r>
              <w:rPr>
                <w:rFonts w:hint="eastAsia" w:ascii="仿宋" w:hAnsi="仿宋" w:eastAsia="仿宋" w:cs="仿宋"/>
                <w:color w:val="auto"/>
                <w:sz w:val="24"/>
                <w:highlight w:val="none"/>
              </w:rPr>
              <w:t>17、支持在电子地图上检索和呈现扑火应急资源信息，包括人员、车辆、无人机、周边水源、水池、危险源、居住区等信息。</w:t>
            </w:r>
          </w:p>
        </w:tc>
        <w:tc>
          <w:tcPr>
            <w:tcW w:w="865" w:type="dxa"/>
            <w:vMerge w:val="continue"/>
            <w:vAlign w:val="center"/>
          </w:tcPr>
          <w:p w14:paraId="42CB2E8E">
            <w:pPr>
              <w:rPr>
                <w:rFonts w:hint="eastAsia" w:ascii="仿宋" w:hAnsi="仿宋" w:eastAsia="仿宋" w:cs="仿宋"/>
                <w:color w:val="auto"/>
                <w:sz w:val="24"/>
                <w:highlight w:val="none"/>
              </w:rPr>
            </w:pPr>
          </w:p>
        </w:tc>
      </w:tr>
      <w:tr w14:paraId="18CA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vAlign w:val="center"/>
          </w:tcPr>
          <w:p w14:paraId="4EAC60CF">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1499" w:type="dxa"/>
            <w:vMerge w:val="restart"/>
            <w:vAlign w:val="center"/>
          </w:tcPr>
          <w:p w14:paraId="460AB6B9">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高倍望远镜</w:t>
            </w:r>
          </w:p>
        </w:tc>
        <w:tc>
          <w:tcPr>
            <w:tcW w:w="5504" w:type="dxa"/>
          </w:tcPr>
          <w:p w14:paraId="2410A2A9">
            <w:pPr>
              <w:rPr>
                <w:rFonts w:hint="eastAsia" w:ascii="仿宋" w:hAnsi="仿宋" w:eastAsia="仿宋" w:cs="仿宋"/>
                <w:color w:val="auto"/>
                <w:sz w:val="24"/>
                <w:highlight w:val="none"/>
              </w:rPr>
            </w:pPr>
            <w:r>
              <w:rPr>
                <w:rFonts w:hint="eastAsia" w:ascii="仿宋" w:hAnsi="仿宋" w:eastAsia="仿宋" w:cs="仿宋"/>
                <w:color w:val="auto"/>
                <w:sz w:val="24"/>
                <w:highlight w:val="none"/>
              </w:rPr>
              <w:t>1、类别：双筒望远镜</w:t>
            </w:r>
          </w:p>
        </w:tc>
        <w:tc>
          <w:tcPr>
            <w:tcW w:w="865" w:type="dxa"/>
            <w:vMerge w:val="restart"/>
            <w:vAlign w:val="center"/>
          </w:tcPr>
          <w:p w14:paraId="2D3D03DD">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41台</w:t>
            </w:r>
          </w:p>
        </w:tc>
      </w:tr>
      <w:tr w14:paraId="1C2FB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vAlign w:val="center"/>
          </w:tcPr>
          <w:p w14:paraId="1879E9E8">
            <w:pPr>
              <w:jc w:val="center"/>
              <w:rPr>
                <w:rFonts w:hint="eastAsia" w:ascii="仿宋" w:hAnsi="仿宋" w:eastAsia="仿宋" w:cs="仿宋"/>
                <w:color w:val="auto"/>
                <w:sz w:val="24"/>
                <w:highlight w:val="none"/>
              </w:rPr>
            </w:pPr>
          </w:p>
        </w:tc>
        <w:tc>
          <w:tcPr>
            <w:tcW w:w="1499" w:type="dxa"/>
            <w:vMerge w:val="continue"/>
            <w:vAlign w:val="center"/>
          </w:tcPr>
          <w:p w14:paraId="180F26A6">
            <w:pPr>
              <w:jc w:val="center"/>
              <w:rPr>
                <w:rFonts w:hint="eastAsia" w:ascii="仿宋" w:hAnsi="仿宋" w:eastAsia="仿宋" w:cs="仿宋"/>
                <w:color w:val="auto"/>
                <w:sz w:val="24"/>
                <w:highlight w:val="none"/>
              </w:rPr>
            </w:pPr>
          </w:p>
        </w:tc>
        <w:tc>
          <w:tcPr>
            <w:tcW w:w="5504" w:type="dxa"/>
          </w:tcPr>
          <w:p w14:paraId="184A7F15">
            <w:pPr>
              <w:rPr>
                <w:rFonts w:hint="eastAsia" w:ascii="仿宋" w:hAnsi="仿宋" w:eastAsia="仿宋" w:cs="仿宋"/>
                <w:color w:val="auto"/>
                <w:sz w:val="24"/>
                <w:highlight w:val="none"/>
              </w:rPr>
            </w:pPr>
            <w:r>
              <w:rPr>
                <w:rFonts w:hint="eastAsia" w:ascii="仿宋" w:hAnsi="仿宋" w:eastAsia="仿宋" w:cs="仿宋"/>
                <w:color w:val="auto"/>
                <w:sz w:val="24"/>
                <w:highlight w:val="none"/>
              </w:rPr>
              <w:t>2、镜身材质：铝合金</w:t>
            </w:r>
          </w:p>
        </w:tc>
        <w:tc>
          <w:tcPr>
            <w:tcW w:w="865" w:type="dxa"/>
            <w:vMerge w:val="continue"/>
          </w:tcPr>
          <w:p w14:paraId="7CF9F4C2">
            <w:pPr>
              <w:rPr>
                <w:rFonts w:hint="eastAsia" w:ascii="仿宋" w:hAnsi="仿宋" w:eastAsia="仿宋" w:cs="仿宋"/>
                <w:color w:val="auto"/>
                <w:sz w:val="24"/>
                <w:highlight w:val="none"/>
              </w:rPr>
            </w:pPr>
          </w:p>
        </w:tc>
      </w:tr>
      <w:tr w14:paraId="39B4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vAlign w:val="center"/>
          </w:tcPr>
          <w:p w14:paraId="6D6BE3C9">
            <w:pPr>
              <w:jc w:val="center"/>
              <w:rPr>
                <w:rFonts w:hint="eastAsia" w:ascii="仿宋" w:hAnsi="仿宋" w:eastAsia="仿宋" w:cs="仿宋"/>
                <w:color w:val="auto"/>
                <w:sz w:val="24"/>
                <w:highlight w:val="none"/>
              </w:rPr>
            </w:pPr>
          </w:p>
        </w:tc>
        <w:tc>
          <w:tcPr>
            <w:tcW w:w="1499" w:type="dxa"/>
            <w:vMerge w:val="continue"/>
            <w:vAlign w:val="center"/>
          </w:tcPr>
          <w:p w14:paraId="5F0E8C41">
            <w:pPr>
              <w:jc w:val="center"/>
              <w:rPr>
                <w:rFonts w:hint="eastAsia" w:ascii="仿宋" w:hAnsi="仿宋" w:eastAsia="仿宋" w:cs="仿宋"/>
                <w:color w:val="auto"/>
                <w:sz w:val="24"/>
                <w:highlight w:val="none"/>
              </w:rPr>
            </w:pPr>
          </w:p>
        </w:tc>
        <w:tc>
          <w:tcPr>
            <w:tcW w:w="5504" w:type="dxa"/>
          </w:tcPr>
          <w:p w14:paraId="4C278BBB">
            <w:pPr>
              <w:rPr>
                <w:rFonts w:hint="eastAsia" w:ascii="仿宋" w:hAnsi="仿宋" w:eastAsia="仿宋" w:cs="仿宋"/>
                <w:color w:val="auto"/>
                <w:sz w:val="24"/>
                <w:highlight w:val="none"/>
              </w:rPr>
            </w:pPr>
            <w:r>
              <w:rPr>
                <w:rFonts w:hint="eastAsia" w:ascii="仿宋" w:hAnsi="仿宋" w:eastAsia="仿宋" w:cs="仿宋"/>
                <w:color w:val="auto"/>
                <w:sz w:val="24"/>
                <w:highlight w:val="none"/>
              </w:rPr>
              <w:t>3、防水/防雾：充氮防水防雾</w:t>
            </w:r>
          </w:p>
        </w:tc>
        <w:tc>
          <w:tcPr>
            <w:tcW w:w="865" w:type="dxa"/>
            <w:vMerge w:val="continue"/>
          </w:tcPr>
          <w:p w14:paraId="242850EA">
            <w:pPr>
              <w:rPr>
                <w:rFonts w:hint="eastAsia" w:ascii="仿宋" w:hAnsi="仿宋" w:eastAsia="仿宋" w:cs="仿宋"/>
                <w:color w:val="auto"/>
                <w:sz w:val="24"/>
                <w:highlight w:val="none"/>
              </w:rPr>
            </w:pPr>
          </w:p>
        </w:tc>
      </w:tr>
      <w:tr w14:paraId="13A44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vAlign w:val="center"/>
          </w:tcPr>
          <w:p w14:paraId="6A569E8F">
            <w:pPr>
              <w:jc w:val="center"/>
              <w:rPr>
                <w:rFonts w:hint="eastAsia" w:ascii="仿宋" w:hAnsi="仿宋" w:eastAsia="仿宋" w:cs="仿宋"/>
                <w:color w:val="auto"/>
                <w:sz w:val="24"/>
                <w:highlight w:val="none"/>
              </w:rPr>
            </w:pPr>
          </w:p>
        </w:tc>
        <w:tc>
          <w:tcPr>
            <w:tcW w:w="1499" w:type="dxa"/>
            <w:vMerge w:val="continue"/>
            <w:vAlign w:val="center"/>
          </w:tcPr>
          <w:p w14:paraId="180DCFF5">
            <w:pPr>
              <w:jc w:val="center"/>
              <w:rPr>
                <w:rFonts w:hint="eastAsia" w:ascii="仿宋" w:hAnsi="仿宋" w:eastAsia="仿宋" w:cs="仿宋"/>
                <w:color w:val="auto"/>
                <w:sz w:val="24"/>
                <w:highlight w:val="none"/>
              </w:rPr>
            </w:pPr>
          </w:p>
        </w:tc>
        <w:tc>
          <w:tcPr>
            <w:tcW w:w="5504" w:type="dxa"/>
          </w:tcPr>
          <w:p w14:paraId="64EFB515">
            <w:pPr>
              <w:rPr>
                <w:rFonts w:hint="eastAsia" w:ascii="仿宋" w:hAnsi="仿宋" w:eastAsia="仿宋" w:cs="仿宋"/>
                <w:color w:val="auto"/>
                <w:sz w:val="24"/>
                <w:highlight w:val="none"/>
              </w:rPr>
            </w:pPr>
            <w:r>
              <w:rPr>
                <w:rFonts w:hint="eastAsia" w:ascii="仿宋" w:hAnsi="仿宋" w:eastAsia="仿宋" w:cs="仿宋"/>
                <w:color w:val="auto"/>
                <w:sz w:val="24"/>
                <w:highlight w:val="none"/>
              </w:rPr>
              <w:t>4、放大倍率：≥10X</w:t>
            </w:r>
          </w:p>
        </w:tc>
        <w:tc>
          <w:tcPr>
            <w:tcW w:w="865" w:type="dxa"/>
            <w:vMerge w:val="continue"/>
          </w:tcPr>
          <w:p w14:paraId="5B02C09E">
            <w:pPr>
              <w:rPr>
                <w:rFonts w:hint="eastAsia" w:ascii="仿宋" w:hAnsi="仿宋" w:eastAsia="仿宋" w:cs="仿宋"/>
                <w:color w:val="auto"/>
                <w:sz w:val="24"/>
                <w:highlight w:val="none"/>
              </w:rPr>
            </w:pPr>
          </w:p>
        </w:tc>
      </w:tr>
      <w:tr w14:paraId="5FFA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vAlign w:val="center"/>
          </w:tcPr>
          <w:p w14:paraId="212B16E0">
            <w:pPr>
              <w:jc w:val="center"/>
              <w:rPr>
                <w:rFonts w:hint="eastAsia" w:ascii="仿宋" w:hAnsi="仿宋" w:eastAsia="仿宋" w:cs="仿宋"/>
                <w:color w:val="auto"/>
                <w:sz w:val="24"/>
                <w:highlight w:val="none"/>
              </w:rPr>
            </w:pPr>
          </w:p>
        </w:tc>
        <w:tc>
          <w:tcPr>
            <w:tcW w:w="1499" w:type="dxa"/>
            <w:vMerge w:val="continue"/>
            <w:vAlign w:val="center"/>
          </w:tcPr>
          <w:p w14:paraId="0D195E5A">
            <w:pPr>
              <w:jc w:val="center"/>
              <w:rPr>
                <w:rFonts w:hint="eastAsia" w:ascii="仿宋" w:hAnsi="仿宋" w:eastAsia="仿宋" w:cs="仿宋"/>
                <w:color w:val="auto"/>
                <w:sz w:val="24"/>
                <w:highlight w:val="none"/>
              </w:rPr>
            </w:pPr>
          </w:p>
        </w:tc>
        <w:tc>
          <w:tcPr>
            <w:tcW w:w="5504" w:type="dxa"/>
          </w:tcPr>
          <w:p w14:paraId="21456768">
            <w:pPr>
              <w:rPr>
                <w:rFonts w:hint="eastAsia" w:ascii="仿宋" w:hAnsi="仿宋" w:eastAsia="仿宋" w:cs="仿宋"/>
                <w:color w:val="auto"/>
                <w:sz w:val="24"/>
                <w:highlight w:val="none"/>
              </w:rPr>
            </w:pPr>
            <w:r>
              <w:rPr>
                <w:rFonts w:hint="eastAsia" w:ascii="仿宋" w:hAnsi="仿宋" w:eastAsia="仿宋" w:cs="仿宋"/>
                <w:color w:val="auto"/>
                <w:sz w:val="24"/>
                <w:highlight w:val="none"/>
              </w:rPr>
              <w:t>5、视场角度 (°)：≥5.6</w:t>
            </w:r>
          </w:p>
        </w:tc>
        <w:tc>
          <w:tcPr>
            <w:tcW w:w="865" w:type="dxa"/>
            <w:vMerge w:val="continue"/>
          </w:tcPr>
          <w:p w14:paraId="7E9CC9E8">
            <w:pPr>
              <w:rPr>
                <w:rFonts w:hint="eastAsia" w:ascii="仿宋" w:hAnsi="仿宋" w:eastAsia="仿宋" w:cs="仿宋"/>
                <w:color w:val="auto"/>
                <w:sz w:val="24"/>
                <w:highlight w:val="none"/>
              </w:rPr>
            </w:pPr>
          </w:p>
        </w:tc>
      </w:tr>
      <w:tr w14:paraId="12EE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vAlign w:val="center"/>
          </w:tcPr>
          <w:p w14:paraId="34AE592C">
            <w:pPr>
              <w:jc w:val="center"/>
              <w:rPr>
                <w:rFonts w:hint="eastAsia" w:ascii="仿宋" w:hAnsi="仿宋" w:eastAsia="仿宋" w:cs="仿宋"/>
                <w:color w:val="auto"/>
                <w:sz w:val="24"/>
                <w:highlight w:val="none"/>
              </w:rPr>
            </w:pPr>
          </w:p>
        </w:tc>
        <w:tc>
          <w:tcPr>
            <w:tcW w:w="1499" w:type="dxa"/>
            <w:vMerge w:val="continue"/>
            <w:vAlign w:val="center"/>
          </w:tcPr>
          <w:p w14:paraId="1F9FBB5D">
            <w:pPr>
              <w:jc w:val="center"/>
              <w:rPr>
                <w:rFonts w:hint="eastAsia" w:ascii="仿宋" w:hAnsi="仿宋" w:eastAsia="仿宋" w:cs="仿宋"/>
                <w:color w:val="auto"/>
                <w:sz w:val="24"/>
                <w:highlight w:val="none"/>
              </w:rPr>
            </w:pPr>
          </w:p>
        </w:tc>
        <w:tc>
          <w:tcPr>
            <w:tcW w:w="5504" w:type="dxa"/>
          </w:tcPr>
          <w:p w14:paraId="4DE3921C">
            <w:pPr>
              <w:rPr>
                <w:rFonts w:hint="eastAsia" w:ascii="仿宋" w:hAnsi="仿宋" w:eastAsia="仿宋" w:cs="仿宋"/>
                <w:color w:val="auto"/>
                <w:sz w:val="24"/>
                <w:highlight w:val="none"/>
              </w:rPr>
            </w:pPr>
            <w:r>
              <w:rPr>
                <w:rFonts w:hint="eastAsia" w:ascii="仿宋" w:hAnsi="仿宋" w:eastAsia="仿宋" w:cs="仿宋"/>
                <w:color w:val="auto"/>
                <w:sz w:val="24"/>
                <w:highlight w:val="none"/>
              </w:rPr>
              <w:t>6、千米视野（米）：≥110m/1000m</w:t>
            </w:r>
          </w:p>
        </w:tc>
        <w:tc>
          <w:tcPr>
            <w:tcW w:w="865" w:type="dxa"/>
            <w:vMerge w:val="continue"/>
          </w:tcPr>
          <w:p w14:paraId="2E692646">
            <w:pPr>
              <w:rPr>
                <w:rFonts w:hint="eastAsia" w:ascii="仿宋" w:hAnsi="仿宋" w:eastAsia="仿宋" w:cs="仿宋"/>
                <w:color w:val="auto"/>
                <w:sz w:val="24"/>
                <w:highlight w:val="none"/>
              </w:rPr>
            </w:pPr>
          </w:p>
        </w:tc>
      </w:tr>
      <w:tr w14:paraId="3E1E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vAlign w:val="center"/>
          </w:tcPr>
          <w:p w14:paraId="5083CE81">
            <w:pPr>
              <w:jc w:val="center"/>
              <w:rPr>
                <w:rFonts w:hint="eastAsia" w:ascii="仿宋" w:hAnsi="仿宋" w:eastAsia="仿宋" w:cs="仿宋"/>
                <w:color w:val="auto"/>
                <w:sz w:val="24"/>
                <w:highlight w:val="none"/>
              </w:rPr>
            </w:pPr>
          </w:p>
        </w:tc>
        <w:tc>
          <w:tcPr>
            <w:tcW w:w="1499" w:type="dxa"/>
            <w:vMerge w:val="continue"/>
            <w:vAlign w:val="center"/>
          </w:tcPr>
          <w:p w14:paraId="6B95FDA8">
            <w:pPr>
              <w:jc w:val="center"/>
              <w:rPr>
                <w:rFonts w:hint="eastAsia" w:ascii="仿宋" w:hAnsi="仿宋" w:eastAsia="仿宋" w:cs="仿宋"/>
                <w:color w:val="auto"/>
                <w:sz w:val="24"/>
                <w:highlight w:val="none"/>
              </w:rPr>
            </w:pPr>
          </w:p>
        </w:tc>
        <w:tc>
          <w:tcPr>
            <w:tcW w:w="5504" w:type="dxa"/>
          </w:tcPr>
          <w:p w14:paraId="74310B37">
            <w:pPr>
              <w:rPr>
                <w:rFonts w:hint="eastAsia" w:ascii="仿宋" w:hAnsi="仿宋" w:eastAsia="仿宋" w:cs="仿宋"/>
                <w:color w:val="auto"/>
                <w:sz w:val="24"/>
                <w:highlight w:val="none"/>
              </w:rPr>
            </w:pPr>
            <w:r>
              <w:rPr>
                <w:rFonts w:hint="eastAsia" w:ascii="仿宋" w:hAnsi="仿宋" w:eastAsia="仿宋" w:cs="仿宋"/>
                <w:color w:val="auto"/>
                <w:sz w:val="24"/>
                <w:highlight w:val="none"/>
              </w:rPr>
              <w:t>7、出瞳直径（ 毫米）：≥4.2±10%</w:t>
            </w:r>
          </w:p>
        </w:tc>
        <w:tc>
          <w:tcPr>
            <w:tcW w:w="865" w:type="dxa"/>
            <w:vMerge w:val="continue"/>
          </w:tcPr>
          <w:p w14:paraId="1888407B">
            <w:pPr>
              <w:rPr>
                <w:rFonts w:hint="eastAsia" w:ascii="仿宋" w:hAnsi="仿宋" w:eastAsia="仿宋" w:cs="仿宋"/>
                <w:color w:val="auto"/>
                <w:sz w:val="24"/>
                <w:highlight w:val="none"/>
              </w:rPr>
            </w:pPr>
          </w:p>
        </w:tc>
      </w:tr>
      <w:tr w14:paraId="7039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trPr>
        <w:tc>
          <w:tcPr>
            <w:tcW w:w="654" w:type="dxa"/>
            <w:vMerge w:val="continue"/>
            <w:vAlign w:val="center"/>
          </w:tcPr>
          <w:p w14:paraId="33265CD6">
            <w:pPr>
              <w:jc w:val="center"/>
              <w:rPr>
                <w:rFonts w:hint="eastAsia" w:ascii="仿宋" w:hAnsi="仿宋" w:eastAsia="仿宋" w:cs="仿宋"/>
                <w:color w:val="auto"/>
                <w:sz w:val="24"/>
                <w:highlight w:val="none"/>
              </w:rPr>
            </w:pPr>
          </w:p>
        </w:tc>
        <w:tc>
          <w:tcPr>
            <w:tcW w:w="1499" w:type="dxa"/>
            <w:vMerge w:val="continue"/>
            <w:vAlign w:val="center"/>
          </w:tcPr>
          <w:p w14:paraId="61C45854">
            <w:pPr>
              <w:jc w:val="center"/>
              <w:rPr>
                <w:rFonts w:hint="eastAsia" w:ascii="仿宋" w:hAnsi="仿宋" w:eastAsia="仿宋" w:cs="仿宋"/>
                <w:color w:val="auto"/>
                <w:sz w:val="24"/>
                <w:highlight w:val="none"/>
              </w:rPr>
            </w:pPr>
          </w:p>
        </w:tc>
        <w:tc>
          <w:tcPr>
            <w:tcW w:w="5504" w:type="dxa"/>
          </w:tcPr>
          <w:p w14:paraId="447D7F82">
            <w:pPr>
              <w:rPr>
                <w:rFonts w:hint="eastAsia" w:ascii="仿宋" w:hAnsi="仿宋" w:eastAsia="仿宋" w:cs="仿宋"/>
                <w:color w:val="auto"/>
                <w:sz w:val="24"/>
                <w:highlight w:val="none"/>
              </w:rPr>
            </w:pPr>
            <w:r>
              <w:rPr>
                <w:rFonts w:hint="eastAsia" w:ascii="仿宋" w:hAnsi="仿宋" w:eastAsia="仿宋" w:cs="仿宋"/>
                <w:color w:val="auto"/>
                <w:sz w:val="24"/>
                <w:highlight w:val="none"/>
              </w:rPr>
              <w:t>8、最近聚焦（米）：≤4</w:t>
            </w:r>
          </w:p>
        </w:tc>
        <w:tc>
          <w:tcPr>
            <w:tcW w:w="865" w:type="dxa"/>
            <w:vMerge w:val="continue"/>
          </w:tcPr>
          <w:p w14:paraId="1D9174C5">
            <w:pPr>
              <w:rPr>
                <w:rFonts w:hint="eastAsia" w:ascii="仿宋" w:hAnsi="仿宋" w:eastAsia="仿宋" w:cs="仿宋"/>
                <w:color w:val="auto"/>
                <w:sz w:val="24"/>
                <w:highlight w:val="none"/>
              </w:rPr>
            </w:pPr>
          </w:p>
        </w:tc>
      </w:tr>
      <w:tr w14:paraId="40B71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522" w:type="dxa"/>
            <w:gridSpan w:val="4"/>
            <w:vAlign w:val="center"/>
          </w:tcPr>
          <w:p w14:paraId="68452C08">
            <w:pP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商务要求</w:t>
            </w:r>
          </w:p>
        </w:tc>
      </w:tr>
      <w:tr w14:paraId="0925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53" w:type="dxa"/>
            <w:gridSpan w:val="2"/>
            <w:vAlign w:val="center"/>
          </w:tcPr>
          <w:p w14:paraId="4A640736">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▲报价要求</w:t>
            </w:r>
          </w:p>
        </w:tc>
        <w:tc>
          <w:tcPr>
            <w:tcW w:w="6369" w:type="dxa"/>
            <w:gridSpan w:val="2"/>
            <w:vAlign w:val="center"/>
          </w:tcPr>
          <w:p w14:paraId="7A7582B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报价包括货物的所有费用，包括包含完成采购需求中所有货物的运输、安装、调式、验收费用和需要的人员、设备、维修及故障硬件更换费用、日常行政办公费等各种费用、合理利润、税金及其他所有成本费用。</w:t>
            </w:r>
          </w:p>
        </w:tc>
      </w:tr>
      <w:tr w14:paraId="6B44F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53" w:type="dxa"/>
            <w:gridSpan w:val="2"/>
            <w:vAlign w:val="center"/>
          </w:tcPr>
          <w:p w14:paraId="0C5B64B5">
            <w:pPr>
              <w:widowControl/>
              <w:spacing w:line="360" w:lineRule="auto"/>
              <w:jc w:val="cente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bidi="ar"/>
              </w:rPr>
              <w:t>质量保证要求</w:t>
            </w:r>
          </w:p>
        </w:tc>
        <w:tc>
          <w:tcPr>
            <w:tcW w:w="6369" w:type="dxa"/>
            <w:gridSpan w:val="2"/>
          </w:tcPr>
          <w:p w14:paraId="293322A9">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1、投标人承诺对项目全过程进行质量管理，并组织项目实施和文档编写，积极配合支持采购方的相关质量控制和质量管理监督活动。</w:t>
            </w:r>
          </w:p>
          <w:p w14:paraId="29C57BFF">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2、质量控制至少包括质量保证体系、质量保证文件、质量保证程序、质量保证措施。</w:t>
            </w:r>
          </w:p>
          <w:p w14:paraId="1832ADDF">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3、投标人须保证提供生产厂商原装、全新的、符合国家及用户提出的有关质量标准的产品。</w:t>
            </w:r>
          </w:p>
        </w:tc>
      </w:tr>
      <w:tr w14:paraId="489B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53" w:type="dxa"/>
            <w:gridSpan w:val="2"/>
            <w:vAlign w:val="center"/>
          </w:tcPr>
          <w:p w14:paraId="506CC15B">
            <w:pPr>
              <w:widowControl/>
              <w:spacing w:line="360" w:lineRule="auto"/>
              <w:jc w:val="cente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bidi="ar"/>
              </w:rPr>
              <w:t>验收要求</w:t>
            </w:r>
          </w:p>
        </w:tc>
        <w:tc>
          <w:tcPr>
            <w:tcW w:w="6369" w:type="dxa"/>
            <w:gridSpan w:val="2"/>
          </w:tcPr>
          <w:p w14:paraId="7742A97B">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1、验收标准原则上按照《广西壮族自治区政府采购项目履约验收管理办法》的有关要求进行。</w:t>
            </w:r>
          </w:p>
          <w:p w14:paraId="536CC353">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2、验收过程中所产生的一切费用均由中标人承担。</w:t>
            </w:r>
          </w:p>
          <w:p w14:paraId="0E8E39DF">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3、验收时，由采购人对照合同条款进行核验。如不符合采购文件的技术需求及要求以及提供虚假承诺的，按相关规定作违约处理，中标人承担所有责任和费用，采购人保留进一步追究责任的权利。</w:t>
            </w:r>
          </w:p>
          <w:p w14:paraId="014ED703">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4、其它按合同条款的约定。</w:t>
            </w:r>
          </w:p>
        </w:tc>
      </w:tr>
      <w:tr w14:paraId="2AB06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53" w:type="dxa"/>
            <w:gridSpan w:val="2"/>
            <w:vAlign w:val="center"/>
          </w:tcPr>
          <w:p w14:paraId="090C53E2">
            <w:pPr>
              <w:widowControl/>
              <w:spacing w:line="360" w:lineRule="auto"/>
              <w:jc w:val="cente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bidi="ar"/>
              </w:rPr>
              <w:t>其他要求</w:t>
            </w:r>
          </w:p>
        </w:tc>
        <w:tc>
          <w:tcPr>
            <w:tcW w:w="6369" w:type="dxa"/>
            <w:gridSpan w:val="2"/>
          </w:tcPr>
          <w:p w14:paraId="38FACA09">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1、项目实施地点的特殊性，投标人应无条件服从设备使用方的有关管理规定，对所获得的有关采购人各类数据、资料负有保密义务，未经采购人许可，不得向第三方泄露。</w:t>
            </w:r>
          </w:p>
          <w:p w14:paraId="0825994F">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2、在本项目实施过程中，如涉及第三方知识产权等争议，由投标人承担全部责任。</w:t>
            </w:r>
          </w:p>
          <w:p w14:paraId="25771D9A">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人提供的产品技术参数、配置和性能指标必须真实有效，如高于招标要求的，应提供足以证明的技术支持资料；若经核实发现投标人有伪造、变造技术资料行为，构成提供虚假材料的，将按有关的法律、法规追究其相应的法律责任。</w:t>
            </w:r>
          </w:p>
          <w:p w14:paraId="65B775BC">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为防止恶意虚假投标，采购人保留在验收前对中标人所提供的产品进行性能参数测试的权利，或要求中标人提供国家权威测试部门出具的针对这些硬件设备的测试报告，如证实有虚假应标，将按有关的法律、法规追究其相应的法律责任。</w:t>
            </w:r>
          </w:p>
          <w:p w14:paraId="4A2C9080">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投标人应保证针对本项目的货物涉及到的知识产权和所提供的相关技术资料是合法取得，并享有完整的知识产权，不会因为采购人的使用而被责令停止使用、追偿或要求赔偿损失，如出现此情况，一切经济和法律责任均由投标人承担。</w:t>
            </w:r>
          </w:p>
        </w:tc>
      </w:tr>
      <w:tr w14:paraId="4A497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53" w:type="dxa"/>
            <w:gridSpan w:val="2"/>
            <w:vAlign w:val="center"/>
          </w:tcPr>
          <w:p w14:paraId="4D0E32B0">
            <w:pPr>
              <w:widowControl/>
              <w:spacing w:line="360" w:lineRule="auto"/>
              <w:jc w:val="cente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bidi="ar"/>
              </w:rPr>
              <w:t>售后服务要求</w:t>
            </w:r>
          </w:p>
        </w:tc>
        <w:tc>
          <w:tcPr>
            <w:tcW w:w="6369" w:type="dxa"/>
            <w:gridSpan w:val="2"/>
          </w:tcPr>
          <w:p w14:paraId="34BB60A1">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项目维护及改造所涉及的产品按国家规定和厂家承诺实行“三包”服务。在规定的保修期内，凡货物质量事故和质量缺陷由成交人无偿保修。定期回访以及对设备维修；质保期后提供终身维修服务；其它售后服务按厂家</w:t>
            </w:r>
            <w:r>
              <w:rPr>
                <w:rFonts w:hint="eastAsia" w:ascii="仿宋" w:hAnsi="仿宋" w:eastAsia="仿宋" w:cs="仿宋"/>
                <w:color w:val="auto"/>
                <w:sz w:val="24"/>
                <w:highlight w:val="none"/>
                <w:lang w:eastAsia="zh-CN"/>
              </w:rPr>
              <w:t>承</w:t>
            </w:r>
            <w:r>
              <w:rPr>
                <w:rFonts w:hint="eastAsia" w:ascii="仿宋" w:hAnsi="仿宋" w:eastAsia="仿宋" w:cs="仿宋"/>
                <w:color w:val="auto"/>
                <w:sz w:val="24"/>
                <w:highlight w:val="none"/>
              </w:rPr>
              <w:t>诺书执行。</w:t>
            </w:r>
          </w:p>
          <w:p w14:paraId="1376E066">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rPr>
              <w:t>投标人要提供7×24小时的热线电话服务，一般故障4小时内解决问题，重大故障24小时内解决问题，并提出详细的解决方案。若故障仍无法排除，中标人应提供可满足使用要求的替代产品供采购人使用，直至原产品故障排除为止（如“服务内容及技术要求”要求不一致时，按“服务内容及技术要求”中的条款执行）。</w:t>
            </w:r>
          </w:p>
          <w:p w14:paraId="528B6FB6">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3、要求针对实际情况，对用户进行培训。通过培训，使采购人系统操作使用人员能熟练地使用设备；有详细培训计划，费用计入投标总价。</w:t>
            </w:r>
          </w:p>
        </w:tc>
      </w:tr>
      <w:tr w14:paraId="4C2CF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53" w:type="dxa"/>
            <w:gridSpan w:val="2"/>
            <w:vAlign w:val="center"/>
          </w:tcPr>
          <w:p w14:paraId="00727FAB">
            <w:pPr>
              <w:widowControl/>
              <w:spacing w:line="360" w:lineRule="auto"/>
              <w:jc w:val="cente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bidi="ar"/>
              </w:rPr>
              <w:t>服务期</w:t>
            </w:r>
          </w:p>
        </w:tc>
        <w:tc>
          <w:tcPr>
            <w:tcW w:w="6369" w:type="dxa"/>
            <w:gridSpan w:val="2"/>
          </w:tcPr>
          <w:p w14:paraId="43987E2A">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本标段项目竣工验收之日起，项目整体服务期限为3年。</w:t>
            </w:r>
          </w:p>
        </w:tc>
      </w:tr>
      <w:tr w14:paraId="66923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53" w:type="dxa"/>
            <w:gridSpan w:val="2"/>
            <w:vAlign w:val="center"/>
          </w:tcPr>
          <w:p w14:paraId="7307726C">
            <w:pPr>
              <w:widowControl/>
              <w:spacing w:line="360" w:lineRule="auto"/>
              <w:jc w:val="cente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bidi="ar"/>
              </w:rPr>
              <w:t>交货时间及地点</w:t>
            </w:r>
          </w:p>
        </w:tc>
        <w:tc>
          <w:tcPr>
            <w:tcW w:w="6369" w:type="dxa"/>
            <w:gridSpan w:val="2"/>
          </w:tcPr>
          <w:p w14:paraId="7FBD854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kern w:val="0"/>
                <w:sz w:val="24"/>
                <w:highlight w:val="none"/>
                <w:lang w:bidi="ar"/>
              </w:rPr>
              <w:t>交货时间</w:t>
            </w:r>
            <w:r>
              <w:rPr>
                <w:rFonts w:hint="eastAsia" w:ascii="仿宋" w:hAnsi="仿宋" w:eastAsia="仿宋" w:cs="仿宋"/>
                <w:color w:val="auto"/>
                <w:sz w:val="24"/>
                <w:highlight w:val="none"/>
              </w:rPr>
              <w:t>：合同签订之日起</w:t>
            </w:r>
            <w:r>
              <w:rPr>
                <w:rFonts w:hint="eastAsia" w:ascii="仿宋" w:hAnsi="仿宋" w:eastAsia="仿宋" w:cs="仿宋"/>
                <w:color w:val="auto"/>
                <w:sz w:val="24"/>
                <w:highlight w:val="none"/>
              </w:rPr>
              <w:t>120天内</w:t>
            </w:r>
            <w:r>
              <w:rPr>
                <w:rFonts w:hint="eastAsia" w:ascii="仿宋" w:hAnsi="仿宋" w:eastAsia="仿宋" w:cs="仿宋"/>
                <w:color w:val="auto"/>
                <w:sz w:val="24"/>
                <w:highlight w:val="none"/>
              </w:rPr>
              <w:t>货物运抵采购人指定地点并且完成安装、调试，验收合格交付使用。</w:t>
            </w:r>
          </w:p>
          <w:p w14:paraId="24AEF24D">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2、交货地点：广西区内采购人指定地点。</w:t>
            </w:r>
          </w:p>
        </w:tc>
      </w:tr>
      <w:tr w14:paraId="1D456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53" w:type="dxa"/>
            <w:gridSpan w:val="2"/>
            <w:vAlign w:val="center"/>
          </w:tcPr>
          <w:p w14:paraId="117027E6">
            <w:pPr>
              <w:widowControl/>
              <w:spacing w:line="360" w:lineRule="auto"/>
              <w:jc w:val="cente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bidi="ar"/>
              </w:rPr>
              <w:t>付款方式</w:t>
            </w:r>
          </w:p>
        </w:tc>
        <w:tc>
          <w:tcPr>
            <w:tcW w:w="6369" w:type="dxa"/>
            <w:gridSpan w:val="2"/>
          </w:tcPr>
          <w:p w14:paraId="16B75F2D">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1、预付款（合同总价的50%）合同签订生效后[10]个工作日内，招标人向中标人支付合同总价的50%作为项目预付款，用于中标人开展设备采购、生产备货等前期工作。</w:t>
            </w:r>
          </w:p>
          <w:p w14:paraId="13CAF2CE">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2、竣工结算款（合同总价的45%）中标人完成本标段全部设备安装、调试、系统联调及人员培训工作，项目达到合同约定的技术标准和使用要求，经招标人组织竣工验收合格并签署《竣工验收报告》后 [10] 个工作日内，支付合同总价的45% 。</w:t>
            </w:r>
          </w:p>
          <w:p w14:paraId="6BD177D0">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3、项目终验款（合同总价的5%）通过项目整体验收，支付剩余本合同项下5%合同款，至此合同款支付完毕。</w:t>
            </w:r>
          </w:p>
          <w:p w14:paraId="5DEE627E">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其他约定（1）中标人每次申请付款时，需向招标人提供等额、合法、有效的增值税发票，否则招标人有权顺延付款时间，且不承担违约责任。（2）付款均通过银行转账方式进行，具体付款账户信息以合同约定为准。</w:t>
            </w:r>
          </w:p>
        </w:tc>
      </w:tr>
      <w:tr w14:paraId="723DD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53" w:type="dxa"/>
            <w:gridSpan w:val="2"/>
            <w:vAlign w:val="center"/>
          </w:tcPr>
          <w:p w14:paraId="0A761CBE">
            <w:pPr>
              <w:widowControl/>
              <w:spacing w:line="360" w:lineRule="auto"/>
              <w:jc w:val="center"/>
              <w:textAlignment w:val="center"/>
              <w:rPr>
                <w:rFonts w:hint="eastAsia"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核心产品</w:t>
            </w:r>
          </w:p>
        </w:tc>
        <w:tc>
          <w:tcPr>
            <w:tcW w:w="6369" w:type="dxa"/>
            <w:gridSpan w:val="2"/>
          </w:tcPr>
          <w:p w14:paraId="703955A6">
            <w:pPr>
              <w:widowControl/>
              <w:spacing w:line="360" w:lineRule="auto"/>
              <w:jc w:val="left"/>
              <w:textAlignment w:val="cente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森林防火智能卡口前端</w:t>
            </w:r>
            <w:r>
              <w:rPr>
                <w:rFonts w:hint="eastAsia" w:ascii="仿宋" w:hAnsi="仿宋" w:eastAsia="仿宋" w:cs="仿宋"/>
                <w:color w:val="auto"/>
                <w:sz w:val="24"/>
                <w:highlight w:val="none"/>
              </w:rPr>
              <w:t>为本项目核心产品。</w:t>
            </w:r>
          </w:p>
          <w:p w14:paraId="6297BD16">
            <w:pPr>
              <w:widowControl/>
              <w:spacing w:line="360" w:lineRule="auto"/>
              <w:ind w:firstLine="480" w:firstLineChars="200"/>
              <w:jc w:val="left"/>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bl>
    <w:p w14:paraId="489C0E65">
      <w:pPr>
        <w:rPr>
          <w:rFonts w:hint="eastAsia" w:ascii="仿宋" w:hAnsi="仿宋" w:eastAsia="仿宋" w:cs="仿宋"/>
          <w:color w:val="auto"/>
          <w:highlight w:val="none"/>
        </w:rPr>
      </w:pPr>
    </w:p>
    <w:p w14:paraId="25E11754">
      <w:pPr>
        <w:rPr>
          <w:rFonts w:hint="eastAsia" w:ascii="仿宋" w:hAnsi="仿宋" w:eastAsia="仿宋" w:cs="仿宋"/>
          <w:color w:val="auto"/>
          <w:highlight w:val="none"/>
        </w:rPr>
      </w:pPr>
    </w:p>
    <w:p w14:paraId="4748B4CD">
      <w:pPr>
        <w:pStyle w:val="3"/>
        <w:keepNext w:val="0"/>
        <w:keepLines w:val="0"/>
        <w:jc w:val="center"/>
        <w:rPr>
          <w:rFonts w:hint="eastAsia" w:ascii="仿宋" w:hAnsi="仿宋" w:eastAsia="仿宋" w:cs="仿宋"/>
          <w:color w:val="auto"/>
          <w:highlight w:val="none"/>
        </w:rPr>
      </w:pPr>
    </w:p>
    <w:p w14:paraId="4B4CFAA8">
      <w:pPr>
        <w:pStyle w:val="3"/>
        <w:keepNext w:val="0"/>
        <w:keepLines w:val="0"/>
        <w:jc w:val="center"/>
        <w:rPr>
          <w:rFonts w:hint="eastAsia" w:ascii="仿宋" w:hAnsi="仿宋" w:eastAsia="仿宋" w:cs="仿宋"/>
          <w:color w:val="auto"/>
          <w:highlight w:val="none"/>
        </w:rPr>
      </w:pPr>
    </w:p>
    <w:p w14:paraId="6338E53B">
      <w:pPr>
        <w:pStyle w:val="3"/>
        <w:keepNext w:val="0"/>
        <w:keepLines w:val="0"/>
        <w:jc w:val="center"/>
        <w:rPr>
          <w:rFonts w:hint="eastAsia" w:ascii="仿宋" w:hAnsi="仿宋" w:eastAsia="仿宋" w:cs="仿宋"/>
          <w:color w:val="auto"/>
          <w:highlight w:val="none"/>
        </w:rPr>
      </w:pPr>
    </w:p>
    <w:p w14:paraId="18BEFF59">
      <w:pPr>
        <w:pStyle w:val="3"/>
        <w:keepNext w:val="0"/>
        <w:keepLines w:val="0"/>
        <w:jc w:val="center"/>
        <w:rPr>
          <w:rFonts w:hint="eastAsia" w:ascii="仿宋" w:hAnsi="仿宋" w:eastAsia="仿宋" w:cs="仿宋"/>
          <w:color w:val="auto"/>
          <w:highlight w:val="none"/>
        </w:rPr>
      </w:pPr>
    </w:p>
    <w:p w14:paraId="7256B6EC">
      <w:pPr>
        <w:pStyle w:val="3"/>
        <w:keepNext w:val="0"/>
        <w:keepLines w:val="0"/>
        <w:jc w:val="center"/>
        <w:rPr>
          <w:rFonts w:hint="eastAsia" w:ascii="仿宋" w:hAnsi="仿宋" w:eastAsia="仿宋" w:cs="仿宋"/>
          <w:color w:val="auto"/>
          <w:highlight w:val="none"/>
        </w:rPr>
      </w:pPr>
    </w:p>
    <w:p w14:paraId="03B4616B">
      <w:pPr>
        <w:pStyle w:val="3"/>
        <w:keepNext w:val="0"/>
        <w:keepLines w:val="0"/>
        <w:jc w:val="center"/>
        <w:rPr>
          <w:rFonts w:hint="eastAsia" w:ascii="仿宋" w:hAnsi="仿宋" w:eastAsia="仿宋" w:cs="仿宋"/>
          <w:color w:val="auto"/>
          <w:highlight w:val="none"/>
        </w:rPr>
      </w:pPr>
    </w:p>
    <w:p w14:paraId="3A09E5B7">
      <w:pPr>
        <w:rPr>
          <w:rFonts w:hint="eastAsia" w:ascii="仿宋" w:hAnsi="仿宋" w:eastAsia="仿宋" w:cs="仿宋"/>
          <w:color w:val="auto"/>
          <w:highlight w:val="none"/>
        </w:rPr>
      </w:pPr>
    </w:p>
    <w:p w14:paraId="28BE7EE4">
      <w:pPr>
        <w:rPr>
          <w:rFonts w:hint="eastAsia" w:ascii="仿宋" w:hAnsi="仿宋" w:eastAsia="仿宋" w:cs="仿宋"/>
          <w:color w:val="auto"/>
          <w:highlight w:val="none"/>
        </w:rPr>
      </w:pPr>
    </w:p>
    <w:p w14:paraId="2F16A966">
      <w:pPr>
        <w:rPr>
          <w:rFonts w:hint="eastAsia" w:ascii="仿宋" w:hAnsi="仿宋" w:eastAsia="仿宋" w:cs="仿宋"/>
          <w:color w:val="auto"/>
          <w:highlight w:val="none"/>
        </w:rPr>
      </w:pPr>
    </w:p>
    <w:p w14:paraId="136D8D37">
      <w:pPr>
        <w:rPr>
          <w:rFonts w:hint="eastAsia" w:ascii="仿宋" w:hAnsi="仿宋" w:eastAsia="仿宋" w:cs="仿宋"/>
          <w:color w:val="auto"/>
          <w:highlight w:val="none"/>
        </w:rPr>
      </w:pPr>
    </w:p>
    <w:p w14:paraId="6CCF44AE">
      <w:pPr>
        <w:rPr>
          <w:rFonts w:hint="eastAsia" w:ascii="仿宋" w:hAnsi="仿宋" w:eastAsia="仿宋" w:cs="仿宋"/>
          <w:color w:val="auto"/>
          <w:highlight w:val="none"/>
        </w:rPr>
      </w:pPr>
    </w:p>
    <w:p w14:paraId="668AAEE9">
      <w:pPr>
        <w:rPr>
          <w:rFonts w:hint="eastAsia" w:ascii="仿宋" w:hAnsi="仿宋" w:eastAsia="仿宋" w:cs="仿宋"/>
          <w:color w:val="auto"/>
          <w:highlight w:val="none"/>
        </w:rPr>
      </w:pPr>
    </w:p>
    <w:p w14:paraId="71650977">
      <w:pPr>
        <w:rPr>
          <w:rFonts w:hint="eastAsia" w:ascii="仿宋" w:hAnsi="仿宋" w:eastAsia="仿宋" w:cs="仿宋"/>
          <w:color w:val="auto"/>
          <w:highlight w:val="none"/>
        </w:rPr>
      </w:pPr>
    </w:p>
    <w:p w14:paraId="4C291EDA">
      <w:pPr>
        <w:rPr>
          <w:rFonts w:hint="eastAsia" w:ascii="仿宋" w:hAnsi="仿宋" w:eastAsia="仿宋" w:cs="仿宋"/>
          <w:color w:val="auto"/>
          <w:highlight w:val="none"/>
        </w:rPr>
      </w:pPr>
    </w:p>
    <w:p w14:paraId="60917E84">
      <w:pPr>
        <w:rPr>
          <w:rFonts w:hint="eastAsia" w:ascii="仿宋" w:hAnsi="仿宋" w:eastAsia="仿宋" w:cs="仿宋"/>
          <w:color w:val="auto"/>
          <w:highlight w:val="none"/>
        </w:rPr>
      </w:pPr>
    </w:p>
    <w:p w14:paraId="48AF6851">
      <w:pPr>
        <w:rPr>
          <w:rFonts w:hint="eastAsia" w:ascii="仿宋" w:hAnsi="仿宋" w:eastAsia="仿宋" w:cs="仿宋"/>
          <w:color w:val="auto"/>
          <w:highlight w:val="none"/>
        </w:rPr>
      </w:pPr>
    </w:p>
    <w:p w14:paraId="0C41C784">
      <w:pPr>
        <w:rPr>
          <w:rFonts w:hint="eastAsia" w:ascii="仿宋" w:hAnsi="仿宋" w:eastAsia="仿宋" w:cs="仿宋"/>
          <w:color w:val="auto"/>
          <w:highlight w:val="none"/>
        </w:rPr>
      </w:pPr>
    </w:p>
    <w:p w14:paraId="528FCF7F">
      <w:pPr>
        <w:rPr>
          <w:rFonts w:hint="eastAsia" w:ascii="仿宋" w:hAnsi="仿宋" w:eastAsia="仿宋" w:cs="仿宋"/>
          <w:color w:val="auto"/>
          <w:highlight w:val="none"/>
        </w:rPr>
      </w:pPr>
    </w:p>
    <w:p w14:paraId="72180BFB">
      <w:pPr>
        <w:rPr>
          <w:rFonts w:hint="eastAsia" w:ascii="仿宋" w:hAnsi="仿宋" w:eastAsia="仿宋" w:cs="仿宋"/>
          <w:color w:val="auto"/>
          <w:highlight w:val="none"/>
        </w:rPr>
      </w:pPr>
    </w:p>
    <w:p w14:paraId="1F909C03">
      <w:pPr>
        <w:rPr>
          <w:rFonts w:hint="eastAsia" w:ascii="仿宋" w:hAnsi="仿宋" w:eastAsia="仿宋" w:cs="仿宋"/>
          <w:color w:val="auto"/>
          <w:highlight w:val="none"/>
        </w:rPr>
      </w:pPr>
    </w:p>
    <w:p w14:paraId="09BDF470">
      <w:pPr>
        <w:rPr>
          <w:rFonts w:hint="eastAsia" w:ascii="仿宋" w:hAnsi="仿宋" w:eastAsia="仿宋" w:cs="仿宋"/>
          <w:color w:val="auto"/>
          <w:highlight w:val="none"/>
        </w:rPr>
      </w:pPr>
    </w:p>
    <w:p w14:paraId="57571BE4">
      <w:pPr>
        <w:rPr>
          <w:rFonts w:hint="eastAsia" w:ascii="仿宋" w:hAnsi="仿宋" w:eastAsia="仿宋" w:cs="仿宋"/>
          <w:color w:val="auto"/>
          <w:highlight w:val="none"/>
        </w:rPr>
      </w:pPr>
    </w:p>
    <w:p w14:paraId="43D5E44D">
      <w:pPr>
        <w:rPr>
          <w:rFonts w:hint="eastAsia" w:ascii="仿宋" w:hAnsi="仿宋" w:eastAsia="仿宋" w:cs="仿宋"/>
          <w:color w:val="auto"/>
          <w:highlight w:val="none"/>
        </w:rPr>
      </w:pPr>
    </w:p>
    <w:p w14:paraId="7FA43C14">
      <w:pPr>
        <w:rPr>
          <w:rFonts w:hint="eastAsia" w:ascii="仿宋" w:hAnsi="仿宋" w:eastAsia="仿宋" w:cs="仿宋"/>
          <w:color w:val="auto"/>
          <w:highlight w:val="none"/>
        </w:rPr>
      </w:pPr>
    </w:p>
    <w:p w14:paraId="5AA1D0DD">
      <w:pPr>
        <w:rPr>
          <w:rFonts w:hint="eastAsia" w:ascii="仿宋" w:hAnsi="仿宋" w:eastAsia="仿宋" w:cs="仿宋"/>
          <w:color w:val="auto"/>
          <w:highlight w:val="none"/>
        </w:rPr>
      </w:pPr>
    </w:p>
    <w:p w14:paraId="0CD68308">
      <w:pPr>
        <w:rPr>
          <w:rFonts w:hint="eastAsia" w:ascii="仿宋" w:hAnsi="仿宋" w:eastAsia="仿宋" w:cs="仿宋"/>
          <w:color w:val="auto"/>
          <w:highlight w:val="none"/>
        </w:rPr>
      </w:pPr>
    </w:p>
    <w:p w14:paraId="1C6D8E18">
      <w:pPr>
        <w:rPr>
          <w:rFonts w:hint="eastAsia" w:ascii="仿宋" w:hAnsi="仿宋" w:eastAsia="仿宋" w:cs="仿宋"/>
          <w:color w:val="auto"/>
          <w:highlight w:val="none"/>
        </w:rPr>
      </w:pPr>
    </w:p>
    <w:p w14:paraId="31F0ED6F">
      <w:pPr>
        <w:rPr>
          <w:rFonts w:hint="eastAsia" w:ascii="仿宋" w:hAnsi="仿宋" w:eastAsia="仿宋" w:cs="仿宋"/>
          <w:color w:val="auto"/>
          <w:highlight w:val="none"/>
        </w:rPr>
      </w:pPr>
    </w:p>
    <w:p w14:paraId="02D19671">
      <w:pPr>
        <w:rPr>
          <w:rFonts w:hint="eastAsia" w:ascii="仿宋" w:hAnsi="仿宋" w:eastAsia="仿宋" w:cs="仿宋"/>
          <w:color w:val="auto"/>
          <w:highlight w:val="none"/>
        </w:rPr>
      </w:pPr>
    </w:p>
    <w:p w14:paraId="3D851BBB">
      <w:pPr>
        <w:rPr>
          <w:rFonts w:hint="eastAsia" w:ascii="仿宋" w:hAnsi="仿宋" w:eastAsia="仿宋" w:cs="仿宋"/>
          <w:color w:val="auto"/>
          <w:highlight w:val="none"/>
        </w:rPr>
      </w:pPr>
    </w:p>
    <w:p w14:paraId="3685B4FF">
      <w:pPr>
        <w:rPr>
          <w:rFonts w:hint="eastAsia" w:ascii="仿宋" w:hAnsi="仿宋" w:eastAsia="仿宋" w:cs="仿宋"/>
          <w:color w:val="auto"/>
          <w:highlight w:val="none"/>
        </w:rPr>
      </w:pPr>
    </w:p>
    <w:p w14:paraId="427D5FDF">
      <w:pPr>
        <w:rPr>
          <w:rFonts w:hint="eastAsia" w:ascii="仿宋" w:hAnsi="仿宋" w:eastAsia="仿宋" w:cs="仿宋"/>
          <w:color w:val="auto"/>
          <w:highlight w:val="none"/>
        </w:rPr>
      </w:pPr>
    </w:p>
    <w:p w14:paraId="5ED3C18E">
      <w:pPr>
        <w:rPr>
          <w:rFonts w:hint="eastAsia" w:ascii="仿宋" w:hAnsi="仿宋" w:eastAsia="仿宋" w:cs="仿宋"/>
          <w:color w:val="auto"/>
          <w:highlight w:val="none"/>
        </w:rPr>
      </w:pPr>
    </w:p>
    <w:p w14:paraId="7CB552BA">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5333AA39">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附件：</w:t>
      </w:r>
    </w:p>
    <w:p w14:paraId="001621E8">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节能产品政府采购品目清单</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275"/>
        <w:gridCol w:w="1725"/>
        <w:gridCol w:w="1912"/>
        <w:gridCol w:w="4373"/>
      </w:tblGrid>
      <w:tr w14:paraId="3A85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6C1F628C">
            <w:pPr>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品目序号</w:t>
            </w:r>
          </w:p>
        </w:tc>
        <w:tc>
          <w:tcPr>
            <w:tcW w:w="4912" w:type="dxa"/>
            <w:gridSpan w:val="3"/>
            <w:vAlign w:val="center"/>
          </w:tcPr>
          <w:p w14:paraId="0B148794">
            <w:pPr>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名称</w:t>
            </w:r>
          </w:p>
        </w:tc>
        <w:tc>
          <w:tcPr>
            <w:tcW w:w="4373" w:type="dxa"/>
            <w:vAlign w:val="center"/>
          </w:tcPr>
          <w:p w14:paraId="2DA1FD7A">
            <w:pPr>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依据的标准</w:t>
            </w:r>
          </w:p>
        </w:tc>
      </w:tr>
      <w:tr w14:paraId="7517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restart"/>
            <w:vAlign w:val="center"/>
          </w:tcPr>
          <w:p w14:paraId="40E5F268">
            <w:pPr>
              <w:jc w:val="center"/>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1</w:t>
            </w:r>
          </w:p>
        </w:tc>
        <w:tc>
          <w:tcPr>
            <w:tcW w:w="1275" w:type="dxa"/>
            <w:vMerge w:val="restart"/>
            <w:vAlign w:val="center"/>
          </w:tcPr>
          <w:p w14:paraId="50915772">
            <w:pPr>
              <w:pStyle w:val="118"/>
              <w:spacing w:before="61" w:line="258" w:lineRule="exact"/>
              <w:jc w:val="center"/>
              <w:rPr>
                <w:rFonts w:hint="eastAsia" w:ascii="仿宋" w:hAnsi="仿宋" w:eastAsia="仿宋" w:cs="仿宋"/>
                <w:color w:val="auto"/>
                <w:sz w:val="18"/>
                <w:szCs w:val="18"/>
                <w:highlight w:val="none"/>
              </w:rPr>
            </w:pPr>
            <w:r>
              <w:rPr>
                <w:rFonts w:hint="eastAsia" w:ascii="仿宋" w:hAnsi="仿宋" w:eastAsia="仿宋" w:cs="仿宋"/>
                <w:color w:val="auto"/>
                <w:spacing w:val="4"/>
                <w:position w:val="1"/>
                <w:sz w:val="18"/>
                <w:szCs w:val="18"/>
                <w:highlight w:val="none"/>
              </w:rPr>
              <w:t>A020101</w:t>
            </w:r>
          </w:p>
          <w:p w14:paraId="72D49E2E">
            <w:pPr>
              <w:pStyle w:val="118"/>
              <w:spacing w:before="1" w:line="231" w:lineRule="auto"/>
              <w:ind w:left="156"/>
              <w:jc w:val="center"/>
              <w:rPr>
                <w:rFonts w:hint="eastAsia" w:ascii="仿宋" w:hAnsi="仿宋" w:eastAsia="仿宋" w:cs="仿宋"/>
                <w:color w:val="auto"/>
                <w:sz w:val="18"/>
                <w:szCs w:val="18"/>
                <w:highlight w:val="none"/>
              </w:rPr>
            </w:pPr>
            <w:r>
              <w:rPr>
                <w:rFonts w:hint="eastAsia" w:ascii="仿宋" w:hAnsi="仿宋" w:eastAsia="仿宋" w:cs="仿宋"/>
                <w:color w:val="auto"/>
                <w:spacing w:val="6"/>
                <w:sz w:val="18"/>
                <w:szCs w:val="18"/>
                <w:highlight w:val="none"/>
              </w:rPr>
              <w:t>计算机设</w:t>
            </w:r>
          </w:p>
          <w:p w14:paraId="61C54EE2">
            <w:pPr>
              <w:pStyle w:val="118"/>
              <w:spacing w:before="22" w:line="233" w:lineRule="auto"/>
              <w:ind w:left="457"/>
              <w:jc w:val="center"/>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备</w:t>
            </w:r>
          </w:p>
        </w:tc>
        <w:tc>
          <w:tcPr>
            <w:tcW w:w="1725" w:type="dxa"/>
            <w:vAlign w:val="center"/>
          </w:tcPr>
          <w:p w14:paraId="69701DD3">
            <w:pPr>
              <w:pStyle w:val="118"/>
              <w:spacing w:before="26" w:line="236" w:lineRule="auto"/>
              <w:ind w:left="277" w:right="202" w:hanging="71"/>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★A02010104</w:t>
            </w:r>
            <w:r>
              <w:rPr>
                <w:rFonts w:hint="eastAsia" w:ascii="仿宋" w:hAnsi="仿宋" w:eastAsia="仿宋" w:cs="仿宋"/>
                <w:color w:val="auto"/>
                <w:spacing w:val="3"/>
                <w:sz w:val="18"/>
                <w:szCs w:val="18"/>
                <w:highlight w:val="none"/>
              </w:rPr>
              <w:t>台式计算机</w:t>
            </w:r>
          </w:p>
        </w:tc>
        <w:tc>
          <w:tcPr>
            <w:tcW w:w="1912" w:type="dxa"/>
            <w:vAlign w:val="center"/>
          </w:tcPr>
          <w:p w14:paraId="0D350CCF">
            <w:pPr>
              <w:jc w:val="center"/>
              <w:rPr>
                <w:rFonts w:hint="eastAsia" w:ascii="仿宋" w:hAnsi="仿宋" w:eastAsia="仿宋" w:cs="仿宋"/>
                <w:color w:val="auto"/>
                <w:sz w:val="18"/>
                <w:szCs w:val="18"/>
                <w:highlight w:val="none"/>
              </w:rPr>
            </w:pPr>
          </w:p>
        </w:tc>
        <w:tc>
          <w:tcPr>
            <w:tcW w:w="4373" w:type="dxa"/>
            <w:vAlign w:val="center"/>
          </w:tcPr>
          <w:p w14:paraId="47391CEB">
            <w:pPr>
              <w:pStyle w:val="118"/>
              <w:spacing w:before="26" w:line="236" w:lineRule="auto"/>
              <w:ind w:left="119" w:right="834" w:hanging="4"/>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《微型计算机能效限定值及能效等级》</w:t>
            </w:r>
            <w:r>
              <w:rPr>
                <w:rFonts w:hint="eastAsia" w:ascii="仿宋" w:hAnsi="仿宋" w:eastAsia="仿宋" w:cs="仿宋"/>
                <w:color w:val="auto"/>
                <w:spacing w:val="5"/>
                <w:sz w:val="18"/>
                <w:szCs w:val="18"/>
                <w:highlight w:val="none"/>
                <w:lang w:eastAsia="zh-CN"/>
              </w:rPr>
              <w:t xml:space="preserve"> </w:t>
            </w:r>
            <w:r>
              <w:rPr>
                <w:rFonts w:hint="eastAsia" w:ascii="仿宋" w:hAnsi="仿宋" w:eastAsia="仿宋" w:cs="仿宋"/>
                <w:color w:val="auto"/>
                <w:spacing w:val="3"/>
                <w:sz w:val="18"/>
                <w:szCs w:val="18"/>
                <w:highlight w:val="none"/>
                <w:lang w:eastAsia="zh-CN"/>
              </w:rPr>
              <w:t>（</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3"/>
                <w:sz w:val="18"/>
                <w:szCs w:val="18"/>
                <w:highlight w:val="none"/>
                <w:lang w:eastAsia="zh-CN"/>
              </w:rPr>
              <w:t>28380）</w:t>
            </w:r>
          </w:p>
        </w:tc>
      </w:tr>
      <w:tr w14:paraId="21DD6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163E01AF">
            <w:pPr>
              <w:jc w:val="center"/>
              <w:rPr>
                <w:rFonts w:hint="eastAsia" w:ascii="仿宋" w:hAnsi="仿宋" w:eastAsia="仿宋" w:cs="仿宋"/>
                <w:color w:val="auto"/>
                <w:sz w:val="18"/>
                <w:szCs w:val="18"/>
                <w:highlight w:val="none"/>
              </w:rPr>
            </w:pPr>
          </w:p>
        </w:tc>
        <w:tc>
          <w:tcPr>
            <w:tcW w:w="1275" w:type="dxa"/>
            <w:vMerge w:val="continue"/>
            <w:vAlign w:val="center"/>
          </w:tcPr>
          <w:p w14:paraId="63D3415B">
            <w:pPr>
              <w:jc w:val="center"/>
              <w:rPr>
                <w:rFonts w:hint="eastAsia" w:ascii="仿宋" w:hAnsi="仿宋" w:eastAsia="仿宋" w:cs="仿宋"/>
                <w:color w:val="auto"/>
                <w:sz w:val="18"/>
                <w:szCs w:val="18"/>
                <w:highlight w:val="none"/>
              </w:rPr>
            </w:pPr>
          </w:p>
        </w:tc>
        <w:tc>
          <w:tcPr>
            <w:tcW w:w="1725" w:type="dxa"/>
            <w:vAlign w:val="center"/>
          </w:tcPr>
          <w:p w14:paraId="3A7F3566">
            <w:pPr>
              <w:pStyle w:val="118"/>
              <w:spacing w:before="30" w:line="235" w:lineRule="auto"/>
              <w:ind w:left="159" w:right="153" w:firstLine="47"/>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★A02010105</w:t>
            </w:r>
            <w:r>
              <w:rPr>
                <w:rFonts w:hint="eastAsia" w:ascii="仿宋" w:hAnsi="仿宋" w:eastAsia="仿宋" w:cs="仿宋"/>
                <w:color w:val="auto"/>
                <w:spacing w:val="7"/>
                <w:sz w:val="18"/>
                <w:szCs w:val="18"/>
                <w:highlight w:val="none"/>
              </w:rPr>
              <w:t>便携式计算机</w:t>
            </w:r>
          </w:p>
        </w:tc>
        <w:tc>
          <w:tcPr>
            <w:tcW w:w="1912" w:type="dxa"/>
            <w:vAlign w:val="center"/>
          </w:tcPr>
          <w:p w14:paraId="3D304EC4">
            <w:pPr>
              <w:jc w:val="center"/>
              <w:rPr>
                <w:rFonts w:hint="eastAsia" w:ascii="仿宋" w:hAnsi="仿宋" w:eastAsia="仿宋" w:cs="仿宋"/>
                <w:color w:val="auto"/>
                <w:sz w:val="18"/>
                <w:szCs w:val="18"/>
                <w:highlight w:val="none"/>
              </w:rPr>
            </w:pPr>
          </w:p>
        </w:tc>
        <w:tc>
          <w:tcPr>
            <w:tcW w:w="4373" w:type="dxa"/>
            <w:vAlign w:val="center"/>
          </w:tcPr>
          <w:p w14:paraId="014A7E56">
            <w:pPr>
              <w:pStyle w:val="118"/>
              <w:spacing w:before="30" w:line="235" w:lineRule="auto"/>
              <w:ind w:left="119" w:right="834" w:hanging="4"/>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《微型计算机能效限定值及能效等级》</w:t>
            </w:r>
            <w:r>
              <w:rPr>
                <w:rFonts w:hint="eastAsia" w:ascii="仿宋" w:hAnsi="仿宋" w:eastAsia="仿宋" w:cs="仿宋"/>
                <w:color w:val="auto"/>
                <w:spacing w:val="5"/>
                <w:sz w:val="18"/>
                <w:szCs w:val="18"/>
                <w:highlight w:val="none"/>
                <w:lang w:eastAsia="zh-CN"/>
              </w:rPr>
              <w:t xml:space="preserve"> </w:t>
            </w:r>
            <w:r>
              <w:rPr>
                <w:rFonts w:hint="eastAsia" w:ascii="仿宋" w:hAnsi="仿宋" w:eastAsia="仿宋" w:cs="仿宋"/>
                <w:color w:val="auto"/>
                <w:spacing w:val="3"/>
                <w:sz w:val="18"/>
                <w:szCs w:val="18"/>
                <w:highlight w:val="none"/>
                <w:lang w:eastAsia="zh-CN"/>
              </w:rPr>
              <w:t>（</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3"/>
                <w:sz w:val="18"/>
                <w:szCs w:val="18"/>
                <w:highlight w:val="none"/>
                <w:lang w:eastAsia="zh-CN"/>
              </w:rPr>
              <w:t>28380）</w:t>
            </w:r>
          </w:p>
        </w:tc>
      </w:tr>
      <w:tr w14:paraId="6A28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45D8BDE5">
            <w:pPr>
              <w:jc w:val="center"/>
              <w:rPr>
                <w:rFonts w:hint="eastAsia" w:ascii="仿宋" w:hAnsi="仿宋" w:eastAsia="仿宋" w:cs="仿宋"/>
                <w:color w:val="auto"/>
                <w:sz w:val="18"/>
                <w:szCs w:val="18"/>
                <w:highlight w:val="none"/>
              </w:rPr>
            </w:pPr>
          </w:p>
        </w:tc>
        <w:tc>
          <w:tcPr>
            <w:tcW w:w="1275" w:type="dxa"/>
            <w:vMerge w:val="continue"/>
            <w:vAlign w:val="center"/>
          </w:tcPr>
          <w:p w14:paraId="26F9CD1A">
            <w:pPr>
              <w:jc w:val="center"/>
              <w:rPr>
                <w:rFonts w:hint="eastAsia" w:ascii="仿宋" w:hAnsi="仿宋" w:eastAsia="仿宋" w:cs="仿宋"/>
                <w:color w:val="auto"/>
                <w:sz w:val="18"/>
                <w:szCs w:val="18"/>
                <w:highlight w:val="none"/>
              </w:rPr>
            </w:pPr>
          </w:p>
        </w:tc>
        <w:tc>
          <w:tcPr>
            <w:tcW w:w="1725" w:type="dxa"/>
            <w:vAlign w:val="center"/>
          </w:tcPr>
          <w:p w14:paraId="583E2494">
            <w:pPr>
              <w:pStyle w:val="118"/>
              <w:spacing w:before="27"/>
              <w:ind w:left="206"/>
              <w:jc w:val="center"/>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4"/>
                <w:sz w:val="18"/>
                <w:szCs w:val="18"/>
                <w:highlight w:val="none"/>
                <w:lang w:eastAsia="zh-CN"/>
              </w:rPr>
              <w:t>★A02010107</w:t>
            </w:r>
          </w:p>
          <w:p w14:paraId="630E1C34">
            <w:pPr>
              <w:pStyle w:val="118"/>
              <w:spacing w:before="12" w:line="231" w:lineRule="auto"/>
              <w:ind w:left="158"/>
              <w:jc w:val="center"/>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7"/>
                <w:sz w:val="18"/>
                <w:szCs w:val="18"/>
                <w:highlight w:val="none"/>
                <w:lang w:eastAsia="zh-CN"/>
              </w:rPr>
              <w:t>平板式微型计</w:t>
            </w:r>
            <w:r>
              <w:rPr>
                <w:rFonts w:hint="eastAsia" w:ascii="仿宋" w:hAnsi="仿宋" w:eastAsia="仿宋" w:cs="仿宋"/>
                <w:color w:val="auto"/>
                <w:spacing w:val="2"/>
                <w:sz w:val="18"/>
                <w:szCs w:val="18"/>
                <w:highlight w:val="none"/>
                <w:lang w:eastAsia="zh-CN"/>
              </w:rPr>
              <w:t>算机</w:t>
            </w:r>
          </w:p>
        </w:tc>
        <w:tc>
          <w:tcPr>
            <w:tcW w:w="1912" w:type="dxa"/>
            <w:vAlign w:val="center"/>
          </w:tcPr>
          <w:p w14:paraId="2F5CD9F2">
            <w:pPr>
              <w:jc w:val="center"/>
              <w:rPr>
                <w:rFonts w:hint="eastAsia" w:ascii="仿宋" w:hAnsi="仿宋" w:eastAsia="仿宋" w:cs="仿宋"/>
                <w:color w:val="auto"/>
                <w:sz w:val="18"/>
                <w:szCs w:val="18"/>
                <w:highlight w:val="none"/>
              </w:rPr>
            </w:pPr>
          </w:p>
        </w:tc>
        <w:tc>
          <w:tcPr>
            <w:tcW w:w="4373" w:type="dxa"/>
            <w:vAlign w:val="center"/>
          </w:tcPr>
          <w:p w14:paraId="1821F7B3">
            <w:pPr>
              <w:pStyle w:val="118"/>
              <w:spacing w:before="157" w:line="259" w:lineRule="auto"/>
              <w:ind w:left="119" w:right="834" w:hanging="4"/>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《微型计算机能效限定值及能效等级》</w:t>
            </w:r>
            <w:r>
              <w:rPr>
                <w:rFonts w:hint="eastAsia" w:ascii="仿宋" w:hAnsi="仿宋" w:eastAsia="仿宋" w:cs="仿宋"/>
                <w:color w:val="auto"/>
                <w:spacing w:val="5"/>
                <w:sz w:val="18"/>
                <w:szCs w:val="18"/>
                <w:highlight w:val="none"/>
                <w:lang w:eastAsia="zh-CN"/>
              </w:rPr>
              <w:t xml:space="preserve"> </w:t>
            </w:r>
            <w:r>
              <w:rPr>
                <w:rFonts w:hint="eastAsia" w:ascii="仿宋" w:hAnsi="仿宋" w:eastAsia="仿宋" w:cs="仿宋"/>
                <w:color w:val="auto"/>
                <w:spacing w:val="3"/>
                <w:sz w:val="18"/>
                <w:szCs w:val="18"/>
                <w:highlight w:val="none"/>
                <w:lang w:eastAsia="zh-CN"/>
              </w:rPr>
              <w:t>（</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3"/>
                <w:sz w:val="18"/>
                <w:szCs w:val="18"/>
                <w:highlight w:val="none"/>
                <w:lang w:eastAsia="zh-CN"/>
              </w:rPr>
              <w:t>28380）</w:t>
            </w:r>
          </w:p>
        </w:tc>
      </w:tr>
      <w:tr w14:paraId="13FB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restart"/>
            <w:vAlign w:val="center"/>
          </w:tcPr>
          <w:p w14:paraId="29DAF032">
            <w:pPr>
              <w:pStyle w:val="118"/>
              <w:spacing w:before="61" w:line="259" w:lineRule="exact"/>
              <w:jc w:val="center"/>
              <w:rPr>
                <w:rFonts w:hint="eastAsia" w:ascii="仿宋" w:hAnsi="仿宋" w:eastAsia="仿宋" w:cs="仿宋"/>
                <w:color w:val="auto"/>
                <w:sz w:val="18"/>
                <w:szCs w:val="18"/>
                <w:highlight w:val="none"/>
              </w:rPr>
            </w:pPr>
            <w:r>
              <w:rPr>
                <w:rFonts w:hint="eastAsia" w:ascii="仿宋" w:hAnsi="仿宋" w:eastAsia="仿宋" w:cs="仿宋"/>
                <w:color w:val="auto"/>
                <w:position w:val="1"/>
                <w:sz w:val="18"/>
                <w:szCs w:val="18"/>
                <w:highlight w:val="none"/>
              </w:rPr>
              <w:t>2</w:t>
            </w:r>
          </w:p>
        </w:tc>
        <w:tc>
          <w:tcPr>
            <w:tcW w:w="1275" w:type="dxa"/>
            <w:vMerge w:val="restart"/>
            <w:vAlign w:val="center"/>
          </w:tcPr>
          <w:p w14:paraId="4F3D6EC0">
            <w:pPr>
              <w:pStyle w:val="118"/>
              <w:spacing w:before="61" w:line="258" w:lineRule="exact"/>
              <w:jc w:val="center"/>
              <w:rPr>
                <w:rFonts w:hint="eastAsia" w:ascii="仿宋" w:hAnsi="仿宋" w:eastAsia="仿宋" w:cs="仿宋"/>
                <w:color w:val="auto"/>
                <w:sz w:val="18"/>
                <w:szCs w:val="18"/>
                <w:highlight w:val="none"/>
              </w:rPr>
            </w:pPr>
            <w:r>
              <w:rPr>
                <w:rFonts w:hint="eastAsia" w:ascii="仿宋" w:hAnsi="仿宋" w:eastAsia="仿宋" w:cs="仿宋"/>
                <w:color w:val="auto"/>
                <w:spacing w:val="4"/>
                <w:position w:val="1"/>
                <w:sz w:val="18"/>
                <w:szCs w:val="18"/>
                <w:highlight w:val="none"/>
              </w:rPr>
              <w:t>A020106</w:t>
            </w:r>
          </w:p>
          <w:p w14:paraId="02CEAB9F">
            <w:pPr>
              <w:pStyle w:val="118"/>
              <w:spacing w:before="1" w:line="233" w:lineRule="auto"/>
              <w:ind w:left="157"/>
              <w:jc w:val="center"/>
              <w:rPr>
                <w:rFonts w:hint="eastAsia" w:ascii="仿宋" w:hAnsi="仿宋" w:eastAsia="仿宋" w:cs="仿宋"/>
                <w:color w:val="auto"/>
                <w:sz w:val="18"/>
                <w:szCs w:val="18"/>
                <w:highlight w:val="none"/>
              </w:rPr>
            </w:pPr>
            <w:r>
              <w:rPr>
                <w:rFonts w:hint="eastAsia" w:ascii="仿宋" w:hAnsi="仿宋" w:eastAsia="仿宋" w:cs="仿宋"/>
                <w:color w:val="auto"/>
                <w:spacing w:val="6"/>
                <w:sz w:val="18"/>
                <w:szCs w:val="18"/>
                <w:highlight w:val="none"/>
              </w:rPr>
              <w:t>输入输出</w:t>
            </w:r>
          </w:p>
          <w:p w14:paraId="4D9AAD81">
            <w:pPr>
              <w:pStyle w:val="118"/>
              <w:spacing w:before="19" w:line="233" w:lineRule="auto"/>
              <w:ind w:left="354"/>
              <w:jc w:val="center"/>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设备</w:t>
            </w:r>
          </w:p>
        </w:tc>
        <w:tc>
          <w:tcPr>
            <w:tcW w:w="1725" w:type="dxa"/>
            <w:vMerge w:val="restart"/>
            <w:vAlign w:val="center"/>
          </w:tcPr>
          <w:p w14:paraId="41FF174A">
            <w:pPr>
              <w:pStyle w:val="118"/>
              <w:spacing w:before="62" w:line="252" w:lineRule="auto"/>
              <w:ind w:right="179"/>
              <w:jc w:val="center"/>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A02010601</w:t>
            </w:r>
            <w:r>
              <w:rPr>
                <w:rFonts w:hint="eastAsia" w:ascii="仿宋" w:hAnsi="仿宋" w:eastAsia="仿宋" w:cs="仿宋"/>
                <w:color w:val="auto"/>
                <w:spacing w:val="-25"/>
                <w:sz w:val="18"/>
                <w:szCs w:val="18"/>
                <w:highlight w:val="none"/>
              </w:rPr>
              <w:t xml:space="preserve"> </w:t>
            </w:r>
            <w:r>
              <w:rPr>
                <w:rFonts w:hint="eastAsia" w:ascii="仿宋" w:hAnsi="仿宋" w:eastAsia="仿宋" w:cs="仿宋"/>
                <w:color w:val="auto"/>
                <w:spacing w:val="3"/>
                <w:sz w:val="18"/>
                <w:szCs w:val="18"/>
                <w:highlight w:val="none"/>
              </w:rPr>
              <w:t>打</w:t>
            </w:r>
            <w:r>
              <w:rPr>
                <w:rFonts w:hint="eastAsia" w:ascii="仿宋" w:hAnsi="仿宋" w:eastAsia="仿宋" w:cs="仿宋"/>
                <w:color w:val="auto"/>
                <w:sz w:val="18"/>
                <w:szCs w:val="18"/>
                <w:highlight w:val="none"/>
              </w:rPr>
              <w:t>印设备</w:t>
            </w:r>
          </w:p>
        </w:tc>
        <w:tc>
          <w:tcPr>
            <w:tcW w:w="1912" w:type="dxa"/>
            <w:vAlign w:val="center"/>
          </w:tcPr>
          <w:p w14:paraId="722D522A">
            <w:pPr>
              <w:pStyle w:val="118"/>
              <w:spacing w:before="29" w:line="235" w:lineRule="auto"/>
              <w:ind w:left="426" w:right="122" w:hanging="303"/>
              <w:jc w:val="center"/>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A0201060101</w:t>
            </w:r>
            <w:r>
              <w:rPr>
                <w:rFonts w:hint="eastAsia" w:ascii="仿宋" w:hAnsi="仿宋" w:eastAsia="仿宋" w:cs="仿宋"/>
                <w:color w:val="auto"/>
                <w:spacing w:val="-20"/>
                <w:sz w:val="18"/>
                <w:szCs w:val="18"/>
                <w:highlight w:val="none"/>
              </w:rPr>
              <w:t xml:space="preserve"> </w:t>
            </w:r>
            <w:r>
              <w:rPr>
                <w:rFonts w:hint="eastAsia" w:ascii="仿宋" w:hAnsi="仿宋" w:eastAsia="仿宋" w:cs="仿宋"/>
                <w:color w:val="auto"/>
                <w:spacing w:val="3"/>
                <w:sz w:val="18"/>
                <w:szCs w:val="18"/>
                <w:highlight w:val="none"/>
              </w:rPr>
              <w:t>喷</w:t>
            </w:r>
            <w:r>
              <w:rPr>
                <w:rFonts w:hint="eastAsia" w:ascii="仿宋" w:hAnsi="仿宋" w:eastAsia="仿宋" w:cs="仿宋"/>
                <w:color w:val="auto"/>
                <w:spacing w:val="2"/>
                <w:sz w:val="18"/>
                <w:szCs w:val="18"/>
                <w:highlight w:val="none"/>
              </w:rPr>
              <w:t>墨打印机</w:t>
            </w:r>
          </w:p>
        </w:tc>
        <w:tc>
          <w:tcPr>
            <w:tcW w:w="4373" w:type="dxa"/>
            <w:vAlign w:val="center"/>
          </w:tcPr>
          <w:p w14:paraId="4FB5FEC2">
            <w:pPr>
              <w:pStyle w:val="118"/>
              <w:spacing w:before="29" w:line="235" w:lineRule="auto"/>
              <w:ind w:left="117" w:right="102" w:hanging="2"/>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5"/>
                <w:sz w:val="18"/>
                <w:szCs w:val="18"/>
                <w:highlight w:val="none"/>
                <w:lang w:eastAsia="zh-CN"/>
              </w:rPr>
              <w:t>《复印机、打印机和传真机能效限定值及能效等级》（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5"/>
                <w:sz w:val="18"/>
                <w:szCs w:val="18"/>
                <w:highlight w:val="none"/>
                <w:lang w:eastAsia="zh-CN"/>
              </w:rPr>
              <w:t>21521）</w:t>
            </w:r>
          </w:p>
        </w:tc>
      </w:tr>
      <w:tr w14:paraId="5DF1A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25562FA7">
            <w:pPr>
              <w:jc w:val="center"/>
              <w:rPr>
                <w:rFonts w:hint="eastAsia" w:ascii="仿宋" w:hAnsi="仿宋" w:eastAsia="仿宋" w:cs="仿宋"/>
                <w:color w:val="auto"/>
                <w:sz w:val="18"/>
                <w:szCs w:val="18"/>
                <w:highlight w:val="none"/>
              </w:rPr>
            </w:pPr>
          </w:p>
        </w:tc>
        <w:tc>
          <w:tcPr>
            <w:tcW w:w="1275" w:type="dxa"/>
            <w:vMerge w:val="continue"/>
            <w:vAlign w:val="center"/>
          </w:tcPr>
          <w:p w14:paraId="766EE977">
            <w:pPr>
              <w:jc w:val="center"/>
              <w:rPr>
                <w:rFonts w:hint="eastAsia" w:ascii="仿宋" w:hAnsi="仿宋" w:eastAsia="仿宋" w:cs="仿宋"/>
                <w:color w:val="auto"/>
                <w:sz w:val="18"/>
                <w:szCs w:val="18"/>
                <w:highlight w:val="none"/>
              </w:rPr>
            </w:pPr>
          </w:p>
        </w:tc>
        <w:tc>
          <w:tcPr>
            <w:tcW w:w="1725" w:type="dxa"/>
            <w:vMerge w:val="continue"/>
            <w:vAlign w:val="center"/>
          </w:tcPr>
          <w:p w14:paraId="17FF653B">
            <w:pPr>
              <w:jc w:val="center"/>
              <w:rPr>
                <w:rFonts w:hint="eastAsia" w:ascii="仿宋" w:hAnsi="仿宋" w:eastAsia="仿宋" w:cs="仿宋"/>
                <w:color w:val="auto"/>
                <w:sz w:val="18"/>
                <w:szCs w:val="18"/>
                <w:highlight w:val="none"/>
              </w:rPr>
            </w:pPr>
          </w:p>
        </w:tc>
        <w:tc>
          <w:tcPr>
            <w:tcW w:w="1912" w:type="dxa"/>
            <w:vAlign w:val="center"/>
          </w:tcPr>
          <w:p w14:paraId="3BDB4A99">
            <w:pPr>
              <w:pStyle w:val="118"/>
              <w:spacing w:before="29" w:line="235" w:lineRule="auto"/>
              <w:ind w:left="311" w:right="147" w:hanging="154"/>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★A0201060102</w:t>
            </w:r>
            <w:r>
              <w:rPr>
                <w:rFonts w:hint="eastAsia" w:ascii="仿宋" w:hAnsi="仿宋" w:eastAsia="仿宋" w:cs="仿宋"/>
                <w:color w:val="auto"/>
                <w:spacing w:val="6"/>
                <w:sz w:val="18"/>
                <w:szCs w:val="18"/>
                <w:highlight w:val="none"/>
              </w:rPr>
              <w:t>激光打印机</w:t>
            </w:r>
          </w:p>
        </w:tc>
        <w:tc>
          <w:tcPr>
            <w:tcW w:w="4373" w:type="dxa"/>
            <w:vAlign w:val="center"/>
          </w:tcPr>
          <w:p w14:paraId="66C991F7">
            <w:pPr>
              <w:pStyle w:val="118"/>
              <w:spacing w:before="29" w:line="235" w:lineRule="auto"/>
              <w:ind w:left="117" w:right="102" w:hanging="2"/>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5"/>
                <w:sz w:val="18"/>
                <w:szCs w:val="18"/>
                <w:highlight w:val="none"/>
                <w:lang w:eastAsia="zh-CN"/>
              </w:rPr>
              <w:t>《复印机、打印机和传真机能效限定值及能效等级》（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5"/>
                <w:sz w:val="18"/>
                <w:szCs w:val="18"/>
                <w:highlight w:val="none"/>
                <w:lang w:eastAsia="zh-CN"/>
              </w:rPr>
              <w:t>21521）</w:t>
            </w:r>
          </w:p>
        </w:tc>
      </w:tr>
      <w:tr w14:paraId="3F98F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1BBBD6E5">
            <w:pPr>
              <w:jc w:val="center"/>
              <w:rPr>
                <w:rFonts w:hint="eastAsia" w:ascii="仿宋" w:hAnsi="仿宋" w:eastAsia="仿宋" w:cs="仿宋"/>
                <w:color w:val="auto"/>
                <w:sz w:val="18"/>
                <w:szCs w:val="18"/>
                <w:highlight w:val="none"/>
              </w:rPr>
            </w:pPr>
          </w:p>
        </w:tc>
        <w:tc>
          <w:tcPr>
            <w:tcW w:w="1275" w:type="dxa"/>
            <w:vMerge w:val="continue"/>
            <w:vAlign w:val="center"/>
          </w:tcPr>
          <w:p w14:paraId="102FDB3F">
            <w:pPr>
              <w:jc w:val="center"/>
              <w:rPr>
                <w:rFonts w:hint="eastAsia" w:ascii="仿宋" w:hAnsi="仿宋" w:eastAsia="仿宋" w:cs="仿宋"/>
                <w:color w:val="auto"/>
                <w:sz w:val="18"/>
                <w:szCs w:val="18"/>
                <w:highlight w:val="none"/>
              </w:rPr>
            </w:pPr>
          </w:p>
        </w:tc>
        <w:tc>
          <w:tcPr>
            <w:tcW w:w="1725" w:type="dxa"/>
            <w:vMerge w:val="continue"/>
            <w:vAlign w:val="center"/>
          </w:tcPr>
          <w:p w14:paraId="16FAC160">
            <w:pPr>
              <w:jc w:val="center"/>
              <w:rPr>
                <w:rFonts w:hint="eastAsia" w:ascii="仿宋" w:hAnsi="仿宋" w:eastAsia="仿宋" w:cs="仿宋"/>
                <w:color w:val="auto"/>
                <w:sz w:val="18"/>
                <w:szCs w:val="18"/>
                <w:highlight w:val="none"/>
              </w:rPr>
            </w:pPr>
          </w:p>
        </w:tc>
        <w:tc>
          <w:tcPr>
            <w:tcW w:w="1912" w:type="dxa"/>
            <w:vAlign w:val="center"/>
          </w:tcPr>
          <w:p w14:paraId="2CD95046">
            <w:pPr>
              <w:pStyle w:val="118"/>
              <w:spacing w:before="31" w:line="234" w:lineRule="auto"/>
              <w:ind w:left="307" w:right="147" w:hanging="150"/>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★A0201060104</w:t>
            </w:r>
            <w:r>
              <w:rPr>
                <w:rFonts w:hint="eastAsia" w:ascii="仿宋" w:hAnsi="仿宋" w:eastAsia="仿宋" w:cs="仿宋"/>
                <w:color w:val="auto"/>
                <w:spacing w:val="7"/>
                <w:sz w:val="18"/>
                <w:szCs w:val="18"/>
                <w:highlight w:val="none"/>
              </w:rPr>
              <w:t>针式打印机</w:t>
            </w:r>
          </w:p>
        </w:tc>
        <w:tc>
          <w:tcPr>
            <w:tcW w:w="4373" w:type="dxa"/>
            <w:vAlign w:val="center"/>
          </w:tcPr>
          <w:p w14:paraId="27E96373">
            <w:pPr>
              <w:pStyle w:val="118"/>
              <w:spacing w:before="31" w:line="234" w:lineRule="auto"/>
              <w:ind w:left="117" w:right="102" w:hanging="2"/>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5"/>
                <w:sz w:val="18"/>
                <w:szCs w:val="18"/>
                <w:highlight w:val="none"/>
                <w:lang w:eastAsia="zh-CN"/>
              </w:rPr>
              <w:t>《复印机、打印机和传真机能效限定值及能效等级》（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5"/>
                <w:sz w:val="18"/>
                <w:szCs w:val="18"/>
                <w:highlight w:val="none"/>
                <w:lang w:eastAsia="zh-CN"/>
              </w:rPr>
              <w:t>21521）</w:t>
            </w:r>
          </w:p>
        </w:tc>
      </w:tr>
      <w:tr w14:paraId="65A0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6AC87AA0">
            <w:pPr>
              <w:jc w:val="center"/>
              <w:rPr>
                <w:rFonts w:hint="eastAsia" w:ascii="仿宋" w:hAnsi="仿宋" w:eastAsia="仿宋" w:cs="仿宋"/>
                <w:color w:val="auto"/>
                <w:sz w:val="18"/>
                <w:szCs w:val="18"/>
                <w:highlight w:val="none"/>
              </w:rPr>
            </w:pPr>
          </w:p>
        </w:tc>
        <w:tc>
          <w:tcPr>
            <w:tcW w:w="1275" w:type="dxa"/>
            <w:vMerge w:val="continue"/>
            <w:vAlign w:val="center"/>
          </w:tcPr>
          <w:p w14:paraId="28152D9C">
            <w:pPr>
              <w:jc w:val="center"/>
              <w:rPr>
                <w:rFonts w:hint="eastAsia" w:ascii="仿宋" w:hAnsi="仿宋" w:eastAsia="仿宋" w:cs="仿宋"/>
                <w:color w:val="auto"/>
                <w:sz w:val="18"/>
                <w:szCs w:val="18"/>
                <w:highlight w:val="none"/>
              </w:rPr>
            </w:pPr>
          </w:p>
        </w:tc>
        <w:tc>
          <w:tcPr>
            <w:tcW w:w="1725" w:type="dxa"/>
            <w:vAlign w:val="center"/>
          </w:tcPr>
          <w:p w14:paraId="4F837949">
            <w:pPr>
              <w:pStyle w:val="118"/>
              <w:spacing w:before="31" w:line="234" w:lineRule="auto"/>
              <w:ind w:left="458" w:right="179" w:hanging="286"/>
              <w:jc w:val="center"/>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A02010604</w:t>
            </w:r>
            <w:r>
              <w:rPr>
                <w:rFonts w:hint="eastAsia" w:ascii="仿宋" w:hAnsi="仿宋" w:eastAsia="仿宋" w:cs="仿宋"/>
                <w:color w:val="auto"/>
                <w:spacing w:val="-25"/>
                <w:sz w:val="18"/>
                <w:szCs w:val="18"/>
                <w:highlight w:val="none"/>
              </w:rPr>
              <w:t xml:space="preserve"> </w:t>
            </w:r>
            <w:r>
              <w:rPr>
                <w:rFonts w:hint="eastAsia" w:ascii="仿宋" w:hAnsi="仿宋" w:eastAsia="仿宋" w:cs="仿宋"/>
                <w:color w:val="auto"/>
                <w:spacing w:val="3"/>
                <w:sz w:val="18"/>
                <w:szCs w:val="18"/>
                <w:highlight w:val="none"/>
              </w:rPr>
              <w:t>显</w:t>
            </w:r>
            <w:r>
              <w:rPr>
                <w:rFonts w:hint="eastAsia" w:ascii="仿宋" w:hAnsi="仿宋" w:eastAsia="仿宋" w:cs="仿宋"/>
                <w:color w:val="auto"/>
                <w:spacing w:val="5"/>
                <w:sz w:val="18"/>
                <w:szCs w:val="18"/>
                <w:highlight w:val="none"/>
              </w:rPr>
              <w:t>示设备</w:t>
            </w:r>
          </w:p>
        </w:tc>
        <w:tc>
          <w:tcPr>
            <w:tcW w:w="1912" w:type="dxa"/>
            <w:vAlign w:val="center"/>
          </w:tcPr>
          <w:p w14:paraId="01D0C788">
            <w:pPr>
              <w:pStyle w:val="118"/>
              <w:spacing w:before="31" w:line="234" w:lineRule="auto"/>
              <w:ind w:left="308" w:right="147" w:hanging="151"/>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★A0201060401</w:t>
            </w:r>
            <w:r>
              <w:rPr>
                <w:rFonts w:hint="eastAsia" w:ascii="仿宋" w:hAnsi="仿宋" w:eastAsia="仿宋" w:cs="仿宋"/>
                <w:color w:val="auto"/>
                <w:spacing w:val="6"/>
                <w:sz w:val="18"/>
                <w:szCs w:val="18"/>
                <w:highlight w:val="none"/>
              </w:rPr>
              <w:t>液晶显示器</w:t>
            </w:r>
          </w:p>
        </w:tc>
        <w:tc>
          <w:tcPr>
            <w:tcW w:w="4373" w:type="dxa"/>
            <w:vAlign w:val="center"/>
          </w:tcPr>
          <w:p w14:paraId="41834FFF">
            <w:pPr>
              <w:pStyle w:val="118"/>
              <w:spacing w:before="31" w:line="234" w:lineRule="auto"/>
              <w:ind w:left="119" w:right="633" w:hanging="4"/>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《计算机显示器能效限定值及能效等级》</w:t>
            </w:r>
            <w:r>
              <w:rPr>
                <w:rFonts w:hint="eastAsia" w:ascii="仿宋" w:hAnsi="仿宋" w:eastAsia="仿宋" w:cs="仿宋"/>
                <w:color w:val="auto"/>
                <w:spacing w:val="9"/>
                <w:sz w:val="18"/>
                <w:szCs w:val="18"/>
                <w:highlight w:val="none"/>
                <w:lang w:eastAsia="zh-CN"/>
              </w:rPr>
              <w:t xml:space="preserve"> </w:t>
            </w:r>
            <w:r>
              <w:rPr>
                <w:rFonts w:hint="eastAsia" w:ascii="仿宋" w:hAnsi="仿宋" w:eastAsia="仿宋" w:cs="仿宋"/>
                <w:color w:val="auto"/>
                <w:spacing w:val="3"/>
                <w:sz w:val="18"/>
                <w:szCs w:val="18"/>
                <w:highlight w:val="none"/>
                <w:lang w:eastAsia="zh-CN"/>
              </w:rPr>
              <w:t>（</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3"/>
                <w:sz w:val="18"/>
                <w:szCs w:val="18"/>
                <w:highlight w:val="none"/>
                <w:lang w:eastAsia="zh-CN"/>
              </w:rPr>
              <w:t>21520）</w:t>
            </w:r>
          </w:p>
        </w:tc>
      </w:tr>
      <w:tr w14:paraId="582F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65131580">
            <w:pPr>
              <w:jc w:val="center"/>
              <w:rPr>
                <w:rFonts w:hint="eastAsia" w:ascii="仿宋" w:hAnsi="仿宋" w:eastAsia="仿宋" w:cs="仿宋"/>
                <w:color w:val="auto"/>
                <w:sz w:val="18"/>
                <w:szCs w:val="18"/>
                <w:highlight w:val="none"/>
              </w:rPr>
            </w:pPr>
          </w:p>
        </w:tc>
        <w:tc>
          <w:tcPr>
            <w:tcW w:w="1275" w:type="dxa"/>
            <w:vMerge w:val="continue"/>
            <w:vAlign w:val="center"/>
          </w:tcPr>
          <w:p w14:paraId="282CB854">
            <w:pPr>
              <w:jc w:val="center"/>
              <w:rPr>
                <w:rFonts w:hint="eastAsia" w:ascii="仿宋" w:hAnsi="仿宋" w:eastAsia="仿宋" w:cs="仿宋"/>
                <w:color w:val="auto"/>
                <w:sz w:val="18"/>
                <w:szCs w:val="18"/>
                <w:highlight w:val="none"/>
              </w:rPr>
            </w:pPr>
          </w:p>
        </w:tc>
        <w:tc>
          <w:tcPr>
            <w:tcW w:w="1725" w:type="dxa"/>
            <w:vAlign w:val="center"/>
          </w:tcPr>
          <w:p w14:paraId="56A82669">
            <w:pPr>
              <w:pStyle w:val="118"/>
              <w:spacing w:before="163" w:line="232" w:lineRule="auto"/>
              <w:ind w:left="172"/>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A02010609</w:t>
            </w:r>
            <w:r>
              <w:rPr>
                <w:rFonts w:hint="eastAsia" w:ascii="仿宋" w:hAnsi="仿宋" w:eastAsia="仿宋" w:cs="仿宋"/>
                <w:color w:val="auto"/>
                <w:spacing w:val="-12"/>
                <w:sz w:val="18"/>
                <w:szCs w:val="18"/>
                <w:highlight w:val="none"/>
              </w:rPr>
              <w:t xml:space="preserve"> </w:t>
            </w:r>
            <w:r>
              <w:rPr>
                <w:rFonts w:hint="eastAsia" w:ascii="仿宋" w:hAnsi="仿宋" w:eastAsia="仿宋" w:cs="仿宋"/>
                <w:color w:val="auto"/>
                <w:spacing w:val="4"/>
                <w:sz w:val="18"/>
                <w:szCs w:val="18"/>
                <w:highlight w:val="none"/>
              </w:rPr>
              <w:t>图</w:t>
            </w:r>
          </w:p>
          <w:p w14:paraId="0BD67752">
            <w:pPr>
              <w:pStyle w:val="118"/>
              <w:spacing w:before="17" w:line="231" w:lineRule="auto"/>
              <w:ind w:left="158"/>
              <w:jc w:val="center"/>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形图像输入设</w:t>
            </w:r>
          </w:p>
          <w:p w14:paraId="3DAC2ADA">
            <w:pPr>
              <w:pStyle w:val="118"/>
              <w:spacing w:before="22" w:line="233" w:lineRule="auto"/>
              <w:ind w:left="659"/>
              <w:jc w:val="center"/>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备</w:t>
            </w:r>
          </w:p>
        </w:tc>
        <w:tc>
          <w:tcPr>
            <w:tcW w:w="1912" w:type="dxa"/>
            <w:vAlign w:val="center"/>
          </w:tcPr>
          <w:p w14:paraId="10F4D187">
            <w:pPr>
              <w:pStyle w:val="118"/>
              <w:spacing w:before="292" w:line="252" w:lineRule="auto"/>
              <w:ind w:left="608" w:right="122" w:hanging="485"/>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A0201060901</w:t>
            </w:r>
            <w:r>
              <w:rPr>
                <w:rFonts w:hint="eastAsia" w:ascii="仿宋" w:hAnsi="仿宋" w:eastAsia="仿宋" w:cs="仿宋"/>
                <w:color w:val="auto"/>
                <w:spacing w:val="-32"/>
                <w:sz w:val="18"/>
                <w:szCs w:val="18"/>
                <w:highlight w:val="none"/>
              </w:rPr>
              <w:t xml:space="preserve"> </w:t>
            </w:r>
            <w:r>
              <w:rPr>
                <w:rFonts w:hint="eastAsia" w:ascii="仿宋" w:hAnsi="仿宋" w:eastAsia="仿宋" w:cs="仿宋"/>
                <w:color w:val="auto"/>
                <w:spacing w:val="4"/>
                <w:sz w:val="18"/>
                <w:szCs w:val="18"/>
                <w:highlight w:val="none"/>
              </w:rPr>
              <w:t>扫</w:t>
            </w:r>
            <w:r>
              <w:rPr>
                <w:rFonts w:hint="eastAsia" w:ascii="仿宋" w:hAnsi="仿宋" w:eastAsia="仿宋" w:cs="仿宋"/>
                <w:color w:val="auto"/>
                <w:spacing w:val="2"/>
                <w:sz w:val="18"/>
                <w:szCs w:val="18"/>
                <w:highlight w:val="none"/>
              </w:rPr>
              <w:t>描仪</w:t>
            </w:r>
          </w:p>
        </w:tc>
        <w:tc>
          <w:tcPr>
            <w:tcW w:w="4373" w:type="dxa"/>
            <w:vAlign w:val="center"/>
          </w:tcPr>
          <w:p w14:paraId="1B16E3D7">
            <w:pPr>
              <w:pStyle w:val="118"/>
              <w:spacing w:before="32" w:line="252" w:lineRule="auto"/>
              <w:ind w:left="118" w:right="102"/>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5"/>
                <w:sz w:val="18"/>
                <w:szCs w:val="18"/>
                <w:highlight w:val="none"/>
                <w:lang w:eastAsia="zh-CN"/>
              </w:rPr>
              <w:t>参照《复印机、打印机和传真机能效限定值及能</w:t>
            </w:r>
            <w:r>
              <w:rPr>
                <w:rFonts w:hint="eastAsia" w:ascii="仿宋" w:hAnsi="仿宋" w:eastAsia="仿宋" w:cs="仿宋"/>
                <w:color w:val="auto"/>
                <w:spacing w:val="2"/>
                <w:sz w:val="18"/>
                <w:szCs w:val="18"/>
                <w:highlight w:val="none"/>
                <w:lang w:eastAsia="zh-CN"/>
              </w:rPr>
              <w:t>效等级》（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2"/>
                <w:sz w:val="18"/>
                <w:szCs w:val="18"/>
                <w:highlight w:val="none"/>
                <w:lang w:eastAsia="zh-CN"/>
              </w:rPr>
              <w:t>21521 中打印速度为</w:t>
            </w:r>
            <w:r>
              <w:rPr>
                <w:rFonts w:hint="eastAsia" w:ascii="仿宋" w:hAnsi="仿宋" w:eastAsia="仿宋" w:cs="仿宋"/>
                <w:color w:val="auto"/>
                <w:spacing w:val="-10"/>
                <w:sz w:val="18"/>
                <w:szCs w:val="18"/>
                <w:highlight w:val="none"/>
                <w:lang w:eastAsia="zh-CN"/>
              </w:rPr>
              <w:t xml:space="preserve"> </w:t>
            </w:r>
            <w:r>
              <w:rPr>
                <w:rFonts w:hint="eastAsia" w:ascii="仿宋" w:hAnsi="仿宋" w:eastAsia="仿宋" w:cs="仿宋"/>
                <w:color w:val="auto"/>
                <w:spacing w:val="2"/>
                <w:sz w:val="18"/>
                <w:szCs w:val="18"/>
                <w:highlight w:val="none"/>
                <w:lang w:eastAsia="zh-CN"/>
              </w:rPr>
              <w:t>15</w:t>
            </w:r>
            <w:r>
              <w:rPr>
                <w:rFonts w:hint="eastAsia" w:ascii="仿宋" w:hAnsi="仿宋" w:eastAsia="仿宋" w:cs="仿宋"/>
                <w:color w:val="auto"/>
                <w:spacing w:val="-23"/>
                <w:sz w:val="18"/>
                <w:szCs w:val="18"/>
                <w:highlight w:val="none"/>
                <w:lang w:eastAsia="zh-CN"/>
              </w:rPr>
              <w:t xml:space="preserve"> </w:t>
            </w:r>
            <w:r>
              <w:rPr>
                <w:rFonts w:hint="eastAsia" w:ascii="仿宋" w:hAnsi="仿宋" w:eastAsia="仿宋" w:cs="仿宋"/>
                <w:color w:val="auto"/>
                <w:spacing w:val="2"/>
                <w:sz w:val="18"/>
                <w:szCs w:val="18"/>
                <w:highlight w:val="none"/>
                <w:lang w:eastAsia="zh-CN"/>
              </w:rPr>
              <w:t>页/分的针</w:t>
            </w:r>
            <w:r>
              <w:rPr>
                <w:rFonts w:hint="eastAsia" w:ascii="仿宋" w:hAnsi="仿宋" w:eastAsia="仿宋" w:cs="仿宋"/>
                <w:color w:val="auto"/>
                <w:spacing w:val="6"/>
                <w:sz w:val="18"/>
                <w:szCs w:val="18"/>
                <w:highlight w:val="none"/>
                <w:lang w:eastAsia="zh-CN"/>
              </w:rPr>
              <w:t>式打印机相关要求中打印速度为</w:t>
            </w:r>
            <w:r>
              <w:rPr>
                <w:rFonts w:hint="eastAsia" w:ascii="仿宋" w:hAnsi="仿宋" w:eastAsia="仿宋" w:cs="仿宋"/>
                <w:color w:val="auto"/>
                <w:spacing w:val="-18"/>
                <w:sz w:val="18"/>
                <w:szCs w:val="18"/>
                <w:highlight w:val="none"/>
                <w:lang w:eastAsia="zh-CN"/>
              </w:rPr>
              <w:t xml:space="preserve"> </w:t>
            </w:r>
            <w:r>
              <w:rPr>
                <w:rFonts w:hint="eastAsia" w:ascii="仿宋" w:hAnsi="仿宋" w:eastAsia="仿宋" w:cs="仿宋"/>
                <w:color w:val="auto"/>
                <w:spacing w:val="6"/>
                <w:sz w:val="18"/>
                <w:szCs w:val="18"/>
                <w:highlight w:val="none"/>
                <w:lang w:eastAsia="zh-CN"/>
              </w:rPr>
              <w:t>15</w:t>
            </w:r>
            <w:r>
              <w:rPr>
                <w:rFonts w:hint="eastAsia" w:ascii="仿宋" w:hAnsi="仿宋" w:eastAsia="仿宋" w:cs="仿宋"/>
                <w:color w:val="auto"/>
                <w:spacing w:val="-23"/>
                <w:sz w:val="18"/>
                <w:szCs w:val="18"/>
                <w:highlight w:val="none"/>
                <w:lang w:eastAsia="zh-CN"/>
              </w:rPr>
              <w:t xml:space="preserve"> </w:t>
            </w:r>
            <w:r>
              <w:rPr>
                <w:rFonts w:hint="eastAsia" w:ascii="仿宋" w:hAnsi="仿宋" w:eastAsia="仿宋" w:cs="仿宋"/>
                <w:color w:val="auto"/>
                <w:spacing w:val="6"/>
                <w:sz w:val="18"/>
                <w:szCs w:val="18"/>
                <w:highlight w:val="none"/>
                <w:lang w:eastAsia="zh-CN"/>
              </w:rPr>
              <w:t>页/分的针</w:t>
            </w:r>
            <w:r>
              <w:rPr>
                <w:rFonts w:hint="eastAsia" w:ascii="仿宋" w:hAnsi="仿宋" w:eastAsia="仿宋" w:cs="仿宋"/>
                <w:color w:val="auto"/>
                <w:spacing w:val="7"/>
                <w:sz w:val="18"/>
                <w:szCs w:val="18"/>
                <w:highlight w:val="none"/>
                <w:lang w:eastAsia="zh-CN"/>
              </w:rPr>
              <w:t>式打印机相关要求</w:t>
            </w:r>
          </w:p>
        </w:tc>
      </w:tr>
      <w:tr w14:paraId="3BDD1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2C9B032A">
            <w:pPr>
              <w:pStyle w:val="118"/>
              <w:spacing w:before="162" w:line="257" w:lineRule="exact"/>
              <w:ind w:left="276"/>
              <w:jc w:val="center"/>
              <w:rPr>
                <w:rFonts w:hint="eastAsia" w:ascii="仿宋" w:hAnsi="仿宋" w:eastAsia="仿宋" w:cs="仿宋"/>
                <w:color w:val="auto"/>
                <w:sz w:val="18"/>
                <w:szCs w:val="18"/>
                <w:highlight w:val="none"/>
              </w:rPr>
            </w:pPr>
            <w:r>
              <w:rPr>
                <w:rFonts w:hint="eastAsia" w:ascii="仿宋" w:hAnsi="仿宋" w:eastAsia="仿宋" w:cs="仿宋"/>
                <w:color w:val="auto"/>
                <w:position w:val="1"/>
                <w:sz w:val="18"/>
                <w:szCs w:val="18"/>
                <w:highlight w:val="none"/>
              </w:rPr>
              <w:t>3</w:t>
            </w:r>
          </w:p>
        </w:tc>
        <w:tc>
          <w:tcPr>
            <w:tcW w:w="1275" w:type="dxa"/>
            <w:vAlign w:val="center"/>
          </w:tcPr>
          <w:p w14:paraId="51D533B4">
            <w:pPr>
              <w:pStyle w:val="118"/>
              <w:spacing w:before="33" w:line="233" w:lineRule="auto"/>
              <w:ind w:left="256" w:right="205" w:hanging="62"/>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A020202</w:t>
            </w:r>
            <w:r>
              <w:rPr>
                <w:rFonts w:hint="eastAsia" w:ascii="仿宋" w:hAnsi="仿宋" w:eastAsia="仿宋" w:cs="仿宋"/>
                <w:color w:val="auto"/>
                <w:spacing w:val="5"/>
                <w:sz w:val="18"/>
                <w:szCs w:val="18"/>
                <w:highlight w:val="none"/>
              </w:rPr>
              <w:t>投影仪</w:t>
            </w:r>
          </w:p>
        </w:tc>
        <w:tc>
          <w:tcPr>
            <w:tcW w:w="1725" w:type="dxa"/>
            <w:vAlign w:val="center"/>
          </w:tcPr>
          <w:p w14:paraId="7B2D6B3C">
            <w:pPr>
              <w:jc w:val="center"/>
              <w:rPr>
                <w:rFonts w:hint="eastAsia" w:ascii="仿宋" w:hAnsi="仿宋" w:eastAsia="仿宋" w:cs="仿宋"/>
                <w:color w:val="auto"/>
                <w:sz w:val="18"/>
                <w:szCs w:val="18"/>
                <w:highlight w:val="none"/>
              </w:rPr>
            </w:pPr>
          </w:p>
        </w:tc>
        <w:tc>
          <w:tcPr>
            <w:tcW w:w="1912" w:type="dxa"/>
            <w:vAlign w:val="center"/>
          </w:tcPr>
          <w:p w14:paraId="1877DDC0">
            <w:pPr>
              <w:jc w:val="center"/>
              <w:rPr>
                <w:rFonts w:hint="eastAsia" w:ascii="仿宋" w:hAnsi="仿宋" w:eastAsia="仿宋" w:cs="仿宋"/>
                <w:color w:val="auto"/>
                <w:sz w:val="18"/>
                <w:szCs w:val="18"/>
                <w:highlight w:val="none"/>
              </w:rPr>
            </w:pPr>
          </w:p>
        </w:tc>
        <w:tc>
          <w:tcPr>
            <w:tcW w:w="4373" w:type="dxa"/>
            <w:vAlign w:val="center"/>
          </w:tcPr>
          <w:p w14:paraId="4982D974">
            <w:pPr>
              <w:pStyle w:val="118"/>
              <w:spacing w:before="161" w:line="231" w:lineRule="auto"/>
              <w:ind w:left="115"/>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《投影机能效限定值及能效等级》（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8"/>
                <w:sz w:val="18"/>
                <w:szCs w:val="18"/>
                <w:highlight w:val="none"/>
                <w:lang w:eastAsia="zh-CN"/>
              </w:rPr>
              <w:t>32028）</w:t>
            </w:r>
          </w:p>
        </w:tc>
      </w:tr>
      <w:tr w14:paraId="1071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2B6E1885">
            <w:pPr>
              <w:pStyle w:val="118"/>
              <w:spacing w:before="293" w:line="259" w:lineRule="exact"/>
              <w:ind w:left="271"/>
              <w:jc w:val="center"/>
              <w:rPr>
                <w:rFonts w:hint="eastAsia" w:ascii="仿宋" w:hAnsi="仿宋" w:eastAsia="仿宋" w:cs="仿宋"/>
                <w:color w:val="auto"/>
                <w:sz w:val="18"/>
                <w:szCs w:val="18"/>
                <w:highlight w:val="none"/>
              </w:rPr>
            </w:pPr>
            <w:r>
              <w:rPr>
                <w:rFonts w:hint="eastAsia" w:ascii="仿宋" w:hAnsi="仿宋" w:eastAsia="仿宋" w:cs="仿宋"/>
                <w:color w:val="auto"/>
                <w:position w:val="1"/>
                <w:sz w:val="18"/>
                <w:szCs w:val="18"/>
                <w:highlight w:val="none"/>
              </w:rPr>
              <w:t>4</w:t>
            </w:r>
          </w:p>
        </w:tc>
        <w:tc>
          <w:tcPr>
            <w:tcW w:w="1275" w:type="dxa"/>
            <w:vAlign w:val="center"/>
          </w:tcPr>
          <w:p w14:paraId="39AF7597">
            <w:pPr>
              <w:pStyle w:val="118"/>
              <w:spacing w:before="34" w:line="257" w:lineRule="exact"/>
              <w:ind w:left="194"/>
              <w:jc w:val="center"/>
              <w:rPr>
                <w:rFonts w:hint="eastAsia" w:ascii="仿宋" w:hAnsi="仿宋" w:eastAsia="仿宋" w:cs="仿宋"/>
                <w:color w:val="auto"/>
                <w:sz w:val="18"/>
                <w:szCs w:val="18"/>
                <w:highlight w:val="none"/>
              </w:rPr>
            </w:pPr>
            <w:r>
              <w:rPr>
                <w:rFonts w:hint="eastAsia" w:ascii="仿宋" w:hAnsi="仿宋" w:eastAsia="仿宋" w:cs="仿宋"/>
                <w:color w:val="auto"/>
                <w:spacing w:val="4"/>
                <w:position w:val="1"/>
                <w:sz w:val="18"/>
                <w:szCs w:val="18"/>
                <w:highlight w:val="none"/>
              </w:rPr>
              <w:t>A020204</w:t>
            </w:r>
          </w:p>
          <w:p w14:paraId="1B3F0271">
            <w:pPr>
              <w:pStyle w:val="118"/>
              <w:spacing w:before="1" w:line="231" w:lineRule="auto"/>
              <w:ind w:left="168"/>
              <w:jc w:val="center"/>
              <w:rPr>
                <w:rFonts w:hint="eastAsia" w:ascii="仿宋" w:hAnsi="仿宋" w:eastAsia="仿宋" w:cs="仿宋"/>
                <w:color w:val="auto"/>
                <w:sz w:val="18"/>
                <w:szCs w:val="18"/>
                <w:highlight w:val="none"/>
              </w:rPr>
            </w:pPr>
            <w:r>
              <w:rPr>
                <w:rFonts w:hint="eastAsia" w:ascii="仿宋" w:hAnsi="仿宋" w:eastAsia="仿宋" w:cs="仿宋"/>
                <w:color w:val="auto"/>
                <w:spacing w:val="5"/>
                <w:sz w:val="18"/>
                <w:szCs w:val="18"/>
                <w:highlight w:val="none"/>
              </w:rPr>
              <w:t>多功能一</w:t>
            </w:r>
          </w:p>
          <w:p w14:paraId="5B4D61B2">
            <w:pPr>
              <w:pStyle w:val="118"/>
              <w:spacing w:before="21" w:line="213" w:lineRule="auto"/>
              <w:ind w:left="356"/>
              <w:jc w:val="center"/>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体机</w:t>
            </w:r>
          </w:p>
        </w:tc>
        <w:tc>
          <w:tcPr>
            <w:tcW w:w="1725" w:type="dxa"/>
            <w:vAlign w:val="center"/>
          </w:tcPr>
          <w:p w14:paraId="42A9CFCB">
            <w:pPr>
              <w:jc w:val="center"/>
              <w:rPr>
                <w:rFonts w:hint="eastAsia" w:ascii="仿宋" w:hAnsi="仿宋" w:eastAsia="仿宋" w:cs="仿宋"/>
                <w:color w:val="auto"/>
                <w:sz w:val="18"/>
                <w:szCs w:val="18"/>
                <w:highlight w:val="none"/>
              </w:rPr>
            </w:pPr>
          </w:p>
        </w:tc>
        <w:tc>
          <w:tcPr>
            <w:tcW w:w="1912" w:type="dxa"/>
            <w:vAlign w:val="center"/>
          </w:tcPr>
          <w:p w14:paraId="07956854">
            <w:pPr>
              <w:jc w:val="center"/>
              <w:rPr>
                <w:rFonts w:hint="eastAsia" w:ascii="仿宋" w:hAnsi="仿宋" w:eastAsia="仿宋" w:cs="仿宋"/>
                <w:color w:val="auto"/>
                <w:sz w:val="18"/>
                <w:szCs w:val="18"/>
                <w:highlight w:val="none"/>
              </w:rPr>
            </w:pPr>
          </w:p>
        </w:tc>
        <w:tc>
          <w:tcPr>
            <w:tcW w:w="4373" w:type="dxa"/>
            <w:vAlign w:val="center"/>
          </w:tcPr>
          <w:p w14:paraId="09D0203B">
            <w:pPr>
              <w:pStyle w:val="118"/>
              <w:spacing w:before="165" w:line="250" w:lineRule="auto"/>
              <w:ind w:left="117" w:right="102" w:hanging="2"/>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5"/>
                <w:sz w:val="18"/>
                <w:szCs w:val="18"/>
                <w:highlight w:val="none"/>
                <w:lang w:eastAsia="zh-CN"/>
              </w:rPr>
              <w:t>《复印机、打印机和传真机能效限定值及能效等级》（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5"/>
                <w:sz w:val="18"/>
                <w:szCs w:val="18"/>
                <w:highlight w:val="none"/>
                <w:lang w:eastAsia="zh-CN"/>
              </w:rPr>
              <w:t>21521）</w:t>
            </w:r>
          </w:p>
        </w:tc>
      </w:tr>
      <w:tr w14:paraId="4031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623FCA87">
            <w:pPr>
              <w:pStyle w:val="118"/>
              <w:spacing w:before="163" w:line="258" w:lineRule="exact"/>
              <w:ind w:left="276"/>
              <w:jc w:val="center"/>
              <w:rPr>
                <w:rFonts w:hint="eastAsia" w:ascii="仿宋" w:hAnsi="仿宋" w:eastAsia="仿宋" w:cs="仿宋"/>
                <w:color w:val="auto"/>
                <w:sz w:val="18"/>
                <w:szCs w:val="18"/>
                <w:highlight w:val="none"/>
              </w:rPr>
            </w:pPr>
            <w:r>
              <w:rPr>
                <w:rFonts w:hint="eastAsia" w:ascii="仿宋" w:hAnsi="仿宋" w:eastAsia="仿宋" w:cs="仿宋"/>
                <w:color w:val="auto"/>
                <w:position w:val="1"/>
                <w:sz w:val="18"/>
                <w:szCs w:val="18"/>
                <w:highlight w:val="none"/>
              </w:rPr>
              <w:t>5</w:t>
            </w:r>
          </w:p>
        </w:tc>
        <w:tc>
          <w:tcPr>
            <w:tcW w:w="1275" w:type="dxa"/>
            <w:vAlign w:val="center"/>
          </w:tcPr>
          <w:p w14:paraId="44498C16">
            <w:pPr>
              <w:pStyle w:val="118"/>
              <w:spacing w:before="33" w:line="233" w:lineRule="auto"/>
              <w:ind w:left="457" w:right="205" w:hanging="263"/>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A020519</w:t>
            </w:r>
            <w:r>
              <w:rPr>
                <w:rFonts w:hint="eastAsia" w:ascii="仿宋" w:hAnsi="仿宋" w:eastAsia="仿宋" w:cs="仿宋"/>
                <w:color w:val="auto"/>
                <w:sz w:val="18"/>
                <w:szCs w:val="18"/>
                <w:highlight w:val="none"/>
              </w:rPr>
              <w:t>泵</w:t>
            </w:r>
          </w:p>
        </w:tc>
        <w:tc>
          <w:tcPr>
            <w:tcW w:w="1725" w:type="dxa"/>
            <w:vAlign w:val="center"/>
          </w:tcPr>
          <w:p w14:paraId="5490092C">
            <w:pPr>
              <w:pStyle w:val="118"/>
              <w:spacing w:before="33" w:line="233" w:lineRule="auto"/>
              <w:ind w:left="562" w:right="179" w:hanging="390"/>
              <w:jc w:val="center"/>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A02051901</w:t>
            </w:r>
            <w:r>
              <w:rPr>
                <w:rFonts w:hint="eastAsia" w:ascii="仿宋" w:hAnsi="仿宋" w:eastAsia="仿宋" w:cs="仿宋"/>
                <w:color w:val="auto"/>
                <w:spacing w:val="-25"/>
                <w:sz w:val="18"/>
                <w:szCs w:val="18"/>
                <w:highlight w:val="none"/>
              </w:rPr>
              <w:t xml:space="preserve"> </w:t>
            </w:r>
            <w:r>
              <w:rPr>
                <w:rFonts w:hint="eastAsia" w:ascii="仿宋" w:hAnsi="仿宋" w:eastAsia="仿宋" w:cs="仿宋"/>
                <w:color w:val="auto"/>
                <w:spacing w:val="3"/>
                <w:sz w:val="18"/>
                <w:szCs w:val="18"/>
                <w:highlight w:val="none"/>
              </w:rPr>
              <w:t>离</w:t>
            </w:r>
            <w:r>
              <w:rPr>
                <w:rFonts w:hint="eastAsia" w:ascii="仿宋" w:hAnsi="仿宋" w:eastAsia="仿宋" w:cs="仿宋"/>
                <w:color w:val="auto"/>
                <w:sz w:val="18"/>
                <w:szCs w:val="18"/>
                <w:highlight w:val="none"/>
              </w:rPr>
              <w:t>心泵</w:t>
            </w:r>
          </w:p>
        </w:tc>
        <w:tc>
          <w:tcPr>
            <w:tcW w:w="1912" w:type="dxa"/>
            <w:vAlign w:val="center"/>
          </w:tcPr>
          <w:p w14:paraId="34BCCD61">
            <w:pPr>
              <w:jc w:val="center"/>
              <w:rPr>
                <w:rFonts w:hint="eastAsia" w:ascii="仿宋" w:hAnsi="仿宋" w:eastAsia="仿宋" w:cs="仿宋"/>
                <w:color w:val="auto"/>
                <w:sz w:val="18"/>
                <w:szCs w:val="18"/>
                <w:highlight w:val="none"/>
              </w:rPr>
            </w:pPr>
          </w:p>
        </w:tc>
        <w:tc>
          <w:tcPr>
            <w:tcW w:w="4373" w:type="dxa"/>
            <w:vAlign w:val="center"/>
          </w:tcPr>
          <w:p w14:paraId="4A1FC766">
            <w:pPr>
              <w:pStyle w:val="118"/>
              <w:spacing w:before="33" w:line="233" w:lineRule="auto"/>
              <w:ind w:left="119" w:right="633" w:hanging="4"/>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《清水离心泵能效限定值及节能评价值》</w:t>
            </w:r>
            <w:r>
              <w:rPr>
                <w:rFonts w:hint="eastAsia" w:ascii="仿宋" w:hAnsi="仿宋" w:eastAsia="仿宋" w:cs="仿宋"/>
                <w:color w:val="auto"/>
                <w:spacing w:val="9"/>
                <w:sz w:val="18"/>
                <w:szCs w:val="18"/>
                <w:highlight w:val="none"/>
                <w:lang w:eastAsia="zh-CN"/>
              </w:rPr>
              <w:t xml:space="preserve"> </w:t>
            </w:r>
            <w:r>
              <w:rPr>
                <w:rFonts w:hint="eastAsia" w:ascii="仿宋" w:hAnsi="仿宋" w:eastAsia="仿宋" w:cs="仿宋"/>
                <w:color w:val="auto"/>
                <w:spacing w:val="3"/>
                <w:sz w:val="18"/>
                <w:szCs w:val="18"/>
                <w:highlight w:val="none"/>
                <w:lang w:eastAsia="zh-CN"/>
              </w:rPr>
              <w:t>（</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3"/>
                <w:sz w:val="18"/>
                <w:szCs w:val="18"/>
                <w:highlight w:val="none"/>
                <w:lang w:eastAsia="zh-CN"/>
              </w:rPr>
              <w:t>19762）</w:t>
            </w:r>
          </w:p>
        </w:tc>
      </w:tr>
      <w:tr w14:paraId="7C69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restart"/>
            <w:vAlign w:val="center"/>
          </w:tcPr>
          <w:p w14:paraId="4154F2C1">
            <w:pPr>
              <w:pStyle w:val="118"/>
              <w:spacing w:before="62" w:line="257" w:lineRule="exact"/>
              <w:jc w:val="center"/>
              <w:rPr>
                <w:rFonts w:hint="eastAsia" w:ascii="仿宋" w:hAnsi="仿宋" w:eastAsia="仿宋" w:cs="仿宋"/>
                <w:color w:val="auto"/>
                <w:sz w:val="18"/>
                <w:szCs w:val="18"/>
                <w:highlight w:val="none"/>
              </w:rPr>
            </w:pPr>
            <w:r>
              <w:rPr>
                <w:rFonts w:hint="eastAsia" w:ascii="仿宋" w:hAnsi="仿宋" w:eastAsia="仿宋" w:cs="仿宋"/>
                <w:color w:val="auto"/>
                <w:position w:val="1"/>
                <w:sz w:val="18"/>
                <w:szCs w:val="18"/>
                <w:highlight w:val="none"/>
              </w:rPr>
              <w:t>6</w:t>
            </w:r>
          </w:p>
        </w:tc>
        <w:tc>
          <w:tcPr>
            <w:tcW w:w="1275" w:type="dxa"/>
            <w:vMerge w:val="restart"/>
            <w:vAlign w:val="center"/>
          </w:tcPr>
          <w:p w14:paraId="72F1B006">
            <w:pPr>
              <w:pStyle w:val="118"/>
              <w:spacing w:before="61" w:line="258" w:lineRule="exact"/>
              <w:jc w:val="center"/>
              <w:rPr>
                <w:rFonts w:hint="eastAsia" w:ascii="仿宋" w:hAnsi="仿宋" w:eastAsia="仿宋" w:cs="仿宋"/>
                <w:color w:val="auto"/>
                <w:sz w:val="18"/>
                <w:szCs w:val="18"/>
                <w:highlight w:val="none"/>
              </w:rPr>
            </w:pPr>
            <w:r>
              <w:rPr>
                <w:rFonts w:hint="eastAsia" w:ascii="仿宋" w:hAnsi="仿宋" w:eastAsia="仿宋" w:cs="仿宋"/>
                <w:color w:val="auto"/>
                <w:spacing w:val="4"/>
                <w:position w:val="1"/>
                <w:sz w:val="18"/>
                <w:szCs w:val="18"/>
                <w:highlight w:val="none"/>
              </w:rPr>
              <w:t>A020523</w:t>
            </w:r>
          </w:p>
          <w:p w14:paraId="3CFAD52F">
            <w:pPr>
              <w:pStyle w:val="118"/>
              <w:spacing w:before="1" w:line="231" w:lineRule="auto"/>
              <w:ind w:left="157"/>
              <w:jc w:val="center"/>
              <w:rPr>
                <w:rFonts w:hint="eastAsia" w:ascii="仿宋" w:hAnsi="仿宋" w:eastAsia="仿宋" w:cs="仿宋"/>
                <w:color w:val="auto"/>
                <w:sz w:val="18"/>
                <w:szCs w:val="18"/>
                <w:highlight w:val="none"/>
              </w:rPr>
            </w:pPr>
            <w:r>
              <w:rPr>
                <w:rFonts w:hint="eastAsia" w:ascii="仿宋" w:hAnsi="仿宋" w:eastAsia="仿宋" w:cs="仿宋"/>
                <w:color w:val="auto"/>
                <w:spacing w:val="6"/>
                <w:sz w:val="18"/>
                <w:szCs w:val="18"/>
                <w:highlight w:val="none"/>
              </w:rPr>
              <w:t>制冷空调</w:t>
            </w:r>
          </w:p>
          <w:p w14:paraId="7DD1416A">
            <w:pPr>
              <w:pStyle w:val="118"/>
              <w:spacing w:before="21" w:line="233" w:lineRule="auto"/>
              <w:ind w:left="354"/>
              <w:jc w:val="center"/>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设备</w:t>
            </w:r>
          </w:p>
        </w:tc>
        <w:tc>
          <w:tcPr>
            <w:tcW w:w="1725" w:type="dxa"/>
            <w:vMerge w:val="restart"/>
            <w:vAlign w:val="center"/>
          </w:tcPr>
          <w:p w14:paraId="5FC77B70">
            <w:pPr>
              <w:pStyle w:val="118"/>
              <w:spacing w:before="62" w:line="252" w:lineRule="auto"/>
              <w:ind w:right="202"/>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★A02052301</w:t>
            </w:r>
            <w:r>
              <w:rPr>
                <w:rFonts w:hint="eastAsia" w:ascii="仿宋" w:hAnsi="仿宋" w:eastAsia="仿宋" w:cs="仿宋"/>
                <w:color w:val="auto"/>
                <w:spacing w:val="6"/>
                <w:sz w:val="18"/>
                <w:szCs w:val="18"/>
                <w:highlight w:val="none"/>
              </w:rPr>
              <w:t>制冷压缩机</w:t>
            </w:r>
          </w:p>
        </w:tc>
        <w:tc>
          <w:tcPr>
            <w:tcW w:w="1912" w:type="dxa"/>
            <w:vAlign w:val="center"/>
          </w:tcPr>
          <w:p w14:paraId="02D76251">
            <w:pPr>
              <w:pStyle w:val="118"/>
              <w:spacing w:before="295" w:line="231" w:lineRule="auto"/>
              <w:ind w:left="411"/>
              <w:jc w:val="center"/>
              <w:rPr>
                <w:rFonts w:hint="eastAsia" w:ascii="仿宋" w:hAnsi="仿宋" w:eastAsia="仿宋" w:cs="仿宋"/>
                <w:color w:val="auto"/>
                <w:sz w:val="18"/>
                <w:szCs w:val="18"/>
                <w:highlight w:val="none"/>
              </w:rPr>
            </w:pPr>
            <w:r>
              <w:rPr>
                <w:rFonts w:hint="eastAsia" w:ascii="仿宋" w:hAnsi="仿宋" w:eastAsia="仿宋" w:cs="仿宋"/>
                <w:color w:val="auto"/>
                <w:spacing w:val="5"/>
                <w:sz w:val="18"/>
                <w:szCs w:val="18"/>
                <w:highlight w:val="none"/>
              </w:rPr>
              <w:t>冷水机组</w:t>
            </w:r>
          </w:p>
        </w:tc>
        <w:tc>
          <w:tcPr>
            <w:tcW w:w="4373" w:type="dxa"/>
            <w:vAlign w:val="center"/>
          </w:tcPr>
          <w:p w14:paraId="1BE35CC0">
            <w:pPr>
              <w:pStyle w:val="118"/>
              <w:spacing w:before="35" w:line="239" w:lineRule="auto"/>
              <w:ind w:left="114" w:right="49"/>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lang w:eastAsia="zh-CN"/>
              </w:rPr>
              <w:t>《冷水机组能效限定值及能效等级》（GB19577</w:t>
            </w:r>
            <w:r>
              <w:rPr>
                <w:rFonts w:hint="eastAsia" w:ascii="仿宋" w:hAnsi="仿宋" w:eastAsia="仿宋" w:cs="仿宋"/>
                <w:color w:val="auto"/>
                <w:spacing w:val="-50"/>
                <w:w w:val="95"/>
                <w:sz w:val="18"/>
                <w:szCs w:val="18"/>
                <w:highlight w:val="none"/>
                <w:lang w:eastAsia="zh-CN"/>
              </w:rPr>
              <w:t>），</w:t>
            </w:r>
            <w:r>
              <w:rPr>
                <w:rFonts w:hint="eastAsia" w:ascii="仿宋" w:hAnsi="仿宋" w:eastAsia="仿宋" w:cs="仿宋"/>
                <w:color w:val="auto"/>
                <w:sz w:val="18"/>
                <w:szCs w:val="18"/>
                <w:highlight w:val="none"/>
                <w:lang w:eastAsia="zh-CN"/>
              </w:rPr>
              <w:t xml:space="preserve"> </w:t>
            </w:r>
            <w:r>
              <w:rPr>
                <w:rFonts w:hint="eastAsia" w:ascii="仿宋" w:hAnsi="仿宋" w:eastAsia="仿宋" w:cs="仿宋"/>
                <w:color w:val="auto"/>
                <w:spacing w:val="5"/>
                <w:sz w:val="18"/>
                <w:szCs w:val="18"/>
                <w:highlight w:val="none"/>
                <w:lang w:eastAsia="zh-CN"/>
              </w:rPr>
              <w:t>《低环境温度空气源热泵（冷水）机组能效限定</w:t>
            </w:r>
            <w:r>
              <w:rPr>
                <w:rFonts w:hint="eastAsia" w:ascii="仿宋" w:hAnsi="仿宋" w:eastAsia="仿宋" w:cs="仿宋"/>
                <w:color w:val="auto"/>
                <w:spacing w:val="7"/>
                <w:sz w:val="18"/>
                <w:szCs w:val="18"/>
                <w:highlight w:val="none"/>
                <w:lang w:eastAsia="zh-CN"/>
              </w:rPr>
              <w:t>值及能效等级》（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7"/>
                <w:sz w:val="18"/>
                <w:szCs w:val="18"/>
                <w:highlight w:val="none"/>
                <w:lang w:eastAsia="zh-CN"/>
              </w:rPr>
              <w:t>37480）</w:t>
            </w:r>
          </w:p>
        </w:tc>
      </w:tr>
      <w:tr w14:paraId="4171E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051E8FAA">
            <w:pPr>
              <w:jc w:val="center"/>
              <w:rPr>
                <w:rFonts w:hint="eastAsia" w:ascii="仿宋" w:hAnsi="仿宋" w:eastAsia="仿宋" w:cs="仿宋"/>
                <w:color w:val="auto"/>
                <w:sz w:val="18"/>
                <w:szCs w:val="18"/>
                <w:highlight w:val="none"/>
              </w:rPr>
            </w:pPr>
          </w:p>
        </w:tc>
        <w:tc>
          <w:tcPr>
            <w:tcW w:w="1275" w:type="dxa"/>
            <w:vMerge w:val="continue"/>
            <w:vAlign w:val="center"/>
          </w:tcPr>
          <w:p w14:paraId="007A19F2">
            <w:pPr>
              <w:jc w:val="center"/>
              <w:rPr>
                <w:rFonts w:hint="eastAsia" w:ascii="仿宋" w:hAnsi="仿宋" w:eastAsia="仿宋" w:cs="仿宋"/>
                <w:color w:val="auto"/>
                <w:sz w:val="18"/>
                <w:szCs w:val="18"/>
                <w:highlight w:val="none"/>
              </w:rPr>
            </w:pPr>
          </w:p>
        </w:tc>
        <w:tc>
          <w:tcPr>
            <w:tcW w:w="1725" w:type="dxa"/>
            <w:vMerge w:val="continue"/>
            <w:vAlign w:val="center"/>
          </w:tcPr>
          <w:p w14:paraId="6741FA54">
            <w:pPr>
              <w:jc w:val="center"/>
              <w:rPr>
                <w:rFonts w:hint="eastAsia" w:ascii="仿宋" w:hAnsi="仿宋" w:eastAsia="仿宋" w:cs="仿宋"/>
                <w:color w:val="auto"/>
                <w:sz w:val="18"/>
                <w:szCs w:val="18"/>
                <w:highlight w:val="none"/>
              </w:rPr>
            </w:pPr>
          </w:p>
        </w:tc>
        <w:tc>
          <w:tcPr>
            <w:tcW w:w="1912" w:type="dxa"/>
            <w:vAlign w:val="center"/>
          </w:tcPr>
          <w:p w14:paraId="692D692B">
            <w:pPr>
              <w:pStyle w:val="118"/>
              <w:spacing w:before="164" w:line="231" w:lineRule="auto"/>
              <w:ind w:left="209"/>
              <w:jc w:val="center"/>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水源热泵机组</w:t>
            </w:r>
          </w:p>
        </w:tc>
        <w:tc>
          <w:tcPr>
            <w:tcW w:w="4373" w:type="dxa"/>
            <w:vAlign w:val="center"/>
          </w:tcPr>
          <w:p w14:paraId="0E287735">
            <w:pPr>
              <w:pStyle w:val="118"/>
              <w:spacing w:before="35" w:line="232" w:lineRule="auto"/>
              <w:ind w:left="119" w:right="35" w:hanging="4"/>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《水（地）源热泵机组能效限定值及能效等级》</w:t>
            </w:r>
            <w:r>
              <w:rPr>
                <w:rFonts w:hint="eastAsia" w:ascii="仿宋" w:hAnsi="仿宋" w:eastAsia="仿宋" w:cs="仿宋"/>
                <w:color w:val="auto"/>
                <w:spacing w:val="13"/>
                <w:sz w:val="18"/>
                <w:szCs w:val="18"/>
                <w:highlight w:val="none"/>
                <w:lang w:eastAsia="zh-CN"/>
              </w:rPr>
              <w:t xml:space="preserve"> </w:t>
            </w:r>
            <w:r>
              <w:rPr>
                <w:rFonts w:hint="eastAsia" w:ascii="仿宋" w:hAnsi="仿宋" w:eastAsia="仿宋" w:cs="仿宋"/>
                <w:color w:val="auto"/>
                <w:spacing w:val="3"/>
                <w:sz w:val="18"/>
                <w:szCs w:val="18"/>
                <w:highlight w:val="none"/>
                <w:lang w:eastAsia="zh-CN"/>
              </w:rPr>
              <w:t>（</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3"/>
                <w:sz w:val="18"/>
                <w:szCs w:val="18"/>
                <w:highlight w:val="none"/>
                <w:lang w:eastAsia="zh-CN"/>
              </w:rPr>
              <w:t>30721）</w:t>
            </w:r>
          </w:p>
        </w:tc>
      </w:tr>
      <w:tr w14:paraId="02789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496731AF">
            <w:pPr>
              <w:jc w:val="center"/>
              <w:rPr>
                <w:rFonts w:hint="eastAsia" w:ascii="仿宋" w:hAnsi="仿宋" w:eastAsia="仿宋" w:cs="仿宋"/>
                <w:color w:val="auto"/>
                <w:sz w:val="18"/>
                <w:szCs w:val="18"/>
                <w:highlight w:val="none"/>
              </w:rPr>
            </w:pPr>
          </w:p>
        </w:tc>
        <w:tc>
          <w:tcPr>
            <w:tcW w:w="1275" w:type="dxa"/>
            <w:vMerge w:val="continue"/>
            <w:vAlign w:val="center"/>
          </w:tcPr>
          <w:p w14:paraId="16E9D028">
            <w:pPr>
              <w:jc w:val="center"/>
              <w:rPr>
                <w:rFonts w:hint="eastAsia" w:ascii="仿宋" w:hAnsi="仿宋" w:eastAsia="仿宋" w:cs="仿宋"/>
                <w:color w:val="auto"/>
                <w:sz w:val="18"/>
                <w:szCs w:val="18"/>
                <w:highlight w:val="none"/>
              </w:rPr>
            </w:pPr>
          </w:p>
        </w:tc>
        <w:tc>
          <w:tcPr>
            <w:tcW w:w="1725" w:type="dxa"/>
            <w:vMerge w:val="continue"/>
            <w:vAlign w:val="center"/>
          </w:tcPr>
          <w:p w14:paraId="22E3503F">
            <w:pPr>
              <w:jc w:val="center"/>
              <w:rPr>
                <w:rFonts w:hint="eastAsia" w:ascii="仿宋" w:hAnsi="仿宋" w:eastAsia="仿宋" w:cs="仿宋"/>
                <w:color w:val="auto"/>
                <w:sz w:val="18"/>
                <w:szCs w:val="18"/>
                <w:highlight w:val="none"/>
              </w:rPr>
            </w:pPr>
          </w:p>
        </w:tc>
        <w:tc>
          <w:tcPr>
            <w:tcW w:w="1912" w:type="dxa"/>
            <w:vAlign w:val="center"/>
          </w:tcPr>
          <w:p w14:paraId="058A3FD5">
            <w:pPr>
              <w:pStyle w:val="118"/>
              <w:spacing w:before="37" w:line="231" w:lineRule="auto"/>
              <w:ind w:left="411" w:right="197" w:hanging="201"/>
              <w:jc w:val="center"/>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7"/>
                <w:sz w:val="18"/>
                <w:szCs w:val="18"/>
                <w:highlight w:val="none"/>
                <w:lang w:eastAsia="zh-CN"/>
              </w:rPr>
              <w:t>溴化锂吸收式</w:t>
            </w:r>
            <w:r>
              <w:rPr>
                <w:rFonts w:hint="eastAsia" w:ascii="仿宋" w:hAnsi="仿宋" w:eastAsia="仿宋" w:cs="仿宋"/>
                <w:color w:val="auto"/>
                <w:spacing w:val="5"/>
                <w:sz w:val="18"/>
                <w:szCs w:val="18"/>
                <w:highlight w:val="none"/>
                <w:lang w:eastAsia="zh-CN"/>
              </w:rPr>
              <w:t>冷水机组</w:t>
            </w:r>
          </w:p>
        </w:tc>
        <w:tc>
          <w:tcPr>
            <w:tcW w:w="4373" w:type="dxa"/>
            <w:vAlign w:val="center"/>
          </w:tcPr>
          <w:p w14:paraId="23BF71AC">
            <w:pPr>
              <w:pStyle w:val="118"/>
              <w:spacing w:before="37" w:line="231" w:lineRule="auto"/>
              <w:ind w:left="117" w:right="222" w:hanging="2"/>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9"/>
                <w:sz w:val="18"/>
                <w:szCs w:val="18"/>
                <w:highlight w:val="none"/>
                <w:lang w:eastAsia="zh-CN"/>
              </w:rPr>
              <w:t>《溴化锂吸收式冷水机组能效限定值及能效等</w:t>
            </w:r>
            <w:r>
              <w:rPr>
                <w:rFonts w:hint="eastAsia" w:ascii="仿宋" w:hAnsi="仿宋" w:eastAsia="仿宋" w:cs="仿宋"/>
                <w:color w:val="auto"/>
                <w:spacing w:val="5"/>
                <w:sz w:val="18"/>
                <w:szCs w:val="18"/>
                <w:highlight w:val="none"/>
                <w:lang w:eastAsia="zh-CN"/>
              </w:rPr>
              <w:t>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5"/>
                <w:sz w:val="18"/>
                <w:szCs w:val="18"/>
                <w:highlight w:val="none"/>
                <w:lang w:eastAsia="zh-CN"/>
              </w:rPr>
              <w:t>29540）</w:t>
            </w:r>
          </w:p>
        </w:tc>
      </w:tr>
      <w:tr w14:paraId="27DDC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680BD870">
            <w:pPr>
              <w:jc w:val="center"/>
              <w:rPr>
                <w:rFonts w:hint="eastAsia" w:ascii="仿宋" w:hAnsi="仿宋" w:eastAsia="仿宋" w:cs="仿宋"/>
                <w:color w:val="auto"/>
                <w:sz w:val="18"/>
                <w:szCs w:val="18"/>
                <w:highlight w:val="none"/>
              </w:rPr>
            </w:pPr>
          </w:p>
        </w:tc>
        <w:tc>
          <w:tcPr>
            <w:tcW w:w="1275" w:type="dxa"/>
            <w:vMerge w:val="continue"/>
            <w:vAlign w:val="center"/>
          </w:tcPr>
          <w:p w14:paraId="297B3115">
            <w:pPr>
              <w:jc w:val="center"/>
              <w:rPr>
                <w:rFonts w:hint="eastAsia" w:ascii="仿宋" w:hAnsi="仿宋" w:eastAsia="仿宋" w:cs="仿宋"/>
                <w:color w:val="auto"/>
                <w:sz w:val="18"/>
                <w:szCs w:val="18"/>
                <w:highlight w:val="none"/>
              </w:rPr>
            </w:pPr>
          </w:p>
        </w:tc>
        <w:tc>
          <w:tcPr>
            <w:tcW w:w="1725" w:type="dxa"/>
            <w:vMerge w:val="restart"/>
            <w:vAlign w:val="center"/>
          </w:tcPr>
          <w:p w14:paraId="7616CECA">
            <w:pPr>
              <w:pStyle w:val="118"/>
              <w:spacing w:before="62" w:line="250" w:lineRule="auto"/>
              <w:ind w:right="202"/>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★A02052305</w:t>
            </w:r>
            <w:r>
              <w:rPr>
                <w:rFonts w:hint="eastAsia" w:ascii="仿宋" w:hAnsi="仿宋" w:eastAsia="仿宋" w:cs="仿宋"/>
                <w:color w:val="auto"/>
                <w:spacing w:val="3"/>
                <w:sz w:val="18"/>
                <w:szCs w:val="18"/>
                <w:highlight w:val="none"/>
              </w:rPr>
              <w:t>空调机组</w:t>
            </w:r>
          </w:p>
        </w:tc>
        <w:tc>
          <w:tcPr>
            <w:tcW w:w="1912" w:type="dxa"/>
            <w:vAlign w:val="center"/>
          </w:tcPr>
          <w:p w14:paraId="64080541">
            <w:pPr>
              <w:pStyle w:val="118"/>
              <w:spacing w:before="39" w:line="232" w:lineRule="auto"/>
              <w:ind w:left="123"/>
              <w:jc w:val="center"/>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5"/>
                <w:sz w:val="18"/>
                <w:szCs w:val="18"/>
                <w:highlight w:val="none"/>
                <w:lang w:eastAsia="zh-CN"/>
              </w:rPr>
              <w:t>多联式空调（热</w:t>
            </w:r>
          </w:p>
          <w:p w14:paraId="22BE81C8">
            <w:pPr>
              <w:pStyle w:val="118"/>
              <w:spacing w:before="17" w:line="231" w:lineRule="auto"/>
              <w:ind w:left="161"/>
              <w:jc w:val="center"/>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6"/>
                <w:sz w:val="18"/>
                <w:szCs w:val="18"/>
                <w:highlight w:val="none"/>
                <w:lang w:eastAsia="zh-CN"/>
              </w:rPr>
              <w:t>泵）机组(制冷</w:t>
            </w:r>
          </w:p>
          <w:p w14:paraId="0185901B">
            <w:pPr>
              <w:pStyle w:val="118"/>
              <w:spacing w:before="21" w:line="211" w:lineRule="auto"/>
              <w:ind w:left="311"/>
              <w:jc w:val="center"/>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量&gt;14000W)</w:t>
            </w:r>
          </w:p>
        </w:tc>
        <w:tc>
          <w:tcPr>
            <w:tcW w:w="4373" w:type="dxa"/>
            <w:vAlign w:val="center"/>
          </w:tcPr>
          <w:p w14:paraId="7BF602FE">
            <w:pPr>
              <w:pStyle w:val="118"/>
              <w:spacing w:before="167" w:line="252" w:lineRule="auto"/>
              <w:ind w:left="121" w:right="104" w:hanging="6"/>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5"/>
                <w:sz w:val="18"/>
                <w:szCs w:val="18"/>
                <w:highlight w:val="none"/>
                <w:lang w:eastAsia="zh-CN"/>
              </w:rPr>
              <w:t>《多联式空调（热泵）机组能效限定值及能源效率等级》（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5"/>
                <w:sz w:val="18"/>
                <w:szCs w:val="18"/>
                <w:highlight w:val="none"/>
                <w:lang w:eastAsia="zh-CN"/>
              </w:rPr>
              <w:t>21454）</w:t>
            </w:r>
          </w:p>
        </w:tc>
      </w:tr>
      <w:tr w14:paraId="0B8D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02AAA7AA">
            <w:pPr>
              <w:jc w:val="center"/>
              <w:rPr>
                <w:rFonts w:hint="eastAsia" w:ascii="仿宋" w:hAnsi="仿宋" w:eastAsia="仿宋" w:cs="仿宋"/>
                <w:color w:val="auto"/>
                <w:sz w:val="18"/>
                <w:szCs w:val="18"/>
                <w:highlight w:val="none"/>
              </w:rPr>
            </w:pPr>
          </w:p>
        </w:tc>
        <w:tc>
          <w:tcPr>
            <w:tcW w:w="1275" w:type="dxa"/>
            <w:vMerge w:val="continue"/>
            <w:vAlign w:val="center"/>
          </w:tcPr>
          <w:p w14:paraId="67EEDADB">
            <w:pPr>
              <w:jc w:val="center"/>
              <w:rPr>
                <w:rFonts w:hint="eastAsia" w:ascii="仿宋" w:hAnsi="仿宋" w:eastAsia="仿宋" w:cs="仿宋"/>
                <w:color w:val="auto"/>
                <w:sz w:val="18"/>
                <w:szCs w:val="18"/>
                <w:highlight w:val="none"/>
              </w:rPr>
            </w:pPr>
          </w:p>
        </w:tc>
        <w:tc>
          <w:tcPr>
            <w:tcW w:w="1725" w:type="dxa"/>
            <w:vMerge w:val="continue"/>
            <w:vAlign w:val="center"/>
          </w:tcPr>
          <w:p w14:paraId="514EE2F2">
            <w:pPr>
              <w:jc w:val="center"/>
              <w:rPr>
                <w:rFonts w:hint="eastAsia" w:ascii="仿宋" w:hAnsi="仿宋" w:eastAsia="仿宋" w:cs="仿宋"/>
                <w:color w:val="auto"/>
                <w:sz w:val="18"/>
                <w:szCs w:val="18"/>
                <w:highlight w:val="none"/>
              </w:rPr>
            </w:pPr>
          </w:p>
        </w:tc>
        <w:tc>
          <w:tcPr>
            <w:tcW w:w="1912" w:type="dxa"/>
            <w:vAlign w:val="center"/>
          </w:tcPr>
          <w:p w14:paraId="5A653128">
            <w:pPr>
              <w:pStyle w:val="118"/>
              <w:spacing w:before="40" w:line="237" w:lineRule="auto"/>
              <w:ind w:left="361" w:right="197" w:hanging="147"/>
              <w:jc w:val="center"/>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7"/>
                <w:sz w:val="18"/>
                <w:szCs w:val="18"/>
                <w:highlight w:val="none"/>
                <w:lang w:eastAsia="zh-CN"/>
              </w:rPr>
              <w:t>单元式空气调</w:t>
            </w:r>
            <w:r>
              <w:rPr>
                <w:rFonts w:hint="eastAsia" w:ascii="仿宋" w:hAnsi="仿宋" w:eastAsia="仿宋" w:cs="仿宋"/>
                <w:color w:val="auto"/>
                <w:spacing w:val="5"/>
                <w:sz w:val="18"/>
                <w:szCs w:val="18"/>
                <w:highlight w:val="none"/>
                <w:lang w:eastAsia="zh-CN"/>
              </w:rPr>
              <w:t>节机(制冷</w:t>
            </w:r>
            <w:r>
              <w:rPr>
                <w:rFonts w:hint="eastAsia" w:ascii="仿宋" w:hAnsi="仿宋" w:eastAsia="仿宋" w:cs="仿宋"/>
                <w:color w:val="auto"/>
                <w:spacing w:val="3"/>
                <w:sz w:val="18"/>
                <w:szCs w:val="18"/>
                <w:highlight w:val="none"/>
                <w:lang w:eastAsia="zh-CN"/>
              </w:rPr>
              <w:t>量&gt;14000W</w:t>
            </w:r>
          </w:p>
        </w:tc>
        <w:tc>
          <w:tcPr>
            <w:tcW w:w="4373" w:type="dxa"/>
            <w:vAlign w:val="center"/>
          </w:tcPr>
          <w:p w14:paraId="771BC42A">
            <w:pPr>
              <w:pStyle w:val="118"/>
              <w:spacing w:before="38" w:line="230" w:lineRule="auto"/>
              <w:ind w:left="115"/>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《单元式空气调节机能效限定值及能效等级》</w:t>
            </w:r>
          </w:p>
          <w:p w14:paraId="7F416A07">
            <w:pPr>
              <w:pStyle w:val="118"/>
              <w:spacing w:before="23" w:line="230" w:lineRule="auto"/>
              <w:ind w:left="117" w:right="121" w:firstLine="2"/>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8"/>
                <w:sz w:val="18"/>
                <w:szCs w:val="18"/>
                <w:highlight w:val="none"/>
                <w:lang w:eastAsia="zh-CN"/>
              </w:rPr>
              <w:t>19576）《风管送风式空调机组能效限定值</w:t>
            </w:r>
            <w:r>
              <w:rPr>
                <w:rFonts w:hint="eastAsia" w:ascii="仿宋" w:hAnsi="仿宋" w:eastAsia="仿宋" w:cs="仿宋"/>
                <w:color w:val="auto"/>
                <w:spacing w:val="6"/>
                <w:sz w:val="18"/>
                <w:szCs w:val="18"/>
                <w:highlight w:val="none"/>
                <w:lang w:eastAsia="zh-CN"/>
              </w:rPr>
              <w:t>及能效等级》（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6"/>
                <w:sz w:val="18"/>
                <w:szCs w:val="18"/>
                <w:highlight w:val="none"/>
                <w:lang w:eastAsia="zh-CN"/>
              </w:rPr>
              <w:t>37479）</w:t>
            </w:r>
          </w:p>
        </w:tc>
      </w:tr>
      <w:tr w14:paraId="6137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4FBE51BD">
            <w:pPr>
              <w:jc w:val="center"/>
              <w:rPr>
                <w:rFonts w:hint="eastAsia" w:ascii="仿宋" w:hAnsi="仿宋" w:eastAsia="仿宋" w:cs="仿宋"/>
                <w:color w:val="auto"/>
                <w:sz w:val="18"/>
                <w:szCs w:val="18"/>
                <w:highlight w:val="none"/>
              </w:rPr>
            </w:pPr>
          </w:p>
        </w:tc>
        <w:tc>
          <w:tcPr>
            <w:tcW w:w="1275" w:type="dxa"/>
            <w:vMerge w:val="continue"/>
            <w:vAlign w:val="center"/>
          </w:tcPr>
          <w:p w14:paraId="535298AD">
            <w:pPr>
              <w:jc w:val="center"/>
              <w:rPr>
                <w:rFonts w:hint="eastAsia" w:ascii="仿宋" w:hAnsi="仿宋" w:eastAsia="仿宋" w:cs="仿宋"/>
                <w:color w:val="auto"/>
                <w:sz w:val="18"/>
                <w:szCs w:val="18"/>
                <w:highlight w:val="none"/>
              </w:rPr>
            </w:pPr>
          </w:p>
        </w:tc>
        <w:tc>
          <w:tcPr>
            <w:tcW w:w="1725" w:type="dxa"/>
            <w:vAlign w:val="center"/>
          </w:tcPr>
          <w:p w14:paraId="22B7F699">
            <w:pPr>
              <w:pStyle w:val="118"/>
              <w:spacing w:before="40"/>
              <w:ind w:left="206"/>
              <w:jc w:val="center"/>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4"/>
                <w:sz w:val="18"/>
                <w:szCs w:val="18"/>
                <w:highlight w:val="none"/>
                <w:lang w:eastAsia="zh-CN"/>
              </w:rPr>
              <w:t>★A02052309</w:t>
            </w:r>
          </w:p>
          <w:p w14:paraId="067C0595">
            <w:pPr>
              <w:pStyle w:val="118"/>
              <w:spacing w:before="9" w:line="231" w:lineRule="auto"/>
              <w:ind w:left="110"/>
              <w:jc w:val="center"/>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7"/>
                <w:sz w:val="18"/>
                <w:szCs w:val="18"/>
                <w:highlight w:val="none"/>
                <w:lang w:eastAsia="zh-CN"/>
              </w:rPr>
              <w:t>专用制冷、空调</w:t>
            </w:r>
          </w:p>
          <w:p w14:paraId="5EEEC8DE">
            <w:pPr>
              <w:pStyle w:val="118"/>
              <w:spacing w:before="21" w:line="209" w:lineRule="auto"/>
              <w:ind w:left="558"/>
              <w:jc w:val="center"/>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2"/>
                <w:sz w:val="18"/>
                <w:szCs w:val="18"/>
                <w:highlight w:val="none"/>
                <w:lang w:eastAsia="zh-CN"/>
              </w:rPr>
              <w:t>设备</w:t>
            </w:r>
          </w:p>
        </w:tc>
        <w:tc>
          <w:tcPr>
            <w:tcW w:w="1912" w:type="dxa"/>
            <w:vAlign w:val="center"/>
          </w:tcPr>
          <w:p w14:paraId="099CDF24">
            <w:pPr>
              <w:pStyle w:val="118"/>
              <w:spacing w:before="298" w:line="231" w:lineRule="auto"/>
              <w:ind w:left="409"/>
              <w:jc w:val="center"/>
              <w:rPr>
                <w:rFonts w:hint="eastAsia" w:ascii="仿宋" w:hAnsi="仿宋" w:eastAsia="仿宋" w:cs="仿宋"/>
                <w:color w:val="auto"/>
                <w:sz w:val="18"/>
                <w:szCs w:val="18"/>
                <w:highlight w:val="none"/>
              </w:rPr>
            </w:pPr>
            <w:r>
              <w:rPr>
                <w:rFonts w:hint="eastAsia" w:ascii="仿宋" w:hAnsi="仿宋" w:eastAsia="仿宋" w:cs="仿宋"/>
                <w:color w:val="auto"/>
                <w:spacing w:val="6"/>
                <w:sz w:val="18"/>
                <w:szCs w:val="18"/>
                <w:highlight w:val="none"/>
              </w:rPr>
              <w:t>机房空调</w:t>
            </w:r>
          </w:p>
        </w:tc>
        <w:tc>
          <w:tcPr>
            <w:tcW w:w="4373" w:type="dxa"/>
            <w:vAlign w:val="center"/>
          </w:tcPr>
          <w:p w14:paraId="62293088">
            <w:pPr>
              <w:pStyle w:val="118"/>
              <w:spacing w:before="168" w:line="259" w:lineRule="auto"/>
              <w:ind w:left="119" w:right="234" w:hanging="4"/>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《单元式空气调节机能效限定值及能效等级》</w:t>
            </w:r>
            <w:r>
              <w:rPr>
                <w:rFonts w:hint="eastAsia" w:ascii="仿宋" w:hAnsi="仿宋" w:eastAsia="仿宋" w:cs="仿宋"/>
                <w:color w:val="auto"/>
                <w:spacing w:val="11"/>
                <w:sz w:val="18"/>
                <w:szCs w:val="18"/>
                <w:highlight w:val="none"/>
                <w:lang w:eastAsia="zh-CN"/>
              </w:rPr>
              <w:t xml:space="preserve"> </w:t>
            </w:r>
            <w:r>
              <w:rPr>
                <w:rFonts w:hint="eastAsia" w:ascii="仿宋" w:hAnsi="仿宋" w:eastAsia="仿宋" w:cs="仿宋"/>
                <w:color w:val="auto"/>
                <w:spacing w:val="3"/>
                <w:sz w:val="18"/>
                <w:szCs w:val="18"/>
                <w:highlight w:val="none"/>
                <w:lang w:eastAsia="zh-CN"/>
              </w:rPr>
              <w:t>（</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3"/>
                <w:sz w:val="18"/>
                <w:szCs w:val="18"/>
                <w:highlight w:val="none"/>
                <w:lang w:eastAsia="zh-CN"/>
              </w:rPr>
              <w:t>19576）</w:t>
            </w:r>
          </w:p>
        </w:tc>
      </w:tr>
      <w:tr w14:paraId="348EB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3368D6C1">
            <w:pPr>
              <w:jc w:val="center"/>
              <w:rPr>
                <w:rFonts w:hint="eastAsia" w:ascii="仿宋" w:hAnsi="仿宋" w:eastAsia="仿宋" w:cs="仿宋"/>
                <w:color w:val="auto"/>
                <w:sz w:val="18"/>
                <w:szCs w:val="18"/>
                <w:highlight w:val="none"/>
              </w:rPr>
            </w:pPr>
          </w:p>
        </w:tc>
        <w:tc>
          <w:tcPr>
            <w:tcW w:w="1275" w:type="dxa"/>
            <w:vMerge w:val="continue"/>
            <w:vAlign w:val="center"/>
          </w:tcPr>
          <w:p w14:paraId="58036E26">
            <w:pPr>
              <w:jc w:val="center"/>
              <w:rPr>
                <w:rFonts w:hint="eastAsia" w:ascii="仿宋" w:hAnsi="仿宋" w:eastAsia="仿宋" w:cs="仿宋"/>
                <w:color w:val="auto"/>
                <w:sz w:val="18"/>
                <w:szCs w:val="18"/>
                <w:highlight w:val="none"/>
              </w:rPr>
            </w:pPr>
          </w:p>
        </w:tc>
        <w:tc>
          <w:tcPr>
            <w:tcW w:w="1725" w:type="dxa"/>
            <w:vAlign w:val="center"/>
          </w:tcPr>
          <w:p w14:paraId="16A57EF3">
            <w:pPr>
              <w:pStyle w:val="118"/>
              <w:spacing w:before="41" w:line="233" w:lineRule="auto"/>
              <w:ind w:left="172"/>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A02052399</w:t>
            </w:r>
            <w:r>
              <w:rPr>
                <w:rFonts w:hint="eastAsia" w:ascii="仿宋" w:hAnsi="仿宋" w:eastAsia="仿宋" w:cs="仿宋"/>
                <w:color w:val="auto"/>
                <w:spacing w:val="-30"/>
                <w:sz w:val="18"/>
                <w:szCs w:val="18"/>
                <w:highlight w:val="none"/>
              </w:rPr>
              <w:t xml:space="preserve"> </w:t>
            </w:r>
            <w:r>
              <w:rPr>
                <w:rFonts w:hint="eastAsia" w:ascii="仿宋" w:hAnsi="仿宋" w:eastAsia="仿宋" w:cs="仿宋"/>
                <w:color w:val="auto"/>
                <w:spacing w:val="4"/>
                <w:sz w:val="18"/>
                <w:szCs w:val="18"/>
                <w:highlight w:val="none"/>
              </w:rPr>
              <w:t>其</w:t>
            </w:r>
          </w:p>
          <w:p w14:paraId="6603ED44">
            <w:pPr>
              <w:pStyle w:val="118"/>
              <w:spacing w:before="18" w:line="231" w:lineRule="auto"/>
              <w:ind w:left="159"/>
              <w:jc w:val="center"/>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他制冷空调设</w:t>
            </w:r>
          </w:p>
          <w:p w14:paraId="3FB2445C">
            <w:pPr>
              <w:pStyle w:val="118"/>
              <w:spacing w:before="22" w:line="215" w:lineRule="auto"/>
              <w:ind w:left="659"/>
              <w:jc w:val="center"/>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备</w:t>
            </w:r>
          </w:p>
        </w:tc>
        <w:tc>
          <w:tcPr>
            <w:tcW w:w="1912" w:type="dxa"/>
            <w:vAlign w:val="center"/>
          </w:tcPr>
          <w:p w14:paraId="34F56486">
            <w:pPr>
              <w:pStyle w:val="118"/>
              <w:spacing w:before="299" w:line="231" w:lineRule="auto"/>
              <w:ind w:left="512"/>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冷却塔</w:t>
            </w:r>
          </w:p>
        </w:tc>
        <w:tc>
          <w:tcPr>
            <w:tcW w:w="4373" w:type="dxa"/>
            <w:vAlign w:val="center"/>
          </w:tcPr>
          <w:p w14:paraId="451E401F">
            <w:pPr>
              <w:pStyle w:val="118"/>
              <w:spacing w:before="39"/>
              <w:ind w:left="115" w:right="222"/>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4"/>
                <w:sz w:val="18"/>
                <w:szCs w:val="18"/>
                <w:highlight w:val="none"/>
                <w:lang w:eastAsia="zh-CN"/>
              </w:rPr>
              <w:t>《机械通风冷却塔第</w:t>
            </w:r>
            <w:r>
              <w:rPr>
                <w:rFonts w:hint="eastAsia" w:ascii="仿宋" w:hAnsi="仿宋" w:eastAsia="仿宋" w:cs="仿宋"/>
                <w:color w:val="auto"/>
                <w:spacing w:val="-13"/>
                <w:sz w:val="18"/>
                <w:szCs w:val="18"/>
                <w:highlight w:val="none"/>
                <w:lang w:eastAsia="zh-CN"/>
              </w:rPr>
              <w:t xml:space="preserve"> </w:t>
            </w:r>
            <w:r>
              <w:rPr>
                <w:rFonts w:hint="eastAsia" w:ascii="仿宋" w:hAnsi="仿宋" w:eastAsia="仿宋" w:cs="仿宋"/>
                <w:color w:val="auto"/>
                <w:spacing w:val="4"/>
                <w:sz w:val="18"/>
                <w:szCs w:val="18"/>
                <w:highlight w:val="none"/>
                <w:lang w:eastAsia="zh-CN"/>
              </w:rPr>
              <w:t>1</w:t>
            </w:r>
            <w:r>
              <w:rPr>
                <w:rFonts w:hint="eastAsia" w:ascii="仿宋" w:hAnsi="仿宋" w:eastAsia="仿宋" w:cs="仿宋"/>
                <w:color w:val="auto"/>
                <w:spacing w:val="-29"/>
                <w:sz w:val="18"/>
                <w:szCs w:val="18"/>
                <w:highlight w:val="none"/>
                <w:lang w:eastAsia="zh-CN"/>
              </w:rPr>
              <w:t xml:space="preserve"> </w:t>
            </w:r>
            <w:r>
              <w:rPr>
                <w:rFonts w:hint="eastAsia" w:ascii="仿宋" w:hAnsi="仿宋" w:eastAsia="仿宋" w:cs="仿宋"/>
                <w:color w:val="auto"/>
                <w:spacing w:val="4"/>
                <w:sz w:val="18"/>
                <w:szCs w:val="18"/>
                <w:highlight w:val="none"/>
                <w:lang w:eastAsia="zh-CN"/>
              </w:rPr>
              <w:t>部分：</w:t>
            </w:r>
            <w:r>
              <w:rPr>
                <w:rFonts w:hint="eastAsia" w:ascii="仿宋" w:hAnsi="仿宋" w:eastAsia="仿宋" w:cs="仿宋"/>
                <w:color w:val="auto"/>
                <w:spacing w:val="-44"/>
                <w:sz w:val="18"/>
                <w:szCs w:val="18"/>
                <w:highlight w:val="none"/>
                <w:lang w:eastAsia="zh-CN"/>
              </w:rPr>
              <w:t xml:space="preserve"> </w:t>
            </w:r>
            <w:r>
              <w:rPr>
                <w:rFonts w:hint="eastAsia" w:ascii="仿宋" w:hAnsi="仿宋" w:eastAsia="仿宋" w:cs="仿宋"/>
                <w:color w:val="auto"/>
                <w:spacing w:val="4"/>
                <w:sz w:val="18"/>
                <w:szCs w:val="18"/>
                <w:highlight w:val="none"/>
                <w:lang w:eastAsia="zh-CN"/>
              </w:rPr>
              <w:t>中小型开式冷却</w:t>
            </w:r>
            <w:r>
              <w:rPr>
                <w:rFonts w:hint="eastAsia" w:ascii="仿宋" w:hAnsi="仿宋" w:eastAsia="仿宋" w:cs="仿宋"/>
                <w:color w:val="auto"/>
                <w:spacing w:val="7"/>
                <w:sz w:val="18"/>
                <w:szCs w:val="18"/>
                <w:highlight w:val="none"/>
                <w:lang w:eastAsia="zh-CN"/>
              </w:rPr>
              <w:t>塔》（</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7"/>
                <w:sz w:val="18"/>
                <w:szCs w:val="18"/>
                <w:highlight w:val="none"/>
                <w:lang w:eastAsia="zh-CN"/>
              </w:rPr>
              <w:t>/T7190.1</w:t>
            </w:r>
            <w:r>
              <w:rPr>
                <w:rFonts w:hint="eastAsia" w:ascii="仿宋" w:hAnsi="仿宋" w:eastAsia="仿宋" w:cs="仿宋"/>
                <w:color w:val="auto"/>
                <w:spacing w:val="9"/>
                <w:sz w:val="18"/>
                <w:szCs w:val="18"/>
                <w:highlight w:val="none"/>
                <w:lang w:eastAsia="zh-CN"/>
              </w:rPr>
              <w:t>）；</w:t>
            </w:r>
            <w:r>
              <w:rPr>
                <w:rFonts w:hint="eastAsia" w:ascii="仿宋" w:hAnsi="仿宋" w:eastAsia="仿宋" w:cs="仿宋"/>
                <w:color w:val="auto"/>
                <w:spacing w:val="7"/>
                <w:sz w:val="18"/>
                <w:szCs w:val="18"/>
                <w:highlight w:val="none"/>
                <w:lang w:eastAsia="zh-CN"/>
              </w:rPr>
              <w:t>《机械通风冷却塔第</w:t>
            </w:r>
            <w:r>
              <w:rPr>
                <w:rFonts w:hint="eastAsia" w:ascii="仿宋" w:hAnsi="仿宋" w:eastAsia="仿宋" w:cs="仿宋"/>
                <w:color w:val="auto"/>
                <w:spacing w:val="-31"/>
                <w:sz w:val="18"/>
                <w:szCs w:val="18"/>
                <w:highlight w:val="none"/>
                <w:lang w:eastAsia="zh-CN"/>
              </w:rPr>
              <w:t xml:space="preserve"> </w:t>
            </w:r>
            <w:r>
              <w:rPr>
                <w:rFonts w:hint="eastAsia" w:ascii="仿宋" w:hAnsi="仿宋" w:eastAsia="仿宋" w:cs="仿宋"/>
                <w:color w:val="auto"/>
                <w:spacing w:val="7"/>
                <w:sz w:val="18"/>
                <w:szCs w:val="18"/>
                <w:highlight w:val="none"/>
                <w:lang w:eastAsia="zh-CN"/>
              </w:rPr>
              <w:t>2部分：大型开式冷却塔》（</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7"/>
                <w:sz w:val="18"/>
                <w:szCs w:val="18"/>
                <w:highlight w:val="none"/>
                <w:lang w:eastAsia="zh-CN"/>
              </w:rPr>
              <w:t>/T7190.2）</w:t>
            </w:r>
          </w:p>
        </w:tc>
      </w:tr>
      <w:tr w14:paraId="77C6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6320BBCC">
            <w:pPr>
              <w:pStyle w:val="118"/>
              <w:spacing w:before="164" w:line="257" w:lineRule="exact"/>
              <w:ind w:left="276"/>
              <w:jc w:val="center"/>
              <w:rPr>
                <w:rFonts w:hint="eastAsia" w:ascii="仿宋" w:hAnsi="仿宋" w:eastAsia="仿宋" w:cs="仿宋"/>
                <w:color w:val="auto"/>
                <w:sz w:val="18"/>
                <w:szCs w:val="18"/>
                <w:highlight w:val="none"/>
              </w:rPr>
            </w:pPr>
            <w:r>
              <w:rPr>
                <w:rFonts w:hint="eastAsia" w:ascii="仿宋" w:hAnsi="仿宋" w:eastAsia="仿宋" w:cs="仿宋"/>
                <w:color w:val="auto"/>
                <w:position w:val="1"/>
                <w:sz w:val="18"/>
                <w:szCs w:val="18"/>
                <w:highlight w:val="none"/>
              </w:rPr>
              <w:t>7</w:t>
            </w:r>
          </w:p>
        </w:tc>
        <w:tc>
          <w:tcPr>
            <w:tcW w:w="1275" w:type="dxa"/>
            <w:vAlign w:val="center"/>
          </w:tcPr>
          <w:p w14:paraId="79D169B5">
            <w:pPr>
              <w:pStyle w:val="118"/>
              <w:spacing w:before="37" w:line="236" w:lineRule="auto"/>
              <w:ind w:left="377" w:right="205" w:hanging="183"/>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A020601</w:t>
            </w:r>
            <w:r>
              <w:rPr>
                <w:rFonts w:hint="eastAsia" w:ascii="仿宋" w:hAnsi="仿宋" w:eastAsia="仿宋" w:cs="仿宋"/>
                <w:color w:val="auto"/>
                <w:spacing w:val="-9"/>
                <w:sz w:val="18"/>
                <w:szCs w:val="18"/>
                <w:highlight w:val="none"/>
              </w:rPr>
              <w:t>电机</w:t>
            </w:r>
          </w:p>
        </w:tc>
        <w:tc>
          <w:tcPr>
            <w:tcW w:w="1725" w:type="dxa"/>
            <w:vAlign w:val="center"/>
          </w:tcPr>
          <w:p w14:paraId="71D13478">
            <w:pPr>
              <w:jc w:val="center"/>
              <w:rPr>
                <w:rFonts w:hint="eastAsia" w:ascii="仿宋" w:hAnsi="仿宋" w:eastAsia="仿宋" w:cs="仿宋"/>
                <w:color w:val="auto"/>
                <w:sz w:val="18"/>
                <w:szCs w:val="18"/>
                <w:highlight w:val="none"/>
              </w:rPr>
            </w:pPr>
          </w:p>
        </w:tc>
        <w:tc>
          <w:tcPr>
            <w:tcW w:w="1912" w:type="dxa"/>
            <w:vAlign w:val="center"/>
          </w:tcPr>
          <w:p w14:paraId="01D6D935">
            <w:pPr>
              <w:jc w:val="center"/>
              <w:rPr>
                <w:rFonts w:hint="eastAsia" w:ascii="仿宋" w:hAnsi="仿宋" w:eastAsia="仿宋" w:cs="仿宋"/>
                <w:color w:val="auto"/>
                <w:sz w:val="18"/>
                <w:szCs w:val="18"/>
                <w:highlight w:val="none"/>
              </w:rPr>
            </w:pPr>
          </w:p>
        </w:tc>
        <w:tc>
          <w:tcPr>
            <w:tcW w:w="4373" w:type="dxa"/>
            <w:vAlign w:val="center"/>
          </w:tcPr>
          <w:p w14:paraId="2A57723D">
            <w:pPr>
              <w:pStyle w:val="118"/>
              <w:spacing w:before="37" w:line="236" w:lineRule="auto"/>
              <w:ind w:left="117" w:right="222" w:hanging="2"/>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9"/>
                <w:sz w:val="18"/>
                <w:szCs w:val="18"/>
                <w:highlight w:val="none"/>
                <w:lang w:eastAsia="zh-CN"/>
              </w:rPr>
              <w:t>《中小型三相异步电动机能效限定值及能效等</w:t>
            </w:r>
            <w:r>
              <w:rPr>
                <w:rFonts w:hint="eastAsia" w:ascii="仿宋" w:hAnsi="仿宋" w:eastAsia="仿宋" w:cs="仿宋"/>
                <w:color w:val="auto"/>
                <w:spacing w:val="5"/>
                <w:sz w:val="18"/>
                <w:szCs w:val="18"/>
                <w:highlight w:val="none"/>
                <w:lang w:eastAsia="zh-CN"/>
              </w:rPr>
              <w:t>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5"/>
                <w:sz w:val="18"/>
                <w:szCs w:val="18"/>
                <w:highlight w:val="none"/>
                <w:lang w:eastAsia="zh-CN"/>
              </w:rPr>
              <w:t>18613）</w:t>
            </w:r>
          </w:p>
        </w:tc>
      </w:tr>
      <w:tr w14:paraId="22B0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0F65E9A3">
            <w:pPr>
              <w:pStyle w:val="118"/>
              <w:spacing w:before="153" w:line="258" w:lineRule="exact"/>
              <w:ind w:left="272"/>
              <w:jc w:val="center"/>
              <w:rPr>
                <w:rFonts w:hint="eastAsia" w:ascii="仿宋" w:hAnsi="仿宋" w:eastAsia="仿宋" w:cs="仿宋"/>
                <w:color w:val="auto"/>
                <w:sz w:val="18"/>
                <w:szCs w:val="18"/>
                <w:highlight w:val="none"/>
              </w:rPr>
            </w:pPr>
            <w:r>
              <w:rPr>
                <w:rFonts w:hint="eastAsia" w:ascii="仿宋" w:hAnsi="仿宋" w:eastAsia="仿宋" w:cs="仿宋"/>
                <w:color w:val="auto"/>
                <w:position w:val="1"/>
                <w:sz w:val="18"/>
                <w:szCs w:val="18"/>
                <w:highlight w:val="none"/>
              </w:rPr>
              <w:t>8</w:t>
            </w:r>
          </w:p>
        </w:tc>
        <w:tc>
          <w:tcPr>
            <w:tcW w:w="1275" w:type="dxa"/>
            <w:vAlign w:val="center"/>
          </w:tcPr>
          <w:p w14:paraId="53C0D846">
            <w:pPr>
              <w:pStyle w:val="118"/>
              <w:spacing w:before="27" w:line="236" w:lineRule="auto"/>
              <w:ind w:left="263" w:right="205" w:hanging="69"/>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A020602</w:t>
            </w:r>
            <w:r>
              <w:rPr>
                <w:rFonts w:hint="eastAsia" w:ascii="仿宋" w:hAnsi="仿宋" w:eastAsia="仿宋" w:cs="仿宋"/>
                <w:color w:val="auto"/>
                <w:spacing w:val="3"/>
                <w:sz w:val="18"/>
                <w:szCs w:val="18"/>
                <w:highlight w:val="none"/>
              </w:rPr>
              <w:t>变压器</w:t>
            </w:r>
          </w:p>
        </w:tc>
        <w:tc>
          <w:tcPr>
            <w:tcW w:w="1725" w:type="dxa"/>
            <w:vAlign w:val="center"/>
          </w:tcPr>
          <w:p w14:paraId="2835C8E7">
            <w:pPr>
              <w:pStyle w:val="118"/>
              <w:spacing w:before="154" w:line="233" w:lineRule="auto"/>
              <w:ind w:left="262"/>
              <w:jc w:val="center"/>
              <w:rPr>
                <w:rFonts w:hint="eastAsia" w:ascii="仿宋" w:hAnsi="仿宋" w:eastAsia="仿宋" w:cs="仿宋"/>
                <w:color w:val="auto"/>
                <w:sz w:val="18"/>
                <w:szCs w:val="18"/>
                <w:highlight w:val="none"/>
              </w:rPr>
            </w:pPr>
            <w:r>
              <w:rPr>
                <w:rFonts w:hint="eastAsia" w:ascii="仿宋" w:hAnsi="仿宋" w:eastAsia="仿宋" w:cs="仿宋"/>
                <w:color w:val="auto"/>
                <w:spacing w:val="6"/>
                <w:sz w:val="18"/>
                <w:szCs w:val="18"/>
                <w:highlight w:val="none"/>
              </w:rPr>
              <w:t>配电变压器</w:t>
            </w:r>
          </w:p>
        </w:tc>
        <w:tc>
          <w:tcPr>
            <w:tcW w:w="1912" w:type="dxa"/>
            <w:vAlign w:val="center"/>
          </w:tcPr>
          <w:p w14:paraId="326906BB">
            <w:pPr>
              <w:jc w:val="center"/>
              <w:rPr>
                <w:rFonts w:hint="eastAsia" w:ascii="仿宋" w:hAnsi="仿宋" w:eastAsia="仿宋" w:cs="仿宋"/>
                <w:color w:val="auto"/>
                <w:sz w:val="18"/>
                <w:szCs w:val="18"/>
                <w:highlight w:val="none"/>
              </w:rPr>
            </w:pPr>
          </w:p>
        </w:tc>
        <w:tc>
          <w:tcPr>
            <w:tcW w:w="4373" w:type="dxa"/>
            <w:vAlign w:val="center"/>
          </w:tcPr>
          <w:p w14:paraId="02341259">
            <w:pPr>
              <w:pStyle w:val="118"/>
              <w:spacing w:before="27" w:line="236" w:lineRule="auto"/>
              <w:ind w:left="119" w:right="434" w:hanging="4"/>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《三相配电变压器能效限定值及能效等级》</w:t>
            </w:r>
            <w:r>
              <w:rPr>
                <w:rFonts w:hint="eastAsia" w:ascii="仿宋" w:hAnsi="仿宋" w:eastAsia="仿宋" w:cs="仿宋"/>
                <w:color w:val="auto"/>
                <w:spacing w:val="10"/>
                <w:sz w:val="18"/>
                <w:szCs w:val="18"/>
                <w:highlight w:val="none"/>
                <w:lang w:eastAsia="zh-CN"/>
              </w:rPr>
              <w:t xml:space="preserve"> </w:t>
            </w:r>
            <w:r>
              <w:rPr>
                <w:rFonts w:hint="eastAsia" w:ascii="仿宋" w:hAnsi="仿宋" w:eastAsia="仿宋" w:cs="仿宋"/>
                <w:color w:val="auto"/>
                <w:spacing w:val="3"/>
                <w:sz w:val="18"/>
                <w:szCs w:val="18"/>
                <w:highlight w:val="none"/>
                <w:lang w:eastAsia="zh-CN"/>
              </w:rPr>
              <w:t>（</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3"/>
                <w:sz w:val="18"/>
                <w:szCs w:val="18"/>
                <w:highlight w:val="none"/>
                <w:lang w:eastAsia="zh-CN"/>
              </w:rPr>
              <w:t>20052）</w:t>
            </w:r>
          </w:p>
        </w:tc>
      </w:tr>
      <w:tr w14:paraId="755A4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6A5FC6AA">
            <w:pPr>
              <w:pStyle w:val="118"/>
              <w:spacing w:before="155" w:line="258" w:lineRule="exact"/>
              <w:ind w:left="272"/>
              <w:jc w:val="center"/>
              <w:rPr>
                <w:rFonts w:hint="eastAsia" w:ascii="仿宋" w:hAnsi="仿宋" w:eastAsia="仿宋" w:cs="仿宋"/>
                <w:color w:val="auto"/>
                <w:sz w:val="18"/>
                <w:szCs w:val="18"/>
                <w:highlight w:val="none"/>
              </w:rPr>
            </w:pPr>
            <w:r>
              <w:rPr>
                <w:rFonts w:hint="eastAsia" w:ascii="仿宋" w:hAnsi="仿宋" w:eastAsia="仿宋" w:cs="仿宋"/>
                <w:color w:val="auto"/>
                <w:position w:val="1"/>
                <w:sz w:val="18"/>
                <w:szCs w:val="18"/>
                <w:highlight w:val="none"/>
              </w:rPr>
              <w:t>9</w:t>
            </w:r>
          </w:p>
        </w:tc>
        <w:tc>
          <w:tcPr>
            <w:tcW w:w="1275" w:type="dxa"/>
            <w:vAlign w:val="center"/>
          </w:tcPr>
          <w:p w14:paraId="775563D6">
            <w:pPr>
              <w:pStyle w:val="118"/>
              <w:spacing w:before="27" w:line="236" w:lineRule="auto"/>
              <w:ind w:left="255" w:right="105" w:hanging="152"/>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★A020609</w:t>
            </w:r>
            <w:r>
              <w:rPr>
                <w:rFonts w:hint="eastAsia" w:ascii="仿宋" w:hAnsi="仿宋" w:eastAsia="仿宋" w:cs="仿宋"/>
                <w:color w:val="auto"/>
                <w:spacing w:val="5"/>
                <w:sz w:val="18"/>
                <w:szCs w:val="18"/>
                <w:highlight w:val="none"/>
              </w:rPr>
              <w:t>镇流器</w:t>
            </w:r>
          </w:p>
        </w:tc>
        <w:tc>
          <w:tcPr>
            <w:tcW w:w="1725" w:type="dxa"/>
            <w:vAlign w:val="center"/>
          </w:tcPr>
          <w:p w14:paraId="21E40127">
            <w:pPr>
              <w:pStyle w:val="118"/>
              <w:spacing w:before="27" w:line="236" w:lineRule="auto"/>
              <w:ind w:left="558" w:right="153" w:hanging="389"/>
              <w:jc w:val="center"/>
              <w:rPr>
                <w:rFonts w:hint="eastAsia" w:ascii="仿宋" w:hAnsi="仿宋" w:eastAsia="仿宋" w:cs="仿宋"/>
                <w:color w:val="auto"/>
                <w:sz w:val="18"/>
                <w:szCs w:val="18"/>
                <w:highlight w:val="none"/>
              </w:rPr>
            </w:pPr>
            <w:r>
              <w:rPr>
                <w:rFonts w:hint="eastAsia" w:ascii="仿宋" w:hAnsi="仿宋" w:eastAsia="仿宋" w:cs="仿宋"/>
                <w:color w:val="auto"/>
                <w:spacing w:val="5"/>
                <w:sz w:val="18"/>
                <w:szCs w:val="18"/>
                <w:highlight w:val="none"/>
              </w:rPr>
              <w:t>管型荧光灯镇</w:t>
            </w:r>
            <w:r>
              <w:rPr>
                <w:rFonts w:hint="eastAsia" w:ascii="仿宋" w:hAnsi="仿宋" w:eastAsia="仿宋" w:cs="仿宋"/>
                <w:color w:val="auto"/>
                <w:spacing w:val="2"/>
                <w:sz w:val="18"/>
                <w:szCs w:val="18"/>
                <w:highlight w:val="none"/>
              </w:rPr>
              <w:t>流器</w:t>
            </w:r>
          </w:p>
        </w:tc>
        <w:tc>
          <w:tcPr>
            <w:tcW w:w="1912" w:type="dxa"/>
            <w:vAlign w:val="center"/>
          </w:tcPr>
          <w:p w14:paraId="430D0B1C">
            <w:pPr>
              <w:jc w:val="center"/>
              <w:rPr>
                <w:rFonts w:hint="eastAsia" w:ascii="仿宋" w:hAnsi="仿宋" w:eastAsia="仿宋" w:cs="仿宋"/>
                <w:color w:val="auto"/>
                <w:sz w:val="18"/>
                <w:szCs w:val="18"/>
                <w:highlight w:val="none"/>
              </w:rPr>
            </w:pPr>
          </w:p>
        </w:tc>
        <w:tc>
          <w:tcPr>
            <w:tcW w:w="4373" w:type="dxa"/>
            <w:vAlign w:val="center"/>
          </w:tcPr>
          <w:p w14:paraId="6670181F">
            <w:pPr>
              <w:pStyle w:val="118"/>
              <w:spacing w:before="27" w:line="236" w:lineRule="auto"/>
              <w:ind w:left="119" w:right="234" w:hanging="4"/>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《管形荧光灯镇流器能效限定值及能效等级》</w:t>
            </w:r>
            <w:r>
              <w:rPr>
                <w:rFonts w:hint="eastAsia" w:ascii="仿宋" w:hAnsi="仿宋" w:eastAsia="仿宋" w:cs="仿宋"/>
                <w:color w:val="auto"/>
                <w:spacing w:val="11"/>
                <w:sz w:val="18"/>
                <w:szCs w:val="18"/>
                <w:highlight w:val="none"/>
                <w:lang w:eastAsia="zh-CN"/>
              </w:rPr>
              <w:t xml:space="preserve"> </w:t>
            </w:r>
            <w:r>
              <w:rPr>
                <w:rFonts w:hint="eastAsia" w:ascii="仿宋" w:hAnsi="仿宋" w:eastAsia="仿宋" w:cs="仿宋"/>
                <w:color w:val="auto"/>
                <w:spacing w:val="3"/>
                <w:sz w:val="18"/>
                <w:szCs w:val="18"/>
                <w:highlight w:val="none"/>
                <w:lang w:eastAsia="zh-CN"/>
              </w:rPr>
              <w:t>（</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3"/>
                <w:sz w:val="18"/>
                <w:szCs w:val="18"/>
                <w:highlight w:val="none"/>
                <w:lang w:eastAsia="zh-CN"/>
              </w:rPr>
              <w:t>17896）</w:t>
            </w:r>
          </w:p>
        </w:tc>
      </w:tr>
      <w:tr w14:paraId="2302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restart"/>
            <w:vAlign w:val="center"/>
          </w:tcPr>
          <w:p w14:paraId="244DCC19">
            <w:pPr>
              <w:pStyle w:val="118"/>
              <w:spacing w:before="62" w:line="257" w:lineRule="exact"/>
              <w:jc w:val="center"/>
              <w:rPr>
                <w:rFonts w:hint="eastAsia" w:ascii="仿宋" w:hAnsi="仿宋" w:eastAsia="仿宋" w:cs="仿宋"/>
                <w:color w:val="auto"/>
                <w:sz w:val="18"/>
                <w:szCs w:val="18"/>
                <w:highlight w:val="none"/>
              </w:rPr>
            </w:pPr>
            <w:r>
              <w:rPr>
                <w:rFonts w:hint="eastAsia" w:ascii="仿宋" w:hAnsi="仿宋" w:eastAsia="仿宋" w:cs="仿宋"/>
                <w:color w:val="auto"/>
                <w:spacing w:val="-6"/>
                <w:position w:val="1"/>
                <w:sz w:val="18"/>
                <w:szCs w:val="18"/>
                <w:highlight w:val="none"/>
              </w:rPr>
              <w:t>10</w:t>
            </w:r>
          </w:p>
        </w:tc>
        <w:tc>
          <w:tcPr>
            <w:tcW w:w="1275" w:type="dxa"/>
            <w:vMerge w:val="restart"/>
            <w:vAlign w:val="center"/>
          </w:tcPr>
          <w:p w14:paraId="579B9E24">
            <w:pPr>
              <w:pStyle w:val="118"/>
              <w:spacing w:before="62" w:line="257" w:lineRule="exact"/>
              <w:jc w:val="center"/>
              <w:rPr>
                <w:rFonts w:hint="eastAsia" w:ascii="仿宋" w:hAnsi="仿宋" w:eastAsia="仿宋" w:cs="仿宋"/>
                <w:color w:val="auto"/>
                <w:sz w:val="18"/>
                <w:szCs w:val="18"/>
                <w:highlight w:val="none"/>
              </w:rPr>
            </w:pPr>
            <w:r>
              <w:rPr>
                <w:rFonts w:hint="eastAsia" w:ascii="仿宋" w:hAnsi="仿宋" w:eastAsia="仿宋" w:cs="仿宋"/>
                <w:color w:val="auto"/>
                <w:spacing w:val="4"/>
                <w:position w:val="1"/>
                <w:sz w:val="18"/>
                <w:szCs w:val="18"/>
                <w:highlight w:val="none"/>
              </w:rPr>
              <w:t>A020618</w:t>
            </w:r>
          </w:p>
          <w:p w14:paraId="080EBABA">
            <w:pPr>
              <w:pStyle w:val="118"/>
              <w:spacing w:before="1" w:line="233" w:lineRule="auto"/>
              <w:ind w:left="168"/>
              <w:jc w:val="center"/>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生活用电</w:t>
            </w:r>
          </w:p>
          <w:p w14:paraId="381E1769">
            <w:pPr>
              <w:pStyle w:val="118"/>
              <w:spacing w:before="20" w:line="233" w:lineRule="auto"/>
              <w:ind w:left="455"/>
              <w:jc w:val="center"/>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器</w:t>
            </w:r>
          </w:p>
        </w:tc>
        <w:tc>
          <w:tcPr>
            <w:tcW w:w="1725" w:type="dxa"/>
            <w:vAlign w:val="center"/>
          </w:tcPr>
          <w:p w14:paraId="7574E691">
            <w:pPr>
              <w:pStyle w:val="118"/>
              <w:spacing w:before="27" w:line="236" w:lineRule="auto"/>
              <w:ind w:left="479" w:right="202" w:hanging="283"/>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A0206180101</w:t>
            </w:r>
            <w:r>
              <w:rPr>
                <w:rFonts w:hint="eastAsia" w:ascii="仿宋" w:hAnsi="仿宋" w:eastAsia="仿宋" w:cs="仿宋"/>
                <w:color w:val="auto"/>
                <w:spacing w:val="-2"/>
                <w:sz w:val="18"/>
                <w:szCs w:val="18"/>
                <w:highlight w:val="none"/>
              </w:rPr>
              <w:t>电冰箱</w:t>
            </w:r>
          </w:p>
        </w:tc>
        <w:tc>
          <w:tcPr>
            <w:tcW w:w="1912" w:type="dxa"/>
            <w:vAlign w:val="center"/>
          </w:tcPr>
          <w:p w14:paraId="20BE3732">
            <w:pPr>
              <w:jc w:val="center"/>
              <w:rPr>
                <w:rFonts w:hint="eastAsia" w:ascii="仿宋" w:hAnsi="仿宋" w:eastAsia="仿宋" w:cs="仿宋"/>
                <w:color w:val="auto"/>
                <w:sz w:val="18"/>
                <w:szCs w:val="18"/>
                <w:highlight w:val="none"/>
              </w:rPr>
            </w:pPr>
          </w:p>
        </w:tc>
        <w:tc>
          <w:tcPr>
            <w:tcW w:w="4373" w:type="dxa"/>
            <w:vAlign w:val="center"/>
          </w:tcPr>
          <w:p w14:paraId="3C585002">
            <w:pPr>
              <w:pStyle w:val="118"/>
              <w:spacing w:before="27" w:line="236" w:lineRule="auto"/>
              <w:ind w:left="123" w:right="221" w:hanging="8"/>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9"/>
                <w:sz w:val="18"/>
                <w:szCs w:val="18"/>
                <w:highlight w:val="none"/>
                <w:lang w:eastAsia="zh-CN"/>
              </w:rPr>
              <w:t>《家用电冰箱耗电量限定值及能效等级》（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14"/>
                <w:sz w:val="18"/>
                <w:szCs w:val="18"/>
                <w:highlight w:val="none"/>
                <w:lang w:eastAsia="zh-CN"/>
              </w:rPr>
              <w:t xml:space="preserve"> </w:t>
            </w:r>
            <w:r>
              <w:rPr>
                <w:rFonts w:hint="eastAsia" w:ascii="仿宋" w:hAnsi="仿宋" w:eastAsia="仿宋" w:cs="仿宋"/>
                <w:color w:val="auto"/>
                <w:spacing w:val="1"/>
                <w:sz w:val="18"/>
                <w:szCs w:val="18"/>
                <w:highlight w:val="none"/>
                <w:lang w:eastAsia="zh-CN"/>
              </w:rPr>
              <w:t>12021.2）</w:t>
            </w:r>
          </w:p>
        </w:tc>
      </w:tr>
      <w:tr w14:paraId="6C1F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2433EA09">
            <w:pPr>
              <w:jc w:val="center"/>
              <w:rPr>
                <w:rFonts w:hint="eastAsia" w:ascii="仿宋" w:hAnsi="仿宋" w:eastAsia="仿宋" w:cs="仿宋"/>
                <w:color w:val="auto"/>
                <w:sz w:val="18"/>
                <w:szCs w:val="18"/>
                <w:highlight w:val="none"/>
              </w:rPr>
            </w:pPr>
          </w:p>
        </w:tc>
        <w:tc>
          <w:tcPr>
            <w:tcW w:w="1275" w:type="dxa"/>
            <w:vMerge w:val="continue"/>
            <w:vAlign w:val="center"/>
          </w:tcPr>
          <w:p w14:paraId="76A61A82">
            <w:pPr>
              <w:jc w:val="center"/>
              <w:rPr>
                <w:rFonts w:hint="eastAsia" w:ascii="仿宋" w:hAnsi="仿宋" w:eastAsia="仿宋" w:cs="仿宋"/>
                <w:color w:val="auto"/>
                <w:sz w:val="18"/>
                <w:szCs w:val="18"/>
                <w:highlight w:val="none"/>
              </w:rPr>
            </w:pPr>
          </w:p>
        </w:tc>
        <w:tc>
          <w:tcPr>
            <w:tcW w:w="1725" w:type="dxa"/>
            <w:vMerge w:val="restart"/>
            <w:vAlign w:val="center"/>
          </w:tcPr>
          <w:p w14:paraId="5D53D2C1">
            <w:pPr>
              <w:pStyle w:val="118"/>
              <w:spacing w:before="62" w:line="252" w:lineRule="auto"/>
              <w:ind w:right="103"/>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★A0206180203</w:t>
            </w:r>
            <w:r>
              <w:rPr>
                <w:rFonts w:hint="eastAsia" w:ascii="仿宋" w:hAnsi="仿宋" w:eastAsia="仿宋" w:cs="仿宋"/>
                <w:color w:val="auto"/>
                <w:spacing w:val="1"/>
                <w:sz w:val="18"/>
                <w:szCs w:val="18"/>
                <w:highlight w:val="none"/>
              </w:rPr>
              <w:t>空调机</w:t>
            </w:r>
          </w:p>
        </w:tc>
        <w:tc>
          <w:tcPr>
            <w:tcW w:w="1912" w:type="dxa"/>
            <w:vAlign w:val="center"/>
          </w:tcPr>
          <w:p w14:paraId="73C914BF">
            <w:pPr>
              <w:pStyle w:val="118"/>
              <w:spacing w:before="287" w:line="253" w:lineRule="auto"/>
              <w:ind w:left="708" w:right="197" w:hanging="494"/>
              <w:jc w:val="center"/>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房间空气调节</w:t>
            </w:r>
            <w:r>
              <w:rPr>
                <w:rFonts w:hint="eastAsia" w:ascii="仿宋" w:hAnsi="仿宋" w:eastAsia="仿宋" w:cs="仿宋"/>
                <w:color w:val="auto"/>
                <w:sz w:val="18"/>
                <w:szCs w:val="18"/>
                <w:highlight w:val="none"/>
              </w:rPr>
              <w:t>器</w:t>
            </w:r>
          </w:p>
        </w:tc>
        <w:tc>
          <w:tcPr>
            <w:tcW w:w="4373" w:type="dxa"/>
            <w:vAlign w:val="center"/>
          </w:tcPr>
          <w:p w14:paraId="042DCD0A">
            <w:pPr>
              <w:pStyle w:val="118"/>
              <w:spacing w:before="27" w:line="244" w:lineRule="auto"/>
              <w:ind w:left="116" w:right="102" w:hanging="1"/>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9"/>
                <w:sz w:val="18"/>
                <w:szCs w:val="18"/>
                <w:highlight w:val="none"/>
                <w:lang w:eastAsia="zh-CN"/>
              </w:rPr>
              <w:t>《转速可控型房间空气调节器能效限定值及能</w:t>
            </w:r>
            <w:r>
              <w:rPr>
                <w:rFonts w:hint="eastAsia" w:ascii="仿宋" w:hAnsi="仿宋" w:eastAsia="仿宋" w:cs="仿宋"/>
                <w:color w:val="auto"/>
                <w:spacing w:val="5"/>
                <w:sz w:val="18"/>
                <w:szCs w:val="18"/>
                <w:highlight w:val="none"/>
                <w:lang w:eastAsia="zh-CN"/>
              </w:rPr>
              <w:t>效等级》（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5"/>
                <w:sz w:val="18"/>
                <w:szCs w:val="18"/>
                <w:highlight w:val="none"/>
                <w:lang w:eastAsia="zh-CN"/>
              </w:rPr>
              <w:t>21455-2013</w:t>
            </w:r>
            <w:r>
              <w:rPr>
                <w:rFonts w:hint="eastAsia" w:ascii="仿宋" w:hAnsi="仿宋" w:eastAsia="仿宋" w:cs="仿宋"/>
                <w:color w:val="auto"/>
                <w:spacing w:val="17"/>
                <w:sz w:val="18"/>
                <w:szCs w:val="18"/>
                <w:highlight w:val="none"/>
                <w:lang w:eastAsia="zh-CN"/>
              </w:rPr>
              <w:t>），</w:t>
            </w:r>
            <w:r>
              <w:rPr>
                <w:rFonts w:hint="eastAsia" w:ascii="仿宋" w:hAnsi="仿宋" w:eastAsia="仿宋" w:cs="仿宋"/>
                <w:color w:val="auto"/>
                <w:spacing w:val="5"/>
                <w:sz w:val="18"/>
                <w:szCs w:val="18"/>
                <w:highlight w:val="none"/>
                <w:lang w:eastAsia="zh-CN"/>
              </w:rPr>
              <w:t>待</w:t>
            </w:r>
            <w:r>
              <w:rPr>
                <w:rFonts w:hint="eastAsia" w:ascii="仿宋" w:hAnsi="仿宋" w:eastAsia="仿宋" w:cs="仿宋"/>
                <w:color w:val="auto"/>
                <w:spacing w:val="-35"/>
                <w:sz w:val="18"/>
                <w:szCs w:val="18"/>
                <w:highlight w:val="none"/>
                <w:lang w:eastAsia="zh-CN"/>
              </w:rPr>
              <w:t xml:space="preserve"> </w:t>
            </w:r>
            <w:r>
              <w:rPr>
                <w:rFonts w:hint="eastAsia" w:ascii="仿宋" w:hAnsi="仿宋" w:eastAsia="仿宋" w:cs="仿宋"/>
                <w:color w:val="auto"/>
                <w:spacing w:val="5"/>
                <w:sz w:val="18"/>
                <w:szCs w:val="18"/>
                <w:highlight w:val="none"/>
                <w:lang w:eastAsia="zh-CN"/>
              </w:rPr>
              <w:t>2019</w:t>
            </w:r>
            <w:r>
              <w:rPr>
                <w:rFonts w:hint="eastAsia" w:ascii="仿宋" w:hAnsi="仿宋" w:eastAsia="仿宋" w:cs="仿宋"/>
                <w:color w:val="auto"/>
                <w:spacing w:val="-26"/>
                <w:sz w:val="18"/>
                <w:szCs w:val="18"/>
                <w:highlight w:val="none"/>
                <w:lang w:eastAsia="zh-CN"/>
              </w:rPr>
              <w:t xml:space="preserve"> </w:t>
            </w:r>
            <w:r>
              <w:rPr>
                <w:rFonts w:hint="eastAsia" w:ascii="仿宋" w:hAnsi="仿宋" w:eastAsia="仿宋" w:cs="仿宋"/>
                <w:color w:val="auto"/>
                <w:spacing w:val="5"/>
                <w:sz w:val="18"/>
                <w:szCs w:val="18"/>
                <w:highlight w:val="none"/>
                <w:lang w:eastAsia="zh-CN"/>
              </w:rPr>
              <w:t>年修订发布后，按《房间空气调节器能效限定值及能效等</w:t>
            </w:r>
            <w:r>
              <w:rPr>
                <w:rFonts w:hint="eastAsia" w:ascii="仿宋" w:hAnsi="仿宋" w:eastAsia="仿宋" w:cs="仿宋"/>
                <w:color w:val="auto"/>
                <w:spacing w:val="4"/>
                <w:sz w:val="18"/>
                <w:szCs w:val="18"/>
                <w:highlight w:val="none"/>
                <w:lang w:eastAsia="zh-CN"/>
              </w:rPr>
              <w:t>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4"/>
                <w:sz w:val="18"/>
                <w:szCs w:val="18"/>
                <w:highlight w:val="none"/>
                <w:lang w:eastAsia="zh-CN"/>
              </w:rPr>
              <w:t>21455-2019</w:t>
            </w:r>
            <w:r>
              <w:rPr>
                <w:rFonts w:hint="eastAsia" w:ascii="仿宋" w:hAnsi="仿宋" w:eastAsia="仿宋" w:cs="仿宋"/>
                <w:color w:val="auto"/>
                <w:spacing w:val="-19"/>
                <w:sz w:val="18"/>
                <w:szCs w:val="18"/>
                <w:highlight w:val="none"/>
                <w:lang w:eastAsia="zh-CN"/>
              </w:rPr>
              <w:t xml:space="preserve"> </w:t>
            </w:r>
            <w:r>
              <w:rPr>
                <w:rFonts w:hint="eastAsia" w:ascii="仿宋" w:hAnsi="仿宋" w:eastAsia="仿宋" w:cs="仿宋"/>
                <w:color w:val="auto"/>
                <w:spacing w:val="4"/>
                <w:sz w:val="18"/>
                <w:szCs w:val="18"/>
                <w:highlight w:val="none"/>
                <w:lang w:eastAsia="zh-CN"/>
              </w:rPr>
              <w:t>实施。</w:t>
            </w:r>
          </w:p>
        </w:tc>
      </w:tr>
      <w:tr w14:paraId="176C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16C6F816">
            <w:pPr>
              <w:jc w:val="center"/>
              <w:rPr>
                <w:rFonts w:hint="eastAsia" w:ascii="仿宋" w:hAnsi="仿宋" w:eastAsia="仿宋" w:cs="仿宋"/>
                <w:color w:val="auto"/>
                <w:sz w:val="18"/>
                <w:szCs w:val="18"/>
                <w:highlight w:val="none"/>
              </w:rPr>
            </w:pPr>
          </w:p>
        </w:tc>
        <w:tc>
          <w:tcPr>
            <w:tcW w:w="1275" w:type="dxa"/>
            <w:vMerge w:val="continue"/>
            <w:vAlign w:val="center"/>
          </w:tcPr>
          <w:p w14:paraId="6A282C72">
            <w:pPr>
              <w:jc w:val="center"/>
              <w:rPr>
                <w:rFonts w:hint="eastAsia" w:ascii="仿宋" w:hAnsi="仿宋" w:eastAsia="仿宋" w:cs="仿宋"/>
                <w:color w:val="auto"/>
                <w:sz w:val="18"/>
                <w:szCs w:val="18"/>
                <w:highlight w:val="none"/>
              </w:rPr>
            </w:pPr>
          </w:p>
        </w:tc>
        <w:tc>
          <w:tcPr>
            <w:tcW w:w="1725" w:type="dxa"/>
            <w:vMerge w:val="continue"/>
            <w:vAlign w:val="center"/>
          </w:tcPr>
          <w:p w14:paraId="223E040E">
            <w:pPr>
              <w:jc w:val="center"/>
              <w:rPr>
                <w:rFonts w:hint="eastAsia" w:ascii="仿宋" w:hAnsi="仿宋" w:eastAsia="仿宋" w:cs="仿宋"/>
                <w:color w:val="auto"/>
                <w:sz w:val="18"/>
                <w:szCs w:val="18"/>
                <w:highlight w:val="none"/>
              </w:rPr>
            </w:pPr>
          </w:p>
        </w:tc>
        <w:tc>
          <w:tcPr>
            <w:tcW w:w="1912" w:type="dxa"/>
            <w:vAlign w:val="center"/>
          </w:tcPr>
          <w:p w14:paraId="402E637B">
            <w:pPr>
              <w:pStyle w:val="118"/>
              <w:spacing w:before="27" w:line="241" w:lineRule="auto"/>
              <w:ind w:left="113" w:right="101" w:firstLine="10"/>
              <w:jc w:val="center"/>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5"/>
                <w:sz w:val="18"/>
                <w:szCs w:val="18"/>
                <w:highlight w:val="none"/>
                <w:lang w:eastAsia="zh-CN"/>
              </w:rPr>
              <w:t>多联式空调（热</w:t>
            </w:r>
            <w:r>
              <w:rPr>
                <w:rFonts w:hint="eastAsia" w:ascii="仿宋" w:hAnsi="仿宋" w:eastAsia="仿宋" w:cs="仿宋"/>
                <w:color w:val="auto"/>
                <w:spacing w:val="7"/>
                <w:sz w:val="18"/>
                <w:szCs w:val="18"/>
                <w:highlight w:val="none"/>
                <w:lang w:eastAsia="zh-CN"/>
              </w:rPr>
              <w:t>泵）机组（制冷</w:t>
            </w:r>
            <w:r>
              <w:rPr>
                <w:rFonts w:hint="eastAsia" w:ascii="仿宋" w:hAnsi="仿宋" w:eastAsia="仿宋" w:cs="仿宋"/>
                <w:color w:val="auto"/>
                <w:spacing w:val="6"/>
                <w:sz w:val="18"/>
                <w:szCs w:val="18"/>
                <w:highlight w:val="none"/>
                <w:lang w:eastAsia="zh-CN"/>
              </w:rPr>
              <w:t>量≤</w:t>
            </w:r>
            <w:r>
              <w:rPr>
                <w:rFonts w:hint="eastAsia" w:ascii="仿宋" w:hAnsi="仿宋" w:eastAsia="仿宋" w:cs="仿宋"/>
                <w:color w:val="auto"/>
                <w:spacing w:val="33"/>
                <w:sz w:val="18"/>
                <w:szCs w:val="18"/>
                <w:highlight w:val="none"/>
                <w:lang w:eastAsia="zh-CN"/>
              </w:rPr>
              <w:t xml:space="preserve"> </w:t>
            </w:r>
            <w:r>
              <w:rPr>
                <w:rFonts w:hint="eastAsia" w:ascii="仿宋" w:hAnsi="仿宋" w:eastAsia="仿宋" w:cs="仿宋"/>
                <w:color w:val="auto"/>
                <w:spacing w:val="6"/>
                <w:sz w:val="18"/>
                <w:szCs w:val="18"/>
                <w:highlight w:val="none"/>
                <w:lang w:eastAsia="zh-CN"/>
              </w:rPr>
              <w:t>14000W）</w:t>
            </w:r>
          </w:p>
        </w:tc>
        <w:tc>
          <w:tcPr>
            <w:tcW w:w="4373" w:type="dxa"/>
            <w:vAlign w:val="center"/>
          </w:tcPr>
          <w:p w14:paraId="4EAB29B8">
            <w:pPr>
              <w:pStyle w:val="118"/>
              <w:spacing w:before="159" w:line="252" w:lineRule="auto"/>
              <w:ind w:left="121" w:right="104" w:hanging="6"/>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5"/>
                <w:sz w:val="18"/>
                <w:szCs w:val="18"/>
                <w:highlight w:val="none"/>
                <w:lang w:eastAsia="zh-CN"/>
              </w:rPr>
              <w:t>《多联式空调（热泵）机组能效限定值及能源效率等级》（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5"/>
                <w:sz w:val="18"/>
                <w:szCs w:val="18"/>
                <w:highlight w:val="none"/>
                <w:lang w:eastAsia="zh-CN"/>
              </w:rPr>
              <w:t>21454）</w:t>
            </w:r>
          </w:p>
        </w:tc>
      </w:tr>
      <w:tr w14:paraId="3B28C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311EFCE7">
            <w:pPr>
              <w:jc w:val="center"/>
              <w:rPr>
                <w:rFonts w:hint="eastAsia" w:ascii="仿宋" w:hAnsi="仿宋" w:eastAsia="仿宋" w:cs="仿宋"/>
                <w:color w:val="auto"/>
                <w:sz w:val="18"/>
                <w:szCs w:val="18"/>
                <w:highlight w:val="none"/>
              </w:rPr>
            </w:pPr>
          </w:p>
        </w:tc>
        <w:tc>
          <w:tcPr>
            <w:tcW w:w="1275" w:type="dxa"/>
            <w:vMerge w:val="continue"/>
            <w:vAlign w:val="center"/>
          </w:tcPr>
          <w:p w14:paraId="0CD8FE37">
            <w:pPr>
              <w:jc w:val="center"/>
              <w:rPr>
                <w:rFonts w:hint="eastAsia" w:ascii="仿宋" w:hAnsi="仿宋" w:eastAsia="仿宋" w:cs="仿宋"/>
                <w:color w:val="auto"/>
                <w:sz w:val="18"/>
                <w:szCs w:val="18"/>
                <w:highlight w:val="none"/>
              </w:rPr>
            </w:pPr>
          </w:p>
        </w:tc>
        <w:tc>
          <w:tcPr>
            <w:tcW w:w="1725" w:type="dxa"/>
            <w:vMerge w:val="continue"/>
            <w:vAlign w:val="center"/>
          </w:tcPr>
          <w:p w14:paraId="7B9D44B7">
            <w:pPr>
              <w:jc w:val="center"/>
              <w:rPr>
                <w:rFonts w:hint="eastAsia" w:ascii="仿宋" w:hAnsi="仿宋" w:eastAsia="仿宋" w:cs="仿宋"/>
                <w:color w:val="auto"/>
                <w:sz w:val="18"/>
                <w:szCs w:val="18"/>
                <w:highlight w:val="none"/>
              </w:rPr>
            </w:pPr>
          </w:p>
        </w:tc>
        <w:tc>
          <w:tcPr>
            <w:tcW w:w="1912" w:type="dxa"/>
            <w:vAlign w:val="center"/>
          </w:tcPr>
          <w:p w14:paraId="5B621E49">
            <w:pPr>
              <w:pStyle w:val="118"/>
              <w:spacing w:before="28" w:line="230" w:lineRule="auto"/>
              <w:ind w:left="214"/>
              <w:jc w:val="center"/>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7"/>
                <w:sz w:val="18"/>
                <w:szCs w:val="18"/>
                <w:highlight w:val="none"/>
                <w:lang w:eastAsia="zh-CN"/>
              </w:rPr>
              <w:t>单元式空气调</w:t>
            </w:r>
          </w:p>
          <w:p w14:paraId="5E30AF75">
            <w:pPr>
              <w:pStyle w:val="118"/>
              <w:spacing w:before="22" w:line="231" w:lineRule="auto"/>
              <w:ind w:left="164"/>
              <w:jc w:val="center"/>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6"/>
                <w:sz w:val="18"/>
                <w:szCs w:val="18"/>
                <w:highlight w:val="none"/>
                <w:lang w:eastAsia="zh-CN"/>
              </w:rPr>
              <w:t>节机(制冷量≤</w:t>
            </w:r>
          </w:p>
          <w:p w14:paraId="0CC80CA6">
            <w:pPr>
              <w:pStyle w:val="118"/>
              <w:spacing w:before="22" w:line="218" w:lineRule="auto"/>
              <w:ind w:left="468"/>
              <w:jc w:val="center"/>
              <w:rPr>
                <w:rFonts w:hint="eastAsia" w:ascii="仿宋" w:hAnsi="仿宋" w:eastAsia="仿宋" w:cs="仿宋"/>
                <w:color w:val="auto"/>
                <w:sz w:val="18"/>
                <w:szCs w:val="18"/>
                <w:highlight w:val="none"/>
              </w:rPr>
            </w:pPr>
            <w:r>
              <w:rPr>
                <w:rFonts w:hint="eastAsia" w:ascii="仿宋" w:hAnsi="仿宋" w:eastAsia="仿宋" w:cs="仿宋"/>
                <w:color w:val="auto"/>
                <w:spacing w:val="1"/>
                <w:sz w:val="18"/>
                <w:szCs w:val="18"/>
                <w:highlight w:val="none"/>
              </w:rPr>
              <w:t>14000W)</w:t>
            </w:r>
          </w:p>
        </w:tc>
        <w:tc>
          <w:tcPr>
            <w:tcW w:w="4373" w:type="dxa"/>
            <w:vAlign w:val="center"/>
          </w:tcPr>
          <w:p w14:paraId="7199FA6B">
            <w:pPr>
              <w:pStyle w:val="118"/>
              <w:spacing w:before="27" w:line="241" w:lineRule="auto"/>
              <w:ind w:left="117" w:right="124" w:hanging="2"/>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9"/>
                <w:sz w:val="18"/>
                <w:szCs w:val="18"/>
                <w:highlight w:val="none"/>
                <w:lang w:eastAsia="zh-CN"/>
              </w:rPr>
              <w:t>《单元式空气调节机能效限定值及能源效率等</w:t>
            </w:r>
            <w:r>
              <w:rPr>
                <w:rFonts w:hint="eastAsia" w:ascii="仿宋" w:hAnsi="仿宋" w:eastAsia="仿宋" w:cs="仿宋"/>
                <w:color w:val="auto"/>
                <w:spacing w:val="8"/>
                <w:sz w:val="18"/>
                <w:szCs w:val="18"/>
                <w:highlight w:val="none"/>
                <w:lang w:eastAsia="zh-CN"/>
              </w:rPr>
              <w:t>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8"/>
                <w:sz w:val="18"/>
                <w:szCs w:val="18"/>
                <w:highlight w:val="none"/>
                <w:lang w:eastAsia="zh-CN"/>
              </w:rPr>
              <w:t>19576）《风管送风式空调机组能效限</w:t>
            </w:r>
            <w:r>
              <w:rPr>
                <w:rFonts w:hint="eastAsia" w:ascii="仿宋" w:hAnsi="仿宋" w:eastAsia="仿宋" w:cs="仿宋"/>
                <w:color w:val="auto"/>
                <w:spacing w:val="7"/>
                <w:sz w:val="18"/>
                <w:szCs w:val="18"/>
                <w:highlight w:val="none"/>
                <w:lang w:eastAsia="zh-CN"/>
              </w:rPr>
              <w:t>定值及能效等级》（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7"/>
                <w:sz w:val="18"/>
                <w:szCs w:val="18"/>
                <w:highlight w:val="none"/>
                <w:lang w:eastAsia="zh-CN"/>
              </w:rPr>
              <w:t>37479）</w:t>
            </w:r>
          </w:p>
        </w:tc>
      </w:tr>
      <w:tr w14:paraId="3B41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26FF3562">
            <w:pPr>
              <w:jc w:val="center"/>
              <w:rPr>
                <w:rFonts w:hint="eastAsia" w:ascii="仿宋" w:hAnsi="仿宋" w:eastAsia="仿宋" w:cs="仿宋"/>
                <w:color w:val="auto"/>
                <w:sz w:val="18"/>
                <w:szCs w:val="18"/>
                <w:highlight w:val="none"/>
              </w:rPr>
            </w:pPr>
          </w:p>
        </w:tc>
        <w:tc>
          <w:tcPr>
            <w:tcW w:w="1275" w:type="dxa"/>
            <w:vMerge w:val="continue"/>
            <w:vAlign w:val="center"/>
          </w:tcPr>
          <w:p w14:paraId="27AFA74D">
            <w:pPr>
              <w:jc w:val="center"/>
              <w:rPr>
                <w:rFonts w:hint="eastAsia" w:ascii="仿宋" w:hAnsi="仿宋" w:eastAsia="仿宋" w:cs="仿宋"/>
                <w:color w:val="auto"/>
                <w:sz w:val="18"/>
                <w:szCs w:val="18"/>
                <w:highlight w:val="none"/>
              </w:rPr>
            </w:pPr>
          </w:p>
        </w:tc>
        <w:tc>
          <w:tcPr>
            <w:tcW w:w="1725" w:type="dxa"/>
            <w:vAlign w:val="center"/>
          </w:tcPr>
          <w:p w14:paraId="18B1FF61">
            <w:pPr>
              <w:pStyle w:val="118"/>
              <w:spacing w:before="31" w:line="234" w:lineRule="auto"/>
              <w:ind w:left="462" w:right="202" w:hanging="266"/>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A0206180301</w:t>
            </w:r>
            <w:r>
              <w:rPr>
                <w:rFonts w:hint="eastAsia" w:ascii="仿宋" w:hAnsi="仿宋" w:eastAsia="仿宋" w:cs="仿宋"/>
                <w:color w:val="auto"/>
                <w:spacing w:val="3"/>
                <w:sz w:val="18"/>
                <w:szCs w:val="18"/>
                <w:highlight w:val="none"/>
              </w:rPr>
              <w:t>洗衣机</w:t>
            </w:r>
          </w:p>
        </w:tc>
        <w:tc>
          <w:tcPr>
            <w:tcW w:w="1912" w:type="dxa"/>
            <w:vAlign w:val="center"/>
          </w:tcPr>
          <w:p w14:paraId="7F9EEDDF">
            <w:pPr>
              <w:jc w:val="center"/>
              <w:rPr>
                <w:rFonts w:hint="eastAsia" w:ascii="仿宋" w:hAnsi="仿宋" w:eastAsia="仿宋" w:cs="仿宋"/>
                <w:color w:val="auto"/>
                <w:sz w:val="18"/>
                <w:szCs w:val="18"/>
                <w:highlight w:val="none"/>
              </w:rPr>
            </w:pPr>
          </w:p>
        </w:tc>
        <w:tc>
          <w:tcPr>
            <w:tcW w:w="4373" w:type="dxa"/>
            <w:vAlign w:val="center"/>
          </w:tcPr>
          <w:p w14:paraId="0F1888B7">
            <w:pPr>
              <w:pStyle w:val="118"/>
              <w:spacing w:before="31" w:line="234" w:lineRule="auto"/>
              <w:ind w:left="119" w:right="834" w:hanging="4"/>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《电动洗衣机能效水效限定值及等级》</w:t>
            </w:r>
            <w:r>
              <w:rPr>
                <w:rFonts w:hint="eastAsia" w:ascii="仿宋" w:hAnsi="仿宋" w:eastAsia="仿宋" w:cs="仿宋"/>
                <w:color w:val="auto"/>
                <w:spacing w:val="5"/>
                <w:sz w:val="18"/>
                <w:szCs w:val="18"/>
                <w:highlight w:val="none"/>
                <w:lang w:eastAsia="zh-CN"/>
              </w:rPr>
              <w:t xml:space="preserve"> </w:t>
            </w:r>
            <w:r>
              <w:rPr>
                <w:rFonts w:hint="eastAsia" w:ascii="仿宋" w:hAnsi="仿宋" w:eastAsia="仿宋" w:cs="仿宋"/>
                <w:color w:val="auto"/>
                <w:spacing w:val="4"/>
                <w:sz w:val="18"/>
                <w:szCs w:val="18"/>
                <w:highlight w:val="none"/>
                <w:lang w:eastAsia="zh-CN"/>
              </w:rPr>
              <w:t>（</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4"/>
                <w:sz w:val="18"/>
                <w:szCs w:val="18"/>
                <w:highlight w:val="none"/>
                <w:lang w:eastAsia="zh-CN"/>
              </w:rPr>
              <w:t>12021.4）</w:t>
            </w:r>
          </w:p>
        </w:tc>
      </w:tr>
      <w:tr w14:paraId="25014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5A3DA85E">
            <w:pPr>
              <w:jc w:val="center"/>
              <w:rPr>
                <w:rFonts w:hint="eastAsia" w:ascii="仿宋" w:hAnsi="仿宋" w:eastAsia="仿宋" w:cs="仿宋"/>
                <w:color w:val="auto"/>
                <w:sz w:val="18"/>
                <w:szCs w:val="18"/>
                <w:highlight w:val="none"/>
              </w:rPr>
            </w:pPr>
          </w:p>
        </w:tc>
        <w:tc>
          <w:tcPr>
            <w:tcW w:w="1275" w:type="dxa"/>
            <w:vMerge w:val="continue"/>
            <w:vAlign w:val="center"/>
          </w:tcPr>
          <w:p w14:paraId="0A70FEBC">
            <w:pPr>
              <w:jc w:val="center"/>
              <w:rPr>
                <w:rFonts w:hint="eastAsia" w:ascii="仿宋" w:hAnsi="仿宋" w:eastAsia="仿宋" w:cs="仿宋"/>
                <w:color w:val="auto"/>
                <w:sz w:val="18"/>
                <w:szCs w:val="18"/>
                <w:highlight w:val="none"/>
              </w:rPr>
            </w:pPr>
          </w:p>
        </w:tc>
        <w:tc>
          <w:tcPr>
            <w:tcW w:w="1725" w:type="dxa"/>
            <w:vMerge w:val="restart"/>
            <w:vAlign w:val="center"/>
          </w:tcPr>
          <w:p w14:paraId="2BE92AF2">
            <w:pPr>
              <w:pStyle w:val="118"/>
              <w:spacing w:before="61" w:line="252" w:lineRule="auto"/>
              <w:ind w:right="179"/>
              <w:jc w:val="center"/>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A02061808</w:t>
            </w:r>
            <w:r>
              <w:rPr>
                <w:rFonts w:hint="eastAsia" w:ascii="仿宋" w:hAnsi="仿宋" w:eastAsia="仿宋" w:cs="仿宋"/>
                <w:color w:val="auto"/>
                <w:spacing w:val="-25"/>
                <w:sz w:val="18"/>
                <w:szCs w:val="18"/>
                <w:highlight w:val="none"/>
              </w:rPr>
              <w:t xml:space="preserve"> </w:t>
            </w:r>
            <w:r>
              <w:rPr>
                <w:rFonts w:hint="eastAsia" w:ascii="仿宋" w:hAnsi="仿宋" w:eastAsia="仿宋" w:cs="仿宋"/>
                <w:color w:val="auto"/>
                <w:spacing w:val="3"/>
                <w:sz w:val="18"/>
                <w:szCs w:val="18"/>
                <w:highlight w:val="none"/>
              </w:rPr>
              <w:t>热</w:t>
            </w:r>
            <w:r>
              <w:rPr>
                <w:rFonts w:hint="eastAsia" w:ascii="仿宋" w:hAnsi="仿宋" w:eastAsia="仿宋" w:cs="仿宋"/>
                <w:color w:val="auto"/>
                <w:spacing w:val="2"/>
                <w:sz w:val="18"/>
                <w:szCs w:val="18"/>
                <w:highlight w:val="none"/>
              </w:rPr>
              <w:t>水器</w:t>
            </w:r>
          </w:p>
        </w:tc>
        <w:tc>
          <w:tcPr>
            <w:tcW w:w="1912" w:type="dxa"/>
            <w:vAlign w:val="center"/>
          </w:tcPr>
          <w:p w14:paraId="2B2145AE">
            <w:pPr>
              <w:pStyle w:val="118"/>
              <w:spacing w:before="160" w:line="232" w:lineRule="auto"/>
              <w:ind w:left="306"/>
              <w:jc w:val="center"/>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★电热水器</w:t>
            </w:r>
          </w:p>
        </w:tc>
        <w:tc>
          <w:tcPr>
            <w:tcW w:w="4373" w:type="dxa"/>
            <w:vAlign w:val="center"/>
          </w:tcPr>
          <w:p w14:paraId="367AEDCB">
            <w:pPr>
              <w:pStyle w:val="118"/>
              <w:spacing w:before="31" w:line="234" w:lineRule="auto"/>
              <w:ind w:left="119" w:right="434" w:hanging="4"/>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《储水式电热水器能效限定值及能效等级》</w:t>
            </w:r>
            <w:r>
              <w:rPr>
                <w:rFonts w:hint="eastAsia" w:ascii="仿宋" w:hAnsi="仿宋" w:eastAsia="仿宋" w:cs="仿宋"/>
                <w:color w:val="auto"/>
                <w:spacing w:val="10"/>
                <w:sz w:val="18"/>
                <w:szCs w:val="18"/>
                <w:highlight w:val="none"/>
                <w:lang w:eastAsia="zh-CN"/>
              </w:rPr>
              <w:t xml:space="preserve"> </w:t>
            </w:r>
            <w:r>
              <w:rPr>
                <w:rFonts w:hint="eastAsia" w:ascii="仿宋" w:hAnsi="仿宋" w:eastAsia="仿宋" w:cs="仿宋"/>
                <w:color w:val="auto"/>
                <w:spacing w:val="3"/>
                <w:sz w:val="18"/>
                <w:szCs w:val="18"/>
                <w:highlight w:val="none"/>
                <w:lang w:eastAsia="zh-CN"/>
              </w:rPr>
              <w:t>（</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3"/>
                <w:sz w:val="18"/>
                <w:szCs w:val="18"/>
                <w:highlight w:val="none"/>
                <w:lang w:eastAsia="zh-CN"/>
              </w:rPr>
              <w:t>21519）</w:t>
            </w:r>
          </w:p>
        </w:tc>
      </w:tr>
      <w:tr w14:paraId="41A6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3CF8DBCF">
            <w:pPr>
              <w:jc w:val="center"/>
              <w:rPr>
                <w:rFonts w:hint="eastAsia" w:ascii="仿宋" w:hAnsi="仿宋" w:eastAsia="仿宋" w:cs="仿宋"/>
                <w:color w:val="auto"/>
                <w:sz w:val="18"/>
                <w:szCs w:val="18"/>
                <w:highlight w:val="none"/>
              </w:rPr>
            </w:pPr>
          </w:p>
        </w:tc>
        <w:tc>
          <w:tcPr>
            <w:tcW w:w="1275" w:type="dxa"/>
            <w:vMerge w:val="continue"/>
            <w:vAlign w:val="center"/>
          </w:tcPr>
          <w:p w14:paraId="32155DDB">
            <w:pPr>
              <w:jc w:val="center"/>
              <w:rPr>
                <w:rFonts w:hint="eastAsia" w:ascii="仿宋" w:hAnsi="仿宋" w:eastAsia="仿宋" w:cs="仿宋"/>
                <w:color w:val="auto"/>
                <w:sz w:val="18"/>
                <w:szCs w:val="18"/>
                <w:highlight w:val="none"/>
              </w:rPr>
            </w:pPr>
          </w:p>
        </w:tc>
        <w:tc>
          <w:tcPr>
            <w:tcW w:w="1725" w:type="dxa"/>
            <w:vMerge w:val="continue"/>
            <w:vAlign w:val="center"/>
          </w:tcPr>
          <w:p w14:paraId="78BE633C">
            <w:pPr>
              <w:jc w:val="center"/>
              <w:rPr>
                <w:rFonts w:hint="eastAsia" w:ascii="仿宋" w:hAnsi="仿宋" w:eastAsia="仿宋" w:cs="仿宋"/>
                <w:color w:val="auto"/>
                <w:sz w:val="18"/>
                <w:szCs w:val="18"/>
                <w:highlight w:val="none"/>
              </w:rPr>
            </w:pPr>
          </w:p>
        </w:tc>
        <w:tc>
          <w:tcPr>
            <w:tcW w:w="1912" w:type="dxa"/>
            <w:vAlign w:val="center"/>
          </w:tcPr>
          <w:p w14:paraId="3AF1FC58">
            <w:pPr>
              <w:pStyle w:val="118"/>
              <w:spacing w:before="162" w:line="232" w:lineRule="auto"/>
              <w:ind w:left="309"/>
              <w:jc w:val="center"/>
              <w:rPr>
                <w:rFonts w:hint="eastAsia" w:ascii="仿宋" w:hAnsi="仿宋" w:eastAsia="仿宋" w:cs="仿宋"/>
                <w:color w:val="auto"/>
                <w:sz w:val="18"/>
                <w:szCs w:val="18"/>
                <w:highlight w:val="none"/>
              </w:rPr>
            </w:pPr>
            <w:r>
              <w:rPr>
                <w:rFonts w:hint="eastAsia" w:ascii="仿宋" w:hAnsi="仿宋" w:eastAsia="仿宋" w:cs="仿宋"/>
                <w:color w:val="auto"/>
                <w:spacing w:val="6"/>
                <w:sz w:val="18"/>
                <w:szCs w:val="18"/>
                <w:highlight w:val="none"/>
              </w:rPr>
              <w:t>燃气热水器</w:t>
            </w:r>
          </w:p>
        </w:tc>
        <w:tc>
          <w:tcPr>
            <w:tcW w:w="4373" w:type="dxa"/>
            <w:vAlign w:val="center"/>
          </w:tcPr>
          <w:p w14:paraId="706A8612">
            <w:pPr>
              <w:pStyle w:val="118"/>
              <w:spacing w:before="33" w:line="233" w:lineRule="auto"/>
              <w:ind w:left="127" w:right="222" w:hanging="12"/>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9"/>
                <w:sz w:val="18"/>
                <w:szCs w:val="18"/>
                <w:highlight w:val="none"/>
                <w:lang w:eastAsia="zh-CN"/>
              </w:rPr>
              <w:t>《家用燃气快速热水器和燃气采暖热水炉能效</w:t>
            </w:r>
            <w:r>
              <w:rPr>
                <w:rFonts w:hint="eastAsia" w:ascii="仿宋" w:hAnsi="仿宋" w:eastAsia="仿宋" w:cs="仿宋"/>
                <w:color w:val="auto"/>
                <w:spacing w:val="6"/>
                <w:sz w:val="18"/>
                <w:szCs w:val="18"/>
                <w:highlight w:val="none"/>
                <w:lang w:eastAsia="zh-CN"/>
              </w:rPr>
              <w:t>限定值及能效等级》（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6"/>
                <w:sz w:val="18"/>
                <w:szCs w:val="18"/>
                <w:highlight w:val="none"/>
                <w:lang w:eastAsia="zh-CN"/>
              </w:rPr>
              <w:t>20665）</w:t>
            </w:r>
          </w:p>
        </w:tc>
      </w:tr>
      <w:tr w14:paraId="728D7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24CC225D">
            <w:pPr>
              <w:jc w:val="center"/>
              <w:rPr>
                <w:rFonts w:hint="eastAsia" w:ascii="仿宋" w:hAnsi="仿宋" w:eastAsia="仿宋" w:cs="仿宋"/>
                <w:color w:val="auto"/>
                <w:sz w:val="18"/>
                <w:szCs w:val="18"/>
                <w:highlight w:val="none"/>
              </w:rPr>
            </w:pPr>
          </w:p>
        </w:tc>
        <w:tc>
          <w:tcPr>
            <w:tcW w:w="1275" w:type="dxa"/>
            <w:vMerge w:val="continue"/>
            <w:vAlign w:val="center"/>
          </w:tcPr>
          <w:p w14:paraId="464F1610">
            <w:pPr>
              <w:jc w:val="center"/>
              <w:rPr>
                <w:rFonts w:hint="eastAsia" w:ascii="仿宋" w:hAnsi="仿宋" w:eastAsia="仿宋" w:cs="仿宋"/>
                <w:color w:val="auto"/>
                <w:sz w:val="18"/>
                <w:szCs w:val="18"/>
                <w:highlight w:val="none"/>
              </w:rPr>
            </w:pPr>
          </w:p>
        </w:tc>
        <w:tc>
          <w:tcPr>
            <w:tcW w:w="1725" w:type="dxa"/>
            <w:vMerge w:val="continue"/>
            <w:vAlign w:val="center"/>
          </w:tcPr>
          <w:p w14:paraId="630E3A34">
            <w:pPr>
              <w:jc w:val="center"/>
              <w:rPr>
                <w:rFonts w:hint="eastAsia" w:ascii="仿宋" w:hAnsi="仿宋" w:eastAsia="仿宋" w:cs="仿宋"/>
                <w:color w:val="auto"/>
                <w:sz w:val="18"/>
                <w:szCs w:val="18"/>
                <w:highlight w:val="none"/>
              </w:rPr>
            </w:pPr>
          </w:p>
        </w:tc>
        <w:tc>
          <w:tcPr>
            <w:tcW w:w="1912" w:type="dxa"/>
            <w:vAlign w:val="center"/>
          </w:tcPr>
          <w:p w14:paraId="33DBC74A">
            <w:pPr>
              <w:pStyle w:val="118"/>
              <w:spacing w:before="162" w:line="232" w:lineRule="auto"/>
              <w:ind w:left="310"/>
              <w:jc w:val="center"/>
              <w:rPr>
                <w:rFonts w:hint="eastAsia" w:ascii="仿宋" w:hAnsi="仿宋" w:eastAsia="仿宋" w:cs="仿宋"/>
                <w:color w:val="auto"/>
                <w:sz w:val="18"/>
                <w:szCs w:val="18"/>
                <w:highlight w:val="none"/>
              </w:rPr>
            </w:pPr>
            <w:r>
              <w:rPr>
                <w:rFonts w:hint="eastAsia" w:ascii="仿宋" w:hAnsi="仿宋" w:eastAsia="仿宋" w:cs="仿宋"/>
                <w:color w:val="auto"/>
                <w:spacing w:val="6"/>
                <w:sz w:val="18"/>
                <w:szCs w:val="18"/>
                <w:highlight w:val="none"/>
              </w:rPr>
              <w:t>热泵热水器</w:t>
            </w:r>
          </w:p>
        </w:tc>
        <w:tc>
          <w:tcPr>
            <w:tcW w:w="4373" w:type="dxa"/>
            <w:vAlign w:val="center"/>
          </w:tcPr>
          <w:p w14:paraId="11793907">
            <w:pPr>
              <w:pStyle w:val="118"/>
              <w:spacing w:before="35" w:line="232" w:lineRule="auto"/>
              <w:ind w:left="119" w:right="234" w:hanging="4"/>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《热泵热水机（器）能效限定值及能效等级》</w:t>
            </w:r>
            <w:r>
              <w:rPr>
                <w:rFonts w:hint="eastAsia" w:ascii="仿宋" w:hAnsi="仿宋" w:eastAsia="仿宋" w:cs="仿宋"/>
                <w:color w:val="auto"/>
                <w:spacing w:val="11"/>
                <w:sz w:val="18"/>
                <w:szCs w:val="18"/>
                <w:highlight w:val="none"/>
                <w:lang w:eastAsia="zh-CN"/>
              </w:rPr>
              <w:t xml:space="preserve"> </w:t>
            </w:r>
            <w:r>
              <w:rPr>
                <w:rFonts w:hint="eastAsia" w:ascii="仿宋" w:hAnsi="仿宋" w:eastAsia="仿宋" w:cs="仿宋"/>
                <w:color w:val="auto"/>
                <w:spacing w:val="3"/>
                <w:sz w:val="18"/>
                <w:szCs w:val="18"/>
                <w:highlight w:val="none"/>
                <w:lang w:eastAsia="zh-CN"/>
              </w:rPr>
              <w:t>（</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3"/>
                <w:sz w:val="18"/>
                <w:szCs w:val="18"/>
                <w:highlight w:val="none"/>
                <w:lang w:eastAsia="zh-CN"/>
              </w:rPr>
              <w:t>29541）</w:t>
            </w:r>
          </w:p>
        </w:tc>
      </w:tr>
      <w:tr w14:paraId="283C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393C2211">
            <w:pPr>
              <w:jc w:val="center"/>
              <w:rPr>
                <w:rFonts w:hint="eastAsia" w:ascii="仿宋" w:hAnsi="仿宋" w:eastAsia="仿宋" w:cs="仿宋"/>
                <w:color w:val="auto"/>
                <w:sz w:val="18"/>
                <w:szCs w:val="18"/>
                <w:highlight w:val="none"/>
              </w:rPr>
            </w:pPr>
          </w:p>
        </w:tc>
        <w:tc>
          <w:tcPr>
            <w:tcW w:w="1275" w:type="dxa"/>
            <w:vMerge w:val="continue"/>
            <w:vAlign w:val="center"/>
          </w:tcPr>
          <w:p w14:paraId="52F3A6FD">
            <w:pPr>
              <w:jc w:val="center"/>
              <w:rPr>
                <w:rFonts w:hint="eastAsia" w:ascii="仿宋" w:hAnsi="仿宋" w:eastAsia="仿宋" w:cs="仿宋"/>
                <w:color w:val="auto"/>
                <w:sz w:val="18"/>
                <w:szCs w:val="18"/>
                <w:highlight w:val="none"/>
              </w:rPr>
            </w:pPr>
          </w:p>
        </w:tc>
        <w:tc>
          <w:tcPr>
            <w:tcW w:w="1725" w:type="dxa"/>
            <w:vMerge w:val="continue"/>
            <w:vAlign w:val="center"/>
          </w:tcPr>
          <w:p w14:paraId="685A1651">
            <w:pPr>
              <w:jc w:val="center"/>
              <w:rPr>
                <w:rFonts w:hint="eastAsia" w:ascii="仿宋" w:hAnsi="仿宋" w:eastAsia="仿宋" w:cs="仿宋"/>
                <w:color w:val="auto"/>
                <w:sz w:val="18"/>
                <w:szCs w:val="18"/>
                <w:highlight w:val="none"/>
              </w:rPr>
            </w:pPr>
          </w:p>
        </w:tc>
        <w:tc>
          <w:tcPr>
            <w:tcW w:w="1912" w:type="dxa"/>
            <w:vAlign w:val="center"/>
          </w:tcPr>
          <w:p w14:paraId="63171C88">
            <w:pPr>
              <w:pStyle w:val="118"/>
              <w:spacing w:before="35" w:line="232" w:lineRule="auto"/>
              <w:ind w:left="712" w:right="197" w:hanging="501"/>
              <w:jc w:val="center"/>
              <w:rPr>
                <w:rFonts w:hint="eastAsia" w:ascii="仿宋" w:hAnsi="仿宋" w:eastAsia="仿宋" w:cs="仿宋"/>
                <w:color w:val="auto"/>
                <w:sz w:val="18"/>
                <w:szCs w:val="18"/>
                <w:highlight w:val="none"/>
              </w:rPr>
            </w:pPr>
            <w:r>
              <w:rPr>
                <w:rFonts w:hint="eastAsia" w:ascii="仿宋" w:hAnsi="仿宋" w:eastAsia="仿宋" w:cs="仿宋"/>
                <w:color w:val="auto"/>
                <w:spacing w:val="7"/>
                <w:sz w:val="18"/>
                <w:szCs w:val="18"/>
                <w:highlight w:val="none"/>
              </w:rPr>
              <w:t>太阳能热水系</w:t>
            </w:r>
            <w:r>
              <w:rPr>
                <w:rFonts w:hint="eastAsia" w:ascii="仿宋" w:hAnsi="仿宋" w:eastAsia="仿宋" w:cs="仿宋"/>
                <w:color w:val="auto"/>
                <w:sz w:val="18"/>
                <w:szCs w:val="18"/>
                <w:highlight w:val="none"/>
              </w:rPr>
              <w:t>统</w:t>
            </w:r>
          </w:p>
        </w:tc>
        <w:tc>
          <w:tcPr>
            <w:tcW w:w="4373" w:type="dxa"/>
            <w:vAlign w:val="center"/>
          </w:tcPr>
          <w:p w14:paraId="08AE77F5">
            <w:pPr>
              <w:pStyle w:val="118"/>
              <w:spacing w:before="35" w:line="232" w:lineRule="auto"/>
              <w:ind w:left="119" w:right="35" w:hanging="4"/>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《家用太阳能热水系统能效限定值及能效等级》</w:t>
            </w:r>
            <w:r>
              <w:rPr>
                <w:rFonts w:hint="eastAsia" w:ascii="仿宋" w:hAnsi="仿宋" w:eastAsia="仿宋" w:cs="仿宋"/>
                <w:color w:val="auto"/>
                <w:spacing w:val="13"/>
                <w:sz w:val="18"/>
                <w:szCs w:val="18"/>
                <w:highlight w:val="none"/>
                <w:lang w:eastAsia="zh-CN"/>
              </w:rPr>
              <w:t xml:space="preserve"> </w:t>
            </w:r>
            <w:r>
              <w:rPr>
                <w:rFonts w:hint="eastAsia" w:ascii="仿宋" w:hAnsi="仿宋" w:eastAsia="仿宋" w:cs="仿宋"/>
                <w:color w:val="auto"/>
                <w:spacing w:val="3"/>
                <w:sz w:val="18"/>
                <w:szCs w:val="18"/>
                <w:highlight w:val="none"/>
                <w:lang w:eastAsia="zh-CN"/>
              </w:rPr>
              <w:t>（</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3"/>
                <w:sz w:val="18"/>
                <w:szCs w:val="18"/>
                <w:highlight w:val="none"/>
                <w:lang w:eastAsia="zh-CN"/>
              </w:rPr>
              <w:t>26969）</w:t>
            </w:r>
          </w:p>
        </w:tc>
      </w:tr>
      <w:tr w14:paraId="7B42B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restart"/>
            <w:vAlign w:val="center"/>
          </w:tcPr>
          <w:p w14:paraId="3B545DF5">
            <w:pPr>
              <w:pStyle w:val="118"/>
              <w:spacing w:before="62" w:line="259" w:lineRule="exact"/>
              <w:jc w:val="center"/>
              <w:rPr>
                <w:rFonts w:hint="eastAsia" w:ascii="仿宋" w:hAnsi="仿宋" w:eastAsia="仿宋" w:cs="仿宋"/>
                <w:color w:val="auto"/>
                <w:sz w:val="18"/>
                <w:szCs w:val="18"/>
                <w:highlight w:val="none"/>
              </w:rPr>
            </w:pPr>
            <w:r>
              <w:rPr>
                <w:rFonts w:hint="eastAsia" w:ascii="仿宋" w:hAnsi="仿宋" w:eastAsia="仿宋" w:cs="仿宋"/>
                <w:color w:val="auto"/>
                <w:spacing w:val="-6"/>
                <w:position w:val="1"/>
                <w:sz w:val="18"/>
                <w:szCs w:val="18"/>
                <w:highlight w:val="none"/>
              </w:rPr>
              <w:t>11</w:t>
            </w:r>
          </w:p>
        </w:tc>
        <w:tc>
          <w:tcPr>
            <w:tcW w:w="1275" w:type="dxa"/>
            <w:vMerge w:val="restart"/>
            <w:vAlign w:val="center"/>
          </w:tcPr>
          <w:p w14:paraId="2EA5550D">
            <w:pPr>
              <w:pStyle w:val="118"/>
              <w:spacing w:before="62" w:line="253" w:lineRule="auto"/>
              <w:ind w:right="156"/>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A020619</w:t>
            </w:r>
            <w:r>
              <w:rPr>
                <w:rFonts w:hint="eastAsia" w:ascii="仿宋" w:hAnsi="仿宋" w:eastAsia="仿宋" w:cs="仿宋"/>
                <w:color w:val="auto"/>
                <w:spacing w:val="5"/>
                <w:sz w:val="18"/>
                <w:szCs w:val="18"/>
                <w:highlight w:val="none"/>
              </w:rPr>
              <w:t>照明设备</w:t>
            </w:r>
          </w:p>
        </w:tc>
        <w:tc>
          <w:tcPr>
            <w:tcW w:w="1725" w:type="dxa"/>
            <w:vAlign w:val="center"/>
          </w:tcPr>
          <w:p w14:paraId="17BC8D6C">
            <w:pPr>
              <w:pStyle w:val="118"/>
              <w:spacing w:before="33" w:line="233" w:lineRule="auto"/>
              <w:ind w:left="258" w:right="155" w:hanging="102"/>
              <w:jc w:val="center"/>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7"/>
                <w:sz w:val="18"/>
                <w:szCs w:val="18"/>
                <w:highlight w:val="none"/>
                <w:lang w:eastAsia="zh-CN"/>
              </w:rPr>
              <w:t>★普通照明用双端荧光灯</w:t>
            </w:r>
          </w:p>
        </w:tc>
        <w:tc>
          <w:tcPr>
            <w:tcW w:w="1912" w:type="dxa"/>
            <w:vAlign w:val="center"/>
          </w:tcPr>
          <w:p w14:paraId="378A1677">
            <w:pPr>
              <w:jc w:val="center"/>
              <w:rPr>
                <w:rFonts w:hint="eastAsia" w:ascii="仿宋" w:hAnsi="仿宋" w:eastAsia="仿宋" w:cs="仿宋"/>
                <w:color w:val="auto"/>
                <w:sz w:val="18"/>
                <w:szCs w:val="18"/>
                <w:highlight w:val="none"/>
              </w:rPr>
            </w:pPr>
          </w:p>
        </w:tc>
        <w:tc>
          <w:tcPr>
            <w:tcW w:w="4373" w:type="dxa"/>
            <w:vAlign w:val="center"/>
          </w:tcPr>
          <w:p w14:paraId="478CAFD7">
            <w:pPr>
              <w:pStyle w:val="118"/>
              <w:spacing w:before="33" w:line="233" w:lineRule="auto"/>
              <w:ind w:left="117" w:right="222" w:hanging="2"/>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9"/>
                <w:sz w:val="18"/>
                <w:szCs w:val="18"/>
                <w:highlight w:val="none"/>
                <w:lang w:eastAsia="zh-CN"/>
              </w:rPr>
              <w:t>《普通照明用双端荧光灯能效限定值及能效等</w:t>
            </w:r>
            <w:r>
              <w:rPr>
                <w:rFonts w:hint="eastAsia" w:ascii="仿宋" w:hAnsi="仿宋" w:eastAsia="仿宋" w:cs="仿宋"/>
                <w:color w:val="auto"/>
                <w:spacing w:val="5"/>
                <w:sz w:val="18"/>
                <w:szCs w:val="18"/>
                <w:highlight w:val="none"/>
                <w:lang w:eastAsia="zh-CN"/>
              </w:rPr>
              <w:t>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5"/>
                <w:sz w:val="18"/>
                <w:szCs w:val="18"/>
                <w:highlight w:val="none"/>
                <w:lang w:eastAsia="zh-CN"/>
              </w:rPr>
              <w:t>19043）</w:t>
            </w:r>
          </w:p>
        </w:tc>
      </w:tr>
      <w:tr w14:paraId="736B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49AA07F6">
            <w:pPr>
              <w:jc w:val="center"/>
              <w:rPr>
                <w:rFonts w:hint="eastAsia" w:ascii="仿宋" w:hAnsi="仿宋" w:eastAsia="仿宋" w:cs="仿宋"/>
                <w:color w:val="auto"/>
                <w:sz w:val="18"/>
                <w:szCs w:val="18"/>
                <w:highlight w:val="none"/>
              </w:rPr>
            </w:pPr>
          </w:p>
        </w:tc>
        <w:tc>
          <w:tcPr>
            <w:tcW w:w="1275" w:type="dxa"/>
            <w:vMerge w:val="continue"/>
            <w:vAlign w:val="center"/>
          </w:tcPr>
          <w:p w14:paraId="1B00449B">
            <w:pPr>
              <w:jc w:val="center"/>
              <w:rPr>
                <w:rFonts w:hint="eastAsia" w:ascii="仿宋" w:hAnsi="仿宋" w:eastAsia="仿宋" w:cs="仿宋"/>
                <w:color w:val="auto"/>
                <w:sz w:val="18"/>
                <w:szCs w:val="18"/>
                <w:highlight w:val="none"/>
              </w:rPr>
            </w:pPr>
          </w:p>
        </w:tc>
        <w:tc>
          <w:tcPr>
            <w:tcW w:w="1725" w:type="dxa"/>
            <w:vAlign w:val="center"/>
          </w:tcPr>
          <w:p w14:paraId="7454B8C9">
            <w:pPr>
              <w:pStyle w:val="118"/>
              <w:spacing w:before="35" w:line="232" w:lineRule="auto"/>
              <w:ind w:left="361" w:right="129" w:hanging="235"/>
              <w:jc w:val="center"/>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LED</w:t>
            </w:r>
            <w:r>
              <w:rPr>
                <w:rFonts w:hint="eastAsia" w:ascii="仿宋" w:hAnsi="仿宋" w:eastAsia="仿宋" w:cs="仿宋"/>
                <w:color w:val="auto"/>
                <w:spacing w:val="-29"/>
                <w:sz w:val="18"/>
                <w:szCs w:val="18"/>
                <w:highlight w:val="none"/>
              </w:rPr>
              <w:t xml:space="preserve"> </w:t>
            </w:r>
            <w:r>
              <w:rPr>
                <w:rFonts w:hint="eastAsia" w:ascii="仿宋" w:hAnsi="仿宋" w:eastAsia="仿宋" w:cs="仿宋"/>
                <w:color w:val="auto"/>
                <w:spacing w:val="7"/>
                <w:sz w:val="18"/>
                <w:szCs w:val="18"/>
                <w:highlight w:val="none"/>
              </w:rPr>
              <w:t>道路/隧道</w:t>
            </w:r>
            <w:r>
              <w:rPr>
                <w:rFonts w:hint="eastAsia" w:ascii="仿宋" w:hAnsi="仿宋" w:eastAsia="仿宋" w:cs="仿宋"/>
                <w:color w:val="auto"/>
                <w:spacing w:val="5"/>
                <w:sz w:val="18"/>
                <w:szCs w:val="18"/>
                <w:highlight w:val="none"/>
              </w:rPr>
              <w:t>照明产品</w:t>
            </w:r>
          </w:p>
        </w:tc>
        <w:tc>
          <w:tcPr>
            <w:tcW w:w="1912" w:type="dxa"/>
            <w:vAlign w:val="center"/>
          </w:tcPr>
          <w:p w14:paraId="7141E5FC">
            <w:pPr>
              <w:jc w:val="center"/>
              <w:rPr>
                <w:rFonts w:hint="eastAsia" w:ascii="仿宋" w:hAnsi="仿宋" w:eastAsia="仿宋" w:cs="仿宋"/>
                <w:color w:val="auto"/>
                <w:sz w:val="18"/>
                <w:szCs w:val="18"/>
                <w:highlight w:val="none"/>
              </w:rPr>
            </w:pPr>
          </w:p>
        </w:tc>
        <w:tc>
          <w:tcPr>
            <w:tcW w:w="4373" w:type="dxa"/>
            <w:vAlign w:val="center"/>
          </w:tcPr>
          <w:p w14:paraId="0820F534">
            <w:pPr>
              <w:pStyle w:val="118"/>
              <w:spacing w:before="35" w:line="232" w:lineRule="auto"/>
              <w:ind w:left="118" w:right="222" w:hanging="3"/>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12"/>
                <w:sz w:val="18"/>
                <w:szCs w:val="18"/>
                <w:highlight w:val="none"/>
                <w:lang w:eastAsia="zh-CN"/>
              </w:rPr>
              <w:t>《道路和隧道照明用</w:t>
            </w:r>
            <w:r>
              <w:rPr>
                <w:rFonts w:hint="eastAsia" w:ascii="仿宋" w:hAnsi="仿宋" w:eastAsia="仿宋" w:cs="仿宋"/>
                <w:color w:val="auto"/>
                <w:sz w:val="18"/>
                <w:szCs w:val="18"/>
                <w:highlight w:val="none"/>
                <w:lang w:eastAsia="zh-CN"/>
              </w:rPr>
              <w:t>LED</w:t>
            </w:r>
            <w:r>
              <w:rPr>
                <w:rFonts w:hint="eastAsia" w:ascii="仿宋" w:hAnsi="仿宋" w:eastAsia="仿宋" w:cs="仿宋"/>
                <w:color w:val="auto"/>
                <w:spacing w:val="-32"/>
                <w:sz w:val="18"/>
                <w:szCs w:val="18"/>
                <w:highlight w:val="none"/>
                <w:lang w:eastAsia="zh-CN"/>
              </w:rPr>
              <w:t xml:space="preserve"> </w:t>
            </w:r>
            <w:r>
              <w:rPr>
                <w:rFonts w:hint="eastAsia" w:ascii="仿宋" w:hAnsi="仿宋" w:eastAsia="仿宋" w:cs="仿宋"/>
                <w:color w:val="auto"/>
                <w:spacing w:val="12"/>
                <w:sz w:val="18"/>
                <w:szCs w:val="18"/>
                <w:highlight w:val="none"/>
                <w:lang w:eastAsia="zh-CN"/>
              </w:rPr>
              <w:t>灯具能效限定值及能</w:t>
            </w:r>
            <w:r>
              <w:rPr>
                <w:rFonts w:hint="eastAsia" w:ascii="仿宋" w:hAnsi="仿宋" w:eastAsia="仿宋" w:cs="仿宋"/>
                <w:color w:val="auto"/>
                <w:spacing w:val="6"/>
                <w:sz w:val="18"/>
                <w:szCs w:val="18"/>
                <w:highlight w:val="none"/>
                <w:lang w:eastAsia="zh-CN"/>
              </w:rPr>
              <w:t>效等级》（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6"/>
                <w:sz w:val="18"/>
                <w:szCs w:val="18"/>
                <w:highlight w:val="none"/>
                <w:lang w:eastAsia="zh-CN"/>
              </w:rPr>
              <w:t>37478）</w:t>
            </w:r>
          </w:p>
        </w:tc>
      </w:tr>
      <w:tr w14:paraId="7F31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7D4FD2D6">
            <w:pPr>
              <w:jc w:val="center"/>
              <w:rPr>
                <w:rFonts w:hint="eastAsia" w:ascii="仿宋" w:hAnsi="仿宋" w:eastAsia="仿宋" w:cs="仿宋"/>
                <w:color w:val="auto"/>
                <w:sz w:val="18"/>
                <w:szCs w:val="18"/>
                <w:highlight w:val="none"/>
              </w:rPr>
            </w:pPr>
          </w:p>
        </w:tc>
        <w:tc>
          <w:tcPr>
            <w:tcW w:w="1275" w:type="dxa"/>
            <w:vMerge w:val="continue"/>
            <w:vAlign w:val="center"/>
          </w:tcPr>
          <w:p w14:paraId="7A584E74">
            <w:pPr>
              <w:jc w:val="center"/>
              <w:rPr>
                <w:rFonts w:hint="eastAsia" w:ascii="仿宋" w:hAnsi="仿宋" w:eastAsia="仿宋" w:cs="仿宋"/>
                <w:color w:val="auto"/>
                <w:sz w:val="18"/>
                <w:szCs w:val="18"/>
                <w:highlight w:val="none"/>
              </w:rPr>
            </w:pPr>
          </w:p>
        </w:tc>
        <w:tc>
          <w:tcPr>
            <w:tcW w:w="1725" w:type="dxa"/>
            <w:vAlign w:val="center"/>
          </w:tcPr>
          <w:p w14:paraId="28C6BBF1">
            <w:pPr>
              <w:pStyle w:val="118"/>
              <w:spacing w:before="165" w:line="231" w:lineRule="auto"/>
              <w:ind w:left="376"/>
              <w:jc w:val="center"/>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LED</w:t>
            </w:r>
            <w:r>
              <w:rPr>
                <w:rFonts w:hint="eastAsia" w:ascii="仿宋" w:hAnsi="仿宋" w:eastAsia="仿宋" w:cs="仿宋"/>
                <w:color w:val="auto"/>
                <w:spacing w:val="-30"/>
                <w:sz w:val="18"/>
                <w:szCs w:val="18"/>
                <w:highlight w:val="none"/>
              </w:rPr>
              <w:t xml:space="preserve"> </w:t>
            </w:r>
            <w:r>
              <w:rPr>
                <w:rFonts w:hint="eastAsia" w:ascii="仿宋" w:hAnsi="仿宋" w:eastAsia="仿宋" w:cs="仿宋"/>
                <w:color w:val="auto"/>
                <w:spacing w:val="6"/>
                <w:sz w:val="18"/>
                <w:szCs w:val="18"/>
                <w:highlight w:val="none"/>
              </w:rPr>
              <w:t>筒灯</w:t>
            </w:r>
          </w:p>
        </w:tc>
        <w:tc>
          <w:tcPr>
            <w:tcW w:w="1912" w:type="dxa"/>
            <w:vAlign w:val="center"/>
          </w:tcPr>
          <w:p w14:paraId="6B24D381">
            <w:pPr>
              <w:jc w:val="center"/>
              <w:rPr>
                <w:rFonts w:hint="eastAsia" w:ascii="仿宋" w:hAnsi="仿宋" w:eastAsia="仿宋" w:cs="仿宋"/>
                <w:color w:val="auto"/>
                <w:sz w:val="18"/>
                <w:szCs w:val="18"/>
                <w:highlight w:val="none"/>
              </w:rPr>
            </w:pPr>
          </w:p>
        </w:tc>
        <w:tc>
          <w:tcPr>
            <w:tcW w:w="4373" w:type="dxa"/>
            <w:vAlign w:val="center"/>
          </w:tcPr>
          <w:p w14:paraId="7ED2FC96">
            <w:pPr>
              <w:pStyle w:val="118"/>
              <w:spacing w:before="38" w:line="231" w:lineRule="auto"/>
              <w:ind w:left="119" w:right="35" w:hanging="4"/>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11"/>
                <w:sz w:val="18"/>
                <w:szCs w:val="18"/>
                <w:highlight w:val="none"/>
                <w:lang w:eastAsia="zh-CN"/>
              </w:rPr>
              <w:t>《室内照明用</w:t>
            </w:r>
            <w:r>
              <w:rPr>
                <w:rFonts w:hint="eastAsia" w:ascii="仿宋" w:hAnsi="仿宋" w:eastAsia="仿宋" w:cs="仿宋"/>
                <w:color w:val="auto"/>
                <w:sz w:val="18"/>
                <w:szCs w:val="18"/>
                <w:highlight w:val="none"/>
                <w:lang w:eastAsia="zh-CN"/>
              </w:rPr>
              <w:t>LED</w:t>
            </w:r>
            <w:r>
              <w:rPr>
                <w:rFonts w:hint="eastAsia" w:ascii="仿宋" w:hAnsi="仿宋" w:eastAsia="仿宋" w:cs="仿宋"/>
                <w:color w:val="auto"/>
                <w:spacing w:val="-28"/>
                <w:sz w:val="18"/>
                <w:szCs w:val="18"/>
                <w:highlight w:val="none"/>
                <w:lang w:eastAsia="zh-CN"/>
              </w:rPr>
              <w:t xml:space="preserve"> </w:t>
            </w:r>
            <w:r>
              <w:rPr>
                <w:rFonts w:hint="eastAsia" w:ascii="仿宋" w:hAnsi="仿宋" w:eastAsia="仿宋" w:cs="仿宋"/>
                <w:color w:val="auto"/>
                <w:spacing w:val="11"/>
                <w:sz w:val="18"/>
                <w:szCs w:val="18"/>
                <w:highlight w:val="none"/>
                <w:lang w:eastAsia="zh-CN"/>
              </w:rPr>
              <w:t>产品能效限定值及能效等级》</w:t>
            </w:r>
            <w:r>
              <w:rPr>
                <w:rFonts w:hint="eastAsia" w:ascii="仿宋" w:hAnsi="仿宋" w:eastAsia="仿宋" w:cs="仿宋"/>
                <w:color w:val="auto"/>
                <w:sz w:val="18"/>
                <w:szCs w:val="18"/>
                <w:highlight w:val="none"/>
                <w:lang w:eastAsia="zh-CN"/>
              </w:rPr>
              <w:t xml:space="preserve"> </w:t>
            </w:r>
            <w:r>
              <w:rPr>
                <w:rFonts w:hint="eastAsia" w:ascii="仿宋" w:hAnsi="仿宋" w:eastAsia="仿宋" w:cs="仿宋"/>
                <w:color w:val="auto"/>
                <w:spacing w:val="3"/>
                <w:sz w:val="18"/>
                <w:szCs w:val="18"/>
                <w:highlight w:val="none"/>
                <w:lang w:eastAsia="zh-CN"/>
              </w:rPr>
              <w:t>（</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3"/>
                <w:sz w:val="18"/>
                <w:szCs w:val="18"/>
                <w:highlight w:val="none"/>
                <w:lang w:eastAsia="zh-CN"/>
              </w:rPr>
              <w:t>30255）</w:t>
            </w:r>
          </w:p>
        </w:tc>
      </w:tr>
      <w:tr w14:paraId="7D2C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1736A846">
            <w:pPr>
              <w:jc w:val="center"/>
              <w:rPr>
                <w:rFonts w:hint="eastAsia" w:ascii="仿宋" w:hAnsi="仿宋" w:eastAsia="仿宋" w:cs="仿宋"/>
                <w:color w:val="auto"/>
                <w:sz w:val="18"/>
                <w:szCs w:val="18"/>
                <w:highlight w:val="none"/>
              </w:rPr>
            </w:pPr>
          </w:p>
        </w:tc>
        <w:tc>
          <w:tcPr>
            <w:tcW w:w="1275" w:type="dxa"/>
            <w:vMerge w:val="continue"/>
            <w:vAlign w:val="center"/>
          </w:tcPr>
          <w:p w14:paraId="26E25515">
            <w:pPr>
              <w:jc w:val="center"/>
              <w:rPr>
                <w:rFonts w:hint="eastAsia" w:ascii="仿宋" w:hAnsi="仿宋" w:eastAsia="仿宋" w:cs="仿宋"/>
                <w:color w:val="auto"/>
                <w:sz w:val="18"/>
                <w:szCs w:val="18"/>
                <w:highlight w:val="none"/>
              </w:rPr>
            </w:pPr>
          </w:p>
        </w:tc>
        <w:tc>
          <w:tcPr>
            <w:tcW w:w="1725" w:type="dxa"/>
            <w:vAlign w:val="center"/>
          </w:tcPr>
          <w:p w14:paraId="53E6BD53">
            <w:pPr>
              <w:pStyle w:val="118"/>
              <w:spacing w:before="36" w:line="231" w:lineRule="auto"/>
              <w:ind w:left="160"/>
              <w:jc w:val="center"/>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7"/>
                <w:sz w:val="18"/>
                <w:szCs w:val="18"/>
                <w:highlight w:val="none"/>
                <w:lang w:eastAsia="zh-CN"/>
              </w:rPr>
              <w:t>普通照明用非</w:t>
            </w:r>
          </w:p>
          <w:p w14:paraId="55FA09EB">
            <w:pPr>
              <w:pStyle w:val="118"/>
              <w:spacing w:before="21" w:line="232" w:lineRule="auto"/>
              <w:ind w:left="263"/>
              <w:jc w:val="center"/>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6"/>
                <w:sz w:val="18"/>
                <w:szCs w:val="18"/>
                <w:highlight w:val="none"/>
                <w:lang w:eastAsia="zh-CN"/>
              </w:rPr>
              <w:t>定向自镇流</w:t>
            </w:r>
          </w:p>
          <w:p w14:paraId="745B645E">
            <w:pPr>
              <w:pStyle w:val="118"/>
              <w:spacing w:before="20" w:line="211" w:lineRule="auto"/>
              <w:ind w:left="476"/>
              <w:jc w:val="center"/>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LED</w:t>
            </w:r>
            <w:r>
              <w:rPr>
                <w:rFonts w:hint="eastAsia" w:ascii="仿宋" w:hAnsi="仿宋" w:eastAsia="仿宋" w:cs="仿宋"/>
                <w:color w:val="auto"/>
                <w:spacing w:val="-34"/>
                <w:sz w:val="18"/>
                <w:szCs w:val="18"/>
                <w:highlight w:val="none"/>
              </w:rPr>
              <w:t xml:space="preserve"> </w:t>
            </w:r>
            <w:r>
              <w:rPr>
                <w:rFonts w:hint="eastAsia" w:ascii="仿宋" w:hAnsi="仿宋" w:eastAsia="仿宋" w:cs="仿宋"/>
                <w:color w:val="auto"/>
                <w:spacing w:val="8"/>
                <w:sz w:val="18"/>
                <w:szCs w:val="18"/>
                <w:highlight w:val="none"/>
              </w:rPr>
              <w:t>灯</w:t>
            </w:r>
          </w:p>
        </w:tc>
        <w:tc>
          <w:tcPr>
            <w:tcW w:w="1912" w:type="dxa"/>
            <w:vAlign w:val="center"/>
          </w:tcPr>
          <w:p w14:paraId="71266ED8">
            <w:pPr>
              <w:jc w:val="center"/>
              <w:rPr>
                <w:rFonts w:hint="eastAsia" w:ascii="仿宋" w:hAnsi="仿宋" w:eastAsia="仿宋" w:cs="仿宋"/>
                <w:color w:val="auto"/>
                <w:sz w:val="18"/>
                <w:szCs w:val="18"/>
                <w:highlight w:val="none"/>
              </w:rPr>
            </w:pPr>
          </w:p>
        </w:tc>
        <w:tc>
          <w:tcPr>
            <w:tcW w:w="4373" w:type="dxa"/>
            <w:vAlign w:val="center"/>
          </w:tcPr>
          <w:p w14:paraId="6A7748AE">
            <w:pPr>
              <w:pStyle w:val="118"/>
              <w:spacing w:before="163" w:line="259" w:lineRule="auto"/>
              <w:ind w:left="119" w:right="35" w:hanging="4"/>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11"/>
                <w:sz w:val="18"/>
                <w:szCs w:val="18"/>
                <w:highlight w:val="none"/>
                <w:lang w:eastAsia="zh-CN"/>
              </w:rPr>
              <w:t>《室内照明用</w:t>
            </w:r>
            <w:r>
              <w:rPr>
                <w:rFonts w:hint="eastAsia" w:ascii="仿宋" w:hAnsi="仿宋" w:eastAsia="仿宋" w:cs="仿宋"/>
                <w:color w:val="auto"/>
                <w:sz w:val="18"/>
                <w:szCs w:val="18"/>
                <w:highlight w:val="none"/>
                <w:lang w:eastAsia="zh-CN"/>
              </w:rPr>
              <w:t>LED</w:t>
            </w:r>
            <w:r>
              <w:rPr>
                <w:rFonts w:hint="eastAsia" w:ascii="仿宋" w:hAnsi="仿宋" w:eastAsia="仿宋" w:cs="仿宋"/>
                <w:color w:val="auto"/>
                <w:spacing w:val="-28"/>
                <w:sz w:val="18"/>
                <w:szCs w:val="18"/>
                <w:highlight w:val="none"/>
                <w:lang w:eastAsia="zh-CN"/>
              </w:rPr>
              <w:t xml:space="preserve"> </w:t>
            </w:r>
            <w:r>
              <w:rPr>
                <w:rFonts w:hint="eastAsia" w:ascii="仿宋" w:hAnsi="仿宋" w:eastAsia="仿宋" w:cs="仿宋"/>
                <w:color w:val="auto"/>
                <w:spacing w:val="11"/>
                <w:sz w:val="18"/>
                <w:szCs w:val="18"/>
                <w:highlight w:val="none"/>
                <w:lang w:eastAsia="zh-CN"/>
              </w:rPr>
              <w:t>产品能效限定值及能效等级》</w:t>
            </w:r>
            <w:r>
              <w:rPr>
                <w:rFonts w:hint="eastAsia" w:ascii="仿宋" w:hAnsi="仿宋" w:eastAsia="仿宋" w:cs="仿宋"/>
                <w:color w:val="auto"/>
                <w:sz w:val="18"/>
                <w:szCs w:val="18"/>
                <w:highlight w:val="none"/>
                <w:lang w:eastAsia="zh-CN"/>
              </w:rPr>
              <w:t xml:space="preserve"> </w:t>
            </w:r>
            <w:r>
              <w:rPr>
                <w:rFonts w:hint="eastAsia" w:ascii="仿宋" w:hAnsi="仿宋" w:eastAsia="仿宋" w:cs="仿宋"/>
                <w:color w:val="auto"/>
                <w:spacing w:val="3"/>
                <w:sz w:val="18"/>
                <w:szCs w:val="18"/>
                <w:highlight w:val="none"/>
                <w:lang w:eastAsia="zh-CN"/>
              </w:rPr>
              <w:t>（</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3"/>
                <w:sz w:val="18"/>
                <w:szCs w:val="18"/>
                <w:highlight w:val="none"/>
                <w:lang w:eastAsia="zh-CN"/>
              </w:rPr>
              <w:t>30255）</w:t>
            </w:r>
          </w:p>
        </w:tc>
      </w:tr>
      <w:tr w14:paraId="0BC9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235DB54A">
            <w:pPr>
              <w:pStyle w:val="118"/>
              <w:spacing w:before="295" w:line="259" w:lineRule="exact"/>
              <w:jc w:val="center"/>
              <w:rPr>
                <w:rFonts w:hint="eastAsia" w:ascii="仿宋" w:hAnsi="仿宋" w:eastAsia="仿宋" w:cs="仿宋"/>
                <w:color w:val="auto"/>
                <w:sz w:val="18"/>
                <w:szCs w:val="18"/>
                <w:highlight w:val="none"/>
              </w:rPr>
            </w:pPr>
            <w:r>
              <w:rPr>
                <w:rFonts w:hint="eastAsia" w:ascii="仿宋" w:hAnsi="仿宋" w:eastAsia="仿宋" w:cs="仿宋"/>
                <w:color w:val="auto"/>
                <w:spacing w:val="-6"/>
                <w:position w:val="1"/>
                <w:sz w:val="18"/>
                <w:szCs w:val="18"/>
                <w:highlight w:val="none"/>
              </w:rPr>
              <w:t>12</w:t>
            </w:r>
          </w:p>
        </w:tc>
        <w:tc>
          <w:tcPr>
            <w:tcW w:w="1275" w:type="dxa"/>
            <w:vAlign w:val="center"/>
          </w:tcPr>
          <w:p w14:paraId="5D008C8E">
            <w:pPr>
              <w:pStyle w:val="118"/>
              <w:spacing w:before="165" w:line="253" w:lineRule="auto"/>
              <w:ind w:right="105"/>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★A020910</w:t>
            </w:r>
            <w:r>
              <w:rPr>
                <w:rFonts w:hint="eastAsia" w:ascii="仿宋" w:hAnsi="仿宋" w:eastAsia="仿宋" w:cs="仿宋"/>
                <w:color w:val="auto"/>
                <w:sz w:val="18"/>
                <w:szCs w:val="18"/>
                <w:highlight w:val="none"/>
              </w:rPr>
              <w:t>电视设备</w:t>
            </w:r>
          </w:p>
        </w:tc>
        <w:tc>
          <w:tcPr>
            <w:tcW w:w="1725" w:type="dxa"/>
            <w:vAlign w:val="center"/>
          </w:tcPr>
          <w:p w14:paraId="791D1805">
            <w:pPr>
              <w:pStyle w:val="118"/>
              <w:spacing w:before="36" w:line="234" w:lineRule="auto"/>
              <w:ind w:left="172"/>
              <w:jc w:val="center"/>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4"/>
                <w:sz w:val="18"/>
                <w:szCs w:val="18"/>
                <w:highlight w:val="none"/>
                <w:lang w:eastAsia="zh-CN"/>
              </w:rPr>
              <w:t>A02091001</w:t>
            </w:r>
            <w:r>
              <w:rPr>
                <w:rFonts w:hint="eastAsia" w:ascii="仿宋" w:hAnsi="仿宋" w:eastAsia="仿宋" w:cs="仿宋"/>
                <w:color w:val="auto"/>
                <w:spacing w:val="-29"/>
                <w:sz w:val="18"/>
                <w:szCs w:val="18"/>
                <w:highlight w:val="none"/>
                <w:lang w:eastAsia="zh-CN"/>
              </w:rPr>
              <w:t xml:space="preserve"> </w:t>
            </w:r>
            <w:r>
              <w:rPr>
                <w:rFonts w:hint="eastAsia" w:ascii="仿宋" w:hAnsi="仿宋" w:eastAsia="仿宋" w:cs="仿宋"/>
                <w:color w:val="auto"/>
                <w:spacing w:val="4"/>
                <w:sz w:val="18"/>
                <w:szCs w:val="18"/>
                <w:highlight w:val="none"/>
                <w:lang w:eastAsia="zh-CN"/>
              </w:rPr>
              <w:t>普</w:t>
            </w:r>
          </w:p>
          <w:p w14:paraId="6C2F825B">
            <w:pPr>
              <w:pStyle w:val="118"/>
              <w:spacing w:before="17" w:line="233" w:lineRule="auto"/>
              <w:ind w:left="111"/>
              <w:jc w:val="center"/>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7"/>
                <w:sz w:val="18"/>
                <w:szCs w:val="18"/>
                <w:highlight w:val="none"/>
                <w:lang w:eastAsia="zh-CN"/>
              </w:rPr>
              <w:t>通电视设备（电</w:t>
            </w:r>
          </w:p>
          <w:p w14:paraId="75A8D7B7">
            <w:pPr>
              <w:pStyle w:val="118"/>
              <w:spacing w:before="19" w:line="211" w:lineRule="auto"/>
              <w:ind w:left="456"/>
              <w:jc w:val="center"/>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2"/>
                <w:sz w:val="18"/>
                <w:szCs w:val="18"/>
                <w:highlight w:val="none"/>
                <w:lang w:eastAsia="zh-CN"/>
              </w:rPr>
              <w:t>视机）</w:t>
            </w:r>
          </w:p>
        </w:tc>
        <w:tc>
          <w:tcPr>
            <w:tcW w:w="1912" w:type="dxa"/>
            <w:vAlign w:val="center"/>
          </w:tcPr>
          <w:p w14:paraId="69686EA8">
            <w:pPr>
              <w:jc w:val="center"/>
              <w:rPr>
                <w:rFonts w:hint="eastAsia" w:ascii="仿宋" w:hAnsi="仿宋" w:eastAsia="仿宋" w:cs="仿宋"/>
                <w:color w:val="auto"/>
                <w:sz w:val="18"/>
                <w:szCs w:val="18"/>
                <w:highlight w:val="none"/>
              </w:rPr>
            </w:pPr>
          </w:p>
        </w:tc>
        <w:tc>
          <w:tcPr>
            <w:tcW w:w="4373" w:type="dxa"/>
            <w:vAlign w:val="center"/>
          </w:tcPr>
          <w:p w14:paraId="666A0184">
            <w:pPr>
              <w:pStyle w:val="118"/>
              <w:spacing w:before="295" w:line="231" w:lineRule="auto"/>
              <w:ind w:right="11"/>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4"/>
                <w:sz w:val="18"/>
                <w:szCs w:val="18"/>
                <w:highlight w:val="none"/>
                <w:lang w:eastAsia="zh-CN"/>
              </w:rPr>
              <w:t>《平板电视能效限定值及能效等级》（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4"/>
                <w:sz w:val="18"/>
                <w:szCs w:val="18"/>
                <w:highlight w:val="none"/>
                <w:lang w:eastAsia="zh-CN"/>
              </w:rPr>
              <w:t>24850）</w:t>
            </w:r>
          </w:p>
        </w:tc>
      </w:tr>
      <w:tr w14:paraId="1515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392B602F">
            <w:pPr>
              <w:pStyle w:val="118"/>
              <w:spacing w:before="62" w:line="257" w:lineRule="exact"/>
              <w:jc w:val="center"/>
              <w:rPr>
                <w:rFonts w:hint="eastAsia" w:ascii="仿宋" w:hAnsi="仿宋" w:eastAsia="仿宋" w:cs="仿宋"/>
                <w:color w:val="auto"/>
                <w:sz w:val="18"/>
                <w:szCs w:val="18"/>
                <w:highlight w:val="none"/>
              </w:rPr>
            </w:pPr>
            <w:r>
              <w:rPr>
                <w:rFonts w:hint="eastAsia" w:ascii="仿宋" w:hAnsi="仿宋" w:eastAsia="仿宋" w:cs="仿宋"/>
                <w:color w:val="auto"/>
                <w:spacing w:val="-6"/>
                <w:position w:val="1"/>
                <w:sz w:val="18"/>
                <w:szCs w:val="18"/>
                <w:highlight w:val="none"/>
              </w:rPr>
              <w:t>13</w:t>
            </w:r>
          </w:p>
        </w:tc>
        <w:tc>
          <w:tcPr>
            <w:tcW w:w="1275" w:type="dxa"/>
            <w:vAlign w:val="center"/>
          </w:tcPr>
          <w:p w14:paraId="5015D087">
            <w:pPr>
              <w:pStyle w:val="118"/>
              <w:spacing w:before="297" w:line="253" w:lineRule="auto"/>
              <w:ind w:right="105"/>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★A020911</w:t>
            </w:r>
            <w:r>
              <w:rPr>
                <w:rFonts w:hint="eastAsia" w:ascii="仿宋" w:hAnsi="仿宋" w:eastAsia="仿宋" w:cs="仿宋"/>
                <w:color w:val="auto"/>
                <w:spacing w:val="6"/>
                <w:sz w:val="18"/>
                <w:szCs w:val="18"/>
                <w:highlight w:val="none"/>
              </w:rPr>
              <w:t>视频设备</w:t>
            </w:r>
          </w:p>
        </w:tc>
        <w:tc>
          <w:tcPr>
            <w:tcW w:w="1725" w:type="dxa"/>
            <w:vAlign w:val="center"/>
          </w:tcPr>
          <w:p w14:paraId="6FEDA2A2">
            <w:pPr>
              <w:pStyle w:val="118"/>
              <w:spacing w:before="298" w:line="252" w:lineRule="auto"/>
              <w:ind w:left="260" w:right="179" w:hanging="88"/>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A02091107</w:t>
            </w:r>
            <w:r>
              <w:rPr>
                <w:rFonts w:hint="eastAsia" w:ascii="仿宋" w:hAnsi="仿宋" w:eastAsia="仿宋" w:cs="仿宋"/>
                <w:color w:val="auto"/>
                <w:spacing w:val="-34"/>
                <w:sz w:val="18"/>
                <w:szCs w:val="18"/>
                <w:highlight w:val="none"/>
              </w:rPr>
              <w:t xml:space="preserve"> </w:t>
            </w:r>
            <w:r>
              <w:rPr>
                <w:rFonts w:hint="eastAsia" w:ascii="仿宋" w:hAnsi="仿宋" w:eastAsia="仿宋" w:cs="仿宋"/>
                <w:color w:val="auto"/>
                <w:spacing w:val="4"/>
                <w:sz w:val="18"/>
                <w:szCs w:val="18"/>
                <w:highlight w:val="none"/>
              </w:rPr>
              <w:t>视</w:t>
            </w:r>
            <w:r>
              <w:rPr>
                <w:rFonts w:hint="eastAsia" w:ascii="仿宋" w:hAnsi="仿宋" w:eastAsia="仿宋" w:cs="仿宋"/>
                <w:color w:val="auto"/>
                <w:spacing w:val="6"/>
                <w:sz w:val="18"/>
                <w:szCs w:val="18"/>
                <w:highlight w:val="none"/>
              </w:rPr>
              <w:t>频监控设备</w:t>
            </w:r>
          </w:p>
        </w:tc>
        <w:tc>
          <w:tcPr>
            <w:tcW w:w="1912" w:type="dxa"/>
            <w:vAlign w:val="center"/>
          </w:tcPr>
          <w:p w14:paraId="0A8507A8">
            <w:pPr>
              <w:spacing w:line="363" w:lineRule="auto"/>
              <w:jc w:val="center"/>
              <w:rPr>
                <w:rFonts w:hint="eastAsia" w:ascii="仿宋" w:hAnsi="仿宋" w:eastAsia="仿宋" w:cs="仿宋"/>
                <w:color w:val="auto"/>
                <w:sz w:val="18"/>
                <w:szCs w:val="18"/>
                <w:highlight w:val="none"/>
              </w:rPr>
            </w:pPr>
          </w:p>
          <w:p w14:paraId="2C83739A">
            <w:pPr>
              <w:pStyle w:val="118"/>
              <w:spacing w:before="61" w:line="233" w:lineRule="auto"/>
              <w:ind w:left="515"/>
              <w:jc w:val="center"/>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监视器</w:t>
            </w:r>
          </w:p>
        </w:tc>
        <w:tc>
          <w:tcPr>
            <w:tcW w:w="4373" w:type="dxa"/>
            <w:vAlign w:val="center"/>
          </w:tcPr>
          <w:p w14:paraId="49F69DEE">
            <w:pPr>
              <w:pStyle w:val="118"/>
              <w:spacing w:before="39" w:line="241" w:lineRule="auto"/>
              <w:ind w:left="114" w:right="21" w:firstLine="20"/>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4"/>
                <w:sz w:val="18"/>
                <w:szCs w:val="18"/>
                <w:highlight w:val="none"/>
                <w:lang w:eastAsia="zh-CN"/>
              </w:rPr>
              <w:t>以射频信号为主要信号输入的监视器应符合《平</w:t>
            </w:r>
            <w:r>
              <w:rPr>
                <w:rFonts w:hint="eastAsia" w:ascii="仿宋" w:hAnsi="仿宋" w:eastAsia="仿宋" w:cs="仿宋"/>
                <w:color w:val="auto"/>
                <w:spacing w:val="8"/>
                <w:sz w:val="18"/>
                <w:szCs w:val="18"/>
                <w:highlight w:val="none"/>
                <w:lang w:eastAsia="zh-CN"/>
              </w:rPr>
              <w:t>板电视能效限定值及能效等级》（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8"/>
                <w:sz w:val="18"/>
                <w:szCs w:val="18"/>
                <w:highlight w:val="none"/>
                <w:lang w:eastAsia="zh-CN"/>
              </w:rPr>
              <w:t>24850</w:t>
            </w:r>
            <w:r>
              <w:rPr>
                <w:rFonts w:hint="eastAsia" w:ascii="仿宋" w:hAnsi="仿宋" w:eastAsia="仿宋" w:cs="仿宋"/>
                <w:color w:val="auto"/>
                <w:spacing w:val="23"/>
                <w:sz w:val="18"/>
                <w:szCs w:val="18"/>
                <w:highlight w:val="none"/>
                <w:lang w:eastAsia="zh-CN"/>
              </w:rPr>
              <w:t>），</w:t>
            </w:r>
            <w:r>
              <w:rPr>
                <w:rFonts w:hint="eastAsia" w:ascii="仿宋" w:hAnsi="仿宋" w:eastAsia="仿宋" w:cs="仿宋"/>
                <w:color w:val="auto"/>
                <w:spacing w:val="5"/>
                <w:sz w:val="18"/>
                <w:szCs w:val="18"/>
                <w:highlight w:val="none"/>
                <w:lang w:eastAsia="zh-CN"/>
              </w:rPr>
              <w:t>以数字信号为主要信号输入的监视器应符合《计</w:t>
            </w:r>
            <w:r>
              <w:rPr>
                <w:rFonts w:hint="eastAsia" w:ascii="仿宋" w:hAnsi="仿宋" w:eastAsia="仿宋" w:cs="仿宋"/>
                <w:color w:val="auto"/>
                <w:spacing w:val="4"/>
                <w:sz w:val="18"/>
                <w:szCs w:val="18"/>
                <w:highlight w:val="none"/>
                <w:lang w:eastAsia="zh-CN"/>
              </w:rPr>
              <w:t>算机显示器能效限定值及能效等级》（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4"/>
                <w:sz w:val="18"/>
                <w:szCs w:val="18"/>
                <w:highlight w:val="none"/>
                <w:lang w:eastAsia="zh-CN"/>
              </w:rPr>
              <w:t>21520）</w:t>
            </w:r>
          </w:p>
        </w:tc>
      </w:tr>
      <w:tr w14:paraId="72D69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7913BB09">
            <w:pPr>
              <w:pStyle w:val="118"/>
              <w:spacing w:before="296" w:line="259" w:lineRule="exact"/>
              <w:jc w:val="center"/>
              <w:rPr>
                <w:rFonts w:hint="eastAsia" w:ascii="仿宋" w:hAnsi="仿宋" w:eastAsia="仿宋" w:cs="仿宋"/>
                <w:color w:val="auto"/>
                <w:sz w:val="18"/>
                <w:szCs w:val="18"/>
                <w:highlight w:val="none"/>
              </w:rPr>
            </w:pPr>
            <w:r>
              <w:rPr>
                <w:rFonts w:hint="eastAsia" w:ascii="仿宋" w:hAnsi="仿宋" w:eastAsia="仿宋" w:cs="仿宋"/>
                <w:color w:val="auto"/>
                <w:spacing w:val="-6"/>
                <w:position w:val="1"/>
                <w:sz w:val="18"/>
                <w:szCs w:val="18"/>
                <w:highlight w:val="none"/>
              </w:rPr>
              <w:t>14</w:t>
            </w:r>
          </w:p>
        </w:tc>
        <w:tc>
          <w:tcPr>
            <w:tcW w:w="1275" w:type="dxa"/>
            <w:vAlign w:val="center"/>
          </w:tcPr>
          <w:p w14:paraId="04FB3DB0">
            <w:pPr>
              <w:pStyle w:val="118"/>
              <w:spacing w:before="40" w:line="256" w:lineRule="exact"/>
              <w:jc w:val="center"/>
              <w:rPr>
                <w:rFonts w:hint="eastAsia" w:ascii="仿宋" w:hAnsi="仿宋" w:eastAsia="仿宋" w:cs="仿宋"/>
                <w:color w:val="auto"/>
                <w:sz w:val="18"/>
                <w:szCs w:val="18"/>
                <w:highlight w:val="none"/>
              </w:rPr>
            </w:pPr>
            <w:r>
              <w:rPr>
                <w:rFonts w:hint="eastAsia" w:ascii="仿宋" w:hAnsi="仿宋" w:eastAsia="仿宋" w:cs="仿宋"/>
                <w:color w:val="auto"/>
                <w:spacing w:val="4"/>
                <w:position w:val="1"/>
                <w:sz w:val="18"/>
                <w:szCs w:val="18"/>
                <w:highlight w:val="none"/>
              </w:rPr>
              <w:t>A031210</w:t>
            </w:r>
          </w:p>
          <w:p w14:paraId="357A2E54">
            <w:pPr>
              <w:pStyle w:val="118"/>
              <w:spacing w:before="1" w:line="231" w:lineRule="auto"/>
              <w:ind w:left="155"/>
              <w:jc w:val="center"/>
              <w:rPr>
                <w:rFonts w:hint="eastAsia" w:ascii="仿宋" w:hAnsi="仿宋" w:eastAsia="仿宋" w:cs="仿宋"/>
                <w:color w:val="auto"/>
                <w:sz w:val="18"/>
                <w:szCs w:val="18"/>
                <w:highlight w:val="none"/>
              </w:rPr>
            </w:pPr>
            <w:r>
              <w:rPr>
                <w:rFonts w:hint="eastAsia" w:ascii="仿宋" w:hAnsi="仿宋" w:eastAsia="仿宋" w:cs="仿宋"/>
                <w:color w:val="auto"/>
                <w:spacing w:val="6"/>
                <w:sz w:val="18"/>
                <w:szCs w:val="18"/>
                <w:highlight w:val="none"/>
              </w:rPr>
              <w:t>饮食炊事</w:t>
            </w:r>
          </w:p>
          <w:p w14:paraId="2B50187F">
            <w:pPr>
              <w:pStyle w:val="118"/>
              <w:spacing w:before="20" w:line="210" w:lineRule="auto"/>
              <w:ind w:left="355"/>
              <w:jc w:val="center"/>
              <w:rPr>
                <w:rFonts w:hint="eastAsia" w:ascii="仿宋" w:hAnsi="仿宋" w:eastAsia="仿宋" w:cs="仿宋"/>
                <w:color w:val="auto"/>
                <w:sz w:val="18"/>
                <w:szCs w:val="18"/>
                <w:highlight w:val="none"/>
              </w:rPr>
            </w:pPr>
            <w:r>
              <w:rPr>
                <w:rFonts w:hint="eastAsia" w:ascii="仿宋" w:hAnsi="仿宋" w:eastAsia="仿宋" w:cs="仿宋"/>
                <w:color w:val="auto"/>
                <w:spacing w:val="2"/>
                <w:sz w:val="18"/>
                <w:szCs w:val="18"/>
                <w:highlight w:val="none"/>
              </w:rPr>
              <w:t>机械</w:t>
            </w:r>
          </w:p>
        </w:tc>
        <w:tc>
          <w:tcPr>
            <w:tcW w:w="1725" w:type="dxa"/>
            <w:vAlign w:val="center"/>
          </w:tcPr>
          <w:p w14:paraId="3AC87AA8">
            <w:pPr>
              <w:pStyle w:val="118"/>
              <w:spacing w:before="296" w:line="232" w:lineRule="auto"/>
              <w:ind w:left="165"/>
              <w:jc w:val="center"/>
              <w:rPr>
                <w:rFonts w:hint="eastAsia" w:ascii="仿宋" w:hAnsi="仿宋" w:eastAsia="仿宋" w:cs="仿宋"/>
                <w:color w:val="auto"/>
                <w:sz w:val="18"/>
                <w:szCs w:val="18"/>
                <w:highlight w:val="none"/>
              </w:rPr>
            </w:pPr>
            <w:r>
              <w:rPr>
                <w:rFonts w:hint="eastAsia" w:ascii="仿宋" w:hAnsi="仿宋" w:eastAsia="仿宋" w:cs="仿宋"/>
                <w:color w:val="auto"/>
                <w:spacing w:val="6"/>
                <w:sz w:val="18"/>
                <w:szCs w:val="18"/>
                <w:highlight w:val="none"/>
              </w:rPr>
              <w:t>商用燃气灶具</w:t>
            </w:r>
          </w:p>
        </w:tc>
        <w:tc>
          <w:tcPr>
            <w:tcW w:w="1912" w:type="dxa"/>
            <w:vAlign w:val="center"/>
          </w:tcPr>
          <w:p w14:paraId="3816538D">
            <w:pPr>
              <w:jc w:val="center"/>
              <w:rPr>
                <w:rFonts w:hint="eastAsia" w:ascii="仿宋" w:hAnsi="仿宋" w:eastAsia="仿宋" w:cs="仿宋"/>
                <w:color w:val="auto"/>
                <w:sz w:val="18"/>
                <w:szCs w:val="18"/>
                <w:highlight w:val="none"/>
              </w:rPr>
            </w:pPr>
          </w:p>
        </w:tc>
        <w:tc>
          <w:tcPr>
            <w:tcW w:w="4373" w:type="dxa"/>
            <w:vAlign w:val="center"/>
          </w:tcPr>
          <w:p w14:paraId="4B901DDE">
            <w:pPr>
              <w:pStyle w:val="118"/>
              <w:spacing w:before="167" w:line="259" w:lineRule="auto"/>
              <w:ind w:left="119" w:right="633" w:hanging="4"/>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《商用燃气灶具能效限定值及能效等级》</w:t>
            </w:r>
            <w:r>
              <w:rPr>
                <w:rFonts w:hint="eastAsia" w:ascii="仿宋" w:hAnsi="仿宋" w:eastAsia="仿宋" w:cs="仿宋"/>
                <w:color w:val="auto"/>
                <w:spacing w:val="9"/>
                <w:sz w:val="18"/>
                <w:szCs w:val="18"/>
                <w:highlight w:val="none"/>
                <w:lang w:eastAsia="zh-CN"/>
              </w:rPr>
              <w:t xml:space="preserve"> </w:t>
            </w:r>
            <w:r>
              <w:rPr>
                <w:rFonts w:hint="eastAsia" w:ascii="仿宋" w:hAnsi="仿宋" w:eastAsia="仿宋" w:cs="仿宋"/>
                <w:color w:val="auto"/>
                <w:spacing w:val="3"/>
                <w:sz w:val="18"/>
                <w:szCs w:val="18"/>
                <w:highlight w:val="none"/>
                <w:lang w:eastAsia="zh-CN"/>
              </w:rPr>
              <w:t>（</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3"/>
                <w:sz w:val="18"/>
                <w:szCs w:val="18"/>
                <w:highlight w:val="none"/>
                <w:lang w:eastAsia="zh-CN"/>
              </w:rPr>
              <w:t>30531）</w:t>
            </w:r>
          </w:p>
        </w:tc>
      </w:tr>
      <w:tr w14:paraId="3A78E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restart"/>
            <w:vAlign w:val="center"/>
          </w:tcPr>
          <w:p w14:paraId="2DADF190">
            <w:pPr>
              <w:pStyle w:val="118"/>
              <w:spacing w:before="62" w:line="257" w:lineRule="exact"/>
              <w:jc w:val="center"/>
              <w:rPr>
                <w:rFonts w:hint="eastAsia" w:ascii="仿宋" w:hAnsi="仿宋" w:eastAsia="仿宋" w:cs="仿宋"/>
                <w:color w:val="auto"/>
                <w:sz w:val="18"/>
                <w:szCs w:val="18"/>
                <w:highlight w:val="none"/>
              </w:rPr>
            </w:pPr>
            <w:r>
              <w:rPr>
                <w:rFonts w:hint="eastAsia" w:ascii="仿宋" w:hAnsi="仿宋" w:eastAsia="仿宋" w:cs="仿宋"/>
                <w:color w:val="auto"/>
                <w:spacing w:val="-6"/>
                <w:position w:val="1"/>
                <w:sz w:val="18"/>
                <w:szCs w:val="18"/>
                <w:highlight w:val="none"/>
              </w:rPr>
              <w:t>15</w:t>
            </w:r>
          </w:p>
        </w:tc>
        <w:tc>
          <w:tcPr>
            <w:tcW w:w="1275" w:type="dxa"/>
            <w:vMerge w:val="restart"/>
            <w:vAlign w:val="center"/>
          </w:tcPr>
          <w:p w14:paraId="0518DAA3">
            <w:pPr>
              <w:pStyle w:val="118"/>
              <w:spacing w:before="62" w:line="252" w:lineRule="auto"/>
              <w:ind w:right="105"/>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★A060805</w:t>
            </w:r>
            <w:r>
              <w:rPr>
                <w:rFonts w:hint="eastAsia" w:ascii="仿宋" w:hAnsi="仿宋" w:eastAsia="仿宋" w:cs="仿宋"/>
                <w:color w:val="auto"/>
                <w:spacing w:val="2"/>
                <w:sz w:val="18"/>
                <w:szCs w:val="18"/>
                <w:highlight w:val="none"/>
              </w:rPr>
              <w:t>便器</w:t>
            </w:r>
          </w:p>
        </w:tc>
        <w:tc>
          <w:tcPr>
            <w:tcW w:w="1725" w:type="dxa"/>
            <w:vAlign w:val="center"/>
          </w:tcPr>
          <w:p w14:paraId="258850F8">
            <w:pPr>
              <w:pStyle w:val="118"/>
              <w:spacing w:before="51" w:line="222" w:lineRule="auto"/>
              <w:ind w:left="463"/>
              <w:jc w:val="center"/>
              <w:rPr>
                <w:rFonts w:hint="eastAsia" w:ascii="仿宋" w:hAnsi="仿宋" w:eastAsia="仿宋" w:cs="仿宋"/>
                <w:color w:val="auto"/>
                <w:sz w:val="18"/>
                <w:szCs w:val="18"/>
                <w:highlight w:val="none"/>
              </w:rPr>
            </w:pPr>
            <w:r>
              <w:rPr>
                <w:rFonts w:hint="eastAsia" w:ascii="仿宋" w:hAnsi="仿宋" w:eastAsia="仿宋" w:cs="仿宋"/>
                <w:color w:val="auto"/>
                <w:spacing w:val="3"/>
                <w:sz w:val="18"/>
                <w:szCs w:val="18"/>
                <w:highlight w:val="none"/>
              </w:rPr>
              <w:t>坐便器</w:t>
            </w:r>
          </w:p>
        </w:tc>
        <w:tc>
          <w:tcPr>
            <w:tcW w:w="1912" w:type="dxa"/>
            <w:vAlign w:val="center"/>
          </w:tcPr>
          <w:p w14:paraId="799704F2">
            <w:pPr>
              <w:jc w:val="center"/>
              <w:rPr>
                <w:rFonts w:hint="eastAsia" w:ascii="仿宋" w:hAnsi="仿宋" w:eastAsia="仿宋" w:cs="仿宋"/>
                <w:color w:val="auto"/>
                <w:sz w:val="18"/>
                <w:szCs w:val="18"/>
                <w:highlight w:val="none"/>
              </w:rPr>
            </w:pPr>
          </w:p>
        </w:tc>
        <w:tc>
          <w:tcPr>
            <w:tcW w:w="4373" w:type="dxa"/>
            <w:vAlign w:val="center"/>
          </w:tcPr>
          <w:p w14:paraId="31A5A35D">
            <w:pPr>
              <w:pStyle w:val="118"/>
              <w:spacing w:before="51" w:line="222" w:lineRule="auto"/>
              <w:ind w:left="115"/>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《坐便器水效限定值及水效等级》（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8"/>
                <w:sz w:val="18"/>
                <w:szCs w:val="18"/>
                <w:highlight w:val="none"/>
                <w:lang w:eastAsia="zh-CN"/>
              </w:rPr>
              <w:t>25502）</w:t>
            </w:r>
          </w:p>
        </w:tc>
      </w:tr>
      <w:tr w14:paraId="2B8CE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4C176E75">
            <w:pPr>
              <w:jc w:val="center"/>
              <w:rPr>
                <w:rFonts w:hint="eastAsia" w:ascii="仿宋" w:hAnsi="仿宋" w:eastAsia="仿宋" w:cs="仿宋"/>
                <w:color w:val="auto"/>
                <w:sz w:val="18"/>
                <w:szCs w:val="18"/>
                <w:highlight w:val="none"/>
              </w:rPr>
            </w:pPr>
          </w:p>
        </w:tc>
        <w:tc>
          <w:tcPr>
            <w:tcW w:w="1275" w:type="dxa"/>
            <w:vMerge w:val="continue"/>
            <w:vAlign w:val="center"/>
          </w:tcPr>
          <w:p w14:paraId="39F54FCD">
            <w:pPr>
              <w:jc w:val="center"/>
              <w:rPr>
                <w:rFonts w:hint="eastAsia" w:ascii="仿宋" w:hAnsi="仿宋" w:eastAsia="仿宋" w:cs="仿宋"/>
                <w:color w:val="auto"/>
                <w:sz w:val="18"/>
                <w:szCs w:val="18"/>
                <w:highlight w:val="none"/>
              </w:rPr>
            </w:pPr>
          </w:p>
        </w:tc>
        <w:tc>
          <w:tcPr>
            <w:tcW w:w="1725" w:type="dxa"/>
            <w:vAlign w:val="center"/>
          </w:tcPr>
          <w:p w14:paraId="13034863">
            <w:pPr>
              <w:pStyle w:val="118"/>
              <w:spacing w:before="169" w:line="231" w:lineRule="auto"/>
              <w:ind w:left="457"/>
              <w:jc w:val="center"/>
              <w:rPr>
                <w:rFonts w:hint="eastAsia" w:ascii="仿宋" w:hAnsi="仿宋" w:eastAsia="仿宋" w:cs="仿宋"/>
                <w:color w:val="auto"/>
                <w:sz w:val="18"/>
                <w:szCs w:val="18"/>
                <w:highlight w:val="none"/>
              </w:rPr>
            </w:pPr>
            <w:r>
              <w:rPr>
                <w:rFonts w:hint="eastAsia" w:ascii="仿宋" w:hAnsi="仿宋" w:eastAsia="仿宋" w:cs="仿宋"/>
                <w:color w:val="auto"/>
                <w:spacing w:val="5"/>
                <w:sz w:val="18"/>
                <w:szCs w:val="18"/>
                <w:highlight w:val="none"/>
              </w:rPr>
              <w:t>蹲便器</w:t>
            </w:r>
          </w:p>
        </w:tc>
        <w:tc>
          <w:tcPr>
            <w:tcW w:w="1912" w:type="dxa"/>
            <w:vAlign w:val="center"/>
          </w:tcPr>
          <w:p w14:paraId="7FFCBA6E">
            <w:pPr>
              <w:jc w:val="center"/>
              <w:rPr>
                <w:rFonts w:hint="eastAsia" w:ascii="仿宋" w:hAnsi="仿宋" w:eastAsia="仿宋" w:cs="仿宋"/>
                <w:color w:val="auto"/>
                <w:sz w:val="18"/>
                <w:szCs w:val="18"/>
                <w:highlight w:val="none"/>
              </w:rPr>
            </w:pPr>
          </w:p>
        </w:tc>
        <w:tc>
          <w:tcPr>
            <w:tcW w:w="4373" w:type="dxa"/>
            <w:vAlign w:val="center"/>
          </w:tcPr>
          <w:p w14:paraId="1D88FE35">
            <w:pPr>
              <w:pStyle w:val="118"/>
              <w:spacing w:before="39" w:line="230" w:lineRule="auto"/>
              <w:ind w:left="119" w:right="434" w:hanging="4"/>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《蹲便器用水效率限定值及用水效率等级》</w:t>
            </w:r>
            <w:r>
              <w:rPr>
                <w:rFonts w:hint="eastAsia" w:ascii="仿宋" w:hAnsi="仿宋" w:eastAsia="仿宋" w:cs="仿宋"/>
                <w:color w:val="auto"/>
                <w:spacing w:val="10"/>
                <w:sz w:val="18"/>
                <w:szCs w:val="18"/>
                <w:highlight w:val="none"/>
                <w:lang w:eastAsia="zh-CN"/>
              </w:rPr>
              <w:t xml:space="preserve"> </w:t>
            </w:r>
            <w:r>
              <w:rPr>
                <w:rFonts w:hint="eastAsia" w:ascii="仿宋" w:hAnsi="仿宋" w:eastAsia="仿宋" w:cs="仿宋"/>
                <w:color w:val="auto"/>
                <w:spacing w:val="3"/>
                <w:sz w:val="18"/>
                <w:szCs w:val="18"/>
                <w:highlight w:val="none"/>
                <w:lang w:eastAsia="zh-CN"/>
              </w:rPr>
              <w:t>（</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3"/>
                <w:sz w:val="18"/>
                <w:szCs w:val="18"/>
                <w:highlight w:val="none"/>
                <w:lang w:eastAsia="zh-CN"/>
              </w:rPr>
              <w:t>30717）</w:t>
            </w:r>
          </w:p>
        </w:tc>
      </w:tr>
      <w:tr w14:paraId="62AB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continue"/>
            <w:vAlign w:val="center"/>
          </w:tcPr>
          <w:p w14:paraId="58AB52E1">
            <w:pPr>
              <w:jc w:val="center"/>
              <w:rPr>
                <w:rFonts w:hint="eastAsia" w:ascii="仿宋" w:hAnsi="仿宋" w:eastAsia="仿宋" w:cs="仿宋"/>
                <w:color w:val="auto"/>
                <w:sz w:val="18"/>
                <w:szCs w:val="18"/>
                <w:highlight w:val="none"/>
              </w:rPr>
            </w:pPr>
          </w:p>
        </w:tc>
        <w:tc>
          <w:tcPr>
            <w:tcW w:w="1275" w:type="dxa"/>
            <w:vMerge w:val="continue"/>
            <w:vAlign w:val="center"/>
          </w:tcPr>
          <w:p w14:paraId="3F976B03">
            <w:pPr>
              <w:jc w:val="center"/>
              <w:rPr>
                <w:rFonts w:hint="eastAsia" w:ascii="仿宋" w:hAnsi="仿宋" w:eastAsia="仿宋" w:cs="仿宋"/>
                <w:color w:val="auto"/>
                <w:sz w:val="18"/>
                <w:szCs w:val="18"/>
                <w:highlight w:val="none"/>
              </w:rPr>
            </w:pPr>
          </w:p>
        </w:tc>
        <w:tc>
          <w:tcPr>
            <w:tcW w:w="1725" w:type="dxa"/>
            <w:vAlign w:val="center"/>
          </w:tcPr>
          <w:p w14:paraId="2EF133CC">
            <w:pPr>
              <w:pStyle w:val="118"/>
              <w:spacing w:before="168" w:line="232" w:lineRule="auto"/>
              <w:ind w:left="458"/>
              <w:jc w:val="center"/>
              <w:rPr>
                <w:rFonts w:hint="eastAsia" w:ascii="仿宋" w:hAnsi="仿宋" w:eastAsia="仿宋" w:cs="仿宋"/>
                <w:color w:val="auto"/>
                <w:sz w:val="18"/>
                <w:szCs w:val="18"/>
                <w:highlight w:val="none"/>
              </w:rPr>
            </w:pPr>
            <w:r>
              <w:rPr>
                <w:rFonts w:hint="eastAsia" w:ascii="仿宋" w:hAnsi="仿宋" w:eastAsia="仿宋" w:cs="仿宋"/>
                <w:color w:val="auto"/>
                <w:spacing w:val="5"/>
                <w:sz w:val="18"/>
                <w:szCs w:val="18"/>
                <w:highlight w:val="none"/>
              </w:rPr>
              <w:t>小便器</w:t>
            </w:r>
          </w:p>
        </w:tc>
        <w:tc>
          <w:tcPr>
            <w:tcW w:w="1912" w:type="dxa"/>
            <w:vAlign w:val="center"/>
          </w:tcPr>
          <w:p w14:paraId="765CED8D">
            <w:pPr>
              <w:jc w:val="center"/>
              <w:rPr>
                <w:rFonts w:hint="eastAsia" w:ascii="仿宋" w:hAnsi="仿宋" w:eastAsia="仿宋" w:cs="仿宋"/>
                <w:color w:val="auto"/>
                <w:sz w:val="18"/>
                <w:szCs w:val="18"/>
                <w:highlight w:val="none"/>
              </w:rPr>
            </w:pPr>
          </w:p>
        </w:tc>
        <w:tc>
          <w:tcPr>
            <w:tcW w:w="4373" w:type="dxa"/>
            <w:vAlign w:val="center"/>
          </w:tcPr>
          <w:p w14:paraId="66122F42">
            <w:pPr>
              <w:pStyle w:val="118"/>
              <w:spacing w:before="42" w:line="229" w:lineRule="auto"/>
              <w:ind w:left="119" w:right="434" w:hanging="4"/>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《小便器用水效率限定值及用水效率等级》</w:t>
            </w:r>
            <w:r>
              <w:rPr>
                <w:rFonts w:hint="eastAsia" w:ascii="仿宋" w:hAnsi="仿宋" w:eastAsia="仿宋" w:cs="仿宋"/>
                <w:color w:val="auto"/>
                <w:spacing w:val="10"/>
                <w:sz w:val="18"/>
                <w:szCs w:val="18"/>
                <w:highlight w:val="none"/>
                <w:lang w:eastAsia="zh-CN"/>
              </w:rPr>
              <w:t xml:space="preserve"> </w:t>
            </w:r>
            <w:r>
              <w:rPr>
                <w:rFonts w:hint="eastAsia" w:ascii="仿宋" w:hAnsi="仿宋" w:eastAsia="仿宋" w:cs="仿宋"/>
                <w:color w:val="auto"/>
                <w:spacing w:val="3"/>
                <w:sz w:val="18"/>
                <w:szCs w:val="18"/>
                <w:highlight w:val="none"/>
                <w:lang w:eastAsia="zh-CN"/>
              </w:rPr>
              <w:t>（</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3"/>
                <w:sz w:val="18"/>
                <w:szCs w:val="18"/>
                <w:highlight w:val="none"/>
                <w:lang w:eastAsia="zh-CN"/>
              </w:rPr>
              <w:t>28377）</w:t>
            </w:r>
          </w:p>
        </w:tc>
      </w:tr>
      <w:tr w14:paraId="4E4C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78A4037C">
            <w:pPr>
              <w:pStyle w:val="118"/>
              <w:spacing w:before="169" w:line="258" w:lineRule="exact"/>
              <w:jc w:val="center"/>
              <w:rPr>
                <w:rFonts w:hint="eastAsia" w:ascii="仿宋" w:hAnsi="仿宋" w:eastAsia="仿宋" w:cs="仿宋"/>
                <w:color w:val="auto"/>
                <w:sz w:val="18"/>
                <w:szCs w:val="18"/>
                <w:highlight w:val="none"/>
              </w:rPr>
            </w:pPr>
            <w:r>
              <w:rPr>
                <w:rFonts w:hint="eastAsia" w:ascii="仿宋" w:hAnsi="仿宋" w:eastAsia="仿宋" w:cs="仿宋"/>
                <w:color w:val="auto"/>
                <w:spacing w:val="-6"/>
                <w:position w:val="1"/>
                <w:sz w:val="18"/>
                <w:szCs w:val="18"/>
                <w:highlight w:val="none"/>
              </w:rPr>
              <w:t>16</w:t>
            </w:r>
          </w:p>
        </w:tc>
        <w:tc>
          <w:tcPr>
            <w:tcW w:w="1275" w:type="dxa"/>
            <w:vAlign w:val="center"/>
          </w:tcPr>
          <w:p w14:paraId="4726AD4C">
            <w:pPr>
              <w:pStyle w:val="118"/>
              <w:spacing w:before="39" w:line="234" w:lineRule="auto"/>
              <w:ind w:right="105"/>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★A060806</w:t>
            </w:r>
            <w:r>
              <w:rPr>
                <w:rFonts w:hint="eastAsia" w:ascii="仿宋" w:hAnsi="仿宋" w:eastAsia="仿宋" w:cs="仿宋"/>
                <w:color w:val="auto"/>
                <w:spacing w:val="2"/>
                <w:sz w:val="18"/>
                <w:szCs w:val="18"/>
                <w:highlight w:val="none"/>
              </w:rPr>
              <w:t>水嘴</w:t>
            </w:r>
          </w:p>
        </w:tc>
        <w:tc>
          <w:tcPr>
            <w:tcW w:w="1725" w:type="dxa"/>
            <w:vAlign w:val="center"/>
          </w:tcPr>
          <w:p w14:paraId="31D32330">
            <w:pPr>
              <w:jc w:val="center"/>
              <w:rPr>
                <w:rFonts w:hint="eastAsia" w:ascii="仿宋" w:hAnsi="仿宋" w:eastAsia="仿宋" w:cs="仿宋"/>
                <w:color w:val="auto"/>
                <w:sz w:val="18"/>
                <w:szCs w:val="18"/>
                <w:highlight w:val="none"/>
              </w:rPr>
            </w:pPr>
          </w:p>
        </w:tc>
        <w:tc>
          <w:tcPr>
            <w:tcW w:w="1912" w:type="dxa"/>
            <w:vAlign w:val="center"/>
          </w:tcPr>
          <w:p w14:paraId="0BF9B578">
            <w:pPr>
              <w:jc w:val="center"/>
              <w:rPr>
                <w:rFonts w:hint="eastAsia" w:ascii="仿宋" w:hAnsi="仿宋" w:eastAsia="仿宋" w:cs="仿宋"/>
                <w:color w:val="auto"/>
                <w:sz w:val="18"/>
                <w:szCs w:val="18"/>
                <w:highlight w:val="none"/>
              </w:rPr>
            </w:pPr>
          </w:p>
        </w:tc>
        <w:tc>
          <w:tcPr>
            <w:tcW w:w="4373" w:type="dxa"/>
            <w:vAlign w:val="center"/>
          </w:tcPr>
          <w:p w14:paraId="05B36595">
            <w:pPr>
              <w:pStyle w:val="118"/>
              <w:spacing w:before="39" w:line="234" w:lineRule="auto"/>
              <w:ind w:left="111" w:right="221" w:firstLine="3"/>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9"/>
                <w:sz w:val="18"/>
                <w:szCs w:val="18"/>
                <w:highlight w:val="none"/>
                <w:lang w:eastAsia="zh-CN"/>
              </w:rPr>
              <w:t>《水嘴用水效率限定值及用水效率等级》（</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14"/>
                <w:sz w:val="18"/>
                <w:szCs w:val="18"/>
                <w:highlight w:val="none"/>
                <w:lang w:eastAsia="zh-CN"/>
              </w:rPr>
              <w:t xml:space="preserve"> </w:t>
            </w:r>
            <w:r>
              <w:rPr>
                <w:rFonts w:hint="eastAsia" w:ascii="仿宋" w:hAnsi="仿宋" w:eastAsia="仿宋" w:cs="仿宋"/>
                <w:color w:val="auto"/>
                <w:spacing w:val="2"/>
                <w:sz w:val="18"/>
                <w:szCs w:val="18"/>
                <w:highlight w:val="none"/>
                <w:lang w:eastAsia="zh-CN"/>
              </w:rPr>
              <w:t>25501）</w:t>
            </w:r>
          </w:p>
        </w:tc>
      </w:tr>
      <w:tr w14:paraId="4558E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7260EC50">
            <w:pPr>
              <w:pStyle w:val="118"/>
              <w:spacing w:before="293" w:line="258" w:lineRule="exact"/>
              <w:jc w:val="center"/>
              <w:rPr>
                <w:rFonts w:hint="eastAsia" w:ascii="仿宋" w:hAnsi="仿宋" w:eastAsia="仿宋" w:cs="仿宋"/>
                <w:color w:val="auto"/>
                <w:sz w:val="18"/>
                <w:szCs w:val="18"/>
                <w:highlight w:val="none"/>
              </w:rPr>
            </w:pPr>
            <w:r>
              <w:rPr>
                <w:rFonts w:hint="eastAsia" w:ascii="仿宋" w:hAnsi="仿宋" w:eastAsia="仿宋" w:cs="仿宋"/>
                <w:color w:val="auto"/>
                <w:spacing w:val="-6"/>
                <w:position w:val="1"/>
                <w:sz w:val="18"/>
                <w:szCs w:val="18"/>
                <w:highlight w:val="none"/>
              </w:rPr>
              <w:t>17</w:t>
            </w:r>
          </w:p>
        </w:tc>
        <w:tc>
          <w:tcPr>
            <w:tcW w:w="1275" w:type="dxa"/>
            <w:vAlign w:val="center"/>
          </w:tcPr>
          <w:p w14:paraId="0B569F91">
            <w:pPr>
              <w:pStyle w:val="118"/>
              <w:spacing w:before="37" w:line="256" w:lineRule="exact"/>
              <w:jc w:val="center"/>
              <w:rPr>
                <w:rFonts w:hint="eastAsia" w:ascii="仿宋" w:hAnsi="仿宋" w:eastAsia="仿宋" w:cs="仿宋"/>
                <w:color w:val="auto"/>
                <w:sz w:val="18"/>
                <w:szCs w:val="18"/>
                <w:highlight w:val="none"/>
              </w:rPr>
            </w:pPr>
            <w:r>
              <w:rPr>
                <w:rFonts w:hint="eastAsia" w:ascii="仿宋" w:hAnsi="仿宋" w:eastAsia="仿宋" w:cs="仿宋"/>
                <w:color w:val="auto"/>
                <w:spacing w:val="4"/>
                <w:position w:val="1"/>
                <w:sz w:val="18"/>
                <w:szCs w:val="18"/>
                <w:highlight w:val="none"/>
              </w:rPr>
              <w:t>A060807</w:t>
            </w:r>
          </w:p>
          <w:p w14:paraId="153443BD">
            <w:pPr>
              <w:pStyle w:val="118"/>
              <w:spacing w:line="231" w:lineRule="auto"/>
              <w:ind w:left="157"/>
              <w:jc w:val="center"/>
              <w:rPr>
                <w:rFonts w:hint="eastAsia" w:ascii="仿宋" w:hAnsi="仿宋" w:eastAsia="仿宋" w:cs="仿宋"/>
                <w:color w:val="auto"/>
                <w:sz w:val="18"/>
                <w:szCs w:val="18"/>
                <w:highlight w:val="none"/>
              </w:rPr>
            </w:pPr>
            <w:r>
              <w:rPr>
                <w:rFonts w:hint="eastAsia" w:ascii="仿宋" w:hAnsi="仿宋" w:eastAsia="仿宋" w:cs="仿宋"/>
                <w:color w:val="auto"/>
                <w:spacing w:val="6"/>
                <w:sz w:val="18"/>
                <w:szCs w:val="18"/>
                <w:highlight w:val="none"/>
              </w:rPr>
              <w:t>便器冲洗</w:t>
            </w:r>
          </w:p>
          <w:p w14:paraId="111756C5">
            <w:pPr>
              <w:pStyle w:val="118"/>
              <w:spacing w:before="20" w:line="215" w:lineRule="auto"/>
              <w:ind w:left="472"/>
              <w:jc w:val="center"/>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阀</w:t>
            </w:r>
          </w:p>
        </w:tc>
        <w:tc>
          <w:tcPr>
            <w:tcW w:w="1725" w:type="dxa"/>
            <w:vAlign w:val="center"/>
          </w:tcPr>
          <w:p w14:paraId="47688461">
            <w:pPr>
              <w:jc w:val="center"/>
              <w:rPr>
                <w:rFonts w:hint="eastAsia" w:ascii="仿宋" w:hAnsi="仿宋" w:eastAsia="仿宋" w:cs="仿宋"/>
                <w:color w:val="auto"/>
                <w:sz w:val="18"/>
                <w:szCs w:val="18"/>
                <w:highlight w:val="none"/>
              </w:rPr>
            </w:pPr>
          </w:p>
        </w:tc>
        <w:tc>
          <w:tcPr>
            <w:tcW w:w="1912" w:type="dxa"/>
            <w:vAlign w:val="center"/>
          </w:tcPr>
          <w:p w14:paraId="0FAB5BA7">
            <w:pPr>
              <w:jc w:val="center"/>
              <w:rPr>
                <w:rFonts w:hint="eastAsia" w:ascii="仿宋" w:hAnsi="仿宋" w:eastAsia="仿宋" w:cs="仿宋"/>
                <w:color w:val="auto"/>
                <w:sz w:val="18"/>
                <w:szCs w:val="18"/>
                <w:highlight w:val="none"/>
              </w:rPr>
            </w:pPr>
          </w:p>
        </w:tc>
        <w:tc>
          <w:tcPr>
            <w:tcW w:w="4373" w:type="dxa"/>
            <w:vAlign w:val="center"/>
          </w:tcPr>
          <w:p w14:paraId="3BE7C40D">
            <w:pPr>
              <w:pStyle w:val="118"/>
              <w:spacing w:before="164" w:line="259" w:lineRule="auto"/>
              <w:ind w:left="119" w:right="35" w:hanging="4"/>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《便器冲洗阀用水效率限定值及用水效率等级》</w:t>
            </w:r>
            <w:r>
              <w:rPr>
                <w:rFonts w:hint="eastAsia" w:ascii="仿宋" w:hAnsi="仿宋" w:eastAsia="仿宋" w:cs="仿宋"/>
                <w:color w:val="auto"/>
                <w:spacing w:val="13"/>
                <w:sz w:val="18"/>
                <w:szCs w:val="18"/>
                <w:highlight w:val="none"/>
                <w:lang w:eastAsia="zh-CN"/>
              </w:rPr>
              <w:t xml:space="preserve"> </w:t>
            </w:r>
            <w:r>
              <w:rPr>
                <w:rFonts w:hint="eastAsia" w:ascii="仿宋" w:hAnsi="仿宋" w:eastAsia="仿宋" w:cs="仿宋"/>
                <w:color w:val="auto"/>
                <w:spacing w:val="3"/>
                <w:sz w:val="18"/>
                <w:szCs w:val="18"/>
                <w:highlight w:val="none"/>
                <w:lang w:eastAsia="zh-CN"/>
              </w:rPr>
              <w:t>（</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3"/>
                <w:sz w:val="18"/>
                <w:szCs w:val="18"/>
                <w:highlight w:val="none"/>
                <w:lang w:eastAsia="zh-CN"/>
              </w:rPr>
              <w:t>28379）</w:t>
            </w:r>
          </w:p>
        </w:tc>
      </w:tr>
      <w:tr w14:paraId="5A5C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7F38AB5B">
            <w:pPr>
              <w:pStyle w:val="118"/>
              <w:spacing w:before="164" w:line="257" w:lineRule="exact"/>
              <w:jc w:val="center"/>
              <w:rPr>
                <w:rFonts w:hint="eastAsia" w:ascii="仿宋" w:hAnsi="仿宋" w:eastAsia="仿宋" w:cs="仿宋"/>
                <w:color w:val="auto"/>
                <w:sz w:val="18"/>
                <w:szCs w:val="18"/>
                <w:highlight w:val="none"/>
              </w:rPr>
            </w:pPr>
            <w:r>
              <w:rPr>
                <w:rFonts w:hint="eastAsia" w:ascii="仿宋" w:hAnsi="仿宋" w:eastAsia="仿宋" w:cs="仿宋"/>
                <w:color w:val="auto"/>
                <w:spacing w:val="-6"/>
                <w:position w:val="1"/>
                <w:sz w:val="18"/>
                <w:szCs w:val="18"/>
                <w:highlight w:val="none"/>
              </w:rPr>
              <w:t>18</w:t>
            </w:r>
          </w:p>
        </w:tc>
        <w:tc>
          <w:tcPr>
            <w:tcW w:w="1275" w:type="dxa"/>
            <w:vAlign w:val="center"/>
          </w:tcPr>
          <w:p w14:paraId="3C12C389">
            <w:pPr>
              <w:pStyle w:val="118"/>
              <w:spacing w:before="35" w:line="234" w:lineRule="auto"/>
              <w:ind w:right="205"/>
              <w:jc w:val="center"/>
              <w:rPr>
                <w:rFonts w:hint="eastAsia" w:ascii="仿宋" w:hAnsi="仿宋" w:eastAsia="仿宋" w:cs="仿宋"/>
                <w:color w:val="auto"/>
                <w:sz w:val="18"/>
                <w:szCs w:val="18"/>
                <w:highlight w:val="none"/>
              </w:rPr>
            </w:pPr>
            <w:r>
              <w:rPr>
                <w:rFonts w:hint="eastAsia" w:ascii="仿宋" w:hAnsi="仿宋" w:eastAsia="仿宋" w:cs="仿宋"/>
                <w:color w:val="auto"/>
                <w:spacing w:val="4"/>
                <w:sz w:val="18"/>
                <w:szCs w:val="18"/>
                <w:highlight w:val="none"/>
              </w:rPr>
              <w:t>A060810</w:t>
            </w:r>
            <w:r>
              <w:rPr>
                <w:rFonts w:hint="eastAsia" w:ascii="仿宋" w:hAnsi="仿宋" w:eastAsia="仿宋" w:cs="仿宋"/>
                <w:color w:val="auto"/>
                <w:spacing w:val="5"/>
                <w:sz w:val="18"/>
                <w:szCs w:val="18"/>
                <w:highlight w:val="none"/>
              </w:rPr>
              <w:t>淋浴器</w:t>
            </w:r>
          </w:p>
        </w:tc>
        <w:tc>
          <w:tcPr>
            <w:tcW w:w="1725" w:type="dxa"/>
            <w:vAlign w:val="center"/>
          </w:tcPr>
          <w:p w14:paraId="36E433D0">
            <w:pPr>
              <w:jc w:val="center"/>
              <w:rPr>
                <w:rFonts w:hint="eastAsia" w:ascii="仿宋" w:hAnsi="仿宋" w:eastAsia="仿宋" w:cs="仿宋"/>
                <w:color w:val="auto"/>
                <w:sz w:val="18"/>
                <w:szCs w:val="18"/>
                <w:highlight w:val="none"/>
              </w:rPr>
            </w:pPr>
          </w:p>
        </w:tc>
        <w:tc>
          <w:tcPr>
            <w:tcW w:w="1912" w:type="dxa"/>
            <w:vAlign w:val="center"/>
          </w:tcPr>
          <w:p w14:paraId="6BA4929E">
            <w:pPr>
              <w:jc w:val="center"/>
              <w:rPr>
                <w:rFonts w:hint="eastAsia" w:ascii="仿宋" w:hAnsi="仿宋" w:eastAsia="仿宋" w:cs="仿宋"/>
                <w:color w:val="auto"/>
                <w:sz w:val="18"/>
                <w:szCs w:val="18"/>
                <w:highlight w:val="none"/>
              </w:rPr>
            </w:pPr>
          </w:p>
        </w:tc>
        <w:tc>
          <w:tcPr>
            <w:tcW w:w="4373" w:type="dxa"/>
            <w:vAlign w:val="center"/>
          </w:tcPr>
          <w:p w14:paraId="2399B25C">
            <w:pPr>
              <w:pStyle w:val="118"/>
              <w:spacing w:before="35" w:line="234" w:lineRule="auto"/>
              <w:ind w:left="119" w:right="434" w:hanging="4"/>
              <w:rPr>
                <w:rFonts w:hint="eastAsia" w:ascii="仿宋" w:hAnsi="仿宋" w:eastAsia="仿宋" w:cs="仿宋"/>
                <w:color w:val="auto"/>
                <w:sz w:val="18"/>
                <w:szCs w:val="18"/>
                <w:highlight w:val="none"/>
                <w:lang w:eastAsia="zh-CN"/>
              </w:rPr>
            </w:pPr>
            <w:r>
              <w:rPr>
                <w:rFonts w:hint="eastAsia" w:ascii="仿宋" w:hAnsi="仿宋" w:eastAsia="仿宋" w:cs="仿宋"/>
                <w:color w:val="auto"/>
                <w:spacing w:val="8"/>
                <w:sz w:val="18"/>
                <w:szCs w:val="18"/>
                <w:highlight w:val="none"/>
                <w:lang w:eastAsia="zh-CN"/>
              </w:rPr>
              <w:t>《淋浴器用水效率限定值及用水效率等级》</w:t>
            </w:r>
            <w:r>
              <w:rPr>
                <w:rFonts w:hint="eastAsia" w:ascii="仿宋" w:hAnsi="仿宋" w:eastAsia="仿宋" w:cs="仿宋"/>
                <w:color w:val="auto"/>
                <w:spacing w:val="10"/>
                <w:sz w:val="18"/>
                <w:szCs w:val="18"/>
                <w:highlight w:val="none"/>
                <w:lang w:eastAsia="zh-CN"/>
              </w:rPr>
              <w:t xml:space="preserve"> </w:t>
            </w:r>
            <w:r>
              <w:rPr>
                <w:rFonts w:hint="eastAsia" w:ascii="仿宋" w:hAnsi="仿宋" w:eastAsia="仿宋" w:cs="仿宋"/>
                <w:color w:val="auto"/>
                <w:spacing w:val="3"/>
                <w:sz w:val="18"/>
                <w:szCs w:val="18"/>
                <w:highlight w:val="none"/>
                <w:lang w:eastAsia="zh-CN"/>
              </w:rPr>
              <w:t>（</w:t>
            </w:r>
            <w:r>
              <w:rPr>
                <w:rFonts w:hint="eastAsia" w:ascii="仿宋" w:hAnsi="仿宋" w:eastAsia="仿宋" w:cs="仿宋"/>
                <w:color w:val="auto"/>
                <w:sz w:val="18"/>
                <w:szCs w:val="18"/>
                <w:highlight w:val="none"/>
                <w:lang w:eastAsia="zh-CN"/>
              </w:rPr>
              <w:t>GB</w:t>
            </w:r>
            <w:r>
              <w:rPr>
                <w:rFonts w:hint="eastAsia" w:ascii="仿宋" w:hAnsi="仿宋" w:eastAsia="仿宋" w:cs="仿宋"/>
                <w:color w:val="auto"/>
                <w:spacing w:val="3"/>
                <w:sz w:val="18"/>
                <w:szCs w:val="18"/>
                <w:highlight w:val="none"/>
                <w:lang w:eastAsia="zh-CN"/>
              </w:rPr>
              <w:t>28378）</w:t>
            </w:r>
          </w:p>
        </w:tc>
      </w:tr>
    </w:tbl>
    <w:p w14:paraId="1CBA5251">
      <w:pPr>
        <w:pStyle w:val="17"/>
        <w:spacing w:before="78" w:line="222" w:lineRule="auto"/>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注：1.节能产品认证应依据相关国家标准的最新版本，依据国家标准中二级能效（水效）指标。</w:t>
      </w:r>
    </w:p>
    <w:p w14:paraId="32F49D4E">
      <w:pPr>
        <w:ind w:firstLine="400" w:firstLineChars="200"/>
        <w:rPr>
          <w:rFonts w:hint="eastAsia" w:ascii="仿宋" w:hAnsi="仿宋" w:eastAsia="仿宋" w:cs="仿宋"/>
          <w:color w:val="auto"/>
          <w:szCs w:val="21"/>
          <w:highlight w:val="none"/>
        </w:rPr>
      </w:pPr>
      <w:r>
        <w:rPr>
          <w:rFonts w:hint="eastAsia" w:ascii="仿宋" w:hAnsi="仿宋" w:eastAsia="仿宋" w:cs="仿宋"/>
          <w:color w:val="auto"/>
          <w:spacing w:val="-5"/>
          <w:szCs w:val="21"/>
          <w:highlight w:val="none"/>
        </w:rPr>
        <w:t>2</w:t>
      </w:r>
      <w:r>
        <w:rPr>
          <w:rFonts w:hint="eastAsia" w:ascii="仿宋" w:hAnsi="仿宋" w:eastAsia="仿宋" w:cs="仿宋"/>
          <w:b/>
          <w:bCs/>
          <w:color w:val="auto"/>
          <w:spacing w:val="-5"/>
          <w:szCs w:val="21"/>
          <w:highlight w:val="none"/>
        </w:rPr>
        <w:t>.以“★</w:t>
      </w:r>
      <w:r>
        <w:rPr>
          <w:rFonts w:hint="eastAsia" w:ascii="仿宋" w:hAnsi="仿宋" w:eastAsia="仿宋" w:cs="仿宋"/>
          <w:color w:val="auto"/>
          <w:spacing w:val="-69"/>
          <w:szCs w:val="21"/>
          <w:highlight w:val="none"/>
        </w:rPr>
        <w:t xml:space="preserve"> </w:t>
      </w:r>
      <w:r>
        <w:rPr>
          <w:rFonts w:hint="eastAsia" w:ascii="仿宋" w:hAnsi="仿宋" w:eastAsia="仿宋" w:cs="仿宋"/>
          <w:b/>
          <w:bCs/>
          <w:color w:val="auto"/>
          <w:spacing w:val="-5"/>
          <w:szCs w:val="21"/>
          <w:highlight w:val="none"/>
        </w:rPr>
        <w:t>”标注的为政府强制采购产品。</w:t>
      </w:r>
    </w:p>
    <w:p w14:paraId="2CDE556A">
      <w:pPr>
        <w:pStyle w:val="3"/>
        <w:keepNext w:val="0"/>
        <w:keepLines w:val="0"/>
        <w:jc w:val="center"/>
        <w:rPr>
          <w:rFonts w:hint="eastAsia" w:ascii="仿宋" w:hAnsi="仿宋" w:eastAsia="仿宋" w:cs="仿宋"/>
          <w:color w:val="auto"/>
          <w:highlight w:val="none"/>
        </w:rPr>
      </w:pPr>
    </w:p>
    <w:p w14:paraId="6D4395CC">
      <w:pPr>
        <w:pStyle w:val="3"/>
        <w:keepNext w:val="0"/>
        <w:keepLines w:val="0"/>
        <w:jc w:val="center"/>
        <w:rPr>
          <w:rFonts w:hint="eastAsia" w:ascii="仿宋" w:hAnsi="仿宋" w:eastAsia="仿宋" w:cs="仿宋"/>
          <w:color w:val="auto"/>
          <w:highlight w:val="none"/>
        </w:rPr>
      </w:pPr>
      <w:r>
        <w:rPr>
          <w:rFonts w:hint="eastAsia" w:ascii="仿宋" w:hAnsi="仿宋" w:eastAsia="仿宋" w:cs="仿宋"/>
          <w:color w:val="auto"/>
          <w:highlight w:val="none"/>
        </w:rPr>
        <w:t>第三章 投标人须知</w:t>
      </w:r>
      <w:bookmarkEnd w:id="42"/>
    </w:p>
    <w:p w14:paraId="54D6927E">
      <w:pPr>
        <w:jc w:val="center"/>
        <w:rPr>
          <w:rFonts w:hint="eastAsia" w:ascii="仿宋" w:hAnsi="仿宋" w:eastAsia="仿宋" w:cs="仿宋"/>
          <w:color w:val="auto"/>
          <w:sz w:val="36"/>
          <w:szCs w:val="36"/>
          <w:highlight w:val="none"/>
        </w:rPr>
      </w:pPr>
      <w:bookmarkStart w:id="43" w:name="_Toc254970667"/>
      <w:bookmarkStart w:id="44" w:name="_Toc254970526"/>
      <w:r>
        <w:rPr>
          <w:rFonts w:hint="eastAsia" w:ascii="仿宋" w:hAnsi="仿宋" w:eastAsia="仿宋" w:cs="仿宋"/>
          <w:color w:val="auto"/>
          <w:sz w:val="36"/>
          <w:szCs w:val="36"/>
          <w:highlight w:val="none"/>
        </w:rPr>
        <w:t>投标人须知前附表</w:t>
      </w:r>
      <w:bookmarkEnd w:id="43"/>
      <w:bookmarkEnd w:id="44"/>
    </w:p>
    <w:tbl>
      <w:tblPr>
        <w:tblStyle w:val="4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3"/>
        <w:gridCol w:w="8732"/>
      </w:tblGrid>
      <w:tr w14:paraId="0F1A6D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46BECE7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条款号</w:t>
            </w:r>
          </w:p>
        </w:tc>
        <w:tc>
          <w:tcPr>
            <w:tcW w:w="8732" w:type="dxa"/>
            <w:tcBorders>
              <w:top w:val="single" w:color="auto" w:sz="4" w:space="0"/>
              <w:left w:val="single" w:color="auto" w:sz="4" w:space="0"/>
              <w:bottom w:val="single" w:color="auto" w:sz="4" w:space="0"/>
              <w:right w:val="single" w:color="auto" w:sz="4" w:space="0"/>
            </w:tcBorders>
            <w:vAlign w:val="center"/>
          </w:tcPr>
          <w:p w14:paraId="21031A73">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编列内容</w:t>
            </w:r>
          </w:p>
        </w:tc>
      </w:tr>
      <w:tr w14:paraId="01F10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03DDB799">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732" w:type="dxa"/>
            <w:tcBorders>
              <w:top w:val="single" w:color="auto" w:sz="4" w:space="0"/>
              <w:left w:val="single" w:color="auto" w:sz="4" w:space="0"/>
              <w:bottom w:val="single" w:color="auto" w:sz="4" w:space="0"/>
              <w:right w:val="single" w:color="auto" w:sz="4" w:space="0"/>
            </w:tcBorders>
            <w:vAlign w:val="center"/>
          </w:tcPr>
          <w:p w14:paraId="6BD9146A">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投标人的资格要求详见“招标公告”。</w:t>
            </w:r>
          </w:p>
        </w:tc>
      </w:tr>
      <w:tr w14:paraId="542887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172576CE">
            <w:pPr>
              <w:spacing w:line="360" w:lineRule="auto"/>
              <w:jc w:val="center"/>
              <w:rPr>
                <w:rFonts w:hint="eastAsia" w:ascii="仿宋" w:hAnsi="仿宋" w:eastAsia="仿宋" w:cs="仿宋"/>
                <w:color w:val="auto"/>
                <w:sz w:val="24"/>
                <w:highlight w:val="none"/>
              </w:rPr>
            </w:pPr>
            <w:bookmarkStart w:id="45" w:name="_9.2"/>
            <w:bookmarkEnd w:id="45"/>
            <w:bookmarkStart w:id="46" w:name="_5"/>
            <w:bookmarkEnd w:id="46"/>
            <w:bookmarkStart w:id="47" w:name="_8.1"/>
            <w:bookmarkEnd w:id="47"/>
            <w:r>
              <w:rPr>
                <w:rFonts w:hint="eastAsia" w:ascii="仿宋" w:hAnsi="仿宋" w:eastAsia="仿宋" w:cs="仿宋"/>
                <w:color w:val="auto"/>
                <w:sz w:val="24"/>
                <w:highlight w:val="none"/>
              </w:rPr>
              <w:t>6.1</w:t>
            </w:r>
          </w:p>
        </w:tc>
        <w:tc>
          <w:tcPr>
            <w:tcW w:w="8732" w:type="dxa"/>
            <w:tcBorders>
              <w:top w:val="single" w:color="auto" w:sz="4" w:space="0"/>
              <w:left w:val="single" w:color="auto" w:sz="4" w:space="0"/>
              <w:bottom w:val="single" w:color="auto" w:sz="4" w:space="0"/>
              <w:right w:val="single" w:color="auto" w:sz="4" w:space="0"/>
            </w:tcBorders>
            <w:vAlign w:val="center"/>
          </w:tcPr>
          <w:p w14:paraId="134B8B37">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本项目是否接受联合体投标：否。</w:t>
            </w:r>
          </w:p>
        </w:tc>
      </w:tr>
      <w:tr w14:paraId="4157C8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31DBC2BC">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7.2</w:t>
            </w:r>
          </w:p>
        </w:tc>
        <w:tc>
          <w:tcPr>
            <w:tcW w:w="8732" w:type="dxa"/>
            <w:tcBorders>
              <w:top w:val="single" w:color="auto" w:sz="4" w:space="0"/>
              <w:left w:val="single" w:color="auto" w:sz="4" w:space="0"/>
              <w:bottom w:val="single" w:color="auto" w:sz="4" w:space="0"/>
              <w:right w:val="single" w:color="auto" w:sz="4" w:space="0"/>
            </w:tcBorders>
            <w:vAlign w:val="center"/>
          </w:tcPr>
          <w:p w14:paraId="56CA6263">
            <w:pPr>
              <w:pStyle w:val="15"/>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☑不允许分包</w:t>
            </w:r>
          </w:p>
          <w:p w14:paraId="2D2D63BB">
            <w:pPr>
              <w:pStyle w:val="15"/>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□允许分包</w:t>
            </w:r>
          </w:p>
        </w:tc>
      </w:tr>
      <w:tr w14:paraId="609D84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5FBDB3C9">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11.2</w:t>
            </w:r>
          </w:p>
        </w:tc>
        <w:tc>
          <w:tcPr>
            <w:tcW w:w="8732" w:type="dxa"/>
            <w:tcBorders>
              <w:top w:val="single" w:color="auto" w:sz="4" w:space="0"/>
              <w:left w:val="single" w:color="auto" w:sz="4" w:space="0"/>
              <w:bottom w:val="single" w:color="auto" w:sz="4" w:space="0"/>
              <w:right w:val="single" w:color="auto" w:sz="4" w:space="0"/>
            </w:tcBorders>
            <w:vAlign w:val="center"/>
          </w:tcPr>
          <w:p w14:paraId="0BA702C9">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☑不组织现场考察</w:t>
            </w:r>
          </w:p>
          <w:p w14:paraId="2122878D">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□组织现场考察：</w:t>
            </w:r>
          </w:p>
          <w:p w14:paraId="44B6FE58">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☑不组织召开开标前答疑会</w:t>
            </w:r>
          </w:p>
          <w:p w14:paraId="3B4852CE">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□组织召开开标前答疑会</w:t>
            </w:r>
          </w:p>
        </w:tc>
      </w:tr>
      <w:tr w14:paraId="0280B9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vMerge w:val="restart"/>
            <w:tcBorders>
              <w:top w:val="single" w:color="auto" w:sz="4" w:space="0"/>
              <w:left w:val="single" w:color="auto" w:sz="4" w:space="0"/>
              <w:right w:val="single" w:color="auto" w:sz="4" w:space="0"/>
            </w:tcBorders>
            <w:vAlign w:val="center"/>
          </w:tcPr>
          <w:p w14:paraId="15F89508">
            <w:pPr>
              <w:spacing w:line="360" w:lineRule="auto"/>
              <w:jc w:val="center"/>
              <w:rPr>
                <w:rFonts w:hint="eastAsia" w:ascii="仿宋" w:hAnsi="仿宋" w:eastAsia="仿宋" w:cs="仿宋"/>
                <w:color w:val="auto"/>
                <w:sz w:val="24"/>
                <w:highlight w:val="none"/>
              </w:rPr>
            </w:pPr>
            <w:bookmarkStart w:id="48" w:name="_13.1"/>
            <w:bookmarkEnd w:id="48"/>
            <w:r>
              <w:rPr>
                <w:rFonts w:hint="eastAsia" w:ascii="仿宋" w:hAnsi="仿宋" w:eastAsia="仿宋" w:cs="仿宋"/>
                <w:color w:val="auto"/>
                <w:sz w:val="24"/>
                <w:highlight w:val="none"/>
              </w:rPr>
              <w:t>13.</w:t>
            </w:r>
            <w:bookmarkStart w:id="49" w:name="_Hlt19632543"/>
            <w:r>
              <w:rPr>
                <w:rFonts w:hint="eastAsia" w:ascii="仿宋" w:hAnsi="仿宋" w:eastAsia="仿宋" w:cs="仿宋"/>
                <w:color w:val="auto"/>
                <w:sz w:val="24"/>
                <w:highlight w:val="none"/>
              </w:rPr>
              <w:t>1</w:t>
            </w:r>
            <w:bookmarkEnd w:id="49"/>
          </w:p>
        </w:tc>
        <w:tc>
          <w:tcPr>
            <w:tcW w:w="8732" w:type="dxa"/>
            <w:tcBorders>
              <w:top w:val="single" w:color="auto" w:sz="4" w:space="0"/>
              <w:left w:val="single" w:color="auto" w:sz="4" w:space="0"/>
              <w:bottom w:val="single" w:color="auto" w:sz="4" w:space="0"/>
              <w:right w:val="single" w:color="auto" w:sz="4" w:space="0"/>
            </w:tcBorders>
            <w:vAlign w:val="center"/>
          </w:tcPr>
          <w:p w14:paraId="7C7A0AC0">
            <w:pPr>
              <w:spacing w:line="360" w:lineRule="auto"/>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报价文件：</w:t>
            </w:r>
          </w:p>
          <w:p w14:paraId="70FB6673">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1、投标函（格式后附）；（</w:t>
            </w:r>
            <w:r>
              <w:rPr>
                <w:rFonts w:hint="eastAsia" w:ascii="仿宋" w:hAnsi="仿宋" w:eastAsia="仿宋" w:cs="仿宋"/>
                <w:b/>
                <w:bCs/>
                <w:color w:val="auto"/>
                <w:sz w:val="24"/>
                <w:highlight w:val="none"/>
              </w:rPr>
              <w:t>必须提供，否则作无效投标处理</w:t>
            </w:r>
            <w:r>
              <w:rPr>
                <w:rFonts w:hint="eastAsia" w:ascii="仿宋" w:hAnsi="仿宋" w:eastAsia="仿宋" w:cs="仿宋"/>
                <w:color w:val="auto"/>
                <w:sz w:val="24"/>
                <w:highlight w:val="none"/>
              </w:rPr>
              <w:t>）</w:t>
            </w:r>
          </w:p>
          <w:p w14:paraId="77964FF9">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2、投标报价表（格式后附）； （</w:t>
            </w:r>
            <w:r>
              <w:rPr>
                <w:rFonts w:hint="eastAsia" w:ascii="仿宋" w:hAnsi="仿宋" w:eastAsia="仿宋" w:cs="仿宋"/>
                <w:b/>
                <w:bCs/>
                <w:color w:val="auto"/>
                <w:sz w:val="24"/>
                <w:highlight w:val="none"/>
              </w:rPr>
              <w:t>必须提供，否则作无效投标处理</w:t>
            </w:r>
            <w:r>
              <w:rPr>
                <w:rFonts w:hint="eastAsia" w:ascii="仿宋" w:hAnsi="仿宋" w:eastAsia="仿宋" w:cs="仿宋"/>
                <w:color w:val="auto"/>
                <w:sz w:val="24"/>
                <w:highlight w:val="none"/>
              </w:rPr>
              <w:t>）</w:t>
            </w:r>
          </w:p>
          <w:p w14:paraId="5C86E995">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3、投标人针对报价需要说明的其他文件和说明（格式自拟）。</w:t>
            </w:r>
          </w:p>
          <w:p w14:paraId="3EBBE926">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4、中小企业声明函（如有，请提供）</w:t>
            </w:r>
          </w:p>
          <w:p w14:paraId="49EC1F7C">
            <w:pPr>
              <w:spacing w:line="360" w:lineRule="auto"/>
              <w:jc w:val="left"/>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注：投标函、开标一览表必须由法定代表人或者委托代理人在规定签章处逐一签字并加盖投标人公章，否则作无效投标处理。</w:t>
            </w:r>
          </w:p>
        </w:tc>
      </w:tr>
      <w:tr w14:paraId="4CF76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vMerge w:val="continue"/>
            <w:tcBorders>
              <w:left w:val="single" w:color="auto" w:sz="4" w:space="0"/>
              <w:right w:val="single" w:color="auto" w:sz="4" w:space="0"/>
            </w:tcBorders>
            <w:vAlign w:val="center"/>
          </w:tcPr>
          <w:p w14:paraId="1F4ED677">
            <w:pPr>
              <w:spacing w:line="360" w:lineRule="auto"/>
              <w:jc w:val="center"/>
              <w:rPr>
                <w:rFonts w:hint="eastAsia" w:ascii="仿宋" w:hAnsi="仿宋" w:eastAsia="仿宋" w:cs="仿宋"/>
                <w:color w:val="auto"/>
                <w:sz w:val="24"/>
                <w:highlight w:val="none"/>
              </w:rPr>
            </w:pPr>
            <w:bookmarkStart w:id="50" w:name="_13.2"/>
            <w:bookmarkEnd w:id="50"/>
          </w:p>
        </w:tc>
        <w:tc>
          <w:tcPr>
            <w:tcW w:w="8732" w:type="dxa"/>
            <w:tcBorders>
              <w:top w:val="single" w:color="auto" w:sz="4" w:space="0"/>
              <w:left w:val="single" w:color="auto" w:sz="4" w:space="0"/>
              <w:bottom w:val="single" w:color="auto" w:sz="4" w:space="0"/>
              <w:right w:val="single" w:color="auto" w:sz="4" w:space="0"/>
            </w:tcBorders>
            <w:vAlign w:val="center"/>
          </w:tcPr>
          <w:p w14:paraId="2E865865">
            <w:pPr>
              <w:spacing w:line="360" w:lineRule="auto"/>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资格证明文件</w:t>
            </w:r>
          </w:p>
          <w:p w14:paraId="72F9D7E8">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1、投标人为法人或者其他组织的，提供营业执照等证明文件（如营业执照或者事业单位法人证书或者执业许可证等），投标人为自然人的，提供身份证复印件；（</w:t>
            </w:r>
            <w:r>
              <w:rPr>
                <w:rFonts w:hint="eastAsia" w:ascii="仿宋" w:hAnsi="仿宋" w:eastAsia="仿宋" w:cs="仿宋"/>
                <w:b/>
                <w:bCs/>
                <w:color w:val="auto"/>
                <w:sz w:val="24"/>
                <w:highlight w:val="none"/>
              </w:rPr>
              <w:t>必须提供，否则作无效投标处理</w:t>
            </w:r>
            <w:r>
              <w:rPr>
                <w:rFonts w:hint="eastAsia" w:ascii="仿宋" w:hAnsi="仿宋" w:eastAsia="仿宋" w:cs="仿宋"/>
                <w:color w:val="auto"/>
                <w:sz w:val="24"/>
                <w:highlight w:val="none"/>
              </w:rPr>
              <w:t>）</w:t>
            </w:r>
          </w:p>
          <w:p w14:paraId="75DCC87A">
            <w:pPr>
              <w:spacing w:line="360" w:lineRule="auto"/>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2、01分标特定资格要求：</w:t>
            </w:r>
          </w:p>
          <w:p w14:paraId="3203F16C">
            <w:pPr>
              <w:spacing w:line="360" w:lineRule="auto"/>
              <w:ind w:left="360"/>
              <w:jc w:val="left"/>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（1）资质要求：</w:t>
            </w:r>
            <w:r>
              <w:rPr>
                <w:rFonts w:hint="eastAsia" w:ascii="仿宋" w:hAnsi="仿宋" w:eastAsia="仿宋" w:cs="仿宋"/>
                <w:color w:val="auto"/>
                <w:sz w:val="24"/>
                <w:highlight w:val="none"/>
              </w:rPr>
              <w:t>投标人具备有效的钢结构工程专业承包三级或以上资质或有效的通信工程施工总承包三级或以上资质；并在人员、设备、资金等方面具备相应的履约能力。</w:t>
            </w:r>
          </w:p>
          <w:p w14:paraId="5C5194E0">
            <w:pPr>
              <w:spacing w:line="360" w:lineRule="auto"/>
              <w:ind w:left="36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（2）分支机构（分公司）投标授权书。（分支机构投标时提供）</w:t>
            </w:r>
          </w:p>
          <w:p w14:paraId="40C92AA5">
            <w:pPr>
              <w:spacing w:line="360" w:lineRule="auto"/>
              <w:ind w:left="360"/>
              <w:jc w:val="left"/>
              <w:rPr>
                <w:rFonts w:hint="eastAsia" w:ascii="仿宋" w:hAnsi="仿宋" w:eastAsia="仿宋" w:cs="仿宋"/>
                <w:color w:val="auto"/>
                <w:sz w:val="24"/>
                <w:highlight w:val="none"/>
              </w:rPr>
            </w:pPr>
            <w:r>
              <w:rPr>
                <w:rFonts w:ascii="仿宋" w:hAnsi="仿宋" w:eastAsia="仿宋" w:cs="仿宋"/>
                <w:color w:val="auto"/>
                <w:sz w:val="24"/>
                <w:highlight w:val="none"/>
              </w:rPr>
              <w:t>（3）主要负责人要求：</w:t>
            </w:r>
          </w:p>
          <w:p w14:paraId="0075CA8C">
            <w:pPr>
              <w:spacing w:line="360" w:lineRule="auto"/>
              <w:ind w:left="360"/>
              <w:jc w:val="left"/>
              <w:rPr>
                <w:rFonts w:hint="eastAsia" w:ascii="仿宋" w:hAnsi="仿宋" w:eastAsia="仿宋" w:cs="仿宋"/>
                <w:b/>
                <w:bCs/>
                <w:color w:val="auto"/>
                <w:sz w:val="24"/>
                <w:highlight w:val="none"/>
              </w:rPr>
            </w:pPr>
            <w:r>
              <w:rPr>
                <w:rFonts w:ascii="仿宋" w:hAnsi="仿宋" w:eastAsia="仿宋" w:cs="仿宋"/>
                <w:b/>
                <w:bCs/>
                <w:color w:val="auto"/>
                <w:sz w:val="24"/>
                <w:highlight w:val="none"/>
              </w:rPr>
              <w:t>项目经理：</w:t>
            </w:r>
          </w:p>
          <w:p w14:paraId="41E7FEBA">
            <w:pPr>
              <w:spacing w:line="360" w:lineRule="auto"/>
              <w:ind w:left="360"/>
              <w:jc w:val="left"/>
              <w:rPr>
                <w:rFonts w:hint="eastAsia" w:ascii="仿宋" w:hAnsi="仿宋" w:eastAsia="仿宋" w:cs="仿宋"/>
                <w:color w:val="auto"/>
                <w:sz w:val="24"/>
                <w:highlight w:val="none"/>
              </w:rPr>
            </w:pPr>
            <w:r>
              <w:rPr>
                <w:rFonts w:ascii="仿宋" w:hAnsi="仿宋" w:eastAsia="仿宋" w:cs="仿宋"/>
                <w:color w:val="auto"/>
                <w:sz w:val="24"/>
                <w:highlight w:val="none"/>
              </w:rPr>
              <w:t>①具有机电工程专业专业二级（含）以上或通信与广电工程专业</w:t>
            </w:r>
            <w:r>
              <w:rPr>
                <w:rFonts w:hint="eastAsia" w:ascii="仿宋" w:hAnsi="仿宋" w:eastAsia="仿宋" w:cs="仿宋"/>
                <w:color w:val="auto"/>
                <w:sz w:val="24"/>
                <w:highlight w:val="none"/>
              </w:rPr>
              <w:t>一</w:t>
            </w:r>
            <w:r>
              <w:rPr>
                <w:rFonts w:ascii="仿宋" w:hAnsi="仿宋" w:eastAsia="仿宋" w:cs="仿宋"/>
                <w:color w:val="auto"/>
                <w:sz w:val="24"/>
                <w:highlight w:val="none"/>
              </w:rPr>
              <w:t>级注册建造师，同时具有工程类中级（含）以上职称（联合体投标的，需为牵头单位员工）。</w:t>
            </w:r>
          </w:p>
          <w:p w14:paraId="7C24034E">
            <w:pPr>
              <w:spacing w:line="360" w:lineRule="auto"/>
              <w:ind w:firstLine="480" w:firstLineChars="200"/>
              <w:jc w:val="left"/>
              <w:rPr>
                <w:rFonts w:ascii="仿宋" w:hAnsi="仿宋" w:eastAsia="仿宋" w:cs="仿宋"/>
                <w:color w:val="auto"/>
                <w:sz w:val="24"/>
                <w:highlight w:val="none"/>
              </w:rPr>
            </w:pPr>
            <w:r>
              <w:rPr>
                <w:rFonts w:ascii="仿宋" w:hAnsi="仿宋" w:eastAsia="仿宋" w:cs="仿宋"/>
                <w:color w:val="auto"/>
                <w:sz w:val="24"/>
                <w:highlight w:val="none"/>
              </w:rPr>
              <w:t>②不得同时在两个或者两个以上工程项目担任施工项目经理或工程总承包项目经理或项目总监理工程师，不接受有在建、已中标未开工或已列为其他项目中标候选人第一名的施工项目经理或工程总承包项目经理或项目总监理工程师作为工程总承包项目经理（符合《广西壮族自治区建筑市场诚信卡管理暂行办法》第十六条第一款及桂建管（2016）70 号、桂建管〔2020〕11 号文除外）。</w:t>
            </w:r>
          </w:p>
          <w:p w14:paraId="56D3BD0B">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需提供投标人或下属管理机构地市分公司（如有）为项目经理缴纳投标截止之日前半年内连续三个月的社保证明材料或聘用合同扫描件。中标后，采购单位有权要求中标供应商提供人员在该单位的社保证明原件进行核查，无法提供的，按照虚假应标处理。</w:t>
            </w:r>
          </w:p>
          <w:p w14:paraId="0C9FB58F">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人依法缴纳税收的相关材料（2025年6月至2026年3月内任意连续3个月的依法缴纳税收的凭据复印件；依法免税的供应商，必须提供相应文件证明其依法免税。从成立之日起到投标文件提交截止时间止不足要求月数的，只需提供从成立之日起的依法缴纳税收相应证明文件）；（必须提供，否则按无效投标处理）</w:t>
            </w:r>
          </w:p>
          <w:p w14:paraId="6604E9EA">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标人依法缴纳社会保障资金的相关材料[2025年6月至2026年3月内任意连续3个月的依法缴纳社会保障资金的缴费凭证（专用收据或者社会保险缴纳清单）复印件；依法不需要缴纳社会保障资金的供应商，必须提供相应文件证明不需要缴纳社会保障资金。从成立之日起到投标文件提交截止时间止不足要求月数的只需提供从成立之日起的依法缴纳社会保障资金的相应证明文件]；（必须提供，否则按无效投标处理）</w:t>
            </w:r>
          </w:p>
          <w:p w14:paraId="658EB456">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标人财务状况报告（2025年度财务报表复印件或者银行出具的资信证明或提供资产负债表、利润表、现金流量表、所有者权益变动表（如有）；投标人属于成立时间在规定年度之后的法人或其他组织，需提供成立之日起至投标截止时间前的月报表或银行出具的资信证明；资信证明应在有效期内，未注明有效期的，银行出具时间至投标截止时间不超过一年）；（除自然人外必须提供，否则按无效投标处理）</w:t>
            </w:r>
          </w:p>
          <w:p w14:paraId="2EA92A86">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6、政府采购投标人资格信用承诺函（格式后附）；（</w:t>
            </w:r>
            <w:r>
              <w:rPr>
                <w:rFonts w:hint="eastAsia" w:ascii="仿宋" w:hAnsi="仿宋" w:eastAsia="仿宋" w:cs="仿宋"/>
                <w:b/>
                <w:bCs/>
                <w:color w:val="auto"/>
                <w:sz w:val="24"/>
                <w:highlight w:val="none"/>
              </w:rPr>
              <w:t>必须提供，否则作无效投标处理</w:t>
            </w:r>
            <w:r>
              <w:rPr>
                <w:rFonts w:hint="eastAsia" w:ascii="仿宋" w:hAnsi="仿宋" w:eastAsia="仿宋" w:cs="仿宋"/>
                <w:color w:val="auto"/>
                <w:sz w:val="24"/>
                <w:highlight w:val="none"/>
              </w:rPr>
              <w:t>）</w:t>
            </w:r>
          </w:p>
          <w:p w14:paraId="2AD12402">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7、投标人直接控股、管理关系信息表（格式后附）；（</w:t>
            </w:r>
            <w:r>
              <w:rPr>
                <w:rFonts w:hint="eastAsia" w:ascii="仿宋" w:hAnsi="仿宋" w:eastAsia="仿宋" w:cs="仿宋"/>
                <w:b/>
                <w:bCs/>
                <w:color w:val="auto"/>
                <w:sz w:val="24"/>
                <w:highlight w:val="none"/>
              </w:rPr>
              <w:t>必须提供，否则作无效投标处理</w:t>
            </w:r>
            <w:r>
              <w:rPr>
                <w:rFonts w:hint="eastAsia" w:ascii="仿宋" w:hAnsi="仿宋" w:eastAsia="仿宋" w:cs="仿宋"/>
                <w:color w:val="auto"/>
                <w:sz w:val="24"/>
                <w:highlight w:val="none"/>
              </w:rPr>
              <w:t>）</w:t>
            </w:r>
          </w:p>
          <w:p w14:paraId="345F2596">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8、投标声明（格式后附）；（</w:t>
            </w:r>
            <w:r>
              <w:rPr>
                <w:rFonts w:hint="eastAsia" w:ascii="仿宋" w:hAnsi="仿宋" w:eastAsia="仿宋" w:cs="仿宋"/>
                <w:b/>
                <w:bCs/>
                <w:color w:val="auto"/>
                <w:sz w:val="24"/>
                <w:highlight w:val="none"/>
              </w:rPr>
              <w:t>必须提供，否则作无效投标处理</w:t>
            </w:r>
            <w:r>
              <w:rPr>
                <w:rFonts w:hint="eastAsia" w:ascii="仿宋" w:hAnsi="仿宋" w:eastAsia="仿宋" w:cs="仿宋"/>
                <w:color w:val="auto"/>
                <w:sz w:val="24"/>
                <w:highlight w:val="none"/>
              </w:rPr>
              <w:t>）</w:t>
            </w:r>
          </w:p>
          <w:p w14:paraId="4131C28F">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9、投标人出具的符合本国产品标准的声明函（格式后附）；（</w:t>
            </w:r>
            <w:r>
              <w:rPr>
                <w:rFonts w:hint="eastAsia" w:ascii="仿宋" w:hAnsi="仿宋" w:eastAsia="仿宋" w:cs="仿宋"/>
                <w:b/>
                <w:bCs/>
                <w:color w:val="auto"/>
                <w:sz w:val="24"/>
                <w:highlight w:val="none"/>
              </w:rPr>
              <w:t>必须提供，否则作无效投标处理</w:t>
            </w:r>
            <w:r>
              <w:rPr>
                <w:rFonts w:hint="eastAsia" w:ascii="仿宋" w:hAnsi="仿宋" w:eastAsia="仿宋" w:cs="仿宋"/>
                <w:color w:val="auto"/>
                <w:sz w:val="24"/>
                <w:highlight w:val="none"/>
              </w:rPr>
              <w:t>）</w:t>
            </w:r>
          </w:p>
          <w:p w14:paraId="2D01C456">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10、投标人出具的符合本国产品标准的成本占比承诺函（格式后附）；（</w:t>
            </w:r>
            <w:r>
              <w:rPr>
                <w:rFonts w:hint="eastAsia" w:ascii="仿宋" w:hAnsi="仿宋" w:eastAsia="仿宋" w:cs="仿宋"/>
                <w:b/>
                <w:bCs/>
                <w:color w:val="auto"/>
                <w:sz w:val="24"/>
                <w:highlight w:val="none"/>
              </w:rPr>
              <w:t>必须提供，否则作无效投标处理</w:t>
            </w:r>
            <w:r>
              <w:rPr>
                <w:rFonts w:hint="eastAsia" w:ascii="仿宋" w:hAnsi="仿宋" w:eastAsia="仿宋" w:cs="仿宋"/>
                <w:color w:val="auto"/>
                <w:sz w:val="24"/>
                <w:highlight w:val="none"/>
              </w:rPr>
              <w:t>）</w:t>
            </w:r>
          </w:p>
          <w:p w14:paraId="37D5EFA9">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11、联合体协议书（格式后附）；</w:t>
            </w:r>
            <w:r>
              <w:rPr>
                <w:rFonts w:hint="eastAsia" w:ascii="仿宋" w:hAnsi="仿宋" w:eastAsia="仿宋" w:cs="仿宋"/>
                <w:b/>
                <w:bCs/>
                <w:color w:val="auto"/>
                <w:sz w:val="24"/>
                <w:highlight w:val="none"/>
              </w:rPr>
              <w:t>（联合体投标时必须提供，否则按无效投标处理）</w:t>
            </w:r>
          </w:p>
          <w:p w14:paraId="2557E6C3">
            <w:pPr>
              <w:spacing w:line="360" w:lineRule="auto"/>
              <w:ind w:firstLine="480" w:firstLineChars="200"/>
              <w:jc w:val="left"/>
              <w:rPr>
                <w:rFonts w:hint="eastAsia" w:ascii="仿宋" w:hAnsi="仿宋" w:eastAsia="仿宋" w:cs="仿宋"/>
                <w:b/>
                <w:bCs/>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color w:val="auto"/>
                <w:sz w:val="24"/>
                <w:highlight w:val="none"/>
                <w:lang w:val="en-US" w:eastAsia="zh-CN"/>
              </w:rPr>
              <w:t>02分标：</w:t>
            </w:r>
            <w:r>
              <w:rPr>
                <w:rFonts w:hint="eastAsia" w:ascii="仿宋" w:hAnsi="仿宋" w:eastAsia="仿宋" w:cs="仿宋"/>
                <w:color w:val="auto"/>
                <w:sz w:val="24"/>
                <w:highlight w:val="none"/>
              </w:rPr>
              <w:t xml:space="preserve">中小企业或残疾企业或监狱企业申明函或残疾人福利性单位声明函； </w:t>
            </w:r>
            <w:r>
              <w:rPr>
                <w:rFonts w:hint="eastAsia" w:ascii="仿宋" w:hAnsi="仿宋" w:eastAsia="仿宋" w:cs="仿宋"/>
                <w:b/>
                <w:bCs/>
                <w:color w:val="auto"/>
                <w:sz w:val="24"/>
                <w:highlight w:val="none"/>
              </w:rPr>
              <w:t>(按格式，必须提供，否则按无效投标处理)</w:t>
            </w:r>
          </w:p>
          <w:p w14:paraId="383C7B71">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13、除招标文件规定必须提供以外，投标人认为需要提供的其他证明材料。</w:t>
            </w:r>
          </w:p>
          <w:p w14:paraId="03586529">
            <w:pPr>
              <w:spacing w:line="360" w:lineRule="auto"/>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注：1、以上标明“必须提供”的材料属于复印件的，必须加盖投标人公章，否则作无效投标处理。</w:t>
            </w:r>
          </w:p>
          <w:p w14:paraId="712D97D4">
            <w:pPr>
              <w:spacing w:line="360" w:lineRule="auto"/>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2、投标声明必须由法定代表人在规定签章处签字并加盖投标人公章，否则作无效投标处理。</w:t>
            </w:r>
          </w:p>
          <w:p w14:paraId="7D269A38">
            <w:pPr>
              <w:spacing w:line="360" w:lineRule="auto"/>
              <w:jc w:val="left"/>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3、投标人直接控股、管理关系信息表必须由法定代表人或者委托代理人在规定签章处签字并加盖投标人公章，否则作无效投标处理。</w:t>
            </w:r>
          </w:p>
        </w:tc>
      </w:tr>
      <w:tr w14:paraId="17FD47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vMerge w:val="continue"/>
            <w:tcBorders>
              <w:left w:val="single" w:color="auto" w:sz="4" w:space="0"/>
              <w:right w:val="single" w:color="auto" w:sz="4" w:space="0"/>
            </w:tcBorders>
            <w:vAlign w:val="center"/>
          </w:tcPr>
          <w:p w14:paraId="493B7989">
            <w:pPr>
              <w:spacing w:line="360" w:lineRule="auto"/>
              <w:jc w:val="center"/>
              <w:rPr>
                <w:rFonts w:hint="eastAsia" w:ascii="仿宋" w:hAnsi="仿宋" w:eastAsia="仿宋" w:cs="仿宋"/>
                <w:color w:val="auto"/>
                <w:sz w:val="24"/>
                <w:highlight w:val="none"/>
              </w:rPr>
            </w:pPr>
            <w:bookmarkStart w:id="51" w:name="_13.3"/>
            <w:bookmarkEnd w:id="51"/>
          </w:p>
        </w:tc>
        <w:tc>
          <w:tcPr>
            <w:tcW w:w="8732" w:type="dxa"/>
            <w:tcBorders>
              <w:top w:val="single" w:color="auto" w:sz="4" w:space="0"/>
              <w:left w:val="single" w:color="auto" w:sz="4" w:space="0"/>
              <w:bottom w:val="single" w:color="auto" w:sz="4" w:space="0"/>
              <w:right w:val="single" w:color="auto" w:sz="4" w:space="0"/>
            </w:tcBorders>
            <w:vAlign w:val="center"/>
          </w:tcPr>
          <w:p w14:paraId="09B2563D">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商务文件：</w:t>
            </w:r>
          </w:p>
          <w:p w14:paraId="19A310F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1、无串通投标行为的承诺函（格式后附）；（</w:t>
            </w:r>
            <w:r>
              <w:rPr>
                <w:rFonts w:hint="eastAsia" w:ascii="仿宋" w:hAnsi="仿宋" w:eastAsia="仿宋" w:cs="仿宋"/>
                <w:b/>
                <w:bCs/>
                <w:color w:val="auto"/>
                <w:sz w:val="24"/>
                <w:highlight w:val="none"/>
              </w:rPr>
              <w:t>必须提供，否则作无效投标处理</w:t>
            </w:r>
            <w:r>
              <w:rPr>
                <w:rFonts w:hint="eastAsia" w:ascii="仿宋" w:hAnsi="仿宋" w:eastAsia="仿宋" w:cs="仿宋"/>
                <w:color w:val="auto"/>
                <w:sz w:val="24"/>
                <w:highlight w:val="none"/>
              </w:rPr>
              <w:t>）</w:t>
            </w:r>
          </w:p>
          <w:p w14:paraId="1FCFA7E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2、投标保证金缴纳凭证复印件；（</w:t>
            </w:r>
            <w:r>
              <w:rPr>
                <w:rFonts w:hint="eastAsia" w:ascii="仿宋" w:hAnsi="仿宋" w:eastAsia="仿宋" w:cs="仿宋"/>
                <w:b/>
                <w:bCs/>
                <w:color w:val="auto"/>
                <w:sz w:val="24"/>
                <w:highlight w:val="none"/>
              </w:rPr>
              <w:t>必须提供，否则作无效投标处理</w:t>
            </w:r>
            <w:r>
              <w:rPr>
                <w:rFonts w:hint="eastAsia" w:ascii="仿宋" w:hAnsi="仿宋" w:eastAsia="仿宋" w:cs="仿宋"/>
                <w:color w:val="auto"/>
                <w:sz w:val="24"/>
                <w:highlight w:val="none"/>
              </w:rPr>
              <w:t>）</w:t>
            </w:r>
          </w:p>
          <w:p w14:paraId="7C693BA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3、法定代表人身份证明及法定代表人有效身份证正反面复印件（格式后附）；（</w:t>
            </w:r>
            <w:r>
              <w:rPr>
                <w:rFonts w:hint="eastAsia" w:ascii="仿宋" w:hAnsi="仿宋" w:eastAsia="仿宋" w:cs="仿宋"/>
                <w:b/>
                <w:bCs/>
                <w:color w:val="auto"/>
                <w:sz w:val="24"/>
                <w:highlight w:val="none"/>
              </w:rPr>
              <w:t>必须提供，否则作无效投标处理</w:t>
            </w:r>
            <w:r>
              <w:rPr>
                <w:rFonts w:hint="eastAsia" w:ascii="仿宋" w:hAnsi="仿宋" w:eastAsia="仿宋" w:cs="仿宋"/>
                <w:color w:val="auto"/>
                <w:sz w:val="24"/>
                <w:highlight w:val="none"/>
              </w:rPr>
              <w:t>）</w:t>
            </w:r>
          </w:p>
          <w:p w14:paraId="6C21933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4、法定代表人授权委托书及委托代理人有效身份证正反面复印件（格式后附）；（</w:t>
            </w:r>
            <w:r>
              <w:rPr>
                <w:rFonts w:hint="eastAsia" w:ascii="仿宋" w:hAnsi="仿宋" w:eastAsia="仿宋" w:cs="仿宋"/>
                <w:b/>
                <w:bCs/>
                <w:color w:val="auto"/>
                <w:sz w:val="24"/>
                <w:highlight w:val="none"/>
              </w:rPr>
              <w:t>委托时必须提供，否则作无效投标处理</w:t>
            </w:r>
            <w:r>
              <w:rPr>
                <w:rFonts w:hint="eastAsia" w:ascii="仿宋" w:hAnsi="仿宋" w:eastAsia="仿宋" w:cs="仿宋"/>
                <w:color w:val="auto"/>
                <w:sz w:val="24"/>
                <w:highlight w:val="none"/>
              </w:rPr>
              <w:t>）</w:t>
            </w:r>
          </w:p>
          <w:p w14:paraId="5F19650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5、商务条款偏离表（格式后附）；（</w:t>
            </w:r>
            <w:r>
              <w:rPr>
                <w:rFonts w:hint="eastAsia" w:ascii="仿宋" w:hAnsi="仿宋" w:eastAsia="仿宋" w:cs="仿宋"/>
                <w:b/>
                <w:bCs/>
                <w:color w:val="auto"/>
                <w:sz w:val="24"/>
                <w:highlight w:val="none"/>
              </w:rPr>
              <w:t>必须提供，否则作无效投标处理</w:t>
            </w:r>
            <w:r>
              <w:rPr>
                <w:rFonts w:hint="eastAsia" w:ascii="仿宋" w:hAnsi="仿宋" w:eastAsia="仿宋" w:cs="仿宋"/>
                <w:color w:val="auto"/>
                <w:sz w:val="24"/>
                <w:highlight w:val="none"/>
              </w:rPr>
              <w:t>）</w:t>
            </w:r>
          </w:p>
          <w:p w14:paraId="6C463C8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6、售后服务承诺（格式自拟）；（</w:t>
            </w:r>
            <w:r>
              <w:rPr>
                <w:rFonts w:hint="eastAsia" w:ascii="仿宋" w:hAnsi="仿宋" w:eastAsia="仿宋" w:cs="仿宋"/>
                <w:b/>
                <w:bCs/>
                <w:color w:val="auto"/>
                <w:sz w:val="24"/>
                <w:highlight w:val="none"/>
              </w:rPr>
              <w:t>必须提供，否则作无效投标处理</w:t>
            </w:r>
            <w:r>
              <w:rPr>
                <w:rFonts w:hint="eastAsia" w:ascii="仿宋" w:hAnsi="仿宋" w:eastAsia="仿宋" w:cs="仿宋"/>
                <w:color w:val="auto"/>
                <w:sz w:val="24"/>
                <w:highlight w:val="none"/>
              </w:rPr>
              <w:t>）</w:t>
            </w:r>
          </w:p>
          <w:p w14:paraId="5D8CBF3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7、投标人情况介绍（格式自拟）；</w:t>
            </w:r>
          </w:p>
          <w:p w14:paraId="7B9169F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8、除招标文件规定必须提供以外，投标人认为需要提供的其他证明材料（格式自拟）。</w:t>
            </w:r>
          </w:p>
          <w:p w14:paraId="149BFF2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9、投标人或者投标产品的生产企业的信誉业绩相关证明材料复印件（投标人根据“第二章 采购需求”及“第四章 评标方法及评标标准”提供，加盖公章，否则不予计分）。</w:t>
            </w:r>
          </w:p>
          <w:p w14:paraId="3F9858E7">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 1、法定代表人授权委托书必须由法定代表人及委托代理人签字，并加盖投标人公章，否则作无效投标处理。</w:t>
            </w:r>
          </w:p>
          <w:p w14:paraId="529778AC">
            <w:pPr>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2、以上标明“必须提供”的材料属于复印件的，必须加盖投标人公章，否则作无效投标处理。</w:t>
            </w:r>
          </w:p>
        </w:tc>
      </w:tr>
      <w:tr w14:paraId="75AED1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vMerge w:val="continue"/>
            <w:tcBorders>
              <w:left w:val="single" w:color="auto" w:sz="4" w:space="0"/>
              <w:bottom w:val="single" w:color="auto" w:sz="4" w:space="0"/>
              <w:right w:val="single" w:color="auto" w:sz="4" w:space="0"/>
            </w:tcBorders>
            <w:vAlign w:val="center"/>
          </w:tcPr>
          <w:p w14:paraId="6AB6BF2E">
            <w:pPr>
              <w:spacing w:line="360" w:lineRule="auto"/>
              <w:jc w:val="center"/>
              <w:rPr>
                <w:rFonts w:hint="eastAsia" w:ascii="仿宋" w:hAnsi="仿宋" w:eastAsia="仿宋" w:cs="仿宋"/>
                <w:color w:val="auto"/>
                <w:sz w:val="24"/>
                <w:highlight w:val="none"/>
              </w:rPr>
            </w:pPr>
            <w:bookmarkStart w:id="52" w:name="_13.4"/>
            <w:bookmarkEnd w:id="52"/>
          </w:p>
        </w:tc>
        <w:tc>
          <w:tcPr>
            <w:tcW w:w="8732" w:type="dxa"/>
            <w:tcBorders>
              <w:top w:val="single" w:color="auto" w:sz="4" w:space="0"/>
              <w:left w:val="single" w:color="auto" w:sz="4" w:space="0"/>
              <w:bottom w:val="single" w:color="auto" w:sz="4" w:space="0"/>
              <w:right w:val="single" w:color="auto" w:sz="4" w:space="0"/>
            </w:tcBorders>
            <w:vAlign w:val="center"/>
          </w:tcPr>
          <w:p w14:paraId="7FD14284">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技术文件：</w:t>
            </w:r>
          </w:p>
          <w:p w14:paraId="19F1B6F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1、技术需求偏离表（格式后附）；（</w:t>
            </w:r>
            <w:r>
              <w:rPr>
                <w:rFonts w:hint="eastAsia" w:ascii="仿宋" w:hAnsi="仿宋" w:eastAsia="仿宋" w:cs="仿宋"/>
                <w:b/>
                <w:bCs/>
                <w:color w:val="auto"/>
                <w:sz w:val="24"/>
                <w:highlight w:val="none"/>
              </w:rPr>
              <w:t>必须提供，否则作无效投标处理</w:t>
            </w:r>
            <w:r>
              <w:rPr>
                <w:rFonts w:hint="eastAsia" w:ascii="仿宋" w:hAnsi="仿宋" w:eastAsia="仿宋" w:cs="仿宋"/>
                <w:color w:val="auto"/>
                <w:sz w:val="24"/>
                <w:highlight w:val="none"/>
              </w:rPr>
              <w:t>）</w:t>
            </w:r>
          </w:p>
          <w:p w14:paraId="6905FD9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2、项目技术方案【项目实施计划（项目实施人员一览表（格式后附）、技术服务、技术培训的内容和措施等）】（格式自拟）；</w:t>
            </w:r>
          </w:p>
          <w:p w14:paraId="25DFA45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3、投标人对本项目的合理化建议和改进措施（格式自拟）；</w:t>
            </w:r>
          </w:p>
          <w:p w14:paraId="0FAF6BF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4、优惠条件：投标人承诺给予招标人的各种优惠条件，包括售后服务、备品备件、专用耗材等方面的优惠；投标人不得给予赠品或者与采购无关的其他商品、服务（格式自拟）</w:t>
            </w:r>
          </w:p>
          <w:p w14:paraId="57CD2FC7">
            <w:pPr>
              <w:spacing w:line="360" w:lineRule="auto"/>
              <w:ind w:firstLine="480" w:firstLineChars="200"/>
              <w:rPr>
                <w:rFonts w:hint="eastAsia" w:ascii="仿宋" w:hAnsi="仿宋" w:eastAsia="仿宋" w:cs="仿宋"/>
                <w:b/>
                <w:bCs/>
                <w:color w:val="auto"/>
                <w:sz w:val="24"/>
                <w:highlight w:val="none"/>
              </w:rPr>
            </w:pPr>
            <w:r>
              <w:rPr>
                <w:rFonts w:hint="eastAsia" w:ascii="仿宋" w:hAnsi="仿宋" w:eastAsia="仿宋" w:cs="仿宋"/>
                <w:color w:val="auto"/>
                <w:sz w:val="24"/>
                <w:highlight w:val="none"/>
              </w:rPr>
              <w:t>5、除招标文件规定必须提供以外，投标人需要说明的其他文件和说明（格式自拟）。</w:t>
            </w:r>
          </w:p>
        </w:tc>
      </w:tr>
      <w:tr w14:paraId="533807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4EB02CF3">
            <w:pPr>
              <w:spacing w:line="360" w:lineRule="auto"/>
              <w:jc w:val="center"/>
              <w:rPr>
                <w:rFonts w:hint="eastAsia" w:ascii="仿宋" w:hAnsi="仿宋" w:eastAsia="仿宋" w:cs="仿宋"/>
                <w:color w:val="auto"/>
                <w:sz w:val="24"/>
                <w:highlight w:val="none"/>
              </w:rPr>
            </w:pPr>
            <w:bookmarkStart w:id="53" w:name="_13.5"/>
            <w:bookmarkEnd w:id="53"/>
            <w:r>
              <w:rPr>
                <w:rFonts w:hint="eastAsia" w:ascii="仿宋" w:hAnsi="仿宋" w:eastAsia="仿宋" w:cs="仿宋"/>
                <w:color w:val="auto"/>
                <w:sz w:val="24"/>
                <w:highlight w:val="none"/>
              </w:rPr>
              <w:t>13.2</w:t>
            </w:r>
          </w:p>
        </w:tc>
        <w:tc>
          <w:tcPr>
            <w:tcW w:w="8732" w:type="dxa"/>
            <w:tcBorders>
              <w:top w:val="single" w:color="auto" w:sz="4" w:space="0"/>
              <w:left w:val="single" w:color="auto" w:sz="4" w:space="0"/>
              <w:bottom w:val="single" w:color="auto" w:sz="4" w:space="0"/>
              <w:right w:val="single" w:color="auto" w:sz="4" w:space="0"/>
            </w:tcBorders>
            <w:vAlign w:val="center"/>
          </w:tcPr>
          <w:p w14:paraId="57B94D9A">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电子投标文件：</w:t>
            </w:r>
          </w:p>
          <w:p w14:paraId="7AE2F94A">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投标人应按照本项目公开招标文件和广西政府采购云平台的要求，通过“广西政采云电子投标客户端”编制、加密电子投标文件，并于提交投标文件截止时间前在广西政府采购云平台上提交加密的电子投标文件。</w:t>
            </w:r>
          </w:p>
          <w:p w14:paraId="70827EBF">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2.未按规定传输提交电子投标文件的，视为投标无效。</w:t>
            </w:r>
          </w:p>
          <w:p w14:paraId="594550C2">
            <w:pPr>
              <w:spacing w:line="360" w:lineRule="auto"/>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3.电子投标文件成功提交后，投标人可自行打印投标文件接收回执。</w:t>
            </w:r>
          </w:p>
        </w:tc>
      </w:tr>
      <w:tr w14:paraId="017AFB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2786ADB3">
            <w:pPr>
              <w:spacing w:line="360" w:lineRule="auto"/>
              <w:jc w:val="center"/>
              <w:rPr>
                <w:rFonts w:hint="eastAsia" w:ascii="仿宋" w:hAnsi="仿宋" w:eastAsia="仿宋" w:cs="仿宋"/>
                <w:color w:val="auto"/>
                <w:sz w:val="24"/>
                <w:highlight w:val="none"/>
              </w:rPr>
            </w:pPr>
            <w:bookmarkStart w:id="54" w:name="_16.2"/>
            <w:bookmarkEnd w:id="54"/>
            <w:r>
              <w:rPr>
                <w:rFonts w:hint="eastAsia" w:ascii="仿宋" w:hAnsi="仿宋" w:eastAsia="仿宋" w:cs="仿宋"/>
                <w:color w:val="auto"/>
                <w:sz w:val="24"/>
                <w:highlight w:val="none"/>
              </w:rPr>
              <w:t>16</w:t>
            </w:r>
            <w:bookmarkStart w:id="55" w:name="_Hlt19194066"/>
            <w:bookmarkStart w:id="56" w:name="_Hlt19194067"/>
            <w:bookmarkStart w:id="57" w:name="_Hlt19693758"/>
            <w:bookmarkStart w:id="58" w:name="_Hlt19693759"/>
            <w:r>
              <w:rPr>
                <w:rFonts w:hint="eastAsia" w:ascii="仿宋" w:hAnsi="仿宋" w:eastAsia="仿宋" w:cs="仿宋"/>
                <w:color w:val="auto"/>
                <w:sz w:val="24"/>
                <w:highlight w:val="none"/>
              </w:rPr>
              <w:t>.</w:t>
            </w:r>
            <w:bookmarkEnd w:id="55"/>
            <w:bookmarkEnd w:id="56"/>
            <w:bookmarkEnd w:id="57"/>
            <w:bookmarkEnd w:id="58"/>
            <w:r>
              <w:rPr>
                <w:rFonts w:hint="eastAsia" w:ascii="仿宋" w:hAnsi="仿宋" w:eastAsia="仿宋" w:cs="仿宋"/>
                <w:color w:val="auto"/>
                <w:sz w:val="24"/>
                <w:highlight w:val="none"/>
              </w:rPr>
              <w:t>2</w:t>
            </w:r>
          </w:p>
        </w:tc>
        <w:tc>
          <w:tcPr>
            <w:tcW w:w="8732" w:type="dxa"/>
            <w:tcBorders>
              <w:top w:val="single" w:color="auto" w:sz="4" w:space="0"/>
              <w:left w:val="single" w:color="auto" w:sz="4" w:space="0"/>
              <w:bottom w:val="single" w:color="auto" w:sz="4" w:space="0"/>
              <w:right w:val="single" w:color="auto" w:sz="4" w:space="0"/>
            </w:tcBorders>
            <w:vAlign w:val="center"/>
          </w:tcPr>
          <w:p w14:paraId="74C2811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报价是履行合同的最终价格，投标货物（包括备品备件、专用工具等）的价格（包括已在中国境内的进口货物完税后的仓库交货价、展室交货价或者货架交货价），投标货物运输（含保险）、安装（如有）、调试、检验、技术服务、培训和招标文件要求提供的所有伴随服务、工程等费用和税费。（</w:t>
            </w:r>
            <w:r>
              <w:rPr>
                <w:rFonts w:hint="eastAsia" w:ascii="仿宋" w:hAnsi="仿宋" w:eastAsia="仿宋" w:cs="仿宋"/>
                <w:b/>
                <w:bCs/>
                <w:color w:val="auto"/>
                <w:sz w:val="24"/>
                <w:highlight w:val="none"/>
              </w:rPr>
              <w:t>本条适用于货物类采购，采购需求另有约定的，从其约定。</w:t>
            </w:r>
            <w:r>
              <w:rPr>
                <w:rFonts w:hint="eastAsia" w:ascii="仿宋" w:hAnsi="仿宋" w:eastAsia="仿宋" w:cs="仿宋"/>
                <w:color w:val="auto"/>
                <w:sz w:val="24"/>
                <w:highlight w:val="none"/>
              </w:rPr>
              <w:t>）</w:t>
            </w:r>
          </w:p>
          <w:p w14:paraId="64DE6F98">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☑投标报价包含验收费用</w:t>
            </w:r>
          </w:p>
          <w:p w14:paraId="446C1553">
            <w:pPr>
              <w:spacing w:line="360" w:lineRule="auto"/>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□投标报价不包含验收费用</w:t>
            </w:r>
          </w:p>
        </w:tc>
      </w:tr>
      <w:tr w14:paraId="5BFE2B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6616E71B">
            <w:pPr>
              <w:spacing w:line="360" w:lineRule="auto"/>
              <w:jc w:val="center"/>
              <w:rPr>
                <w:rFonts w:hint="eastAsia" w:ascii="仿宋" w:hAnsi="仿宋" w:eastAsia="仿宋" w:cs="仿宋"/>
                <w:color w:val="auto"/>
                <w:sz w:val="24"/>
                <w:highlight w:val="none"/>
              </w:rPr>
            </w:pPr>
            <w:bookmarkStart w:id="59" w:name="_17.1"/>
            <w:bookmarkEnd w:id="59"/>
            <w:r>
              <w:rPr>
                <w:rFonts w:hint="eastAsia" w:ascii="仿宋" w:hAnsi="仿宋" w:eastAsia="仿宋" w:cs="仿宋"/>
                <w:color w:val="auto"/>
                <w:sz w:val="24"/>
                <w:highlight w:val="none"/>
              </w:rPr>
              <w:t>17.2</w:t>
            </w:r>
          </w:p>
        </w:tc>
        <w:tc>
          <w:tcPr>
            <w:tcW w:w="8732" w:type="dxa"/>
            <w:tcBorders>
              <w:top w:val="single" w:color="auto" w:sz="4" w:space="0"/>
              <w:left w:val="single" w:color="auto" w:sz="4" w:space="0"/>
              <w:bottom w:val="single" w:color="auto" w:sz="4" w:space="0"/>
              <w:right w:val="single" w:color="auto" w:sz="4" w:space="0"/>
            </w:tcBorders>
            <w:vAlign w:val="center"/>
          </w:tcPr>
          <w:p w14:paraId="17ACD1E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投标有效期：自投标截止之日起</w:t>
            </w:r>
            <w:r>
              <w:rPr>
                <w:rFonts w:hint="eastAsia" w:ascii="仿宋" w:hAnsi="仿宋" w:eastAsia="仿宋" w:cs="仿宋"/>
                <w:color w:val="auto"/>
                <w:sz w:val="24"/>
                <w:highlight w:val="none"/>
                <w:u w:val="single"/>
              </w:rPr>
              <w:t>60</w:t>
            </w:r>
            <w:r>
              <w:rPr>
                <w:rFonts w:hint="eastAsia" w:ascii="仿宋" w:hAnsi="仿宋" w:eastAsia="仿宋" w:cs="仿宋"/>
                <w:color w:val="auto"/>
                <w:sz w:val="24"/>
                <w:highlight w:val="none"/>
              </w:rPr>
              <w:t>日。</w:t>
            </w:r>
          </w:p>
        </w:tc>
      </w:tr>
      <w:tr w14:paraId="71F9B6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40CDC191">
            <w:pPr>
              <w:spacing w:line="360" w:lineRule="auto"/>
              <w:jc w:val="center"/>
              <w:rPr>
                <w:rFonts w:hint="eastAsia" w:ascii="仿宋" w:hAnsi="仿宋" w:eastAsia="仿宋" w:cs="仿宋"/>
                <w:color w:val="auto"/>
                <w:sz w:val="24"/>
                <w:highlight w:val="none"/>
              </w:rPr>
            </w:pPr>
            <w:bookmarkStart w:id="60" w:name="_18"/>
            <w:bookmarkEnd w:id="60"/>
            <w:r>
              <w:rPr>
                <w:rFonts w:hint="eastAsia" w:ascii="仿宋" w:hAnsi="仿宋" w:eastAsia="仿宋" w:cs="仿宋"/>
                <w:color w:val="auto"/>
                <w:sz w:val="24"/>
                <w:highlight w:val="none"/>
              </w:rPr>
              <w:t>18.1</w:t>
            </w:r>
          </w:p>
        </w:tc>
        <w:tc>
          <w:tcPr>
            <w:tcW w:w="8732" w:type="dxa"/>
            <w:tcBorders>
              <w:top w:val="single" w:color="auto" w:sz="4" w:space="0"/>
              <w:left w:val="single" w:color="auto" w:sz="4" w:space="0"/>
              <w:bottom w:val="single" w:color="auto" w:sz="4" w:space="0"/>
              <w:right w:val="single" w:color="auto" w:sz="4" w:space="0"/>
            </w:tcBorders>
            <w:vAlign w:val="center"/>
          </w:tcPr>
          <w:p w14:paraId="30879B9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□本项目不收取投标保证金。</w:t>
            </w:r>
          </w:p>
          <w:p w14:paraId="5D67AC8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☑本项目收取投标保证金，具体规定如下：</w:t>
            </w:r>
          </w:p>
          <w:p w14:paraId="6D522F8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投标保证金的交纳方式：详见招标公告</w:t>
            </w:r>
          </w:p>
          <w:p w14:paraId="04F707C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投标保证金的金额：详见招标公告</w:t>
            </w:r>
          </w:p>
          <w:p w14:paraId="13F1D86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相关要求：</w:t>
            </w:r>
          </w:p>
          <w:p w14:paraId="4008887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1、投标保证金采用银行转账交纳方式的，在投标截止时间前交至采购代理机构指定账户并且到账，投标人应将银行转账底单的复印件作为投标保证金提交凭证，放置于商务文件中，</w:t>
            </w:r>
            <w:r>
              <w:rPr>
                <w:rFonts w:hint="eastAsia" w:ascii="仿宋" w:hAnsi="仿宋" w:eastAsia="仿宋" w:cs="仿宋"/>
                <w:b/>
                <w:bCs/>
                <w:color w:val="auto"/>
                <w:sz w:val="24"/>
                <w:highlight w:val="none"/>
              </w:rPr>
              <w:t>否则投标无效</w:t>
            </w:r>
            <w:r>
              <w:rPr>
                <w:rFonts w:hint="eastAsia" w:ascii="仿宋" w:hAnsi="仿宋" w:eastAsia="仿宋" w:cs="仿宋"/>
                <w:color w:val="auto"/>
                <w:sz w:val="24"/>
                <w:highlight w:val="none"/>
              </w:rPr>
              <w:t>。</w:t>
            </w:r>
          </w:p>
          <w:p w14:paraId="22691AC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保证金采用支票、汇票、本票或者金融、担保机构出具的保函交纳方式的，投标人应将支票、汇票、本票或者金融、担保机构出具的保函、电子保函、保险，禁止采用现钞方式的复印件作为投标保证金提交凭证，放置于商务文件中，</w:t>
            </w:r>
            <w:r>
              <w:rPr>
                <w:rFonts w:hint="eastAsia" w:ascii="仿宋" w:hAnsi="仿宋" w:eastAsia="仿宋" w:cs="仿宋"/>
                <w:b/>
                <w:bCs/>
                <w:color w:val="auto"/>
                <w:sz w:val="24"/>
                <w:highlight w:val="none"/>
              </w:rPr>
              <w:t>否则投标无效</w:t>
            </w:r>
            <w:r>
              <w:rPr>
                <w:rFonts w:hint="eastAsia" w:ascii="仿宋" w:hAnsi="仿宋" w:eastAsia="仿宋" w:cs="仿宋"/>
                <w:color w:val="auto"/>
                <w:sz w:val="24"/>
                <w:highlight w:val="none"/>
              </w:rPr>
              <w:t>。投标人必须于递交投标文件时将支票、汇票、本票或者金融、担保机构出具的保函原件提交给采购人或者采购代理机构，由采购人或者采购代理机构向投标人出具回执，并妥善保管。</w:t>
            </w:r>
          </w:p>
          <w:p w14:paraId="3534DEF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3、投标保证金指定帐户：详见招标公告。</w:t>
            </w:r>
          </w:p>
          <w:p w14:paraId="485A9D0C">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 xml:space="preserve">备注： </w:t>
            </w:r>
          </w:p>
          <w:p w14:paraId="57479DBD">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1、投标保证金在投标截止时间后提交的，或者不按规定交纳方式交纳的，或者未足额交纳的（包含保函额度不足的），视为无效投标保证金。</w:t>
            </w:r>
          </w:p>
          <w:p w14:paraId="717B4754">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2、投标人采用现钞方式或者从个人账户（自然人投标除外）转出的投标保证金，视为无效投标保证金。</w:t>
            </w:r>
          </w:p>
          <w:p w14:paraId="216C6265">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3、支票、汇票或者本票出现无效或者背书情形的，视为无效投标保证金。</w:t>
            </w:r>
          </w:p>
          <w:p w14:paraId="5607805A">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4、保函有效期低于投标有效期的，视为无效投标保证金。</w:t>
            </w:r>
          </w:p>
          <w:p w14:paraId="78D3D75B">
            <w:pPr>
              <w:spacing w:line="360" w:lineRule="auto"/>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5、采用金融、担保机构出具保函的，必须为无条件保函，否则视为无效投标保证金。</w:t>
            </w:r>
          </w:p>
        </w:tc>
      </w:tr>
      <w:tr w14:paraId="0BD0B4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833" w:type="dxa"/>
            <w:tcBorders>
              <w:top w:val="single" w:color="auto" w:sz="4" w:space="0"/>
              <w:left w:val="single" w:color="auto" w:sz="4" w:space="0"/>
              <w:bottom w:val="single" w:color="auto" w:sz="4" w:space="0"/>
              <w:right w:val="single" w:color="auto" w:sz="4" w:space="0"/>
            </w:tcBorders>
            <w:vAlign w:val="center"/>
          </w:tcPr>
          <w:p w14:paraId="13C8B051">
            <w:pPr>
              <w:spacing w:line="360" w:lineRule="auto"/>
              <w:jc w:val="center"/>
              <w:rPr>
                <w:rFonts w:hint="eastAsia" w:ascii="仿宋" w:hAnsi="仿宋" w:eastAsia="仿宋" w:cs="仿宋"/>
                <w:color w:val="auto"/>
                <w:sz w:val="24"/>
                <w:highlight w:val="none"/>
              </w:rPr>
            </w:pPr>
            <w:bookmarkStart w:id="61" w:name="_21.1"/>
            <w:bookmarkEnd w:id="61"/>
            <w:bookmarkStart w:id="62" w:name="_19.2"/>
            <w:bookmarkEnd w:id="62"/>
            <w:r>
              <w:rPr>
                <w:rFonts w:hint="eastAsia" w:ascii="仿宋" w:hAnsi="仿宋" w:eastAsia="仿宋" w:cs="仿宋"/>
                <w:color w:val="auto"/>
                <w:sz w:val="24"/>
                <w:highlight w:val="none"/>
              </w:rPr>
              <w:t>21.1</w:t>
            </w:r>
          </w:p>
        </w:tc>
        <w:tc>
          <w:tcPr>
            <w:tcW w:w="8732" w:type="dxa"/>
            <w:tcBorders>
              <w:top w:val="single" w:color="auto" w:sz="4" w:space="0"/>
              <w:left w:val="single" w:color="auto" w:sz="4" w:space="0"/>
              <w:bottom w:val="single" w:color="auto" w:sz="4" w:space="0"/>
              <w:right w:val="single" w:color="auto" w:sz="4" w:space="0"/>
            </w:tcBorders>
            <w:vAlign w:val="center"/>
          </w:tcPr>
          <w:p w14:paraId="1520C67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1、投标截止时间：详见招标公告</w:t>
            </w:r>
          </w:p>
          <w:p w14:paraId="256A1E5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2、投标文件提交起止时间：详见招标公告</w:t>
            </w:r>
          </w:p>
          <w:p w14:paraId="731BC7E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3、投标地点：详见招标公告</w:t>
            </w:r>
          </w:p>
        </w:tc>
      </w:tr>
      <w:tr w14:paraId="69BC5A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60B89639">
            <w:pPr>
              <w:spacing w:line="360" w:lineRule="auto"/>
              <w:jc w:val="center"/>
              <w:rPr>
                <w:rFonts w:hint="eastAsia" w:ascii="仿宋" w:hAnsi="仿宋" w:eastAsia="仿宋" w:cs="仿宋"/>
                <w:color w:val="auto"/>
                <w:sz w:val="24"/>
                <w:highlight w:val="none"/>
              </w:rPr>
            </w:pPr>
            <w:bookmarkStart w:id="63" w:name="_23"/>
            <w:bookmarkEnd w:id="63"/>
            <w:r>
              <w:rPr>
                <w:rFonts w:hint="eastAsia" w:ascii="仿宋" w:hAnsi="仿宋" w:eastAsia="仿宋" w:cs="仿宋"/>
                <w:color w:val="auto"/>
                <w:sz w:val="24"/>
                <w:highlight w:val="none"/>
              </w:rPr>
              <w:t>23</w:t>
            </w:r>
          </w:p>
        </w:tc>
        <w:tc>
          <w:tcPr>
            <w:tcW w:w="8732" w:type="dxa"/>
            <w:tcBorders>
              <w:top w:val="single" w:color="auto" w:sz="4" w:space="0"/>
              <w:left w:val="single" w:color="auto" w:sz="4" w:space="0"/>
              <w:bottom w:val="single" w:color="auto" w:sz="4" w:space="0"/>
              <w:right w:val="single" w:color="auto" w:sz="4" w:space="0"/>
            </w:tcBorders>
            <w:vAlign w:val="center"/>
          </w:tcPr>
          <w:p w14:paraId="2467EB2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1、开标时间：详见招标公告</w:t>
            </w:r>
          </w:p>
          <w:p w14:paraId="41B577A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2、开标地点：详见招标公告</w:t>
            </w:r>
          </w:p>
        </w:tc>
      </w:tr>
      <w:tr w14:paraId="1D5D9C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79DE0FA6">
            <w:pPr>
              <w:spacing w:line="360" w:lineRule="auto"/>
              <w:jc w:val="center"/>
              <w:rPr>
                <w:rFonts w:hint="eastAsia" w:ascii="仿宋" w:hAnsi="仿宋" w:eastAsia="仿宋" w:cs="仿宋"/>
                <w:color w:val="auto"/>
                <w:sz w:val="24"/>
                <w:highlight w:val="none"/>
              </w:rPr>
            </w:pPr>
            <w:bookmarkStart w:id="64" w:name="_25.3"/>
            <w:bookmarkEnd w:id="64"/>
            <w:r>
              <w:rPr>
                <w:rFonts w:hint="eastAsia" w:ascii="仿宋" w:hAnsi="仿宋" w:eastAsia="仿宋" w:cs="仿宋"/>
                <w:color w:val="auto"/>
                <w:sz w:val="24"/>
                <w:highlight w:val="none"/>
              </w:rPr>
              <w:t>25.3（2）</w:t>
            </w:r>
          </w:p>
        </w:tc>
        <w:tc>
          <w:tcPr>
            <w:tcW w:w="8732" w:type="dxa"/>
            <w:tcBorders>
              <w:top w:val="single" w:color="auto" w:sz="4" w:space="0"/>
              <w:left w:val="single" w:color="auto" w:sz="4" w:space="0"/>
              <w:bottom w:val="single" w:color="auto" w:sz="4" w:space="0"/>
              <w:right w:val="single" w:color="auto" w:sz="4" w:space="0"/>
            </w:tcBorders>
            <w:vAlign w:val="center"/>
          </w:tcPr>
          <w:p w14:paraId="570B566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采购人或者采购代理机构在资格审查结束前，对投标人进行信用查询。</w:t>
            </w:r>
          </w:p>
          <w:p w14:paraId="68FF8F0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查询渠道：“信用中国”网站(www.creditchina.gov.cn) 、中国政府采购网(www.ccgp.gov.cn)》。</w:t>
            </w:r>
          </w:p>
          <w:p w14:paraId="2F1DF96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信用查询截止时点：资格审查结束前</w:t>
            </w:r>
          </w:p>
          <w:p w14:paraId="2BF678D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查询记录和证据留存方式：在查询网站中直接打印查询记录，打印材料作为评审资料保存。</w:t>
            </w:r>
          </w:p>
          <w:p w14:paraId="298639A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D1855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2B479BC7">
            <w:pPr>
              <w:spacing w:line="360" w:lineRule="auto"/>
              <w:jc w:val="center"/>
              <w:rPr>
                <w:rFonts w:hint="eastAsia" w:ascii="仿宋" w:hAnsi="仿宋" w:eastAsia="仿宋" w:cs="仿宋"/>
                <w:color w:val="auto"/>
                <w:sz w:val="24"/>
                <w:highlight w:val="none"/>
              </w:rPr>
            </w:pPr>
            <w:bookmarkStart w:id="65" w:name="_26"/>
            <w:bookmarkEnd w:id="65"/>
            <w:r>
              <w:rPr>
                <w:rFonts w:hint="eastAsia" w:ascii="仿宋" w:hAnsi="仿宋" w:eastAsia="仿宋" w:cs="仿宋"/>
                <w:color w:val="auto"/>
                <w:sz w:val="24"/>
                <w:highlight w:val="none"/>
              </w:rPr>
              <w:t>26</w:t>
            </w:r>
          </w:p>
        </w:tc>
        <w:tc>
          <w:tcPr>
            <w:tcW w:w="8732" w:type="dxa"/>
            <w:tcBorders>
              <w:top w:val="single" w:color="auto" w:sz="4" w:space="0"/>
              <w:left w:val="single" w:color="auto" w:sz="4" w:space="0"/>
              <w:bottom w:val="single" w:color="auto" w:sz="4" w:space="0"/>
              <w:right w:val="single" w:color="auto" w:sz="4" w:space="0"/>
            </w:tcBorders>
            <w:vAlign w:val="center"/>
          </w:tcPr>
          <w:p w14:paraId="752FFD6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评标委员会的人数：</w:t>
            </w:r>
            <w:r>
              <w:rPr>
                <w:rFonts w:hint="eastAsia" w:ascii="仿宋" w:hAnsi="仿宋" w:eastAsia="仿宋" w:cs="仿宋"/>
                <w:color w:val="auto"/>
                <w:sz w:val="24"/>
                <w:highlight w:val="none"/>
                <w:u w:val="single"/>
              </w:rPr>
              <w:t>7</w:t>
            </w:r>
            <w:r>
              <w:rPr>
                <w:rFonts w:hint="eastAsia" w:ascii="仿宋" w:hAnsi="仿宋" w:eastAsia="仿宋" w:cs="仿宋"/>
                <w:color w:val="auto"/>
                <w:sz w:val="24"/>
                <w:highlight w:val="none"/>
              </w:rPr>
              <w:t>人</w:t>
            </w:r>
          </w:p>
        </w:tc>
      </w:tr>
      <w:tr w14:paraId="16A6B3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39873D4A">
            <w:pPr>
              <w:spacing w:line="360" w:lineRule="auto"/>
              <w:jc w:val="center"/>
              <w:rPr>
                <w:rFonts w:hint="eastAsia" w:ascii="仿宋" w:hAnsi="仿宋" w:eastAsia="仿宋" w:cs="仿宋"/>
                <w:color w:val="auto"/>
                <w:sz w:val="24"/>
                <w:highlight w:val="none"/>
              </w:rPr>
            </w:pPr>
            <w:bookmarkStart w:id="66" w:name="_28.3"/>
            <w:bookmarkEnd w:id="66"/>
            <w:r>
              <w:rPr>
                <w:rFonts w:hint="eastAsia" w:ascii="仿宋" w:hAnsi="仿宋" w:eastAsia="仿宋" w:cs="仿宋"/>
                <w:color w:val="auto"/>
                <w:sz w:val="24"/>
                <w:highlight w:val="none"/>
              </w:rPr>
              <w:t>29.1</w:t>
            </w:r>
          </w:p>
        </w:tc>
        <w:tc>
          <w:tcPr>
            <w:tcW w:w="8732" w:type="dxa"/>
            <w:tcBorders>
              <w:top w:val="single" w:color="auto" w:sz="4" w:space="0"/>
              <w:left w:val="single" w:color="auto" w:sz="4" w:space="0"/>
              <w:bottom w:val="single" w:color="auto" w:sz="4" w:space="0"/>
              <w:right w:val="single" w:color="auto" w:sz="4" w:space="0"/>
            </w:tcBorders>
            <w:vAlign w:val="center"/>
          </w:tcPr>
          <w:p w14:paraId="1447195A">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评标方法：</w:t>
            </w:r>
          </w:p>
          <w:p w14:paraId="06A44088">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☑综合评分法</w:t>
            </w:r>
          </w:p>
          <w:p w14:paraId="664C42AC">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□最低评标价法</w:t>
            </w:r>
          </w:p>
        </w:tc>
      </w:tr>
      <w:tr w14:paraId="7AE6FF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33" w:type="dxa"/>
            <w:tcBorders>
              <w:top w:val="single" w:color="auto" w:sz="4" w:space="0"/>
              <w:left w:val="single" w:color="auto" w:sz="4" w:space="0"/>
              <w:right w:val="single" w:color="auto" w:sz="4" w:space="0"/>
            </w:tcBorders>
            <w:vAlign w:val="center"/>
          </w:tcPr>
          <w:p w14:paraId="143588E4">
            <w:pPr>
              <w:spacing w:line="360" w:lineRule="auto"/>
              <w:jc w:val="center"/>
              <w:rPr>
                <w:rFonts w:hint="eastAsia" w:ascii="仿宋" w:hAnsi="仿宋" w:eastAsia="仿宋" w:cs="仿宋"/>
                <w:color w:val="auto"/>
                <w:sz w:val="24"/>
                <w:highlight w:val="none"/>
              </w:rPr>
            </w:pPr>
            <w:bookmarkStart w:id="67" w:name="_29.2.2（2）"/>
            <w:bookmarkEnd w:id="67"/>
            <w:r>
              <w:rPr>
                <w:rFonts w:hint="eastAsia" w:ascii="仿宋" w:hAnsi="仿宋" w:eastAsia="仿宋" w:cs="仿宋"/>
                <w:color w:val="auto"/>
                <w:sz w:val="24"/>
                <w:highlight w:val="none"/>
              </w:rPr>
              <w:t>29.2</w:t>
            </w:r>
          </w:p>
        </w:tc>
        <w:tc>
          <w:tcPr>
            <w:tcW w:w="8732" w:type="dxa"/>
            <w:tcBorders>
              <w:top w:val="single" w:color="auto" w:sz="4" w:space="0"/>
              <w:left w:val="single" w:color="auto" w:sz="4" w:space="0"/>
              <w:right w:val="single" w:color="auto" w:sz="4" w:space="0"/>
            </w:tcBorders>
            <w:vAlign w:val="center"/>
          </w:tcPr>
          <w:p w14:paraId="64D152BD">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商务条款评审中允许负偏离的条款数为</w:t>
            </w:r>
            <w:r>
              <w:rPr>
                <w:rFonts w:hint="eastAsia" w:ascii="仿宋" w:hAnsi="仿宋" w:eastAsia="仿宋" w:cs="仿宋"/>
                <w:color w:val="auto"/>
                <w:sz w:val="24"/>
                <w:highlight w:val="none"/>
                <w:u w:val="single"/>
              </w:rPr>
              <w:t>0</w:t>
            </w:r>
            <w:r>
              <w:rPr>
                <w:rFonts w:hint="eastAsia" w:ascii="仿宋" w:hAnsi="仿宋" w:eastAsia="仿宋" w:cs="仿宋"/>
                <w:color w:val="auto"/>
                <w:sz w:val="24"/>
                <w:highlight w:val="none"/>
              </w:rPr>
              <w:t>项。</w:t>
            </w:r>
          </w:p>
          <w:p w14:paraId="4D601A8A">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技术需求评审中允许负偏离的条款数为</w:t>
            </w:r>
            <w:r>
              <w:rPr>
                <w:rFonts w:hint="eastAsia" w:ascii="仿宋" w:hAnsi="仿宋" w:eastAsia="仿宋" w:cs="仿宋"/>
                <w:color w:val="auto"/>
                <w:sz w:val="24"/>
                <w:highlight w:val="none"/>
                <w:u w:val="single"/>
              </w:rPr>
              <w:t>0</w:t>
            </w:r>
            <w:r>
              <w:rPr>
                <w:rFonts w:hint="eastAsia" w:ascii="仿宋" w:hAnsi="仿宋" w:eastAsia="仿宋" w:cs="仿宋"/>
                <w:color w:val="auto"/>
                <w:sz w:val="24"/>
                <w:highlight w:val="none"/>
              </w:rPr>
              <w:t>项。</w:t>
            </w:r>
          </w:p>
        </w:tc>
      </w:tr>
      <w:tr w14:paraId="25995C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0AF68CC9">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30.1</w:t>
            </w:r>
          </w:p>
        </w:tc>
        <w:tc>
          <w:tcPr>
            <w:tcW w:w="8732" w:type="dxa"/>
            <w:tcBorders>
              <w:top w:val="single" w:color="auto" w:sz="4" w:space="0"/>
              <w:left w:val="single" w:color="auto" w:sz="4" w:space="0"/>
              <w:bottom w:val="single" w:color="auto" w:sz="4" w:space="0"/>
              <w:right w:val="single" w:color="auto" w:sz="4" w:space="0"/>
            </w:tcBorders>
            <w:vAlign w:val="center"/>
          </w:tcPr>
          <w:p w14:paraId="2F83BDC8">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采购人确定中标人时，出现中标候选人并列的情形，采购人按以下的方式确定中标人：</w:t>
            </w:r>
          </w:p>
          <w:p w14:paraId="6C14756C">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☑政策分得分高的优先、技术评分高的优先、商务评分高的优先、项目质保期长优先、交货期短优先、故障响应时间短优先的顺序； </w:t>
            </w:r>
          </w:p>
          <w:p w14:paraId="67E9B348">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0B8FC586">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□随机抽取</w:t>
            </w:r>
          </w:p>
        </w:tc>
      </w:tr>
      <w:tr w14:paraId="503552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33" w:type="dxa"/>
            <w:tcBorders>
              <w:top w:val="single" w:color="auto" w:sz="4" w:space="0"/>
              <w:left w:val="single" w:color="auto" w:sz="4" w:space="0"/>
              <w:bottom w:val="single" w:color="auto" w:sz="4" w:space="0"/>
              <w:right w:val="single" w:color="auto" w:sz="4" w:space="0"/>
            </w:tcBorders>
            <w:vAlign w:val="center"/>
          </w:tcPr>
          <w:p w14:paraId="077F7F63">
            <w:pPr>
              <w:spacing w:line="360" w:lineRule="auto"/>
              <w:jc w:val="center"/>
              <w:rPr>
                <w:rFonts w:hint="eastAsia" w:ascii="仿宋" w:hAnsi="仿宋" w:eastAsia="仿宋" w:cs="仿宋"/>
                <w:color w:val="auto"/>
                <w:sz w:val="24"/>
                <w:highlight w:val="none"/>
              </w:rPr>
            </w:pPr>
            <w:bookmarkStart w:id="68" w:name="_39.1"/>
            <w:bookmarkEnd w:id="68"/>
            <w:r>
              <w:rPr>
                <w:rFonts w:hint="eastAsia" w:ascii="仿宋" w:hAnsi="仿宋" w:eastAsia="仿宋" w:cs="仿宋"/>
                <w:color w:val="auto"/>
                <w:sz w:val="24"/>
                <w:highlight w:val="none"/>
              </w:rPr>
              <w:t>35.1</w:t>
            </w:r>
          </w:p>
        </w:tc>
        <w:tc>
          <w:tcPr>
            <w:tcW w:w="8732" w:type="dxa"/>
            <w:tcBorders>
              <w:top w:val="single" w:color="auto" w:sz="4" w:space="0"/>
              <w:left w:val="single" w:color="auto" w:sz="4" w:space="0"/>
              <w:bottom w:val="single" w:color="auto" w:sz="4" w:space="0"/>
              <w:right w:val="single" w:color="auto" w:sz="4" w:space="0"/>
            </w:tcBorders>
            <w:vAlign w:val="center"/>
          </w:tcPr>
          <w:p w14:paraId="4146B25C">
            <w:pPr>
              <w:spacing w:line="360" w:lineRule="auto"/>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履约保证金金额：无</w:t>
            </w:r>
            <w:r>
              <w:rPr>
                <w:rFonts w:hint="eastAsia" w:ascii="仿宋" w:hAnsi="仿宋" w:eastAsia="仿宋" w:cs="仿宋"/>
                <w:b/>
                <w:color w:val="auto"/>
                <w:sz w:val="24"/>
                <w:highlight w:val="none"/>
              </w:rPr>
              <w:t>。</w:t>
            </w:r>
          </w:p>
        </w:tc>
      </w:tr>
      <w:tr w14:paraId="15F1FB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28AB0BF6">
            <w:pPr>
              <w:spacing w:line="360" w:lineRule="auto"/>
              <w:jc w:val="center"/>
              <w:rPr>
                <w:rFonts w:hint="eastAsia" w:ascii="仿宋" w:hAnsi="仿宋" w:eastAsia="仿宋" w:cs="仿宋"/>
                <w:color w:val="auto"/>
                <w:sz w:val="24"/>
                <w:highlight w:val="none"/>
              </w:rPr>
            </w:pPr>
            <w:bookmarkStart w:id="69" w:name="_40.1"/>
            <w:bookmarkEnd w:id="69"/>
            <w:r>
              <w:rPr>
                <w:rFonts w:hint="eastAsia" w:ascii="仿宋" w:hAnsi="仿宋" w:eastAsia="仿宋" w:cs="仿宋"/>
                <w:color w:val="auto"/>
                <w:sz w:val="24"/>
                <w:highlight w:val="none"/>
              </w:rPr>
              <w:t>36.1</w:t>
            </w:r>
          </w:p>
        </w:tc>
        <w:tc>
          <w:tcPr>
            <w:tcW w:w="8732" w:type="dxa"/>
            <w:tcBorders>
              <w:top w:val="single" w:color="auto" w:sz="4" w:space="0"/>
              <w:left w:val="single" w:color="auto" w:sz="4" w:space="0"/>
              <w:bottom w:val="single" w:color="auto" w:sz="4" w:space="0"/>
              <w:right w:val="single" w:color="auto" w:sz="4" w:space="0"/>
            </w:tcBorders>
            <w:vAlign w:val="center"/>
          </w:tcPr>
          <w:p w14:paraId="44F6A1D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签订合同携带的证明材料： </w:t>
            </w:r>
          </w:p>
          <w:p w14:paraId="44AB041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委托代理人负责签订合同的，须携带授权委托书及委托代理人身份证原件等其他资格证件。</w:t>
            </w:r>
          </w:p>
          <w:p w14:paraId="6FC93B3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法定代表人负责签订合同的，须携带法定代表人身份证明原件及身份证原件等其他证明材料。</w:t>
            </w:r>
          </w:p>
        </w:tc>
      </w:tr>
      <w:tr w14:paraId="3435BE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7F498E99">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38.2</w:t>
            </w:r>
          </w:p>
        </w:tc>
        <w:tc>
          <w:tcPr>
            <w:tcW w:w="8732" w:type="dxa"/>
            <w:tcBorders>
              <w:top w:val="single" w:color="auto" w:sz="4" w:space="0"/>
              <w:left w:val="single" w:color="auto" w:sz="4" w:space="0"/>
              <w:bottom w:val="single" w:color="auto" w:sz="4" w:space="0"/>
              <w:right w:val="single" w:color="auto" w:sz="4" w:space="0"/>
            </w:tcBorders>
            <w:vAlign w:val="center"/>
          </w:tcPr>
          <w:p w14:paraId="43F0798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接收质疑函方式：以书面形式</w:t>
            </w:r>
          </w:p>
          <w:p w14:paraId="7B72B98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质疑联系部门及联系方式：广西泽玺工程项目管理有限公司，联系电话：0772-3599263，通讯地址：柳州市桂中大道7号东方百盛4栋20楼9号</w:t>
            </w:r>
          </w:p>
          <w:p w14:paraId="7B457F6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现场提交质疑办理业务时间：每天9时00分到12时00分，15时00分到17时30分，业务时间以外、双休日和法定节假日不办理业务。</w:t>
            </w:r>
          </w:p>
        </w:tc>
      </w:tr>
      <w:tr w14:paraId="262173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0CE0E378">
            <w:pPr>
              <w:spacing w:line="360" w:lineRule="auto"/>
              <w:jc w:val="center"/>
              <w:rPr>
                <w:rFonts w:hint="eastAsia" w:ascii="仿宋" w:hAnsi="仿宋" w:eastAsia="仿宋" w:cs="仿宋"/>
                <w:color w:val="auto"/>
                <w:sz w:val="24"/>
                <w:highlight w:val="none"/>
              </w:rPr>
            </w:pPr>
            <w:bookmarkStart w:id="70" w:name="_41"/>
            <w:bookmarkEnd w:id="70"/>
            <w:bookmarkStart w:id="71" w:name="_42"/>
            <w:bookmarkEnd w:id="71"/>
            <w:bookmarkStart w:id="72" w:name="_Hlt17709148"/>
            <w:r>
              <w:rPr>
                <w:rFonts w:hint="eastAsia" w:ascii="仿宋" w:hAnsi="仿宋" w:eastAsia="仿宋" w:cs="仿宋"/>
                <w:color w:val="auto"/>
                <w:sz w:val="24"/>
                <w:highlight w:val="none"/>
              </w:rPr>
              <w:t>3</w:t>
            </w:r>
            <w:bookmarkEnd w:id="72"/>
            <w:r>
              <w:rPr>
                <w:rFonts w:hint="eastAsia" w:ascii="仿宋" w:hAnsi="仿宋" w:eastAsia="仿宋" w:cs="仿宋"/>
                <w:color w:val="auto"/>
                <w:sz w:val="24"/>
                <w:highlight w:val="none"/>
              </w:rPr>
              <w:t>9.1</w:t>
            </w:r>
          </w:p>
        </w:tc>
        <w:tc>
          <w:tcPr>
            <w:tcW w:w="8732" w:type="dxa"/>
            <w:tcBorders>
              <w:top w:val="single" w:color="auto" w:sz="4" w:space="0"/>
              <w:left w:val="single" w:color="auto" w:sz="4" w:space="0"/>
              <w:bottom w:val="single" w:color="auto" w:sz="4" w:space="0"/>
              <w:right w:val="single" w:color="auto" w:sz="4" w:space="0"/>
            </w:tcBorders>
            <w:vAlign w:val="center"/>
          </w:tcPr>
          <w:p w14:paraId="2A83264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1、采购代理费支付方式：</w:t>
            </w:r>
          </w:p>
          <w:p w14:paraId="0460F1D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☑本项目代理服务费由</w:t>
            </w:r>
            <w:r>
              <w:rPr>
                <w:rFonts w:hint="eastAsia" w:ascii="仿宋" w:hAnsi="仿宋" w:eastAsia="仿宋" w:cs="仿宋"/>
                <w:color w:val="auto"/>
                <w:sz w:val="24"/>
                <w:highlight w:val="none"/>
                <w:u w:val="single"/>
              </w:rPr>
              <w:t>中标供应商</w:t>
            </w:r>
            <w:r>
              <w:rPr>
                <w:rFonts w:hint="eastAsia" w:ascii="仿宋" w:hAnsi="仿宋" w:eastAsia="仿宋" w:cs="仿宋"/>
                <w:color w:val="auto"/>
                <w:sz w:val="24"/>
                <w:highlight w:val="none"/>
              </w:rPr>
              <w:t>在领取中标通知书前，一次性向采购代理机构支付。</w:t>
            </w:r>
          </w:p>
          <w:p w14:paraId="1629F8A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□采购人支付。</w:t>
            </w:r>
          </w:p>
          <w:p w14:paraId="6335FA8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2、采购代理费收取标准：</w:t>
            </w:r>
          </w:p>
          <w:p w14:paraId="28DA278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代理服务费由中标供应商参照国家发展计划委员会计价格[2002]1980号《招标代理服务费管理暂行办法》标准向代理机构支付招标代理服务费（注：代理酬金不含专家评标费用），投标人在投标中应充分考虑此项费用。中标人在领取中标通知书前一次性向招标代理机构支付，投标人报价时自行考虑到投标报价中。</w:t>
            </w:r>
          </w:p>
          <w:p w14:paraId="542A346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□固定采购代理收费</w:t>
            </w:r>
            <w:r>
              <w:rPr>
                <w:rFonts w:hint="eastAsia" w:ascii="仿宋" w:hAnsi="仿宋" w:eastAsia="仿宋" w:cs="仿宋"/>
                <w:color w:val="auto"/>
                <w:sz w:val="24"/>
                <w:highlight w:val="none"/>
                <w:u w:val="single"/>
              </w:rPr>
              <w:t xml:space="preserve">              。</w:t>
            </w:r>
          </w:p>
          <w:p w14:paraId="7228A07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3、账户名称： </w:t>
            </w:r>
          </w:p>
          <w:p w14:paraId="1BA0E1A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开户银行：柳州银行股份有限公司高新技术开发区支行</w:t>
            </w:r>
          </w:p>
          <w:p w14:paraId="05FD973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银行账号：70303500000000027633</w:t>
            </w:r>
          </w:p>
          <w:p w14:paraId="6C9EE0C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开户名称：广西泽玺工程项目管理有限公司</w:t>
            </w:r>
          </w:p>
        </w:tc>
      </w:tr>
      <w:tr w14:paraId="65E6B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6C4A8E2E">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40.1</w:t>
            </w:r>
          </w:p>
        </w:tc>
        <w:tc>
          <w:tcPr>
            <w:tcW w:w="8732" w:type="dxa"/>
            <w:tcBorders>
              <w:top w:val="single" w:color="auto" w:sz="4" w:space="0"/>
              <w:left w:val="single" w:color="auto" w:sz="4" w:space="0"/>
              <w:bottom w:val="single" w:color="auto" w:sz="4" w:space="0"/>
              <w:right w:val="single" w:color="auto" w:sz="4" w:space="0"/>
            </w:tcBorders>
            <w:vAlign w:val="center"/>
          </w:tcPr>
          <w:p w14:paraId="033D68B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38F05A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5E984D2C">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40.2</w:t>
            </w:r>
          </w:p>
        </w:tc>
        <w:tc>
          <w:tcPr>
            <w:tcW w:w="8732" w:type="dxa"/>
            <w:tcBorders>
              <w:top w:val="single" w:color="auto" w:sz="4" w:space="0"/>
              <w:left w:val="single" w:color="auto" w:sz="4" w:space="0"/>
              <w:bottom w:val="single" w:color="auto" w:sz="4" w:space="0"/>
              <w:right w:val="single" w:color="auto" w:sz="4" w:space="0"/>
            </w:tcBorders>
            <w:vAlign w:val="center"/>
          </w:tcPr>
          <w:p w14:paraId="13D567E7">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1、本招标文件中描述投标人的“公章”是指投标人的CA电子公章。</w:t>
            </w:r>
          </w:p>
          <w:p w14:paraId="7CFFD75D">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7DF611CD">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本招标文件中描述投标人的“签字”是指投标人的法定代表人（负责人、自然人）或被授权人亲自在招标文件规定签署处亲笔写上个人的名字或加盖个人CA电子手写签名章的行为，私章、签字章、印鉴、影印等其它形式均不能代替亲笔签字。</w:t>
            </w:r>
          </w:p>
          <w:p w14:paraId="6415F1F6">
            <w:pPr>
              <w:spacing w:line="360" w:lineRule="auto"/>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4、本招标文件所称的“以上”“以下”“以内”“届满”，包括本数；所称的“不满”“超过”“以外”，不包括本数。</w:t>
            </w:r>
          </w:p>
        </w:tc>
      </w:tr>
    </w:tbl>
    <w:p w14:paraId="77C850A4">
      <w:pPr>
        <w:snapToGrid w:val="0"/>
        <w:rPr>
          <w:rFonts w:hint="eastAsia" w:ascii="仿宋" w:hAnsi="仿宋" w:eastAsia="仿宋" w:cs="仿宋"/>
          <w:color w:val="auto"/>
          <w:sz w:val="24"/>
          <w:szCs w:val="20"/>
          <w:highlight w:val="none"/>
        </w:rPr>
      </w:pPr>
    </w:p>
    <w:p w14:paraId="5ACAAB1F">
      <w:pPr>
        <w:snapToGrid w:val="0"/>
        <w:rPr>
          <w:rFonts w:hint="eastAsia" w:ascii="仿宋" w:hAnsi="仿宋" w:eastAsia="仿宋" w:cs="仿宋"/>
          <w:color w:val="auto"/>
          <w:sz w:val="24"/>
          <w:szCs w:val="20"/>
          <w:highlight w:val="none"/>
        </w:rPr>
      </w:pPr>
    </w:p>
    <w:p w14:paraId="2C13B4BB">
      <w:pPr>
        <w:pStyle w:val="4"/>
        <w:keepNext w:val="0"/>
        <w:keepLines w:val="0"/>
        <w:jc w:val="center"/>
        <w:rPr>
          <w:rFonts w:hint="eastAsia" w:ascii="仿宋" w:hAnsi="仿宋" w:eastAsia="仿宋" w:cs="仿宋"/>
          <w:color w:val="auto"/>
          <w:highlight w:val="none"/>
        </w:rPr>
      </w:pPr>
      <w:r>
        <w:rPr>
          <w:rFonts w:hint="eastAsia" w:ascii="仿宋" w:hAnsi="仿宋" w:eastAsia="仿宋" w:cs="仿宋"/>
          <w:color w:val="auto"/>
          <w:highlight w:val="none"/>
        </w:rPr>
        <w:br w:type="page"/>
      </w:r>
      <w:r>
        <w:rPr>
          <w:rFonts w:hint="eastAsia" w:ascii="仿宋" w:hAnsi="仿宋" w:eastAsia="仿宋" w:cs="仿宋"/>
          <w:color w:val="auto"/>
          <w:highlight w:val="none"/>
        </w:rPr>
        <w:t>投标人须知正文</w:t>
      </w:r>
    </w:p>
    <w:p w14:paraId="0B093610">
      <w:pPr>
        <w:pStyle w:val="4"/>
        <w:keepNext w:val="0"/>
        <w:keepLines w:val="0"/>
        <w:jc w:val="center"/>
        <w:rPr>
          <w:rFonts w:hint="eastAsia" w:ascii="仿宋" w:hAnsi="仿宋" w:eastAsia="仿宋" w:cs="仿宋"/>
          <w:color w:val="auto"/>
          <w:highlight w:val="none"/>
        </w:rPr>
      </w:pPr>
      <w:r>
        <w:rPr>
          <w:rFonts w:hint="eastAsia" w:ascii="仿宋" w:hAnsi="仿宋" w:eastAsia="仿宋" w:cs="仿宋"/>
          <w:color w:val="auto"/>
          <w:highlight w:val="none"/>
        </w:rPr>
        <w:t>一、总  则</w:t>
      </w:r>
    </w:p>
    <w:p w14:paraId="7B6BCC44">
      <w:pPr>
        <w:pStyle w:val="6"/>
        <w:keepNext w:val="0"/>
        <w:keepLines w:val="0"/>
        <w:spacing w:before="0" w:after="0" w:line="360" w:lineRule="auto"/>
        <w:ind w:left="420" w:leftChars="200"/>
        <w:rPr>
          <w:rFonts w:hint="eastAsia" w:ascii="仿宋" w:hAnsi="仿宋" w:eastAsia="仿宋" w:cs="仿宋"/>
          <w:color w:val="auto"/>
          <w:sz w:val="24"/>
          <w:highlight w:val="none"/>
        </w:rPr>
      </w:pPr>
      <w:bookmarkStart w:id="73" w:name="_Toc254970668"/>
      <w:bookmarkStart w:id="74" w:name="_Toc254970527"/>
      <w:r>
        <w:rPr>
          <w:rFonts w:hint="eastAsia" w:ascii="仿宋" w:hAnsi="仿宋" w:eastAsia="仿宋" w:cs="仿宋"/>
          <w:color w:val="auto"/>
          <w:sz w:val="24"/>
          <w:highlight w:val="none"/>
        </w:rPr>
        <w:t>1.适用范围</w:t>
      </w:r>
      <w:bookmarkEnd w:id="73"/>
      <w:bookmarkEnd w:id="74"/>
    </w:p>
    <w:p w14:paraId="71883F57">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12F2E984">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1.2本招标文件适用于本项目的所有采购程序和环节（法律、法规另有规定的，从其规定）。</w:t>
      </w:r>
      <w:bookmarkStart w:id="75" w:name="_Toc254970528"/>
      <w:bookmarkStart w:id="76" w:name="_Toc254970669"/>
    </w:p>
    <w:p w14:paraId="0BF518A4">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2.定义</w:t>
      </w:r>
      <w:bookmarkEnd w:id="75"/>
      <w:bookmarkEnd w:id="76"/>
    </w:p>
    <w:p w14:paraId="54BEFB15">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2.1“采购人”是指依法进行政府采购的国家机关、事业单位、团体组织。</w:t>
      </w:r>
    </w:p>
    <w:p w14:paraId="3DB3349D">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2.2“采购代理机构”是指政府采购代理机构（以下简称采购代理机构）是指集中采购机构以外、受采购人委托从事政府采购代理业务的社会中介机构。</w:t>
      </w:r>
    </w:p>
    <w:p w14:paraId="1EF638AA">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2.3“供应商”是指向采购人提供货物、工程或者服务的法人、其他组织或者自然人。</w:t>
      </w:r>
    </w:p>
    <w:p w14:paraId="66E88C20">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2.4“签字”系指本人亲笔书写自己的姓名或加盖个人CA电子手写签名章，为表示同意、</w:t>
      </w:r>
    </w:p>
    <w:p w14:paraId="02549493">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认可、承担责任或义务。</w:t>
      </w:r>
    </w:p>
    <w:p w14:paraId="01D482EE">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2.5“投标人”是指响应招标、参加投标竞争的法人、非法人组织或者自然人。</w:t>
      </w:r>
    </w:p>
    <w:p w14:paraId="50AF886E">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2.6“货物”是指各种形态和种类的物品，包括原材料、燃料、设备、产品等。</w:t>
      </w:r>
    </w:p>
    <w:p w14:paraId="7911B5A0">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2.7“售后服务” 是指商品出售以后所提供的各种服务，包含但不限于投标人须承担的备</w:t>
      </w:r>
    </w:p>
    <w:p w14:paraId="3771B33C">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品备件、包装、运输、装卸、保险、货到就位以及安装、调试、培训、保修以及其他各种服务。</w:t>
      </w:r>
    </w:p>
    <w:p w14:paraId="1FF5E53B">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2.8“书面形式”是指合同书、信件和数据电文（包括电报、电传、传真、电子数据交换和电子邮件）等可以有形地表现所载内容的形式。</w:t>
      </w:r>
    </w:p>
    <w:p w14:paraId="3767D982">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2.9“实质性要求”是指招标文件中已经指明不满足则投标无效的条款，或者不能负偏离的条款，或者采购需求中带“▲”的条款。</w:t>
      </w:r>
    </w:p>
    <w:p w14:paraId="2610183C">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2.10 “正偏离”，是指投标文件对招标文件“采购需求”中有关条款作出的响应优于条款要求并有利于采购人的情形。</w:t>
      </w:r>
    </w:p>
    <w:p w14:paraId="527E7EA0">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2.11“负偏离”，是指投标文件对招标文件“采购需求”中有关条款作出的响应不满足条</w:t>
      </w:r>
    </w:p>
    <w:p w14:paraId="59CCAF3E">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款要求，导致采购人要求不能得到满足的情形。</w:t>
      </w:r>
    </w:p>
    <w:p w14:paraId="1C6BC5AD">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2.12“允许负偏离的条款”是指采购需求中的不属于“实质性要求”的条款。</w:t>
      </w:r>
      <w:bookmarkStart w:id="77" w:name="_Toc254970529"/>
      <w:bookmarkStart w:id="78" w:name="_Toc254970670"/>
    </w:p>
    <w:p w14:paraId="6D8B43C1">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bookmarkEnd w:id="77"/>
      <w:bookmarkEnd w:id="78"/>
      <w:r>
        <w:rPr>
          <w:rFonts w:hint="eastAsia" w:ascii="仿宋" w:hAnsi="仿宋" w:eastAsia="仿宋" w:cs="仿宋"/>
          <w:color w:val="auto"/>
          <w:sz w:val="24"/>
          <w:highlight w:val="none"/>
        </w:rPr>
        <w:t>投标人的资格要求</w:t>
      </w:r>
    </w:p>
    <w:p w14:paraId="12B32F03">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投标人的资格要求详见“投标人须知前附表”。</w:t>
      </w:r>
    </w:p>
    <w:p w14:paraId="7F1F4F24">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bookmarkStart w:id="79" w:name="_Toc254970530"/>
      <w:bookmarkStart w:id="80" w:name="_Toc254970671"/>
      <w:r>
        <w:rPr>
          <w:rFonts w:hint="eastAsia" w:ascii="仿宋" w:hAnsi="仿宋" w:eastAsia="仿宋" w:cs="仿宋"/>
          <w:color w:val="auto"/>
          <w:sz w:val="24"/>
          <w:highlight w:val="none"/>
        </w:rPr>
        <w:t>4.投标委托</w:t>
      </w:r>
      <w:bookmarkEnd w:id="79"/>
      <w:bookmarkEnd w:id="80"/>
    </w:p>
    <w:p w14:paraId="6F2C1C19">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如投标人代表不是法定代表人（负责人、自然人），须持有法定代表人（负责人、自然人）</w:t>
      </w:r>
    </w:p>
    <w:p w14:paraId="0A3EED63">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出具的授权委托书（按第六章要求格式填写）。</w:t>
      </w:r>
    </w:p>
    <w:p w14:paraId="2B259DA6">
      <w:pPr>
        <w:pStyle w:val="6"/>
        <w:keepNext w:val="0"/>
        <w:keepLines w:val="0"/>
        <w:spacing w:before="0" w:after="0" w:line="360" w:lineRule="auto"/>
        <w:ind w:left="420" w:leftChars="200"/>
        <w:rPr>
          <w:rFonts w:hint="eastAsia" w:ascii="仿宋" w:hAnsi="仿宋" w:eastAsia="仿宋" w:cs="仿宋"/>
          <w:color w:val="auto"/>
          <w:sz w:val="24"/>
          <w:highlight w:val="none"/>
        </w:rPr>
      </w:pPr>
      <w:bookmarkStart w:id="81" w:name="_5.投标费用"/>
      <w:bookmarkEnd w:id="81"/>
      <w:bookmarkStart w:id="82" w:name="_Toc254970531"/>
      <w:bookmarkStart w:id="83" w:name="_Toc254970672"/>
      <w:r>
        <w:rPr>
          <w:rFonts w:hint="eastAsia" w:ascii="仿宋" w:hAnsi="仿宋" w:eastAsia="仿宋" w:cs="仿宋"/>
          <w:color w:val="auto"/>
          <w:sz w:val="24"/>
          <w:highlight w:val="none"/>
        </w:rPr>
        <w:t>5.投标费用</w:t>
      </w:r>
      <w:bookmarkEnd w:id="82"/>
      <w:bookmarkEnd w:id="83"/>
    </w:p>
    <w:p w14:paraId="5D1DA2FF">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投标费用：投标人应承担参与本次采购活动有关的所有费用，包括但不限于获取招标文件、</w:t>
      </w:r>
    </w:p>
    <w:p w14:paraId="55030B98">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勘查现场、编制和提交投标文件、参加澄清说明、签订合同等，不论投标结果如何，均应自行承担。</w:t>
      </w:r>
    </w:p>
    <w:p w14:paraId="70E0A2D4">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6.联合体投标</w:t>
      </w:r>
    </w:p>
    <w:p w14:paraId="74D38C55">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6.1本项目是否接受联合体投标，详见“投标人须知前附表”。</w:t>
      </w:r>
    </w:p>
    <w:p w14:paraId="72BB99AE">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6.2如接受联合体投标，联合体投标要求详见“投标人须知前附表”。</w:t>
      </w:r>
    </w:p>
    <w:p w14:paraId="22038B58">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7.转包与分包             </w:t>
      </w:r>
    </w:p>
    <w:p w14:paraId="7D056E6E">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7.1本项目不允许转包。</w:t>
      </w:r>
    </w:p>
    <w:p w14:paraId="546A6C65">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7.2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11CD310A">
      <w:pPr>
        <w:pStyle w:val="6"/>
        <w:keepNext w:val="0"/>
        <w:keepLines w:val="0"/>
        <w:spacing w:before="0" w:after="0" w:line="360" w:lineRule="auto"/>
        <w:ind w:left="420" w:leftChars="200"/>
        <w:rPr>
          <w:rFonts w:hint="eastAsia" w:ascii="仿宋" w:hAnsi="仿宋" w:eastAsia="仿宋" w:cs="仿宋"/>
          <w:color w:val="auto"/>
          <w:sz w:val="24"/>
          <w:highlight w:val="none"/>
        </w:rPr>
      </w:pPr>
      <w:bookmarkStart w:id="84" w:name="_Toc254970673"/>
      <w:bookmarkStart w:id="85" w:name="_Toc254970532"/>
      <w:r>
        <w:rPr>
          <w:rFonts w:hint="eastAsia" w:ascii="仿宋" w:hAnsi="仿宋" w:eastAsia="仿宋" w:cs="仿宋"/>
          <w:color w:val="auto"/>
          <w:sz w:val="24"/>
          <w:highlight w:val="none"/>
        </w:rPr>
        <w:t>8.特别说明：</w:t>
      </w:r>
      <w:bookmarkEnd w:id="84"/>
      <w:bookmarkEnd w:id="85"/>
    </w:p>
    <w:p w14:paraId="07DF1804">
      <w:pPr>
        <w:pStyle w:val="6"/>
        <w:keepNext w:val="0"/>
        <w:keepLines w:val="0"/>
        <w:spacing w:before="0" w:after="0" w:line="360" w:lineRule="auto"/>
        <w:ind w:left="420" w:leftChars="200"/>
        <w:rPr>
          <w:rFonts w:hint="eastAsia" w:ascii="仿宋" w:hAnsi="仿宋" w:eastAsia="仿宋" w:cs="仿宋"/>
          <w:color w:val="auto"/>
          <w:sz w:val="24"/>
          <w:highlight w:val="none"/>
        </w:rPr>
      </w:pPr>
      <w:bookmarkStart w:id="86" w:name="_8.1提供相同品牌产品且通过资格审查、符合性审查的不同投标人参加同一合"/>
      <w:bookmarkEnd w:id="86"/>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 HYPERLINK  \l "_8.1" </w:instrText>
      </w:r>
      <w:r>
        <w:rPr>
          <w:rFonts w:hint="eastAsia" w:ascii="仿宋" w:hAnsi="仿宋" w:eastAsia="仿宋" w:cs="仿宋"/>
          <w:color w:val="auto"/>
          <w:sz w:val="24"/>
          <w:highlight w:val="none"/>
        </w:rPr>
        <w:fldChar w:fldCharType="separate"/>
      </w:r>
      <w:r>
        <w:rPr>
          <w:rFonts w:hint="eastAsia" w:ascii="仿宋" w:hAnsi="仿宋" w:eastAsia="仿宋" w:cs="仿宋"/>
          <w:color w:val="auto"/>
          <w:sz w:val="24"/>
          <w:highlight w:val="none"/>
        </w:rPr>
        <w:t>8.1</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采取随机抽取的方式确定一个投标人获得中标人推荐资格，其他同品牌投标人不作为中标候选人。</w:t>
      </w:r>
    </w:p>
    <w:p w14:paraId="14A8FA97">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非单一产品采购项目，多家投标人提供的核心产品品牌相同的，按前款规定处理。</w:t>
      </w:r>
    </w:p>
    <w:p w14:paraId="31A241FB">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8.2如果本招标文件要求投标人提供资格、信誉、荣誉、业绩与企业认证等材料的，则投标人所提供的以上材料必须为投标人所拥有。</w:t>
      </w:r>
    </w:p>
    <w:p w14:paraId="38CA0CD5">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8.3投标人应仔细阅读招标文件的所有内容，按照招标文件的要求提交投标文件，并对所提供的全部资料的真实性承担法律责任。</w:t>
      </w:r>
    </w:p>
    <w:p w14:paraId="3A5B0844">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8.4投标人在投标活动中提供任何虚假材料，将报监管部门查处；中标后发现的，中标人须依照《中华人民共和国消费者权益保护法》规定赔偿采购人，且民事赔偿并不免除违法投标人的行政与刑事责任。</w:t>
      </w:r>
    </w:p>
    <w:p w14:paraId="5158FE15">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9.回避与串通投标</w:t>
      </w:r>
    </w:p>
    <w:p w14:paraId="5E183C40">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9.1在政府采购活动中，采购人员及相关人员与供应商有下列利害关系之一的，应当回避：</w:t>
      </w:r>
    </w:p>
    <w:p w14:paraId="62CC4E2C">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（1）参加采购活动前3年内与供应商存在劳动关系；</w:t>
      </w:r>
    </w:p>
    <w:p w14:paraId="52DFCF8A">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（2）参加采购活动前3年内担任供应商的董事、监事；</w:t>
      </w:r>
    </w:p>
    <w:p w14:paraId="6F29CE00">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（3）参加采购活动前3年内是供应商的控股股东或者实际控制人；</w:t>
      </w:r>
    </w:p>
    <w:p w14:paraId="31D0D348">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（4）与供应商的法定代表人或者负责人有夫妻、直系血亲、三代以内旁系血亲或者近姻亲关系；</w:t>
      </w:r>
    </w:p>
    <w:p w14:paraId="33463F9B">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（5）与供应商有其他可能影响政府采购活动公平、公正进行的关系。</w:t>
      </w:r>
    </w:p>
    <w:p w14:paraId="2902FDF8">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供应商认为采购人员及相关人员与其他供应商有利害关系的，可以向采购人或者采购代理</w:t>
      </w:r>
    </w:p>
    <w:p w14:paraId="72D5D2B5">
      <w:pPr>
        <w:pStyle w:val="6"/>
        <w:keepNext w:val="0"/>
        <w:keepLines w:val="0"/>
        <w:numPr>
          <w:ilvl w:val="4"/>
          <w:numId w:val="0"/>
        </w:numPr>
        <w:spacing w:before="0" w:after="0"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机构书面提出回避申请，并说明理由。采购人或者采购代理机构应当及时询问被申请回避人员，有利害关系的被申请回避人员应当回避。</w:t>
      </w:r>
    </w:p>
    <w:p w14:paraId="10014BC3">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9.2有下列情形之一的视为投标人相互串通投标，投标文件将被视为无效：</w:t>
      </w:r>
    </w:p>
    <w:p w14:paraId="1CC441CC">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（1）不同投标人的投标文件由同一单位或者个人编制；或者不同投标人报名的IP地址一</w:t>
      </w:r>
    </w:p>
    <w:p w14:paraId="301CED4D">
      <w:pPr>
        <w:pStyle w:val="6"/>
        <w:keepNext w:val="0"/>
        <w:keepLines w:val="0"/>
        <w:numPr>
          <w:ilvl w:val="4"/>
          <w:numId w:val="0"/>
        </w:numPr>
        <w:spacing w:before="0" w:after="0"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致的；</w:t>
      </w:r>
    </w:p>
    <w:p w14:paraId="60C873AB">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（2）不同投标人委托同一单位或者个人办理投标事宜；</w:t>
      </w:r>
    </w:p>
    <w:p w14:paraId="050A5904">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（3）不同的投标人的投标文件载明的项目管理员为同一个人；</w:t>
      </w:r>
    </w:p>
    <w:p w14:paraId="7905A586">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（4）不同投标人的投标文件异常一致或者投标报价呈规律性差异；</w:t>
      </w:r>
    </w:p>
    <w:p w14:paraId="68ABF2EC">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（5）不同投标人的投标文件相互混装；</w:t>
      </w:r>
    </w:p>
    <w:p w14:paraId="279341A5">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（6）不同投标人的投标保证金从同一单位或者个人账户转出。</w:t>
      </w:r>
    </w:p>
    <w:p w14:paraId="574A1EB9">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9.3供应商有下列情形之一的，属于恶意串通行为，将报同级监督管理部门：</w:t>
      </w:r>
    </w:p>
    <w:p w14:paraId="5189797F">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（1）供应商直接或者间接从采购人或者采购代理机构处获得其他供应商的相关信息并修改其投标文件或者响应文件；</w:t>
      </w:r>
    </w:p>
    <w:p w14:paraId="2206D242">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（2）供应商按照采购人或者采购代理机构的授意撤换、修改投标文件或者响应文件；</w:t>
      </w:r>
    </w:p>
    <w:p w14:paraId="7ABCEEA3">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（3）供应商之间协商报价、技术方案等投标文件或者响应文件的实质性内容；</w:t>
      </w:r>
    </w:p>
    <w:p w14:paraId="3D1BDA0D">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（4）属于同一集团、协会、商会等组织成员的供应商按照该组织要求协同参加政府采购活动；</w:t>
      </w:r>
    </w:p>
    <w:p w14:paraId="708901DB">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（5）供应商之间事先约定一致抬高或者压低投标报价，或者在招标项目中事先约定轮流以高价位或者低价位中标，或者事先约定由某一特定供应商中标，然后再参加投标；</w:t>
      </w:r>
    </w:p>
    <w:p w14:paraId="5319264B">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（6）供应商之间商定部分供应商放弃参加政府采购活动或者放弃中标；</w:t>
      </w:r>
    </w:p>
    <w:p w14:paraId="06DEEF47">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（7）供应商与采购人或者采购代理机构之间、供应商相互之间，为谋求特定供应商中标或者排斥其他供应商的其他串通行为。</w:t>
      </w:r>
    </w:p>
    <w:p w14:paraId="318E3D14">
      <w:pPr>
        <w:pStyle w:val="23"/>
        <w:snapToGrid w:val="0"/>
        <w:spacing w:line="360" w:lineRule="auto"/>
        <w:ind w:left="2" w:leftChars="1" w:firstLine="422" w:firstLineChars="200"/>
        <w:rPr>
          <w:rFonts w:hint="eastAsia" w:ascii="仿宋" w:hAnsi="仿宋" w:eastAsia="仿宋" w:cs="仿宋"/>
          <w:b/>
          <w:color w:val="auto"/>
          <w:kern w:val="2"/>
          <w:sz w:val="21"/>
          <w:highlight w:val="none"/>
        </w:rPr>
      </w:pPr>
    </w:p>
    <w:p w14:paraId="38C9EA47">
      <w:pPr>
        <w:pStyle w:val="4"/>
        <w:keepNext w:val="0"/>
        <w:keepLines w:val="0"/>
        <w:jc w:val="center"/>
        <w:rPr>
          <w:rFonts w:hint="eastAsia" w:ascii="仿宋" w:hAnsi="仿宋" w:eastAsia="仿宋" w:cs="仿宋"/>
          <w:color w:val="auto"/>
          <w:highlight w:val="none"/>
        </w:rPr>
      </w:pPr>
      <w:bookmarkStart w:id="87" w:name="_Toc254970534"/>
      <w:bookmarkStart w:id="88" w:name="_Toc254970675"/>
      <w:r>
        <w:rPr>
          <w:rFonts w:hint="eastAsia" w:ascii="仿宋" w:hAnsi="仿宋" w:eastAsia="仿宋" w:cs="仿宋"/>
          <w:color w:val="auto"/>
          <w:highlight w:val="none"/>
        </w:rPr>
        <w:t>二、招标文件</w:t>
      </w:r>
      <w:bookmarkEnd w:id="87"/>
      <w:bookmarkEnd w:id="88"/>
    </w:p>
    <w:p w14:paraId="352D809B">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10.招标文件的组成</w:t>
      </w:r>
    </w:p>
    <w:p w14:paraId="2DAB99D8">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（1）招标公告；</w:t>
      </w:r>
    </w:p>
    <w:p w14:paraId="2B39BDA6">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 xml:space="preserve">（2）采购需求； </w:t>
      </w:r>
    </w:p>
    <w:p w14:paraId="612D5C66">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（3）投标人须知；</w:t>
      </w:r>
    </w:p>
    <w:p w14:paraId="243E9FC1">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（4）评标方法及评标标准；</w:t>
      </w:r>
    </w:p>
    <w:p w14:paraId="11837BC5">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（5）拟签订的合同文本；</w:t>
      </w:r>
    </w:p>
    <w:p w14:paraId="7C2FE112">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（6）投标文件格式。</w:t>
      </w:r>
    </w:p>
    <w:p w14:paraId="53DA6BB2">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11.招标文件的澄清、修改 、现场考察和答疑会</w:t>
      </w:r>
    </w:p>
    <w:p w14:paraId="7D6264C0">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11.1采购人或者采购代理机构可以对已发出的招标文件进行必要的澄清或者修改，但不得</w:t>
      </w:r>
    </w:p>
    <w:p w14:paraId="42C018D4">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改变采购标的和资格条件。澄清或者修改应当在原公告发布媒体上发布澄清公告。澄清或者修改的内容为招标文件的组成部分。</w:t>
      </w:r>
    </w:p>
    <w:p w14:paraId="5E855940">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澄清或者修改的内容可能影响投标文件编制的，采购人或者采购代理机构应当在投标截止</w:t>
      </w:r>
    </w:p>
    <w:p w14:paraId="3CBDDD18">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时间至少15日前，以书面形式通知所有获取招标文件的潜在投标人；不足15日的，采购人或者采购代理机构应当顺延提交投标文件的截止时间。投标人应当按照桂财采【2007】65号文件第二十九条规定，在澄清或者修改通知发出后24小时内以书面形式进行确认（采用网上下载招标文件形式的除外），否则视为已经收到。</w:t>
      </w:r>
    </w:p>
    <w:p w14:paraId="5AD7AA53">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b w:val="0"/>
          <w:bCs/>
          <w:color w:val="auto"/>
          <w:sz w:val="24"/>
          <w:highlight w:val="none"/>
        </w:rPr>
        <w:t>11.2</w:t>
      </w:r>
      <w:bookmarkStart w:id="89" w:name="_Hlk53134511"/>
      <w:r>
        <w:rPr>
          <w:rFonts w:hint="eastAsia" w:ascii="仿宋" w:hAnsi="仿宋" w:eastAsia="仿宋" w:cs="仿宋"/>
          <w:b w:val="0"/>
          <w:bCs/>
          <w:color w:val="auto"/>
          <w:sz w:val="24"/>
          <w:highlight w:val="none"/>
        </w:rPr>
        <w:t>采购人或者采购代理机构可以在招标文件提供期限截止后，组织已获取招标文件的潜</w:t>
      </w:r>
    </w:p>
    <w:p w14:paraId="1EAE0C5E">
      <w:pPr>
        <w:pStyle w:val="6"/>
        <w:keepNext w:val="0"/>
        <w:keepLines w:val="0"/>
        <w:numPr>
          <w:ilvl w:val="4"/>
          <w:numId w:val="0"/>
        </w:numPr>
        <w:spacing w:before="0" w:after="0" w:line="360" w:lineRule="auto"/>
        <w:rPr>
          <w:rFonts w:hint="eastAsia" w:ascii="仿宋" w:hAnsi="仿宋" w:eastAsia="仿宋" w:cs="仿宋"/>
          <w:color w:val="auto"/>
          <w:sz w:val="24"/>
          <w:highlight w:val="none"/>
        </w:rPr>
      </w:pPr>
      <w:r>
        <w:rPr>
          <w:rFonts w:hint="eastAsia" w:ascii="仿宋" w:hAnsi="仿宋" w:eastAsia="仿宋" w:cs="仿宋"/>
          <w:b w:val="0"/>
          <w:bCs/>
          <w:color w:val="auto"/>
          <w:sz w:val="24"/>
          <w:highlight w:val="none"/>
        </w:rPr>
        <w:t>在投标人现场考察或者召开开标前答疑会，具体详见“投标人须知前附表”。</w:t>
      </w:r>
    </w:p>
    <w:bookmarkEnd w:id="89"/>
    <w:p w14:paraId="161D404D">
      <w:pPr>
        <w:pStyle w:val="4"/>
        <w:keepNext w:val="0"/>
        <w:keepLines w:val="0"/>
        <w:jc w:val="center"/>
        <w:rPr>
          <w:rFonts w:hint="eastAsia" w:ascii="仿宋" w:hAnsi="仿宋" w:eastAsia="仿宋" w:cs="仿宋"/>
          <w:color w:val="auto"/>
          <w:highlight w:val="none"/>
        </w:rPr>
      </w:pPr>
      <w:bookmarkStart w:id="90" w:name="_Toc254970535"/>
      <w:bookmarkStart w:id="91" w:name="_Toc254970676"/>
      <w:r>
        <w:rPr>
          <w:rFonts w:hint="eastAsia" w:ascii="仿宋" w:hAnsi="仿宋" w:eastAsia="仿宋" w:cs="仿宋"/>
          <w:color w:val="auto"/>
          <w:highlight w:val="none"/>
        </w:rPr>
        <w:t>三、投标文件的编制</w:t>
      </w:r>
      <w:bookmarkEnd w:id="90"/>
      <w:bookmarkEnd w:id="91"/>
    </w:p>
    <w:p w14:paraId="7B388EC1">
      <w:pPr>
        <w:pStyle w:val="6"/>
        <w:keepNext w:val="0"/>
        <w:keepLines w:val="0"/>
        <w:spacing w:before="0" w:after="0" w:line="360" w:lineRule="auto"/>
        <w:ind w:left="420" w:leftChars="200"/>
        <w:rPr>
          <w:rFonts w:hint="eastAsia" w:ascii="仿宋" w:hAnsi="仿宋" w:eastAsia="仿宋" w:cs="仿宋"/>
          <w:color w:val="auto"/>
          <w:sz w:val="24"/>
          <w:highlight w:val="none"/>
        </w:rPr>
      </w:pPr>
      <w:bookmarkStart w:id="92" w:name="_Toc254970677"/>
      <w:bookmarkStart w:id="93" w:name="_Toc254970536"/>
      <w:r>
        <w:rPr>
          <w:rFonts w:hint="eastAsia" w:ascii="仿宋" w:hAnsi="仿宋" w:eastAsia="仿宋" w:cs="仿宋"/>
          <w:color w:val="auto"/>
          <w:sz w:val="24"/>
          <w:highlight w:val="none"/>
        </w:rPr>
        <w:t>12.投标文件的编制原则</w:t>
      </w:r>
    </w:p>
    <w:p w14:paraId="43C97893">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b w:val="0"/>
          <w:bCs/>
          <w:color w:val="auto"/>
          <w:sz w:val="24"/>
          <w:highlight w:val="none"/>
        </w:rPr>
        <w:t>投标人必须按照招标文件的要求编制投标文件。投标文件必须对招标文件提出的要求和条</w:t>
      </w:r>
    </w:p>
    <w:p w14:paraId="23237FFD">
      <w:pPr>
        <w:pStyle w:val="6"/>
        <w:keepNext w:val="0"/>
        <w:keepLines w:val="0"/>
        <w:numPr>
          <w:ilvl w:val="4"/>
          <w:numId w:val="0"/>
        </w:numPr>
        <w:spacing w:before="0" w:after="0" w:line="360" w:lineRule="auto"/>
        <w:rPr>
          <w:rFonts w:hint="eastAsia" w:ascii="仿宋" w:hAnsi="仿宋" w:eastAsia="仿宋" w:cs="仿宋"/>
          <w:color w:val="auto"/>
          <w:sz w:val="24"/>
          <w:highlight w:val="none"/>
        </w:rPr>
      </w:pPr>
      <w:r>
        <w:rPr>
          <w:rFonts w:hint="eastAsia" w:ascii="仿宋" w:hAnsi="仿宋" w:eastAsia="仿宋" w:cs="仿宋"/>
          <w:b w:val="0"/>
          <w:bCs/>
          <w:color w:val="auto"/>
          <w:sz w:val="24"/>
          <w:highlight w:val="none"/>
        </w:rPr>
        <w:t>件作出明确响应。</w:t>
      </w:r>
    </w:p>
    <w:p w14:paraId="23F1C58F">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13.投标文件的组成</w:t>
      </w:r>
      <w:bookmarkEnd w:id="92"/>
      <w:bookmarkEnd w:id="93"/>
    </w:p>
    <w:p w14:paraId="0D34BEB7">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13.1投标文件由报价文件、资格证明文件、商务文件、技术文件四部分组成。</w:t>
      </w:r>
    </w:p>
    <w:p w14:paraId="3B853C10">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bookmarkStart w:id="94" w:name="_13.1报价文件:_具体材料见“投标人须知前附表”。"/>
      <w:bookmarkEnd w:id="94"/>
      <w:r>
        <w:rPr>
          <w:rFonts w:hint="eastAsia" w:ascii="仿宋" w:hAnsi="仿宋" w:eastAsia="仿宋" w:cs="仿宋"/>
          <w:b w:val="0"/>
          <w:bCs/>
          <w:color w:val="auto"/>
          <w:sz w:val="24"/>
          <w:highlight w:val="none"/>
        </w:rPr>
        <w:t>（1）报价文件： 具体材料见“投标人须知前附表”。</w:t>
      </w:r>
    </w:p>
    <w:p w14:paraId="015DF387">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bookmarkStart w:id="95" w:name="_13.2资格证明文件：具体材料见“投标人须知前附表”。"/>
      <w:bookmarkEnd w:id="95"/>
      <w:r>
        <w:rPr>
          <w:rFonts w:hint="eastAsia" w:ascii="仿宋" w:hAnsi="仿宋" w:eastAsia="仿宋" w:cs="仿宋"/>
          <w:b w:val="0"/>
          <w:bCs/>
          <w:color w:val="auto"/>
          <w:sz w:val="24"/>
          <w:highlight w:val="none"/>
        </w:rPr>
        <w:t>（2）资格证明文件：具体材料见“投标人须知前附表”。</w:t>
      </w:r>
    </w:p>
    <w:p w14:paraId="0C5440FC">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bookmarkStart w:id="96" w:name="_13.3商务文件:_具体材料见“投标人须知前附表”。"/>
      <w:bookmarkEnd w:id="96"/>
      <w:r>
        <w:rPr>
          <w:rFonts w:hint="eastAsia" w:ascii="仿宋" w:hAnsi="仿宋" w:eastAsia="仿宋" w:cs="仿宋"/>
          <w:b w:val="0"/>
          <w:bCs/>
          <w:color w:val="auto"/>
          <w:sz w:val="24"/>
          <w:highlight w:val="none"/>
        </w:rPr>
        <w:t>（3）商务文件：具体材料见“投标人须知前附表”。</w:t>
      </w:r>
    </w:p>
    <w:p w14:paraId="174DCD35">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bookmarkStart w:id="97" w:name="_13.4技术文件：具体材料见“投标人须知前附表”。"/>
      <w:bookmarkEnd w:id="97"/>
      <w:r>
        <w:rPr>
          <w:rFonts w:hint="eastAsia" w:ascii="仿宋" w:hAnsi="仿宋" w:eastAsia="仿宋" w:cs="仿宋"/>
          <w:b w:val="0"/>
          <w:bCs/>
          <w:color w:val="auto"/>
          <w:sz w:val="24"/>
          <w:highlight w:val="none"/>
        </w:rPr>
        <w:t>（4）技术文件：具体材料见“投标人须知前附表”。</w:t>
      </w:r>
    </w:p>
    <w:p w14:paraId="1EC61813">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bookmarkStart w:id="98" w:name="_13.5投标文件电子版：具体材料见“投标人须知前附表”。"/>
      <w:bookmarkEnd w:id="98"/>
      <w:r>
        <w:rPr>
          <w:rFonts w:hint="eastAsia" w:ascii="仿宋" w:hAnsi="仿宋" w:eastAsia="仿宋" w:cs="仿宋"/>
          <w:b w:val="0"/>
          <w:bCs/>
          <w:color w:val="auto"/>
          <w:sz w:val="24"/>
          <w:highlight w:val="none"/>
        </w:rPr>
        <w:t>13.2电子投标文件：具体要求见“投标人须知前附表”。</w:t>
      </w:r>
    </w:p>
    <w:p w14:paraId="30965A5F">
      <w:pPr>
        <w:pStyle w:val="6"/>
        <w:keepNext w:val="0"/>
        <w:keepLines w:val="0"/>
        <w:spacing w:before="0" w:after="0" w:line="360" w:lineRule="auto"/>
        <w:ind w:left="420" w:leftChars="200"/>
        <w:rPr>
          <w:rFonts w:hint="eastAsia" w:ascii="仿宋" w:hAnsi="仿宋" w:eastAsia="仿宋" w:cs="仿宋"/>
          <w:color w:val="auto"/>
          <w:sz w:val="24"/>
          <w:highlight w:val="none"/>
        </w:rPr>
      </w:pPr>
      <w:bookmarkStart w:id="99" w:name="_Toc254970678"/>
      <w:bookmarkStart w:id="100" w:name="_Toc254970537"/>
      <w:r>
        <w:rPr>
          <w:rFonts w:hint="eastAsia" w:ascii="仿宋" w:hAnsi="仿宋" w:eastAsia="仿宋" w:cs="仿宋"/>
          <w:color w:val="auto"/>
          <w:sz w:val="24"/>
          <w:highlight w:val="none"/>
        </w:rPr>
        <w:t>14.投标文件的语言及计量</w:t>
      </w:r>
      <w:bookmarkEnd w:id="99"/>
      <w:bookmarkEnd w:id="100"/>
    </w:p>
    <w:p w14:paraId="1315B8F5">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14.1语言文字</w:t>
      </w:r>
    </w:p>
    <w:p w14:paraId="436540F2">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投标文件以及投标人与采购人就有关投标事宜的所有来往函电，均应以中文书写（除专用</w:t>
      </w:r>
    </w:p>
    <w:p w14:paraId="1E794D02">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E8C13A7">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14.2投标计量单位</w:t>
      </w:r>
    </w:p>
    <w:p w14:paraId="4EDAC3E9">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招标文件已有明确规定的，使用招标文件规定的计量单位；招标文件没有规定的，应采用</w:t>
      </w:r>
    </w:p>
    <w:p w14:paraId="399A9E1B">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中华人民共和国法定计量单位，货币种类为人民币，否则视同未响应。</w:t>
      </w:r>
    </w:p>
    <w:p w14:paraId="7BB05130">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15.投标的风险</w:t>
      </w:r>
    </w:p>
    <w:p w14:paraId="3627A768">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投标人没有按照招标文件要求提供全部资料，或者投标人没有对招标文件作出实质性响应</w:t>
      </w:r>
    </w:p>
    <w:p w14:paraId="2A4E1C1F">
      <w:pPr>
        <w:pStyle w:val="6"/>
        <w:keepNext w:val="0"/>
        <w:keepLines w:val="0"/>
        <w:numPr>
          <w:ilvl w:val="4"/>
          <w:numId w:val="0"/>
        </w:numPr>
        <w:spacing w:before="0" w:after="0" w:line="360" w:lineRule="auto"/>
        <w:rPr>
          <w:rFonts w:hint="eastAsia" w:ascii="仿宋" w:hAnsi="仿宋" w:eastAsia="仿宋" w:cs="仿宋"/>
          <w:color w:val="auto"/>
          <w:sz w:val="24"/>
          <w:highlight w:val="none"/>
        </w:rPr>
      </w:pPr>
      <w:r>
        <w:rPr>
          <w:rFonts w:hint="eastAsia" w:ascii="仿宋" w:hAnsi="仿宋" w:eastAsia="仿宋" w:cs="仿宋"/>
          <w:b w:val="0"/>
          <w:bCs/>
          <w:color w:val="auto"/>
          <w:sz w:val="24"/>
          <w:highlight w:val="none"/>
        </w:rPr>
        <w:t>是投标人的风险，并可能导致其投标被拒绝。</w:t>
      </w:r>
    </w:p>
    <w:p w14:paraId="119994DA">
      <w:pPr>
        <w:pStyle w:val="6"/>
        <w:keepNext w:val="0"/>
        <w:keepLines w:val="0"/>
        <w:spacing w:before="0" w:after="0" w:line="360" w:lineRule="auto"/>
        <w:ind w:left="420" w:leftChars="200"/>
        <w:rPr>
          <w:rFonts w:hint="eastAsia" w:ascii="仿宋" w:hAnsi="仿宋" w:eastAsia="仿宋" w:cs="仿宋"/>
          <w:color w:val="auto"/>
          <w:sz w:val="24"/>
          <w:highlight w:val="none"/>
        </w:rPr>
      </w:pPr>
      <w:bookmarkStart w:id="101" w:name="_Toc254970538"/>
      <w:bookmarkStart w:id="102" w:name="_Toc254970679"/>
      <w:r>
        <w:rPr>
          <w:rFonts w:hint="eastAsia" w:ascii="仿宋" w:hAnsi="仿宋" w:eastAsia="仿宋" w:cs="仿宋"/>
          <w:color w:val="auto"/>
          <w:sz w:val="24"/>
          <w:highlight w:val="none"/>
        </w:rPr>
        <w:t>16.投标报价</w:t>
      </w:r>
      <w:bookmarkEnd w:id="101"/>
      <w:bookmarkEnd w:id="102"/>
    </w:p>
    <w:p w14:paraId="4BF01C87">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16.1投标报价应按“第六章　投标文件格式”中“开标一览表”格式填写。</w:t>
      </w:r>
    </w:p>
    <w:p w14:paraId="55833CC3">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bookmarkStart w:id="103" w:name="_16.2投标报价具体定义见投标人须知前附表。"/>
      <w:bookmarkEnd w:id="103"/>
      <w:r>
        <w:rPr>
          <w:rFonts w:hint="eastAsia" w:ascii="仿宋" w:hAnsi="仿宋" w:eastAsia="仿宋" w:cs="仿宋"/>
          <w:b w:val="0"/>
          <w:bCs/>
          <w:color w:val="auto"/>
          <w:sz w:val="24"/>
          <w:highlight w:val="none"/>
        </w:rPr>
        <w:t>16.2投标报价具体包括内容详见“投标人须知前附表”。</w:t>
      </w:r>
    </w:p>
    <w:p w14:paraId="26BED6E3">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16.3投标人必须就所投每个分标的全部内容分别作完整唯一总价报价，不得存在漏项报价；</w:t>
      </w:r>
    </w:p>
    <w:p w14:paraId="02469856">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投标人必须就所投分标的单项内容作唯一报价。</w:t>
      </w:r>
    </w:p>
    <w:p w14:paraId="694ED4DC">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17.投标有效期</w:t>
      </w:r>
    </w:p>
    <w:p w14:paraId="1048EFEB">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bookmarkStart w:id="104" w:name="_17.1投标有效期应按“投标人须知中的前附表”规定的期限。"/>
      <w:bookmarkEnd w:id="104"/>
      <w:r>
        <w:rPr>
          <w:rFonts w:hint="eastAsia" w:ascii="仿宋" w:hAnsi="仿宋" w:eastAsia="仿宋" w:cs="仿宋"/>
          <w:b w:val="0"/>
          <w:bCs/>
          <w:color w:val="auto"/>
          <w:sz w:val="24"/>
          <w:highlight w:val="none"/>
        </w:rPr>
        <w:t>17.1投标有效期是指为保证采购人有足够的时间在开标后完成评标、定标、合同签订等工</w:t>
      </w:r>
    </w:p>
    <w:p w14:paraId="5928B561">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作而要求投标人提交的投标文件在一定时间内保持有效的期限。</w:t>
      </w:r>
    </w:p>
    <w:p w14:paraId="09C32E1F">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17.2</w:t>
      </w:r>
      <w:bookmarkStart w:id="105" w:name="_Toc254970540"/>
      <w:bookmarkStart w:id="106" w:name="_Toc254970681"/>
      <w:r>
        <w:rPr>
          <w:rFonts w:hint="eastAsia" w:ascii="仿宋" w:hAnsi="仿宋" w:eastAsia="仿宋" w:cs="仿宋"/>
          <w:b w:val="0"/>
          <w:bCs/>
          <w:color w:val="auto"/>
          <w:sz w:val="24"/>
          <w:highlight w:val="none"/>
        </w:rPr>
        <w:t xml:space="preserve"> 投标有效期应按规定的期限作出承诺，具体详见“投标人须知前附表”。</w:t>
      </w:r>
    </w:p>
    <w:p w14:paraId="1FCD139C">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17.3投标人的投标文件在投标有效期内均保持有效。</w:t>
      </w:r>
      <w:bookmarkEnd w:id="105"/>
      <w:bookmarkEnd w:id="106"/>
    </w:p>
    <w:p w14:paraId="197611EE">
      <w:pPr>
        <w:pStyle w:val="6"/>
        <w:keepNext w:val="0"/>
        <w:keepLines w:val="0"/>
        <w:spacing w:before="0" w:after="0" w:line="360" w:lineRule="auto"/>
        <w:ind w:left="420" w:leftChars="200"/>
        <w:rPr>
          <w:rFonts w:hint="eastAsia" w:ascii="仿宋" w:hAnsi="仿宋" w:eastAsia="仿宋" w:cs="仿宋"/>
          <w:color w:val="auto"/>
          <w:sz w:val="24"/>
          <w:highlight w:val="none"/>
        </w:rPr>
      </w:pPr>
      <w:bookmarkStart w:id="107" w:name="_18.投标保证金"/>
      <w:bookmarkEnd w:id="107"/>
      <w:bookmarkStart w:id="108" w:name="_Toc254970682"/>
      <w:bookmarkStart w:id="109" w:name="_Toc254970541"/>
      <w:r>
        <w:rPr>
          <w:rFonts w:hint="eastAsia" w:ascii="仿宋" w:hAnsi="仿宋" w:eastAsia="仿宋" w:cs="仿宋"/>
          <w:color w:val="auto"/>
          <w:sz w:val="24"/>
          <w:highlight w:val="none"/>
        </w:rPr>
        <w:t>18.投标保证金</w:t>
      </w:r>
      <w:bookmarkEnd w:id="108"/>
      <w:bookmarkEnd w:id="109"/>
    </w:p>
    <w:p w14:paraId="619A8B29">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18.1投标人须按“投标人须知前附表” 的规定提交投标保证金。</w:t>
      </w:r>
    </w:p>
    <w:p w14:paraId="00D98A7A">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18.2投标保证金的退还</w:t>
      </w:r>
    </w:p>
    <w:p w14:paraId="34A210FC">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18.2.1未中标人的投标保证金自中标通知书发出之日起5个工作日内退还，退还方式如下：</w:t>
      </w:r>
    </w:p>
    <w:p w14:paraId="487262E6">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（1）采用银行转账方式的，以转账方式退回到投标人银行账户。</w:t>
      </w:r>
    </w:p>
    <w:p w14:paraId="6748DE3E">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 xml:space="preserve">（2）采用支票、汇票、本票或者金融、担保机构出具的保函方式的，由投标人代表持相关授权证明材料至采购人或者采购代理机构办理支票、汇票、本票或者金融、担保机构出具的保函原件退还手续。 </w:t>
      </w:r>
    </w:p>
    <w:p w14:paraId="7182DA05">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18.2.2中标人的投标保证金自采购合同签订之日起5个工作日内退还，退还方式同本须知</w:t>
      </w:r>
    </w:p>
    <w:p w14:paraId="43F2E86E">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 xml:space="preserve">正文第18.2.1。 </w:t>
      </w:r>
    </w:p>
    <w:p w14:paraId="58CB8C1E">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18.3除逾期退还投标保证金和终止招标的情形以外，投标保证金不计息。</w:t>
      </w:r>
    </w:p>
    <w:p w14:paraId="13CB31AB">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 xml:space="preserve">18.4投标人有下列情形之一的，投标保证金将不予退还： </w:t>
      </w:r>
    </w:p>
    <w:p w14:paraId="470C88C0">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（1）投标人在投标有效期内撤销投标文件的；</w:t>
      </w:r>
    </w:p>
    <w:p w14:paraId="46E712FA">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）投标人在投标过程中弄虚作假，提供虚假材料的；</w:t>
      </w:r>
    </w:p>
    <w:p w14:paraId="29CFE9DF">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3</w:t>
      </w:r>
      <w:r>
        <w:rPr>
          <w:rFonts w:hint="eastAsia" w:ascii="仿宋" w:hAnsi="仿宋" w:eastAsia="仿宋" w:cs="仿宋"/>
          <w:b w:val="0"/>
          <w:bCs/>
          <w:color w:val="auto"/>
          <w:sz w:val="24"/>
          <w:highlight w:val="none"/>
        </w:rPr>
        <w:t>）中标人无正当理由不与采购人签订合同的；</w:t>
      </w:r>
    </w:p>
    <w:p w14:paraId="284BDCD1">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4</w:t>
      </w:r>
      <w:r>
        <w:rPr>
          <w:rFonts w:hint="eastAsia" w:ascii="仿宋" w:hAnsi="仿宋" w:eastAsia="仿宋" w:cs="仿宋"/>
          <w:b w:val="0"/>
          <w:bCs/>
          <w:color w:val="auto"/>
          <w:sz w:val="24"/>
          <w:highlight w:val="none"/>
        </w:rPr>
        <w:t>）投标人出现本章第9.2、9.3情形的；</w:t>
      </w:r>
    </w:p>
    <w:p w14:paraId="0162F860">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5</w:t>
      </w:r>
      <w:r>
        <w:rPr>
          <w:rFonts w:hint="eastAsia" w:ascii="仿宋" w:hAnsi="仿宋" w:eastAsia="仿宋" w:cs="仿宋"/>
          <w:b w:val="0"/>
          <w:bCs/>
          <w:color w:val="auto"/>
          <w:sz w:val="24"/>
          <w:highlight w:val="none"/>
        </w:rPr>
        <w:t>）其他严重扰乱招投标程序的。</w:t>
      </w:r>
    </w:p>
    <w:p w14:paraId="4CDF2210">
      <w:pPr>
        <w:pStyle w:val="6"/>
        <w:keepNext w:val="0"/>
        <w:keepLines w:val="0"/>
        <w:spacing w:before="0" w:after="0" w:line="360" w:lineRule="auto"/>
        <w:ind w:left="420" w:leftChars="200"/>
        <w:rPr>
          <w:rFonts w:hint="eastAsia" w:ascii="仿宋" w:hAnsi="仿宋" w:eastAsia="仿宋" w:cs="仿宋"/>
          <w:color w:val="auto"/>
          <w:sz w:val="24"/>
          <w:highlight w:val="none"/>
        </w:rPr>
      </w:pPr>
      <w:bookmarkStart w:id="110" w:name="_Toc254970542"/>
      <w:bookmarkStart w:id="111" w:name="_Toc254970683"/>
      <w:r>
        <w:rPr>
          <w:rFonts w:hint="eastAsia" w:ascii="仿宋" w:hAnsi="仿宋" w:eastAsia="仿宋" w:cs="仿宋"/>
          <w:color w:val="auto"/>
          <w:sz w:val="24"/>
          <w:highlight w:val="none"/>
        </w:rPr>
        <w:t>19.</w:t>
      </w:r>
      <w:bookmarkEnd w:id="110"/>
      <w:bookmarkEnd w:id="111"/>
      <w:r>
        <w:rPr>
          <w:rFonts w:hint="eastAsia" w:ascii="仿宋_GB2312" w:eastAsia="仿宋_GB2312" w:cs="Courier New"/>
          <w:color w:val="auto"/>
          <w:sz w:val="24"/>
          <w:highlight w:val="none"/>
        </w:rPr>
        <w:t>电子投标文件的编制</w:t>
      </w:r>
    </w:p>
    <w:p w14:paraId="272A9994">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19.1投标人应按本招标文件规定的格式、顺序和广西政府采购云平台“政府采购项目电子</w:t>
      </w:r>
    </w:p>
    <w:p w14:paraId="285298EF">
      <w:pPr>
        <w:pStyle w:val="6"/>
        <w:keepNext w:val="0"/>
        <w:keepLines w:val="0"/>
        <w:numPr>
          <w:ilvl w:val="4"/>
          <w:numId w:val="0"/>
        </w:numPr>
        <w:spacing w:before="0" w:after="0" w:line="360" w:lineRule="auto"/>
        <w:rPr>
          <w:rFonts w:hint="eastAsia" w:ascii="仿宋" w:hAnsi="仿宋" w:eastAsia="仿宋" w:cs="仿宋"/>
          <w:color w:val="auto"/>
          <w:sz w:val="24"/>
          <w:highlight w:val="none"/>
        </w:rPr>
      </w:pPr>
      <w:r>
        <w:rPr>
          <w:rFonts w:hint="eastAsia" w:ascii="仿宋" w:hAnsi="仿宋" w:eastAsia="仿宋" w:cs="仿宋"/>
          <w:b w:val="0"/>
          <w:bCs/>
          <w:color w:val="auto"/>
          <w:sz w:val="24"/>
          <w:highlight w:val="none"/>
        </w:rPr>
        <w:t>交易管理操作指南-供应商”的有关要求编制电子投标文件并进行关联定位，以便评标委员会在评审时，点击评审项可直接定位到该评审项内容；如电子投标文件因内容不完整、投标人未设置或设置关联点错误导致电子投标文件被误读、漏读或者查找不到相关内容，导致评标委员会在评审时做出对投标人不利的评审，所引起的后果由投标人自行承担。</w:t>
      </w:r>
    </w:p>
    <w:p w14:paraId="03C1DE52">
      <w:pPr>
        <w:pStyle w:val="6"/>
        <w:keepNext w:val="0"/>
        <w:keepLines w:val="0"/>
        <w:spacing w:before="0" w:after="0" w:line="360" w:lineRule="auto"/>
        <w:ind w:firstLine="315" w:firstLineChars="150"/>
        <w:rPr>
          <w:rFonts w:hint="eastAsia" w:ascii="仿宋" w:hAnsi="仿宋" w:eastAsia="仿宋" w:cs="仿宋"/>
          <w:b w:val="0"/>
          <w:color w:val="auto"/>
          <w:sz w:val="24"/>
          <w:highlight w:val="none"/>
        </w:rPr>
      </w:pPr>
      <w:bookmarkStart w:id="112" w:name="_19.2投标文件应按报价文件、资格证明文件、商务文件、技术文件分别编制"/>
      <w:bookmarkEnd w:id="112"/>
      <w:r>
        <w:rPr>
          <w:rFonts w:hint="eastAsia" w:ascii="仿宋" w:hAnsi="仿宋" w:eastAsia="仿宋" w:cs="仿宋"/>
          <w:b w:val="0"/>
          <w:color w:val="auto"/>
          <w:sz w:val="21"/>
          <w:szCs w:val="21"/>
          <w:highlight w:val="none"/>
        </w:rPr>
        <w:t xml:space="preserve"> </w:t>
      </w:r>
      <w:r>
        <w:rPr>
          <w:rFonts w:hint="eastAsia" w:ascii="仿宋" w:hAnsi="仿宋" w:eastAsia="仿宋" w:cs="仿宋"/>
          <w:b w:val="0"/>
          <w:color w:val="auto"/>
          <w:sz w:val="24"/>
          <w:highlight w:val="none"/>
        </w:rPr>
        <w:t>19.2</w:t>
      </w:r>
      <w:r>
        <w:rPr>
          <w:rFonts w:hint="eastAsia" w:ascii="仿宋" w:hAnsi="仿宋" w:eastAsia="仿宋" w:cs="仿宋"/>
          <w:bCs/>
          <w:color w:val="auto"/>
          <w:sz w:val="24"/>
          <w:highlight w:val="none"/>
        </w:rPr>
        <w:t>公开招标文件中规定须由投标人在规定处盖章的，投标人应加盖CA电子签章，否则视为投标无效。</w:t>
      </w:r>
    </w:p>
    <w:p w14:paraId="3F7AACEE">
      <w:pPr>
        <w:pStyle w:val="6"/>
        <w:keepNext w:val="0"/>
        <w:keepLines w:val="0"/>
        <w:spacing w:before="0" w:after="0" w:line="360" w:lineRule="auto"/>
        <w:ind w:firstLine="360" w:firstLineChars="15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19.3</w:t>
      </w:r>
      <w:r>
        <w:rPr>
          <w:rFonts w:hint="eastAsia" w:ascii="仿宋" w:hAnsi="仿宋" w:eastAsia="仿宋" w:cs="仿宋"/>
          <w:bCs/>
          <w:color w:val="auto"/>
          <w:sz w:val="24"/>
          <w:highlight w:val="none"/>
        </w:rPr>
        <w:t>公开招标文件中规定须由法定代表人（负责人、自然人）或授权委托代理人签字的，若政采云电子投标客户端的CA证书无法实现法定代表人（负责人、自然人）或授权委托代理人线上亲笔签字，投标人应在线下完成亲笔签字后以PDF格式上传，否则视为投标无效。</w:t>
      </w:r>
    </w:p>
    <w:p w14:paraId="604908B1">
      <w:pPr>
        <w:pStyle w:val="6"/>
        <w:keepNext w:val="0"/>
        <w:keepLines w:val="0"/>
        <w:spacing w:before="0" w:after="0" w:line="360" w:lineRule="auto"/>
        <w:ind w:firstLine="360" w:firstLineChars="150"/>
        <w:rPr>
          <w:rFonts w:hint="eastAsia" w:ascii="仿宋" w:hAnsi="仿宋" w:eastAsia="仿宋" w:cs="仿宋"/>
          <w:bCs/>
          <w:color w:val="auto"/>
          <w:sz w:val="24"/>
          <w:highlight w:val="none"/>
        </w:rPr>
      </w:pPr>
      <w:r>
        <w:rPr>
          <w:rFonts w:hint="eastAsia" w:ascii="仿宋" w:hAnsi="仿宋" w:eastAsia="仿宋" w:cs="仿宋"/>
          <w:b w:val="0"/>
          <w:color w:val="auto"/>
          <w:sz w:val="24"/>
          <w:highlight w:val="none"/>
        </w:rPr>
        <w:t>19.4投标文件中标注的投标人名称应与主体资格证明（如营业执照、事业单位法人证书、执业许可证、自然人身份证等）及公章一致，</w:t>
      </w:r>
      <w:r>
        <w:rPr>
          <w:rFonts w:hint="eastAsia" w:ascii="仿宋" w:hAnsi="仿宋" w:eastAsia="仿宋" w:cs="仿宋"/>
          <w:color w:val="auto"/>
          <w:sz w:val="24"/>
          <w:highlight w:val="none"/>
        </w:rPr>
        <w:t>否则作无效投标处理</w:t>
      </w:r>
      <w:r>
        <w:rPr>
          <w:rFonts w:hint="eastAsia" w:ascii="仿宋" w:hAnsi="仿宋" w:eastAsia="仿宋" w:cs="仿宋"/>
          <w:b w:val="0"/>
          <w:color w:val="auto"/>
          <w:sz w:val="24"/>
          <w:highlight w:val="none"/>
        </w:rPr>
        <w:t>。</w:t>
      </w:r>
    </w:p>
    <w:p w14:paraId="6CDF4D28">
      <w:pPr>
        <w:pStyle w:val="6"/>
        <w:keepNext w:val="0"/>
        <w:keepLines w:val="0"/>
        <w:spacing w:before="0" w:after="0" w:line="360" w:lineRule="auto"/>
        <w:ind w:firstLine="361" w:firstLineChars="150"/>
        <w:rPr>
          <w:rFonts w:hint="eastAsia" w:ascii="仿宋_GB2312" w:hAnsi="宋体" w:eastAsia="仿宋_GB2312"/>
          <w:color w:val="auto"/>
          <w:sz w:val="24"/>
          <w:highlight w:val="none"/>
        </w:rPr>
      </w:pPr>
      <w:r>
        <w:rPr>
          <w:rFonts w:hint="eastAsia" w:ascii="仿宋" w:hAnsi="仿宋" w:eastAsia="仿宋" w:cs="仿宋"/>
          <w:color w:val="auto"/>
          <w:sz w:val="24"/>
          <w:highlight w:val="none"/>
        </w:rPr>
        <w:t>19.5</w:t>
      </w:r>
      <w:r>
        <w:rPr>
          <w:rFonts w:hint="eastAsia" w:ascii="仿宋" w:hAnsi="仿宋" w:eastAsia="仿宋" w:cs="仿宋"/>
          <w:bCs/>
          <w:color w:val="auto"/>
          <w:sz w:val="24"/>
          <w:highlight w:val="none"/>
        </w:rPr>
        <w:t>电子投标文件不得涂改，若有修改错漏处，须加盖投标人CA电子签章或者法定代表人（负责人、自然人）或授权委托代理人签字。电子投标文件因字扫描不清晰或乱码或表达不清所引起的后果由投标人负责。</w:t>
      </w:r>
    </w:p>
    <w:p w14:paraId="4D9FF616">
      <w:pPr>
        <w:pStyle w:val="6"/>
        <w:keepNext w:val="0"/>
        <w:keepLines w:val="0"/>
        <w:spacing w:before="0" w:after="0" w:line="360" w:lineRule="auto"/>
        <w:ind w:firstLine="360" w:firstLineChars="150"/>
        <w:rPr>
          <w:rFonts w:hint="eastAsia" w:ascii="仿宋_GB2312" w:hAnsi="宋体" w:eastAsia="仿宋_GB2312"/>
          <w:b w:val="0"/>
          <w:bCs/>
          <w:color w:val="auto"/>
          <w:sz w:val="24"/>
          <w:highlight w:val="none"/>
        </w:rPr>
      </w:pPr>
      <w:r>
        <w:rPr>
          <w:rFonts w:hint="eastAsia" w:ascii="仿宋_GB2312" w:hAnsi="宋体" w:eastAsia="仿宋_GB2312"/>
          <w:b w:val="0"/>
          <w:bCs/>
          <w:color w:val="auto"/>
          <w:sz w:val="24"/>
          <w:highlight w:val="none"/>
        </w:rPr>
        <w:t>19.6</w:t>
      </w:r>
      <w:r>
        <w:rPr>
          <w:rFonts w:hint="eastAsia" w:ascii="仿宋_GB2312" w:eastAsia="仿宋_GB2312"/>
          <w:b w:val="0"/>
          <w:bCs/>
          <w:color w:val="auto"/>
          <w:sz w:val="24"/>
          <w:highlight w:val="none"/>
        </w:rPr>
        <w:t>电子</w:t>
      </w:r>
      <w:r>
        <w:rPr>
          <w:rFonts w:hint="eastAsia" w:ascii="仿宋_GB2312" w:hAnsi="宋体" w:eastAsia="仿宋_GB2312"/>
          <w:b w:val="0"/>
          <w:bCs/>
          <w:color w:val="auto"/>
          <w:sz w:val="24"/>
          <w:highlight w:val="none"/>
        </w:rPr>
        <w:t>投标文件所提供的相关材料的尺寸和清晰度应该能够在电脑上被阅读、识别和判断。</w:t>
      </w:r>
    </w:p>
    <w:p w14:paraId="0CB07BE4">
      <w:pPr>
        <w:pStyle w:val="6"/>
        <w:keepNext w:val="0"/>
        <w:keepLines w:val="0"/>
        <w:spacing w:before="0" w:after="0" w:line="360" w:lineRule="auto"/>
        <w:ind w:firstLine="360" w:firstLineChars="150"/>
        <w:rPr>
          <w:rFonts w:hint="eastAsia" w:ascii="仿宋" w:hAnsi="仿宋" w:eastAsia="仿宋" w:cs="仿宋"/>
          <w:b w:val="0"/>
          <w:bCs/>
          <w:color w:val="auto"/>
          <w:sz w:val="24"/>
          <w:highlight w:val="none"/>
        </w:rPr>
      </w:pPr>
      <w:r>
        <w:rPr>
          <w:rFonts w:hint="eastAsia" w:ascii="仿宋_GB2312" w:hAnsi="宋体" w:eastAsia="仿宋_GB2312"/>
          <w:b w:val="0"/>
          <w:bCs/>
          <w:color w:val="auto"/>
          <w:sz w:val="24"/>
          <w:highlight w:val="none"/>
        </w:rPr>
        <w:t>19.7</w:t>
      </w:r>
      <w:r>
        <w:rPr>
          <w:rFonts w:hint="eastAsia" w:ascii="仿宋_GB2312" w:eastAsia="仿宋_GB2312"/>
          <w:b w:val="0"/>
          <w:bCs/>
          <w:color w:val="auto"/>
          <w:sz w:val="24"/>
          <w:highlight w:val="none"/>
        </w:rPr>
        <w:t>电子</w:t>
      </w:r>
      <w:r>
        <w:rPr>
          <w:rFonts w:hint="eastAsia" w:ascii="仿宋_GB2312" w:hAnsi="宋体" w:eastAsia="仿宋_GB2312"/>
          <w:b w:val="0"/>
          <w:bCs/>
          <w:color w:val="auto"/>
          <w:sz w:val="24"/>
          <w:highlight w:val="none"/>
        </w:rPr>
        <w:t>投标文件内容无法阅读、识别和判断的，视为未提供。</w:t>
      </w:r>
    </w:p>
    <w:p w14:paraId="698DA1C2">
      <w:pPr>
        <w:pStyle w:val="6"/>
        <w:keepNext w:val="0"/>
        <w:keepLines w:val="0"/>
        <w:spacing w:before="0" w:after="0" w:line="360" w:lineRule="auto"/>
        <w:ind w:firstLine="360" w:firstLineChars="150"/>
        <w:rPr>
          <w:rFonts w:hint="eastAsia" w:ascii="仿宋" w:hAnsi="仿宋" w:eastAsia="仿宋" w:cs="仿宋"/>
          <w:b w:val="0"/>
          <w:bCs/>
          <w:color w:val="auto"/>
          <w:sz w:val="24"/>
          <w:highlight w:val="none"/>
        </w:rPr>
      </w:pPr>
      <w:r>
        <w:rPr>
          <w:rFonts w:hint="eastAsia" w:ascii="仿宋_GB2312" w:hAnsi="宋体" w:eastAsia="仿宋_GB2312"/>
          <w:b w:val="0"/>
          <w:bCs/>
          <w:color w:val="auto"/>
          <w:sz w:val="24"/>
          <w:highlight w:val="none"/>
        </w:rPr>
        <w:t>19.8</w:t>
      </w:r>
      <w:r>
        <w:rPr>
          <w:rFonts w:hint="eastAsia" w:ascii="仿宋_GB2312" w:eastAsia="仿宋_GB2312"/>
          <w:b w:val="0"/>
          <w:bCs/>
          <w:color w:val="auto"/>
          <w:sz w:val="24"/>
          <w:highlight w:val="none"/>
        </w:rPr>
        <w:t>电子</w:t>
      </w:r>
      <w:r>
        <w:rPr>
          <w:rFonts w:hint="eastAsia" w:ascii="仿宋_GB2312" w:hAnsi="宋体" w:eastAsia="仿宋_GB2312"/>
          <w:b w:val="0"/>
          <w:bCs/>
          <w:color w:val="auto"/>
          <w:sz w:val="24"/>
          <w:highlight w:val="none"/>
        </w:rPr>
        <w:t>投标文件的容量大小须符合政采云电子投标客户端规定。</w:t>
      </w:r>
    </w:p>
    <w:p w14:paraId="798377B3">
      <w:pPr>
        <w:pStyle w:val="6"/>
        <w:keepNext w:val="0"/>
        <w:keepLines w:val="0"/>
        <w:spacing w:before="0" w:after="0" w:line="360" w:lineRule="auto"/>
        <w:ind w:left="420" w:leftChars="200"/>
        <w:rPr>
          <w:rFonts w:hint="eastAsia" w:ascii="仿宋_GB2312" w:hAnsi="宋体" w:eastAsia="仿宋_GB2312"/>
          <w:b w:val="0"/>
          <w:bCs/>
          <w:color w:val="auto"/>
          <w:sz w:val="24"/>
          <w:highlight w:val="none"/>
        </w:rPr>
      </w:pPr>
      <w:r>
        <w:rPr>
          <w:rFonts w:hint="eastAsia" w:ascii="仿宋" w:hAnsi="仿宋" w:eastAsia="仿宋" w:cs="仿宋"/>
          <w:color w:val="auto"/>
          <w:sz w:val="24"/>
          <w:highlight w:val="none"/>
        </w:rPr>
        <w:t>20.电子投标文件的</w:t>
      </w:r>
      <w:r>
        <w:rPr>
          <w:rFonts w:hint="eastAsia" w:ascii="仿宋_GB2312" w:hAnsi="宋体" w:eastAsia="仿宋_GB2312"/>
          <w:bCs/>
          <w:color w:val="auto"/>
          <w:sz w:val="24"/>
          <w:highlight w:val="none"/>
        </w:rPr>
        <w:t>加密要求</w:t>
      </w:r>
    </w:p>
    <w:p w14:paraId="43940144">
      <w:pPr>
        <w:pStyle w:val="6"/>
        <w:keepNext w:val="0"/>
        <w:keepLines w:val="0"/>
        <w:spacing w:before="0" w:after="0" w:line="360" w:lineRule="auto"/>
        <w:ind w:left="420" w:leftChars="200"/>
        <w:rPr>
          <w:rFonts w:hint="eastAsia" w:ascii="仿宋_GB2312" w:hAnsi="宋体" w:eastAsia="仿宋_GB2312"/>
          <w:b w:val="0"/>
          <w:bCs/>
          <w:color w:val="auto"/>
          <w:sz w:val="24"/>
          <w:highlight w:val="none"/>
        </w:rPr>
      </w:pPr>
      <w:r>
        <w:rPr>
          <w:rFonts w:hint="eastAsia" w:ascii="仿宋_GB2312" w:hAnsi="宋体" w:eastAsia="仿宋_GB2312"/>
          <w:b w:val="0"/>
          <w:bCs/>
          <w:color w:val="auto"/>
          <w:sz w:val="24"/>
          <w:highlight w:val="none"/>
        </w:rPr>
        <w:t>电子投标文件应按政采云电子投标客户端软件有关规定加密，否则广西政府采购云平台将</w:t>
      </w:r>
    </w:p>
    <w:p w14:paraId="200175A2">
      <w:pPr>
        <w:pStyle w:val="6"/>
        <w:keepNext w:val="0"/>
        <w:keepLines w:val="0"/>
        <w:numPr>
          <w:ilvl w:val="4"/>
          <w:numId w:val="0"/>
        </w:numPr>
        <w:spacing w:before="0" w:after="0" w:line="360" w:lineRule="auto"/>
        <w:rPr>
          <w:rFonts w:hint="eastAsia" w:ascii="仿宋_GB2312" w:hAnsi="宋体" w:eastAsia="仿宋_GB2312"/>
          <w:b w:val="0"/>
          <w:bCs/>
          <w:color w:val="auto"/>
          <w:sz w:val="24"/>
          <w:highlight w:val="none"/>
        </w:rPr>
      </w:pPr>
      <w:r>
        <w:rPr>
          <w:rFonts w:hint="eastAsia" w:ascii="仿宋_GB2312" w:hAnsi="宋体" w:eastAsia="仿宋_GB2312"/>
          <w:b w:val="0"/>
          <w:bCs/>
          <w:color w:val="auto"/>
          <w:sz w:val="24"/>
          <w:highlight w:val="none"/>
        </w:rPr>
        <w:t>拒收，由此造成的风险由投标人承担。</w:t>
      </w:r>
    </w:p>
    <w:p w14:paraId="730A78DA">
      <w:pPr>
        <w:pStyle w:val="6"/>
        <w:keepNext w:val="0"/>
        <w:keepLines w:val="0"/>
        <w:spacing w:before="0" w:after="0" w:line="360" w:lineRule="auto"/>
        <w:ind w:left="420" w:leftChars="200"/>
        <w:rPr>
          <w:rFonts w:hint="eastAsia" w:ascii="仿宋_GB2312" w:hAnsi="宋体" w:eastAsia="仿宋_GB2312"/>
          <w:b w:val="0"/>
          <w:bCs/>
          <w:color w:val="auto"/>
          <w:sz w:val="24"/>
          <w:highlight w:val="none"/>
        </w:rPr>
      </w:pPr>
      <w:r>
        <w:rPr>
          <w:rFonts w:hint="eastAsia" w:ascii="仿宋" w:hAnsi="仿宋" w:eastAsia="仿宋" w:cs="仿宋"/>
          <w:color w:val="auto"/>
          <w:sz w:val="24"/>
          <w:highlight w:val="none"/>
        </w:rPr>
        <w:t>21.</w:t>
      </w:r>
      <w:r>
        <w:rPr>
          <w:rFonts w:hint="eastAsia" w:ascii="仿宋_GB2312" w:eastAsia="仿宋_GB2312" w:cs="Courier New"/>
          <w:color w:val="auto"/>
          <w:sz w:val="24"/>
          <w:highlight w:val="none"/>
        </w:rPr>
        <w:t>电子投标文件的提交、修改、撤回和解密</w:t>
      </w:r>
      <w:bookmarkStart w:id="113" w:name="_21.1投标人必须在“投标人须知中的前附表”规定的投标文件接收时间和投"/>
      <w:bookmarkEnd w:id="113"/>
    </w:p>
    <w:p w14:paraId="73CB3B74">
      <w:pPr>
        <w:pStyle w:val="6"/>
        <w:keepNext w:val="0"/>
        <w:keepLines w:val="0"/>
        <w:spacing w:before="0" w:after="0" w:line="360" w:lineRule="auto"/>
        <w:ind w:left="420" w:leftChars="200"/>
        <w:rPr>
          <w:rFonts w:hint="eastAsia" w:ascii="仿宋_GB2312" w:hAnsi="宋体" w:eastAsia="仿宋_GB2312"/>
          <w:b w:val="0"/>
          <w:bCs/>
          <w:color w:val="auto"/>
          <w:sz w:val="24"/>
          <w:highlight w:val="none"/>
        </w:rPr>
      </w:pPr>
      <w:r>
        <w:rPr>
          <w:rFonts w:hint="eastAsia" w:ascii="仿宋_GB2312" w:hAnsi="宋体" w:eastAsia="仿宋_GB2312"/>
          <w:b w:val="0"/>
          <w:bCs/>
          <w:color w:val="auto"/>
          <w:sz w:val="24"/>
          <w:highlight w:val="none"/>
        </w:rPr>
        <w:t>21.1本项目实行“网上投标、电子评标”，投标人应于提交投标文件截止时间前在广西政</w:t>
      </w:r>
    </w:p>
    <w:p w14:paraId="56B4BF82">
      <w:pPr>
        <w:pStyle w:val="6"/>
        <w:keepNext w:val="0"/>
        <w:keepLines w:val="0"/>
        <w:numPr>
          <w:ilvl w:val="4"/>
          <w:numId w:val="0"/>
        </w:numPr>
        <w:spacing w:before="0" w:after="0" w:line="360" w:lineRule="auto"/>
        <w:rPr>
          <w:rFonts w:hint="eastAsia" w:ascii="仿宋_GB2312" w:hAnsi="宋体" w:eastAsia="仿宋_GB2312"/>
          <w:b w:val="0"/>
          <w:bCs/>
          <w:color w:val="auto"/>
          <w:sz w:val="24"/>
          <w:highlight w:val="none"/>
        </w:rPr>
      </w:pPr>
      <w:r>
        <w:rPr>
          <w:rFonts w:hint="eastAsia" w:ascii="仿宋_GB2312" w:hAnsi="宋体" w:eastAsia="仿宋_GB2312"/>
          <w:b w:val="0"/>
          <w:bCs/>
          <w:color w:val="auto"/>
          <w:sz w:val="24"/>
          <w:highlight w:val="none"/>
        </w:rPr>
        <w:t>府采购云平台上提交已经加密的电子投标文件。</w:t>
      </w:r>
    </w:p>
    <w:p w14:paraId="6F23CD7E">
      <w:pPr>
        <w:pStyle w:val="6"/>
        <w:keepNext w:val="0"/>
        <w:keepLines w:val="0"/>
        <w:spacing w:before="0" w:after="0" w:line="360" w:lineRule="auto"/>
        <w:ind w:left="420" w:leftChars="200"/>
        <w:rPr>
          <w:rFonts w:hint="eastAsia" w:ascii="仿宋_GB2312" w:hAnsi="宋体" w:eastAsia="仿宋_GB2312"/>
          <w:b w:val="0"/>
          <w:bCs/>
          <w:color w:val="auto"/>
          <w:sz w:val="24"/>
          <w:highlight w:val="none"/>
        </w:rPr>
      </w:pPr>
      <w:r>
        <w:rPr>
          <w:rFonts w:hint="eastAsia" w:ascii="仿宋_GB2312" w:hAnsi="宋体" w:eastAsia="仿宋_GB2312"/>
          <w:b w:val="0"/>
          <w:bCs/>
          <w:color w:val="auto"/>
          <w:sz w:val="24"/>
          <w:highlight w:val="none"/>
        </w:rPr>
        <w:t>21.2未按规定上传的电子投标文件将被广西政府采购云平台拒收，由此造成电子投标文件</w:t>
      </w:r>
    </w:p>
    <w:p w14:paraId="4B8F50DC">
      <w:pPr>
        <w:pStyle w:val="6"/>
        <w:keepNext w:val="0"/>
        <w:keepLines w:val="0"/>
        <w:numPr>
          <w:ilvl w:val="4"/>
          <w:numId w:val="0"/>
        </w:numPr>
        <w:spacing w:before="0" w:after="0" w:line="360" w:lineRule="auto"/>
        <w:rPr>
          <w:rFonts w:hint="eastAsia" w:ascii="仿宋_GB2312" w:hAnsi="宋体" w:eastAsia="仿宋_GB2312"/>
          <w:b w:val="0"/>
          <w:bCs/>
          <w:color w:val="auto"/>
          <w:sz w:val="24"/>
          <w:highlight w:val="none"/>
        </w:rPr>
      </w:pPr>
      <w:r>
        <w:rPr>
          <w:rFonts w:hint="eastAsia" w:ascii="仿宋_GB2312" w:hAnsi="宋体" w:eastAsia="仿宋_GB2312"/>
          <w:b w:val="0"/>
          <w:bCs/>
          <w:color w:val="auto"/>
          <w:sz w:val="24"/>
          <w:highlight w:val="none"/>
        </w:rPr>
        <w:t>解密失败或被误投的风险由投标人自行承担。</w:t>
      </w:r>
    </w:p>
    <w:p w14:paraId="541DEBF3">
      <w:pPr>
        <w:pStyle w:val="6"/>
        <w:keepNext w:val="0"/>
        <w:keepLines w:val="0"/>
        <w:spacing w:before="0" w:after="0" w:line="360" w:lineRule="auto"/>
        <w:ind w:left="420" w:leftChars="200"/>
        <w:rPr>
          <w:rFonts w:hint="eastAsia" w:ascii="仿宋_GB2312" w:hAnsi="宋体" w:eastAsia="仿宋_GB2312"/>
          <w:b w:val="0"/>
          <w:bCs/>
          <w:color w:val="auto"/>
          <w:sz w:val="24"/>
          <w:highlight w:val="none"/>
        </w:rPr>
      </w:pPr>
      <w:r>
        <w:rPr>
          <w:rFonts w:hint="eastAsia" w:ascii="仿宋_GB2312" w:hAnsi="宋体" w:eastAsia="仿宋_GB2312"/>
          <w:b w:val="0"/>
          <w:bCs/>
          <w:color w:val="auto"/>
          <w:sz w:val="24"/>
          <w:highlight w:val="none"/>
        </w:rPr>
        <w:t>21.3投标人应当在提交截止时间前完成电子投标文件的提交，提交截止时间前可以补充、</w:t>
      </w:r>
    </w:p>
    <w:p w14:paraId="1AF1B5ED">
      <w:pPr>
        <w:pStyle w:val="6"/>
        <w:keepNext w:val="0"/>
        <w:keepLines w:val="0"/>
        <w:numPr>
          <w:ilvl w:val="4"/>
          <w:numId w:val="0"/>
        </w:numPr>
        <w:spacing w:before="0" w:after="0" w:line="360" w:lineRule="auto"/>
        <w:rPr>
          <w:rFonts w:hint="eastAsia" w:ascii="仿宋_GB2312" w:hAnsi="宋体" w:eastAsia="仿宋_GB2312"/>
          <w:b w:val="0"/>
          <w:bCs/>
          <w:color w:val="auto"/>
          <w:sz w:val="24"/>
          <w:highlight w:val="none"/>
        </w:rPr>
      </w:pPr>
      <w:r>
        <w:rPr>
          <w:rFonts w:hint="eastAsia" w:ascii="仿宋_GB2312" w:hAnsi="宋体" w:eastAsia="仿宋_GB2312"/>
          <w:b w:val="0"/>
          <w:bCs/>
          <w:color w:val="auto"/>
          <w:sz w:val="24"/>
          <w:highlight w:val="none"/>
        </w:rPr>
        <w:t>修改或者撤回电子投标文件。补充或者修改电子投标文件的，应当先行撤回原文件，补充、修改、加密后重新传输提交。提交截止时间前未完成传输的，视为放弃投标。提交截止时间后上传的文件，将被广西政府采购云平台拒收。</w:t>
      </w:r>
    </w:p>
    <w:p w14:paraId="45DD071C">
      <w:pPr>
        <w:pStyle w:val="6"/>
        <w:keepNext w:val="0"/>
        <w:keepLines w:val="0"/>
        <w:spacing w:before="0" w:after="0" w:line="360" w:lineRule="auto"/>
        <w:ind w:left="420" w:leftChars="200"/>
        <w:rPr>
          <w:rFonts w:hint="eastAsia" w:ascii="仿宋_GB2312" w:hAnsi="宋体" w:eastAsia="仿宋_GB2312"/>
          <w:b w:val="0"/>
          <w:bCs/>
          <w:color w:val="auto"/>
          <w:sz w:val="24"/>
          <w:highlight w:val="none"/>
        </w:rPr>
      </w:pPr>
      <w:r>
        <w:rPr>
          <w:rFonts w:hint="eastAsia" w:ascii="仿宋_GB2312" w:hAnsi="宋体" w:eastAsia="仿宋_GB2312"/>
          <w:b w:val="0"/>
          <w:bCs/>
          <w:color w:val="auto"/>
          <w:sz w:val="24"/>
          <w:highlight w:val="none"/>
        </w:rPr>
        <w:t>21.4</w:t>
      </w:r>
      <w:r>
        <w:rPr>
          <w:rFonts w:hint="eastAsia" w:ascii="仿宋_GB2312" w:hAnsi="宋体" w:eastAsia="仿宋_GB2312"/>
          <w:color w:val="auto"/>
          <w:sz w:val="24"/>
          <w:highlight w:val="none"/>
        </w:rPr>
        <w:t>电子投标文件成功提交后，投标人可自行打印投标文件接收回执。</w:t>
      </w:r>
    </w:p>
    <w:p w14:paraId="4B6697FC">
      <w:pPr>
        <w:pStyle w:val="6"/>
        <w:keepNext w:val="0"/>
        <w:keepLines w:val="0"/>
        <w:spacing w:before="0" w:after="0" w:line="360" w:lineRule="auto"/>
        <w:ind w:left="420" w:leftChars="200"/>
        <w:rPr>
          <w:rFonts w:hint="eastAsia" w:ascii="仿宋_GB2312" w:hAnsi="宋体" w:eastAsia="仿宋_GB2312"/>
          <w:b w:val="0"/>
          <w:bCs/>
          <w:color w:val="auto"/>
          <w:sz w:val="24"/>
          <w:highlight w:val="none"/>
        </w:rPr>
      </w:pPr>
      <w:r>
        <w:rPr>
          <w:rFonts w:hint="eastAsia" w:ascii="仿宋_GB2312" w:hAnsi="宋体" w:eastAsia="仿宋_GB2312"/>
          <w:b w:val="0"/>
          <w:bCs/>
          <w:color w:val="auto"/>
          <w:sz w:val="24"/>
          <w:highlight w:val="none"/>
        </w:rPr>
        <w:t>21.5截标后，政采云电子交易平台自动提取所有投标人的电子投标文件，采购代理机构向</w:t>
      </w:r>
    </w:p>
    <w:p w14:paraId="39E17E15">
      <w:pPr>
        <w:pStyle w:val="6"/>
        <w:keepNext w:val="0"/>
        <w:keepLines w:val="0"/>
        <w:numPr>
          <w:ilvl w:val="4"/>
          <w:numId w:val="0"/>
        </w:numPr>
        <w:spacing w:before="0" w:after="0" w:line="360" w:lineRule="auto"/>
        <w:rPr>
          <w:rFonts w:hint="eastAsia" w:ascii="仿宋_GB2312" w:hAnsi="宋体" w:eastAsia="仿宋_GB2312"/>
          <w:b w:val="0"/>
          <w:bCs/>
          <w:color w:val="auto"/>
          <w:sz w:val="24"/>
          <w:highlight w:val="none"/>
        </w:rPr>
      </w:pPr>
      <w:r>
        <w:rPr>
          <w:rFonts w:hint="eastAsia" w:ascii="仿宋_GB2312" w:hAnsi="宋体" w:eastAsia="仿宋_GB2312"/>
          <w:b w:val="0"/>
          <w:bCs/>
          <w:color w:val="auto"/>
          <w:sz w:val="24"/>
          <w:highlight w:val="none"/>
        </w:rPr>
        <w:t>各投标人发出解密通知，投标人须在采购代理机构开启解密标书后30分钟内对上传广西政府采购云平台的投标文件进行解密。</w:t>
      </w:r>
    </w:p>
    <w:p w14:paraId="1AAEB5CF">
      <w:pPr>
        <w:pStyle w:val="6"/>
        <w:keepNext w:val="0"/>
        <w:keepLines w:val="0"/>
        <w:spacing w:before="0" w:after="0" w:line="360" w:lineRule="auto"/>
        <w:ind w:left="420" w:leftChars="200"/>
        <w:rPr>
          <w:rFonts w:hint="eastAsia" w:ascii="仿宋_GB2312" w:hAnsi="宋体" w:eastAsia="仿宋_GB2312"/>
          <w:b w:val="0"/>
          <w:bCs/>
          <w:color w:val="auto"/>
          <w:sz w:val="24"/>
          <w:highlight w:val="none"/>
        </w:rPr>
      </w:pPr>
      <w:r>
        <w:rPr>
          <w:rFonts w:hint="eastAsia" w:ascii="仿宋_GB2312" w:hAnsi="宋体" w:eastAsia="仿宋_GB2312"/>
          <w:b w:val="0"/>
          <w:bCs/>
          <w:color w:val="auto"/>
          <w:sz w:val="24"/>
          <w:highlight w:val="none"/>
        </w:rPr>
        <w:t>非政采云技术原因或非采购代理机构操作原因造成的投标人超过解密时限未完成解密的，</w:t>
      </w:r>
    </w:p>
    <w:p w14:paraId="3B81994C">
      <w:pPr>
        <w:pStyle w:val="6"/>
        <w:keepNext w:val="0"/>
        <w:keepLines w:val="0"/>
        <w:numPr>
          <w:ilvl w:val="4"/>
          <w:numId w:val="0"/>
        </w:numPr>
        <w:spacing w:before="0" w:after="0" w:line="360" w:lineRule="auto"/>
        <w:rPr>
          <w:rFonts w:hint="eastAsia" w:ascii="仿宋_GB2312" w:hAnsi="宋体" w:eastAsia="仿宋_GB2312"/>
          <w:b w:val="0"/>
          <w:bCs/>
          <w:color w:val="auto"/>
          <w:sz w:val="24"/>
          <w:highlight w:val="none"/>
        </w:rPr>
      </w:pPr>
      <w:r>
        <w:rPr>
          <w:rFonts w:hint="eastAsia" w:ascii="仿宋_GB2312" w:hAnsi="宋体" w:eastAsia="仿宋_GB2312"/>
          <w:b w:val="0"/>
          <w:bCs/>
          <w:color w:val="auto"/>
          <w:sz w:val="24"/>
          <w:highlight w:val="none"/>
        </w:rPr>
        <w:t>或投标文件无法解密或解密失败，视为投标人放弃投标。</w:t>
      </w:r>
    </w:p>
    <w:p w14:paraId="75E2BCF1">
      <w:pPr>
        <w:pStyle w:val="18"/>
        <w:snapToGrid w:val="0"/>
        <w:spacing w:line="360" w:lineRule="auto"/>
        <w:ind w:firstLine="739"/>
        <w:rPr>
          <w:rFonts w:hint="eastAsia" w:ascii="仿宋" w:hAnsi="仿宋" w:eastAsia="仿宋" w:cs="仿宋"/>
          <w:snapToGrid w:val="0"/>
          <w:color w:val="auto"/>
          <w:sz w:val="21"/>
          <w:szCs w:val="21"/>
          <w:highlight w:val="none"/>
        </w:rPr>
      </w:pPr>
    </w:p>
    <w:p w14:paraId="16775C92">
      <w:pPr>
        <w:pStyle w:val="4"/>
        <w:keepNext w:val="0"/>
        <w:keepLines w:val="0"/>
        <w:jc w:val="center"/>
        <w:rPr>
          <w:rFonts w:hint="eastAsia" w:ascii="仿宋" w:hAnsi="仿宋" w:eastAsia="仿宋" w:cs="仿宋"/>
          <w:color w:val="auto"/>
          <w:highlight w:val="none"/>
        </w:rPr>
      </w:pPr>
      <w:bookmarkStart w:id="114" w:name="_Toc254970685"/>
      <w:bookmarkStart w:id="115" w:name="_Toc254970544"/>
      <w:r>
        <w:rPr>
          <w:rFonts w:hint="eastAsia" w:ascii="仿宋" w:hAnsi="仿宋" w:eastAsia="仿宋" w:cs="仿宋"/>
          <w:color w:val="auto"/>
          <w:highlight w:val="none"/>
        </w:rPr>
        <w:t>四、开    标</w:t>
      </w:r>
      <w:bookmarkEnd w:id="114"/>
      <w:bookmarkEnd w:id="115"/>
    </w:p>
    <w:p w14:paraId="7C26F99E">
      <w:pPr>
        <w:pStyle w:val="6"/>
        <w:keepNext w:val="0"/>
        <w:keepLines w:val="0"/>
        <w:spacing w:before="0" w:after="0" w:line="360" w:lineRule="auto"/>
        <w:ind w:left="420" w:leftChars="200"/>
        <w:rPr>
          <w:rFonts w:hint="eastAsia" w:ascii="仿宋" w:hAnsi="仿宋" w:eastAsia="仿宋" w:cs="仿宋"/>
          <w:color w:val="auto"/>
          <w:sz w:val="24"/>
          <w:highlight w:val="none"/>
        </w:rPr>
      </w:pPr>
      <w:bookmarkStart w:id="116" w:name="_23.开标时间和地点"/>
      <w:bookmarkEnd w:id="116"/>
      <w:r>
        <w:rPr>
          <w:rFonts w:hint="eastAsia" w:ascii="仿宋" w:hAnsi="仿宋" w:eastAsia="仿宋" w:cs="仿宋"/>
          <w:color w:val="auto"/>
          <w:sz w:val="24"/>
          <w:highlight w:val="none"/>
        </w:rPr>
        <w:t>22.开标时间和地点</w:t>
      </w:r>
    </w:p>
    <w:p w14:paraId="7E432585">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采购代理机构将在“投标人须知前附表”规定的时间和地点进行开标，投标人未参加开标</w:t>
      </w:r>
    </w:p>
    <w:p w14:paraId="71035AB8">
      <w:pPr>
        <w:pStyle w:val="6"/>
        <w:keepNext w:val="0"/>
        <w:keepLines w:val="0"/>
        <w:numPr>
          <w:ilvl w:val="4"/>
          <w:numId w:val="0"/>
        </w:numPr>
        <w:spacing w:before="0" w:after="0" w:line="360" w:lineRule="auto"/>
        <w:rPr>
          <w:rFonts w:hint="eastAsia" w:ascii="仿宋" w:hAnsi="仿宋" w:eastAsia="仿宋" w:cs="仿宋"/>
          <w:color w:val="auto"/>
          <w:sz w:val="24"/>
          <w:highlight w:val="none"/>
        </w:rPr>
      </w:pPr>
      <w:r>
        <w:rPr>
          <w:rFonts w:hint="eastAsia" w:ascii="仿宋" w:hAnsi="仿宋" w:eastAsia="仿宋" w:cs="仿宋"/>
          <w:b w:val="0"/>
          <w:bCs/>
          <w:color w:val="auto"/>
          <w:sz w:val="24"/>
          <w:highlight w:val="none"/>
        </w:rPr>
        <w:t>的，视同认可开标过程和结果。本项目开标过程实行全程录音、录像监控。</w:t>
      </w:r>
    </w:p>
    <w:p w14:paraId="28BC4B57">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23.开标程序</w:t>
      </w:r>
    </w:p>
    <w:p w14:paraId="5AA3243E">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主持人按以下程序进行开标：</w:t>
      </w:r>
    </w:p>
    <w:p w14:paraId="3FB23DFC">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（1）开标会由采购代理机构主持；</w:t>
      </w:r>
    </w:p>
    <w:p w14:paraId="3400AFC2">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 xml:space="preserve">（2）截标后，政采云电子交易平台自动提取所有投标人的电子投标文件，采购代理机构向各投标人发出解密通知，投标人须在采购代理机构开启解密标书后30分钟内对上传广西政府采购云平台的投标文件进行解密。非政采云技术原因或非采购代理机构操作原因造成的投标人超过解密时限未完成解密的，或投标文件无法解密或解密失败，视为投标人放弃投标； </w:t>
      </w:r>
    </w:p>
    <w:p w14:paraId="19637CB2">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18B37CA0">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（4）电子唱标。投标文件解密结束，各投标供应商报价均在“政采云”平台远程不见面开标大厅展示；</w:t>
      </w:r>
    </w:p>
    <w:p w14:paraId="38C0D64D">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（5）报价确认：采购代理机构开启签字时段，投标人应及时通过CA证书对报价记录表进</w:t>
      </w:r>
    </w:p>
    <w:p w14:paraId="58EA0916">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行确认。未在规定时间内确认的，视同认可开标结果；</w:t>
      </w:r>
    </w:p>
    <w:p w14:paraId="256B64EA">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（6）开标过程由采购代理机构如实记录，并电子留痕，由参加电子开标的各投标人代表对电子开标记录在开标记录公布后15分钟内进行当场校核及勘误，并线上确认，未确认的视同认可开标结果；</w:t>
      </w:r>
    </w:p>
    <w:p w14:paraId="240B2945">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7）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5B3B01C0">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（8）开标结束。</w:t>
      </w:r>
    </w:p>
    <w:p w14:paraId="01BEF9BF">
      <w:pPr>
        <w:pStyle w:val="23"/>
        <w:snapToGrid w:val="0"/>
        <w:spacing w:line="360" w:lineRule="auto"/>
        <w:ind w:left="689" w:leftChars="228" w:hanging="210" w:hangingChars="100"/>
        <w:rPr>
          <w:rFonts w:hint="eastAsia" w:ascii="仿宋" w:hAnsi="仿宋" w:eastAsia="仿宋" w:cs="仿宋"/>
          <w:color w:val="auto"/>
          <w:sz w:val="21"/>
          <w:highlight w:val="none"/>
        </w:rPr>
      </w:pPr>
    </w:p>
    <w:p w14:paraId="167FC372">
      <w:pPr>
        <w:pStyle w:val="4"/>
        <w:keepNext w:val="0"/>
        <w:keepLines w:val="0"/>
        <w:jc w:val="center"/>
        <w:rPr>
          <w:rFonts w:hint="eastAsia" w:ascii="仿宋" w:hAnsi="仿宋" w:eastAsia="仿宋" w:cs="仿宋"/>
          <w:color w:val="auto"/>
          <w:highlight w:val="none"/>
        </w:rPr>
      </w:pPr>
      <w:r>
        <w:rPr>
          <w:rFonts w:hint="eastAsia" w:ascii="仿宋" w:hAnsi="仿宋" w:eastAsia="仿宋" w:cs="仿宋"/>
          <w:color w:val="auto"/>
          <w:highlight w:val="none"/>
        </w:rPr>
        <w:t>五、资格审查</w:t>
      </w:r>
    </w:p>
    <w:p w14:paraId="3E79A297">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24.资格审查</w:t>
      </w:r>
    </w:p>
    <w:p w14:paraId="5B5F51D9">
      <w:pPr>
        <w:pStyle w:val="6"/>
        <w:keepNext w:val="0"/>
        <w:keepLines w:val="0"/>
        <w:numPr>
          <w:ilvl w:val="4"/>
          <w:numId w:val="0"/>
        </w:numPr>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24.1开标结束后，采购人或采购机构依法通过电子投标文件对投标人的资格进行线上审查。</w:t>
      </w:r>
    </w:p>
    <w:p w14:paraId="72D3C73F">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24.2资格审查标准为本招标文件中载明对投标人资格要求的条件。本项目资格审查采用合</w:t>
      </w:r>
    </w:p>
    <w:p w14:paraId="418FBEC9">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格制，凡符合招标文件规定的投标人资格要求的投标人均通过资格审查。</w:t>
      </w:r>
    </w:p>
    <w:p w14:paraId="42970B72">
      <w:pPr>
        <w:pStyle w:val="6"/>
        <w:keepNext w:val="0"/>
        <w:keepLines w:val="0"/>
        <w:spacing w:before="0" w:after="0" w:line="360" w:lineRule="auto"/>
        <w:ind w:left="420" w:leftChars="200"/>
        <w:rPr>
          <w:rFonts w:hint="eastAsia" w:ascii="仿宋" w:hAnsi="仿宋" w:eastAsia="仿宋" w:cs="仿宋"/>
          <w:color w:val="auto"/>
          <w:sz w:val="24"/>
          <w:highlight w:val="none"/>
        </w:rPr>
      </w:pPr>
      <w:bookmarkStart w:id="117" w:name="_25.3_投标人有下列情形之一的，资格审查不通过而导致其投标无效："/>
      <w:bookmarkEnd w:id="117"/>
      <w:r>
        <w:rPr>
          <w:rFonts w:hint="eastAsia" w:ascii="仿宋" w:hAnsi="仿宋" w:eastAsia="仿宋" w:cs="仿宋"/>
          <w:color w:val="auto"/>
          <w:sz w:val="24"/>
          <w:highlight w:val="none"/>
        </w:rPr>
        <w:t>24.3 投标人有下列情形之一的，资格审查不通过，作无效投标处理：</w:t>
      </w:r>
    </w:p>
    <w:p w14:paraId="379EF9DE">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（1）未按招标文件规定的方式获取本招标文件的投标人；</w:t>
      </w:r>
    </w:p>
    <w:p w14:paraId="68E4913D">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（2）不具备招标文件中规定的资格要求的；（注：其中信用查询规则见“投标人须知前附表”）</w:t>
      </w:r>
    </w:p>
    <w:p w14:paraId="23A4B7F7">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（3）投标文件未提供任一项“投标人须知前附表”资格证明文件规定的“必须提供”的文件资料的；</w:t>
      </w:r>
    </w:p>
    <w:p w14:paraId="01323A4D">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（4）投标文件提供的资格证明文件出现任一项不符合“投标人须知前附表”资格证明文件规定的“必须提供”的文件资料要求或者无效的。</w:t>
      </w:r>
    </w:p>
    <w:p w14:paraId="7EF35EF4">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25.4资格审查的合格投标人不足3家的，不得评标。</w:t>
      </w:r>
    </w:p>
    <w:p w14:paraId="598EC5AE">
      <w:pPr>
        <w:pStyle w:val="23"/>
        <w:snapToGrid w:val="0"/>
        <w:spacing w:line="360" w:lineRule="auto"/>
        <w:ind w:left="689" w:leftChars="228" w:hanging="210" w:hangingChars="100"/>
        <w:rPr>
          <w:rFonts w:hint="eastAsia" w:ascii="仿宋" w:hAnsi="仿宋" w:eastAsia="仿宋" w:cs="仿宋"/>
          <w:color w:val="auto"/>
          <w:sz w:val="21"/>
          <w:highlight w:val="none"/>
        </w:rPr>
      </w:pPr>
    </w:p>
    <w:p w14:paraId="55428026">
      <w:pPr>
        <w:pStyle w:val="4"/>
        <w:keepNext w:val="0"/>
        <w:keepLines w:val="0"/>
        <w:jc w:val="center"/>
        <w:rPr>
          <w:rFonts w:hint="eastAsia" w:ascii="仿宋" w:hAnsi="仿宋" w:eastAsia="仿宋" w:cs="仿宋"/>
          <w:color w:val="auto"/>
          <w:highlight w:val="none"/>
        </w:rPr>
      </w:pPr>
      <w:r>
        <w:rPr>
          <w:rFonts w:hint="eastAsia" w:ascii="仿宋" w:hAnsi="仿宋" w:eastAsia="仿宋" w:cs="仿宋"/>
          <w:color w:val="auto"/>
          <w:highlight w:val="none"/>
        </w:rPr>
        <w:t>六、评   标</w:t>
      </w:r>
    </w:p>
    <w:p w14:paraId="733B06C5">
      <w:pPr>
        <w:pStyle w:val="6"/>
        <w:keepNext w:val="0"/>
        <w:keepLines w:val="0"/>
        <w:spacing w:before="0" w:after="0" w:line="360" w:lineRule="auto"/>
        <w:ind w:left="420" w:leftChars="200"/>
        <w:rPr>
          <w:rFonts w:hint="eastAsia" w:ascii="仿宋" w:hAnsi="仿宋" w:eastAsia="仿宋" w:cs="仿宋"/>
          <w:color w:val="auto"/>
          <w:sz w:val="24"/>
          <w:highlight w:val="none"/>
        </w:rPr>
      </w:pPr>
      <w:bookmarkStart w:id="118" w:name="_26.组建评标委员会"/>
      <w:bookmarkEnd w:id="118"/>
      <w:r>
        <w:rPr>
          <w:rFonts w:hint="eastAsia" w:ascii="仿宋" w:hAnsi="仿宋" w:eastAsia="仿宋" w:cs="仿宋"/>
          <w:color w:val="auto"/>
          <w:sz w:val="24"/>
          <w:highlight w:val="none"/>
        </w:rPr>
        <w:t>25.组建评标委员会</w:t>
      </w:r>
    </w:p>
    <w:p w14:paraId="3A7FB305">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评标委员会由采购人代表和评审专家组成，具体人数详见“投标人须知前附表”，其中评</w:t>
      </w:r>
    </w:p>
    <w:p w14:paraId="50039F9B">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审专家不得少于成员总数的三分之二。</w:t>
      </w:r>
    </w:p>
    <w:p w14:paraId="360EE084">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参加过采购项目前期咨询论证的专家，不得参加该采购项目的评审活动。</w:t>
      </w:r>
    </w:p>
    <w:p w14:paraId="73C7EE4F">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26.评标的依据</w:t>
      </w:r>
    </w:p>
    <w:p w14:paraId="580E3C0B">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评标委员会以招标文件为依据对投标文件进行评审，“第四章 评标方法和评标标准”没有规定的方法、评审因素和标准，不作为评标依据。</w:t>
      </w:r>
    </w:p>
    <w:p w14:paraId="352248D7">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27.评标原则</w:t>
      </w:r>
    </w:p>
    <w:p w14:paraId="7F512795">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27.1评标原则。评标委员会评标时必须公平、公正、客观，不带任何倾向性和启发性；不</w:t>
      </w:r>
    </w:p>
    <w:p w14:paraId="67688A45">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得向外界透露任何与评标有关的内容；任何单位和个人不得干扰、影响评标的正常进行；评标委员会及有关工作人员不得私下与投标人接触，不得收受利害关系人的财物或者其他好处。</w:t>
      </w:r>
    </w:p>
    <w:p w14:paraId="308D5EBF">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27.2评委表决。在评标过程中出现法律法规和招标文件均没有明确规定的情形时，由评标</w:t>
      </w:r>
    </w:p>
    <w:p w14:paraId="3A788B85">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委员会现场协商解决，协商不一致的，由全体评委投票表决，以得票率二分之一以上专家的意见为准。</w:t>
      </w:r>
      <w:bookmarkStart w:id="119" w:name="_28.3评标方法。本项目将按须知前附表规定的评标办法进行评标，具体评标"/>
      <w:bookmarkEnd w:id="119"/>
    </w:p>
    <w:p w14:paraId="3D8D47C1">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27.3评标的保密。采购人、采购代理机构应当采取必要措施，保证评标在严格保密（封闭</w:t>
      </w:r>
    </w:p>
    <w:p w14:paraId="70069A2A">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48554268">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27.4评标过程的监控。本项目评标过程实行全程录音、录像监控，投标人在评标过程中所</w:t>
      </w:r>
    </w:p>
    <w:p w14:paraId="09E16115">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进行的试图影响评标结果的不公正活动，可能导致其投标按无效处理。</w:t>
      </w:r>
    </w:p>
    <w:p w14:paraId="2656192E">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28.评标方法及评标标准</w:t>
      </w:r>
    </w:p>
    <w:p w14:paraId="5010B62D">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28.1本项目的评标方法详见“投标人须知前附表”。</w:t>
      </w:r>
    </w:p>
    <w:p w14:paraId="2C29CC97">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28.2 评标委员会按照“第四章 评标方法和评标标准”规定的方法、评审因素、标准和程</w:t>
      </w:r>
    </w:p>
    <w:p w14:paraId="5A9A9A71">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序对投标文件进行评审。</w:t>
      </w:r>
    </w:p>
    <w:p w14:paraId="7823B5DE">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28.3电子交易活动的中止。采购过程中出现以下情形，导致电子交易平台无法正常运行，</w:t>
      </w:r>
    </w:p>
    <w:p w14:paraId="0D04F72B">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或者无法保证电子交易的公平、公正和安全时，采购机构可中止电子交易活动：</w:t>
      </w:r>
    </w:p>
    <w:p w14:paraId="128AE74B">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 xml:space="preserve">（1）电子交易平台发生故障而无法登录访问的； </w:t>
      </w:r>
    </w:p>
    <w:p w14:paraId="75D7E456">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（2）电子交易平台应用或数据库出现错误，不能进行正常操作的；</w:t>
      </w:r>
    </w:p>
    <w:p w14:paraId="765FAB01">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（3）电子交易平台发现严重安全漏洞，有潜在泄密危险的；</w:t>
      </w:r>
    </w:p>
    <w:p w14:paraId="4F3037A1">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 xml:space="preserve">（4）病毒发作导致不能进行正常操作的； </w:t>
      </w:r>
    </w:p>
    <w:p w14:paraId="07D2F57B">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（5）其他无法保证电子交易的公平、公正和安全的情况。</w:t>
      </w:r>
    </w:p>
    <w:p w14:paraId="432028EE">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29.出现以上情形，不影响采购公平、公正性的，采购组织机构可以待上述情形消除后继续组织电子交易活动；影响或可能影响采购公平、公正性的，经采购代理机构确认后，应当重新采购。采购代理机构必须对原有的资料及信息做出妥善保密处理，并报财政部门备案。</w:t>
      </w:r>
    </w:p>
    <w:p w14:paraId="43CF039C">
      <w:pPr>
        <w:rPr>
          <w:rFonts w:eastAsia="仿宋"/>
          <w:color w:val="auto"/>
          <w:highlight w:val="none"/>
        </w:rPr>
      </w:pPr>
    </w:p>
    <w:p w14:paraId="77CA46A5">
      <w:pPr>
        <w:pStyle w:val="23"/>
        <w:snapToGrid w:val="0"/>
        <w:spacing w:line="360" w:lineRule="auto"/>
        <w:rPr>
          <w:rFonts w:hint="eastAsia" w:ascii="仿宋" w:hAnsi="仿宋" w:eastAsia="仿宋" w:cs="仿宋"/>
          <w:color w:val="auto"/>
          <w:sz w:val="21"/>
          <w:highlight w:val="none"/>
        </w:rPr>
      </w:pPr>
    </w:p>
    <w:p w14:paraId="26051304">
      <w:pPr>
        <w:pStyle w:val="4"/>
        <w:keepNext w:val="0"/>
        <w:keepLines w:val="0"/>
        <w:jc w:val="center"/>
        <w:rPr>
          <w:rFonts w:hint="eastAsia" w:ascii="仿宋" w:hAnsi="仿宋" w:eastAsia="仿宋" w:cs="仿宋"/>
          <w:color w:val="auto"/>
          <w:highlight w:val="none"/>
        </w:rPr>
      </w:pPr>
      <w:bookmarkStart w:id="120" w:name="_Toc254970687"/>
      <w:bookmarkStart w:id="121" w:name="_Toc254970546"/>
      <w:r>
        <w:rPr>
          <w:rFonts w:hint="eastAsia" w:ascii="仿宋" w:hAnsi="仿宋" w:eastAsia="仿宋" w:cs="仿宋"/>
          <w:color w:val="auto"/>
          <w:highlight w:val="none"/>
        </w:rPr>
        <w:t>七、</w:t>
      </w:r>
      <w:bookmarkEnd w:id="120"/>
      <w:bookmarkEnd w:id="121"/>
      <w:r>
        <w:rPr>
          <w:rFonts w:hint="eastAsia" w:ascii="仿宋" w:hAnsi="仿宋" w:eastAsia="仿宋" w:cs="仿宋"/>
          <w:color w:val="auto"/>
          <w:highlight w:val="none"/>
        </w:rPr>
        <w:t>中标和合同</w:t>
      </w:r>
    </w:p>
    <w:p w14:paraId="2BB749A9">
      <w:pPr>
        <w:pStyle w:val="6"/>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30.确定中标人</w:t>
      </w:r>
    </w:p>
    <w:p w14:paraId="31919DA1">
      <w:pPr>
        <w:pStyle w:val="6"/>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30.1采购代理机构在评标结束之日起2个工作日内将评标报告送采购人，采购人在收到评</w:t>
      </w:r>
    </w:p>
    <w:p w14:paraId="3A58FD09">
      <w:pPr>
        <w:pStyle w:val="6"/>
        <w:keepNext w:val="0"/>
        <w:keepLines w:val="0"/>
        <w:numPr>
          <w:ilvl w:val="4"/>
          <w:numId w:val="0"/>
        </w:numPr>
        <w:spacing w:before="0" w:after="0" w:line="360" w:lineRule="auto"/>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标报告之日起5个工作日内，在评标报告确定的中标候选人名单中按顺序确定中标人。中标候选人并列的，按照“投标人须知前附表”规定的方式确定中标人。采购人也可以事先授权评标委员会直接确定中标人。</w:t>
      </w:r>
    </w:p>
    <w:p w14:paraId="02F00A0E">
      <w:pPr>
        <w:pStyle w:val="6"/>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30.2采购人在收到评标报告5个工作日内未按评标报告推荐的中标候选人顺序确定中标人，</w:t>
      </w:r>
    </w:p>
    <w:p w14:paraId="4DBE6F03">
      <w:pPr>
        <w:pStyle w:val="6"/>
        <w:keepNext w:val="0"/>
        <w:keepLines w:val="0"/>
        <w:numPr>
          <w:ilvl w:val="4"/>
          <w:numId w:val="0"/>
        </w:numPr>
        <w:spacing w:before="0" w:after="0" w:line="360" w:lineRule="auto"/>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又不能说明合法理由的，视同按评标报告推荐的顺序确定排名第一的中标候选人为中标人。</w:t>
      </w:r>
    </w:p>
    <w:p w14:paraId="1DB59B37">
      <w:pPr>
        <w:pStyle w:val="6"/>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30.3采购人、采购代理机构认为供应商对采购过程、中标结果提出的质疑成立且影响或者</w:t>
      </w:r>
    </w:p>
    <w:p w14:paraId="5B103E48">
      <w:pPr>
        <w:pStyle w:val="6"/>
        <w:keepNext w:val="0"/>
        <w:keepLines w:val="0"/>
        <w:numPr>
          <w:ilvl w:val="4"/>
          <w:numId w:val="0"/>
        </w:numPr>
        <w:spacing w:before="0" w:after="0" w:line="360" w:lineRule="auto"/>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可能影响中标结果的，合格供应商符合法定数量时，可以从合格的中标候选人中另行确定中标人的，应当依法另行确定中标人；否则应当重新开展采购活动。</w:t>
      </w:r>
    </w:p>
    <w:p w14:paraId="19323DEE">
      <w:pPr>
        <w:pStyle w:val="6"/>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30.4排名第一的中标候选人放弃中标、因不可抗力提出不能履行合同，采购人可以确定排</w:t>
      </w:r>
    </w:p>
    <w:p w14:paraId="377E8AE9">
      <w:pPr>
        <w:pStyle w:val="6"/>
        <w:keepNext w:val="0"/>
        <w:keepLines w:val="0"/>
        <w:numPr>
          <w:ilvl w:val="4"/>
          <w:numId w:val="0"/>
        </w:numPr>
        <w:spacing w:before="0" w:after="0" w:line="360" w:lineRule="auto"/>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名第二的中标候选人为中标人。排名第二的中标候选人因前款规定的同样原因不能签订合同的，采购人可以确定排名第三的中标候选人为中标人，以此类推。</w:t>
      </w:r>
    </w:p>
    <w:p w14:paraId="0CA3D002">
      <w:pPr>
        <w:snapToGrid w:val="0"/>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31.结果公告</w:t>
      </w:r>
    </w:p>
    <w:p w14:paraId="036F9B85">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31.1中标人确定后，于中标人确定之日起2个工作日内，中标结果将在招标公告发布媒体上公告。采购人或者采购代理发出中标通知书前，应当对中标人信用进行查询，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p>
    <w:p w14:paraId="6BADF908">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排名第二的中标候选人因前款规定的同样原因被取消中标资格的，采购人可以确定排名第三的中标候选人为中标人，以此类推。</w:t>
      </w:r>
    </w:p>
    <w:p w14:paraId="0C379F32">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以上信息查询记录及相关证据与采购文件一并保存。</w:t>
      </w:r>
    </w:p>
    <w:p w14:paraId="4CE2FB3C">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中小企业在政府采购活动过程中，请根据企业的真实情况出具《中小企业声明函》。依法享受中小企业优惠政策的，采购人或者采购代理机构在公告中标结果时，同时公告其《中小企业声明函》，接受社会监督。</w:t>
      </w:r>
    </w:p>
    <w:p w14:paraId="3ACCFDDF">
      <w:pPr>
        <w:snapToGrid w:val="0"/>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32.发出中标通知书</w:t>
      </w:r>
    </w:p>
    <w:p w14:paraId="65341C04">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在发布中标公告的同时，采购代理机构向中标人发出中标通知书。对未通过资格审查的投标人，应当告知其未通过的原因；采用综合评分办法评审的，还应当告知未中标人本人的评审得分与排序。</w:t>
      </w:r>
    </w:p>
    <w:p w14:paraId="1B23B4A6">
      <w:pPr>
        <w:snapToGrid w:val="0"/>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33.无义务解释未中标原因</w:t>
      </w:r>
    </w:p>
    <w:p w14:paraId="43D60D0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采购代理机构无义务向未中标的投标人解释未中标原因和退还投标文件。</w:t>
      </w:r>
    </w:p>
    <w:p w14:paraId="05BFE09A">
      <w:pPr>
        <w:snapToGrid w:val="0"/>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34.合同授予标准</w:t>
      </w:r>
    </w:p>
    <w:p w14:paraId="2D1839D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合同将授予被确定实质上响应招标文件要求，具备履行合同能力的中标人（招标文件另有约定多名中标人的除外）。</w:t>
      </w:r>
    </w:p>
    <w:p w14:paraId="044347CB">
      <w:pPr>
        <w:snapToGrid w:val="0"/>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w:t>
      </w:r>
      <w:r>
        <w:rPr>
          <w:rFonts w:hint="eastAsia" w:ascii="仿宋" w:hAnsi="仿宋" w:eastAsia="仿宋" w:cs="仿宋"/>
          <w:b/>
          <w:bCs/>
          <w:color w:val="auto"/>
          <w:sz w:val="24"/>
          <w:highlight w:val="none"/>
          <w:lang w:val="en-US" w:eastAsia="zh-CN"/>
        </w:rPr>
        <w:t>5</w:t>
      </w:r>
      <w:r>
        <w:rPr>
          <w:rFonts w:hint="eastAsia" w:ascii="仿宋" w:hAnsi="仿宋" w:eastAsia="仿宋" w:cs="仿宋"/>
          <w:b/>
          <w:bCs/>
          <w:color w:val="auto"/>
          <w:sz w:val="24"/>
          <w:highlight w:val="none"/>
        </w:rPr>
        <w:t>.签订合同</w:t>
      </w:r>
      <w:bookmarkStart w:id="122" w:name="_40.1投标人接到中标通知书后，按须知前附表规定向采购人出示相关资格证"/>
      <w:bookmarkEnd w:id="122"/>
    </w:p>
    <w:p w14:paraId="2425E85A">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.1投标人领取中标通知书后，按“投标人须知前附表”规定向采购人出示相关证明材料，经采购人核验合格后方可签订合同。</w:t>
      </w:r>
    </w:p>
    <w:p w14:paraId="5D4F819C">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.2签订合同时间：按中标通知书规定的时间与采购人签订合同。</w:t>
      </w:r>
    </w:p>
    <w:p w14:paraId="4E2C315C">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.3中标人拒绝与采购人签订合同的，采购人可以按照评审报告推荐的中标候选人名单排序，确定下一候选人为中标人，也可以重新开展政府采购活动。</w:t>
      </w:r>
    </w:p>
    <w:p w14:paraId="106E81A6">
      <w:pPr>
        <w:snapToGrid w:val="0"/>
        <w:spacing w:line="360" w:lineRule="auto"/>
        <w:ind w:firstLine="482" w:firstLineChars="200"/>
        <w:rPr>
          <w:rFonts w:hint="eastAsia" w:ascii="仿宋" w:hAnsi="仿宋" w:eastAsia="仿宋" w:cs="仿宋"/>
          <w:b/>
          <w:bCs/>
          <w:color w:val="auto"/>
          <w:sz w:val="24"/>
          <w:highlight w:val="none"/>
        </w:rPr>
      </w:pPr>
      <w:bookmarkStart w:id="123" w:name="_41.政府采购合同公告"/>
      <w:bookmarkEnd w:id="123"/>
      <w:r>
        <w:rPr>
          <w:rFonts w:hint="eastAsia" w:ascii="仿宋" w:hAnsi="仿宋" w:eastAsia="仿宋" w:cs="仿宋"/>
          <w:b/>
          <w:bCs/>
          <w:color w:val="auto"/>
          <w:sz w:val="24"/>
          <w:highlight w:val="none"/>
        </w:rPr>
        <w:t>3</w:t>
      </w:r>
      <w:r>
        <w:rPr>
          <w:rFonts w:hint="eastAsia" w:ascii="仿宋" w:hAnsi="仿宋" w:eastAsia="仿宋" w:cs="仿宋"/>
          <w:b/>
          <w:bCs/>
          <w:color w:val="auto"/>
          <w:sz w:val="24"/>
          <w:highlight w:val="none"/>
          <w:lang w:val="en-US" w:eastAsia="zh-CN"/>
        </w:rPr>
        <w:t>6</w:t>
      </w:r>
      <w:r>
        <w:rPr>
          <w:rFonts w:hint="eastAsia" w:ascii="仿宋" w:hAnsi="仿宋" w:eastAsia="仿宋" w:cs="仿宋"/>
          <w:b/>
          <w:bCs/>
          <w:color w:val="auto"/>
          <w:sz w:val="24"/>
          <w:highlight w:val="none"/>
        </w:rPr>
        <w:t>.政府采购合同公告</w:t>
      </w:r>
    </w:p>
    <w:p w14:paraId="7A706E01">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采购人或者受托采购代理机构应当自政府采购合同签订之日起2个工作日内，将政府采购</w:t>
      </w:r>
    </w:p>
    <w:p w14:paraId="46391F1D">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合同在省级以上人民政府财政部门指定的媒体上公告，但政府采购合同中涉及国家秘密、商业秘密的内容除外。</w:t>
      </w:r>
    </w:p>
    <w:p w14:paraId="186B7407">
      <w:pPr>
        <w:snapToGrid w:val="0"/>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w:t>
      </w:r>
      <w:r>
        <w:rPr>
          <w:rFonts w:hint="eastAsia" w:ascii="仿宋" w:hAnsi="仿宋" w:eastAsia="仿宋" w:cs="仿宋"/>
          <w:b/>
          <w:bCs/>
          <w:color w:val="auto"/>
          <w:sz w:val="24"/>
          <w:highlight w:val="none"/>
          <w:lang w:val="en-US" w:eastAsia="zh-CN"/>
        </w:rPr>
        <w:t>7</w:t>
      </w:r>
      <w:r>
        <w:rPr>
          <w:rFonts w:hint="eastAsia" w:ascii="仿宋" w:hAnsi="仿宋" w:eastAsia="仿宋" w:cs="仿宋"/>
          <w:b/>
          <w:bCs/>
          <w:color w:val="auto"/>
          <w:sz w:val="24"/>
          <w:highlight w:val="none"/>
        </w:rPr>
        <w:t>.询问、质疑和投诉</w:t>
      </w:r>
    </w:p>
    <w:p w14:paraId="6D4EF7D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.1供应商对政府采购活动事项有疑问的，可以向采购人提出询问，采购人应当及时作出答复，但答复的内容不得涉及商业秘密。</w:t>
      </w:r>
    </w:p>
    <w:p w14:paraId="09882338">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 xml:space="preserve">.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46BBE2E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（1）对可以质疑的招标文件提出质疑的，为收到招标文件之日或者招标文件公告期限届满之日；</w:t>
      </w:r>
    </w:p>
    <w:p w14:paraId="30FC7D4E">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（2）对采购过程提出质疑的，为各采购程序环节结束之日；</w:t>
      </w:r>
    </w:p>
    <w:p w14:paraId="615FD474">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（3）对中标结果提出质疑的，为中标结果公告期限届满之日。</w:t>
      </w:r>
    </w:p>
    <w:p w14:paraId="34664C0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供应商对采购人、采购代理机构的质疑答复不满意，或者采购人、采购代理机构未在规定时间内作出答复的，可以在答复期满后十五个工作日内向同级政府采购监管部门投诉。</w:t>
      </w:r>
      <w:bookmarkStart w:id="124" w:name="_9.2质疑、投诉应当采用书面形式，质疑函、投诉书均应明确阐述招标文件、"/>
      <w:bookmarkEnd w:id="124"/>
    </w:p>
    <w:p w14:paraId="53801D08">
      <w:pPr>
        <w:snapToGrid w:val="0"/>
        <w:spacing w:line="360" w:lineRule="auto"/>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 xml:space="preserve">.3 </w:t>
      </w:r>
      <w:r>
        <w:rPr>
          <w:rFonts w:hint="eastAsia" w:ascii="仿宋" w:hAnsi="仿宋" w:eastAsia="仿宋" w:cs="仿宋"/>
          <w:b/>
          <w:color w:val="auto"/>
          <w:sz w:val="24"/>
          <w:highlight w:val="none"/>
        </w:rPr>
        <w:t>供应商提出质疑应当提交质疑函和必要的证明材料，针对同一采购程序环节的质疑必须在法定质疑期内一次性提出。质疑函应当包括下列内容（质疑函格式后附）：</w:t>
      </w:r>
    </w:p>
    <w:p w14:paraId="74E6B058">
      <w:pPr>
        <w:snapToGrid w:val="0"/>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（1）供应商的姓名或者名称、地址、邮编、联系人及联系电话；</w:t>
      </w:r>
    </w:p>
    <w:p w14:paraId="51080426">
      <w:pPr>
        <w:pStyle w:val="23"/>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（2）质疑项目的名称、编号；</w:t>
      </w:r>
    </w:p>
    <w:p w14:paraId="3B93FA1A">
      <w:pPr>
        <w:pStyle w:val="23"/>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（3）具体、明确的质疑事项和与质疑事项相关的请求；</w:t>
      </w:r>
    </w:p>
    <w:p w14:paraId="36EE782F">
      <w:pPr>
        <w:pStyle w:val="23"/>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（4）事实依据；</w:t>
      </w:r>
    </w:p>
    <w:p w14:paraId="75857A83">
      <w:pPr>
        <w:pStyle w:val="23"/>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（5）必要的法律依据；</w:t>
      </w:r>
    </w:p>
    <w:p w14:paraId="1CB9F2D2">
      <w:pPr>
        <w:pStyle w:val="23"/>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（6）提出质疑的日期。</w:t>
      </w:r>
    </w:p>
    <w:p w14:paraId="24A52640">
      <w:pPr>
        <w:pStyle w:val="23"/>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供应商为自然人的，应当由本人签字；供应商为法人或者其他组织的，应当由法定代表人、主要负责人，或者其委托代理人签字或者盖章，并加盖公章。</w:t>
      </w:r>
    </w:p>
    <w:p w14:paraId="6EB9356C">
      <w:pPr>
        <w:snapToGrid w:val="0"/>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w:t>
      </w:r>
      <w:r>
        <w:rPr>
          <w:rFonts w:hint="eastAsia" w:ascii="仿宋" w:hAnsi="仿宋" w:eastAsia="仿宋" w:cs="仿宋"/>
          <w:b/>
          <w:bCs/>
          <w:color w:val="auto"/>
          <w:sz w:val="24"/>
          <w:highlight w:val="none"/>
          <w:lang w:val="en-US" w:eastAsia="zh-CN"/>
        </w:rPr>
        <w:t>7</w:t>
      </w:r>
      <w:r>
        <w:rPr>
          <w:rFonts w:hint="eastAsia" w:ascii="仿宋" w:hAnsi="仿宋" w:eastAsia="仿宋" w:cs="仿宋"/>
          <w:b/>
          <w:bCs/>
          <w:color w:val="auto"/>
          <w:sz w:val="24"/>
          <w:highlight w:val="none"/>
        </w:rPr>
        <w:t>.4采购人、采购代理机构认为供应商质疑不成立，或者成立但未对中标结果构成影响的，继续开展采购活动；认为供应商质疑成立且影响或者可能影响中标结果的，按照下列情况处理：</w:t>
      </w:r>
    </w:p>
    <w:p w14:paraId="524357B6">
      <w:pPr>
        <w:pStyle w:val="23"/>
        <w:snapToGrid w:val="0"/>
        <w:spacing w:line="360" w:lineRule="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　　（一）对招标文件提出的质疑，依法通过澄清或者修改可以继续开展采购活动的，澄清或者修改招标文件后继续开展采购活动；否则应当修改招标文件后重新开展采购活动。</w:t>
      </w:r>
    </w:p>
    <w:p w14:paraId="7C88B51C">
      <w:pPr>
        <w:pStyle w:val="23"/>
        <w:snapToGrid w:val="0"/>
        <w:spacing w:line="360" w:lineRule="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　　（二）对采购过程、中标结果提出的质疑，合格供应商符合法定数量时，可以从合格的中标候选人中另行确定中标供应商的，应当依法另行确定中标供应商；否则应当重新开展采购活动。</w:t>
      </w:r>
    </w:p>
    <w:p w14:paraId="2398E4C4">
      <w:pPr>
        <w:pStyle w:val="23"/>
        <w:snapToGrid w:val="0"/>
        <w:spacing w:line="360" w:lineRule="auto"/>
        <w:ind w:firstLine="42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质疑答复导致中标结果改变的，采购人或者采购代理机构应当将有关情况书面报告本级财政部门。</w:t>
      </w:r>
    </w:p>
    <w:p w14:paraId="3B8CF4C4">
      <w:pPr>
        <w:pStyle w:val="23"/>
        <w:snapToGrid w:val="0"/>
        <w:spacing w:line="36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.5</w:t>
      </w:r>
      <w:r>
        <w:rPr>
          <w:rFonts w:hint="eastAsia" w:ascii="仿宋" w:hAnsi="仿宋" w:eastAsia="仿宋" w:cs="仿宋"/>
          <w:b/>
          <w:color w:val="auto"/>
          <w:sz w:val="24"/>
          <w:szCs w:val="24"/>
          <w:highlight w:val="none"/>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2996DA92">
      <w:pPr>
        <w:pStyle w:val="23"/>
        <w:snapToGrid w:val="0"/>
        <w:spacing w:line="360" w:lineRule="auto"/>
        <w:ind w:firstLine="420" w:firstLineChars="200"/>
        <w:rPr>
          <w:rFonts w:hint="eastAsia" w:ascii="仿宋" w:hAnsi="仿宋" w:eastAsia="仿宋" w:cs="仿宋"/>
          <w:color w:val="auto"/>
          <w:sz w:val="21"/>
          <w:highlight w:val="none"/>
        </w:rPr>
      </w:pPr>
    </w:p>
    <w:p w14:paraId="1B4BE4F0">
      <w:pPr>
        <w:pStyle w:val="23"/>
        <w:snapToGrid w:val="0"/>
        <w:spacing w:line="360" w:lineRule="auto"/>
        <w:ind w:firstLine="420" w:firstLineChars="200"/>
        <w:rPr>
          <w:rFonts w:hint="eastAsia" w:ascii="仿宋" w:hAnsi="仿宋" w:eastAsia="仿宋" w:cs="仿宋"/>
          <w:color w:val="auto"/>
          <w:sz w:val="21"/>
          <w:highlight w:val="none"/>
        </w:rPr>
      </w:pPr>
    </w:p>
    <w:p w14:paraId="499A931E">
      <w:pPr>
        <w:pStyle w:val="4"/>
        <w:keepNext w:val="0"/>
        <w:keepLines w:val="0"/>
        <w:jc w:val="center"/>
        <w:rPr>
          <w:rFonts w:hint="eastAsia" w:ascii="仿宋" w:hAnsi="仿宋" w:eastAsia="仿宋" w:cs="仿宋"/>
          <w:color w:val="auto"/>
          <w:highlight w:val="none"/>
        </w:rPr>
      </w:pPr>
      <w:bookmarkStart w:id="125" w:name="_八、其他事项"/>
      <w:bookmarkEnd w:id="125"/>
      <w:r>
        <w:rPr>
          <w:rFonts w:hint="eastAsia" w:ascii="仿宋" w:hAnsi="仿宋" w:eastAsia="仿宋" w:cs="仿宋"/>
          <w:color w:val="auto"/>
          <w:highlight w:val="none"/>
        </w:rPr>
        <w:t>八、其他事项</w:t>
      </w:r>
    </w:p>
    <w:p w14:paraId="4A0ACE20">
      <w:pPr>
        <w:pStyle w:val="6"/>
        <w:keepNext w:val="0"/>
        <w:keepLines w:val="0"/>
        <w:spacing w:before="0" w:after="0" w:line="360" w:lineRule="auto"/>
        <w:ind w:left="420" w:leftChars="200"/>
        <w:rPr>
          <w:rFonts w:hint="eastAsia" w:ascii="仿宋" w:hAnsi="仿宋" w:eastAsia="仿宋" w:cs="仿宋"/>
          <w:color w:val="auto"/>
          <w:sz w:val="24"/>
          <w:highlight w:val="none"/>
        </w:rPr>
      </w:pPr>
      <w:bookmarkStart w:id="126" w:name="_42.代理服务费"/>
      <w:bookmarkEnd w:id="126"/>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.代理服务费</w:t>
      </w:r>
    </w:p>
    <w:p w14:paraId="1B926E81">
      <w:pPr>
        <w:pStyle w:val="6"/>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3</w:t>
      </w:r>
      <w:r>
        <w:rPr>
          <w:rFonts w:hint="eastAsia" w:ascii="仿宋" w:hAnsi="仿宋" w:eastAsia="仿宋" w:cs="仿宋"/>
          <w:b w:val="0"/>
          <w:color w:val="auto"/>
          <w:sz w:val="24"/>
          <w:highlight w:val="none"/>
          <w:lang w:val="en-US" w:eastAsia="zh-CN"/>
        </w:rPr>
        <w:t>8</w:t>
      </w:r>
      <w:r>
        <w:rPr>
          <w:rFonts w:hint="eastAsia" w:ascii="仿宋" w:hAnsi="仿宋" w:eastAsia="仿宋" w:cs="仿宋"/>
          <w:b w:val="0"/>
          <w:color w:val="auto"/>
          <w:sz w:val="24"/>
          <w:highlight w:val="none"/>
        </w:rPr>
        <w:t>.1代理服务收费标准及缴费账户详见“投标人须知前附表”，投标人为联合体的，可以</w:t>
      </w:r>
    </w:p>
    <w:p w14:paraId="5BA60C46">
      <w:pPr>
        <w:pStyle w:val="6"/>
        <w:keepNext w:val="0"/>
        <w:keepLines w:val="0"/>
        <w:numPr>
          <w:ilvl w:val="4"/>
          <w:numId w:val="0"/>
        </w:numPr>
        <w:spacing w:before="0" w:after="0" w:line="360" w:lineRule="auto"/>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由联合体中的一方或者多方共同交纳代理服务费。</w:t>
      </w:r>
    </w:p>
    <w:p w14:paraId="0C31C93A">
      <w:pPr>
        <w:pStyle w:val="6"/>
        <w:keepNext w:val="0"/>
        <w:keepLines w:val="0"/>
        <w:spacing w:before="0" w:after="0" w:line="360" w:lineRule="auto"/>
        <w:ind w:left="420" w:leftChars="200"/>
        <w:rPr>
          <w:rFonts w:hint="eastAsia" w:ascii="仿宋" w:hAnsi="仿宋" w:eastAsia="仿宋" w:cs="仿宋"/>
          <w:color w:val="auto"/>
          <w:szCs w:val="21"/>
          <w:highlight w:val="none"/>
        </w:rPr>
      </w:pPr>
      <w:r>
        <w:rPr>
          <w:rFonts w:hint="eastAsia" w:ascii="仿宋" w:hAnsi="仿宋" w:eastAsia="仿宋" w:cs="仿宋"/>
          <w:b w:val="0"/>
          <w:color w:val="auto"/>
          <w:sz w:val="24"/>
          <w:highlight w:val="none"/>
        </w:rPr>
        <w:t>3</w:t>
      </w:r>
      <w:r>
        <w:rPr>
          <w:rFonts w:hint="eastAsia" w:ascii="仿宋" w:hAnsi="仿宋" w:eastAsia="仿宋" w:cs="仿宋"/>
          <w:b w:val="0"/>
          <w:color w:val="auto"/>
          <w:sz w:val="24"/>
          <w:highlight w:val="none"/>
          <w:lang w:val="en-US" w:eastAsia="zh-CN"/>
        </w:rPr>
        <w:t>8</w:t>
      </w:r>
      <w:r>
        <w:rPr>
          <w:rFonts w:hint="eastAsia" w:ascii="仿宋" w:hAnsi="仿宋" w:eastAsia="仿宋" w:cs="仿宋"/>
          <w:b w:val="0"/>
          <w:color w:val="auto"/>
          <w:sz w:val="24"/>
          <w:highlight w:val="none"/>
        </w:rPr>
        <w:t>.2代理服务收费标准：</w:t>
      </w:r>
    </w:p>
    <w:tbl>
      <w:tblPr>
        <w:tblStyle w:val="45"/>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4287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6D0169D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费率</w:t>
            </w:r>
          </w:p>
          <w:p w14:paraId="6A46710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中标金额</w:t>
            </w:r>
          </w:p>
        </w:tc>
        <w:tc>
          <w:tcPr>
            <w:tcW w:w="1659" w:type="dxa"/>
            <w:vAlign w:val="center"/>
          </w:tcPr>
          <w:p w14:paraId="2B6A6F83">
            <w:pPr>
              <w:spacing w:line="360" w:lineRule="auto"/>
              <w:ind w:firstLine="120" w:firstLineChars="5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货物招标</w:t>
            </w:r>
          </w:p>
        </w:tc>
        <w:tc>
          <w:tcPr>
            <w:tcW w:w="1687" w:type="dxa"/>
            <w:vAlign w:val="center"/>
          </w:tcPr>
          <w:p w14:paraId="2D44ABE3">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服务招标</w:t>
            </w:r>
          </w:p>
        </w:tc>
        <w:tc>
          <w:tcPr>
            <w:tcW w:w="1659" w:type="dxa"/>
            <w:vAlign w:val="center"/>
          </w:tcPr>
          <w:p w14:paraId="3E82FF41">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工程招标</w:t>
            </w:r>
          </w:p>
        </w:tc>
      </w:tr>
      <w:tr w14:paraId="760EA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608C64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100万元以下</w:t>
            </w:r>
          </w:p>
        </w:tc>
        <w:tc>
          <w:tcPr>
            <w:tcW w:w="1659" w:type="dxa"/>
          </w:tcPr>
          <w:p w14:paraId="29AB4366">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1.5%</w:t>
            </w:r>
          </w:p>
        </w:tc>
        <w:tc>
          <w:tcPr>
            <w:tcW w:w="1687" w:type="dxa"/>
          </w:tcPr>
          <w:p w14:paraId="2A455CF9">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1.5%</w:t>
            </w:r>
          </w:p>
        </w:tc>
        <w:tc>
          <w:tcPr>
            <w:tcW w:w="1659" w:type="dxa"/>
          </w:tcPr>
          <w:p w14:paraId="420C89C9">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1.0%</w:t>
            </w:r>
          </w:p>
        </w:tc>
      </w:tr>
      <w:tr w14:paraId="3AB6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B7196C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100～500万元</w:t>
            </w:r>
          </w:p>
        </w:tc>
        <w:tc>
          <w:tcPr>
            <w:tcW w:w="1659" w:type="dxa"/>
          </w:tcPr>
          <w:p w14:paraId="3FB3395F">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1.1%</w:t>
            </w:r>
          </w:p>
        </w:tc>
        <w:tc>
          <w:tcPr>
            <w:tcW w:w="1687" w:type="dxa"/>
          </w:tcPr>
          <w:p w14:paraId="59ACD7DD">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0.8%</w:t>
            </w:r>
          </w:p>
        </w:tc>
        <w:tc>
          <w:tcPr>
            <w:tcW w:w="1659" w:type="dxa"/>
          </w:tcPr>
          <w:p w14:paraId="56E217C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0.7%</w:t>
            </w:r>
          </w:p>
        </w:tc>
      </w:tr>
      <w:tr w14:paraId="1617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F61D63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500～1000万元</w:t>
            </w:r>
          </w:p>
        </w:tc>
        <w:tc>
          <w:tcPr>
            <w:tcW w:w="1659" w:type="dxa"/>
          </w:tcPr>
          <w:p w14:paraId="376407CC">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0.8%</w:t>
            </w:r>
          </w:p>
        </w:tc>
        <w:tc>
          <w:tcPr>
            <w:tcW w:w="1687" w:type="dxa"/>
          </w:tcPr>
          <w:p w14:paraId="138BF4B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0.45%</w:t>
            </w:r>
          </w:p>
        </w:tc>
        <w:tc>
          <w:tcPr>
            <w:tcW w:w="1659" w:type="dxa"/>
          </w:tcPr>
          <w:p w14:paraId="7B375DD3">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0.55%</w:t>
            </w:r>
          </w:p>
        </w:tc>
      </w:tr>
      <w:tr w14:paraId="44EB0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C2E805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1000～5000万元</w:t>
            </w:r>
          </w:p>
        </w:tc>
        <w:tc>
          <w:tcPr>
            <w:tcW w:w="1659" w:type="dxa"/>
          </w:tcPr>
          <w:p w14:paraId="3EFE52E3">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0.5%</w:t>
            </w:r>
          </w:p>
        </w:tc>
        <w:tc>
          <w:tcPr>
            <w:tcW w:w="1687" w:type="dxa"/>
          </w:tcPr>
          <w:p w14:paraId="3DBE9AAB">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0.25%</w:t>
            </w:r>
          </w:p>
        </w:tc>
        <w:tc>
          <w:tcPr>
            <w:tcW w:w="1659" w:type="dxa"/>
          </w:tcPr>
          <w:p w14:paraId="5440618B">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0.35%</w:t>
            </w:r>
          </w:p>
        </w:tc>
      </w:tr>
      <w:tr w14:paraId="085F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66C703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5000万元～1亿元</w:t>
            </w:r>
          </w:p>
        </w:tc>
        <w:tc>
          <w:tcPr>
            <w:tcW w:w="1659" w:type="dxa"/>
          </w:tcPr>
          <w:p w14:paraId="0919FB39">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0.25%</w:t>
            </w:r>
          </w:p>
        </w:tc>
        <w:tc>
          <w:tcPr>
            <w:tcW w:w="1687" w:type="dxa"/>
          </w:tcPr>
          <w:p w14:paraId="44C77C3E">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0.1%</w:t>
            </w:r>
          </w:p>
        </w:tc>
        <w:tc>
          <w:tcPr>
            <w:tcW w:w="1659" w:type="dxa"/>
          </w:tcPr>
          <w:p w14:paraId="33F63BC1">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0.2%</w:t>
            </w:r>
          </w:p>
        </w:tc>
      </w:tr>
      <w:tr w14:paraId="16CC6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4070E4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1～5亿元</w:t>
            </w:r>
          </w:p>
        </w:tc>
        <w:tc>
          <w:tcPr>
            <w:tcW w:w="1659" w:type="dxa"/>
          </w:tcPr>
          <w:p w14:paraId="5DBB743C">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0.05%</w:t>
            </w:r>
          </w:p>
        </w:tc>
        <w:tc>
          <w:tcPr>
            <w:tcW w:w="1687" w:type="dxa"/>
          </w:tcPr>
          <w:p w14:paraId="7B6715B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0.05%</w:t>
            </w:r>
          </w:p>
        </w:tc>
        <w:tc>
          <w:tcPr>
            <w:tcW w:w="1659" w:type="dxa"/>
          </w:tcPr>
          <w:p w14:paraId="3CB8C0E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0.05%</w:t>
            </w:r>
          </w:p>
        </w:tc>
      </w:tr>
      <w:tr w14:paraId="47A5B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AE3441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5～10亿元</w:t>
            </w:r>
          </w:p>
        </w:tc>
        <w:tc>
          <w:tcPr>
            <w:tcW w:w="1659" w:type="dxa"/>
          </w:tcPr>
          <w:p w14:paraId="3BB7EBF7">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0.035%</w:t>
            </w:r>
          </w:p>
        </w:tc>
        <w:tc>
          <w:tcPr>
            <w:tcW w:w="1687" w:type="dxa"/>
          </w:tcPr>
          <w:p w14:paraId="19E432C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0.035%</w:t>
            </w:r>
          </w:p>
        </w:tc>
        <w:tc>
          <w:tcPr>
            <w:tcW w:w="1659" w:type="dxa"/>
          </w:tcPr>
          <w:p w14:paraId="627BEFA7">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0.035%</w:t>
            </w:r>
          </w:p>
        </w:tc>
      </w:tr>
      <w:tr w14:paraId="2A54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B3D6FE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10～50亿元</w:t>
            </w:r>
          </w:p>
        </w:tc>
        <w:tc>
          <w:tcPr>
            <w:tcW w:w="1659" w:type="dxa"/>
          </w:tcPr>
          <w:p w14:paraId="3EFA4A8E">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0.008%</w:t>
            </w:r>
          </w:p>
        </w:tc>
        <w:tc>
          <w:tcPr>
            <w:tcW w:w="1687" w:type="dxa"/>
          </w:tcPr>
          <w:p w14:paraId="230B036D">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0.008%</w:t>
            </w:r>
          </w:p>
        </w:tc>
        <w:tc>
          <w:tcPr>
            <w:tcW w:w="1659" w:type="dxa"/>
          </w:tcPr>
          <w:p w14:paraId="788F3E4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0.008%</w:t>
            </w:r>
          </w:p>
        </w:tc>
      </w:tr>
      <w:tr w14:paraId="5206E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EE874C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50～100亿元</w:t>
            </w:r>
          </w:p>
        </w:tc>
        <w:tc>
          <w:tcPr>
            <w:tcW w:w="1659" w:type="dxa"/>
          </w:tcPr>
          <w:p w14:paraId="06D5D590">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0.006%</w:t>
            </w:r>
          </w:p>
        </w:tc>
        <w:tc>
          <w:tcPr>
            <w:tcW w:w="1687" w:type="dxa"/>
          </w:tcPr>
          <w:p w14:paraId="546E96CE">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0.006%</w:t>
            </w:r>
          </w:p>
        </w:tc>
        <w:tc>
          <w:tcPr>
            <w:tcW w:w="1659" w:type="dxa"/>
          </w:tcPr>
          <w:p w14:paraId="319C3E18">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0.006%</w:t>
            </w:r>
          </w:p>
        </w:tc>
      </w:tr>
      <w:tr w14:paraId="3BAEA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F2726E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100亿以上</w:t>
            </w:r>
          </w:p>
        </w:tc>
        <w:tc>
          <w:tcPr>
            <w:tcW w:w="1659" w:type="dxa"/>
          </w:tcPr>
          <w:p w14:paraId="4C0B790D">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0.004%</w:t>
            </w:r>
          </w:p>
        </w:tc>
        <w:tc>
          <w:tcPr>
            <w:tcW w:w="1687" w:type="dxa"/>
          </w:tcPr>
          <w:p w14:paraId="6F2FD68A">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0.004%</w:t>
            </w:r>
          </w:p>
        </w:tc>
        <w:tc>
          <w:tcPr>
            <w:tcW w:w="1659" w:type="dxa"/>
          </w:tcPr>
          <w:p w14:paraId="19465EC7">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0.004%</w:t>
            </w:r>
          </w:p>
        </w:tc>
      </w:tr>
    </w:tbl>
    <w:p w14:paraId="3681FBE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注: </w:t>
      </w:r>
    </w:p>
    <w:p w14:paraId="33AAA85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（1）按本表费率计算的收费为采购代理的收费基准价格；</w:t>
      </w:r>
    </w:p>
    <w:p w14:paraId="3509B58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（2）采购代理收费按差额定率累进法计算。</w:t>
      </w:r>
    </w:p>
    <w:p w14:paraId="5085C94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例如：某货物采购代理业务中标金额或者暂定价为200万元，计算采购代理收费额如下：</w:t>
      </w:r>
    </w:p>
    <w:p w14:paraId="3788268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100万元×l.5％＝ 1.5万元</w:t>
      </w:r>
    </w:p>
    <w:p w14:paraId="7D39D7A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（200－100）万元 ×1.1％＝1.1万元</w:t>
      </w:r>
    </w:p>
    <w:p w14:paraId="2F1456F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合计收费＝1.5+1.1＝2.6（万元）</w:t>
      </w:r>
    </w:p>
    <w:p w14:paraId="3A588437">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39</w:t>
      </w:r>
      <w:r>
        <w:rPr>
          <w:rFonts w:hint="eastAsia" w:ascii="仿宋" w:hAnsi="仿宋" w:eastAsia="仿宋" w:cs="仿宋"/>
          <w:b/>
          <w:bCs/>
          <w:color w:val="auto"/>
          <w:sz w:val="24"/>
          <w:highlight w:val="none"/>
        </w:rPr>
        <w:t>.需要补充的其他内容</w:t>
      </w:r>
    </w:p>
    <w:p w14:paraId="70D506F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39</w:t>
      </w:r>
      <w:r>
        <w:rPr>
          <w:rFonts w:hint="eastAsia" w:ascii="仿宋" w:hAnsi="仿宋" w:eastAsia="仿宋" w:cs="仿宋"/>
          <w:color w:val="auto"/>
          <w:sz w:val="24"/>
          <w:highlight w:val="none"/>
        </w:rPr>
        <w:t>.1本招标文件解释规则详见“投标人须知前附表”。</w:t>
      </w:r>
    </w:p>
    <w:p w14:paraId="3778715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39</w:t>
      </w:r>
      <w:r>
        <w:rPr>
          <w:rFonts w:hint="eastAsia" w:ascii="仿宋" w:hAnsi="仿宋" w:eastAsia="仿宋" w:cs="仿宋"/>
          <w:color w:val="auto"/>
          <w:sz w:val="24"/>
          <w:highlight w:val="none"/>
        </w:rPr>
        <w:t>.2 其他事项详见“投标人须知前附表”。</w:t>
      </w:r>
    </w:p>
    <w:p w14:paraId="22A1FBF1">
      <w:pPr>
        <w:pStyle w:val="23"/>
        <w:snapToGrid w:val="0"/>
        <w:spacing w:before="120" w:after="120"/>
        <w:ind w:firstLine="400" w:firstLineChars="200"/>
        <w:rPr>
          <w:rFonts w:hint="eastAsia" w:ascii="仿宋" w:hAnsi="仿宋" w:eastAsia="仿宋" w:cs="仿宋"/>
          <w:color w:val="auto"/>
          <w:highlight w:val="none"/>
        </w:rPr>
      </w:pPr>
      <w:r>
        <w:rPr>
          <w:rFonts w:hint="eastAsia" w:ascii="仿宋" w:hAnsi="仿宋" w:eastAsia="仿宋" w:cs="仿宋"/>
          <w:color w:val="auto"/>
          <w:highlight w:val="none"/>
        </w:rPr>
        <w:br w:type="page"/>
      </w:r>
      <w:r>
        <w:rPr>
          <w:rFonts w:hint="eastAsia" w:ascii="仿宋" w:hAnsi="仿宋" w:eastAsia="仿宋" w:cs="仿宋"/>
          <w:color w:val="auto"/>
          <w:sz w:val="24"/>
          <w:szCs w:val="28"/>
          <w:highlight w:val="none"/>
        </w:rPr>
        <w:t>附件1：</w:t>
      </w:r>
    </w:p>
    <w:p w14:paraId="3B4B0965">
      <w:pPr>
        <w:shd w:val="clear" w:color="auto" w:fill="FFFFFF"/>
        <w:spacing w:line="480" w:lineRule="atLeast"/>
        <w:jc w:val="center"/>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广西壮族自治区政府采购项目合同验收书（格式）</w:t>
      </w:r>
    </w:p>
    <w:p w14:paraId="48B42E0D">
      <w:pPr>
        <w:shd w:val="clear" w:color="auto" w:fill="FFFFFF"/>
        <w:spacing w:line="480" w:lineRule="atLeast"/>
        <w:jc w:val="center"/>
        <w:rPr>
          <w:rFonts w:hint="eastAsia" w:ascii="仿宋" w:hAnsi="仿宋" w:eastAsia="仿宋" w:cs="仿宋"/>
          <w:color w:val="auto"/>
          <w:kern w:val="0"/>
          <w:sz w:val="32"/>
          <w:szCs w:val="32"/>
          <w:highlight w:val="none"/>
        </w:rPr>
      </w:pPr>
    </w:p>
    <w:p w14:paraId="435771B4">
      <w:pPr>
        <w:shd w:val="clear" w:color="auto" w:fill="FFFFFF"/>
        <w:snapToGrid w:val="0"/>
        <w:spacing w:line="320" w:lineRule="atLeast"/>
        <w:ind w:firstLine="48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根据政府采购项目（</w:t>
      </w:r>
      <w:r>
        <w:rPr>
          <w:rFonts w:hint="eastAsia" w:ascii="仿宋" w:hAnsi="仿宋" w:eastAsia="仿宋" w:cs="仿宋"/>
          <w:color w:val="auto"/>
          <w:kern w:val="0"/>
          <w:sz w:val="24"/>
          <w:highlight w:val="none"/>
          <w:u w:val="single"/>
        </w:rPr>
        <w:t>采购合同编号：</w:t>
      </w:r>
      <w:r>
        <w:rPr>
          <w:rFonts w:hint="eastAsia" w:ascii="仿宋" w:hAnsi="仿宋" w:eastAsia="仿宋" w:cs="仿宋"/>
          <w:color w:val="auto"/>
          <w:kern w:val="0"/>
          <w:sz w:val="24"/>
          <w:highlight w:val="none"/>
          <w:u w:val="single"/>
        </w:rPr>
        <w:softHyphen/>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）的约定，我单位对（</w:t>
      </w:r>
      <w:r>
        <w:rPr>
          <w:rFonts w:hint="eastAsia" w:ascii="仿宋" w:hAnsi="仿宋" w:eastAsia="仿宋" w:cs="仿宋"/>
          <w:color w:val="auto"/>
          <w:kern w:val="0"/>
          <w:sz w:val="24"/>
          <w:highlight w:val="none"/>
          <w:u w:val="single"/>
        </w:rPr>
        <w:t xml:space="preserve"> 项目名称 </w:t>
      </w:r>
      <w:r>
        <w:rPr>
          <w:rFonts w:hint="eastAsia" w:ascii="仿宋" w:hAnsi="仿宋" w:eastAsia="仿宋" w:cs="仿宋"/>
          <w:color w:val="auto"/>
          <w:kern w:val="0"/>
          <w:sz w:val="24"/>
          <w:highlight w:val="none"/>
        </w:rPr>
        <w:t>） 政府采购项目中标（或者成交）投标人（</w:t>
      </w:r>
      <w:r>
        <w:rPr>
          <w:rFonts w:hint="eastAsia" w:ascii="仿宋" w:hAnsi="仿宋" w:eastAsia="仿宋" w:cs="仿宋"/>
          <w:color w:val="auto"/>
          <w:kern w:val="0"/>
          <w:sz w:val="24"/>
          <w:highlight w:val="none"/>
          <w:u w:val="single"/>
        </w:rPr>
        <w:t xml:space="preserve"> 公司名称 </w:t>
      </w:r>
      <w:r>
        <w:rPr>
          <w:rFonts w:hint="eastAsia" w:ascii="仿宋" w:hAnsi="仿宋" w:eastAsia="仿宋" w:cs="仿宋"/>
          <w:color w:val="auto"/>
          <w:kern w:val="0"/>
          <w:sz w:val="24"/>
          <w:highlight w:val="none"/>
        </w:rPr>
        <w:t>） 提供的货物（或者工程、服务）进行了验收，验收情况如下：</w:t>
      </w:r>
    </w:p>
    <w:tbl>
      <w:tblPr>
        <w:tblStyle w:val="45"/>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7B80CAC9">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0CB1DD16">
            <w:pPr>
              <w:snapToGrid w:val="0"/>
              <w:spacing w:before="100" w:beforeAutospacing="1" w:after="100" w:afterAutospacing="1" w:line="320" w:lineRule="atLeast"/>
              <w:ind w:firstLine="5"/>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验收方式：</w:t>
            </w:r>
          </w:p>
        </w:tc>
        <w:tc>
          <w:tcPr>
            <w:tcW w:w="6119" w:type="dxa"/>
            <w:gridSpan w:val="6"/>
            <w:tcBorders>
              <w:top w:val="single" w:color="auto" w:sz="8" w:space="0"/>
              <w:left w:val="nil"/>
              <w:bottom w:val="single" w:color="auto" w:sz="8" w:space="0"/>
              <w:right w:val="single" w:color="auto" w:sz="8" w:space="0"/>
            </w:tcBorders>
            <w:vAlign w:val="center"/>
          </w:tcPr>
          <w:p w14:paraId="1E7B4E8A">
            <w:pPr>
              <w:snapToGrid w:val="0"/>
              <w:spacing w:before="100" w:beforeAutospacing="1" w:after="100" w:afterAutospacing="1" w:line="320" w:lineRule="atLeast"/>
              <w:ind w:firstLine="48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□自行验收 □委托验收</w:t>
            </w:r>
          </w:p>
        </w:tc>
      </w:tr>
      <w:tr w14:paraId="26A18CC3">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16F08C3D">
            <w:pPr>
              <w:snapToGrid w:val="0"/>
              <w:spacing w:before="100" w:beforeAutospacing="1" w:after="100" w:afterAutospacing="1" w:line="320" w:lineRule="atLeast"/>
              <w:ind w:firstLine="2"/>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序号</w:t>
            </w:r>
          </w:p>
        </w:tc>
        <w:tc>
          <w:tcPr>
            <w:tcW w:w="1921" w:type="dxa"/>
            <w:tcBorders>
              <w:top w:val="nil"/>
              <w:left w:val="nil"/>
              <w:bottom w:val="single" w:color="auto" w:sz="8" w:space="0"/>
              <w:right w:val="single" w:color="auto" w:sz="8" w:space="0"/>
            </w:tcBorders>
            <w:vAlign w:val="center"/>
          </w:tcPr>
          <w:p w14:paraId="2540C685">
            <w:pPr>
              <w:snapToGrid w:val="0"/>
              <w:spacing w:before="100" w:beforeAutospacing="1" w:after="100" w:afterAutospacing="1" w:line="320" w:lineRule="atLeast"/>
              <w:ind w:firstLine="2"/>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名 称</w:t>
            </w:r>
          </w:p>
        </w:tc>
        <w:tc>
          <w:tcPr>
            <w:tcW w:w="2902" w:type="dxa"/>
            <w:gridSpan w:val="3"/>
            <w:tcBorders>
              <w:top w:val="nil"/>
              <w:left w:val="nil"/>
              <w:bottom w:val="single" w:color="auto" w:sz="8" w:space="0"/>
              <w:right w:val="single" w:color="auto" w:sz="8" w:space="0"/>
            </w:tcBorders>
            <w:vAlign w:val="center"/>
          </w:tcPr>
          <w:p w14:paraId="410CA54C">
            <w:pPr>
              <w:snapToGrid w:val="0"/>
              <w:spacing w:before="100" w:beforeAutospacing="1" w:after="100" w:afterAutospacing="1" w:line="320" w:lineRule="atLeast"/>
              <w:ind w:firstLine="2"/>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1D2E2B4E">
            <w:pPr>
              <w:snapToGrid w:val="0"/>
              <w:spacing w:before="100" w:beforeAutospacing="1" w:after="100" w:afterAutospacing="1" w:line="320" w:lineRule="atLeas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数量</w:t>
            </w:r>
          </w:p>
        </w:tc>
        <w:tc>
          <w:tcPr>
            <w:tcW w:w="2354" w:type="dxa"/>
            <w:tcBorders>
              <w:top w:val="nil"/>
              <w:left w:val="nil"/>
              <w:bottom w:val="single" w:color="auto" w:sz="8" w:space="0"/>
              <w:right w:val="single" w:color="auto" w:sz="8" w:space="0"/>
            </w:tcBorders>
            <w:vAlign w:val="center"/>
          </w:tcPr>
          <w:p w14:paraId="0F4008E2">
            <w:pPr>
              <w:snapToGrid w:val="0"/>
              <w:spacing w:before="100" w:beforeAutospacing="1" w:after="100" w:afterAutospacing="1" w:line="320" w:lineRule="atLeast"/>
              <w:ind w:firstLine="2"/>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 额</w:t>
            </w:r>
          </w:p>
        </w:tc>
      </w:tr>
      <w:tr w14:paraId="53044F3D">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1EA1D355">
            <w:pPr>
              <w:spacing w:before="100" w:beforeAutospacing="1" w:after="100" w:afterAutospacing="1" w:line="240" w:lineRule="atLeast"/>
              <w:jc w:val="center"/>
              <w:rPr>
                <w:rFonts w:hint="eastAsia" w:ascii="仿宋" w:hAnsi="仿宋" w:eastAsia="仿宋" w:cs="仿宋"/>
                <w:color w:val="auto"/>
                <w:kern w:val="0"/>
                <w:sz w:val="24"/>
                <w:highlight w:val="none"/>
              </w:rPr>
            </w:pPr>
          </w:p>
        </w:tc>
        <w:tc>
          <w:tcPr>
            <w:tcW w:w="1921" w:type="dxa"/>
            <w:tcBorders>
              <w:top w:val="nil"/>
              <w:left w:val="nil"/>
              <w:bottom w:val="single" w:color="auto" w:sz="8" w:space="0"/>
              <w:right w:val="single" w:color="auto" w:sz="8" w:space="0"/>
            </w:tcBorders>
            <w:vAlign w:val="center"/>
          </w:tcPr>
          <w:p w14:paraId="41352A16">
            <w:pPr>
              <w:spacing w:before="100" w:beforeAutospacing="1" w:after="100" w:afterAutospacing="1" w:line="240" w:lineRule="atLeast"/>
              <w:jc w:val="center"/>
              <w:rPr>
                <w:rFonts w:hint="eastAsia" w:ascii="仿宋" w:hAnsi="仿宋" w:eastAsia="仿宋" w:cs="仿宋"/>
                <w:color w:val="auto"/>
                <w:kern w:val="0"/>
                <w:sz w:val="24"/>
                <w:highlight w:val="none"/>
              </w:rPr>
            </w:pPr>
          </w:p>
        </w:tc>
        <w:tc>
          <w:tcPr>
            <w:tcW w:w="2902" w:type="dxa"/>
            <w:gridSpan w:val="3"/>
            <w:tcBorders>
              <w:top w:val="nil"/>
              <w:left w:val="nil"/>
              <w:bottom w:val="single" w:color="auto" w:sz="8" w:space="0"/>
              <w:right w:val="single" w:color="auto" w:sz="8" w:space="0"/>
            </w:tcBorders>
            <w:vAlign w:val="center"/>
          </w:tcPr>
          <w:p w14:paraId="2F9C6F66">
            <w:pPr>
              <w:spacing w:before="100" w:beforeAutospacing="1" w:after="100" w:afterAutospacing="1" w:line="240" w:lineRule="atLeast"/>
              <w:jc w:val="center"/>
              <w:rPr>
                <w:rFonts w:hint="eastAsia" w:ascii="仿宋" w:hAnsi="仿宋" w:eastAsia="仿宋" w:cs="仿宋"/>
                <w:color w:val="auto"/>
                <w:kern w:val="0"/>
                <w:sz w:val="24"/>
                <w:highlight w:val="none"/>
              </w:rPr>
            </w:pPr>
          </w:p>
        </w:tc>
        <w:tc>
          <w:tcPr>
            <w:tcW w:w="863" w:type="dxa"/>
            <w:gridSpan w:val="2"/>
            <w:tcBorders>
              <w:top w:val="nil"/>
              <w:left w:val="nil"/>
              <w:bottom w:val="single" w:color="auto" w:sz="8" w:space="0"/>
              <w:right w:val="single" w:color="auto" w:sz="8" w:space="0"/>
            </w:tcBorders>
            <w:vAlign w:val="center"/>
          </w:tcPr>
          <w:p w14:paraId="1F6A7AFE">
            <w:pPr>
              <w:spacing w:before="100" w:beforeAutospacing="1" w:after="100" w:afterAutospacing="1" w:line="240" w:lineRule="atLeast"/>
              <w:jc w:val="center"/>
              <w:rPr>
                <w:rFonts w:hint="eastAsia" w:ascii="仿宋" w:hAnsi="仿宋" w:eastAsia="仿宋" w:cs="仿宋"/>
                <w:color w:val="auto"/>
                <w:kern w:val="0"/>
                <w:sz w:val="24"/>
                <w:highlight w:val="none"/>
              </w:rPr>
            </w:pPr>
          </w:p>
        </w:tc>
        <w:tc>
          <w:tcPr>
            <w:tcW w:w="2354" w:type="dxa"/>
            <w:tcBorders>
              <w:top w:val="nil"/>
              <w:left w:val="nil"/>
              <w:bottom w:val="single" w:color="auto" w:sz="8" w:space="0"/>
              <w:right w:val="single" w:color="auto" w:sz="8" w:space="0"/>
            </w:tcBorders>
            <w:vAlign w:val="center"/>
          </w:tcPr>
          <w:p w14:paraId="52FD1B11">
            <w:pPr>
              <w:spacing w:before="100" w:beforeAutospacing="1" w:after="100" w:afterAutospacing="1" w:line="240" w:lineRule="atLeast"/>
              <w:jc w:val="center"/>
              <w:rPr>
                <w:rFonts w:hint="eastAsia" w:ascii="仿宋" w:hAnsi="仿宋" w:eastAsia="仿宋" w:cs="仿宋"/>
                <w:color w:val="auto"/>
                <w:kern w:val="0"/>
                <w:sz w:val="24"/>
                <w:highlight w:val="none"/>
              </w:rPr>
            </w:pPr>
          </w:p>
        </w:tc>
      </w:tr>
      <w:tr w14:paraId="33C22BB2">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6760BEDC">
            <w:pPr>
              <w:spacing w:before="100" w:beforeAutospacing="1" w:after="100" w:afterAutospacing="1" w:line="240" w:lineRule="atLeast"/>
              <w:jc w:val="center"/>
              <w:rPr>
                <w:rFonts w:hint="eastAsia" w:ascii="仿宋" w:hAnsi="仿宋" w:eastAsia="仿宋" w:cs="仿宋"/>
                <w:color w:val="auto"/>
                <w:kern w:val="0"/>
                <w:sz w:val="24"/>
                <w:highlight w:val="none"/>
              </w:rPr>
            </w:pPr>
          </w:p>
        </w:tc>
        <w:tc>
          <w:tcPr>
            <w:tcW w:w="1921" w:type="dxa"/>
            <w:tcBorders>
              <w:top w:val="nil"/>
              <w:left w:val="nil"/>
              <w:bottom w:val="single" w:color="auto" w:sz="8" w:space="0"/>
              <w:right w:val="single" w:color="auto" w:sz="8" w:space="0"/>
            </w:tcBorders>
            <w:vAlign w:val="center"/>
          </w:tcPr>
          <w:p w14:paraId="0586E6C0">
            <w:pPr>
              <w:spacing w:before="100" w:beforeAutospacing="1" w:after="100" w:afterAutospacing="1" w:line="240" w:lineRule="atLeast"/>
              <w:jc w:val="center"/>
              <w:rPr>
                <w:rFonts w:hint="eastAsia" w:ascii="仿宋" w:hAnsi="仿宋" w:eastAsia="仿宋" w:cs="仿宋"/>
                <w:color w:val="auto"/>
                <w:kern w:val="0"/>
                <w:sz w:val="24"/>
                <w:highlight w:val="none"/>
              </w:rPr>
            </w:pPr>
          </w:p>
        </w:tc>
        <w:tc>
          <w:tcPr>
            <w:tcW w:w="2902" w:type="dxa"/>
            <w:gridSpan w:val="3"/>
            <w:tcBorders>
              <w:top w:val="nil"/>
              <w:left w:val="nil"/>
              <w:bottom w:val="single" w:color="auto" w:sz="8" w:space="0"/>
              <w:right w:val="single" w:color="auto" w:sz="8" w:space="0"/>
            </w:tcBorders>
            <w:vAlign w:val="center"/>
          </w:tcPr>
          <w:p w14:paraId="234F0BA6">
            <w:pPr>
              <w:spacing w:before="100" w:beforeAutospacing="1" w:after="100" w:afterAutospacing="1" w:line="240" w:lineRule="atLeast"/>
              <w:jc w:val="center"/>
              <w:rPr>
                <w:rFonts w:hint="eastAsia" w:ascii="仿宋" w:hAnsi="仿宋" w:eastAsia="仿宋" w:cs="仿宋"/>
                <w:color w:val="auto"/>
                <w:kern w:val="0"/>
                <w:sz w:val="24"/>
                <w:highlight w:val="none"/>
              </w:rPr>
            </w:pPr>
          </w:p>
        </w:tc>
        <w:tc>
          <w:tcPr>
            <w:tcW w:w="863" w:type="dxa"/>
            <w:gridSpan w:val="2"/>
            <w:tcBorders>
              <w:top w:val="nil"/>
              <w:left w:val="nil"/>
              <w:bottom w:val="single" w:color="auto" w:sz="8" w:space="0"/>
              <w:right w:val="single" w:color="auto" w:sz="8" w:space="0"/>
            </w:tcBorders>
            <w:vAlign w:val="center"/>
          </w:tcPr>
          <w:p w14:paraId="2A7EA61D">
            <w:pPr>
              <w:spacing w:before="100" w:beforeAutospacing="1" w:after="100" w:afterAutospacing="1" w:line="240" w:lineRule="atLeast"/>
              <w:jc w:val="center"/>
              <w:rPr>
                <w:rFonts w:hint="eastAsia" w:ascii="仿宋" w:hAnsi="仿宋" w:eastAsia="仿宋" w:cs="仿宋"/>
                <w:color w:val="auto"/>
                <w:kern w:val="0"/>
                <w:sz w:val="24"/>
                <w:highlight w:val="none"/>
              </w:rPr>
            </w:pPr>
          </w:p>
        </w:tc>
        <w:tc>
          <w:tcPr>
            <w:tcW w:w="2354" w:type="dxa"/>
            <w:tcBorders>
              <w:top w:val="nil"/>
              <w:left w:val="nil"/>
              <w:bottom w:val="single" w:color="auto" w:sz="8" w:space="0"/>
              <w:right w:val="single" w:color="auto" w:sz="8" w:space="0"/>
            </w:tcBorders>
            <w:vAlign w:val="center"/>
          </w:tcPr>
          <w:p w14:paraId="57B772F6">
            <w:pPr>
              <w:spacing w:before="100" w:beforeAutospacing="1" w:after="100" w:afterAutospacing="1" w:line="240" w:lineRule="atLeast"/>
              <w:jc w:val="center"/>
              <w:rPr>
                <w:rFonts w:hint="eastAsia" w:ascii="仿宋" w:hAnsi="仿宋" w:eastAsia="仿宋" w:cs="仿宋"/>
                <w:color w:val="auto"/>
                <w:kern w:val="0"/>
                <w:sz w:val="24"/>
                <w:highlight w:val="none"/>
              </w:rPr>
            </w:pPr>
          </w:p>
        </w:tc>
      </w:tr>
      <w:tr w14:paraId="40A56C0C">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3B132DD2">
            <w:pPr>
              <w:spacing w:before="100" w:beforeAutospacing="1" w:after="100" w:afterAutospacing="1" w:line="240" w:lineRule="atLeast"/>
              <w:jc w:val="center"/>
              <w:rPr>
                <w:rFonts w:hint="eastAsia" w:ascii="仿宋" w:hAnsi="仿宋" w:eastAsia="仿宋" w:cs="仿宋"/>
                <w:color w:val="auto"/>
                <w:kern w:val="0"/>
                <w:sz w:val="24"/>
                <w:highlight w:val="none"/>
              </w:rPr>
            </w:pPr>
          </w:p>
        </w:tc>
        <w:tc>
          <w:tcPr>
            <w:tcW w:w="1921" w:type="dxa"/>
            <w:tcBorders>
              <w:top w:val="nil"/>
              <w:left w:val="nil"/>
              <w:bottom w:val="single" w:color="auto" w:sz="8" w:space="0"/>
              <w:right w:val="single" w:color="auto" w:sz="8" w:space="0"/>
            </w:tcBorders>
            <w:vAlign w:val="center"/>
          </w:tcPr>
          <w:p w14:paraId="69D1A92D">
            <w:pPr>
              <w:spacing w:before="100" w:beforeAutospacing="1" w:after="100" w:afterAutospacing="1" w:line="240" w:lineRule="atLeast"/>
              <w:jc w:val="center"/>
              <w:rPr>
                <w:rFonts w:hint="eastAsia" w:ascii="仿宋" w:hAnsi="仿宋" w:eastAsia="仿宋" w:cs="仿宋"/>
                <w:color w:val="auto"/>
                <w:kern w:val="0"/>
                <w:sz w:val="24"/>
                <w:highlight w:val="none"/>
              </w:rPr>
            </w:pPr>
          </w:p>
        </w:tc>
        <w:tc>
          <w:tcPr>
            <w:tcW w:w="2902" w:type="dxa"/>
            <w:gridSpan w:val="3"/>
            <w:tcBorders>
              <w:top w:val="nil"/>
              <w:left w:val="nil"/>
              <w:bottom w:val="single" w:color="auto" w:sz="8" w:space="0"/>
              <w:right w:val="single" w:color="auto" w:sz="8" w:space="0"/>
            </w:tcBorders>
            <w:vAlign w:val="center"/>
          </w:tcPr>
          <w:p w14:paraId="2B542606">
            <w:pPr>
              <w:spacing w:before="100" w:beforeAutospacing="1" w:after="100" w:afterAutospacing="1" w:line="240" w:lineRule="atLeast"/>
              <w:jc w:val="center"/>
              <w:rPr>
                <w:rFonts w:hint="eastAsia" w:ascii="仿宋" w:hAnsi="仿宋" w:eastAsia="仿宋" w:cs="仿宋"/>
                <w:color w:val="auto"/>
                <w:kern w:val="0"/>
                <w:sz w:val="24"/>
                <w:highlight w:val="none"/>
              </w:rPr>
            </w:pPr>
          </w:p>
        </w:tc>
        <w:tc>
          <w:tcPr>
            <w:tcW w:w="863" w:type="dxa"/>
            <w:gridSpan w:val="2"/>
            <w:tcBorders>
              <w:top w:val="nil"/>
              <w:left w:val="nil"/>
              <w:bottom w:val="single" w:color="auto" w:sz="8" w:space="0"/>
              <w:right w:val="single" w:color="auto" w:sz="8" w:space="0"/>
            </w:tcBorders>
            <w:vAlign w:val="center"/>
          </w:tcPr>
          <w:p w14:paraId="564385A0">
            <w:pPr>
              <w:spacing w:before="100" w:beforeAutospacing="1" w:after="100" w:afterAutospacing="1" w:line="240" w:lineRule="atLeast"/>
              <w:jc w:val="center"/>
              <w:rPr>
                <w:rFonts w:hint="eastAsia" w:ascii="仿宋" w:hAnsi="仿宋" w:eastAsia="仿宋" w:cs="仿宋"/>
                <w:color w:val="auto"/>
                <w:kern w:val="0"/>
                <w:sz w:val="24"/>
                <w:highlight w:val="none"/>
              </w:rPr>
            </w:pPr>
          </w:p>
        </w:tc>
        <w:tc>
          <w:tcPr>
            <w:tcW w:w="2354" w:type="dxa"/>
            <w:tcBorders>
              <w:top w:val="nil"/>
              <w:left w:val="nil"/>
              <w:bottom w:val="single" w:color="auto" w:sz="8" w:space="0"/>
              <w:right w:val="single" w:color="auto" w:sz="8" w:space="0"/>
            </w:tcBorders>
            <w:vAlign w:val="center"/>
          </w:tcPr>
          <w:p w14:paraId="776A35F8">
            <w:pPr>
              <w:spacing w:before="100" w:beforeAutospacing="1" w:after="100" w:afterAutospacing="1" w:line="240" w:lineRule="atLeast"/>
              <w:jc w:val="center"/>
              <w:rPr>
                <w:rFonts w:hint="eastAsia" w:ascii="仿宋" w:hAnsi="仿宋" w:eastAsia="仿宋" w:cs="仿宋"/>
                <w:color w:val="auto"/>
                <w:kern w:val="0"/>
                <w:sz w:val="24"/>
                <w:highlight w:val="none"/>
              </w:rPr>
            </w:pPr>
          </w:p>
        </w:tc>
      </w:tr>
      <w:tr w14:paraId="6AA135A3">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252ED311">
            <w:pPr>
              <w:snapToGrid w:val="0"/>
              <w:spacing w:before="100" w:beforeAutospacing="1" w:after="100" w:afterAutospacing="1" w:line="320" w:lineRule="atLeast"/>
              <w:ind w:firstLine="5"/>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合 计</w:t>
            </w:r>
          </w:p>
        </w:tc>
        <w:tc>
          <w:tcPr>
            <w:tcW w:w="863" w:type="dxa"/>
            <w:gridSpan w:val="2"/>
            <w:tcBorders>
              <w:top w:val="nil"/>
              <w:left w:val="nil"/>
              <w:bottom w:val="single" w:color="auto" w:sz="8" w:space="0"/>
              <w:right w:val="single" w:color="auto" w:sz="8" w:space="0"/>
            </w:tcBorders>
            <w:vAlign w:val="center"/>
          </w:tcPr>
          <w:p w14:paraId="1063EA54">
            <w:pPr>
              <w:spacing w:before="100" w:beforeAutospacing="1" w:after="100" w:afterAutospacing="1" w:line="240" w:lineRule="atLeast"/>
              <w:jc w:val="center"/>
              <w:rPr>
                <w:rFonts w:hint="eastAsia" w:ascii="仿宋" w:hAnsi="仿宋" w:eastAsia="仿宋" w:cs="仿宋"/>
                <w:color w:val="auto"/>
                <w:kern w:val="0"/>
                <w:sz w:val="24"/>
                <w:highlight w:val="none"/>
              </w:rPr>
            </w:pPr>
          </w:p>
        </w:tc>
        <w:tc>
          <w:tcPr>
            <w:tcW w:w="2354" w:type="dxa"/>
            <w:tcBorders>
              <w:top w:val="nil"/>
              <w:left w:val="nil"/>
              <w:bottom w:val="single" w:color="auto" w:sz="8" w:space="0"/>
              <w:right w:val="single" w:color="auto" w:sz="8" w:space="0"/>
            </w:tcBorders>
            <w:vAlign w:val="center"/>
          </w:tcPr>
          <w:p w14:paraId="64214000">
            <w:pPr>
              <w:spacing w:before="100" w:beforeAutospacing="1" w:after="100" w:afterAutospacing="1" w:line="240" w:lineRule="atLeast"/>
              <w:jc w:val="center"/>
              <w:rPr>
                <w:rFonts w:hint="eastAsia" w:ascii="仿宋" w:hAnsi="仿宋" w:eastAsia="仿宋" w:cs="仿宋"/>
                <w:color w:val="auto"/>
                <w:kern w:val="0"/>
                <w:sz w:val="24"/>
                <w:highlight w:val="none"/>
              </w:rPr>
            </w:pPr>
          </w:p>
        </w:tc>
      </w:tr>
      <w:tr w14:paraId="48DA071E">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45938ECC">
            <w:pPr>
              <w:snapToGrid w:val="0"/>
              <w:spacing w:before="100" w:beforeAutospacing="1" w:after="100" w:afterAutospacing="1" w:line="320" w:lineRule="atLeast"/>
              <w:ind w:firstLine="2"/>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合计大写金额： 亿 仟 佰 拾 万 仟 佰 拾 元</w:t>
            </w:r>
          </w:p>
        </w:tc>
      </w:tr>
      <w:tr w14:paraId="4EE51372">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6F4FF006">
            <w:pPr>
              <w:snapToGrid w:val="0"/>
              <w:spacing w:before="100" w:beforeAutospacing="1" w:after="100" w:afterAutospacing="1" w:line="320" w:lineRule="atLeast"/>
              <w:ind w:firstLine="2"/>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实际供货日期</w:t>
            </w:r>
          </w:p>
        </w:tc>
        <w:tc>
          <w:tcPr>
            <w:tcW w:w="2719" w:type="dxa"/>
            <w:gridSpan w:val="2"/>
            <w:tcBorders>
              <w:top w:val="nil"/>
              <w:left w:val="nil"/>
              <w:bottom w:val="single" w:color="auto" w:sz="8" w:space="0"/>
              <w:right w:val="single" w:color="auto" w:sz="8" w:space="0"/>
            </w:tcBorders>
            <w:vAlign w:val="center"/>
          </w:tcPr>
          <w:p w14:paraId="68B8061F">
            <w:pPr>
              <w:spacing w:before="100" w:beforeAutospacing="1" w:after="100" w:afterAutospacing="1" w:line="240" w:lineRule="atLeast"/>
              <w:jc w:val="center"/>
              <w:rPr>
                <w:rFonts w:hint="eastAsia" w:ascii="仿宋" w:hAnsi="仿宋" w:eastAsia="仿宋" w:cs="仿宋"/>
                <w:color w:val="auto"/>
                <w:kern w:val="0"/>
                <w:sz w:val="24"/>
                <w:highlight w:val="none"/>
              </w:rPr>
            </w:pPr>
          </w:p>
        </w:tc>
        <w:tc>
          <w:tcPr>
            <w:tcW w:w="2282" w:type="dxa"/>
            <w:gridSpan w:val="3"/>
            <w:tcBorders>
              <w:top w:val="nil"/>
              <w:left w:val="nil"/>
              <w:bottom w:val="single" w:color="auto" w:sz="8" w:space="0"/>
              <w:right w:val="single" w:color="auto" w:sz="8" w:space="0"/>
            </w:tcBorders>
            <w:vAlign w:val="center"/>
          </w:tcPr>
          <w:p w14:paraId="76CFBB7C">
            <w:pPr>
              <w:snapToGrid w:val="0"/>
              <w:spacing w:before="100" w:beforeAutospacing="1" w:after="100" w:afterAutospacing="1" w:line="320" w:lineRule="atLeast"/>
              <w:ind w:firstLine="46"/>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合同交货验收日期</w:t>
            </w:r>
          </w:p>
        </w:tc>
        <w:tc>
          <w:tcPr>
            <w:tcW w:w="3039" w:type="dxa"/>
            <w:gridSpan w:val="2"/>
            <w:tcBorders>
              <w:top w:val="nil"/>
              <w:left w:val="nil"/>
              <w:bottom w:val="single" w:color="auto" w:sz="8" w:space="0"/>
              <w:right w:val="single" w:color="auto" w:sz="8" w:space="0"/>
            </w:tcBorders>
            <w:vAlign w:val="center"/>
          </w:tcPr>
          <w:p w14:paraId="1A58774A">
            <w:pPr>
              <w:spacing w:before="100" w:beforeAutospacing="1" w:after="100" w:afterAutospacing="1" w:line="240" w:lineRule="atLeast"/>
              <w:jc w:val="center"/>
              <w:rPr>
                <w:rFonts w:hint="eastAsia" w:ascii="仿宋" w:hAnsi="仿宋" w:eastAsia="仿宋" w:cs="仿宋"/>
                <w:color w:val="auto"/>
                <w:kern w:val="0"/>
                <w:sz w:val="24"/>
                <w:highlight w:val="none"/>
              </w:rPr>
            </w:pPr>
          </w:p>
        </w:tc>
      </w:tr>
      <w:tr w14:paraId="42F29DAA">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4527D3C8">
            <w:pPr>
              <w:spacing w:before="100" w:beforeAutospacing="1" w:after="100" w:afterAutospacing="1" w:line="240" w:lineRule="atLeast"/>
              <w:jc w:val="center"/>
              <w:rPr>
                <w:rFonts w:hint="eastAsia" w:ascii="仿宋" w:hAnsi="仿宋" w:eastAsia="仿宋" w:cs="仿宋"/>
                <w:color w:val="auto"/>
                <w:kern w:val="0"/>
                <w:sz w:val="24"/>
                <w:highlight w:val="none"/>
              </w:rPr>
            </w:pPr>
          </w:p>
        </w:tc>
        <w:tc>
          <w:tcPr>
            <w:tcW w:w="2719" w:type="dxa"/>
            <w:gridSpan w:val="2"/>
            <w:tcBorders>
              <w:top w:val="nil"/>
              <w:left w:val="nil"/>
              <w:bottom w:val="single" w:color="auto" w:sz="8" w:space="0"/>
              <w:right w:val="single" w:color="auto" w:sz="8" w:space="0"/>
            </w:tcBorders>
            <w:vAlign w:val="center"/>
          </w:tcPr>
          <w:p w14:paraId="23F4718E">
            <w:pPr>
              <w:spacing w:before="100" w:beforeAutospacing="1" w:after="100" w:afterAutospacing="1" w:line="240" w:lineRule="atLeast"/>
              <w:jc w:val="center"/>
              <w:rPr>
                <w:rFonts w:hint="eastAsia" w:ascii="仿宋" w:hAnsi="仿宋" w:eastAsia="仿宋" w:cs="仿宋"/>
                <w:color w:val="auto"/>
                <w:kern w:val="0"/>
                <w:sz w:val="24"/>
                <w:highlight w:val="none"/>
              </w:rPr>
            </w:pPr>
          </w:p>
        </w:tc>
        <w:tc>
          <w:tcPr>
            <w:tcW w:w="2282" w:type="dxa"/>
            <w:gridSpan w:val="3"/>
            <w:tcBorders>
              <w:top w:val="nil"/>
              <w:left w:val="nil"/>
              <w:bottom w:val="single" w:color="auto" w:sz="8" w:space="0"/>
              <w:right w:val="single" w:color="auto" w:sz="8" w:space="0"/>
            </w:tcBorders>
            <w:vAlign w:val="center"/>
          </w:tcPr>
          <w:p w14:paraId="73B51C84">
            <w:pPr>
              <w:spacing w:before="100" w:beforeAutospacing="1" w:after="100" w:afterAutospacing="1" w:line="240" w:lineRule="atLeast"/>
              <w:jc w:val="center"/>
              <w:rPr>
                <w:rFonts w:hint="eastAsia" w:ascii="仿宋" w:hAnsi="仿宋" w:eastAsia="仿宋" w:cs="仿宋"/>
                <w:color w:val="auto"/>
                <w:kern w:val="0"/>
                <w:sz w:val="24"/>
                <w:highlight w:val="none"/>
              </w:rPr>
            </w:pPr>
          </w:p>
        </w:tc>
        <w:tc>
          <w:tcPr>
            <w:tcW w:w="3039" w:type="dxa"/>
            <w:gridSpan w:val="2"/>
            <w:tcBorders>
              <w:top w:val="nil"/>
              <w:left w:val="nil"/>
              <w:bottom w:val="single" w:color="auto" w:sz="8" w:space="0"/>
              <w:right w:val="single" w:color="auto" w:sz="8" w:space="0"/>
            </w:tcBorders>
            <w:vAlign w:val="center"/>
          </w:tcPr>
          <w:p w14:paraId="0613DC2F">
            <w:pPr>
              <w:spacing w:before="100" w:beforeAutospacing="1" w:after="100" w:afterAutospacing="1" w:line="240" w:lineRule="atLeast"/>
              <w:jc w:val="center"/>
              <w:rPr>
                <w:rFonts w:hint="eastAsia" w:ascii="仿宋" w:hAnsi="仿宋" w:eastAsia="仿宋" w:cs="仿宋"/>
                <w:color w:val="auto"/>
                <w:kern w:val="0"/>
                <w:sz w:val="24"/>
                <w:highlight w:val="none"/>
              </w:rPr>
            </w:pPr>
          </w:p>
        </w:tc>
      </w:tr>
      <w:tr w14:paraId="3119D58E">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0974B23">
            <w:pPr>
              <w:snapToGrid w:val="0"/>
              <w:spacing w:before="100" w:beforeAutospacing="1" w:after="100" w:afterAutospacing="1" w:line="320" w:lineRule="atLeas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验收具体内容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772A6962">
            <w:pPr>
              <w:snapToGrid w:val="0"/>
              <w:spacing w:before="100" w:beforeAutospacing="1" w:after="100" w:afterAutospacing="1" w:line="320" w:lineRule="atLeas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16FADF8B">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722734A">
            <w:pPr>
              <w:spacing w:before="100" w:beforeAutospacing="1" w:after="100" w:afterAutospacing="1" w:line="320" w:lineRule="atLeas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验收小组意见</w:t>
            </w:r>
          </w:p>
        </w:tc>
        <w:tc>
          <w:tcPr>
            <w:tcW w:w="8040" w:type="dxa"/>
            <w:gridSpan w:val="7"/>
            <w:tcBorders>
              <w:top w:val="nil"/>
              <w:left w:val="nil"/>
              <w:bottom w:val="single" w:color="auto" w:sz="8" w:space="0"/>
              <w:right w:val="single" w:color="auto" w:sz="8" w:space="0"/>
            </w:tcBorders>
            <w:vAlign w:val="center"/>
          </w:tcPr>
          <w:p w14:paraId="0FADBB66">
            <w:pPr>
              <w:spacing w:before="100" w:beforeAutospacing="1" w:after="100" w:afterAutospacing="1" w:line="320" w:lineRule="atLeas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验收结论性意见：</w:t>
            </w:r>
          </w:p>
        </w:tc>
      </w:tr>
      <w:tr w14:paraId="286BB5B1">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315EA6C5">
            <w:pPr>
              <w:jc w:val="left"/>
              <w:rPr>
                <w:rFonts w:hint="eastAsia" w:ascii="仿宋" w:hAnsi="仿宋" w:eastAsia="仿宋" w:cs="仿宋"/>
                <w:color w:val="auto"/>
                <w:kern w:val="0"/>
                <w:sz w:val="24"/>
                <w:highlight w:val="none"/>
              </w:rPr>
            </w:pPr>
          </w:p>
        </w:tc>
        <w:tc>
          <w:tcPr>
            <w:tcW w:w="8040" w:type="dxa"/>
            <w:gridSpan w:val="7"/>
            <w:tcBorders>
              <w:top w:val="nil"/>
              <w:left w:val="nil"/>
              <w:bottom w:val="single" w:color="auto" w:sz="8" w:space="0"/>
              <w:right w:val="single" w:color="auto" w:sz="8" w:space="0"/>
            </w:tcBorders>
            <w:vAlign w:val="center"/>
          </w:tcPr>
          <w:p w14:paraId="1730B427">
            <w:pPr>
              <w:spacing w:before="100" w:beforeAutospacing="1" w:after="100" w:afterAutospacing="1" w:line="320" w:lineRule="atLeast"/>
              <w:ind w:firstLine="96"/>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有异议的意见和说明理由：</w:t>
            </w:r>
          </w:p>
          <w:p w14:paraId="427BF4D0">
            <w:pPr>
              <w:spacing w:before="100" w:beforeAutospacing="1" w:after="100" w:afterAutospacing="1" w:line="320" w:lineRule="atLeas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签字：</w:t>
            </w:r>
          </w:p>
        </w:tc>
      </w:tr>
      <w:tr w14:paraId="1A626FD1">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72610E1">
            <w:pPr>
              <w:spacing w:before="100" w:beforeAutospacing="1" w:after="100" w:afterAutospacing="1" w:line="320" w:lineRule="atLeas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验收小组成员签字：</w:t>
            </w:r>
          </w:p>
        </w:tc>
      </w:tr>
      <w:tr w14:paraId="05F44A05">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6863DD">
            <w:pPr>
              <w:spacing w:before="100" w:beforeAutospacing="1" w:after="100" w:afterAutospacing="1" w:line="320" w:lineRule="atLeas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监督人员或者其他相关人员签字：</w:t>
            </w:r>
          </w:p>
          <w:p w14:paraId="38CC054E">
            <w:pPr>
              <w:spacing w:before="100" w:beforeAutospacing="1" w:after="100" w:afterAutospacing="1" w:line="320" w:lineRule="atLeast"/>
              <w:ind w:firstLine="74"/>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或者受邀机构的意见（盖章）：</w:t>
            </w:r>
          </w:p>
        </w:tc>
      </w:tr>
      <w:tr w14:paraId="75A59016">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07C85CA4">
            <w:pPr>
              <w:spacing w:before="100" w:beforeAutospacing="1" w:after="100" w:afterAutospacing="1" w:line="320" w:lineRule="atLeast"/>
              <w:ind w:firstLine="74"/>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中标或者成交人负责人签字或者盖章：</w:t>
            </w:r>
          </w:p>
          <w:p w14:paraId="2C96A33F">
            <w:pPr>
              <w:spacing w:before="100" w:beforeAutospacing="1" w:after="100" w:afterAutospacing="1" w:line="320" w:lineRule="atLeas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联系电话： 年 月 日</w:t>
            </w:r>
          </w:p>
        </w:tc>
        <w:tc>
          <w:tcPr>
            <w:tcW w:w="5219" w:type="dxa"/>
            <w:gridSpan w:val="4"/>
            <w:tcBorders>
              <w:top w:val="nil"/>
              <w:left w:val="nil"/>
              <w:bottom w:val="single" w:color="auto" w:sz="8" w:space="0"/>
              <w:right w:val="single" w:color="auto" w:sz="8" w:space="0"/>
            </w:tcBorders>
            <w:vAlign w:val="center"/>
          </w:tcPr>
          <w:p w14:paraId="2A016D0C">
            <w:pPr>
              <w:spacing w:before="100" w:beforeAutospacing="1" w:after="100" w:afterAutospacing="1" w:line="320" w:lineRule="atLeas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采购人或者受托机构的意见（盖章）：</w:t>
            </w:r>
          </w:p>
          <w:p w14:paraId="13C131F0">
            <w:pPr>
              <w:spacing w:before="100" w:beforeAutospacing="1" w:after="100" w:afterAutospacing="1" w:line="320" w:lineRule="atLeas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联系电话： 年 月 日</w:t>
            </w:r>
          </w:p>
        </w:tc>
      </w:tr>
    </w:tbl>
    <w:p w14:paraId="6B959C44">
      <w:pPr>
        <w:pStyle w:val="23"/>
        <w:snapToGrid w:val="0"/>
        <w:spacing w:before="120" w:after="120"/>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6598DBB4">
      <w:pPr>
        <w:pStyle w:val="23"/>
        <w:snapToGrid w:val="0"/>
        <w:spacing w:before="120" w:after="120"/>
        <w:rPr>
          <w:rFonts w:hint="eastAsia" w:ascii="仿宋" w:hAnsi="仿宋" w:eastAsia="仿宋" w:cs="仿宋"/>
          <w:color w:val="auto"/>
          <w:highlight w:val="none"/>
        </w:rPr>
      </w:pPr>
    </w:p>
    <w:p w14:paraId="34318419">
      <w:pPr>
        <w:pStyle w:val="23"/>
        <w:snapToGrid w:val="0"/>
        <w:spacing w:before="120" w:after="120"/>
        <w:rPr>
          <w:rFonts w:hint="eastAsia" w:ascii="仿宋" w:hAnsi="仿宋" w:eastAsia="仿宋" w:cs="仿宋"/>
          <w:color w:val="auto"/>
          <w:highlight w:val="none"/>
        </w:rPr>
      </w:pPr>
    </w:p>
    <w:p w14:paraId="6AA588A6">
      <w:pPr>
        <w:pStyle w:val="23"/>
        <w:snapToGrid w:val="0"/>
        <w:spacing w:before="120" w:after="120"/>
        <w:rPr>
          <w:rFonts w:hint="eastAsia" w:ascii="仿宋" w:hAnsi="仿宋" w:eastAsia="仿宋" w:cs="仿宋"/>
          <w:color w:val="auto"/>
          <w:highlight w:val="none"/>
        </w:rPr>
      </w:pPr>
    </w:p>
    <w:p w14:paraId="6B7832C7">
      <w:pPr>
        <w:pStyle w:val="23"/>
        <w:snapToGrid w:val="0"/>
        <w:spacing w:before="120" w:after="120"/>
        <w:rPr>
          <w:rFonts w:hint="eastAsia" w:ascii="仿宋" w:hAnsi="仿宋" w:eastAsia="仿宋" w:cs="仿宋"/>
          <w:color w:val="auto"/>
          <w:highlight w:val="none"/>
        </w:rPr>
      </w:pPr>
    </w:p>
    <w:p w14:paraId="7D40DA66">
      <w:pPr>
        <w:pStyle w:val="23"/>
        <w:snapToGrid w:val="0"/>
        <w:spacing w:before="120" w:after="120"/>
        <w:rPr>
          <w:rFonts w:hint="eastAsia" w:ascii="仿宋" w:hAnsi="仿宋" w:eastAsia="仿宋" w:cs="仿宋"/>
          <w:color w:val="auto"/>
          <w:highlight w:val="none"/>
        </w:rPr>
      </w:pPr>
    </w:p>
    <w:p w14:paraId="3C0780A7">
      <w:pPr>
        <w:pStyle w:val="23"/>
        <w:snapToGrid w:val="0"/>
        <w:spacing w:before="120" w:after="120"/>
        <w:rPr>
          <w:rFonts w:hint="eastAsia" w:ascii="仿宋" w:hAnsi="仿宋" w:eastAsia="仿宋" w:cs="仿宋"/>
          <w:color w:val="auto"/>
          <w:highlight w:val="none"/>
        </w:rPr>
      </w:pPr>
    </w:p>
    <w:p w14:paraId="06DF5B6A">
      <w:pPr>
        <w:pStyle w:val="23"/>
        <w:snapToGrid w:val="0"/>
        <w:spacing w:before="120" w:after="120"/>
        <w:rPr>
          <w:rFonts w:hint="eastAsia" w:ascii="仿宋" w:hAnsi="仿宋" w:eastAsia="仿宋" w:cs="仿宋"/>
          <w:color w:val="auto"/>
          <w:highlight w:val="none"/>
        </w:rPr>
      </w:pPr>
    </w:p>
    <w:p w14:paraId="41C2B5B1">
      <w:pPr>
        <w:pStyle w:val="23"/>
        <w:snapToGrid w:val="0"/>
        <w:spacing w:before="120" w:after="120"/>
        <w:rPr>
          <w:rFonts w:hint="eastAsia" w:ascii="仿宋" w:hAnsi="仿宋" w:eastAsia="仿宋" w:cs="仿宋"/>
          <w:color w:val="auto"/>
          <w:highlight w:val="none"/>
        </w:rPr>
      </w:pPr>
    </w:p>
    <w:p w14:paraId="65C12C61">
      <w:pPr>
        <w:pStyle w:val="23"/>
        <w:snapToGrid w:val="0"/>
        <w:spacing w:before="120" w:after="120"/>
        <w:rPr>
          <w:rFonts w:hint="eastAsia" w:ascii="仿宋" w:hAnsi="仿宋" w:eastAsia="仿宋" w:cs="仿宋"/>
          <w:color w:val="auto"/>
          <w:highlight w:val="none"/>
        </w:rPr>
      </w:pPr>
    </w:p>
    <w:p w14:paraId="3ED0605A">
      <w:pPr>
        <w:pStyle w:val="23"/>
        <w:snapToGrid w:val="0"/>
        <w:spacing w:before="120" w:after="120"/>
        <w:rPr>
          <w:rFonts w:hint="eastAsia" w:ascii="仿宋" w:hAnsi="仿宋" w:eastAsia="仿宋" w:cs="仿宋"/>
          <w:color w:val="auto"/>
          <w:highlight w:val="none"/>
        </w:rPr>
      </w:pPr>
    </w:p>
    <w:p w14:paraId="5B0D31BD">
      <w:pPr>
        <w:pStyle w:val="23"/>
        <w:snapToGrid w:val="0"/>
        <w:spacing w:before="120" w:after="120"/>
        <w:rPr>
          <w:rFonts w:hint="eastAsia" w:ascii="仿宋" w:hAnsi="仿宋" w:eastAsia="仿宋" w:cs="仿宋"/>
          <w:color w:val="auto"/>
          <w:highlight w:val="none"/>
        </w:rPr>
      </w:pPr>
    </w:p>
    <w:p w14:paraId="2439FFB8">
      <w:pPr>
        <w:pStyle w:val="23"/>
        <w:snapToGrid w:val="0"/>
        <w:spacing w:before="120" w:after="120"/>
        <w:rPr>
          <w:rFonts w:hint="eastAsia" w:ascii="仿宋" w:hAnsi="仿宋" w:eastAsia="仿宋" w:cs="仿宋"/>
          <w:color w:val="auto"/>
          <w:highlight w:val="none"/>
        </w:rPr>
      </w:pPr>
    </w:p>
    <w:p w14:paraId="60140A70">
      <w:pPr>
        <w:pStyle w:val="23"/>
        <w:snapToGrid w:val="0"/>
        <w:spacing w:before="120" w:after="120"/>
        <w:rPr>
          <w:rFonts w:hint="eastAsia" w:ascii="仿宋" w:hAnsi="仿宋" w:eastAsia="仿宋" w:cs="仿宋"/>
          <w:color w:val="auto"/>
          <w:highlight w:val="none"/>
        </w:rPr>
      </w:pPr>
    </w:p>
    <w:p w14:paraId="7BE1474C">
      <w:pPr>
        <w:pStyle w:val="3"/>
        <w:keepNext w:val="0"/>
        <w:keepLines w:val="0"/>
        <w:jc w:val="center"/>
        <w:rPr>
          <w:rFonts w:hint="eastAsia" w:ascii="仿宋" w:hAnsi="仿宋" w:eastAsia="仿宋" w:cs="仿宋"/>
          <w:color w:val="auto"/>
          <w:highlight w:val="none"/>
        </w:rPr>
      </w:pPr>
      <w:bookmarkStart w:id="127" w:name="_Toc254970548"/>
      <w:bookmarkStart w:id="128" w:name="_Toc254970689"/>
      <w:bookmarkStart w:id="129" w:name="_Toc16645"/>
      <w:bookmarkStart w:id="130" w:name="_Toc330456896"/>
      <w:r>
        <w:rPr>
          <w:rFonts w:hint="eastAsia" w:ascii="仿宋" w:hAnsi="仿宋" w:eastAsia="仿宋" w:cs="仿宋"/>
          <w:color w:val="auto"/>
          <w:highlight w:val="none"/>
        </w:rPr>
        <w:t>第四章 评标方法及评标标准</w:t>
      </w:r>
      <w:bookmarkEnd w:id="127"/>
      <w:bookmarkEnd w:id="128"/>
      <w:bookmarkEnd w:id="129"/>
      <w:bookmarkEnd w:id="130"/>
    </w:p>
    <w:p w14:paraId="0C791BEF">
      <w:pPr>
        <w:pStyle w:val="23"/>
        <w:spacing w:before="120" w:after="120"/>
        <w:outlineLvl w:val="0"/>
        <w:rPr>
          <w:rFonts w:hint="eastAsia" w:ascii="仿宋" w:hAnsi="仿宋" w:eastAsia="仿宋" w:cs="仿宋"/>
          <w:b/>
          <w:color w:val="auto"/>
          <w:highlight w:val="none"/>
        </w:rPr>
      </w:pPr>
      <w:bookmarkStart w:id="131" w:name="_Toc254970690"/>
      <w:bookmarkStart w:id="132" w:name="_Toc254970549"/>
    </w:p>
    <w:bookmarkEnd w:id="131"/>
    <w:bookmarkEnd w:id="132"/>
    <w:p w14:paraId="1D3153E7">
      <w:pPr>
        <w:pStyle w:val="23"/>
        <w:spacing w:before="120" w:after="120"/>
        <w:outlineLvl w:val="0"/>
        <w:rPr>
          <w:rFonts w:hint="eastAsia" w:ascii="仿宋" w:hAnsi="仿宋" w:eastAsia="仿宋" w:cs="仿宋"/>
          <w:bCs/>
          <w:color w:val="auto"/>
          <w:sz w:val="32"/>
          <w:szCs w:val="32"/>
          <w:highlight w:val="none"/>
        </w:rPr>
      </w:pPr>
    </w:p>
    <w:p w14:paraId="086C819D">
      <w:pPr>
        <w:pStyle w:val="23"/>
        <w:spacing w:before="120" w:after="120"/>
        <w:outlineLvl w:val="0"/>
        <w:rPr>
          <w:rFonts w:hint="eastAsia" w:ascii="仿宋" w:hAnsi="仿宋" w:eastAsia="仿宋" w:cs="仿宋"/>
          <w:bCs/>
          <w:color w:val="auto"/>
          <w:sz w:val="32"/>
          <w:szCs w:val="32"/>
          <w:highlight w:val="none"/>
        </w:rPr>
      </w:pPr>
    </w:p>
    <w:p w14:paraId="45B51C75">
      <w:pPr>
        <w:pStyle w:val="23"/>
        <w:spacing w:before="120" w:after="120"/>
        <w:outlineLvl w:val="0"/>
        <w:rPr>
          <w:rFonts w:hint="eastAsia" w:ascii="仿宋" w:hAnsi="仿宋" w:eastAsia="仿宋" w:cs="仿宋"/>
          <w:bCs/>
          <w:color w:val="auto"/>
          <w:sz w:val="32"/>
          <w:szCs w:val="32"/>
          <w:highlight w:val="none"/>
        </w:rPr>
      </w:pPr>
    </w:p>
    <w:p w14:paraId="501185BA">
      <w:pPr>
        <w:spacing w:before="120" w:beforeLines="50" w:after="120" w:afterLines="50" w:line="400" w:lineRule="exact"/>
        <w:rPr>
          <w:rFonts w:hint="eastAsia" w:ascii="仿宋" w:hAnsi="仿宋" w:eastAsia="仿宋" w:cs="仿宋"/>
          <w:b/>
          <w:color w:val="auto"/>
          <w:sz w:val="24"/>
          <w:highlight w:val="none"/>
        </w:rPr>
      </w:pPr>
    </w:p>
    <w:p w14:paraId="4B440683">
      <w:pPr>
        <w:spacing w:before="120" w:beforeLines="50" w:after="120" w:afterLines="50" w:line="400" w:lineRule="exact"/>
        <w:rPr>
          <w:rFonts w:hint="eastAsia" w:ascii="仿宋" w:hAnsi="仿宋" w:eastAsia="仿宋" w:cs="仿宋"/>
          <w:b/>
          <w:color w:val="auto"/>
          <w:sz w:val="24"/>
          <w:highlight w:val="none"/>
        </w:rPr>
      </w:pPr>
    </w:p>
    <w:p w14:paraId="0BBAB68B">
      <w:pPr>
        <w:spacing w:before="120" w:beforeLines="50" w:after="120" w:afterLines="50" w:line="400" w:lineRule="exact"/>
        <w:rPr>
          <w:rFonts w:hint="eastAsia" w:ascii="仿宋" w:hAnsi="仿宋" w:eastAsia="仿宋" w:cs="仿宋"/>
          <w:b/>
          <w:color w:val="auto"/>
          <w:sz w:val="24"/>
          <w:highlight w:val="none"/>
        </w:rPr>
      </w:pPr>
    </w:p>
    <w:p w14:paraId="14F9BC01">
      <w:pPr>
        <w:spacing w:before="120" w:beforeLines="50" w:after="120" w:afterLines="50" w:line="400" w:lineRule="exact"/>
        <w:rPr>
          <w:rFonts w:hint="eastAsia" w:ascii="仿宋" w:hAnsi="仿宋" w:eastAsia="仿宋" w:cs="仿宋"/>
          <w:b/>
          <w:color w:val="auto"/>
          <w:sz w:val="24"/>
          <w:highlight w:val="none"/>
        </w:rPr>
      </w:pPr>
    </w:p>
    <w:p w14:paraId="4BAE2D1B">
      <w:pPr>
        <w:spacing w:before="120" w:beforeLines="50" w:after="120" w:afterLines="50" w:line="400" w:lineRule="exact"/>
        <w:rPr>
          <w:rFonts w:hint="eastAsia" w:ascii="仿宋" w:hAnsi="仿宋" w:eastAsia="仿宋" w:cs="仿宋"/>
          <w:b/>
          <w:color w:val="auto"/>
          <w:sz w:val="24"/>
          <w:highlight w:val="none"/>
        </w:rPr>
      </w:pPr>
    </w:p>
    <w:p w14:paraId="74054E3B">
      <w:pPr>
        <w:spacing w:before="120" w:beforeLines="50" w:after="120" w:afterLines="50" w:line="400" w:lineRule="exact"/>
        <w:rPr>
          <w:rFonts w:hint="eastAsia" w:ascii="仿宋" w:hAnsi="仿宋" w:eastAsia="仿宋" w:cs="仿宋"/>
          <w:b/>
          <w:color w:val="auto"/>
          <w:sz w:val="24"/>
          <w:highlight w:val="none"/>
        </w:rPr>
      </w:pPr>
    </w:p>
    <w:p w14:paraId="0A971D15">
      <w:pPr>
        <w:spacing w:before="120" w:beforeLines="50" w:after="120" w:afterLines="50" w:line="400" w:lineRule="exact"/>
        <w:rPr>
          <w:rFonts w:hint="eastAsia" w:ascii="仿宋" w:hAnsi="仿宋" w:eastAsia="仿宋" w:cs="仿宋"/>
          <w:b/>
          <w:color w:val="auto"/>
          <w:sz w:val="24"/>
          <w:highlight w:val="none"/>
        </w:rPr>
      </w:pPr>
    </w:p>
    <w:p w14:paraId="6243549E">
      <w:pPr>
        <w:pStyle w:val="23"/>
        <w:spacing w:line="360" w:lineRule="exact"/>
        <w:rPr>
          <w:rFonts w:hint="eastAsia" w:ascii="仿宋" w:hAnsi="仿宋" w:eastAsia="仿宋" w:cs="仿宋"/>
          <w:b/>
          <w:color w:val="auto"/>
          <w:sz w:val="24"/>
          <w:highlight w:val="none"/>
        </w:rPr>
      </w:pPr>
    </w:p>
    <w:p w14:paraId="4C120EC2">
      <w:pPr>
        <w:pStyle w:val="23"/>
        <w:spacing w:line="360" w:lineRule="exact"/>
        <w:rPr>
          <w:rFonts w:hint="eastAsia" w:ascii="仿宋" w:hAnsi="仿宋" w:eastAsia="仿宋" w:cs="仿宋"/>
          <w:b/>
          <w:color w:val="auto"/>
          <w:sz w:val="24"/>
          <w:highlight w:val="none"/>
        </w:rPr>
      </w:pPr>
    </w:p>
    <w:p w14:paraId="6BCD0EC0">
      <w:pPr>
        <w:pStyle w:val="23"/>
        <w:spacing w:line="360" w:lineRule="exact"/>
        <w:rPr>
          <w:rFonts w:hint="eastAsia" w:ascii="仿宋" w:hAnsi="仿宋" w:eastAsia="仿宋" w:cs="仿宋"/>
          <w:b/>
          <w:color w:val="auto"/>
          <w:sz w:val="24"/>
          <w:highlight w:val="none"/>
        </w:rPr>
      </w:pPr>
    </w:p>
    <w:p w14:paraId="34BBD9A1">
      <w:pPr>
        <w:pStyle w:val="23"/>
        <w:spacing w:line="360" w:lineRule="exact"/>
        <w:rPr>
          <w:rFonts w:hint="eastAsia" w:ascii="仿宋" w:hAnsi="仿宋" w:eastAsia="仿宋" w:cs="仿宋"/>
          <w:b/>
          <w:color w:val="auto"/>
          <w:sz w:val="24"/>
          <w:highlight w:val="none"/>
        </w:rPr>
      </w:pPr>
    </w:p>
    <w:p w14:paraId="2598D553">
      <w:pPr>
        <w:pStyle w:val="23"/>
        <w:spacing w:line="360" w:lineRule="exact"/>
        <w:rPr>
          <w:rFonts w:hint="eastAsia" w:ascii="仿宋" w:hAnsi="仿宋" w:eastAsia="仿宋" w:cs="仿宋"/>
          <w:bCs/>
          <w:color w:val="auto"/>
          <w:highlight w:val="none"/>
        </w:rPr>
      </w:pPr>
      <w:r>
        <w:rPr>
          <w:rFonts w:hint="eastAsia" w:ascii="仿宋" w:hAnsi="仿宋" w:eastAsia="仿宋" w:cs="仿宋"/>
          <w:bCs/>
          <w:color w:val="auto"/>
          <w:highlight w:val="none"/>
        </w:rPr>
        <w:t xml:space="preserve"> </w:t>
      </w:r>
    </w:p>
    <w:p w14:paraId="733C90D7">
      <w:pPr>
        <w:rPr>
          <w:color w:val="auto"/>
          <w:highlight w:val="none"/>
        </w:rPr>
      </w:pPr>
    </w:p>
    <w:p w14:paraId="758D7114">
      <w:pPr>
        <w:pStyle w:val="4"/>
        <w:keepNext w:val="0"/>
        <w:keepLines w:val="0"/>
        <w:jc w:val="center"/>
        <w:rPr>
          <w:rFonts w:hint="eastAsia" w:ascii="仿宋" w:hAnsi="仿宋" w:eastAsia="仿宋" w:cs="仿宋"/>
          <w:color w:val="auto"/>
          <w:highlight w:val="none"/>
        </w:rPr>
      </w:pPr>
      <w:r>
        <w:rPr>
          <w:rFonts w:hint="eastAsia" w:ascii="仿宋" w:hAnsi="仿宋" w:eastAsia="仿宋" w:cs="仿宋"/>
          <w:color w:val="auto"/>
          <w:highlight w:val="none"/>
        </w:rPr>
        <w:t>一、评标方法</w:t>
      </w:r>
    </w:p>
    <w:p w14:paraId="4E37F889">
      <w:pPr>
        <w:pStyle w:val="23"/>
        <w:spacing w:line="36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综合评分法，是指投标文件满足招标文件全部实质性要求，且按照评审因素的量化指标评审得分最高的投标人为中标候选人的评标方法。</w:t>
      </w:r>
    </w:p>
    <w:p w14:paraId="54468BBE">
      <w:pPr>
        <w:pStyle w:val="23"/>
        <w:spacing w:line="36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最低评标价法，是指投标文件满足招标文件全部实质性要求，且投标报价最低的投标人为中标候选人的评标方法。</w:t>
      </w:r>
    </w:p>
    <w:p w14:paraId="316BC80C">
      <w:pPr>
        <w:pStyle w:val="4"/>
        <w:keepNext w:val="0"/>
        <w:keepLines w:val="0"/>
        <w:jc w:val="center"/>
        <w:rPr>
          <w:rFonts w:hint="eastAsia" w:ascii="仿宋" w:hAnsi="仿宋" w:eastAsia="仿宋" w:cs="仿宋"/>
          <w:color w:val="auto"/>
          <w:highlight w:val="none"/>
        </w:rPr>
      </w:pPr>
      <w:r>
        <w:rPr>
          <w:rFonts w:hint="eastAsia" w:ascii="仿宋" w:hAnsi="仿宋" w:eastAsia="仿宋" w:cs="仿宋"/>
          <w:color w:val="auto"/>
          <w:highlight w:val="none"/>
        </w:rPr>
        <w:t>二、评标程序</w:t>
      </w:r>
    </w:p>
    <w:p w14:paraId="0EE64DE7">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1.符合性审查</w:t>
      </w:r>
    </w:p>
    <w:p w14:paraId="34474CB8">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评标委员会应当对符合资格的投标人的投标文件进行投标报价、商务、技术等实质性内容</w:t>
      </w:r>
    </w:p>
    <w:p w14:paraId="2E56F25B">
      <w:pPr>
        <w:pStyle w:val="6"/>
        <w:keepNext w:val="0"/>
        <w:keepLines w:val="0"/>
        <w:numPr>
          <w:ilvl w:val="4"/>
          <w:numId w:val="0"/>
        </w:numPr>
        <w:spacing w:before="0" w:after="0"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符合性审查，以确定其是否满足招标文件的实质性要求。</w:t>
      </w:r>
    </w:p>
    <w:p w14:paraId="589C59C9">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2.符合性审查不通过而导致投标无效的情形</w:t>
      </w:r>
    </w:p>
    <w:p w14:paraId="012D4DDD">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投标人的投标文件中存在对招标文件的任何实质性要求和条件的负偏离，将被视为投标无</w:t>
      </w:r>
    </w:p>
    <w:p w14:paraId="4210C298">
      <w:pPr>
        <w:pStyle w:val="6"/>
        <w:keepNext w:val="0"/>
        <w:keepLines w:val="0"/>
        <w:numPr>
          <w:ilvl w:val="4"/>
          <w:numId w:val="0"/>
        </w:numPr>
        <w:spacing w:before="0" w:after="0"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效。</w:t>
      </w:r>
    </w:p>
    <w:p w14:paraId="18061A9D">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2.1在报价评审时，如发现下列情形之一的，将被视为投标无效：</w:t>
      </w:r>
    </w:p>
    <w:p w14:paraId="3D37AC5D">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（1）投标文件未提供“投标人须知前附表”第13.1条规定中“必须提供”的文件资料的;</w:t>
      </w:r>
    </w:p>
    <w:p w14:paraId="1BDC2F86">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（2）未采用人民币报价或者未按照招标文件标明的币种报价的；</w:t>
      </w:r>
    </w:p>
    <w:p w14:paraId="6917E2F2">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（3）报价超出招标文件规定最高限价，或者超出采购预算金额的；</w:t>
      </w:r>
    </w:p>
    <w:p w14:paraId="546A51C1">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0DCF2BEA">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（5）修正后的报价，投标人不确认的；</w:t>
      </w:r>
    </w:p>
    <w:p w14:paraId="5FD45878">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（6）投标人属于本章第5条第（2）项情形的。</w:t>
      </w:r>
    </w:p>
    <w:p w14:paraId="7052D0BA">
      <w:pPr>
        <w:pStyle w:val="7"/>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2.2在商务评审时，如发现下列情形之一的，将被视为投标无效：</w:t>
      </w:r>
    </w:p>
    <w:p w14:paraId="341E674F">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（1）投标文件未按招标文件要求签署、盖章的；</w:t>
      </w:r>
    </w:p>
    <w:p w14:paraId="0D6DFF5E">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（2）委托代理人未能出具有效身份证明或者出具的身份证明与授权委托书中的信息不符的； </w:t>
      </w:r>
    </w:p>
    <w:p w14:paraId="4FEA7F6E">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（3）为无效投标保证金的或者未按照招标文件的规定提交投标保证金的；</w:t>
      </w:r>
    </w:p>
    <w:p w14:paraId="72278755">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（4）投标文件未提供“投标人须知前附表”第13.1条规定中“必须提供”或者“委托时</w:t>
      </w:r>
    </w:p>
    <w:p w14:paraId="717FC90D">
      <w:pPr>
        <w:pStyle w:val="6"/>
        <w:keepNext w:val="0"/>
        <w:keepLines w:val="0"/>
        <w:numPr>
          <w:ilvl w:val="4"/>
          <w:numId w:val="0"/>
        </w:numPr>
        <w:spacing w:before="0" w:after="0"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必须提供”的文件资料的;</w:t>
      </w:r>
    </w:p>
    <w:p w14:paraId="4E50FD9E">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（5）投标有效期、项目完成时间（交货时间、服务完成时间或者服务期等）、质保期、售</w:t>
      </w:r>
    </w:p>
    <w:p w14:paraId="141E8705">
      <w:pPr>
        <w:pStyle w:val="6"/>
        <w:keepNext w:val="0"/>
        <w:keepLines w:val="0"/>
        <w:numPr>
          <w:ilvl w:val="4"/>
          <w:numId w:val="0"/>
        </w:numPr>
        <w:spacing w:before="0" w:after="0"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后服务等招标文件中标“▲”的商务条款发生负偏离的；</w:t>
      </w:r>
    </w:p>
    <w:p w14:paraId="722E7E84">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（6）商务条款评审允许负偏离的条款数超过“投标人须知前附表”规定项数的。</w:t>
      </w:r>
    </w:p>
    <w:p w14:paraId="7CB87487">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（7）投标文件的实质性内容未使用中文表述、使用计量单位不符合招标文件要求的；</w:t>
      </w:r>
    </w:p>
    <w:p w14:paraId="4B5B5282">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（8）投标文件中的文件资料因填写不齐全或者内容虚假或者出现其他情形而导致被评标委</w:t>
      </w:r>
    </w:p>
    <w:p w14:paraId="09791B9F">
      <w:pPr>
        <w:pStyle w:val="6"/>
        <w:keepNext w:val="0"/>
        <w:keepLines w:val="0"/>
        <w:numPr>
          <w:ilvl w:val="4"/>
          <w:numId w:val="0"/>
        </w:numPr>
        <w:spacing w:before="0" w:after="0"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员会认定无效的；</w:t>
      </w:r>
    </w:p>
    <w:p w14:paraId="062566CD">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（9）投标文件含有采购人不能接受的附加条件的；</w:t>
      </w:r>
    </w:p>
    <w:p w14:paraId="63E57740">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（10）投标人在线制作电子投标文件时填写的报价金额与解密后“电子加密投标文件”中</w:t>
      </w:r>
    </w:p>
    <w:p w14:paraId="751CB59A">
      <w:pPr>
        <w:pStyle w:val="6"/>
        <w:keepNext w:val="0"/>
        <w:keepLines w:val="0"/>
        <w:numPr>
          <w:ilvl w:val="4"/>
          <w:numId w:val="0"/>
        </w:numPr>
        <w:spacing w:before="0" w:after="0"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《开标一览表》填写的金额不一致并拒绝按公开招标文件要求接受调整的；</w:t>
      </w:r>
    </w:p>
    <w:p w14:paraId="696FCF9A">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（11）未响应招标文件实质性要求的；</w:t>
      </w:r>
    </w:p>
    <w:p w14:paraId="017C2E20">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（12）属于投标人须知正文第9.2条情形的；</w:t>
      </w:r>
    </w:p>
    <w:p w14:paraId="140239AD">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（13）法律、法规和招标文件规定的其他无效情形。</w:t>
      </w:r>
    </w:p>
    <w:p w14:paraId="346B503B">
      <w:pPr>
        <w:pStyle w:val="7"/>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2.3在技术评审时，如发现下列情形之一的，将被视为投标无效：</w:t>
      </w:r>
    </w:p>
    <w:p w14:paraId="13F1B71F">
      <w:pPr>
        <w:pStyle w:val="7"/>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（1）明显不满足招标文件要求的技术规格、安全、质量标准，或者与招标文件中标“▲”的技术需求发生负偏离的；</w:t>
      </w:r>
    </w:p>
    <w:p w14:paraId="3B0AEDA0">
      <w:pPr>
        <w:pStyle w:val="7"/>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（2）技术需求评审允许负偏离的条款数超过“投标人须知前附表”规定项数的；</w:t>
      </w:r>
    </w:p>
    <w:p w14:paraId="2D4AEEA7">
      <w:pPr>
        <w:pStyle w:val="7"/>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（3）投标文件未提供“投标人须知前附表”第13.1条规定中“必须提供”的文件资料的;</w:t>
      </w:r>
    </w:p>
    <w:p w14:paraId="2EB23E75">
      <w:pPr>
        <w:pStyle w:val="7"/>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（4）虚假投标，或者出现其他情形而导致被评标委员会认定无效的；</w:t>
      </w:r>
    </w:p>
    <w:p w14:paraId="0712D46A">
      <w:pPr>
        <w:pStyle w:val="7"/>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（5）投标技术方案不明确，招标文件未允许但存在一个或者一个以上备选（替代）投标方案的。</w:t>
      </w:r>
    </w:p>
    <w:p w14:paraId="786BAC0A">
      <w:pPr>
        <w:pStyle w:val="7"/>
        <w:spacing w:line="360" w:lineRule="auto"/>
        <w:ind w:firstLine="482" w:firstLineChars="200"/>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3.澄清补正</w:t>
      </w:r>
    </w:p>
    <w:p w14:paraId="55B3EB0D">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对投标文件中含义不明确、同类问题表述不一致或者有明显文字和计算错误的内容，评标</w:t>
      </w:r>
    </w:p>
    <w:p w14:paraId="724D2F75">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委员会应当通过广西政府采购云平台发起电子询标函，以书面形式要求投标人在规定时间内作出必要的澄清、说明或者纠正。投标人应当在规定时间内通过广西政府采购云平台进行澄清、说明或者补正，并加盖投标人CA电子签章。投标人的澄清、说明或者补正不得超出投标文件的范围或者改变投标文件的实质性内容。</w:t>
      </w:r>
    </w:p>
    <w:p w14:paraId="16227E43">
      <w:pPr>
        <w:pStyle w:val="6"/>
        <w:keepNext w:val="0"/>
        <w:keepLines w:val="0"/>
        <w:numPr>
          <w:ilvl w:val="0"/>
          <w:numId w:val="0"/>
        </w:numPr>
        <w:spacing w:before="0" w:after="0"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4.投标文件修正</w:t>
      </w:r>
    </w:p>
    <w:p w14:paraId="44529367">
      <w:pPr>
        <w:pStyle w:val="6"/>
        <w:keepNext w:val="0"/>
        <w:keepLines w:val="0"/>
        <w:numPr>
          <w:ilvl w:val="0"/>
          <w:numId w:val="0"/>
        </w:numPr>
        <w:spacing w:before="0" w:after="0" w:line="360" w:lineRule="auto"/>
        <w:ind w:firstLine="480" w:firstLine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 xml:space="preserve">4.1投标文件报价出现前后不一致的，按照下列规定修正： </w:t>
      </w:r>
    </w:p>
    <w:p w14:paraId="2EED9FB3">
      <w:pPr>
        <w:pStyle w:val="6"/>
        <w:keepNext w:val="0"/>
        <w:keepLines w:val="0"/>
        <w:numPr>
          <w:ilvl w:val="0"/>
          <w:numId w:val="0"/>
        </w:numPr>
        <w:spacing w:before="0" w:after="0" w:line="360" w:lineRule="auto"/>
        <w:ind w:firstLine="480" w:firstLine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（1）投标文件中开标一览表（报价表）内容与投标文件中相应内容不一致的，以开标一览</w:t>
      </w:r>
    </w:p>
    <w:p w14:paraId="6D14623A">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表（报价表）为准；</w:t>
      </w:r>
    </w:p>
    <w:p w14:paraId="420940DC">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（2）大写金额和小写金额不一致的，以大写金额为准；</w:t>
      </w:r>
    </w:p>
    <w:p w14:paraId="780A0013">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（3）单价金额小数点或者百分比有明显错位的，以开标一览表的总价为准，并修改单价；</w:t>
      </w:r>
    </w:p>
    <w:p w14:paraId="32B1D609">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b w:val="0"/>
          <w:bCs/>
          <w:color w:val="auto"/>
          <w:sz w:val="24"/>
          <w:highlight w:val="none"/>
        </w:rPr>
        <w:t>（4）总价金额与按单价汇总金额不一致的，以单价金额计算结果为准。</w:t>
      </w:r>
    </w:p>
    <w:p w14:paraId="6B6CD7EE">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bCs/>
          <w:color w:val="auto"/>
          <w:sz w:val="24"/>
          <w:highlight w:val="none"/>
        </w:rPr>
        <w:t>同时出现两种以上不一致的，按照前款规定的顺序修正。评标委员会通过广西政府采购云</w:t>
      </w:r>
    </w:p>
    <w:p w14:paraId="49A4BC4C">
      <w:pPr>
        <w:pStyle w:val="6"/>
        <w:keepNext w:val="0"/>
        <w:keepLines w:val="0"/>
        <w:numPr>
          <w:ilvl w:val="4"/>
          <w:numId w:val="0"/>
        </w:numPr>
        <w:spacing w:before="0" w:after="0" w:line="360" w:lineRule="auto"/>
        <w:rPr>
          <w:rFonts w:hint="eastAsia" w:ascii="仿宋" w:hAnsi="仿宋" w:eastAsia="仿宋" w:cs="仿宋"/>
          <w:color w:val="auto"/>
          <w:sz w:val="24"/>
          <w:highlight w:val="none"/>
        </w:rPr>
      </w:pPr>
      <w:r>
        <w:rPr>
          <w:rFonts w:hint="eastAsia" w:ascii="仿宋" w:hAnsi="仿宋" w:eastAsia="仿宋" w:cs="仿宋"/>
          <w:bCs/>
          <w:color w:val="auto"/>
          <w:sz w:val="24"/>
          <w:highlight w:val="none"/>
        </w:rPr>
        <w:t>平台发起询标函，投标人在规定时间内通过广西政府采购云平台确认，投标人的确认应当加盖CA电子签章。修正后的报价按照87号令第五十一条第二款的规定经投标人确认后产生约束力，投标人不确认的，其投标无效。</w:t>
      </w:r>
    </w:p>
    <w:p w14:paraId="4FD88CBF">
      <w:pPr>
        <w:pStyle w:val="6"/>
        <w:keepNext w:val="0"/>
        <w:keepLines w:val="0"/>
        <w:spacing w:before="0" w:after="0" w:line="360" w:lineRule="auto"/>
        <w:ind w:firstLine="480"/>
        <w:rPr>
          <w:rFonts w:hint="eastAsia" w:ascii="仿宋" w:hAnsi="仿宋" w:eastAsia="仿宋" w:cs="仿宋"/>
          <w:color w:val="auto"/>
          <w:sz w:val="24"/>
          <w:highlight w:val="none"/>
        </w:rPr>
      </w:pPr>
      <w:r>
        <w:rPr>
          <w:rFonts w:hint="eastAsia" w:ascii="仿宋" w:hAnsi="仿宋" w:eastAsia="仿宋" w:cs="仿宋"/>
          <w:b w:val="0"/>
          <w:color w:val="auto"/>
          <w:sz w:val="24"/>
          <w:highlight w:val="none"/>
        </w:rPr>
        <w:t>4.2经投标人确认修正后的报价若超过采购预算金额或者最高限价，</w:t>
      </w:r>
      <w:r>
        <w:rPr>
          <w:rFonts w:hint="eastAsia" w:ascii="仿宋" w:hAnsi="仿宋" w:eastAsia="仿宋" w:cs="仿宋"/>
          <w:color w:val="auto"/>
          <w:sz w:val="24"/>
          <w:highlight w:val="none"/>
        </w:rPr>
        <w:t>投标人的投标文件作无效投标处理</w:t>
      </w:r>
      <w:r>
        <w:rPr>
          <w:rFonts w:hint="eastAsia" w:ascii="仿宋" w:hAnsi="仿宋" w:eastAsia="仿宋" w:cs="仿宋"/>
          <w:b w:val="0"/>
          <w:color w:val="auto"/>
          <w:sz w:val="24"/>
          <w:highlight w:val="none"/>
        </w:rPr>
        <w:t>。</w:t>
      </w:r>
    </w:p>
    <w:p w14:paraId="419C4CC2">
      <w:pPr>
        <w:pStyle w:val="6"/>
        <w:keepNext w:val="0"/>
        <w:keepLines w:val="0"/>
        <w:spacing w:before="0" w:after="0" w:line="360" w:lineRule="auto"/>
        <w:ind w:firstLine="480"/>
        <w:rPr>
          <w:rFonts w:hint="eastAsia" w:ascii="仿宋" w:hAnsi="仿宋" w:eastAsia="仿宋" w:cs="仿宋"/>
          <w:color w:val="auto"/>
          <w:sz w:val="24"/>
          <w:highlight w:val="none"/>
        </w:rPr>
      </w:pPr>
      <w:r>
        <w:rPr>
          <w:rFonts w:hint="eastAsia" w:ascii="仿宋" w:hAnsi="仿宋" w:eastAsia="仿宋" w:cs="仿宋"/>
          <w:b w:val="0"/>
          <w:bCs/>
          <w:color w:val="auto"/>
          <w:sz w:val="24"/>
          <w:highlight w:val="none"/>
        </w:rPr>
        <w:t>4.3经投标人确认修正后的报价作为签订合同的依据，并以此报价计算价格分。</w:t>
      </w:r>
    </w:p>
    <w:p w14:paraId="2439925C">
      <w:pPr>
        <w:pStyle w:val="6"/>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5.比较与评价</w:t>
      </w:r>
    </w:p>
    <w:p w14:paraId="4FB08BC4">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（1）评标委员会按照招标文件中规定的评标方法和评标标准，对符合性审查合格的投标文</w:t>
      </w:r>
    </w:p>
    <w:p w14:paraId="42EECED2">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件进行商务和技术评估，综合比较与评价。</w:t>
      </w:r>
    </w:p>
    <w:p w14:paraId="5E81285A">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（2）评标委员会独立对每个投标人的投标文件进行评价，并汇总每个投标人的得分。</w:t>
      </w:r>
    </w:p>
    <w:p w14:paraId="1BF5EB46">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评标委员会认为投标人的报价明显低于其他通过符合性审查投标人的报价，有可能影响产</w:t>
      </w:r>
    </w:p>
    <w:p w14:paraId="444FA975">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品质量或者不能诚信履约的，应当通过广西政府采购云平台发起询标函，要求其在评标现场合理的时间内通过广西政府采购云平台提供书面说明，必要时提交相关证明材料；投标人不能证明其报价合理性的，</w:t>
      </w:r>
      <w:r>
        <w:rPr>
          <w:rFonts w:hint="eastAsia" w:ascii="仿宋" w:hAnsi="仿宋" w:eastAsia="仿宋" w:cs="仿宋"/>
          <w:color w:val="auto"/>
          <w:sz w:val="24"/>
          <w:highlight w:val="none"/>
        </w:rPr>
        <w:t>评标委员会将其作为无效投标处理</w:t>
      </w:r>
      <w:r>
        <w:rPr>
          <w:rFonts w:hint="eastAsia" w:ascii="仿宋" w:hAnsi="仿宋" w:eastAsia="仿宋" w:cs="仿宋"/>
          <w:b w:val="0"/>
          <w:bCs/>
          <w:color w:val="auto"/>
          <w:sz w:val="24"/>
          <w:highlight w:val="none"/>
        </w:rPr>
        <w:t>。</w:t>
      </w:r>
    </w:p>
    <w:p w14:paraId="3F24BCDA">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（3）评标委员会按照招标文件中规定的评标方法和标准计算各投标人的报价得分。在计算</w:t>
      </w:r>
    </w:p>
    <w:p w14:paraId="7F6DDEBE">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过程中，不得去掉最高报价或者最低报价。</w:t>
      </w:r>
    </w:p>
    <w:p w14:paraId="35072047">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（4）各投标人的得分为所有评委的有效评分的算术平均数。</w:t>
      </w:r>
    </w:p>
    <w:p w14:paraId="6D6E0401">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（5）评标委员会按照招标文件中的规定推荐中标候选人。</w:t>
      </w:r>
    </w:p>
    <w:p w14:paraId="309C8DC1">
      <w:pPr>
        <w:pStyle w:val="6"/>
        <w:keepNext w:val="0"/>
        <w:keepLines w:val="0"/>
        <w:spacing w:before="0" w:after="0" w:line="360" w:lineRule="auto"/>
        <w:ind w:left="420" w:left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（6）起草并签署评标报告。评标委员会根据评标委员会成员签字的原始评标记录和评标结</w:t>
      </w:r>
    </w:p>
    <w:p w14:paraId="00F6F477">
      <w:pPr>
        <w:pStyle w:val="6"/>
        <w:keepNext w:val="0"/>
        <w:keepLines w:val="0"/>
        <w:numPr>
          <w:ilvl w:val="4"/>
          <w:numId w:val="0"/>
        </w:numPr>
        <w:spacing w:before="0" w:after="0" w:line="360" w:lineRule="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1D0D3A6C">
      <w:pPr>
        <w:pStyle w:val="6"/>
        <w:keepNext w:val="0"/>
        <w:keepLines w:val="0"/>
        <w:spacing w:before="0" w:after="0" w:line="240" w:lineRule="auto"/>
        <w:ind w:left="420" w:leftChars="200"/>
        <w:rPr>
          <w:rFonts w:hint="eastAsia" w:ascii="仿宋" w:hAnsi="仿宋" w:eastAsia="仿宋" w:cs="仿宋"/>
          <w:b w:val="0"/>
          <w:color w:val="auto"/>
          <w:sz w:val="21"/>
          <w:szCs w:val="21"/>
          <w:highlight w:val="none"/>
        </w:rPr>
      </w:pPr>
    </w:p>
    <w:p w14:paraId="1F86F5C3">
      <w:pPr>
        <w:pStyle w:val="4"/>
        <w:keepNext w:val="0"/>
        <w:keepLines w:val="0"/>
        <w:jc w:val="center"/>
        <w:rPr>
          <w:rFonts w:hint="eastAsia" w:ascii="仿宋" w:hAnsi="仿宋" w:eastAsia="仿宋" w:cs="仿宋"/>
          <w:color w:val="auto"/>
          <w:highlight w:val="none"/>
        </w:rPr>
      </w:pPr>
      <w:r>
        <w:rPr>
          <w:rFonts w:hint="eastAsia" w:ascii="仿宋" w:hAnsi="仿宋" w:eastAsia="仿宋" w:cs="仿宋"/>
          <w:color w:val="auto"/>
          <w:highlight w:val="none"/>
        </w:rPr>
        <w:br w:type="page"/>
      </w:r>
      <w:r>
        <w:rPr>
          <w:rFonts w:hint="eastAsia" w:ascii="仿宋" w:hAnsi="仿宋" w:eastAsia="仿宋" w:cs="仿宋"/>
          <w:color w:val="auto"/>
          <w:highlight w:val="none"/>
        </w:rPr>
        <w:t>三、01分标评标标准（综合评分法，计分方法按四舍五入取至百分位）</w:t>
      </w:r>
    </w:p>
    <w:tbl>
      <w:tblPr>
        <w:tblStyle w:val="45"/>
        <w:tblW w:w="10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985"/>
        <w:gridCol w:w="290"/>
        <w:gridCol w:w="1275"/>
        <w:gridCol w:w="6411"/>
        <w:gridCol w:w="734"/>
      </w:tblGrid>
      <w:tr w14:paraId="7EB3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Align w:val="center"/>
          </w:tcPr>
          <w:p w14:paraId="178F057C">
            <w:pPr>
              <w:adjustRightInd w:val="0"/>
              <w:spacing w:line="360" w:lineRule="auto"/>
              <w:jc w:val="center"/>
              <w:textAlignment w:val="baseline"/>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序号</w:t>
            </w:r>
          </w:p>
        </w:tc>
        <w:tc>
          <w:tcPr>
            <w:tcW w:w="985" w:type="dxa"/>
            <w:vAlign w:val="center"/>
          </w:tcPr>
          <w:p w14:paraId="64D21463">
            <w:pPr>
              <w:adjustRightInd w:val="0"/>
              <w:spacing w:line="360" w:lineRule="auto"/>
              <w:jc w:val="center"/>
              <w:textAlignment w:val="baseline"/>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评分项</w:t>
            </w:r>
          </w:p>
        </w:tc>
        <w:tc>
          <w:tcPr>
            <w:tcW w:w="1565" w:type="dxa"/>
            <w:gridSpan w:val="2"/>
            <w:vAlign w:val="center"/>
          </w:tcPr>
          <w:p w14:paraId="6A651435">
            <w:pPr>
              <w:adjustRightInd w:val="0"/>
              <w:spacing w:line="360" w:lineRule="auto"/>
              <w:jc w:val="center"/>
              <w:textAlignment w:val="baseline"/>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评审因素</w:t>
            </w:r>
          </w:p>
        </w:tc>
        <w:tc>
          <w:tcPr>
            <w:tcW w:w="6411" w:type="dxa"/>
            <w:vAlign w:val="center"/>
          </w:tcPr>
          <w:p w14:paraId="42C52F89">
            <w:pPr>
              <w:adjustRightInd w:val="0"/>
              <w:spacing w:line="360" w:lineRule="auto"/>
              <w:jc w:val="center"/>
              <w:textAlignment w:val="baseline"/>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评审因素具体内容</w:t>
            </w:r>
          </w:p>
        </w:tc>
        <w:tc>
          <w:tcPr>
            <w:tcW w:w="734" w:type="dxa"/>
            <w:vAlign w:val="center"/>
          </w:tcPr>
          <w:p w14:paraId="21BD8565">
            <w:pPr>
              <w:adjustRightInd w:val="0"/>
              <w:spacing w:line="360" w:lineRule="auto"/>
              <w:jc w:val="center"/>
              <w:textAlignment w:val="baseline"/>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分值</w:t>
            </w:r>
          </w:p>
        </w:tc>
      </w:tr>
      <w:tr w14:paraId="2CAD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Align w:val="center"/>
          </w:tcPr>
          <w:p w14:paraId="3CACEEDE">
            <w:pPr>
              <w:adjustRightInd w:val="0"/>
              <w:spacing w:line="360" w:lineRule="auto"/>
              <w:jc w:val="center"/>
              <w:textAlignment w:val="baseline"/>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1</w:t>
            </w:r>
          </w:p>
        </w:tc>
        <w:tc>
          <w:tcPr>
            <w:tcW w:w="2550" w:type="dxa"/>
            <w:gridSpan w:val="3"/>
            <w:vAlign w:val="center"/>
          </w:tcPr>
          <w:p w14:paraId="51549024">
            <w:pPr>
              <w:adjustRightInd w:val="0"/>
              <w:spacing w:line="360" w:lineRule="auto"/>
              <w:jc w:val="center"/>
              <w:textAlignment w:val="baseline"/>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价格分</w:t>
            </w:r>
          </w:p>
          <w:p w14:paraId="342A9895">
            <w:pPr>
              <w:adjustRightInd w:val="0"/>
              <w:spacing w:line="360" w:lineRule="auto"/>
              <w:jc w:val="center"/>
              <w:textAlignment w:val="baseline"/>
              <w:rPr>
                <w:rFonts w:hint="eastAsia" w:ascii="仿宋" w:hAnsi="仿宋" w:eastAsia="仿宋" w:cs="仿宋"/>
                <w:color w:val="auto"/>
                <w:szCs w:val="21"/>
                <w:highlight w:val="none"/>
              </w:rPr>
            </w:pPr>
            <w:r>
              <w:rPr>
                <w:rFonts w:hint="eastAsia" w:ascii="仿宋" w:hAnsi="仿宋" w:eastAsia="仿宋" w:cs="仿宋"/>
                <w:color w:val="auto"/>
                <w:szCs w:val="21"/>
                <w:highlight w:val="none"/>
              </w:rPr>
              <w:t>（满分</w:t>
            </w:r>
            <w:r>
              <w:rPr>
                <w:rFonts w:hint="eastAsia" w:ascii="仿宋" w:hAnsi="仿宋" w:eastAsia="仿宋" w:cs="仿宋"/>
                <w:color w:val="auto"/>
                <w:szCs w:val="21"/>
                <w:highlight w:val="none"/>
                <w:u w:val="single"/>
              </w:rPr>
              <w:t>30</w:t>
            </w:r>
            <w:r>
              <w:rPr>
                <w:rFonts w:hint="eastAsia" w:ascii="仿宋" w:hAnsi="仿宋" w:eastAsia="仿宋" w:cs="仿宋"/>
                <w:color w:val="auto"/>
                <w:szCs w:val="21"/>
                <w:highlight w:val="none"/>
              </w:rPr>
              <w:t>分）</w:t>
            </w:r>
          </w:p>
        </w:tc>
        <w:tc>
          <w:tcPr>
            <w:tcW w:w="6411" w:type="dxa"/>
            <w:vAlign w:val="center"/>
          </w:tcPr>
          <w:p w14:paraId="612C6E5C">
            <w:pPr>
              <w:snapToGrid w:val="0"/>
              <w:spacing w:line="360" w:lineRule="auto"/>
              <w:ind w:firstLine="233" w:firstLineChars="111"/>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（1）评标报价为投标人的投标报价进行政策性扣除后的价格，评标报价只是作为评标时使用。最终中标人的中标金额等于投标报价。</w:t>
            </w:r>
          </w:p>
          <w:p w14:paraId="00929E49">
            <w:pPr>
              <w:snapToGrid w:val="0"/>
              <w:spacing w:line="360" w:lineRule="auto"/>
              <w:ind w:firstLine="233" w:firstLineChars="111"/>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2）按照《政府采购促进中小企业发展暂行办法》（财库〔2020〕46号）的规定，投标人为小型和微型企业，并在其投标文件中提供《中小企业声明函》，且其所投标产品全部为小型和微型企业产品的，对其投标价格给予20%的扣除。</w:t>
            </w:r>
          </w:p>
          <w:p w14:paraId="13CF085A">
            <w:pPr>
              <w:snapToGrid w:val="0"/>
              <w:spacing w:line="360" w:lineRule="auto"/>
              <w:ind w:firstLine="233" w:firstLineChars="111"/>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08801029">
            <w:pPr>
              <w:snapToGrid w:val="0"/>
              <w:spacing w:line="360" w:lineRule="auto"/>
              <w:ind w:firstLine="233" w:firstLineChars="111"/>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3F89AFF">
            <w:pPr>
              <w:snapToGrid w:val="0"/>
              <w:spacing w:line="360" w:lineRule="auto"/>
              <w:ind w:firstLine="233" w:firstLineChars="111"/>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（5）政策性扣除计算方法。</w:t>
            </w:r>
          </w:p>
          <w:p w14:paraId="635EFD44">
            <w:pPr>
              <w:pStyle w:val="23"/>
              <w:spacing w:line="360" w:lineRule="auto"/>
              <w:ind w:firstLine="420" w:firstLineChars="200"/>
              <w:rPr>
                <w:rFonts w:hint="eastAsia" w:ascii="仿宋" w:hAnsi="仿宋" w:eastAsia="仿宋" w:cs="仿宋"/>
                <w:bCs/>
                <w:color w:val="auto"/>
                <w:sz w:val="21"/>
                <w:highlight w:val="none"/>
              </w:rPr>
            </w:pPr>
            <w:r>
              <w:rPr>
                <w:rFonts w:hint="eastAsia" w:ascii="仿宋" w:hAnsi="仿宋" w:eastAsia="仿宋" w:cs="仿宋"/>
                <w:bCs/>
                <w:color w:val="auto"/>
                <w:sz w:val="21"/>
                <w:highlight w:val="none"/>
              </w:rPr>
              <w:t>投标人被评定为监狱企业或者残疾人福利性单位或者小型和微型企业且其所投标全部产品为小型和微型企业产品的，该投标人的投标报价给予20%的扣除，扣除后的价格为评标报价，即评标报价=投标报价×（1-20%）。</w:t>
            </w:r>
          </w:p>
          <w:p w14:paraId="4E270CFB">
            <w:pPr>
              <w:snapToGrid w:val="0"/>
              <w:spacing w:line="360" w:lineRule="auto"/>
              <w:ind w:firstLine="233" w:firstLineChars="111"/>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（6）满足招标文件要求且评标报价最低的评标报价为评标基准价，基准价报价得分为</w:t>
            </w:r>
            <w:r>
              <w:rPr>
                <w:rFonts w:hint="eastAsia" w:ascii="仿宋" w:hAnsi="仿宋" w:eastAsia="仿宋" w:cs="仿宋"/>
                <w:bCs/>
                <w:color w:val="auto"/>
                <w:szCs w:val="21"/>
                <w:highlight w:val="none"/>
                <w:u w:val="single"/>
              </w:rPr>
              <w:t>30</w:t>
            </w:r>
            <w:r>
              <w:rPr>
                <w:rFonts w:hint="eastAsia" w:ascii="仿宋" w:hAnsi="仿宋" w:eastAsia="仿宋" w:cs="仿宋"/>
                <w:bCs/>
                <w:color w:val="auto"/>
                <w:szCs w:val="21"/>
                <w:highlight w:val="none"/>
              </w:rPr>
              <w:t>分。</w:t>
            </w:r>
          </w:p>
          <w:p w14:paraId="4B29D14D">
            <w:pPr>
              <w:spacing w:line="360" w:lineRule="auto"/>
              <w:ind w:firstLine="233" w:firstLineChars="111"/>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 xml:space="preserve">（7）价格分计算公式：        </w:t>
            </w:r>
          </w:p>
          <w:p w14:paraId="1E4F41D4">
            <w:pPr>
              <w:pStyle w:val="23"/>
              <w:spacing w:line="360" w:lineRule="auto"/>
              <w:ind w:firstLine="233" w:firstLineChars="111"/>
              <w:rPr>
                <w:rFonts w:hint="eastAsia" w:ascii="仿宋" w:hAnsi="仿宋" w:eastAsia="仿宋" w:cs="仿宋"/>
                <w:bCs/>
                <w:color w:val="auto"/>
                <w:kern w:val="2"/>
                <w:sz w:val="21"/>
                <w:highlight w:val="none"/>
              </w:rPr>
            </w:pPr>
            <w:r>
              <w:rPr>
                <w:rFonts w:hint="eastAsia" w:ascii="仿宋" w:hAnsi="仿宋" w:eastAsia="仿宋" w:cs="仿宋"/>
                <w:bCs/>
                <w:color w:val="auto"/>
                <w:sz w:val="21"/>
                <w:highlight w:val="none"/>
              </w:rPr>
              <w:t>价格分</w:t>
            </w:r>
            <w:r>
              <w:rPr>
                <w:rFonts w:hint="eastAsia" w:ascii="仿宋" w:hAnsi="仿宋" w:eastAsia="仿宋" w:cs="仿宋"/>
                <w:bCs/>
                <w:color w:val="auto"/>
                <w:kern w:val="2"/>
                <w:sz w:val="21"/>
                <w:highlight w:val="none"/>
              </w:rPr>
              <w:t>=(评标基准价／评标报价)×</w:t>
            </w:r>
            <w:r>
              <w:rPr>
                <w:rFonts w:hint="eastAsia" w:ascii="仿宋" w:hAnsi="仿宋" w:eastAsia="仿宋" w:cs="仿宋"/>
                <w:bCs/>
                <w:color w:val="auto"/>
                <w:sz w:val="21"/>
                <w:highlight w:val="none"/>
                <w:u w:val="single"/>
              </w:rPr>
              <w:t>30</w:t>
            </w:r>
            <w:r>
              <w:rPr>
                <w:rFonts w:hint="eastAsia" w:ascii="仿宋" w:hAnsi="仿宋" w:eastAsia="仿宋" w:cs="仿宋"/>
                <w:bCs/>
                <w:color w:val="auto"/>
                <w:kern w:val="2"/>
                <w:sz w:val="21"/>
                <w:highlight w:val="none"/>
              </w:rPr>
              <w:t>分</w:t>
            </w:r>
          </w:p>
          <w:p w14:paraId="619D2719">
            <w:pPr>
              <w:snapToGrid w:val="0"/>
              <w:spacing w:line="360" w:lineRule="auto"/>
              <w:ind w:firstLine="234" w:firstLineChars="111"/>
              <w:rPr>
                <w:color w:val="auto"/>
                <w:highlight w:val="none"/>
              </w:rPr>
            </w:pPr>
            <w:r>
              <w:rPr>
                <w:rFonts w:hint="eastAsia" w:ascii="仿宋" w:hAnsi="仿宋" w:eastAsia="仿宋" w:cs="仿宋"/>
                <w:b/>
                <w:color w:val="auto"/>
                <w:szCs w:val="21"/>
                <w:highlight w:val="none"/>
              </w:rPr>
              <w:t>注：为了确保采购项目的质量和维护公平的竞争及合同的正常履行，根据《中华人民共和国财政部第87 号令》第六十条的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 【相关证明材料应为：投标人自身出具的产品（服务）详细价格构成说明函原件[包括进货（服务）成本、管理费用、人员成本构成、物流运输成本、税收等所有成本和利润]，同时提供（包含但不限于） 以下支撑证明材料：①近两年经第三方具备审计资质的机构出具的审计报告[包括其固定资产成本及折旧、管理成本、人工费成本（如人员工资、奖金、福利及差旅等费用）、技术成本、税收等所有成本及利润）]复印件；②提供至少 2 个类似业绩的费用成本组成明细（并同时提供该业绩中标通知书或合同复印件），所有相关货物生产厂家（服务提供）的联系人和固定联系电话以供确认。以上资料必须齐全，如在规定时间内提供不全或不提供或者评标委员会认定其材料不能详尽合理说明其成本的，或者相关资料真实性及合理性不被评标委员会完全接受的，评标委员会有权将该报价视为“低于成本 ”或者“ 明显不合理并有可能影响商品质量或不能诚信履约 ”】。</w:t>
            </w:r>
          </w:p>
        </w:tc>
        <w:tc>
          <w:tcPr>
            <w:tcW w:w="734" w:type="dxa"/>
            <w:vAlign w:val="center"/>
          </w:tcPr>
          <w:p w14:paraId="64F1D60D">
            <w:pPr>
              <w:pStyle w:val="23"/>
              <w:spacing w:line="360" w:lineRule="auto"/>
              <w:jc w:val="center"/>
              <w:rPr>
                <w:rFonts w:hint="eastAsia" w:ascii="仿宋" w:hAnsi="仿宋" w:eastAsia="仿宋" w:cs="仿宋"/>
                <w:b/>
                <w:bCs/>
                <w:color w:val="auto"/>
                <w:sz w:val="21"/>
                <w:highlight w:val="none"/>
              </w:rPr>
            </w:pPr>
            <w:r>
              <w:rPr>
                <w:rFonts w:hint="eastAsia" w:ascii="仿宋" w:hAnsi="仿宋" w:eastAsia="仿宋" w:cs="仿宋"/>
                <w:b/>
                <w:bCs/>
                <w:color w:val="auto"/>
                <w:sz w:val="21"/>
                <w:highlight w:val="none"/>
              </w:rPr>
              <w:t>30</w:t>
            </w:r>
          </w:p>
        </w:tc>
      </w:tr>
      <w:tr w14:paraId="6589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669" w:type="dxa"/>
            <w:vMerge w:val="restart"/>
            <w:vAlign w:val="center"/>
          </w:tcPr>
          <w:p w14:paraId="1CF0B6B7">
            <w:pPr>
              <w:adjustRightInd w:val="0"/>
              <w:spacing w:line="360" w:lineRule="auto"/>
              <w:jc w:val="center"/>
              <w:textAlignment w:val="baseline"/>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2</w:t>
            </w:r>
          </w:p>
        </w:tc>
        <w:tc>
          <w:tcPr>
            <w:tcW w:w="1275" w:type="dxa"/>
            <w:gridSpan w:val="2"/>
            <w:vMerge w:val="restart"/>
            <w:vAlign w:val="center"/>
          </w:tcPr>
          <w:p w14:paraId="599E4047">
            <w:pPr>
              <w:adjustRightInd w:val="0"/>
              <w:spacing w:line="360" w:lineRule="auto"/>
              <w:jc w:val="center"/>
              <w:textAlignment w:val="baseline"/>
              <w:rPr>
                <w:rFonts w:hint="eastAsia" w:ascii="仿宋" w:hAnsi="仿宋" w:eastAsia="仿宋" w:cs="仿宋"/>
                <w:bCs/>
                <w:color w:val="auto"/>
                <w:szCs w:val="21"/>
                <w:highlight w:val="none"/>
              </w:rPr>
            </w:pPr>
            <w:r>
              <w:rPr>
                <w:rFonts w:hint="eastAsia" w:ascii="仿宋" w:hAnsi="仿宋" w:eastAsia="仿宋" w:cs="仿宋"/>
                <w:b/>
                <w:color w:val="auto"/>
                <w:szCs w:val="21"/>
                <w:highlight w:val="none"/>
              </w:rPr>
              <w:t>技术分</w:t>
            </w:r>
            <w:r>
              <w:rPr>
                <w:rFonts w:hint="eastAsia" w:ascii="仿宋" w:hAnsi="仿宋" w:eastAsia="仿宋" w:cs="仿宋"/>
                <w:bCs/>
                <w:color w:val="auto"/>
                <w:szCs w:val="21"/>
                <w:highlight w:val="none"/>
              </w:rPr>
              <w:t>（满分50分）</w:t>
            </w:r>
          </w:p>
        </w:tc>
        <w:tc>
          <w:tcPr>
            <w:tcW w:w="1275" w:type="dxa"/>
            <w:vAlign w:val="center"/>
          </w:tcPr>
          <w:p w14:paraId="2714CDAB">
            <w:pPr>
              <w:adjustRightInd w:val="0"/>
              <w:spacing w:line="360" w:lineRule="auto"/>
              <w:jc w:val="center"/>
              <w:textAlignment w:val="baseline"/>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勘察设计方案（满分12分）</w:t>
            </w:r>
          </w:p>
        </w:tc>
        <w:tc>
          <w:tcPr>
            <w:tcW w:w="6411" w:type="dxa"/>
            <w:tcMar>
              <w:left w:w="57" w:type="dxa"/>
              <w:right w:w="57" w:type="dxa"/>
            </w:tcMar>
            <w:vAlign w:val="center"/>
          </w:tcPr>
          <w:p w14:paraId="6422E5D9">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由评委根据各投标人所提供的勘察设计方案进行比较后，由各评委在各个档次内独立打分。</w:t>
            </w:r>
          </w:p>
          <w:p w14:paraId="29D88FAC">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一档（3分）：投标人对项目背景情况基本不了解，不符合项目实际，无调研 / 勘察报告；监控点位无 / 不合理可视域分析；无监控塔及高位监控安装设计图 / 图纸不规范；协调计划无节点（不可操作）；设计说明未达招标要求；思路混乱，无方案对比，无法满足基本实施需求。</w:t>
            </w:r>
          </w:p>
          <w:p w14:paraId="740C8B27">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二档（6分）：投标人对项目背景情况有一定的了解，部分贴合实际，有简要调研/勘察报告；主要点位有可视域分析；监控塔及高位监控安装图基本完整（需优化细节）；协调计划满足核心需求；设计说明基本符合招标要求；思路基本清晰，方案对比不深入，部分指标需调整</w:t>
            </w:r>
          </w:p>
          <w:p w14:paraId="204356EC">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三档（9分）：投标人对项目背景情况有一定深度的了解，较切合实际，有基本完整调研 / 勘察报告；每个点位可视域分析合理；监控塔及高位监控安装图完整；协调计划满足多场景需求；设计说明完全符合招标要求；思路清晰，方案对比完整，指标合理，支撑项目实施。</w:t>
            </w:r>
          </w:p>
          <w:p w14:paraId="526A6A09">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四档(12分)：投标对项目背景情况有全面深度的了解，贴合地形/监控需求/全流程，有规范调研/勘察报告；每个点位科学可视域分析；监控塔及高位监控安装图完整规范；协调计划明确节点 / 分工；设计说明超招标要求；思路清晰完整，多方案对比详实，指标达标，保障项目高效落地。</w:t>
            </w:r>
          </w:p>
        </w:tc>
        <w:tc>
          <w:tcPr>
            <w:tcW w:w="734" w:type="dxa"/>
            <w:tcMar>
              <w:left w:w="57" w:type="dxa"/>
              <w:right w:w="57" w:type="dxa"/>
            </w:tcMar>
            <w:vAlign w:val="center"/>
          </w:tcPr>
          <w:p w14:paraId="5772ADFD">
            <w:pPr>
              <w:spacing w:line="360" w:lineRule="auto"/>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12</w:t>
            </w:r>
          </w:p>
        </w:tc>
      </w:tr>
      <w:tr w14:paraId="0A7C0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669" w:type="dxa"/>
            <w:vMerge w:val="continue"/>
            <w:vAlign w:val="center"/>
          </w:tcPr>
          <w:p w14:paraId="6E5D203E">
            <w:pPr>
              <w:adjustRightInd w:val="0"/>
              <w:spacing w:line="360" w:lineRule="auto"/>
              <w:jc w:val="center"/>
              <w:textAlignment w:val="baseline"/>
              <w:rPr>
                <w:rFonts w:hint="eastAsia" w:ascii="仿宋" w:hAnsi="仿宋" w:eastAsia="仿宋" w:cs="仿宋"/>
                <w:b/>
                <w:color w:val="auto"/>
                <w:szCs w:val="21"/>
                <w:highlight w:val="none"/>
              </w:rPr>
            </w:pPr>
          </w:p>
        </w:tc>
        <w:tc>
          <w:tcPr>
            <w:tcW w:w="1275" w:type="dxa"/>
            <w:gridSpan w:val="2"/>
            <w:vMerge w:val="continue"/>
            <w:vAlign w:val="center"/>
          </w:tcPr>
          <w:p w14:paraId="05AAE1E3">
            <w:pPr>
              <w:adjustRightInd w:val="0"/>
              <w:spacing w:line="360" w:lineRule="auto"/>
              <w:jc w:val="center"/>
              <w:textAlignment w:val="baseline"/>
              <w:rPr>
                <w:rFonts w:hint="eastAsia" w:ascii="仿宋" w:hAnsi="仿宋" w:eastAsia="仿宋" w:cs="仿宋"/>
                <w:bCs/>
                <w:color w:val="auto"/>
                <w:szCs w:val="21"/>
                <w:highlight w:val="none"/>
              </w:rPr>
            </w:pPr>
          </w:p>
        </w:tc>
        <w:tc>
          <w:tcPr>
            <w:tcW w:w="1275" w:type="dxa"/>
            <w:vAlign w:val="center"/>
          </w:tcPr>
          <w:p w14:paraId="07A88295">
            <w:pPr>
              <w:adjustRightInd w:val="0"/>
              <w:spacing w:line="360" w:lineRule="auto"/>
              <w:jc w:val="center"/>
              <w:textAlignment w:val="baseline"/>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实施方案 （满分14分）</w:t>
            </w:r>
          </w:p>
        </w:tc>
        <w:tc>
          <w:tcPr>
            <w:tcW w:w="6411" w:type="dxa"/>
            <w:tcMar>
              <w:left w:w="57" w:type="dxa"/>
              <w:right w:w="57" w:type="dxa"/>
            </w:tcMar>
            <w:vAlign w:val="center"/>
          </w:tcPr>
          <w:p w14:paraId="66A63BAF">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由评委根据各投标人所提供的实施方案进行比较后，由各评委在各个档次内独立打分。</w:t>
            </w:r>
          </w:p>
          <w:p w14:paraId="124C9333">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一档（3分）：投标人了解新建铁塔及林火监控设备挂载项目基本内容，提供的实施方案包含核心实施步骤，表述清晰，可满足项目实施的基本认知需求。</w:t>
            </w:r>
          </w:p>
          <w:p w14:paraId="1EB7D137">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二档（6分）：投标人清楚项目核心要求，实施方案描述较详细，包含初步实施日程、基础人员分工及关键步骤，具备一定可操作性；但在工序衔接逻辑、户外施工基础保障措施等方面仍需补充完善。</w:t>
            </w:r>
          </w:p>
          <w:p w14:paraId="0CE1DB9D">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三档（9分）：投标人深入了解项目工程特性，实施方案内容详实，技术路线成熟，包含完整实施日程、明确的岗位职责分工及全流程实施步骤，所投入项目施工实施人员不低于30人，且均具备《中华人民共和国特种作业操作证》（作业类别高处作业）；配备基础的项目管理体系，步骤衔接清晰、分工合理，兼顾户外作业特点，可操作性较强</w:t>
            </w:r>
          </w:p>
          <w:p w14:paraId="4FB2C517">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四档（14分）：投标人全面掌握项目技术要求与施工要点，实施方案详细全面，技术成熟可行，包含针对性的质量控制、安全生产、进度管控措施及精准实施日程；完整覆盖构件/设备采购检验、仓储运输、基础施工、塔身组装、设备挂载调试、竣工资料归档等全流程；实施步骤细化、人员职责分工精准，所投入项目施工实施人员不低于40人，且均具备《中华人民共和国特种作业操作证》（作业类别高处作业），制定基础管理文档计划，能有效保障项目高效有序落地。</w:t>
            </w:r>
          </w:p>
          <w:p w14:paraId="183FDFE5">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注：投标人根据本项目涉及的地市情况在投标文件实施方案中提供项目实施团队人员名单，以及投标人或下属管理机构地市分公司（如有）为实施团队人员缴纳投标截止之日前半年内连续三个月的社保证明材料或聘用合同扫描件，并加盖投标人电子公章。中标后，采购单位有权要求中标供应商提供以上人员在该单位的社保证明原件进行核查，无法提供的，按照虚假应标处理。</w:t>
            </w:r>
          </w:p>
        </w:tc>
        <w:tc>
          <w:tcPr>
            <w:tcW w:w="734" w:type="dxa"/>
            <w:tcMar>
              <w:left w:w="57" w:type="dxa"/>
              <w:right w:w="57" w:type="dxa"/>
            </w:tcMar>
            <w:vAlign w:val="center"/>
          </w:tcPr>
          <w:p w14:paraId="657D142E">
            <w:pPr>
              <w:spacing w:line="360" w:lineRule="auto"/>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14</w:t>
            </w:r>
          </w:p>
        </w:tc>
      </w:tr>
      <w:tr w14:paraId="4ED9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669" w:type="dxa"/>
            <w:vMerge w:val="continue"/>
            <w:vAlign w:val="center"/>
          </w:tcPr>
          <w:p w14:paraId="532CE4E0">
            <w:pPr>
              <w:adjustRightInd w:val="0"/>
              <w:spacing w:line="360" w:lineRule="auto"/>
              <w:jc w:val="center"/>
              <w:textAlignment w:val="baseline"/>
              <w:rPr>
                <w:rFonts w:hint="eastAsia" w:ascii="仿宋" w:hAnsi="仿宋" w:eastAsia="仿宋" w:cs="仿宋"/>
                <w:b/>
                <w:color w:val="auto"/>
                <w:szCs w:val="21"/>
                <w:highlight w:val="none"/>
              </w:rPr>
            </w:pPr>
          </w:p>
        </w:tc>
        <w:tc>
          <w:tcPr>
            <w:tcW w:w="1275" w:type="dxa"/>
            <w:gridSpan w:val="2"/>
            <w:vMerge w:val="continue"/>
            <w:vAlign w:val="center"/>
          </w:tcPr>
          <w:p w14:paraId="7C554BCC">
            <w:pPr>
              <w:adjustRightInd w:val="0"/>
              <w:spacing w:line="360" w:lineRule="auto"/>
              <w:jc w:val="center"/>
              <w:textAlignment w:val="baseline"/>
              <w:rPr>
                <w:rFonts w:hint="eastAsia" w:ascii="仿宋" w:hAnsi="仿宋" w:eastAsia="仿宋" w:cs="仿宋"/>
                <w:bCs/>
                <w:color w:val="auto"/>
                <w:szCs w:val="21"/>
                <w:highlight w:val="none"/>
              </w:rPr>
            </w:pPr>
          </w:p>
        </w:tc>
        <w:tc>
          <w:tcPr>
            <w:tcW w:w="1275" w:type="dxa"/>
            <w:vAlign w:val="center"/>
          </w:tcPr>
          <w:p w14:paraId="6F49DCEC">
            <w:pPr>
              <w:adjustRightInd w:val="0"/>
              <w:spacing w:line="360" w:lineRule="auto"/>
              <w:jc w:val="center"/>
              <w:textAlignment w:val="baseline"/>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设备性能参数指标 （满分 12分）</w:t>
            </w:r>
          </w:p>
        </w:tc>
        <w:tc>
          <w:tcPr>
            <w:tcW w:w="6411" w:type="dxa"/>
            <w:tcMar>
              <w:left w:w="57" w:type="dxa"/>
              <w:right w:w="57" w:type="dxa"/>
            </w:tcMar>
            <w:vAlign w:val="center"/>
          </w:tcPr>
          <w:p w14:paraId="7FAD47D6">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根据采购需求</w:t>
            </w:r>
            <w:r>
              <w:rPr>
                <w:rFonts w:hint="eastAsia" w:ascii="仿宋" w:hAnsi="仿宋" w:eastAsia="仿宋" w:cs="仿宋"/>
                <w:bCs/>
                <w:color w:val="auto"/>
                <w:szCs w:val="21"/>
                <w:highlight w:val="none"/>
                <w:lang w:eastAsia="zh-CN"/>
              </w:rPr>
              <w:t>技术指标</w:t>
            </w:r>
            <w:r>
              <w:rPr>
                <w:rFonts w:hint="eastAsia" w:ascii="仿宋" w:hAnsi="仿宋" w:eastAsia="仿宋" w:cs="仿宋"/>
                <w:bCs/>
                <w:color w:val="auto"/>
                <w:szCs w:val="21"/>
                <w:highlight w:val="none"/>
              </w:rPr>
              <w:t>中标“</w:t>
            </w:r>
            <w:r>
              <w:rPr>
                <w:rFonts w:hint="eastAsia" w:ascii="仿宋_GB2312" w:hAnsi="仿宋_GB2312" w:eastAsia="仿宋_GB2312" w:cs="仿宋_GB2312"/>
                <w:color w:val="auto"/>
                <w:sz w:val="24"/>
                <w:highlight w:val="none"/>
              </w:rPr>
              <w:t>▲</w:t>
            </w:r>
            <w:r>
              <w:rPr>
                <w:rFonts w:hint="eastAsia" w:ascii="仿宋" w:hAnsi="仿宋" w:eastAsia="仿宋" w:cs="仿宋"/>
                <w:bCs/>
                <w:color w:val="auto"/>
                <w:szCs w:val="21"/>
                <w:highlight w:val="none"/>
              </w:rPr>
              <w:t>”的系统性能参数指标不满足的，每有 1 项不满足的扣 2 分，扣完为止。（说明：标注“</w:t>
            </w:r>
            <w:r>
              <w:rPr>
                <w:rFonts w:hint="eastAsia" w:ascii="仿宋_GB2312" w:hAnsi="仿宋_GB2312" w:eastAsia="仿宋_GB2312" w:cs="仿宋_GB2312"/>
                <w:color w:val="auto"/>
                <w:sz w:val="24"/>
                <w:highlight w:val="none"/>
              </w:rPr>
              <w:t>▲</w:t>
            </w:r>
            <w:r>
              <w:rPr>
                <w:rFonts w:hint="eastAsia" w:ascii="仿宋" w:hAnsi="仿宋" w:eastAsia="仿宋" w:cs="仿宋"/>
                <w:bCs/>
                <w:color w:val="auto"/>
                <w:szCs w:val="21"/>
                <w:highlight w:val="none"/>
              </w:rPr>
              <w:t>”的系统性能参数指标，以投标人提供国家认可的第三方检测机构出具的检测（验）证明材料扫描或复印件参数指标为准，否则评委不予采纳。采购人验收时以检验报告扫描件（加盖设备厂家公章）逐条验收，达不到要求的为虚假应标，采购人可解除合同并追究相应提供证明资料的投标人法律责任。</w:t>
            </w:r>
          </w:p>
        </w:tc>
        <w:tc>
          <w:tcPr>
            <w:tcW w:w="734" w:type="dxa"/>
            <w:tcMar>
              <w:left w:w="57" w:type="dxa"/>
              <w:right w:w="57" w:type="dxa"/>
            </w:tcMar>
            <w:vAlign w:val="center"/>
          </w:tcPr>
          <w:p w14:paraId="35A9D18E">
            <w:pPr>
              <w:spacing w:line="360" w:lineRule="auto"/>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12</w:t>
            </w:r>
          </w:p>
        </w:tc>
      </w:tr>
      <w:tr w14:paraId="1478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669" w:type="dxa"/>
            <w:vMerge w:val="continue"/>
            <w:vAlign w:val="center"/>
          </w:tcPr>
          <w:p w14:paraId="7913B15E">
            <w:pPr>
              <w:adjustRightInd w:val="0"/>
              <w:spacing w:line="360" w:lineRule="auto"/>
              <w:jc w:val="center"/>
              <w:textAlignment w:val="baseline"/>
              <w:rPr>
                <w:rFonts w:hint="eastAsia" w:ascii="仿宋" w:hAnsi="仿宋" w:eastAsia="仿宋" w:cs="仿宋"/>
                <w:b/>
                <w:color w:val="auto"/>
                <w:szCs w:val="21"/>
                <w:highlight w:val="none"/>
              </w:rPr>
            </w:pPr>
          </w:p>
        </w:tc>
        <w:tc>
          <w:tcPr>
            <w:tcW w:w="1275" w:type="dxa"/>
            <w:gridSpan w:val="2"/>
            <w:vMerge w:val="continue"/>
            <w:vAlign w:val="center"/>
          </w:tcPr>
          <w:p w14:paraId="03886767">
            <w:pPr>
              <w:adjustRightInd w:val="0"/>
              <w:spacing w:line="360" w:lineRule="auto"/>
              <w:jc w:val="center"/>
              <w:textAlignment w:val="baseline"/>
              <w:rPr>
                <w:rFonts w:hint="eastAsia" w:ascii="仿宋" w:hAnsi="仿宋" w:eastAsia="仿宋" w:cs="仿宋"/>
                <w:bCs/>
                <w:color w:val="auto"/>
                <w:szCs w:val="21"/>
                <w:highlight w:val="none"/>
              </w:rPr>
            </w:pPr>
          </w:p>
        </w:tc>
        <w:tc>
          <w:tcPr>
            <w:tcW w:w="1275" w:type="dxa"/>
            <w:vAlign w:val="center"/>
          </w:tcPr>
          <w:p w14:paraId="22F37E76">
            <w:pPr>
              <w:adjustRightInd w:val="0"/>
              <w:spacing w:line="360" w:lineRule="auto"/>
              <w:jc w:val="center"/>
              <w:textAlignment w:val="baseline"/>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应急预案</w:t>
            </w:r>
          </w:p>
          <w:p w14:paraId="72473680">
            <w:pPr>
              <w:adjustRightInd w:val="0"/>
              <w:spacing w:line="360" w:lineRule="auto"/>
              <w:jc w:val="center"/>
              <w:textAlignment w:val="baseline"/>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（满分12分）</w:t>
            </w:r>
          </w:p>
        </w:tc>
        <w:tc>
          <w:tcPr>
            <w:tcW w:w="6411" w:type="dxa"/>
            <w:tcMar>
              <w:left w:w="57" w:type="dxa"/>
              <w:right w:w="57" w:type="dxa"/>
            </w:tcMar>
            <w:vAlign w:val="center"/>
          </w:tcPr>
          <w:p w14:paraId="3102D133">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由评委根据各投标人所提供的应急预案进行比较后，由各评委在各个档次内独立打分。</w:t>
            </w:r>
          </w:p>
          <w:p w14:paraId="54205F60">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一档（3分）：应急方案仅具备基本框架，对应急组织机构、人员配置、物资清单、处置流程等核心内容描述模糊；拟投入的应急实施人员团队、应急措施缺乏可行性；未针对森林防火高位监控场景核心风险制定应对策略；无应急流程相关图示，可操作性与适用性差，无法支撑森林防火监控系统应急处置工作。</w:t>
            </w:r>
          </w:p>
          <w:p w14:paraId="78F7DB82">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二档（6分）：在一档基础上，应急方案内容完整，明确基本应急组织机构及人员职责，梳理核心应急物资清单）；针对林区极端天气、监控设备人为破坏、火情预警失效等常见风险制定基础应对措施，具备火情上报、设备抢修、人员疏散等基本应急响应流程；方案有一定针对性，可操作性与适用性一般，可提供简易应急流程示意图。</w:t>
            </w:r>
          </w:p>
          <w:p w14:paraId="57AD112C">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三档（9分）：在二档基础上，应急方案针对性强、内容详细具体，应急流程直观清晰；具备完善的保障体系，包含组织保障、人员保障、制度保障、物资保障；配备应急流程图；增设铁塔结构安全预警预案、明确应急车辆同步部署方案、抢修队伍同步响应机制；应急抢救设备配备齐全，预案全面且可操作性良好。</w:t>
            </w:r>
          </w:p>
          <w:p w14:paraId="2578A412">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四档（12分）：在三档基础上，设立专门的应急管理组织机构及专职应急管理人员；应急方案科学合理、针对性极强，对突发事件处置响应速度、处置方法、应急策略等内容规定完备可行；明确应急响应时间≤5 小时到达现场处理；建立季度、年度应急演练机制并附演练计划；方案可行性和操作性极强，各项保障措施到位，可全面保障项目实施及稳定运行。</w:t>
            </w:r>
          </w:p>
        </w:tc>
        <w:tc>
          <w:tcPr>
            <w:tcW w:w="734" w:type="dxa"/>
            <w:tcMar>
              <w:left w:w="57" w:type="dxa"/>
              <w:right w:w="57" w:type="dxa"/>
            </w:tcMar>
            <w:vAlign w:val="center"/>
          </w:tcPr>
          <w:p w14:paraId="203B0D46">
            <w:pPr>
              <w:spacing w:line="360" w:lineRule="auto"/>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12</w:t>
            </w:r>
          </w:p>
        </w:tc>
      </w:tr>
      <w:tr w14:paraId="1A1C4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1" w:hRule="atLeast"/>
          <w:jc w:val="center"/>
        </w:trPr>
        <w:tc>
          <w:tcPr>
            <w:tcW w:w="669" w:type="dxa"/>
            <w:vMerge w:val="restart"/>
            <w:vAlign w:val="center"/>
          </w:tcPr>
          <w:p w14:paraId="00641BEB">
            <w:pPr>
              <w:adjustRightInd w:val="0"/>
              <w:spacing w:line="360" w:lineRule="auto"/>
              <w:jc w:val="center"/>
              <w:textAlignment w:val="baseline"/>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3</w:t>
            </w:r>
          </w:p>
        </w:tc>
        <w:tc>
          <w:tcPr>
            <w:tcW w:w="1275" w:type="dxa"/>
            <w:gridSpan w:val="2"/>
            <w:vMerge w:val="restart"/>
            <w:vAlign w:val="center"/>
          </w:tcPr>
          <w:p w14:paraId="1B8FC1CB">
            <w:pPr>
              <w:adjustRightInd w:val="0"/>
              <w:spacing w:line="360" w:lineRule="auto"/>
              <w:jc w:val="center"/>
              <w:textAlignment w:val="baseline"/>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商务分</w:t>
            </w:r>
          </w:p>
          <w:p w14:paraId="750A3DCB">
            <w:pPr>
              <w:adjustRightInd w:val="0"/>
              <w:spacing w:line="360" w:lineRule="auto"/>
              <w:jc w:val="center"/>
              <w:textAlignment w:val="baseline"/>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（满分19分）</w:t>
            </w:r>
          </w:p>
        </w:tc>
        <w:tc>
          <w:tcPr>
            <w:tcW w:w="1275" w:type="dxa"/>
            <w:vAlign w:val="center"/>
          </w:tcPr>
          <w:p w14:paraId="24F1940D">
            <w:pPr>
              <w:adjustRightInd w:val="0"/>
              <w:spacing w:line="360" w:lineRule="auto"/>
              <w:jc w:val="center"/>
              <w:textAlignment w:val="baseline"/>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资质</w:t>
            </w:r>
          </w:p>
          <w:p w14:paraId="62C98193">
            <w:pPr>
              <w:adjustRightInd w:val="0"/>
              <w:spacing w:line="360" w:lineRule="auto"/>
              <w:jc w:val="center"/>
              <w:textAlignment w:val="baseline"/>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信誉</w:t>
            </w:r>
          </w:p>
          <w:p w14:paraId="677CCFD9">
            <w:pPr>
              <w:adjustRightInd w:val="0"/>
              <w:spacing w:line="360" w:lineRule="auto"/>
              <w:jc w:val="center"/>
              <w:textAlignment w:val="baseline"/>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（满分3分）</w:t>
            </w:r>
          </w:p>
        </w:tc>
        <w:tc>
          <w:tcPr>
            <w:tcW w:w="6411" w:type="dxa"/>
            <w:tcMar>
              <w:left w:w="57" w:type="dxa"/>
              <w:right w:w="57" w:type="dxa"/>
            </w:tcMar>
            <w:vAlign w:val="center"/>
          </w:tcPr>
          <w:p w14:paraId="3A3EA3CE">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ISO20000信息技术服务管理体系认证证书、ISO9001质量管理体系认证证书，ISO14001环境管理体系认证证书，每有1个得1分，满分3分。投标文件提供有效的证书复印件。</w:t>
            </w:r>
          </w:p>
          <w:p w14:paraId="101EE5DD">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注：分公司投标并提供总部合法授权及有效资质证明文件的，按总部资质对应标准参与评分；未按要求提供授权或资质文件的，相关资质评审项不得分。</w:t>
            </w:r>
          </w:p>
        </w:tc>
        <w:tc>
          <w:tcPr>
            <w:tcW w:w="734" w:type="dxa"/>
            <w:tcMar>
              <w:left w:w="57" w:type="dxa"/>
              <w:right w:w="57" w:type="dxa"/>
            </w:tcMar>
            <w:vAlign w:val="center"/>
          </w:tcPr>
          <w:p w14:paraId="0C650277">
            <w:pPr>
              <w:spacing w:line="360" w:lineRule="auto"/>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3</w:t>
            </w:r>
          </w:p>
        </w:tc>
      </w:tr>
      <w:tr w14:paraId="6B337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9" w:type="dxa"/>
            <w:vMerge w:val="continue"/>
            <w:vAlign w:val="center"/>
          </w:tcPr>
          <w:p w14:paraId="56671A3A">
            <w:pPr>
              <w:adjustRightInd w:val="0"/>
              <w:spacing w:line="360" w:lineRule="auto"/>
              <w:jc w:val="center"/>
              <w:textAlignment w:val="baseline"/>
              <w:rPr>
                <w:rFonts w:hint="eastAsia" w:ascii="仿宋" w:hAnsi="仿宋" w:eastAsia="仿宋" w:cs="仿宋"/>
                <w:b/>
                <w:color w:val="auto"/>
                <w:szCs w:val="21"/>
                <w:highlight w:val="none"/>
              </w:rPr>
            </w:pPr>
          </w:p>
        </w:tc>
        <w:tc>
          <w:tcPr>
            <w:tcW w:w="1275" w:type="dxa"/>
            <w:gridSpan w:val="2"/>
            <w:vMerge w:val="continue"/>
            <w:vAlign w:val="center"/>
          </w:tcPr>
          <w:p w14:paraId="5E434B98">
            <w:pPr>
              <w:adjustRightInd w:val="0"/>
              <w:spacing w:line="360" w:lineRule="auto"/>
              <w:jc w:val="center"/>
              <w:textAlignment w:val="baseline"/>
              <w:rPr>
                <w:rFonts w:hint="eastAsia" w:ascii="仿宋" w:hAnsi="仿宋" w:eastAsia="仿宋" w:cs="仿宋"/>
                <w:bCs/>
                <w:color w:val="auto"/>
                <w:szCs w:val="21"/>
                <w:highlight w:val="none"/>
              </w:rPr>
            </w:pPr>
          </w:p>
        </w:tc>
        <w:tc>
          <w:tcPr>
            <w:tcW w:w="1275" w:type="dxa"/>
            <w:vAlign w:val="center"/>
          </w:tcPr>
          <w:p w14:paraId="426744E7">
            <w:pPr>
              <w:adjustRightInd w:val="0"/>
              <w:spacing w:line="360" w:lineRule="auto"/>
              <w:jc w:val="center"/>
              <w:textAlignment w:val="baseline"/>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业绩分（满分4分）</w:t>
            </w:r>
          </w:p>
        </w:tc>
        <w:tc>
          <w:tcPr>
            <w:tcW w:w="6411" w:type="dxa"/>
            <w:tcMar>
              <w:left w:w="57" w:type="dxa"/>
              <w:right w:w="57" w:type="dxa"/>
            </w:tcMar>
            <w:vAlign w:val="center"/>
          </w:tcPr>
          <w:p w14:paraId="372A6A2C">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1、投标人自2023年1月1日起至递交投标文件截止之日止，具有类似通信或监控类项目业绩</w:t>
            </w:r>
            <w:r>
              <w:rPr>
                <w:rFonts w:hint="eastAsia" w:ascii="仿宋" w:hAnsi="仿宋" w:eastAsia="仿宋" w:cs="仿宋"/>
                <w:bCs/>
                <w:color w:val="auto"/>
                <w:szCs w:val="21"/>
                <w:highlight w:val="none"/>
                <w:lang w:eastAsia="zh-CN"/>
              </w:rPr>
              <w:t>的</w:t>
            </w:r>
            <w:r>
              <w:rPr>
                <w:rFonts w:hint="eastAsia" w:ascii="仿宋" w:hAnsi="仿宋" w:eastAsia="仿宋" w:cs="仿宋"/>
                <w:bCs/>
                <w:color w:val="auto"/>
                <w:szCs w:val="21"/>
                <w:highlight w:val="none"/>
              </w:rPr>
              <w:t>，每提供1份有效业绩证明材料得0.5分，本项最多得2分。</w:t>
            </w:r>
          </w:p>
          <w:p w14:paraId="093ACF8D">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2、投标人自2023年1月1日起至递交投标文件截止之日止，具有高位视频监控类项目业绩的，每提供1份有效业绩证明材料得1分，本项最多得2分。</w:t>
            </w:r>
          </w:p>
          <w:p w14:paraId="65DE51D3">
            <w:pPr>
              <w:spacing w:line="360" w:lineRule="auto"/>
              <w:ind w:firstLine="420" w:firstLineChars="200"/>
              <w:jc w:val="left"/>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注：1.有效业绩需提供投标人或下属管理机构地市分公司的合同书或中标通知书扫描件。</w:t>
            </w:r>
          </w:p>
          <w:p w14:paraId="2F0AE7F5">
            <w:pPr>
              <w:spacing w:line="360" w:lineRule="auto"/>
              <w:ind w:firstLine="420" w:firstLineChars="200"/>
              <w:jc w:val="left"/>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2.同一业绩证明材料不得在两个评分项中重复计分，亦不得拆分同一项目合同作为多份业绩计取分数。</w:t>
            </w:r>
          </w:p>
        </w:tc>
        <w:tc>
          <w:tcPr>
            <w:tcW w:w="734" w:type="dxa"/>
            <w:tcMar>
              <w:left w:w="57" w:type="dxa"/>
              <w:right w:w="57" w:type="dxa"/>
            </w:tcMar>
            <w:vAlign w:val="center"/>
          </w:tcPr>
          <w:p w14:paraId="36EADEFA">
            <w:pPr>
              <w:spacing w:line="360" w:lineRule="auto"/>
              <w:jc w:val="center"/>
              <w:rPr>
                <w:rFonts w:hint="eastAsia" w:ascii="仿宋" w:hAnsi="仿宋" w:eastAsia="仿宋" w:cs="仿宋"/>
                <w:b/>
                <w:bCs/>
                <w:color w:val="auto"/>
                <w:szCs w:val="21"/>
                <w:highlight w:val="none"/>
                <w:lang w:val="en-US" w:eastAsia="zh-CN"/>
              </w:rPr>
            </w:pPr>
            <w:r>
              <w:rPr>
                <w:rFonts w:hint="eastAsia" w:ascii="仿宋" w:hAnsi="仿宋" w:eastAsia="仿宋" w:cs="仿宋"/>
                <w:b/>
                <w:bCs/>
                <w:color w:val="auto"/>
                <w:szCs w:val="21"/>
                <w:highlight w:val="none"/>
                <w:lang w:val="en-US" w:eastAsia="zh-CN"/>
              </w:rPr>
              <w:t>4</w:t>
            </w:r>
          </w:p>
        </w:tc>
      </w:tr>
      <w:tr w14:paraId="47EDC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669" w:type="dxa"/>
            <w:vMerge w:val="continue"/>
            <w:vAlign w:val="center"/>
          </w:tcPr>
          <w:p w14:paraId="1352B4D9">
            <w:pPr>
              <w:adjustRightInd w:val="0"/>
              <w:spacing w:line="360" w:lineRule="auto"/>
              <w:jc w:val="center"/>
              <w:textAlignment w:val="baseline"/>
              <w:rPr>
                <w:rFonts w:hint="eastAsia" w:ascii="仿宋" w:hAnsi="仿宋" w:eastAsia="仿宋" w:cs="仿宋"/>
                <w:b/>
                <w:color w:val="auto"/>
                <w:szCs w:val="21"/>
                <w:highlight w:val="none"/>
              </w:rPr>
            </w:pPr>
          </w:p>
        </w:tc>
        <w:tc>
          <w:tcPr>
            <w:tcW w:w="1275" w:type="dxa"/>
            <w:gridSpan w:val="2"/>
            <w:vMerge w:val="continue"/>
            <w:vAlign w:val="center"/>
          </w:tcPr>
          <w:p w14:paraId="41464410">
            <w:pPr>
              <w:adjustRightInd w:val="0"/>
              <w:spacing w:line="360" w:lineRule="auto"/>
              <w:jc w:val="center"/>
              <w:textAlignment w:val="baseline"/>
              <w:rPr>
                <w:rFonts w:hint="eastAsia" w:ascii="仿宋" w:hAnsi="仿宋" w:eastAsia="仿宋" w:cs="仿宋"/>
                <w:bCs/>
                <w:color w:val="auto"/>
                <w:szCs w:val="21"/>
                <w:highlight w:val="none"/>
              </w:rPr>
            </w:pPr>
          </w:p>
        </w:tc>
        <w:tc>
          <w:tcPr>
            <w:tcW w:w="1275" w:type="dxa"/>
            <w:vAlign w:val="center"/>
          </w:tcPr>
          <w:p w14:paraId="3FAE01AA">
            <w:pPr>
              <w:adjustRightInd w:val="0"/>
              <w:spacing w:line="360" w:lineRule="auto"/>
              <w:jc w:val="center"/>
              <w:textAlignment w:val="baseline"/>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售后</w:t>
            </w:r>
          </w:p>
          <w:p w14:paraId="1182A729">
            <w:pPr>
              <w:adjustRightInd w:val="0"/>
              <w:spacing w:line="360" w:lineRule="auto"/>
              <w:jc w:val="center"/>
              <w:textAlignment w:val="baseline"/>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服务</w:t>
            </w:r>
          </w:p>
          <w:p w14:paraId="5C537F8C">
            <w:pPr>
              <w:adjustRightInd w:val="0"/>
              <w:spacing w:line="360" w:lineRule="auto"/>
              <w:jc w:val="center"/>
              <w:textAlignment w:val="baseline"/>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（满分1</w:t>
            </w:r>
            <w:r>
              <w:rPr>
                <w:rFonts w:hint="eastAsia" w:ascii="仿宋" w:hAnsi="仿宋" w:eastAsia="仿宋" w:cs="仿宋"/>
                <w:bCs/>
                <w:color w:val="auto"/>
                <w:szCs w:val="21"/>
                <w:highlight w:val="none"/>
                <w:lang w:val="en-US" w:eastAsia="zh-CN"/>
              </w:rPr>
              <w:t>2</w:t>
            </w:r>
            <w:r>
              <w:rPr>
                <w:rFonts w:hint="eastAsia" w:ascii="仿宋" w:hAnsi="仿宋" w:eastAsia="仿宋" w:cs="仿宋"/>
                <w:bCs/>
                <w:color w:val="auto"/>
                <w:szCs w:val="21"/>
                <w:highlight w:val="none"/>
              </w:rPr>
              <w:t>）</w:t>
            </w:r>
          </w:p>
        </w:tc>
        <w:tc>
          <w:tcPr>
            <w:tcW w:w="6411" w:type="dxa"/>
            <w:tcMar>
              <w:left w:w="57" w:type="dxa"/>
              <w:right w:w="57" w:type="dxa"/>
            </w:tcMar>
            <w:vAlign w:val="center"/>
          </w:tcPr>
          <w:p w14:paraId="0A510BC8">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由评委根据各投标人所提供的售后服务进行比较后，由各评委在各个档次内独立打分。</w:t>
            </w:r>
          </w:p>
          <w:p w14:paraId="623DBD0A">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一档（</w:t>
            </w:r>
            <w:r>
              <w:rPr>
                <w:rFonts w:hint="eastAsia" w:ascii="仿宋" w:hAnsi="仿宋" w:eastAsia="仿宋" w:cs="仿宋"/>
                <w:bCs/>
                <w:color w:val="auto"/>
                <w:szCs w:val="21"/>
                <w:highlight w:val="none"/>
                <w:lang w:val="en-US" w:eastAsia="zh-CN"/>
              </w:rPr>
              <w:t>3</w:t>
            </w:r>
            <w:r>
              <w:rPr>
                <w:rFonts w:hint="eastAsia" w:ascii="仿宋" w:hAnsi="仿宋" w:eastAsia="仿宋" w:cs="仿宋"/>
                <w:bCs/>
                <w:color w:val="auto"/>
                <w:szCs w:val="21"/>
                <w:highlight w:val="none"/>
              </w:rPr>
              <w:t>分）：售后服务方案满足招标文件基本要求，明确提供专门的服务技术支持、服务保障方案、故障处理流程及应急预案；配备 7×24 小时售后服务热线，保障咨询、报修等需求及时响应；指定 1 名售后服务负责人，明确其岗位职责与对接方式。</w:t>
            </w:r>
          </w:p>
          <w:p w14:paraId="758A0A1D">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二档（</w:t>
            </w:r>
            <w:r>
              <w:rPr>
                <w:rFonts w:hint="eastAsia" w:ascii="仿宋" w:hAnsi="仿宋" w:eastAsia="仿宋" w:cs="仿宋"/>
                <w:bCs/>
                <w:color w:val="auto"/>
                <w:szCs w:val="21"/>
                <w:highlight w:val="none"/>
                <w:lang w:val="en-US" w:eastAsia="zh-CN"/>
              </w:rPr>
              <w:t>6</w:t>
            </w:r>
            <w:r>
              <w:rPr>
                <w:rFonts w:hint="eastAsia" w:ascii="仿宋" w:hAnsi="仿宋" w:eastAsia="仿宋" w:cs="仿宋"/>
                <w:bCs/>
                <w:color w:val="auto"/>
                <w:szCs w:val="21"/>
                <w:highlight w:val="none"/>
              </w:rPr>
              <w:t>分）：售后服务方案完整可行，满足一档全部要求；将 7×24 小时售后服务热线升级为免费热线；系统运维期服务涵盖 7×24 小时响应服务、故障全流程闭环处理服务、系统定期巡检服务；售后服务负责人具备计算机网络工程、通信专业或同类中级及以上职称证书。</w:t>
            </w:r>
          </w:p>
          <w:p w14:paraId="4BB2E070">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三档（</w:t>
            </w:r>
            <w:r>
              <w:rPr>
                <w:rFonts w:hint="eastAsia" w:ascii="仿宋" w:hAnsi="仿宋" w:eastAsia="仿宋" w:cs="仿宋"/>
                <w:bCs/>
                <w:color w:val="auto"/>
                <w:szCs w:val="21"/>
                <w:highlight w:val="none"/>
                <w:lang w:val="en-US" w:eastAsia="zh-CN"/>
              </w:rPr>
              <w:t>9</w:t>
            </w:r>
            <w:r>
              <w:rPr>
                <w:rFonts w:hint="eastAsia" w:ascii="仿宋" w:hAnsi="仿宋" w:eastAsia="仿宋" w:cs="仿宋"/>
                <w:bCs/>
                <w:color w:val="auto"/>
                <w:szCs w:val="21"/>
                <w:highlight w:val="none"/>
              </w:rPr>
              <w:t>分）：售后服务方案完善且具有针对性，满足二档全部要求；提供售后运维整体运行维护方案，包含售后现场服务规范、服务质量监督与改进机制；投标人提供售后服务团队成员不少于20人，且均具备《中华人民共和国特种作业操作证》（作业类别电工作业），系统运维期服务进一步升级，涵盖故障现场处置服务、系统优化升级服务、重大节假日及专项活动专项保障服务；提供详细完整的挂载铁塔安全隐患排查及整治方案；建立售后服务知识库，保障技术问题高效解决，售后拟投入运维车辆总数不少于4辆。</w:t>
            </w:r>
          </w:p>
          <w:p w14:paraId="285903BA">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四档（1</w:t>
            </w:r>
            <w:r>
              <w:rPr>
                <w:rFonts w:hint="eastAsia" w:ascii="仿宋" w:hAnsi="仿宋" w:eastAsia="仿宋" w:cs="仿宋"/>
                <w:bCs/>
                <w:color w:val="auto"/>
                <w:szCs w:val="21"/>
                <w:highlight w:val="none"/>
                <w:lang w:val="en-US" w:eastAsia="zh-CN"/>
              </w:rPr>
              <w:t>2</w:t>
            </w:r>
            <w:r>
              <w:rPr>
                <w:rFonts w:hint="eastAsia" w:ascii="仿宋" w:hAnsi="仿宋" w:eastAsia="仿宋" w:cs="仿宋"/>
                <w:bCs/>
                <w:color w:val="auto"/>
                <w:szCs w:val="21"/>
                <w:highlight w:val="none"/>
              </w:rPr>
              <w:t>分）：售后服务方案全面优化且贴合项目实际需求，满足三档全部要求；售后服务知识库与项目设备、系统深度适配，包含常见问题库、技术手册及应急处理案例库；投标人提供售后服务团队成员不少于30人，且均具备《中华人民共和国特种作业操作证》（作业类别电工作业）提供售后服务定期报告；提供客户培训服务，涵盖系统操作、日常维护等内容，确保使用方能够独立处理基础问题，售后拟投入运维车辆总数不少于8辆。</w:t>
            </w:r>
          </w:p>
          <w:p w14:paraId="79F0C4A4">
            <w:pPr>
              <w:spacing w:line="360" w:lineRule="auto"/>
              <w:ind w:firstLine="422" w:firstLineChars="200"/>
              <w:jc w:val="left"/>
              <w:rPr>
                <w:rFonts w:hint="eastAsia" w:ascii="仿宋" w:hAnsi="仿宋" w:eastAsia="仿宋" w:cs="仿宋"/>
                <w:bCs/>
                <w:color w:val="auto"/>
                <w:szCs w:val="21"/>
                <w:highlight w:val="none"/>
              </w:rPr>
            </w:pPr>
            <w:r>
              <w:rPr>
                <w:rFonts w:hint="eastAsia" w:ascii="仿宋" w:hAnsi="仿宋" w:eastAsia="仿宋" w:cs="仿宋"/>
                <w:b/>
                <w:color w:val="auto"/>
                <w:szCs w:val="21"/>
                <w:highlight w:val="none"/>
              </w:rPr>
              <w:t>注：需提供投标人或下属管理机构地市分公司（如有）为售后服务人员缴纳投标截止之日前半年内连续三个月的社保证明材料或聘用合同扫描件。中标后，采购单位有权要求中标供应商提供以上人员在该单位的社保证明原件进行核查，无法提供的，按照虚假应标处理。</w:t>
            </w:r>
          </w:p>
        </w:tc>
        <w:tc>
          <w:tcPr>
            <w:tcW w:w="734" w:type="dxa"/>
            <w:tcMar>
              <w:left w:w="57" w:type="dxa"/>
              <w:right w:w="57" w:type="dxa"/>
            </w:tcMar>
            <w:vAlign w:val="center"/>
          </w:tcPr>
          <w:p w14:paraId="24B4D21F">
            <w:pPr>
              <w:spacing w:line="360" w:lineRule="auto"/>
              <w:jc w:val="center"/>
              <w:rPr>
                <w:rFonts w:hint="eastAsia" w:ascii="仿宋" w:hAnsi="仿宋" w:eastAsia="仿宋" w:cs="仿宋"/>
                <w:b/>
                <w:bCs/>
                <w:color w:val="auto"/>
                <w:szCs w:val="21"/>
                <w:highlight w:val="none"/>
                <w:lang w:eastAsia="zh-CN"/>
              </w:rPr>
            </w:pPr>
            <w:r>
              <w:rPr>
                <w:rFonts w:hint="eastAsia" w:ascii="仿宋" w:hAnsi="仿宋" w:eastAsia="仿宋" w:cs="仿宋"/>
                <w:b/>
                <w:bCs/>
                <w:color w:val="auto"/>
                <w:szCs w:val="21"/>
                <w:highlight w:val="none"/>
              </w:rPr>
              <w:t>1</w:t>
            </w:r>
            <w:r>
              <w:rPr>
                <w:rFonts w:hint="eastAsia" w:ascii="仿宋" w:hAnsi="仿宋" w:eastAsia="仿宋" w:cs="仿宋"/>
                <w:b/>
                <w:bCs/>
                <w:color w:val="auto"/>
                <w:szCs w:val="21"/>
                <w:highlight w:val="none"/>
                <w:lang w:val="en-US" w:eastAsia="zh-CN"/>
              </w:rPr>
              <w:t>2</w:t>
            </w:r>
          </w:p>
        </w:tc>
      </w:tr>
      <w:tr w14:paraId="25F8B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669" w:type="dxa"/>
            <w:vAlign w:val="center"/>
          </w:tcPr>
          <w:p w14:paraId="077405B1">
            <w:pPr>
              <w:adjustRightInd w:val="0"/>
              <w:spacing w:line="360" w:lineRule="auto"/>
              <w:jc w:val="center"/>
              <w:textAlignment w:val="baseline"/>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4</w:t>
            </w:r>
          </w:p>
        </w:tc>
        <w:tc>
          <w:tcPr>
            <w:tcW w:w="1275" w:type="dxa"/>
            <w:gridSpan w:val="2"/>
            <w:vAlign w:val="center"/>
          </w:tcPr>
          <w:p w14:paraId="090B0862">
            <w:pPr>
              <w:adjustRightInd w:val="0"/>
              <w:spacing w:line="360" w:lineRule="auto"/>
              <w:jc w:val="center"/>
              <w:textAlignment w:val="baseline"/>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政策功能分（满分1分）</w:t>
            </w:r>
          </w:p>
        </w:tc>
        <w:tc>
          <w:tcPr>
            <w:tcW w:w="1275" w:type="dxa"/>
            <w:vAlign w:val="center"/>
          </w:tcPr>
          <w:p w14:paraId="074D4A1B">
            <w:pPr>
              <w:adjustRightInd w:val="0"/>
              <w:spacing w:line="360" w:lineRule="auto"/>
              <w:jc w:val="center"/>
              <w:textAlignment w:val="baseline"/>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节能、环保产品（满分1分）</w:t>
            </w:r>
          </w:p>
        </w:tc>
        <w:tc>
          <w:tcPr>
            <w:tcW w:w="6411" w:type="dxa"/>
            <w:tcMar>
              <w:left w:w="57" w:type="dxa"/>
              <w:right w:w="57" w:type="dxa"/>
            </w:tcMar>
            <w:vAlign w:val="center"/>
          </w:tcPr>
          <w:p w14:paraId="3B20B19F">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1）属于财政部《节能产品政府采购品目清单》内优先采购（清单内未标注“★”的品目）的产品[投标文件中提供有效的认证证书复印件及品目清单（标注出投标产品在品目清单中所属的品目），并加盖供应商公章]，根据其所占项目（或分标）金额比例得0-0.5分。</w:t>
            </w:r>
          </w:p>
          <w:p w14:paraId="704AE2FF">
            <w:pPr>
              <w:spacing w:line="360" w:lineRule="auto"/>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2）属于财政部《环境标志产品政府采购品目清单》内的产品[投标文件中提供有效的认证证书复印件及品目清单（标注出投标产品在品目清单中所属的品目），并加盖供应商公章]，根据其所占项目（或分标）金额比例得0-0.5分；</w:t>
            </w:r>
          </w:p>
        </w:tc>
        <w:tc>
          <w:tcPr>
            <w:tcW w:w="734" w:type="dxa"/>
            <w:tcMar>
              <w:left w:w="57" w:type="dxa"/>
              <w:right w:w="57" w:type="dxa"/>
            </w:tcMar>
            <w:vAlign w:val="center"/>
          </w:tcPr>
          <w:p w14:paraId="03F3405C">
            <w:pPr>
              <w:spacing w:line="360" w:lineRule="auto"/>
              <w:jc w:val="center"/>
              <w:rPr>
                <w:rFonts w:hint="eastAsia" w:ascii="仿宋" w:hAnsi="仿宋" w:eastAsia="仿宋" w:cs="仿宋"/>
                <w:b/>
                <w:bCs/>
                <w:color w:val="auto"/>
                <w:szCs w:val="21"/>
                <w:highlight w:val="none"/>
              </w:rPr>
            </w:pPr>
          </w:p>
        </w:tc>
      </w:tr>
      <w:tr w14:paraId="3EF30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9" w:type="dxa"/>
            <w:vAlign w:val="center"/>
          </w:tcPr>
          <w:p w14:paraId="5176A09B">
            <w:pPr>
              <w:pStyle w:val="23"/>
              <w:spacing w:line="360" w:lineRule="auto"/>
              <w:ind w:firstLine="420"/>
              <w:rPr>
                <w:rFonts w:hint="eastAsia" w:ascii="仿宋" w:hAnsi="仿宋" w:eastAsia="仿宋" w:cs="仿宋"/>
                <w:b/>
                <w:bCs/>
                <w:color w:val="auto"/>
                <w:kern w:val="2"/>
                <w:sz w:val="21"/>
                <w:highlight w:val="none"/>
              </w:rPr>
            </w:pPr>
          </w:p>
        </w:tc>
        <w:tc>
          <w:tcPr>
            <w:tcW w:w="9695" w:type="dxa"/>
            <w:gridSpan w:val="5"/>
            <w:vAlign w:val="center"/>
          </w:tcPr>
          <w:p w14:paraId="4EFC4515">
            <w:pPr>
              <w:pStyle w:val="23"/>
              <w:spacing w:line="360" w:lineRule="auto"/>
              <w:ind w:firstLine="420"/>
              <w:rPr>
                <w:rFonts w:hint="eastAsia" w:ascii="仿宋" w:hAnsi="仿宋" w:eastAsia="仿宋" w:cs="仿宋"/>
                <w:bCs/>
                <w:color w:val="auto"/>
                <w:kern w:val="2"/>
                <w:sz w:val="21"/>
                <w:highlight w:val="none"/>
              </w:rPr>
            </w:pPr>
            <w:r>
              <w:rPr>
                <w:rFonts w:hint="eastAsia" w:ascii="仿宋" w:hAnsi="仿宋" w:eastAsia="仿宋" w:cs="仿宋"/>
                <w:b/>
                <w:bCs/>
                <w:color w:val="auto"/>
                <w:kern w:val="2"/>
                <w:sz w:val="21"/>
                <w:highlight w:val="none"/>
              </w:rPr>
              <w:t>总得分=1+2+3+4。</w:t>
            </w:r>
          </w:p>
        </w:tc>
      </w:tr>
    </w:tbl>
    <w:p w14:paraId="0CDD0801">
      <w:pPr>
        <w:pStyle w:val="23"/>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p>
    <w:p w14:paraId="1688BE2C">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16F44D1E">
      <w:pPr>
        <w:pStyle w:val="4"/>
        <w:keepNext w:val="0"/>
        <w:keepLines w:val="0"/>
        <w:jc w:val="center"/>
        <w:rPr>
          <w:rFonts w:hint="eastAsia" w:ascii="仿宋" w:hAnsi="仿宋" w:eastAsia="仿宋" w:cs="仿宋"/>
          <w:color w:val="auto"/>
          <w:highlight w:val="none"/>
        </w:rPr>
      </w:pPr>
      <w:r>
        <w:rPr>
          <w:rFonts w:hint="eastAsia" w:ascii="仿宋" w:hAnsi="仿宋" w:eastAsia="仿宋" w:cs="仿宋"/>
          <w:color w:val="auto"/>
          <w:highlight w:val="none"/>
        </w:rPr>
        <w:t>02分标评标标准（综合评分法，计分方法按四舍五入取至百分位）</w:t>
      </w:r>
    </w:p>
    <w:tbl>
      <w:tblPr>
        <w:tblStyle w:val="45"/>
        <w:tblW w:w="10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615"/>
        <w:gridCol w:w="1585"/>
        <w:gridCol w:w="6037"/>
        <w:gridCol w:w="734"/>
      </w:tblGrid>
      <w:tr w14:paraId="1C4B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14:paraId="5A3A3E40">
            <w:pPr>
              <w:adjustRightInd w:val="0"/>
              <w:spacing w:line="360" w:lineRule="auto"/>
              <w:jc w:val="center"/>
              <w:textAlignment w:val="baseline"/>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615" w:type="dxa"/>
            <w:vAlign w:val="center"/>
          </w:tcPr>
          <w:p w14:paraId="0772F5D2">
            <w:pPr>
              <w:adjustRightInd w:val="0"/>
              <w:spacing w:line="360" w:lineRule="auto"/>
              <w:jc w:val="center"/>
              <w:textAlignment w:val="baseline"/>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评分项</w:t>
            </w:r>
          </w:p>
        </w:tc>
        <w:tc>
          <w:tcPr>
            <w:tcW w:w="1585" w:type="dxa"/>
            <w:vAlign w:val="center"/>
          </w:tcPr>
          <w:p w14:paraId="604D2139">
            <w:pPr>
              <w:adjustRightInd w:val="0"/>
              <w:spacing w:line="360" w:lineRule="auto"/>
              <w:jc w:val="center"/>
              <w:textAlignment w:val="baseline"/>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评审因素</w:t>
            </w:r>
          </w:p>
        </w:tc>
        <w:tc>
          <w:tcPr>
            <w:tcW w:w="6037" w:type="dxa"/>
            <w:vAlign w:val="center"/>
          </w:tcPr>
          <w:p w14:paraId="0A0080CB">
            <w:pPr>
              <w:adjustRightInd w:val="0"/>
              <w:spacing w:line="360" w:lineRule="auto"/>
              <w:jc w:val="center"/>
              <w:textAlignment w:val="baseline"/>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评审因素具体内容</w:t>
            </w:r>
          </w:p>
        </w:tc>
        <w:tc>
          <w:tcPr>
            <w:tcW w:w="734" w:type="dxa"/>
            <w:vAlign w:val="center"/>
          </w:tcPr>
          <w:p w14:paraId="5059B39A">
            <w:pPr>
              <w:adjustRightInd w:val="0"/>
              <w:spacing w:line="360" w:lineRule="auto"/>
              <w:jc w:val="center"/>
              <w:textAlignment w:val="baseline"/>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分值</w:t>
            </w:r>
          </w:p>
        </w:tc>
      </w:tr>
      <w:tr w14:paraId="34E9C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14:paraId="2A1727E4">
            <w:pPr>
              <w:adjustRightInd w:val="0"/>
              <w:spacing w:line="360" w:lineRule="auto"/>
              <w:jc w:val="center"/>
              <w:textAlignment w:val="baseline"/>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p>
        </w:tc>
        <w:tc>
          <w:tcPr>
            <w:tcW w:w="3200" w:type="dxa"/>
            <w:gridSpan w:val="2"/>
            <w:vAlign w:val="center"/>
          </w:tcPr>
          <w:p w14:paraId="556216DD">
            <w:pPr>
              <w:adjustRightInd w:val="0"/>
              <w:spacing w:line="360" w:lineRule="auto"/>
              <w:jc w:val="center"/>
              <w:textAlignment w:val="baseline"/>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价格分</w:t>
            </w:r>
          </w:p>
          <w:p w14:paraId="2F140F9A">
            <w:pPr>
              <w:adjustRightInd w:val="0"/>
              <w:spacing w:line="360" w:lineRule="auto"/>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（满分</w:t>
            </w:r>
            <w:r>
              <w:rPr>
                <w:rFonts w:hint="eastAsia" w:ascii="仿宋" w:hAnsi="仿宋" w:eastAsia="仿宋" w:cs="仿宋"/>
                <w:color w:val="auto"/>
                <w:sz w:val="24"/>
                <w:highlight w:val="none"/>
                <w:u w:val="single"/>
              </w:rPr>
              <w:t>30</w:t>
            </w:r>
            <w:r>
              <w:rPr>
                <w:rFonts w:hint="eastAsia" w:ascii="仿宋" w:hAnsi="仿宋" w:eastAsia="仿宋" w:cs="仿宋"/>
                <w:color w:val="auto"/>
                <w:sz w:val="24"/>
                <w:highlight w:val="none"/>
              </w:rPr>
              <w:t>分）</w:t>
            </w:r>
          </w:p>
        </w:tc>
        <w:tc>
          <w:tcPr>
            <w:tcW w:w="6037" w:type="dxa"/>
            <w:vAlign w:val="center"/>
          </w:tcPr>
          <w:p w14:paraId="2FA74F54">
            <w:pPr>
              <w:snapToGrid w:val="0"/>
              <w:spacing w:line="360" w:lineRule="auto"/>
              <w:ind w:firstLine="266" w:firstLineChars="111"/>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（1）评标报价为投标人的投标报价进行政策性扣除后的价格，评标报价只是作为评标时使用。最终中标人的中标金额等于投标报价。</w:t>
            </w:r>
          </w:p>
          <w:p w14:paraId="409B0ED3">
            <w:pPr>
              <w:snapToGrid w:val="0"/>
              <w:spacing w:line="360" w:lineRule="auto"/>
              <w:ind w:firstLine="266" w:firstLineChars="111"/>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按照《政府采购促进中小企业发展暂行办法》（财库〔2020〕46号）的规定，投标人为小型和微型企业，并在其投标文件中提供《中小企业声明函》，且其所投标产品全部为小型和微型企业产品的，对其投标价格给予20%的扣除。</w:t>
            </w:r>
          </w:p>
          <w:p w14:paraId="17948F2B">
            <w:pPr>
              <w:snapToGrid w:val="0"/>
              <w:spacing w:line="360" w:lineRule="auto"/>
              <w:ind w:firstLine="266" w:firstLineChars="111"/>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39452848">
            <w:pPr>
              <w:snapToGrid w:val="0"/>
              <w:spacing w:line="360" w:lineRule="auto"/>
              <w:ind w:firstLine="266" w:firstLineChars="111"/>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D272CD2">
            <w:pPr>
              <w:snapToGrid w:val="0"/>
              <w:spacing w:line="360" w:lineRule="auto"/>
              <w:ind w:firstLine="266" w:firstLineChars="111"/>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（5）政策性扣除计算方法。</w:t>
            </w:r>
          </w:p>
          <w:p w14:paraId="52EF45E3">
            <w:pPr>
              <w:pStyle w:val="23"/>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投标人被评定为监狱企业或者残疾人福利性单位或者小型和微型企业且其所投标全部产品为小型和微型企业产品的，该投标人的投标报价给予20%的扣除，扣除后的价格为评标报价，即评标报价=投标报价×（1-20%）。</w:t>
            </w:r>
          </w:p>
          <w:p w14:paraId="4058E7E3">
            <w:pPr>
              <w:snapToGrid w:val="0"/>
              <w:spacing w:line="360" w:lineRule="auto"/>
              <w:ind w:firstLine="266" w:firstLineChars="111"/>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（6）满足招标文件要求且评标报价最低的评标报价为评标基准价，基准价报价得分为</w:t>
            </w:r>
            <w:r>
              <w:rPr>
                <w:rFonts w:hint="eastAsia" w:ascii="仿宋" w:hAnsi="仿宋" w:eastAsia="仿宋" w:cs="仿宋"/>
                <w:bCs/>
                <w:color w:val="auto"/>
                <w:sz w:val="24"/>
                <w:highlight w:val="none"/>
                <w:u w:val="single"/>
              </w:rPr>
              <w:t>30</w:t>
            </w:r>
            <w:r>
              <w:rPr>
                <w:rFonts w:hint="eastAsia" w:ascii="仿宋" w:hAnsi="仿宋" w:eastAsia="仿宋" w:cs="仿宋"/>
                <w:bCs/>
                <w:color w:val="auto"/>
                <w:sz w:val="24"/>
                <w:highlight w:val="none"/>
              </w:rPr>
              <w:t>分。</w:t>
            </w:r>
          </w:p>
          <w:p w14:paraId="2DC4C1D0">
            <w:pPr>
              <w:spacing w:line="360" w:lineRule="auto"/>
              <w:ind w:firstLine="266" w:firstLineChars="111"/>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（7）价格分计算公式：        </w:t>
            </w:r>
          </w:p>
          <w:p w14:paraId="704C13F0">
            <w:pPr>
              <w:pStyle w:val="23"/>
              <w:spacing w:line="360" w:lineRule="auto"/>
              <w:ind w:firstLine="266" w:firstLineChars="111"/>
              <w:rPr>
                <w:rFonts w:hint="eastAsia" w:ascii="仿宋" w:hAnsi="仿宋" w:eastAsia="仿宋" w:cs="仿宋"/>
                <w:bCs/>
                <w:color w:val="auto"/>
                <w:kern w:val="2"/>
                <w:sz w:val="24"/>
                <w:szCs w:val="24"/>
                <w:highlight w:val="none"/>
              </w:rPr>
            </w:pPr>
            <w:r>
              <w:rPr>
                <w:rFonts w:hint="eastAsia" w:ascii="仿宋" w:hAnsi="仿宋" w:eastAsia="仿宋" w:cs="仿宋"/>
                <w:bCs/>
                <w:color w:val="auto"/>
                <w:sz w:val="24"/>
                <w:szCs w:val="24"/>
                <w:highlight w:val="none"/>
              </w:rPr>
              <w:t>价格分</w:t>
            </w:r>
            <w:r>
              <w:rPr>
                <w:rFonts w:hint="eastAsia" w:ascii="仿宋" w:hAnsi="仿宋" w:eastAsia="仿宋" w:cs="仿宋"/>
                <w:bCs/>
                <w:color w:val="auto"/>
                <w:kern w:val="2"/>
                <w:sz w:val="24"/>
                <w:szCs w:val="24"/>
                <w:highlight w:val="none"/>
              </w:rPr>
              <w:t>=(评标基准价／评标报价)×</w:t>
            </w:r>
            <w:r>
              <w:rPr>
                <w:rFonts w:hint="eastAsia" w:ascii="仿宋" w:hAnsi="仿宋" w:eastAsia="仿宋" w:cs="仿宋"/>
                <w:bCs/>
                <w:color w:val="auto"/>
                <w:sz w:val="24"/>
                <w:szCs w:val="24"/>
                <w:highlight w:val="none"/>
                <w:u w:val="single"/>
              </w:rPr>
              <w:t>30</w:t>
            </w:r>
            <w:r>
              <w:rPr>
                <w:rFonts w:hint="eastAsia" w:ascii="仿宋" w:hAnsi="仿宋" w:eastAsia="仿宋" w:cs="仿宋"/>
                <w:bCs/>
                <w:color w:val="auto"/>
                <w:kern w:val="2"/>
                <w:sz w:val="24"/>
                <w:szCs w:val="24"/>
                <w:highlight w:val="none"/>
              </w:rPr>
              <w:t>分</w:t>
            </w:r>
          </w:p>
          <w:p w14:paraId="31A5D40D">
            <w:pPr>
              <w:rPr>
                <w:color w:val="auto"/>
                <w:highlight w:val="none"/>
              </w:rPr>
            </w:pPr>
            <w:r>
              <w:rPr>
                <w:rFonts w:hint="eastAsia" w:ascii="仿宋" w:hAnsi="仿宋" w:eastAsia="仿宋" w:cs="仿宋"/>
                <w:b/>
                <w:color w:val="auto"/>
                <w:sz w:val="24"/>
                <w:highlight w:val="none"/>
              </w:rPr>
              <w:t>注：为了确保采购项目的质量和维护公平的竞争及合同的正常履行，根据《中华人民共和国财政部第87 号令》第六十条的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 【相关证明材料应为：投标人自身出具的产品（服务）详细价格构成说明函原件[包括进货（服务）成本、管理费用、人员成本构成、物流运输成本、税收等所有成本和利润]，同时提供（包含但不限于） 以下支撑证明材料：①近两年经第三方具备审计资质的机构出具的审计报告[包括其固定资产成本及折旧、管理成本、人工费成本（如人员工资、奖金、福利及差旅等费用）、技术成本、税收等所有成本及利润）]复印件；②提供至少 2 个类似业绩的费用成本组成明细（并同时提供该业绩中标通知书或合同复印件），所有相关货物生产厂家（服务提供）的联系人和固定联系电话以供确认。以上资料必须齐全，如在规定时间内提供不全或不提供或者评标委员会认定其材料不能详尽合理说明其成本的，或者相关资料真实性及合理性不被评标委员会完全接受的，评标委员会有权将该报价视为“低于成本 ”或者“ 明显不合理并有可能影响商品质量或不能诚信履约 ”】。</w:t>
            </w:r>
          </w:p>
        </w:tc>
        <w:tc>
          <w:tcPr>
            <w:tcW w:w="734" w:type="dxa"/>
            <w:vAlign w:val="center"/>
          </w:tcPr>
          <w:p w14:paraId="41C4C5EC">
            <w:pPr>
              <w:pStyle w:val="23"/>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30</w:t>
            </w:r>
          </w:p>
        </w:tc>
      </w:tr>
      <w:tr w14:paraId="3738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14:paraId="07B7E177">
            <w:pPr>
              <w:adjustRightInd w:val="0"/>
              <w:spacing w:line="360" w:lineRule="auto"/>
              <w:jc w:val="center"/>
              <w:textAlignment w:val="baseline"/>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p>
        </w:tc>
        <w:tc>
          <w:tcPr>
            <w:tcW w:w="3200" w:type="dxa"/>
            <w:gridSpan w:val="2"/>
            <w:vAlign w:val="center"/>
          </w:tcPr>
          <w:p w14:paraId="3451519F">
            <w:pPr>
              <w:adjustRightInd w:val="0"/>
              <w:spacing w:line="360" w:lineRule="auto"/>
              <w:jc w:val="center"/>
              <w:textAlignment w:val="baseline"/>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项目技术方案分</w:t>
            </w:r>
            <w:r>
              <w:rPr>
                <w:rFonts w:hint="eastAsia" w:ascii="仿宋" w:hAnsi="仿宋" w:eastAsia="仿宋" w:cs="仿宋"/>
                <w:bCs/>
                <w:color w:val="auto"/>
                <w:sz w:val="24"/>
                <w:highlight w:val="none"/>
              </w:rPr>
              <w:t>（</w:t>
            </w:r>
            <w:r>
              <w:rPr>
                <w:rFonts w:hint="eastAsia" w:ascii="仿宋" w:hAnsi="仿宋" w:eastAsia="仿宋" w:cs="仿宋"/>
                <w:color w:val="auto"/>
                <w:sz w:val="24"/>
                <w:highlight w:val="none"/>
              </w:rPr>
              <w:t>满分12分)</w:t>
            </w:r>
          </w:p>
        </w:tc>
        <w:tc>
          <w:tcPr>
            <w:tcW w:w="6037" w:type="dxa"/>
            <w:vAlign w:val="center"/>
          </w:tcPr>
          <w:p w14:paraId="2EB50DDD">
            <w:pPr>
              <w:pStyle w:val="120"/>
              <w:spacing w:line="360" w:lineRule="auto"/>
              <w:ind w:firstLine="480" w:firstLineChars="200"/>
              <w:rPr>
                <w:rFonts w:hint="eastAsia" w:ascii="仿宋_GB2312" w:hAnsi="仿宋_GB2312" w:eastAsia="仿宋_GB2312" w:cs="仿宋_GB2312"/>
                <w:bCs w:val="0"/>
                <w:color w:val="auto"/>
                <w:spacing w:val="0"/>
                <w:kern w:val="2"/>
                <w:highlight w:val="none"/>
              </w:rPr>
            </w:pPr>
            <w:r>
              <w:rPr>
                <w:rFonts w:hint="eastAsia" w:ascii="仿宋_GB2312" w:hAnsi="仿宋_GB2312" w:eastAsia="仿宋_GB2312" w:cs="仿宋_GB2312"/>
                <w:bCs w:val="0"/>
                <w:color w:val="auto"/>
                <w:spacing w:val="0"/>
                <w:kern w:val="2"/>
                <w:highlight w:val="none"/>
              </w:rPr>
              <w:t>由评委根据各投标人所提供的项目实施方案进行比较后，由各评委在各个档次内独立打分。</w:t>
            </w:r>
          </w:p>
          <w:p w14:paraId="72E1AD9A">
            <w:pPr>
              <w:pStyle w:val="120"/>
              <w:spacing w:line="360" w:lineRule="auto"/>
              <w:ind w:firstLine="480" w:firstLineChars="200"/>
              <w:rPr>
                <w:rFonts w:hint="eastAsia" w:ascii="仿宋_GB2312" w:hAnsi="仿宋_GB2312" w:eastAsia="仿宋_GB2312" w:cs="仿宋_GB2312"/>
                <w:bCs w:val="0"/>
                <w:color w:val="auto"/>
                <w:spacing w:val="0"/>
                <w:kern w:val="2"/>
                <w:highlight w:val="none"/>
              </w:rPr>
            </w:pPr>
            <w:r>
              <w:rPr>
                <w:rFonts w:hint="eastAsia" w:ascii="仿宋_GB2312" w:hAnsi="仿宋_GB2312" w:eastAsia="仿宋_GB2312" w:cs="仿宋_GB2312"/>
                <w:bCs w:val="0"/>
                <w:color w:val="auto"/>
                <w:spacing w:val="0"/>
                <w:kern w:val="2"/>
                <w:highlight w:val="none"/>
              </w:rPr>
              <w:t>一档（3分）：投标人对项目情况了解，根据相关内容提供整体实施方案（包括但不限于点位信息、设备配置、立杆配置等）、前端点位设备布置（包括但不限于点位具体方案及图纸等）、施工组织管理以及无线网络覆盖建设等内容有基本描述，无明显错误，实施方案基本可行。</w:t>
            </w:r>
          </w:p>
          <w:p w14:paraId="56CDD060">
            <w:pPr>
              <w:pStyle w:val="120"/>
              <w:spacing w:line="360" w:lineRule="auto"/>
              <w:ind w:firstLine="480" w:firstLineChars="200"/>
              <w:rPr>
                <w:rFonts w:hint="eastAsia" w:ascii="仿宋_GB2312" w:hAnsi="仿宋_GB2312" w:eastAsia="仿宋_GB2312" w:cs="仿宋_GB2312"/>
                <w:bCs w:val="0"/>
                <w:color w:val="auto"/>
                <w:spacing w:val="0"/>
                <w:kern w:val="2"/>
                <w:highlight w:val="none"/>
              </w:rPr>
            </w:pPr>
            <w:r>
              <w:rPr>
                <w:rFonts w:hint="eastAsia" w:ascii="仿宋_GB2312" w:hAnsi="仿宋_GB2312" w:eastAsia="仿宋_GB2312" w:cs="仿宋_GB2312"/>
                <w:bCs w:val="0"/>
                <w:color w:val="auto"/>
                <w:spacing w:val="0"/>
                <w:kern w:val="2"/>
                <w:highlight w:val="none"/>
              </w:rPr>
              <w:t>二档（6分）：在满足一档的基础上，投标人提供的整体实施方案对项目的范围进行详细的描述，包括但不限于项目的主要工作内容、涉及的部门和人员等。对项目的需求进行详细的分析，包括但不限于项目的功能需求、性能需求、安全需求等。对项目的实施计划进行详细的描述，包括但不限于项目的阶段划分、关键任务、网络调试、网络拓扑图、施工进度表以及配套的施工管理计划等。</w:t>
            </w:r>
          </w:p>
          <w:p w14:paraId="30BFCE37">
            <w:pPr>
              <w:pStyle w:val="120"/>
              <w:spacing w:line="360" w:lineRule="auto"/>
              <w:ind w:firstLine="480" w:firstLineChars="200"/>
              <w:rPr>
                <w:rFonts w:hint="eastAsia" w:ascii="仿宋_GB2312" w:hAnsi="仿宋_GB2312" w:eastAsia="仿宋_GB2312" w:cs="仿宋_GB2312"/>
                <w:bCs w:val="0"/>
                <w:color w:val="auto"/>
                <w:spacing w:val="0"/>
                <w:kern w:val="2"/>
                <w:highlight w:val="none"/>
              </w:rPr>
            </w:pPr>
            <w:r>
              <w:rPr>
                <w:rFonts w:hint="eastAsia" w:ascii="仿宋_GB2312" w:hAnsi="仿宋_GB2312" w:eastAsia="仿宋_GB2312" w:cs="仿宋_GB2312"/>
                <w:bCs w:val="0"/>
                <w:color w:val="auto"/>
                <w:spacing w:val="0"/>
                <w:kern w:val="2"/>
                <w:highlight w:val="none"/>
              </w:rPr>
              <w:t>三档（9分）：在满足二档的基础上，投标人提供整体实施方案对项目情况有一定的了解，整体实施方案对项目的质量管理体系进行详细的描述，包括但不限于质量标准、质量控制方法、质量检查和评价等。对项目的质量保证体系进行详细的描述，包括但不限于质量保证的方法、质量保证的责任和义务等，详细说明组网结构，且建设方案具备可扩展性、先进性和兼容性。对项目的沟通和协调机制进行详细的描述，包括但不限于沟通的方式、频率、内容等。</w:t>
            </w:r>
          </w:p>
          <w:p w14:paraId="4956D791">
            <w:pPr>
              <w:pStyle w:val="120"/>
              <w:spacing w:line="360" w:lineRule="auto"/>
              <w:ind w:firstLine="480" w:firstLineChars="200"/>
              <w:rPr>
                <w:rFonts w:hint="eastAsia" w:ascii="仿宋_GB2312" w:hAnsi="仿宋_GB2312" w:eastAsia="仿宋_GB2312" w:cs="仿宋_GB2312"/>
                <w:bCs w:val="0"/>
                <w:color w:val="auto"/>
                <w:spacing w:val="0"/>
                <w:kern w:val="2"/>
                <w:highlight w:val="none"/>
              </w:rPr>
            </w:pPr>
            <w:r>
              <w:rPr>
                <w:rFonts w:hint="eastAsia" w:ascii="仿宋_GB2312" w:hAnsi="仿宋_GB2312" w:eastAsia="仿宋_GB2312" w:cs="仿宋_GB2312"/>
                <w:bCs w:val="0"/>
                <w:color w:val="auto"/>
                <w:spacing w:val="0"/>
                <w:kern w:val="2"/>
                <w:highlight w:val="none"/>
              </w:rPr>
              <w:t>四档（12分）：在满足三档的基础上，投标人提供整体实施方案对项目情况了解清晰，针对设计、设备选择、施工、测试和维护等关键步骤，详细描述了每个步骤的具体操作方法和要求。对影响项目进度和质量的主要风险点和难点进行分析，提出合理化建议及切实可行、具有针对性和具体的解决方案或应对措施，逻辑关系清晰，可操作性强。</w:t>
            </w:r>
          </w:p>
          <w:p w14:paraId="2398A95F">
            <w:pPr>
              <w:pStyle w:val="120"/>
              <w:spacing w:line="360" w:lineRule="auto"/>
              <w:ind w:firstLine="482" w:firstLineChars="200"/>
              <w:rPr>
                <w:color w:val="auto"/>
                <w:highlight w:val="none"/>
              </w:rPr>
            </w:pPr>
            <w:r>
              <w:rPr>
                <w:rFonts w:hint="eastAsia" w:ascii="仿宋_GB2312" w:hAnsi="仿宋_GB2312" w:eastAsia="仿宋_GB2312" w:cs="仿宋_GB2312"/>
                <w:b/>
                <w:color w:val="auto"/>
                <w:spacing w:val="0"/>
                <w:kern w:val="2"/>
                <w:highlight w:val="none"/>
              </w:rPr>
              <w:t>注：不满足第一档，0分。</w:t>
            </w:r>
          </w:p>
        </w:tc>
        <w:tc>
          <w:tcPr>
            <w:tcW w:w="734" w:type="dxa"/>
            <w:vAlign w:val="center"/>
          </w:tcPr>
          <w:p w14:paraId="32A6773B">
            <w:pPr>
              <w:pStyle w:val="23"/>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12 </w:t>
            </w:r>
          </w:p>
        </w:tc>
      </w:tr>
      <w:tr w14:paraId="71F67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6" w:hRule="atLeast"/>
          <w:jc w:val="center"/>
        </w:trPr>
        <w:tc>
          <w:tcPr>
            <w:tcW w:w="818" w:type="dxa"/>
            <w:vAlign w:val="center"/>
          </w:tcPr>
          <w:p w14:paraId="1CA2188E">
            <w:pPr>
              <w:adjustRightInd w:val="0"/>
              <w:spacing w:line="360" w:lineRule="auto"/>
              <w:jc w:val="center"/>
              <w:textAlignment w:val="baseline"/>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p>
        </w:tc>
        <w:tc>
          <w:tcPr>
            <w:tcW w:w="3200" w:type="dxa"/>
            <w:gridSpan w:val="2"/>
            <w:vAlign w:val="center"/>
          </w:tcPr>
          <w:p w14:paraId="1194B935">
            <w:pPr>
              <w:adjustRightInd w:val="0"/>
              <w:spacing w:line="360" w:lineRule="auto"/>
              <w:jc w:val="center"/>
              <w:textAlignment w:val="baseline"/>
              <w:rPr>
                <w:rFonts w:hint="eastAsia" w:ascii="仿宋" w:hAnsi="仿宋" w:cs="仿宋"/>
                <w:color w:val="auto"/>
                <w:sz w:val="24"/>
                <w:highlight w:val="none"/>
              </w:rPr>
            </w:pPr>
            <w:r>
              <w:rPr>
                <w:rFonts w:hint="eastAsia" w:ascii="仿宋" w:hAnsi="仿宋" w:eastAsia="仿宋" w:cs="仿宋"/>
                <w:b/>
                <w:bCs/>
                <w:color w:val="auto"/>
                <w:sz w:val="24"/>
                <w:highlight w:val="none"/>
              </w:rPr>
              <w:t>进度、安全保障措施方案分</w:t>
            </w:r>
            <w:r>
              <w:rPr>
                <w:rFonts w:hint="eastAsia" w:ascii="仿宋" w:hAnsi="仿宋" w:cs="仿宋"/>
                <w:color w:val="auto"/>
                <w:sz w:val="24"/>
                <w:highlight w:val="none"/>
              </w:rPr>
              <w:t>（满分10分）</w:t>
            </w:r>
          </w:p>
        </w:tc>
        <w:tc>
          <w:tcPr>
            <w:tcW w:w="6037" w:type="dxa"/>
            <w:tcMar>
              <w:left w:w="57" w:type="dxa"/>
              <w:right w:w="57" w:type="dxa"/>
            </w:tcMar>
            <w:vAlign w:val="center"/>
          </w:tcPr>
          <w:p w14:paraId="1191F3E2">
            <w:pPr>
              <w:widowControl/>
              <w:spacing w:line="360" w:lineRule="auto"/>
              <w:ind w:firstLine="480" w:firstLineChars="200"/>
              <w:rPr>
                <w:rFonts w:eastAsia="仿宋"/>
                <w:bCs/>
                <w:color w:val="auto"/>
                <w:sz w:val="24"/>
                <w:highlight w:val="none"/>
              </w:rPr>
            </w:pPr>
            <w:r>
              <w:rPr>
                <w:rFonts w:hint="eastAsia" w:eastAsia="仿宋"/>
                <w:bCs/>
                <w:color w:val="auto"/>
                <w:sz w:val="24"/>
                <w:highlight w:val="none"/>
              </w:rPr>
              <w:t>由评委根据各投标人所提供的进度、安全保障措施方案进行比较后，由各评委在各个档次内独立打分。</w:t>
            </w:r>
          </w:p>
          <w:p w14:paraId="2745DF79">
            <w:pPr>
              <w:widowControl/>
              <w:spacing w:line="360" w:lineRule="auto"/>
              <w:ind w:firstLine="480" w:firstLineChars="200"/>
              <w:rPr>
                <w:rFonts w:eastAsia="仿宋"/>
                <w:bCs/>
                <w:color w:val="auto"/>
                <w:sz w:val="24"/>
                <w:highlight w:val="none"/>
              </w:rPr>
            </w:pPr>
            <w:r>
              <w:rPr>
                <w:rFonts w:hint="eastAsia" w:eastAsia="仿宋"/>
                <w:bCs/>
                <w:color w:val="auto"/>
                <w:sz w:val="24"/>
                <w:highlight w:val="none"/>
              </w:rPr>
              <w:t>一档（2.5分）：有保证进度、安全生产的简单措施，措施描述简略。</w:t>
            </w:r>
          </w:p>
          <w:p w14:paraId="3E9AEB8A">
            <w:pPr>
              <w:widowControl/>
              <w:spacing w:line="360" w:lineRule="auto"/>
              <w:ind w:firstLine="480" w:firstLineChars="200"/>
              <w:rPr>
                <w:rFonts w:eastAsia="仿宋"/>
                <w:bCs/>
                <w:color w:val="auto"/>
                <w:sz w:val="24"/>
                <w:highlight w:val="none"/>
              </w:rPr>
            </w:pPr>
            <w:r>
              <w:rPr>
                <w:rFonts w:hint="eastAsia" w:eastAsia="仿宋"/>
                <w:bCs/>
                <w:color w:val="auto"/>
                <w:sz w:val="24"/>
                <w:highlight w:val="none"/>
              </w:rPr>
              <w:t>二档（5分）：有简要的保证进度的基本措施，措施得当；配备有满足项目要求的人员，安全管理制度基本健全，基本满足有关安全技术标准要求；</w:t>
            </w:r>
          </w:p>
          <w:p w14:paraId="584AEB04">
            <w:pPr>
              <w:widowControl/>
              <w:spacing w:line="360" w:lineRule="auto"/>
              <w:ind w:firstLine="480" w:firstLineChars="200"/>
              <w:rPr>
                <w:rFonts w:eastAsia="仿宋"/>
                <w:bCs/>
                <w:color w:val="auto"/>
                <w:sz w:val="24"/>
                <w:highlight w:val="none"/>
              </w:rPr>
            </w:pPr>
            <w:r>
              <w:rPr>
                <w:rFonts w:hint="eastAsia" w:eastAsia="仿宋"/>
                <w:bCs/>
                <w:color w:val="auto"/>
                <w:sz w:val="24"/>
                <w:highlight w:val="none"/>
              </w:rPr>
              <w:t>三档（7.5分）：有保证进度的完整框架措施，措施完整。各项计划编制基本齐全，安排基本合理，基本符合本项目实际要求；配备有满足项目要求的实施人员，安全保障措施完整健全，基本满足有关安全技术标准要求；</w:t>
            </w:r>
          </w:p>
          <w:p w14:paraId="4D26E925">
            <w:pPr>
              <w:widowControl/>
              <w:spacing w:line="360" w:lineRule="auto"/>
              <w:ind w:firstLine="480" w:firstLineChars="200"/>
              <w:rPr>
                <w:rFonts w:eastAsia="仿宋"/>
                <w:bCs/>
                <w:color w:val="auto"/>
                <w:sz w:val="24"/>
                <w:highlight w:val="none"/>
              </w:rPr>
            </w:pPr>
            <w:r>
              <w:rPr>
                <w:rFonts w:hint="eastAsia" w:eastAsia="仿宋"/>
                <w:bCs/>
                <w:color w:val="auto"/>
                <w:sz w:val="24"/>
                <w:highlight w:val="none"/>
              </w:rPr>
              <w:t>四档（10分）：有保证进度的具体详细措施，且措施方案实施得当，各项计划图表编制详尽周密，安排科学合理，完全充分响应本项目实际要求；拟投入的各主要人员配备明确详细，有健全详细的安全保障措施，符合实际且满足有关安全技术标准要求。</w:t>
            </w:r>
          </w:p>
          <w:p w14:paraId="68CB1179">
            <w:pPr>
              <w:widowControl/>
              <w:spacing w:line="360" w:lineRule="auto"/>
              <w:ind w:firstLine="482" w:firstLineChars="200"/>
              <w:rPr>
                <w:rFonts w:eastAsia="仿宋"/>
                <w:bCs/>
                <w:color w:val="auto"/>
                <w:sz w:val="24"/>
                <w:highlight w:val="none"/>
              </w:rPr>
            </w:pPr>
            <w:r>
              <w:rPr>
                <w:rFonts w:hint="eastAsia" w:eastAsia="仿宋"/>
                <w:b/>
                <w:color w:val="auto"/>
                <w:sz w:val="24"/>
                <w:highlight w:val="none"/>
              </w:rPr>
              <w:t>注：不满足第一档，0分。</w:t>
            </w:r>
          </w:p>
        </w:tc>
        <w:tc>
          <w:tcPr>
            <w:tcW w:w="734" w:type="dxa"/>
            <w:tcMar>
              <w:left w:w="57" w:type="dxa"/>
              <w:right w:w="57" w:type="dxa"/>
            </w:tcMar>
            <w:vAlign w:val="center"/>
          </w:tcPr>
          <w:p w14:paraId="516A3169">
            <w:pPr>
              <w:spacing w:line="360" w:lineRule="auto"/>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10</w:t>
            </w:r>
          </w:p>
        </w:tc>
      </w:tr>
      <w:tr w14:paraId="62F9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818" w:type="dxa"/>
            <w:vAlign w:val="center"/>
          </w:tcPr>
          <w:p w14:paraId="1822C27A">
            <w:pPr>
              <w:adjustRightInd w:val="0"/>
              <w:spacing w:line="360" w:lineRule="auto"/>
              <w:jc w:val="center"/>
              <w:textAlignment w:val="baseline"/>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w:t>
            </w:r>
          </w:p>
        </w:tc>
        <w:tc>
          <w:tcPr>
            <w:tcW w:w="3200" w:type="dxa"/>
            <w:gridSpan w:val="2"/>
            <w:vAlign w:val="center"/>
          </w:tcPr>
          <w:p w14:paraId="088B6EE8">
            <w:pPr>
              <w:adjustRightInd w:val="0"/>
              <w:spacing w:line="360" w:lineRule="auto"/>
              <w:jc w:val="center"/>
              <w:textAlignment w:val="baseline"/>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运维服务方案分</w:t>
            </w:r>
            <w:r>
              <w:rPr>
                <w:rFonts w:hint="eastAsia" w:ascii="仿宋" w:hAnsi="仿宋" w:eastAsia="仿宋" w:cs="仿宋"/>
                <w:bCs/>
                <w:color w:val="auto"/>
                <w:sz w:val="24"/>
                <w:highlight w:val="none"/>
              </w:rPr>
              <w:t>（</w:t>
            </w:r>
            <w:r>
              <w:rPr>
                <w:rFonts w:hint="eastAsia" w:ascii="仿宋" w:hAnsi="仿宋" w:eastAsia="仿宋" w:cs="仿宋"/>
                <w:color w:val="auto"/>
                <w:sz w:val="24"/>
                <w:highlight w:val="none"/>
              </w:rPr>
              <w:t>满分12分)</w:t>
            </w:r>
          </w:p>
        </w:tc>
        <w:tc>
          <w:tcPr>
            <w:tcW w:w="6037" w:type="dxa"/>
            <w:tcMar>
              <w:left w:w="57" w:type="dxa"/>
              <w:right w:w="57" w:type="dxa"/>
            </w:tcMar>
            <w:vAlign w:val="center"/>
          </w:tcPr>
          <w:p w14:paraId="682A70AD">
            <w:pPr>
              <w:spacing w:line="360" w:lineRule="auto"/>
              <w:ind w:firstLine="480" w:firstLineChars="200"/>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由评委根据各投标人所提供的运维服务方案进行比较后，由各评委在各个档次内独立打分。</w:t>
            </w:r>
          </w:p>
          <w:p w14:paraId="3F31981B">
            <w:pPr>
              <w:spacing w:line="360" w:lineRule="auto"/>
              <w:ind w:firstLine="480" w:firstLineChars="200"/>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一档（3分）：方案基本合理，保障响应措施、服务可行，方案简单但不够具体。</w:t>
            </w:r>
          </w:p>
          <w:p w14:paraId="6CA515ED">
            <w:pPr>
              <w:spacing w:line="360" w:lineRule="auto"/>
              <w:ind w:firstLine="480" w:firstLineChars="200"/>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二档（6分）：方案比较细致、合理、可行，保障响应措施较有力，服务经验较丰富。</w:t>
            </w:r>
          </w:p>
          <w:p w14:paraId="1447284D">
            <w:pPr>
              <w:spacing w:line="360" w:lineRule="auto"/>
              <w:ind w:firstLine="480" w:firstLineChars="200"/>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三档（9分）：方案细致、合理、可行，保障响应措施有力，服务经验丰富，方案能够根据项目情况提出优化建议。</w:t>
            </w:r>
          </w:p>
          <w:p w14:paraId="08E1C78D">
            <w:pPr>
              <w:spacing w:line="360" w:lineRule="auto"/>
              <w:ind w:firstLine="480" w:firstLineChars="200"/>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四档（12分）：能按照采购需求中的服务内容和要求提出科学、合理、详尽、全面的系统运维服务方案、技术支持服务方案，能提出科学的、合理的运维服务建议； 方案阐述详细、清晰、完整、严谨、合理 ，能准确理解本项目的建设背景、目标、范围；完全把握本项目的技术重点、难点；有系统安全服务方案、应急处置措施、系统安全应急保障方案，且描述其实现方式，总体方案完全满足招标文件要求。</w:t>
            </w:r>
          </w:p>
          <w:p w14:paraId="58B11AD4">
            <w:pPr>
              <w:spacing w:line="360" w:lineRule="auto"/>
              <w:ind w:firstLine="482" w:firstLineChars="200"/>
              <w:jc w:val="left"/>
              <w:rPr>
                <w:rFonts w:hint="eastAsia" w:ascii="仿宋" w:hAnsi="仿宋" w:eastAsia="仿宋" w:cs="仿宋"/>
                <w:bCs/>
                <w:color w:val="auto"/>
                <w:sz w:val="24"/>
                <w:highlight w:val="none"/>
              </w:rPr>
            </w:pPr>
            <w:r>
              <w:rPr>
                <w:rFonts w:hint="eastAsia" w:ascii="仿宋" w:hAnsi="仿宋" w:eastAsia="仿宋" w:cs="仿宋"/>
                <w:b/>
                <w:color w:val="auto"/>
                <w:sz w:val="24"/>
                <w:highlight w:val="none"/>
              </w:rPr>
              <w:t>注：不满足第一档，0分。</w:t>
            </w:r>
          </w:p>
        </w:tc>
        <w:tc>
          <w:tcPr>
            <w:tcW w:w="734" w:type="dxa"/>
            <w:tcMar>
              <w:left w:w="57" w:type="dxa"/>
              <w:right w:w="57" w:type="dxa"/>
            </w:tcMar>
            <w:vAlign w:val="center"/>
          </w:tcPr>
          <w:p w14:paraId="1D5F101C">
            <w:pPr>
              <w:spacing w:line="360" w:lineRule="auto"/>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 xml:space="preserve">12 </w:t>
            </w:r>
          </w:p>
        </w:tc>
      </w:tr>
      <w:tr w14:paraId="3509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818" w:type="dxa"/>
            <w:vAlign w:val="center"/>
          </w:tcPr>
          <w:p w14:paraId="208F54EB">
            <w:pPr>
              <w:adjustRightInd w:val="0"/>
              <w:spacing w:line="360" w:lineRule="auto"/>
              <w:jc w:val="center"/>
              <w:textAlignment w:val="baseline"/>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w:t>
            </w:r>
          </w:p>
        </w:tc>
        <w:tc>
          <w:tcPr>
            <w:tcW w:w="3200" w:type="dxa"/>
            <w:gridSpan w:val="2"/>
            <w:vAlign w:val="center"/>
          </w:tcPr>
          <w:p w14:paraId="35B985DA">
            <w:pPr>
              <w:adjustRightInd w:val="0"/>
              <w:snapToGrid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平台系统建设方案</w:t>
            </w:r>
            <w:r>
              <w:rPr>
                <w:rFonts w:hint="eastAsia" w:ascii="仿宋" w:hAnsi="仿宋" w:eastAsia="仿宋" w:cs="仿宋"/>
                <w:bCs/>
                <w:color w:val="auto"/>
                <w:sz w:val="24"/>
                <w:highlight w:val="none"/>
              </w:rPr>
              <w:t>（满分10分）</w:t>
            </w:r>
          </w:p>
        </w:tc>
        <w:tc>
          <w:tcPr>
            <w:tcW w:w="6037" w:type="dxa"/>
            <w:tcMar>
              <w:left w:w="57" w:type="dxa"/>
              <w:right w:w="57" w:type="dxa"/>
            </w:tcMar>
            <w:vAlign w:val="center"/>
          </w:tcPr>
          <w:p w14:paraId="2950C4CD">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由评委根据各投标人所提供的平台系统建设方案进行比较后，由各评委在各个档次内独立打分。</w:t>
            </w:r>
          </w:p>
          <w:p w14:paraId="1A9AC6B0">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一档(2.5分):投标人对平台系统建设软件设置、任务设置和功能实现等方面和实际需求基本吻合。所提供的平台系统建设方案较为简单。</w:t>
            </w:r>
          </w:p>
          <w:p w14:paraId="3EC51C17">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档(5分):在满足一档的基础上，投标人对平台系统建设整体需求的理解到位。对技术架构和数据特征描述清晰。覆盖数据采集、存储、处理、分析、展示、预警及应急响应等全链条。提供的平台系统建设方案具有可行性。</w:t>
            </w:r>
          </w:p>
          <w:p w14:paraId="2AD36324">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三档(7.5分）：在满足二档的基础上，投标人对开发技术难点重点有很好的分析思路，提供清晰的解决思路。 提供项目涉及相关系统接口说明，包括但不限于数据交换流程、统一认证流程和传输数据说明等。提供的平台系统建设方案具有一定的可行性和针对性。</w:t>
            </w:r>
          </w:p>
          <w:p w14:paraId="0A8F2C2E">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四档(10分):在满足三档的基础上，投标人有安全及保密控制方案。提供的平台系统建设方案全面，思路清晰，可行性和针对性强，与项目需求的吻合度好，对项目整体建设有积极推动作用。</w:t>
            </w:r>
          </w:p>
          <w:p w14:paraId="319E9ADB">
            <w:pPr>
              <w:widowControl/>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注：不满足第一档，0分。</w:t>
            </w:r>
          </w:p>
        </w:tc>
        <w:tc>
          <w:tcPr>
            <w:tcW w:w="734" w:type="dxa"/>
            <w:tcMar>
              <w:left w:w="57" w:type="dxa"/>
              <w:right w:w="57" w:type="dxa"/>
            </w:tcMar>
            <w:vAlign w:val="center"/>
          </w:tcPr>
          <w:p w14:paraId="2CA79B9A">
            <w:pPr>
              <w:spacing w:line="360" w:lineRule="auto"/>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 xml:space="preserve">10 </w:t>
            </w:r>
          </w:p>
        </w:tc>
      </w:tr>
      <w:tr w14:paraId="798A5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818" w:type="dxa"/>
            <w:vAlign w:val="center"/>
          </w:tcPr>
          <w:p w14:paraId="3B238296">
            <w:pPr>
              <w:adjustRightInd w:val="0"/>
              <w:spacing w:line="360" w:lineRule="auto"/>
              <w:jc w:val="center"/>
              <w:textAlignment w:val="baseline"/>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w:t>
            </w:r>
          </w:p>
        </w:tc>
        <w:tc>
          <w:tcPr>
            <w:tcW w:w="3200" w:type="dxa"/>
            <w:gridSpan w:val="2"/>
            <w:vAlign w:val="center"/>
          </w:tcPr>
          <w:p w14:paraId="5C5579B9">
            <w:pPr>
              <w:adjustRightInd w:val="0"/>
              <w:snapToGrid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人员分</w:t>
            </w:r>
            <w:r>
              <w:rPr>
                <w:rFonts w:hint="eastAsia" w:ascii="仿宋" w:hAnsi="仿宋" w:eastAsia="仿宋" w:cs="仿宋"/>
                <w:bCs/>
                <w:color w:val="auto"/>
                <w:sz w:val="24"/>
                <w:highlight w:val="none"/>
              </w:rPr>
              <w:t>（满分11分）</w:t>
            </w:r>
          </w:p>
        </w:tc>
        <w:tc>
          <w:tcPr>
            <w:tcW w:w="6037" w:type="dxa"/>
            <w:tcMar>
              <w:left w:w="57" w:type="dxa"/>
              <w:right w:w="57" w:type="dxa"/>
            </w:tcMar>
            <w:vAlign w:val="center"/>
          </w:tcPr>
          <w:p w14:paraId="562BA81D">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 拟投入人员中具有通信类专业高级或以上职称证书的，每有一人的1分，可得2分；具有通信类或计算机类中级及以上职称证书的，每有一人得0.5分，可得4分。本项满分6分。</w:t>
            </w:r>
          </w:p>
          <w:p w14:paraId="63DD4EAE">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 拟投入人员中具有系统集成项目管理师证书或软考系统规划与管理师证书或软考系统分析师证书或系统架构设计师证书等计算机类专业中级或以上职称证书的，得1分；满分1分。</w:t>
            </w:r>
          </w:p>
          <w:p w14:paraId="3C204380">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 拟投入人员中具有信息安全类执业资格证书（如信息安全工程师\cisp \cissp\cisaw等）的,每有一人得1分。本项满分2分。</w:t>
            </w:r>
          </w:p>
          <w:p w14:paraId="3CCA5A9E">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(4)拟投入人员中具有通信安全员证书A级及以上的，每有一人得1分，可得1分；具有通信安全员证书C级及以上的，每有一人得0.5分，可得1分。本项满分2分。</w:t>
            </w:r>
          </w:p>
          <w:p w14:paraId="3A03466D">
            <w:pPr>
              <w:widowControl/>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以上拟投入的人员必须是投标人本单位正式在职人员。需提供投标人为其缴纳的截标时间前半年内任意连续三个月的社保。</w:t>
            </w:r>
          </w:p>
        </w:tc>
        <w:tc>
          <w:tcPr>
            <w:tcW w:w="734" w:type="dxa"/>
            <w:tcMar>
              <w:left w:w="57" w:type="dxa"/>
              <w:right w:w="57" w:type="dxa"/>
            </w:tcMar>
            <w:vAlign w:val="center"/>
          </w:tcPr>
          <w:p w14:paraId="2AB19413">
            <w:pPr>
              <w:spacing w:line="360" w:lineRule="auto"/>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11</w:t>
            </w:r>
          </w:p>
        </w:tc>
      </w:tr>
      <w:tr w14:paraId="7F97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818" w:type="dxa"/>
            <w:vAlign w:val="center"/>
          </w:tcPr>
          <w:p w14:paraId="4AB3257A">
            <w:pPr>
              <w:adjustRightInd w:val="0"/>
              <w:spacing w:line="360" w:lineRule="auto"/>
              <w:jc w:val="center"/>
              <w:textAlignment w:val="baseline"/>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w:t>
            </w:r>
          </w:p>
        </w:tc>
        <w:tc>
          <w:tcPr>
            <w:tcW w:w="3200" w:type="dxa"/>
            <w:gridSpan w:val="2"/>
            <w:vAlign w:val="center"/>
          </w:tcPr>
          <w:p w14:paraId="55B1A571">
            <w:pPr>
              <w:adjustRightInd w:val="0"/>
              <w:snapToGrid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售后服务方案分</w:t>
            </w:r>
            <w:r>
              <w:rPr>
                <w:rFonts w:hint="eastAsia" w:ascii="仿宋" w:hAnsi="仿宋" w:eastAsia="仿宋" w:cs="仿宋"/>
                <w:bCs/>
                <w:color w:val="auto"/>
                <w:sz w:val="24"/>
                <w:highlight w:val="none"/>
              </w:rPr>
              <w:t>（满分8分）</w:t>
            </w:r>
          </w:p>
        </w:tc>
        <w:tc>
          <w:tcPr>
            <w:tcW w:w="6037" w:type="dxa"/>
            <w:tcMar>
              <w:left w:w="57" w:type="dxa"/>
              <w:right w:w="57" w:type="dxa"/>
            </w:tcMar>
            <w:vAlign w:val="center"/>
          </w:tcPr>
          <w:p w14:paraId="1B24BE03">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由评委对各投标人所提供的售后服务承诺方案内容的完整性、可行、免费技术培训方案、保修期外维修方案、 本地化售后服务措施、应急预案等方面进行评定。</w:t>
            </w:r>
          </w:p>
          <w:p w14:paraId="6B9A4A62">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一档（2分）：提供售后服务承诺书，且内容基本响应招标文件核心要求，无重大遗漏。</w:t>
            </w:r>
          </w:p>
          <w:p w14:paraId="192494E1">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包含免费技术培训方案框架，明确培训对象、基础内容及实施周期；制定保修期外维修方案，涵盖维修响应流程、收费标准等核心要素。</w:t>
            </w:r>
          </w:p>
          <w:p w14:paraId="2B703835">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列出设备常见故障类型，并对应给出基础解决建议，可满足日常简单故障排查需求。</w:t>
            </w:r>
          </w:p>
          <w:p w14:paraId="0B291323">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二档（4分）：售后服务承诺书条款完备，对服务范围、响应时效、责任划分等关键内容作出清晰界定，完全符合招标文件要求。</w:t>
            </w:r>
          </w:p>
          <w:p w14:paraId="41CFDCF0">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故障解决方案针对性强，明确不同故障等级的响应机制与修复时限；定期维护方案细化至维护周期、内容、执行标准，可有效降低设备故障风险。</w:t>
            </w:r>
          </w:p>
          <w:p w14:paraId="5E5BB801">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免费技术培训方案包含课程体系、考核标准、后续答疑支持等内容，可确保用户熟练操作设备；保修期外维修方案增加零配件供应保障、上门服务细则等内容，服务流程更顺畅。</w:t>
            </w:r>
          </w:p>
          <w:p w14:paraId="7FAEEFE0">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设备常见故障分类清晰，故障描述、排查步骤、解决方法具体可操作，能指导用户快速处理多数常见问题</w:t>
            </w:r>
          </w:p>
          <w:p w14:paraId="75356BB1">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三档（6分）：售后服务承诺书结合项目实际场景，对特殊工况、个性化需求作出针对性承诺，服务内容具体到责任人、执行频次等细节，可落地性强。</w:t>
            </w:r>
          </w:p>
          <w:p w14:paraId="1D71674E">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定期维护方案融入预防性维护理念，通过数据监测、性能预判等方式提前规避故障；免费技术培训提供线下实操、线上视频等多元形式，适配不同用户学习习惯；保修期外维修推出年度服务套餐、优先服务通道等增值内容。</w:t>
            </w:r>
          </w:p>
          <w:p w14:paraId="2294D482">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制定完善的售后服务应急预案，涵盖重大设备故障、突发批量问题等场景，明确应急响应小组、物资储备、替代方案等关键要素，可在极端情况下快速恢复设备运行。</w:t>
            </w:r>
          </w:p>
          <w:p w14:paraId="42A94968">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设备常见故障解决方案增加故障成因分析、预防措施等内容，形成“排查-解决-预防”闭环，为设备长期稳定运行提供支撑。</w:t>
            </w:r>
          </w:p>
          <w:p w14:paraId="7371EDE0">
            <w:pPr>
              <w:widowControl/>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四档（8分）：售后服务承诺书提出超出招标文件要求的增值服务承诺，如终身技术咨询、设备免费升级等，形成差异化竞争优势。</w:t>
            </w:r>
          </w:p>
          <w:p w14:paraId="74BF9512">
            <w:pPr>
              <w:widowControl/>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引入智能运维系统，通过远程监控、AI故障诊断等技术提升服务效率；本地化售后服务团队实现市区、郊区及时上门响应，在项目所在地建立零配件仓库与服务站点，保障服务及时性。</w:t>
            </w:r>
          </w:p>
          <w:p w14:paraId="74C6C68D">
            <w:pPr>
              <w:widowControl/>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从设备安装调试、日常维护、故障修复到报废回收，提供全生命周期服务支持；免费技术培训建立用户档案，定期回访更新培训内容，确保服务持续适配用户需求变化。</w:t>
            </w:r>
          </w:p>
          <w:p w14:paraId="08BC0889">
            <w:pPr>
              <w:widowControl/>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应急预案经过实战演练，与设备厂商、第三方服务机构建立联动机制，可跨区域调配资源应对极端情况；设备常见故障解决方案纳入行业最新案例与技术成果，形成动态更新的故障知识库。</w:t>
            </w:r>
          </w:p>
          <w:p w14:paraId="30A0263E">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注：不满足第一档，0分。</w:t>
            </w:r>
          </w:p>
        </w:tc>
        <w:tc>
          <w:tcPr>
            <w:tcW w:w="734" w:type="dxa"/>
            <w:tcMar>
              <w:left w:w="57" w:type="dxa"/>
              <w:right w:w="57" w:type="dxa"/>
            </w:tcMar>
            <w:vAlign w:val="center"/>
          </w:tcPr>
          <w:p w14:paraId="0AE7F464">
            <w:pPr>
              <w:spacing w:line="360" w:lineRule="auto"/>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8</w:t>
            </w:r>
          </w:p>
        </w:tc>
      </w:tr>
      <w:tr w14:paraId="1589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818" w:type="dxa"/>
            <w:vAlign w:val="center"/>
          </w:tcPr>
          <w:p w14:paraId="69B0ABF0">
            <w:pPr>
              <w:adjustRightInd w:val="0"/>
              <w:spacing w:line="360" w:lineRule="auto"/>
              <w:jc w:val="center"/>
              <w:textAlignment w:val="baseline"/>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w:t>
            </w:r>
          </w:p>
        </w:tc>
        <w:tc>
          <w:tcPr>
            <w:tcW w:w="3200" w:type="dxa"/>
            <w:gridSpan w:val="2"/>
            <w:vAlign w:val="center"/>
          </w:tcPr>
          <w:p w14:paraId="39C114E4">
            <w:pPr>
              <w:adjustRightInd w:val="0"/>
              <w:snapToGrid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商务分</w:t>
            </w:r>
            <w:r>
              <w:rPr>
                <w:rFonts w:hint="eastAsia" w:ascii="仿宋" w:hAnsi="仿宋" w:eastAsia="仿宋" w:cs="仿宋"/>
                <w:bCs/>
                <w:color w:val="auto"/>
                <w:sz w:val="24"/>
                <w:highlight w:val="none"/>
              </w:rPr>
              <w:t>（满分6分）</w:t>
            </w:r>
          </w:p>
        </w:tc>
        <w:tc>
          <w:tcPr>
            <w:tcW w:w="6037" w:type="dxa"/>
            <w:tcMar>
              <w:left w:w="57" w:type="dxa"/>
              <w:right w:w="57" w:type="dxa"/>
            </w:tcMar>
            <w:vAlign w:val="center"/>
          </w:tcPr>
          <w:p w14:paraId="3F4B4E96">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投标人自202</w:t>
            </w:r>
            <w:r>
              <w:rPr>
                <w:rFonts w:hint="eastAsia" w:ascii="仿宋" w:hAnsi="仿宋" w:eastAsia="仿宋" w:cs="仿宋"/>
                <w:bCs/>
                <w:color w:val="auto"/>
                <w:sz w:val="24"/>
                <w:highlight w:val="none"/>
                <w:lang w:val="en-US" w:eastAsia="zh-CN"/>
              </w:rPr>
              <w:t>3</w:t>
            </w:r>
            <w:r>
              <w:rPr>
                <w:rFonts w:hint="eastAsia" w:ascii="仿宋" w:hAnsi="仿宋" w:eastAsia="仿宋" w:cs="仿宋"/>
                <w:bCs/>
                <w:color w:val="auto"/>
                <w:sz w:val="24"/>
                <w:highlight w:val="none"/>
              </w:rPr>
              <w:t>年</w:t>
            </w:r>
            <w:r>
              <w:rPr>
                <w:rFonts w:hint="eastAsia" w:ascii="仿宋" w:hAnsi="仿宋" w:eastAsia="仿宋" w:cs="仿宋"/>
                <w:bCs/>
                <w:color w:val="auto"/>
                <w:sz w:val="24"/>
                <w:highlight w:val="none"/>
                <w:lang w:val="en-US" w:eastAsia="zh-CN"/>
              </w:rPr>
              <w:t>1</w:t>
            </w:r>
            <w:r>
              <w:rPr>
                <w:rFonts w:hint="eastAsia" w:ascii="仿宋" w:hAnsi="仿宋" w:eastAsia="仿宋" w:cs="仿宋"/>
                <w:bCs/>
                <w:color w:val="auto"/>
                <w:sz w:val="24"/>
                <w:highlight w:val="none"/>
              </w:rPr>
              <w:t>月1日以来具有类似通信或监控类项目业绩。每有一项得1分，满分2分，投标文件中提供投标人的有效的合同复印件或中标通知书复印件。</w:t>
            </w:r>
          </w:p>
          <w:p w14:paraId="4712AF93">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 投标人具备iso/IEC27001信息安全管理体系认证证书得1.5分。具备iso/IEC20000信息技术服务管理体系认证证书得1.5分。未提供不得分，本项最高3分。(注:提供投标人的证书复印件，并加盖投标人公章。)</w:t>
            </w:r>
          </w:p>
          <w:p w14:paraId="32E68780">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 投标人具备ITss信息技术服务运行维护符合性证书为3级及以上的得1分，其他不得分，本项最高得1分。（注：需提供投标人的有效证书复印件并加盖投标人公章。）</w:t>
            </w:r>
          </w:p>
        </w:tc>
        <w:tc>
          <w:tcPr>
            <w:tcW w:w="734" w:type="dxa"/>
            <w:tcMar>
              <w:left w:w="57" w:type="dxa"/>
              <w:right w:w="57" w:type="dxa"/>
            </w:tcMar>
            <w:vAlign w:val="center"/>
          </w:tcPr>
          <w:p w14:paraId="50E8FEF5">
            <w:pPr>
              <w:spacing w:line="360" w:lineRule="auto"/>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6</w:t>
            </w:r>
          </w:p>
        </w:tc>
      </w:tr>
      <w:tr w14:paraId="43DE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818" w:type="dxa"/>
            <w:vAlign w:val="center"/>
          </w:tcPr>
          <w:p w14:paraId="663474EC">
            <w:pPr>
              <w:adjustRightInd w:val="0"/>
              <w:spacing w:line="360" w:lineRule="auto"/>
              <w:jc w:val="center"/>
              <w:textAlignment w:val="baseline"/>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w:t>
            </w:r>
          </w:p>
        </w:tc>
        <w:tc>
          <w:tcPr>
            <w:tcW w:w="3200" w:type="dxa"/>
            <w:gridSpan w:val="2"/>
            <w:vAlign w:val="center"/>
          </w:tcPr>
          <w:p w14:paraId="05765D27">
            <w:pPr>
              <w:adjustRightInd w:val="0"/>
              <w:snapToGrid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政策功能分</w:t>
            </w:r>
            <w:r>
              <w:rPr>
                <w:rFonts w:hint="eastAsia" w:ascii="仿宋" w:hAnsi="仿宋" w:eastAsia="仿宋" w:cs="仿宋"/>
                <w:bCs/>
                <w:color w:val="auto"/>
                <w:sz w:val="24"/>
                <w:highlight w:val="none"/>
              </w:rPr>
              <w:t>（满分1分）</w:t>
            </w:r>
          </w:p>
        </w:tc>
        <w:tc>
          <w:tcPr>
            <w:tcW w:w="6037" w:type="dxa"/>
            <w:tcMar>
              <w:left w:w="57" w:type="dxa"/>
              <w:right w:w="57" w:type="dxa"/>
            </w:tcMar>
            <w:vAlign w:val="center"/>
          </w:tcPr>
          <w:p w14:paraId="28E0455C">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属于财政部《节能产品政府采购品目清单》内优先采购（清单内未标注“★”的品目）的产品[投标文件中提供有效的认证证书复印件及品目清单（标注出投标产品在品目清单中所属的品目），并加盖供应商公章]，根据其所占项目（或分标）金额比例得0-0.5分。</w:t>
            </w:r>
          </w:p>
          <w:p w14:paraId="3ED1A9FF">
            <w:pPr>
              <w:widowControl/>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属于财政部《环境标志产品政府采购品目清单》内的产品[投标文件中提供有效的认证证书复印件及品目清单（标注出投标产品在品目清单中所属的品目），并加盖供应商公章]，根据其所占项目（或分标）金额比例得0-0.5分；</w:t>
            </w:r>
          </w:p>
        </w:tc>
        <w:tc>
          <w:tcPr>
            <w:tcW w:w="734" w:type="dxa"/>
            <w:tcMar>
              <w:left w:w="57" w:type="dxa"/>
              <w:right w:w="57" w:type="dxa"/>
            </w:tcMar>
            <w:vAlign w:val="center"/>
          </w:tcPr>
          <w:p w14:paraId="0C7371BC">
            <w:pPr>
              <w:spacing w:line="360" w:lineRule="auto"/>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p>
        </w:tc>
      </w:tr>
      <w:tr w14:paraId="4FB1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14:paraId="587C2D21">
            <w:pPr>
              <w:pStyle w:val="23"/>
              <w:spacing w:line="360" w:lineRule="auto"/>
              <w:ind w:firstLine="420"/>
              <w:rPr>
                <w:rFonts w:hint="eastAsia" w:ascii="仿宋" w:hAnsi="仿宋" w:eastAsia="仿宋" w:cs="仿宋"/>
                <w:b/>
                <w:bCs/>
                <w:color w:val="auto"/>
                <w:kern w:val="2"/>
                <w:sz w:val="24"/>
                <w:szCs w:val="24"/>
                <w:highlight w:val="none"/>
              </w:rPr>
            </w:pPr>
          </w:p>
        </w:tc>
        <w:tc>
          <w:tcPr>
            <w:tcW w:w="9971" w:type="dxa"/>
            <w:gridSpan w:val="4"/>
            <w:vAlign w:val="center"/>
          </w:tcPr>
          <w:p w14:paraId="2EDC2CD9">
            <w:pPr>
              <w:pStyle w:val="23"/>
              <w:spacing w:line="360" w:lineRule="auto"/>
              <w:ind w:firstLine="420"/>
              <w:rPr>
                <w:rFonts w:hint="eastAsia" w:ascii="仿宋" w:hAnsi="仿宋" w:eastAsia="仿宋" w:cs="仿宋"/>
                <w:bCs/>
                <w:color w:val="auto"/>
                <w:kern w:val="2"/>
                <w:sz w:val="24"/>
                <w:szCs w:val="24"/>
                <w:highlight w:val="none"/>
              </w:rPr>
            </w:pPr>
            <w:r>
              <w:rPr>
                <w:rFonts w:hint="eastAsia" w:ascii="仿宋" w:hAnsi="仿宋" w:eastAsia="仿宋" w:cs="仿宋"/>
                <w:b/>
                <w:bCs/>
                <w:color w:val="auto"/>
                <w:kern w:val="2"/>
                <w:sz w:val="24"/>
                <w:szCs w:val="24"/>
                <w:highlight w:val="none"/>
              </w:rPr>
              <w:t>总得分=1+2+3+4+5+6+7+8+9。</w:t>
            </w:r>
          </w:p>
        </w:tc>
      </w:tr>
    </w:tbl>
    <w:p w14:paraId="131F52AA">
      <w:pPr>
        <w:pStyle w:val="23"/>
        <w:spacing w:line="360" w:lineRule="auto"/>
        <w:ind w:firstLine="480" w:firstLineChars="200"/>
        <w:rPr>
          <w:rFonts w:ascii="仿宋" w:hAnsi="仿宋" w:eastAsia="仿宋" w:cs="仿宋"/>
          <w:color w:val="auto"/>
          <w:sz w:val="24"/>
          <w:szCs w:val="24"/>
          <w:highlight w:val="none"/>
        </w:rPr>
      </w:pPr>
    </w:p>
    <w:p w14:paraId="653AD5EF">
      <w:pPr>
        <w:pStyle w:val="23"/>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p>
    <w:p w14:paraId="1D2E1196">
      <w:pPr>
        <w:pStyle w:val="4"/>
        <w:keepNext w:val="0"/>
        <w:keepLines w:val="0"/>
        <w:jc w:val="center"/>
        <w:rPr>
          <w:rFonts w:hint="eastAsia" w:ascii="仿宋" w:hAnsi="仿宋" w:eastAsia="仿宋" w:cs="仿宋"/>
          <w:color w:val="auto"/>
          <w:highlight w:val="none"/>
        </w:rPr>
      </w:pPr>
    </w:p>
    <w:p w14:paraId="0B656037">
      <w:pPr>
        <w:spacing w:before="120" w:beforeLines="50" w:after="120" w:afterLines="50" w:line="400" w:lineRule="exact"/>
        <w:rPr>
          <w:rFonts w:hint="eastAsia" w:ascii="仿宋" w:hAnsi="仿宋" w:eastAsia="仿宋" w:cs="仿宋"/>
          <w:b/>
          <w:color w:val="auto"/>
          <w:sz w:val="24"/>
          <w:highlight w:val="none"/>
        </w:rPr>
      </w:pPr>
    </w:p>
    <w:p w14:paraId="4B28E4B6">
      <w:pPr>
        <w:spacing w:before="120" w:beforeLines="50" w:after="120" w:afterLines="50" w:line="400" w:lineRule="exact"/>
        <w:rPr>
          <w:rFonts w:hint="eastAsia" w:ascii="仿宋" w:hAnsi="仿宋" w:eastAsia="仿宋" w:cs="仿宋"/>
          <w:b/>
          <w:color w:val="auto"/>
          <w:sz w:val="24"/>
          <w:highlight w:val="none"/>
        </w:rPr>
      </w:pPr>
    </w:p>
    <w:p w14:paraId="7ADB05F0">
      <w:pPr>
        <w:spacing w:before="120" w:beforeLines="50" w:after="120" w:afterLines="50" w:line="400" w:lineRule="exact"/>
        <w:rPr>
          <w:rFonts w:hint="eastAsia" w:ascii="仿宋" w:hAnsi="仿宋" w:eastAsia="仿宋" w:cs="仿宋"/>
          <w:b/>
          <w:color w:val="auto"/>
          <w:sz w:val="24"/>
          <w:highlight w:val="none"/>
        </w:rPr>
      </w:pPr>
    </w:p>
    <w:p w14:paraId="3F7FB0A3">
      <w:pPr>
        <w:spacing w:before="120" w:beforeLines="50" w:after="120" w:afterLines="50" w:line="400" w:lineRule="exact"/>
        <w:rPr>
          <w:rFonts w:hint="eastAsia" w:ascii="仿宋" w:hAnsi="仿宋" w:eastAsia="仿宋" w:cs="仿宋"/>
          <w:b/>
          <w:color w:val="auto"/>
          <w:sz w:val="24"/>
          <w:highlight w:val="none"/>
        </w:rPr>
      </w:pPr>
    </w:p>
    <w:p w14:paraId="20A83F26">
      <w:pPr>
        <w:pStyle w:val="3"/>
        <w:keepNext w:val="0"/>
        <w:keepLines w:val="0"/>
        <w:rPr>
          <w:rFonts w:hint="eastAsia" w:ascii="仿宋" w:hAnsi="仿宋" w:eastAsia="仿宋" w:cs="仿宋"/>
          <w:color w:val="auto"/>
          <w:highlight w:val="none"/>
        </w:rPr>
      </w:pPr>
    </w:p>
    <w:p w14:paraId="718B57CA">
      <w:pPr>
        <w:pStyle w:val="3"/>
        <w:keepNext w:val="0"/>
        <w:keepLines w:val="0"/>
        <w:rPr>
          <w:rFonts w:hint="eastAsia" w:ascii="仿宋" w:hAnsi="仿宋" w:eastAsia="仿宋" w:cs="仿宋"/>
          <w:color w:val="auto"/>
          <w:highlight w:val="none"/>
        </w:rPr>
      </w:pPr>
    </w:p>
    <w:p w14:paraId="09B3C910">
      <w:pPr>
        <w:pStyle w:val="3"/>
        <w:keepNext w:val="0"/>
        <w:keepLines w:val="0"/>
        <w:rPr>
          <w:rFonts w:hint="eastAsia" w:ascii="仿宋" w:hAnsi="仿宋" w:eastAsia="仿宋" w:cs="仿宋"/>
          <w:color w:val="auto"/>
          <w:highlight w:val="none"/>
        </w:rPr>
      </w:pPr>
    </w:p>
    <w:p w14:paraId="513514D9">
      <w:pPr>
        <w:pStyle w:val="3"/>
        <w:keepNext w:val="0"/>
        <w:keepLines w:val="0"/>
        <w:jc w:val="center"/>
        <w:rPr>
          <w:rFonts w:hint="eastAsia" w:ascii="仿宋" w:hAnsi="仿宋" w:eastAsia="仿宋" w:cs="仿宋"/>
          <w:color w:val="auto"/>
          <w:highlight w:val="none"/>
        </w:rPr>
      </w:pPr>
    </w:p>
    <w:p w14:paraId="7C6D9ED9">
      <w:pPr>
        <w:pStyle w:val="3"/>
        <w:keepNext w:val="0"/>
        <w:keepLines w:val="0"/>
        <w:jc w:val="center"/>
        <w:rPr>
          <w:rFonts w:hint="eastAsia" w:ascii="仿宋" w:hAnsi="仿宋" w:eastAsia="仿宋" w:cs="仿宋"/>
          <w:color w:val="auto"/>
          <w:highlight w:val="none"/>
        </w:rPr>
      </w:pPr>
    </w:p>
    <w:p w14:paraId="1473D8C1">
      <w:pPr>
        <w:pStyle w:val="3"/>
        <w:keepNext w:val="0"/>
        <w:keepLines w:val="0"/>
        <w:rPr>
          <w:rFonts w:hint="eastAsia" w:ascii="仿宋" w:hAnsi="仿宋" w:eastAsia="仿宋" w:cs="仿宋"/>
          <w:color w:val="auto"/>
          <w:highlight w:val="none"/>
        </w:rPr>
      </w:pPr>
      <w:bookmarkStart w:id="133" w:name="_Toc21964"/>
    </w:p>
    <w:p w14:paraId="3B4F2993">
      <w:pPr>
        <w:pStyle w:val="3"/>
        <w:keepNext w:val="0"/>
        <w:keepLines w:val="0"/>
        <w:jc w:val="center"/>
        <w:rPr>
          <w:rFonts w:hint="eastAsia" w:ascii="仿宋" w:hAnsi="仿宋" w:eastAsia="仿宋" w:cs="仿宋"/>
          <w:color w:val="auto"/>
          <w:highlight w:val="none"/>
        </w:rPr>
      </w:pPr>
      <w:r>
        <w:rPr>
          <w:rFonts w:hint="eastAsia" w:ascii="仿宋" w:hAnsi="仿宋" w:eastAsia="仿宋" w:cs="仿宋"/>
          <w:color w:val="auto"/>
          <w:highlight w:val="none"/>
        </w:rPr>
        <w:t>第五章 拟签订的合同文本</w:t>
      </w:r>
      <w:bookmarkEnd w:id="133"/>
    </w:p>
    <w:p w14:paraId="66FAAE7D">
      <w:pPr>
        <w:snapToGrid w:val="0"/>
        <w:jc w:val="center"/>
        <w:rPr>
          <w:rFonts w:hint="eastAsia" w:ascii="仿宋" w:hAnsi="仿宋" w:eastAsia="仿宋" w:cs="仿宋"/>
          <w:bCs/>
          <w:color w:val="auto"/>
          <w:sz w:val="32"/>
          <w:szCs w:val="32"/>
          <w:highlight w:val="none"/>
        </w:rPr>
      </w:pPr>
    </w:p>
    <w:p w14:paraId="3A04D331">
      <w:pPr>
        <w:snapToGrid w:val="0"/>
        <w:jc w:val="center"/>
        <w:rPr>
          <w:rFonts w:hint="eastAsia" w:ascii="仿宋" w:hAnsi="仿宋" w:eastAsia="仿宋" w:cs="仿宋"/>
          <w:bCs/>
          <w:color w:val="auto"/>
          <w:sz w:val="32"/>
          <w:szCs w:val="32"/>
          <w:highlight w:val="none"/>
        </w:rPr>
      </w:pPr>
    </w:p>
    <w:p w14:paraId="6626DA36">
      <w:pPr>
        <w:snapToGrid w:val="0"/>
        <w:jc w:val="center"/>
        <w:rPr>
          <w:rFonts w:hint="eastAsia" w:ascii="仿宋" w:hAnsi="仿宋" w:eastAsia="仿宋" w:cs="仿宋"/>
          <w:bCs/>
          <w:color w:val="auto"/>
          <w:sz w:val="32"/>
          <w:szCs w:val="32"/>
          <w:highlight w:val="none"/>
        </w:rPr>
      </w:pPr>
    </w:p>
    <w:p w14:paraId="7B8E3A88">
      <w:pPr>
        <w:snapToGrid w:val="0"/>
        <w:jc w:val="center"/>
        <w:rPr>
          <w:rFonts w:hint="eastAsia" w:ascii="仿宋" w:hAnsi="仿宋" w:eastAsia="仿宋" w:cs="仿宋"/>
          <w:bCs/>
          <w:color w:val="auto"/>
          <w:sz w:val="32"/>
          <w:szCs w:val="32"/>
          <w:highlight w:val="none"/>
        </w:rPr>
      </w:pPr>
    </w:p>
    <w:p w14:paraId="1A686959">
      <w:pPr>
        <w:snapToGrid w:val="0"/>
        <w:jc w:val="center"/>
        <w:rPr>
          <w:rFonts w:hint="eastAsia" w:ascii="仿宋" w:hAnsi="仿宋" w:eastAsia="仿宋" w:cs="仿宋"/>
          <w:bCs/>
          <w:color w:val="auto"/>
          <w:sz w:val="32"/>
          <w:szCs w:val="32"/>
          <w:highlight w:val="none"/>
        </w:rPr>
      </w:pPr>
    </w:p>
    <w:p w14:paraId="329E2B36">
      <w:pPr>
        <w:snapToGrid w:val="0"/>
        <w:jc w:val="center"/>
        <w:rPr>
          <w:rFonts w:hint="eastAsia" w:ascii="仿宋" w:hAnsi="仿宋" w:eastAsia="仿宋" w:cs="仿宋"/>
          <w:bCs/>
          <w:color w:val="auto"/>
          <w:sz w:val="32"/>
          <w:szCs w:val="32"/>
          <w:highlight w:val="none"/>
        </w:rPr>
      </w:pPr>
    </w:p>
    <w:p w14:paraId="78EC9313">
      <w:pPr>
        <w:snapToGrid w:val="0"/>
        <w:spacing w:line="360" w:lineRule="auto"/>
        <w:rPr>
          <w:rFonts w:hint="eastAsia" w:ascii="仿宋" w:hAnsi="仿宋" w:eastAsia="仿宋" w:cs="仿宋"/>
          <w:color w:val="auto"/>
          <w:szCs w:val="21"/>
          <w:highlight w:val="none"/>
        </w:rPr>
      </w:pPr>
      <w:bookmarkStart w:id="134" w:name="_Hlk55381736"/>
    </w:p>
    <w:p w14:paraId="26D345A7">
      <w:pPr>
        <w:adjustRightInd w:val="0"/>
        <w:snapToGrid w:val="0"/>
        <w:spacing w:line="360" w:lineRule="auto"/>
        <w:ind w:firstLine="420" w:firstLineChars="200"/>
        <w:rPr>
          <w:rFonts w:hint="eastAsia" w:ascii="仿宋" w:hAnsi="仿宋" w:eastAsia="仿宋" w:cs="仿宋"/>
          <w:color w:val="auto"/>
          <w:szCs w:val="21"/>
          <w:highlight w:val="none"/>
        </w:rPr>
      </w:pPr>
    </w:p>
    <w:p w14:paraId="1223D3FD">
      <w:pPr>
        <w:pStyle w:val="3"/>
        <w:spacing w:line="520" w:lineRule="exact"/>
        <w:jc w:val="center"/>
        <w:rPr>
          <w:rFonts w:hint="eastAsia" w:ascii="仿宋" w:hAnsi="仿宋" w:eastAsia="仿宋" w:cs="仿宋"/>
          <w:color w:val="auto"/>
          <w:highlight w:val="none"/>
        </w:rPr>
      </w:pPr>
      <w:r>
        <w:rPr>
          <w:rFonts w:hint="eastAsia" w:ascii="仿宋" w:hAnsi="仿宋" w:eastAsia="仿宋" w:cs="仿宋"/>
          <w:bCs w:val="0"/>
          <w:color w:val="auto"/>
          <w:highlight w:val="none"/>
        </w:rPr>
        <w:br w:type="page"/>
      </w:r>
      <w:bookmarkStart w:id="135" w:name="_Toc16385"/>
      <w:r>
        <w:rPr>
          <w:rFonts w:hint="eastAsia" w:ascii="仿宋" w:hAnsi="仿宋" w:eastAsia="仿宋" w:cs="仿宋"/>
          <w:color w:val="auto"/>
          <w:highlight w:val="none"/>
        </w:rPr>
        <w:t>01分标合同条款及格式</w:t>
      </w:r>
    </w:p>
    <w:p w14:paraId="03884CDB">
      <w:pPr>
        <w:widowControl/>
        <w:kinsoku w:val="0"/>
        <w:autoSpaceDE w:val="0"/>
        <w:autoSpaceDN w:val="0"/>
        <w:adjustRightInd w:val="0"/>
        <w:snapToGrid w:val="0"/>
        <w:spacing w:before="341"/>
        <w:jc w:val="center"/>
        <w:textAlignment w:val="baseline"/>
        <w:outlineLvl w:val="0"/>
        <w:rPr>
          <w:rFonts w:hint="eastAsia" w:ascii="仿宋" w:hAnsi="仿宋" w:eastAsia="仿宋" w:cs="仿宋"/>
          <w:color w:val="auto"/>
          <w:sz w:val="44"/>
          <w:szCs w:val="44"/>
          <w:highlight w:val="none"/>
        </w:rPr>
      </w:pPr>
      <w:r>
        <w:rPr>
          <w:rFonts w:hint="eastAsia" w:ascii="仿宋" w:hAnsi="仿宋" w:eastAsia="仿宋" w:cs="仿宋"/>
          <w:b/>
          <w:bCs/>
          <w:color w:val="auto"/>
          <w:spacing w:val="9"/>
          <w:sz w:val="44"/>
          <w:szCs w:val="44"/>
          <w:highlight w:val="none"/>
        </w:rPr>
        <w:t>第一部分</w:t>
      </w:r>
      <w:r>
        <w:rPr>
          <w:rFonts w:hint="eastAsia" w:ascii="仿宋" w:hAnsi="仿宋" w:eastAsia="仿宋" w:cs="仿宋"/>
          <w:color w:val="auto"/>
          <w:spacing w:val="9"/>
          <w:sz w:val="44"/>
          <w:szCs w:val="44"/>
          <w:highlight w:val="none"/>
        </w:rPr>
        <w:t xml:space="preserve"> </w:t>
      </w:r>
      <w:r>
        <w:rPr>
          <w:rFonts w:hint="eastAsia" w:ascii="仿宋" w:hAnsi="仿宋" w:eastAsia="仿宋" w:cs="仿宋"/>
          <w:b/>
          <w:bCs/>
          <w:color w:val="auto"/>
          <w:spacing w:val="9"/>
          <w:sz w:val="44"/>
          <w:szCs w:val="44"/>
          <w:highlight w:val="none"/>
        </w:rPr>
        <w:t>合同协议书</w:t>
      </w:r>
    </w:p>
    <w:p w14:paraId="1EF92D06">
      <w:pPr>
        <w:widowControl/>
        <w:kinsoku w:val="0"/>
        <w:autoSpaceDE w:val="0"/>
        <w:autoSpaceDN w:val="0"/>
        <w:adjustRightInd w:val="0"/>
        <w:snapToGrid w:val="0"/>
        <w:textAlignment w:val="baseline"/>
        <w:rPr>
          <w:rFonts w:ascii="Arial"/>
          <w:color w:val="auto"/>
          <w:highlight w:val="none"/>
        </w:rPr>
      </w:pPr>
    </w:p>
    <w:p w14:paraId="58411340">
      <w:pPr>
        <w:widowControl/>
        <w:kinsoku w:val="0"/>
        <w:autoSpaceDE w:val="0"/>
        <w:autoSpaceDN w:val="0"/>
        <w:adjustRightInd w:val="0"/>
        <w:snapToGrid w:val="0"/>
        <w:jc w:val="left"/>
        <w:textAlignment w:val="baseline"/>
        <w:rPr>
          <w:rFonts w:ascii="Arial"/>
          <w:color w:val="auto"/>
          <w:highlight w:val="none"/>
        </w:rPr>
      </w:pPr>
    </w:p>
    <w:p w14:paraId="538C5072">
      <w:pPr>
        <w:snapToGrid w:val="0"/>
        <w:spacing w:before="120"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发包人（全称）：</w:t>
      </w:r>
      <w:r>
        <w:rPr>
          <w:rFonts w:hint="eastAsia" w:ascii="仿宋" w:hAnsi="仿宋" w:eastAsia="仿宋" w:cs="仿宋"/>
          <w:color w:val="auto"/>
          <w:sz w:val="24"/>
          <w:highlight w:val="none"/>
          <w:u w:val="single"/>
        </w:rPr>
        <w:t xml:space="preserve">                  </w:t>
      </w:r>
    </w:p>
    <w:p w14:paraId="48F7093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承包人（全称）：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4829811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根据《中华人民共和国民法典》、《中华人民共和国建筑法》及有关法律规定，遵循平等、自愿、公平和诚实信用的原则，双方就                     （项目名称）工程施工及有关事项协商一致，共同达成如下协议：</w:t>
      </w:r>
    </w:p>
    <w:p w14:paraId="7B49F75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一、工程概况</w:t>
      </w:r>
    </w:p>
    <w:p w14:paraId="5FA3AAD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1.工程名称：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24DDBDE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2.工程地点：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69CBA29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3.工程立项批准文号：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 </w:t>
      </w:r>
    </w:p>
    <w:p w14:paraId="442A040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4.资金来源：</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1AE953B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5.工程内容：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043D5EC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6.工程承包范围：</w:t>
      </w:r>
      <w:r>
        <w:rPr>
          <w:rFonts w:hint="eastAsia" w:ascii="仿宋" w:hAnsi="仿宋" w:eastAsia="仿宋" w:cs="仿宋"/>
          <w:color w:val="auto"/>
          <w:sz w:val="24"/>
          <w:highlight w:val="none"/>
          <w:u w:val="single"/>
        </w:rPr>
        <w:t>经评审备案的施工图纸及工程量清单所包含的全部内容，具体详见施工图纸和工程量清单</w:t>
      </w:r>
      <w:r>
        <w:rPr>
          <w:rFonts w:hint="eastAsia" w:ascii="仿宋" w:hAnsi="仿宋" w:eastAsia="仿宋" w:cs="仿宋"/>
          <w:color w:val="auto"/>
          <w:sz w:val="24"/>
          <w:highlight w:val="none"/>
        </w:rPr>
        <w:t>。</w:t>
      </w:r>
    </w:p>
    <w:p w14:paraId="416A0D8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二、合同工期</w:t>
      </w:r>
    </w:p>
    <w:p w14:paraId="1C96AD7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计划开工日期：</w:t>
      </w:r>
      <w:r>
        <w:rPr>
          <w:rFonts w:hint="eastAsia" w:ascii="仿宋" w:hAnsi="仿宋" w:eastAsia="仿宋" w:cs="仿宋"/>
          <w:color w:val="auto"/>
          <w:sz w:val="24"/>
          <w:highlight w:val="none"/>
          <w:u w:val="single"/>
        </w:rPr>
        <w:t xml:space="preserve"> 2026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日。 </w:t>
      </w:r>
    </w:p>
    <w:p w14:paraId="5B89A6D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计划竣工日期：</w:t>
      </w:r>
      <w:r>
        <w:rPr>
          <w:rFonts w:hint="eastAsia" w:ascii="仿宋" w:hAnsi="仿宋" w:eastAsia="仿宋" w:cs="仿宋"/>
          <w:color w:val="auto"/>
          <w:sz w:val="24"/>
          <w:highlight w:val="none"/>
          <w:u w:val="single"/>
        </w:rPr>
        <w:t xml:space="preserve"> 2026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4AD3570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工期总日历天数：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天。工期总日历天数与根据前述计划开竣工日期计 算的工期天数不一致的，以工期总日历天数为准。</w:t>
      </w:r>
    </w:p>
    <w:p w14:paraId="28BFAE1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三、质量标准</w:t>
      </w:r>
    </w:p>
    <w:p w14:paraId="5C85B74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工程质量符合</w:t>
      </w:r>
      <w:r>
        <w:rPr>
          <w:rFonts w:hint="eastAsia" w:ascii="仿宋" w:hAnsi="仿宋" w:eastAsia="仿宋" w:cs="仿宋"/>
          <w:color w:val="auto"/>
          <w:sz w:val="24"/>
          <w:highlight w:val="none"/>
          <w:u w:val="single"/>
        </w:rPr>
        <w:t xml:space="preserve">           合格               </w:t>
      </w:r>
      <w:r>
        <w:rPr>
          <w:rFonts w:hint="eastAsia" w:ascii="仿宋" w:hAnsi="仿宋" w:eastAsia="仿宋" w:cs="仿宋"/>
          <w:color w:val="auto"/>
          <w:sz w:val="24"/>
          <w:highlight w:val="none"/>
        </w:rPr>
        <w:t>标准。</w:t>
      </w:r>
    </w:p>
    <w:p w14:paraId="10D5680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签约合同价与合同价格形式。</w:t>
      </w:r>
    </w:p>
    <w:p w14:paraId="6605903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1.签约合同价为：</w:t>
      </w:r>
    </w:p>
    <w:p w14:paraId="7E7A717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人民币（大写）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元)； </w:t>
      </w:r>
    </w:p>
    <w:p w14:paraId="3A60844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其中：</w:t>
      </w:r>
    </w:p>
    <w:p w14:paraId="23BF76B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（1）安全文明施工费：</w:t>
      </w:r>
    </w:p>
    <w:p w14:paraId="033A9CB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人民币（大写）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w:t>
      </w:r>
    </w:p>
    <w:p w14:paraId="7A9B7FA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（2）材料和工程设备暂估价金额：</w:t>
      </w:r>
    </w:p>
    <w:p w14:paraId="3A7C518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人民币（大写）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w:t>
      </w:r>
    </w:p>
    <w:p w14:paraId="4E518E2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（3）专业工程暂估价金额：</w:t>
      </w:r>
    </w:p>
    <w:p w14:paraId="29C63DC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人民币（大写）</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元)；</w:t>
      </w:r>
    </w:p>
    <w:p w14:paraId="353D31E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（4）暂列金额：</w:t>
      </w:r>
    </w:p>
    <w:p w14:paraId="07AFEAE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人民币（大写）</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 xml:space="preserve">元)。 </w:t>
      </w:r>
    </w:p>
    <w:p w14:paraId="02D4133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2.合同价格形式： </w:t>
      </w:r>
      <w:r>
        <w:rPr>
          <w:rFonts w:hint="eastAsia" w:ascii="仿宋" w:hAnsi="仿宋" w:eastAsia="仿宋" w:cs="仿宋"/>
          <w:color w:val="auto"/>
          <w:sz w:val="24"/>
          <w:highlight w:val="none"/>
          <w:u w:val="single"/>
        </w:rPr>
        <w:t xml:space="preserve">  单价合同 </w:t>
      </w:r>
      <w:r>
        <w:rPr>
          <w:rFonts w:hint="eastAsia" w:ascii="仿宋" w:hAnsi="仿宋" w:eastAsia="仿宋" w:cs="仿宋"/>
          <w:color w:val="auto"/>
          <w:sz w:val="24"/>
          <w:highlight w:val="none"/>
        </w:rPr>
        <w:t xml:space="preserve">         。 </w:t>
      </w:r>
    </w:p>
    <w:p w14:paraId="1CF1D04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五、项目经理</w:t>
      </w:r>
    </w:p>
    <w:p w14:paraId="03D0804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承包人项目经理：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70D5E2A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六、合同文件构成</w:t>
      </w:r>
    </w:p>
    <w:p w14:paraId="5865301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本协议书与下列文件一起构成合同文件：</w:t>
      </w:r>
    </w:p>
    <w:p w14:paraId="3CF2629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（1）中标通知书（如果有）；</w:t>
      </w:r>
    </w:p>
    <w:p w14:paraId="39BCB68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（2）投标函及其附录（如果有）；</w:t>
      </w:r>
    </w:p>
    <w:p w14:paraId="17B284E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（3）专用合同条款及其附件；</w:t>
      </w:r>
    </w:p>
    <w:p w14:paraId="36A1461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（4）通用合同条款；</w:t>
      </w:r>
    </w:p>
    <w:p w14:paraId="6409E43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（5）技术标准和要求；</w:t>
      </w:r>
    </w:p>
    <w:p w14:paraId="6A84533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（6）图纸；</w:t>
      </w:r>
    </w:p>
    <w:p w14:paraId="7178506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（7）已标价工程量清单或预算书；</w:t>
      </w:r>
    </w:p>
    <w:p w14:paraId="2FB12B7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（8）其他合同文件。</w:t>
      </w:r>
    </w:p>
    <w:p w14:paraId="3ADDB9A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在合同订立及履行过程中形成的与合同有关的文件均构成合同文件组成部分。</w:t>
      </w:r>
    </w:p>
    <w:p w14:paraId="6728A07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上述各项合同文件包括合同当事人就该项合同文件所作出的补充和修改，属于 同一类内容的文件，应以最新签署的为准。专用合同条款及其附件须经合同当事签字或盖章。 </w:t>
      </w:r>
    </w:p>
    <w:p w14:paraId="1CA21E0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七、承诺</w:t>
      </w:r>
    </w:p>
    <w:p w14:paraId="1265B52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1.发包人承诺按照法律规定履行项目审批手续、筹集工程建设资金并按照合同 约定的期限和方式支付合同价款。</w:t>
      </w:r>
    </w:p>
    <w:p w14:paraId="62E25F4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2.承包人承诺按照法律规定及合同约定组织完成工程施工，确保工程质量和安 全，不进行转包及违法分包，并在缺陷责任期及保修期内承担相应的工程维修责任。</w:t>
      </w:r>
    </w:p>
    <w:p w14:paraId="216DC15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3.发包人和承包人通过招投标形式签订合同的，双方理解并承诺不再就同一工 程另行签订与合同实质性内容相背离的协议。</w:t>
      </w:r>
    </w:p>
    <w:p w14:paraId="0A9E25C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八、词语含义</w:t>
      </w:r>
    </w:p>
    <w:p w14:paraId="701D207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本协议书中词语含义与第二部分通用合同条款中赋予的含义相同。</w:t>
      </w:r>
    </w:p>
    <w:p w14:paraId="2873136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九、签订时间</w:t>
      </w:r>
    </w:p>
    <w:p w14:paraId="61BD1E3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本合同于</w:t>
      </w:r>
      <w:r>
        <w:rPr>
          <w:rFonts w:hint="eastAsia" w:ascii="仿宋" w:hAnsi="仿宋" w:eastAsia="仿宋" w:cs="仿宋"/>
          <w:color w:val="auto"/>
          <w:sz w:val="24"/>
          <w:highlight w:val="none"/>
          <w:u w:val="single"/>
        </w:rPr>
        <w:t xml:space="preserve"> 2026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日签订。</w:t>
      </w:r>
    </w:p>
    <w:p w14:paraId="2F3D8AE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十、签订地点</w:t>
      </w:r>
    </w:p>
    <w:p w14:paraId="6706DF7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本合同在</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签订。</w:t>
      </w:r>
    </w:p>
    <w:p w14:paraId="0DB6C0E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十一、补充协议</w:t>
      </w:r>
    </w:p>
    <w:p w14:paraId="37122E8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1、本合同履约期间，所有涉及到由中标方支付（包括且不限于农民工工资之类）的费用，均由中标方及时支付，不得以甲方未支付进度款为由拒绝支付。</w:t>
      </w:r>
    </w:p>
    <w:p w14:paraId="4F8F28F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2、合同未尽事宜，合同当事人另行签订补充协议，补充协议是合同的组成部分。</w:t>
      </w:r>
    </w:p>
    <w:p w14:paraId="4223493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十二、合同生效</w:t>
      </w:r>
    </w:p>
    <w:p w14:paraId="5EBDD49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本合同自</w:t>
      </w:r>
      <w:r>
        <w:rPr>
          <w:rFonts w:hint="eastAsia" w:ascii="仿宋" w:hAnsi="仿宋" w:eastAsia="仿宋" w:cs="仿宋"/>
          <w:color w:val="auto"/>
          <w:sz w:val="24"/>
          <w:highlight w:val="none"/>
          <w:u w:val="single"/>
        </w:rPr>
        <w:t xml:space="preserve">         双方签字盖章后         </w:t>
      </w:r>
      <w:r>
        <w:rPr>
          <w:rFonts w:hint="eastAsia" w:ascii="仿宋" w:hAnsi="仿宋" w:eastAsia="仿宋" w:cs="仿宋"/>
          <w:color w:val="auto"/>
          <w:sz w:val="24"/>
          <w:highlight w:val="none"/>
        </w:rPr>
        <w:t>生效。</w:t>
      </w:r>
    </w:p>
    <w:p w14:paraId="3391BBD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十三、合同份数</w:t>
      </w:r>
    </w:p>
    <w:p w14:paraId="78DFDAC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本合同一式 8 份，均具有同等法律效力，发包人执 5 份，承包人 执 3 份。</w:t>
      </w:r>
    </w:p>
    <w:p w14:paraId="3ED9F76A">
      <w:pPr>
        <w:snapToGrid w:val="0"/>
        <w:spacing w:before="120" w:line="360" w:lineRule="auto"/>
        <w:ind w:firstLine="480" w:firstLineChars="200"/>
        <w:rPr>
          <w:rFonts w:hint="eastAsia" w:ascii="仿宋" w:hAnsi="仿宋" w:eastAsia="仿宋" w:cs="仿宋"/>
          <w:color w:val="auto"/>
          <w:sz w:val="24"/>
          <w:highlight w:val="none"/>
        </w:rPr>
      </w:pPr>
    </w:p>
    <w:p w14:paraId="4AF56A9C">
      <w:pPr>
        <w:snapToGrid w:val="0"/>
        <w:spacing w:before="120" w:line="360" w:lineRule="auto"/>
        <w:ind w:firstLine="480" w:firstLineChars="200"/>
        <w:rPr>
          <w:rFonts w:hint="eastAsia" w:ascii="仿宋" w:hAnsi="仿宋" w:eastAsia="仿宋" w:cs="仿宋"/>
          <w:color w:val="auto"/>
          <w:sz w:val="24"/>
          <w:highlight w:val="none"/>
        </w:rPr>
      </w:pPr>
    </w:p>
    <w:tbl>
      <w:tblPr>
        <w:tblStyle w:val="46"/>
        <w:tblW w:w="8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0"/>
        <w:gridCol w:w="4380"/>
      </w:tblGrid>
      <w:tr w14:paraId="29DC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jc w:val="center"/>
        </w:trPr>
        <w:tc>
          <w:tcPr>
            <w:tcW w:w="4380" w:type="dxa"/>
            <w:tcBorders>
              <w:top w:val="nil"/>
              <w:left w:val="nil"/>
              <w:bottom w:val="nil"/>
              <w:right w:val="nil"/>
            </w:tcBorders>
            <w:vAlign w:val="center"/>
          </w:tcPr>
          <w:p w14:paraId="4407B8F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发包人：</w:t>
            </w:r>
          </w:p>
          <w:p w14:paraId="7750A55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(公章)</w:t>
            </w:r>
          </w:p>
        </w:tc>
        <w:tc>
          <w:tcPr>
            <w:tcW w:w="4380" w:type="dxa"/>
            <w:tcBorders>
              <w:top w:val="nil"/>
              <w:left w:val="nil"/>
              <w:bottom w:val="nil"/>
              <w:right w:val="nil"/>
            </w:tcBorders>
            <w:vAlign w:val="center"/>
          </w:tcPr>
          <w:p w14:paraId="6BE3D5D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承包人：    </w:t>
            </w:r>
          </w:p>
          <w:p w14:paraId="1E9088C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(公章)</w:t>
            </w:r>
          </w:p>
        </w:tc>
      </w:tr>
      <w:tr w14:paraId="56EC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4380" w:type="dxa"/>
            <w:tcBorders>
              <w:top w:val="nil"/>
              <w:left w:val="nil"/>
              <w:bottom w:val="nil"/>
              <w:right w:val="nil"/>
            </w:tcBorders>
            <w:vAlign w:val="center"/>
          </w:tcPr>
          <w:p w14:paraId="7CC9195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法定代表人或其委托代理人：       </w:t>
            </w:r>
          </w:p>
        </w:tc>
        <w:tc>
          <w:tcPr>
            <w:tcW w:w="4380" w:type="dxa"/>
            <w:tcBorders>
              <w:top w:val="nil"/>
              <w:left w:val="nil"/>
              <w:bottom w:val="nil"/>
              <w:right w:val="nil"/>
            </w:tcBorders>
            <w:vAlign w:val="center"/>
          </w:tcPr>
          <w:p w14:paraId="49DDA41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法定代表人或其委托代理人：</w:t>
            </w:r>
          </w:p>
        </w:tc>
      </w:tr>
      <w:tr w14:paraId="109B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4380" w:type="dxa"/>
            <w:tcBorders>
              <w:top w:val="nil"/>
              <w:left w:val="nil"/>
              <w:bottom w:val="nil"/>
              <w:right w:val="nil"/>
            </w:tcBorders>
            <w:vAlign w:val="center"/>
          </w:tcPr>
          <w:p w14:paraId="42E3E75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（签章）</w:t>
            </w:r>
          </w:p>
        </w:tc>
        <w:tc>
          <w:tcPr>
            <w:tcW w:w="4380" w:type="dxa"/>
            <w:tcBorders>
              <w:top w:val="nil"/>
              <w:left w:val="nil"/>
              <w:bottom w:val="nil"/>
              <w:right w:val="nil"/>
            </w:tcBorders>
            <w:vAlign w:val="center"/>
          </w:tcPr>
          <w:p w14:paraId="3C2FCB6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（签章） </w:t>
            </w:r>
          </w:p>
        </w:tc>
      </w:tr>
      <w:tr w14:paraId="37F2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4380" w:type="dxa"/>
            <w:tcBorders>
              <w:top w:val="nil"/>
              <w:left w:val="nil"/>
              <w:bottom w:val="nil"/>
              <w:right w:val="nil"/>
            </w:tcBorders>
            <w:vAlign w:val="center"/>
          </w:tcPr>
          <w:p w14:paraId="26A13D4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组织机构代码：                          </w:t>
            </w:r>
          </w:p>
        </w:tc>
        <w:tc>
          <w:tcPr>
            <w:tcW w:w="4380" w:type="dxa"/>
            <w:tcBorders>
              <w:top w:val="nil"/>
              <w:left w:val="nil"/>
              <w:bottom w:val="nil"/>
              <w:right w:val="nil"/>
            </w:tcBorders>
            <w:vAlign w:val="center"/>
          </w:tcPr>
          <w:p w14:paraId="12B8005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组织机构代码：</w:t>
            </w:r>
          </w:p>
        </w:tc>
      </w:tr>
      <w:tr w14:paraId="1534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4380" w:type="dxa"/>
            <w:tcBorders>
              <w:top w:val="nil"/>
              <w:left w:val="nil"/>
              <w:bottom w:val="nil"/>
              <w:right w:val="nil"/>
            </w:tcBorders>
            <w:vAlign w:val="center"/>
          </w:tcPr>
          <w:p w14:paraId="7C5B20A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  址：                        </w:t>
            </w:r>
          </w:p>
        </w:tc>
        <w:tc>
          <w:tcPr>
            <w:tcW w:w="4380" w:type="dxa"/>
            <w:tcBorders>
              <w:top w:val="nil"/>
              <w:left w:val="nil"/>
              <w:bottom w:val="nil"/>
              <w:right w:val="nil"/>
            </w:tcBorders>
            <w:vAlign w:val="center"/>
          </w:tcPr>
          <w:p w14:paraId="4F01DAD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  址：  </w:t>
            </w:r>
          </w:p>
        </w:tc>
      </w:tr>
      <w:tr w14:paraId="03EE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380" w:type="dxa"/>
            <w:tcBorders>
              <w:top w:val="nil"/>
              <w:left w:val="nil"/>
              <w:bottom w:val="nil"/>
              <w:right w:val="nil"/>
            </w:tcBorders>
            <w:vAlign w:val="center"/>
          </w:tcPr>
          <w:p w14:paraId="22661F7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邮政编码：                       </w:t>
            </w:r>
          </w:p>
        </w:tc>
        <w:tc>
          <w:tcPr>
            <w:tcW w:w="4380" w:type="dxa"/>
            <w:tcBorders>
              <w:top w:val="nil"/>
              <w:left w:val="nil"/>
              <w:bottom w:val="nil"/>
              <w:right w:val="nil"/>
            </w:tcBorders>
            <w:vAlign w:val="center"/>
          </w:tcPr>
          <w:p w14:paraId="42D1C13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邮政编码：     </w:t>
            </w:r>
          </w:p>
        </w:tc>
      </w:tr>
      <w:tr w14:paraId="3FBBA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4380" w:type="dxa"/>
            <w:tcBorders>
              <w:top w:val="nil"/>
              <w:left w:val="nil"/>
              <w:bottom w:val="nil"/>
              <w:right w:val="nil"/>
            </w:tcBorders>
            <w:vAlign w:val="center"/>
          </w:tcPr>
          <w:p w14:paraId="667B364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法定代表人：                    </w:t>
            </w:r>
          </w:p>
        </w:tc>
        <w:tc>
          <w:tcPr>
            <w:tcW w:w="4380" w:type="dxa"/>
            <w:tcBorders>
              <w:top w:val="nil"/>
              <w:left w:val="nil"/>
              <w:bottom w:val="nil"/>
              <w:right w:val="nil"/>
            </w:tcBorders>
            <w:vAlign w:val="center"/>
          </w:tcPr>
          <w:p w14:paraId="1FDEC1C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法定代表人：                     </w:t>
            </w:r>
          </w:p>
        </w:tc>
      </w:tr>
      <w:tr w14:paraId="5DF02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4380" w:type="dxa"/>
            <w:tcBorders>
              <w:top w:val="nil"/>
              <w:left w:val="nil"/>
              <w:bottom w:val="nil"/>
              <w:right w:val="nil"/>
            </w:tcBorders>
            <w:vAlign w:val="center"/>
          </w:tcPr>
          <w:p w14:paraId="1D47E0A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经 办 人：                       </w:t>
            </w:r>
          </w:p>
        </w:tc>
        <w:tc>
          <w:tcPr>
            <w:tcW w:w="4380" w:type="dxa"/>
            <w:tcBorders>
              <w:top w:val="nil"/>
              <w:left w:val="nil"/>
              <w:bottom w:val="nil"/>
              <w:right w:val="nil"/>
            </w:tcBorders>
            <w:vAlign w:val="center"/>
          </w:tcPr>
          <w:p w14:paraId="6982E74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经 办 人：                       </w:t>
            </w:r>
          </w:p>
        </w:tc>
      </w:tr>
      <w:tr w14:paraId="4F6FF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4380" w:type="dxa"/>
            <w:tcBorders>
              <w:top w:val="nil"/>
              <w:left w:val="nil"/>
              <w:bottom w:val="nil"/>
              <w:right w:val="nil"/>
            </w:tcBorders>
            <w:vAlign w:val="center"/>
          </w:tcPr>
          <w:p w14:paraId="61FBED8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电  话：                           </w:t>
            </w:r>
          </w:p>
        </w:tc>
        <w:tc>
          <w:tcPr>
            <w:tcW w:w="4380" w:type="dxa"/>
            <w:tcBorders>
              <w:top w:val="nil"/>
              <w:left w:val="nil"/>
              <w:bottom w:val="nil"/>
              <w:right w:val="nil"/>
            </w:tcBorders>
            <w:vAlign w:val="center"/>
          </w:tcPr>
          <w:p w14:paraId="18D5718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电  话：                          </w:t>
            </w:r>
          </w:p>
        </w:tc>
      </w:tr>
      <w:tr w14:paraId="74D53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4380" w:type="dxa"/>
            <w:tcBorders>
              <w:top w:val="nil"/>
              <w:left w:val="nil"/>
              <w:bottom w:val="nil"/>
              <w:right w:val="nil"/>
            </w:tcBorders>
            <w:vAlign w:val="center"/>
          </w:tcPr>
          <w:p w14:paraId="15DEEB1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传  真：                         </w:t>
            </w:r>
          </w:p>
        </w:tc>
        <w:tc>
          <w:tcPr>
            <w:tcW w:w="4380" w:type="dxa"/>
            <w:tcBorders>
              <w:top w:val="nil"/>
              <w:left w:val="nil"/>
              <w:bottom w:val="nil"/>
              <w:right w:val="nil"/>
            </w:tcBorders>
            <w:vAlign w:val="center"/>
          </w:tcPr>
          <w:p w14:paraId="23EDCCC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传  真：    /                     </w:t>
            </w:r>
          </w:p>
        </w:tc>
      </w:tr>
      <w:tr w14:paraId="5DF9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4380" w:type="dxa"/>
            <w:tcBorders>
              <w:top w:val="nil"/>
              <w:left w:val="nil"/>
              <w:bottom w:val="nil"/>
              <w:right w:val="nil"/>
            </w:tcBorders>
            <w:vAlign w:val="center"/>
          </w:tcPr>
          <w:p w14:paraId="325B302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电子信箱：                       </w:t>
            </w:r>
          </w:p>
        </w:tc>
        <w:tc>
          <w:tcPr>
            <w:tcW w:w="4380" w:type="dxa"/>
            <w:tcBorders>
              <w:top w:val="nil"/>
              <w:left w:val="nil"/>
              <w:bottom w:val="nil"/>
              <w:right w:val="nil"/>
            </w:tcBorders>
            <w:vAlign w:val="center"/>
          </w:tcPr>
          <w:p w14:paraId="6F52FE7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电子信箱：    /                   </w:t>
            </w:r>
          </w:p>
        </w:tc>
      </w:tr>
      <w:tr w14:paraId="2153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4380" w:type="dxa"/>
            <w:tcBorders>
              <w:top w:val="nil"/>
              <w:left w:val="nil"/>
              <w:bottom w:val="nil"/>
              <w:right w:val="nil"/>
            </w:tcBorders>
            <w:vAlign w:val="center"/>
          </w:tcPr>
          <w:p w14:paraId="5953AA4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开户银行：                       </w:t>
            </w:r>
          </w:p>
        </w:tc>
        <w:tc>
          <w:tcPr>
            <w:tcW w:w="4380" w:type="dxa"/>
            <w:tcBorders>
              <w:top w:val="nil"/>
              <w:left w:val="nil"/>
              <w:bottom w:val="nil"/>
              <w:right w:val="nil"/>
            </w:tcBorders>
            <w:vAlign w:val="center"/>
          </w:tcPr>
          <w:p w14:paraId="79B7F58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开户银行：    </w:t>
            </w:r>
          </w:p>
        </w:tc>
      </w:tr>
      <w:tr w14:paraId="6980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80" w:type="dxa"/>
            <w:tcBorders>
              <w:top w:val="nil"/>
              <w:left w:val="nil"/>
              <w:bottom w:val="nil"/>
              <w:right w:val="nil"/>
            </w:tcBorders>
            <w:vAlign w:val="center"/>
          </w:tcPr>
          <w:p w14:paraId="0C50074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账  号：                         </w:t>
            </w:r>
          </w:p>
        </w:tc>
        <w:tc>
          <w:tcPr>
            <w:tcW w:w="4380" w:type="dxa"/>
            <w:tcBorders>
              <w:top w:val="nil"/>
              <w:left w:val="nil"/>
              <w:bottom w:val="nil"/>
              <w:right w:val="nil"/>
            </w:tcBorders>
            <w:vAlign w:val="center"/>
          </w:tcPr>
          <w:p w14:paraId="7534111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账  号：  </w:t>
            </w:r>
          </w:p>
        </w:tc>
      </w:tr>
    </w:tbl>
    <w:p w14:paraId="0E01ABCB">
      <w:pPr>
        <w:widowControl/>
        <w:kinsoku w:val="0"/>
        <w:autoSpaceDE w:val="0"/>
        <w:autoSpaceDN w:val="0"/>
        <w:adjustRightInd w:val="0"/>
        <w:snapToGrid w:val="0"/>
        <w:textAlignment w:val="baseline"/>
        <w:rPr>
          <w:color w:val="auto"/>
          <w:sz w:val="24"/>
          <w:highlight w:val="none"/>
        </w:rPr>
        <w:sectPr>
          <w:footerReference r:id="rId3" w:type="default"/>
          <w:pgSz w:w="11910" w:h="16845"/>
          <w:pgMar w:top="1157" w:right="1080" w:bottom="1440" w:left="1080" w:header="0" w:footer="1123" w:gutter="0"/>
          <w:pgNumType w:fmt="decimal"/>
          <w:cols w:space="720" w:num="1"/>
        </w:sectPr>
      </w:pPr>
    </w:p>
    <w:p w14:paraId="71283D8B">
      <w:pPr>
        <w:widowControl/>
        <w:kinsoku w:val="0"/>
        <w:autoSpaceDE w:val="0"/>
        <w:autoSpaceDN w:val="0"/>
        <w:adjustRightInd w:val="0"/>
        <w:snapToGrid w:val="0"/>
        <w:spacing w:line="360" w:lineRule="auto"/>
        <w:jc w:val="center"/>
        <w:textAlignment w:val="baseline"/>
        <w:outlineLvl w:val="0"/>
        <w:rPr>
          <w:rFonts w:hint="eastAsia" w:ascii="宋体" w:hAnsi="宋体" w:cs="宋体"/>
          <w:b/>
          <w:bCs/>
          <w:color w:val="auto"/>
          <w:spacing w:val="9"/>
          <w:sz w:val="43"/>
          <w:szCs w:val="43"/>
          <w:highlight w:val="none"/>
        </w:rPr>
      </w:pPr>
      <w:bookmarkStart w:id="136" w:name="bookmark257"/>
      <w:bookmarkEnd w:id="136"/>
      <w:bookmarkStart w:id="137" w:name="bookmark256"/>
      <w:bookmarkEnd w:id="137"/>
      <w:bookmarkStart w:id="138" w:name="bookmark259"/>
      <w:bookmarkEnd w:id="138"/>
    </w:p>
    <w:p w14:paraId="2FCE038B">
      <w:pPr>
        <w:widowControl/>
        <w:kinsoku w:val="0"/>
        <w:autoSpaceDE w:val="0"/>
        <w:autoSpaceDN w:val="0"/>
        <w:adjustRightInd w:val="0"/>
        <w:snapToGrid w:val="0"/>
        <w:spacing w:line="360" w:lineRule="auto"/>
        <w:jc w:val="center"/>
        <w:textAlignment w:val="baseline"/>
        <w:outlineLvl w:val="0"/>
        <w:rPr>
          <w:rFonts w:hint="eastAsia" w:ascii="仿宋" w:hAnsi="仿宋" w:eastAsia="仿宋" w:cs="仿宋"/>
          <w:color w:val="auto"/>
          <w:sz w:val="43"/>
          <w:szCs w:val="43"/>
          <w:highlight w:val="none"/>
        </w:rPr>
      </w:pPr>
      <w:r>
        <w:rPr>
          <w:rFonts w:hint="eastAsia" w:ascii="仿宋" w:hAnsi="仿宋" w:eastAsia="仿宋" w:cs="仿宋"/>
          <w:b/>
          <w:bCs/>
          <w:color w:val="auto"/>
          <w:spacing w:val="9"/>
          <w:sz w:val="43"/>
          <w:szCs w:val="43"/>
          <w:highlight w:val="none"/>
        </w:rPr>
        <w:t>第二部分</w:t>
      </w:r>
      <w:r>
        <w:rPr>
          <w:rFonts w:hint="eastAsia" w:ascii="仿宋" w:hAnsi="仿宋" w:eastAsia="仿宋" w:cs="仿宋"/>
          <w:color w:val="auto"/>
          <w:spacing w:val="9"/>
          <w:sz w:val="43"/>
          <w:szCs w:val="43"/>
          <w:highlight w:val="none"/>
        </w:rPr>
        <w:t xml:space="preserve"> </w:t>
      </w:r>
      <w:r>
        <w:rPr>
          <w:rFonts w:hint="eastAsia" w:ascii="仿宋" w:hAnsi="仿宋" w:eastAsia="仿宋" w:cs="仿宋"/>
          <w:b/>
          <w:bCs/>
          <w:color w:val="auto"/>
          <w:spacing w:val="9"/>
          <w:sz w:val="43"/>
          <w:szCs w:val="43"/>
          <w:highlight w:val="none"/>
        </w:rPr>
        <w:t>通用合同条款</w:t>
      </w:r>
    </w:p>
    <w:p w14:paraId="0D6AC3B1">
      <w:pPr>
        <w:widowControl/>
        <w:kinsoku w:val="0"/>
        <w:autoSpaceDE w:val="0"/>
        <w:autoSpaceDN w:val="0"/>
        <w:adjustRightInd w:val="0"/>
        <w:snapToGrid w:val="0"/>
        <w:spacing w:line="360" w:lineRule="auto"/>
        <w:jc w:val="center"/>
        <w:textAlignment w:val="baseline"/>
        <w:rPr>
          <w:rFonts w:hint="eastAsia" w:ascii="仿宋" w:hAnsi="仿宋" w:eastAsia="仿宋" w:cs="仿宋"/>
          <w:color w:val="auto"/>
          <w:highlight w:val="none"/>
        </w:rPr>
      </w:pPr>
    </w:p>
    <w:p w14:paraId="53E208C2">
      <w:pPr>
        <w:widowControl/>
        <w:kinsoku w:val="0"/>
        <w:autoSpaceDE w:val="0"/>
        <w:autoSpaceDN w:val="0"/>
        <w:adjustRightInd w:val="0"/>
        <w:snapToGrid w:val="0"/>
        <w:spacing w:line="360" w:lineRule="auto"/>
        <w:jc w:val="center"/>
        <w:textAlignment w:val="baseline"/>
        <w:rPr>
          <w:rFonts w:hint="eastAsia" w:ascii="仿宋" w:hAnsi="仿宋" w:eastAsia="仿宋" w:cs="仿宋"/>
          <w:color w:val="auto"/>
          <w:highlight w:val="none"/>
        </w:rPr>
      </w:pPr>
    </w:p>
    <w:p w14:paraId="2176E1CE">
      <w:pPr>
        <w:pStyle w:val="17"/>
        <w:widowControl/>
        <w:kinsoku w:val="0"/>
        <w:autoSpaceDE w:val="0"/>
        <w:autoSpaceDN w:val="0"/>
        <w:adjustRightInd w:val="0"/>
        <w:snapToGrid w:val="0"/>
        <w:spacing w:line="360" w:lineRule="auto"/>
        <w:jc w:val="center"/>
        <w:textAlignment w:val="baseline"/>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采用《建设工程施工合同（示范文本）》（GF—2017—0201）。</w:t>
      </w:r>
    </w:p>
    <w:p w14:paraId="68C161D1">
      <w:pPr>
        <w:widowControl/>
        <w:kinsoku w:val="0"/>
        <w:autoSpaceDE w:val="0"/>
        <w:autoSpaceDN w:val="0"/>
        <w:adjustRightInd w:val="0"/>
        <w:snapToGrid w:val="0"/>
        <w:spacing w:line="360" w:lineRule="auto"/>
        <w:jc w:val="center"/>
        <w:textAlignment w:val="baseline"/>
        <w:outlineLvl w:val="0"/>
        <w:rPr>
          <w:rFonts w:hint="eastAsia" w:ascii="仿宋" w:hAnsi="仿宋" w:eastAsia="仿宋" w:cs="仿宋"/>
          <w:b/>
          <w:bCs/>
          <w:color w:val="auto"/>
          <w:spacing w:val="4"/>
          <w:sz w:val="30"/>
          <w:szCs w:val="30"/>
          <w:highlight w:val="none"/>
        </w:rPr>
      </w:pPr>
      <w:bookmarkStart w:id="139" w:name="bookmark258"/>
      <w:bookmarkEnd w:id="139"/>
    </w:p>
    <w:p w14:paraId="5DD281CA">
      <w:pPr>
        <w:widowControl/>
        <w:kinsoku w:val="0"/>
        <w:autoSpaceDE w:val="0"/>
        <w:autoSpaceDN w:val="0"/>
        <w:adjustRightInd w:val="0"/>
        <w:snapToGrid w:val="0"/>
        <w:spacing w:line="360" w:lineRule="auto"/>
        <w:jc w:val="center"/>
        <w:textAlignment w:val="baseline"/>
        <w:outlineLvl w:val="0"/>
        <w:rPr>
          <w:rFonts w:hint="eastAsia" w:ascii="仿宋" w:hAnsi="仿宋" w:eastAsia="仿宋" w:cs="仿宋"/>
          <w:b/>
          <w:bCs/>
          <w:color w:val="auto"/>
          <w:spacing w:val="9"/>
          <w:sz w:val="43"/>
          <w:szCs w:val="43"/>
          <w:highlight w:val="none"/>
        </w:rPr>
      </w:pPr>
      <w:r>
        <w:rPr>
          <w:rFonts w:hint="eastAsia" w:ascii="仿宋" w:hAnsi="仿宋" w:eastAsia="仿宋" w:cs="仿宋"/>
          <w:b/>
          <w:bCs/>
          <w:color w:val="auto"/>
          <w:spacing w:val="9"/>
          <w:sz w:val="43"/>
          <w:szCs w:val="43"/>
          <w:highlight w:val="none"/>
        </w:rPr>
        <w:t>第三部分 专用合同条款</w:t>
      </w:r>
    </w:p>
    <w:p w14:paraId="6FCA0DA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（注：专用合同条款每一条均应填写完整！）</w:t>
      </w:r>
    </w:p>
    <w:p w14:paraId="357BAA3F">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 一般约定</w:t>
      </w:r>
    </w:p>
    <w:p w14:paraId="643F0B3A">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1.1 词语定义</w:t>
      </w:r>
    </w:p>
    <w:p w14:paraId="619E8FD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1.1.1 合同</w:t>
      </w:r>
    </w:p>
    <w:p w14:paraId="1B00971A">
      <w:pPr>
        <w:snapToGrid w:val="0"/>
        <w:spacing w:before="120" w:line="360" w:lineRule="auto"/>
        <w:ind w:firstLine="420" w:firstLineChars="200"/>
        <w:rPr>
          <w:rFonts w:hint="eastAsia" w:ascii="仿宋" w:hAnsi="仿宋" w:eastAsia="仿宋" w:cs="仿宋"/>
          <w:color w:val="auto"/>
          <w:sz w:val="24"/>
          <w:highlight w:val="none"/>
        </w:rPr>
      </w:pPr>
      <w:r>
        <w:rPr>
          <w:color w:val="auto"/>
          <w:highlight w:val="none"/>
        </w:rPr>
        <w:fldChar w:fldCharType="begin"/>
      </w:r>
      <w:r>
        <w:rPr>
          <w:color w:val="auto"/>
          <w:highlight w:val="none"/>
        </w:rPr>
        <w:instrText xml:space="preserve"> HYPERLINK "1.1.1.10" </w:instrText>
      </w:r>
      <w:r>
        <w:rPr>
          <w:color w:val="auto"/>
          <w:highlight w:val="none"/>
        </w:rPr>
        <w:fldChar w:fldCharType="separate"/>
      </w:r>
      <w:r>
        <w:rPr>
          <w:rFonts w:hint="eastAsia" w:ascii="仿宋" w:hAnsi="仿宋" w:eastAsia="仿宋" w:cs="仿宋"/>
          <w:color w:val="auto"/>
          <w:sz w:val="24"/>
          <w:highlight w:val="none"/>
        </w:rPr>
        <w:t>1.1.1.10</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 xml:space="preserve"> 其他合同文件包括： </w:t>
      </w:r>
      <w:r>
        <w:rPr>
          <w:rFonts w:hint="eastAsia" w:ascii="仿宋" w:hAnsi="仿宋" w:eastAsia="仿宋" w:cs="仿宋"/>
          <w:color w:val="auto"/>
          <w:sz w:val="24"/>
          <w:highlight w:val="none"/>
          <w:u w:val="single"/>
        </w:rPr>
        <w:t xml:space="preserve">施工过程中签订的补充协议等 </w:t>
      </w:r>
      <w:r>
        <w:rPr>
          <w:rFonts w:hint="eastAsia" w:ascii="仿宋" w:hAnsi="仿宋" w:eastAsia="仿宋" w:cs="仿宋"/>
          <w:color w:val="auto"/>
          <w:sz w:val="24"/>
          <w:highlight w:val="none"/>
        </w:rPr>
        <w:t>。</w:t>
      </w:r>
    </w:p>
    <w:p w14:paraId="00B1872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1.1.2 合同当事人及其他相关方</w:t>
      </w:r>
    </w:p>
    <w:p w14:paraId="359BB52C">
      <w:pPr>
        <w:snapToGrid w:val="0"/>
        <w:spacing w:before="120" w:line="360" w:lineRule="auto"/>
        <w:ind w:firstLine="420" w:firstLineChars="200"/>
        <w:rPr>
          <w:rFonts w:hint="eastAsia" w:ascii="仿宋" w:hAnsi="仿宋" w:eastAsia="仿宋" w:cs="仿宋"/>
          <w:color w:val="auto"/>
          <w:sz w:val="24"/>
          <w:highlight w:val="none"/>
        </w:rPr>
      </w:pPr>
      <w:r>
        <w:rPr>
          <w:color w:val="auto"/>
          <w:highlight w:val="none"/>
        </w:rPr>
        <w:fldChar w:fldCharType="begin"/>
      </w:r>
      <w:r>
        <w:rPr>
          <w:color w:val="auto"/>
          <w:highlight w:val="none"/>
        </w:rPr>
        <w:instrText xml:space="preserve"> HYPERLINK "1.1.2.4" </w:instrText>
      </w:r>
      <w:r>
        <w:rPr>
          <w:color w:val="auto"/>
          <w:highlight w:val="none"/>
        </w:rPr>
        <w:fldChar w:fldCharType="separate"/>
      </w:r>
      <w:r>
        <w:rPr>
          <w:rFonts w:hint="eastAsia" w:ascii="仿宋" w:hAnsi="仿宋" w:eastAsia="仿宋" w:cs="仿宋"/>
          <w:color w:val="auto"/>
          <w:sz w:val="24"/>
          <w:highlight w:val="none"/>
        </w:rPr>
        <w:t>1.1.2.4</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 xml:space="preserve"> 监理人：</w:t>
      </w:r>
    </w:p>
    <w:p w14:paraId="31821B1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w:t>
      </w:r>
      <w:r>
        <w:rPr>
          <w:rFonts w:hint="eastAsia" w:ascii="仿宋" w:hAnsi="仿宋" w:eastAsia="仿宋" w:cs="仿宋"/>
          <w:color w:val="auto"/>
          <w:sz w:val="24"/>
          <w:highlight w:val="none"/>
          <w:u w:val="single"/>
        </w:rPr>
        <w:t xml:space="preserve"> 详见监理合同 </w:t>
      </w:r>
      <w:r>
        <w:rPr>
          <w:rFonts w:hint="eastAsia" w:ascii="仿宋" w:hAnsi="仿宋" w:eastAsia="仿宋" w:cs="仿宋"/>
          <w:color w:val="auto"/>
          <w:sz w:val="24"/>
          <w:highlight w:val="none"/>
        </w:rPr>
        <w:t>；</w:t>
      </w:r>
    </w:p>
    <w:p w14:paraId="67556EC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资质类别和等级： </w:t>
      </w:r>
      <w:r>
        <w:rPr>
          <w:rFonts w:hint="eastAsia" w:ascii="仿宋" w:hAnsi="仿宋" w:eastAsia="仿宋" w:cs="仿宋"/>
          <w:color w:val="auto"/>
          <w:sz w:val="24"/>
          <w:highlight w:val="none"/>
          <w:u w:val="single"/>
        </w:rPr>
        <w:t xml:space="preserve">详见监理合同 </w:t>
      </w:r>
      <w:r>
        <w:rPr>
          <w:rFonts w:hint="eastAsia" w:ascii="仿宋" w:hAnsi="仿宋" w:eastAsia="仿宋" w:cs="仿宋"/>
          <w:color w:val="auto"/>
          <w:sz w:val="24"/>
          <w:highlight w:val="none"/>
        </w:rPr>
        <w:t xml:space="preserve"> ； 联系电话：</w:t>
      </w:r>
      <w:r>
        <w:rPr>
          <w:rFonts w:hint="eastAsia" w:ascii="仿宋" w:hAnsi="仿宋" w:eastAsia="仿宋" w:cs="仿宋"/>
          <w:color w:val="auto"/>
          <w:sz w:val="24"/>
          <w:highlight w:val="none"/>
          <w:u w:val="single"/>
        </w:rPr>
        <w:t xml:space="preserve"> 详见监理合同 </w:t>
      </w:r>
      <w:r>
        <w:rPr>
          <w:rFonts w:hint="eastAsia" w:ascii="仿宋" w:hAnsi="仿宋" w:eastAsia="仿宋" w:cs="仿宋"/>
          <w:color w:val="auto"/>
          <w:sz w:val="24"/>
          <w:highlight w:val="none"/>
        </w:rPr>
        <w:t xml:space="preserve"> ；</w:t>
      </w:r>
    </w:p>
    <w:p w14:paraId="5387E86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电子信箱：</w:t>
      </w:r>
      <w:r>
        <w:rPr>
          <w:rFonts w:hint="eastAsia" w:ascii="仿宋" w:hAnsi="仿宋" w:eastAsia="仿宋" w:cs="仿宋"/>
          <w:color w:val="auto"/>
          <w:sz w:val="24"/>
          <w:highlight w:val="none"/>
          <w:u w:val="single"/>
        </w:rPr>
        <w:t xml:space="preserve"> 详见监理合同 </w:t>
      </w:r>
      <w:r>
        <w:rPr>
          <w:rFonts w:hint="eastAsia" w:ascii="仿宋" w:hAnsi="仿宋" w:eastAsia="仿宋" w:cs="仿宋"/>
          <w:color w:val="auto"/>
          <w:sz w:val="24"/>
          <w:highlight w:val="none"/>
        </w:rPr>
        <w:t xml:space="preserve">  ； 通信地址：</w:t>
      </w:r>
      <w:r>
        <w:rPr>
          <w:rFonts w:hint="eastAsia" w:ascii="仿宋" w:hAnsi="仿宋" w:eastAsia="仿宋" w:cs="仿宋"/>
          <w:color w:val="auto"/>
          <w:sz w:val="24"/>
          <w:highlight w:val="none"/>
          <w:u w:val="single"/>
        </w:rPr>
        <w:t xml:space="preserve">  详见监理合同 </w:t>
      </w:r>
      <w:r>
        <w:rPr>
          <w:rFonts w:hint="eastAsia" w:ascii="仿宋" w:hAnsi="仿宋" w:eastAsia="仿宋" w:cs="仿宋"/>
          <w:color w:val="auto"/>
          <w:sz w:val="24"/>
          <w:highlight w:val="none"/>
        </w:rPr>
        <w:t xml:space="preserve"> 。 </w:t>
      </w:r>
    </w:p>
    <w:p w14:paraId="1FEC0AB8">
      <w:pPr>
        <w:snapToGrid w:val="0"/>
        <w:spacing w:before="120" w:line="360" w:lineRule="auto"/>
        <w:ind w:firstLine="420" w:firstLineChars="200"/>
        <w:rPr>
          <w:rFonts w:hint="eastAsia" w:ascii="仿宋" w:hAnsi="仿宋" w:eastAsia="仿宋" w:cs="仿宋"/>
          <w:color w:val="auto"/>
          <w:sz w:val="24"/>
          <w:highlight w:val="none"/>
        </w:rPr>
      </w:pPr>
      <w:r>
        <w:rPr>
          <w:color w:val="auto"/>
          <w:highlight w:val="none"/>
        </w:rPr>
        <w:fldChar w:fldCharType="begin"/>
      </w:r>
      <w:r>
        <w:rPr>
          <w:color w:val="auto"/>
          <w:highlight w:val="none"/>
        </w:rPr>
        <w:instrText xml:space="preserve"> HYPERLINK "1.1.2.5" </w:instrText>
      </w:r>
      <w:r>
        <w:rPr>
          <w:color w:val="auto"/>
          <w:highlight w:val="none"/>
        </w:rPr>
        <w:fldChar w:fldCharType="separate"/>
      </w:r>
      <w:r>
        <w:rPr>
          <w:rFonts w:hint="eastAsia" w:ascii="仿宋" w:hAnsi="仿宋" w:eastAsia="仿宋" w:cs="仿宋"/>
          <w:color w:val="auto"/>
          <w:sz w:val="24"/>
          <w:highlight w:val="none"/>
        </w:rPr>
        <w:t>1.1.2.5</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 xml:space="preserve"> 设计人：</w:t>
      </w:r>
    </w:p>
    <w:p w14:paraId="3D63F10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w:t>
      </w:r>
      <w:r>
        <w:rPr>
          <w:rFonts w:hint="eastAsia" w:ascii="仿宋" w:hAnsi="仿宋" w:eastAsia="仿宋" w:cs="仿宋"/>
          <w:color w:val="auto"/>
          <w:sz w:val="24"/>
          <w:highlight w:val="none"/>
          <w:u w:val="single"/>
        </w:rPr>
        <w:t xml:space="preserve"> 详见设计合同 </w:t>
      </w:r>
      <w:r>
        <w:rPr>
          <w:rFonts w:hint="eastAsia" w:ascii="仿宋" w:hAnsi="仿宋" w:eastAsia="仿宋" w:cs="仿宋"/>
          <w:color w:val="auto"/>
          <w:sz w:val="24"/>
          <w:highlight w:val="none"/>
        </w:rPr>
        <w:t xml:space="preserve">  ；</w:t>
      </w:r>
    </w:p>
    <w:p w14:paraId="3E21D47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资质类别和等级：</w:t>
      </w:r>
      <w:r>
        <w:rPr>
          <w:rFonts w:hint="eastAsia" w:ascii="仿宋" w:hAnsi="仿宋" w:eastAsia="仿宋" w:cs="仿宋"/>
          <w:color w:val="auto"/>
          <w:sz w:val="24"/>
          <w:highlight w:val="none"/>
          <w:u w:val="single"/>
        </w:rPr>
        <w:t xml:space="preserve"> 详见设计合同 </w:t>
      </w:r>
      <w:r>
        <w:rPr>
          <w:rFonts w:hint="eastAsia" w:ascii="仿宋" w:hAnsi="仿宋" w:eastAsia="仿宋" w:cs="仿宋"/>
          <w:color w:val="auto"/>
          <w:sz w:val="24"/>
          <w:highlight w:val="none"/>
        </w:rPr>
        <w:t xml:space="preserve"> ； 联系电话： </w:t>
      </w:r>
      <w:r>
        <w:rPr>
          <w:rFonts w:hint="eastAsia" w:ascii="仿宋" w:hAnsi="仿宋" w:eastAsia="仿宋" w:cs="仿宋"/>
          <w:color w:val="auto"/>
          <w:sz w:val="24"/>
          <w:highlight w:val="none"/>
          <w:u w:val="single"/>
        </w:rPr>
        <w:t>详见设计合同</w:t>
      </w:r>
      <w:r>
        <w:rPr>
          <w:rFonts w:hint="eastAsia" w:ascii="仿宋" w:hAnsi="仿宋" w:eastAsia="仿宋" w:cs="仿宋"/>
          <w:color w:val="auto"/>
          <w:sz w:val="24"/>
          <w:highlight w:val="none"/>
        </w:rPr>
        <w:t xml:space="preserve"> ；</w:t>
      </w:r>
    </w:p>
    <w:p w14:paraId="32E07A9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电子信箱：  </w:t>
      </w:r>
      <w:r>
        <w:rPr>
          <w:rFonts w:hint="eastAsia" w:ascii="仿宋" w:hAnsi="仿宋" w:eastAsia="仿宋" w:cs="仿宋"/>
          <w:color w:val="auto"/>
          <w:sz w:val="24"/>
          <w:highlight w:val="none"/>
          <w:u w:val="single"/>
        </w:rPr>
        <w:t>详见设计合同</w:t>
      </w:r>
      <w:r>
        <w:rPr>
          <w:rFonts w:hint="eastAsia" w:ascii="仿宋" w:hAnsi="仿宋" w:eastAsia="仿宋" w:cs="仿宋"/>
          <w:color w:val="auto"/>
          <w:sz w:val="24"/>
          <w:highlight w:val="none"/>
        </w:rPr>
        <w:t xml:space="preserve">  ； 通信地址：  </w:t>
      </w:r>
      <w:r>
        <w:rPr>
          <w:rFonts w:hint="eastAsia" w:ascii="仿宋" w:hAnsi="仿宋" w:eastAsia="仿宋" w:cs="仿宋"/>
          <w:color w:val="auto"/>
          <w:sz w:val="24"/>
          <w:highlight w:val="none"/>
          <w:u w:val="single"/>
        </w:rPr>
        <w:t>详见设计合同</w:t>
      </w:r>
      <w:r>
        <w:rPr>
          <w:rFonts w:hint="eastAsia" w:ascii="仿宋" w:hAnsi="仿宋" w:eastAsia="仿宋" w:cs="仿宋"/>
          <w:color w:val="auto"/>
          <w:sz w:val="24"/>
          <w:highlight w:val="none"/>
        </w:rPr>
        <w:t xml:space="preserve">  。</w:t>
      </w:r>
    </w:p>
    <w:p w14:paraId="68CB2CB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1.1.3 工程和设备</w:t>
      </w:r>
    </w:p>
    <w:p w14:paraId="557F8E72">
      <w:pPr>
        <w:snapToGrid w:val="0"/>
        <w:spacing w:before="120" w:line="360" w:lineRule="auto"/>
        <w:ind w:firstLine="420" w:firstLineChars="200"/>
        <w:rPr>
          <w:rFonts w:hint="eastAsia" w:ascii="仿宋" w:hAnsi="仿宋" w:eastAsia="仿宋" w:cs="仿宋"/>
          <w:color w:val="auto"/>
          <w:sz w:val="24"/>
          <w:highlight w:val="none"/>
        </w:rPr>
      </w:pPr>
      <w:r>
        <w:rPr>
          <w:color w:val="auto"/>
          <w:highlight w:val="none"/>
        </w:rPr>
        <w:fldChar w:fldCharType="begin"/>
      </w:r>
      <w:r>
        <w:rPr>
          <w:color w:val="auto"/>
          <w:highlight w:val="none"/>
        </w:rPr>
        <w:instrText xml:space="preserve"> HYPERLINK "1.1.3.7" </w:instrText>
      </w:r>
      <w:r>
        <w:rPr>
          <w:color w:val="auto"/>
          <w:highlight w:val="none"/>
        </w:rPr>
        <w:fldChar w:fldCharType="separate"/>
      </w:r>
      <w:r>
        <w:rPr>
          <w:rFonts w:hint="eastAsia" w:ascii="仿宋" w:hAnsi="仿宋" w:eastAsia="仿宋" w:cs="仿宋"/>
          <w:color w:val="auto"/>
          <w:sz w:val="24"/>
          <w:highlight w:val="none"/>
        </w:rPr>
        <w:t>1.1.3.7</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 xml:space="preserve"> 作为施工现场组成部分的其他场所包括：</w:t>
      </w:r>
      <w:r>
        <w:rPr>
          <w:rFonts w:hint="eastAsia" w:ascii="仿宋" w:hAnsi="仿宋" w:eastAsia="仿宋" w:cs="仿宋"/>
          <w:color w:val="auto"/>
          <w:sz w:val="24"/>
          <w:highlight w:val="none"/>
          <w:u w:val="single"/>
        </w:rPr>
        <w:t xml:space="preserve">     无     </w:t>
      </w:r>
      <w:r>
        <w:rPr>
          <w:rFonts w:hint="eastAsia" w:ascii="仿宋" w:hAnsi="仿宋" w:eastAsia="仿宋" w:cs="仿宋"/>
          <w:color w:val="auto"/>
          <w:sz w:val="24"/>
          <w:highlight w:val="none"/>
        </w:rPr>
        <w:t>。</w:t>
      </w:r>
    </w:p>
    <w:p w14:paraId="19889212">
      <w:pPr>
        <w:snapToGrid w:val="0"/>
        <w:spacing w:before="120" w:line="360" w:lineRule="auto"/>
        <w:ind w:firstLine="420" w:firstLineChars="200"/>
        <w:rPr>
          <w:rFonts w:hint="eastAsia" w:ascii="仿宋" w:hAnsi="仿宋" w:eastAsia="仿宋" w:cs="仿宋"/>
          <w:color w:val="auto"/>
          <w:sz w:val="24"/>
          <w:highlight w:val="none"/>
        </w:rPr>
      </w:pPr>
      <w:r>
        <w:rPr>
          <w:color w:val="auto"/>
          <w:highlight w:val="none"/>
        </w:rPr>
        <w:fldChar w:fldCharType="begin"/>
      </w:r>
      <w:r>
        <w:rPr>
          <w:color w:val="auto"/>
          <w:highlight w:val="none"/>
        </w:rPr>
        <w:instrText xml:space="preserve"> HYPERLINK "1.1.3.9" </w:instrText>
      </w:r>
      <w:r>
        <w:rPr>
          <w:color w:val="auto"/>
          <w:highlight w:val="none"/>
        </w:rPr>
        <w:fldChar w:fldCharType="separate"/>
      </w:r>
      <w:r>
        <w:rPr>
          <w:rFonts w:hint="eastAsia" w:ascii="仿宋" w:hAnsi="仿宋" w:eastAsia="仿宋" w:cs="仿宋"/>
          <w:color w:val="auto"/>
          <w:sz w:val="24"/>
          <w:highlight w:val="none"/>
        </w:rPr>
        <w:t>1.1.3.9</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 xml:space="preserve"> 永久占地包括：</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27586A2C">
      <w:pPr>
        <w:snapToGrid w:val="0"/>
        <w:spacing w:before="120" w:line="360" w:lineRule="auto"/>
        <w:ind w:firstLine="420" w:firstLineChars="200"/>
        <w:rPr>
          <w:rFonts w:hint="eastAsia" w:ascii="仿宋" w:hAnsi="仿宋" w:eastAsia="仿宋" w:cs="仿宋"/>
          <w:color w:val="auto"/>
          <w:sz w:val="24"/>
          <w:highlight w:val="none"/>
        </w:rPr>
      </w:pPr>
      <w:r>
        <w:rPr>
          <w:color w:val="auto"/>
          <w:highlight w:val="none"/>
        </w:rPr>
        <w:fldChar w:fldCharType="begin"/>
      </w:r>
      <w:r>
        <w:rPr>
          <w:color w:val="auto"/>
          <w:highlight w:val="none"/>
        </w:rPr>
        <w:instrText xml:space="preserve"> HYPERLINK "1.1.3.10" </w:instrText>
      </w:r>
      <w:r>
        <w:rPr>
          <w:color w:val="auto"/>
          <w:highlight w:val="none"/>
        </w:rPr>
        <w:fldChar w:fldCharType="separate"/>
      </w:r>
      <w:r>
        <w:rPr>
          <w:rFonts w:hint="eastAsia" w:ascii="仿宋" w:hAnsi="仿宋" w:eastAsia="仿宋" w:cs="仿宋"/>
          <w:color w:val="auto"/>
          <w:sz w:val="24"/>
          <w:highlight w:val="none"/>
        </w:rPr>
        <w:t>1.1.3.10</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 xml:space="preserve"> 临时占地包括：</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05EDE537">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1.3 法律</w:t>
      </w:r>
    </w:p>
    <w:p w14:paraId="127F308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适用于合同的其他规范性文件：</w:t>
      </w:r>
      <w:r>
        <w:rPr>
          <w:rFonts w:hint="eastAsia" w:ascii="仿宋" w:hAnsi="仿宋" w:eastAsia="仿宋" w:cs="仿宋"/>
          <w:color w:val="auto"/>
          <w:sz w:val="24"/>
          <w:highlight w:val="none"/>
          <w:u w:val="single"/>
        </w:rPr>
        <w:t xml:space="preserve">《中华人民共和国森林法》（2019 年修订）、《中华人民共和国环境保护法》（2014 年修订）、《中华人民共和国水土保持法》（2010 年修订）、《中华人民共和国自然保护区条例》（2017 年修订）、《森林草原防灭火条例》（2025年）、《中华人民共和国突发事件应对法》（2007 年）、《广西壮族自治区森林防火条例》（2016 年）、《广西壮族自治区森林和野生动物类型自然保护区管理条例》 （2018 年修订）等有关法 律、法规 </w:t>
      </w:r>
      <w:r>
        <w:rPr>
          <w:rFonts w:hint="eastAsia" w:ascii="仿宋" w:hAnsi="仿宋" w:eastAsia="仿宋" w:cs="仿宋"/>
          <w:color w:val="auto"/>
          <w:sz w:val="24"/>
          <w:highlight w:val="none"/>
        </w:rPr>
        <w:t>。</w:t>
      </w:r>
    </w:p>
    <w:p w14:paraId="34761BDD">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1.4 标准和规范</w:t>
      </w:r>
    </w:p>
    <w:p w14:paraId="3217BF2F">
      <w:pPr>
        <w:snapToGrid w:val="0"/>
        <w:spacing w:before="120"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1.4.1 适用于工程的标准规范包括：</w:t>
      </w:r>
      <w:r>
        <w:rPr>
          <w:rFonts w:hint="eastAsia" w:ascii="仿宋" w:hAnsi="仿宋" w:eastAsia="仿宋" w:cs="仿宋"/>
          <w:color w:val="auto"/>
          <w:sz w:val="24"/>
          <w:highlight w:val="none"/>
          <w:u w:val="single"/>
        </w:rPr>
        <w:t>《森林火险区综合治理工程项目建设标准》（林规发〔2023〕5号）（2023年修订）、《广西壮族自治区森林消防队营房设计规范》（自治区林业厅2016年）、《森林防火瞭望台建设标准》（建标〔2020〕104 号）、《森林草原防火视频监控技术规范》、《森林防火视频监控图像联网技术规范》（LY/T 2582-2016）、《森林草原防火队伍建设规范》（LY/T 3428-2025 ）、《广西政务信息化项目建设管理办法》（桂政办发〔2024〕59号）、《广西壮族自治区本级政务信息化建设和运维项目预算支出标准》(桂财建〔2023〕102 号)、《森林防火数字超短波通讯系统技术规范》 （LY/T 2664- 2016）、《广西壮族自治区工程建设其他费用定额》（桂建标〔2018〕 37 号）、《森林防火物资储备库工程项目建设标准》 （建标〔2017〕 258 号）、《车库建筑设计规范》（JGJ 100-2015）、《广西森林防火检查站与森林消防蓄水池建设规范（试行）》 （桂林防发〔2023〕5 号）、《建筑物电子信息系统防雷技术规范》（GB 50343-2012）、《安全防范工程技术标准》（GB50348-2018）、《安全防范视频监控联网系统信息传输、交换、控制技术要求》（GB/T 28181-2016）、《建筑工程设计文件编制深度规定》（2016 年版）、《基本建设项目建设成本管理规定》（财建〔2016〕504 号）、《建筑工程投资估算编制规程》（CECA-GC1-2015）、《建筑与市政工程防水通用规范》（GB55030-2022）、《民用建筑设计统一标准》（GB50352-2019）、《工程结构通用规范》（GB55001-2021）、《建筑设计防火规范》（GB50016-2014）（2018 年版）、《民用建筑热工设计规范》（GB50176-2016）、《绿色建筑评价标准》（GB/T50378-2019）、《外墙内保温工程技术规程》（JGJ/T 261-2019）、《建筑结构可靠性设计统一标准》（GB50068-2018）、《建筑工程抗震设防分类标准》（GB 50223-2023）、《建筑机电工程抗震设计规范》（GB50981-2014）、《建筑抗震设计标准》（GB/T50011-2010）、《建筑结构荷载规范》（GB50009-2012）、《混凝土结构设计标准》（GB/T50010-2010）、《砌体结构设计规范》（GB50003-2011）、《建筑地基基础设计规范》（GB50007-2011）、《建筑结构制图标准》（GB/T50105-2010）、《民用建筑电气设计标准》（GB51348-2019）、《低压配电设计规范》（GB50054-2024）、《建筑照明设计标准》（GB50034-2013）、《建筑物防雷设计规范》（GB50057-2023）、《建筑给水排水设计标准》（GB50015-2019）、《建筑灭火器配置设计规范》（GB50140-2022）、《室外给水设计标准》（GB50013-2018）、《室外排水设计标准》（GB50014-2021）、《消防给水及消火栓系统技术规范》（GB50974-2014）、《建筑节能工程施工质量验收规范》（GB50411-2019）、《消防设施通用规范》（GB55036-2022）、《建筑防火通用规范》（GB55037-2022）。</w:t>
      </w:r>
    </w:p>
    <w:p w14:paraId="540E360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1.4.2 发包人提供国外标准、规范的名称：</w:t>
      </w:r>
      <w:r>
        <w:rPr>
          <w:rFonts w:hint="eastAsia" w:ascii="仿宋" w:hAnsi="仿宋" w:eastAsia="仿宋" w:cs="仿宋"/>
          <w:color w:val="auto"/>
          <w:sz w:val="24"/>
          <w:highlight w:val="none"/>
          <w:u w:val="single"/>
        </w:rPr>
        <w:t xml:space="preserve">  无  </w:t>
      </w:r>
      <w:r>
        <w:rPr>
          <w:rFonts w:hint="eastAsia" w:ascii="仿宋" w:hAnsi="仿宋" w:eastAsia="仿宋" w:cs="仿宋"/>
          <w:color w:val="auto"/>
          <w:sz w:val="24"/>
          <w:highlight w:val="none"/>
        </w:rPr>
        <w:t xml:space="preserve"> ； 发包人提供国外标准、规范的份数：</w:t>
      </w:r>
      <w:r>
        <w:rPr>
          <w:rFonts w:hint="eastAsia" w:ascii="仿宋" w:hAnsi="仿宋" w:eastAsia="仿宋" w:cs="仿宋"/>
          <w:color w:val="auto"/>
          <w:sz w:val="24"/>
          <w:highlight w:val="none"/>
          <w:u w:val="single"/>
        </w:rPr>
        <w:t xml:space="preserve"> 无 </w:t>
      </w:r>
      <w:r>
        <w:rPr>
          <w:rFonts w:hint="eastAsia" w:ascii="仿宋" w:hAnsi="仿宋" w:eastAsia="仿宋" w:cs="仿宋"/>
          <w:color w:val="auto"/>
          <w:sz w:val="24"/>
          <w:highlight w:val="none"/>
        </w:rPr>
        <w:t>； 发包人提供国外标准、规范的名称：</w:t>
      </w:r>
      <w:r>
        <w:rPr>
          <w:rFonts w:hint="eastAsia" w:ascii="仿宋" w:hAnsi="仿宋" w:eastAsia="仿宋" w:cs="仿宋"/>
          <w:color w:val="auto"/>
          <w:sz w:val="24"/>
          <w:highlight w:val="none"/>
          <w:u w:val="single"/>
        </w:rPr>
        <w:t xml:space="preserve"> 无 </w:t>
      </w:r>
      <w:r>
        <w:rPr>
          <w:rFonts w:hint="eastAsia" w:ascii="仿宋" w:hAnsi="仿宋" w:eastAsia="仿宋" w:cs="仿宋"/>
          <w:color w:val="auto"/>
          <w:sz w:val="24"/>
          <w:highlight w:val="none"/>
        </w:rPr>
        <w:t>。</w:t>
      </w:r>
    </w:p>
    <w:p w14:paraId="403AAC9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1.4.3 发包人对工程的技术标准和功能要求的特殊要求：</w:t>
      </w:r>
      <w:r>
        <w:rPr>
          <w:rFonts w:hint="eastAsia" w:ascii="仿宋" w:hAnsi="仿宋" w:eastAsia="仿宋" w:cs="仿宋"/>
          <w:color w:val="auto"/>
          <w:sz w:val="24"/>
          <w:highlight w:val="none"/>
          <w:u w:val="single"/>
        </w:rPr>
        <w:t xml:space="preserve">无  </w:t>
      </w:r>
      <w:r>
        <w:rPr>
          <w:rFonts w:hint="eastAsia" w:ascii="仿宋" w:hAnsi="仿宋" w:eastAsia="仿宋" w:cs="仿宋"/>
          <w:color w:val="auto"/>
          <w:sz w:val="24"/>
          <w:highlight w:val="none"/>
        </w:rPr>
        <w:t>。</w:t>
      </w:r>
    </w:p>
    <w:p w14:paraId="25FBE9BC">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1.5 合同文件的优先顺序</w:t>
      </w:r>
    </w:p>
    <w:p w14:paraId="4C4292B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合同文件组成及优先顺序为：</w:t>
      </w:r>
    </w:p>
    <w:p w14:paraId="3103198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（1）合同协议书；</w:t>
      </w:r>
    </w:p>
    <w:p w14:paraId="5EF7E9F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（2）中标通知书；</w:t>
      </w:r>
    </w:p>
    <w:p w14:paraId="67D8C92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（3）投标函及投标函附录；</w:t>
      </w:r>
    </w:p>
    <w:p w14:paraId="02AAD8F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（4）专用合同条款；</w:t>
      </w:r>
    </w:p>
    <w:p w14:paraId="6F52E4E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（5）通用合同条款；</w:t>
      </w:r>
    </w:p>
    <w:p w14:paraId="5A247C5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（6）技术标准和要求；</w:t>
      </w:r>
    </w:p>
    <w:p w14:paraId="44C1E65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（7）图纸；</w:t>
      </w:r>
    </w:p>
    <w:p w14:paraId="5DAEC3A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（8）已标价工程量清单；</w:t>
      </w:r>
    </w:p>
    <w:p w14:paraId="1494463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（9）其他合同文件。</w:t>
      </w:r>
    </w:p>
    <w:p w14:paraId="17568B7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上述各项合同文件包括合同当事人就该项合同文件所作出的补充和修改，属于同一类内容的文件，应以最新签署的为准（违反招标文件实质性内容的约定除外）。 专用合同条款及其附件须经合同当事人签字或盖章。</w:t>
      </w:r>
    </w:p>
    <w:p w14:paraId="6E303142">
      <w:pPr>
        <w:snapToGrid w:val="0"/>
        <w:spacing w:before="120"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1.6 图纸和承包人文件</w:t>
      </w:r>
    </w:p>
    <w:p w14:paraId="49DEAE8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1.6.1 图纸的提供</w:t>
      </w:r>
    </w:p>
    <w:p w14:paraId="7EDB67E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发包人向承包人提供图纸的期限： </w:t>
      </w:r>
      <w:r>
        <w:rPr>
          <w:rFonts w:hint="eastAsia" w:ascii="仿宋" w:hAnsi="仿宋" w:eastAsia="仿宋" w:cs="仿宋"/>
          <w:color w:val="auto"/>
          <w:sz w:val="24"/>
          <w:highlight w:val="none"/>
          <w:u w:val="single"/>
        </w:rPr>
        <w:t xml:space="preserve">进场前提供施工图 </w:t>
      </w:r>
      <w:r>
        <w:rPr>
          <w:rFonts w:hint="eastAsia" w:ascii="仿宋" w:hAnsi="仿宋" w:eastAsia="仿宋" w:cs="仿宋"/>
          <w:color w:val="auto"/>
          <w:sz w:val="24"/>
          <w:highlight w:val="none"/>
        </w:rPr>
        <w:t xml:space="preserve"> ；</w:t>
      </w:r>
    </w:p>
    <w:p w14:paraId="422E25D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发包人向承包人提供图纸的数量：</w:t>
      </w:r>
      <w:r>
        <w:rPr>
          <w:rFonts w:hint="eastAsia" w:ascii="仿宋" w:hAnsi="仿宋" w:eastAsia="仿宋" w:cs="仿宋"/>
          <w:color w:val="auto"/>
          <w:sz w:val="24"/>
          <w:highlight w:val="none"/>
          <w:u w:val="single"/>
        </w:rPr>
        <w:t xml:space="preserve"> 一式五份</w:t>
      </w:r>
      <w:r>
        <w:rPr>
          <w:rFonts w:hint="eastAsia" w:ascii="仿宋" w:hAnsi="仿宋" w:eastAsia="仿宋" w:cs="仿宋"/>
          <w:color w:val="auto"/>
          <w:sz w:val="24"/>
          <w:highlight w:val="none"/>
        </w:rPr>
        <w:t>（承包人需要增加图纸套数的，发包人应代为复制，复制费用由承包人承担）；</w:t>
      </w:r>
    </w:p>
    <w:p w14:paraId="7F6DAA8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发包人向承包人提供图纸的内容： </w:t>
      </w:r>
      <w:r>
        <w:rPr>
          <w:rFonts w:hint="eastAsia" w:ascii="仿宋" w:hAnsi="仿宋" w:eastAsia="仿宋" w:cs="仿宋"/>
          <w:color w:val="auto"/>
          <w:sz w:val="24"/>
          <w:highlight w:val="none"/>
          <w:u w:val="single"/>
        </w:rPr>
        <w:t xml:space="preserve"> 本项目施工图纸 </w:t>
      </w:r>
      <w:r>
        <w:rPr>
          <w:rFonts w:hint="eastAsia" w:ascii="仿宋" w:hAnsi="仿宋" w:eastAsia="仿宋" w:cs="仿宋"/>
          <w:color w:val="auto"/>
          <w:sz w:val="24"/>
          <w:highlight w:val="none"/>
        </w:rPr>
        <w:t xml:space="preserve">  。</w:t>
      </w:r>
    </w:p>
    <w:p w14:paraId="2D34C51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1.6.4 承包人文件</w:t>
      </w:r>
    </w:p>
    <w:p w14:paraId="5C7972C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需要由承包人提供的文件，包括：</w:t>
      </w:r>
      <w:r>
        <w:rPr>
          <w:rFonts w:hint="eastAsia" w:ascii="仿宋" w:hAnsi="仿宋" w:eastAsia="仿宋" w:cs="仿宋"/>
          <w:color w:val="auto"/>
          <w:sz w:val="24"/>
          <w:highlight w:val="none"/>
          <w:u w:val="single"/>
        </w:rPr>
        <w:t>施工组织设计及专项施工方案</w:t>
      </w:r>
      <w:r>
        <w:rPr>
          <w:rFonts w:hint="eastAsia" w:ascii="仿宋" w:hAnsi="仿宋" w:eastAsia="仿宋" w:cs="仿宋"/>
          <w:color w:val="auto"/>
          <w:sz w:val="24"/>
          <w:highlight w:val="none"/>
        </w:rPr>
        <w:t xml:space="preserve"> ； </w:t>
      </w:r>
    </w:p>
    <w:p w14:paraId="3A35D07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承包人提供的文件的期限为：  </w:t>
      </w:r>
      <w:r>
        <w:rPr>
          <w:rFonts w:hint="eastAsia" w:ascii="仿宋" w:hAnsi="仿宋" w:eastAsia="仿宋" w:cs="仿宋"/>
          <w:color w:val="auto"/>
          <w:sz w:val="24"/>
          <w:highlight w:val="none"/>
          <w:u w:val="single"/>
        </w:rPr>
        <w:t xml:space="preserve">开工前一个月 </w:t>
      </w:r>
      <w:r>
        <w:rPr>
          <w:rFonts w:hint="eastAsia" w:ascii="仿宋" w:hAnsi="仿宋" w:eastAsia="仿宋" w:cs="仿宋"/>
          <w:color w:val="auto"/>
          <w:sz w:val="24"/>
          <w:highlight w:val="none"/>
        </w:rPr>
        <w:t xml:space="preserve"> ；</w:t>
      </w:r>
    </w:p>
    <w:p w14:paraId="3D8BC66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承包人提供的文件的数量为：  </w:t>
      </w:r>
      <w:r>
        <w:rPr>
          <w:rFonts w:hint="eastAsia" w:ascii="仿宋" w:hAnsi="仿宋" w:eastAsia="仿宋" w:cs="仿宋"/>
          <w:color w:val="auto"/>
          <w:sz w:val="24"/>
          <w:highlight w:val="none"/>
          <w:u w:val="single"/>
        </w:rPr>
        <w:t>一式五份</w:t>
      </w:r>
      <w:r>
        <w:rPr>
          <w:rFonts w:hint="eastAsia" w:ascii="仿宋" w:hAnsi="仿宋" w:eastAsia="仿宋" w:cs="仿宋"/>
          <w:color w:val="auto"/>
          <w:sz w:val="24"/>
          <w:highlight w:val="none"/>
        </w:rPr>
        <w:t xml:space="preserve">； </w:t>
      </w:r>
    </w:p>
    <w:p w14:paraId="3646BDA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承包人提供的文件的形式为：  </w:t>
      </w:r>
      <w:r>
        <w:rPr>
          <w:rFonts w:hint="eastAsia" w:ascii="仿宋" w:hAnsi="仿宋" w:eastAsia="仿宋" w:cs="仿宋"/>
          <w:color w:val="auto"/>
          <w:sz w:val="24"/>
          <w:highlight w:val="none"/>
          <w:u w:val="single"/>
        </w:rPr>
        <w:t xml:space="preserve">书面形式 </w:t>
      </w:r>
      <w:r>
        <w:rPr>
          <w:rFonts w:hint="eastAsia" w:ascii="仿宋" w:hAnsi="仿宋" w:eastAsia="仿宋" w:cs="仿宋"/>
          <w:color w:val="auto"/>
          <w:sz w:val="24"/>
          <w:highlight w:val="none"/>
        </w:rPr>
        <w:t xml:space="preserve">； </w:t>
      </w:r>
    </w:p>
    <w:p w14:paraId="52E6628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发包人审批承包人文件的期限：</w:t>
      </w:r>
      <w:r>
        <w:rPr>
          <w:rFonts w:hint="eastAsia" w:ascii="仿宋" w:hAnsi="仿宋" w:eastAsia="仿宋" w:cs="仿宋"/>
          <w:color w:val="auto"/>
          <w:sz w:val="24"/>
          <w:highlight w:val="none"/>
          <w:u w:val="single"/>
        </w:rPr>
        <w:t xml:space="preserve"> 双方另行确定</w:t>
      </w:r>
      <w:r>
        <w:rPr>
          <w:rFonts w:hint="eastAsia" w:ascii="仿宋" w:hAnsi="仿宋" w:eastAsia="仿宋" w:cs="仿宋"/>
          <w:color w:val="auto"/>
          <w:sz w:val="24"/>
          <w:highlight w:val="none"/>
        </w:rPr>
        <w:t>。</w:t>
      </w:r>
    </w:p>
    <w:p w14:paraId="6B5F552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1.6.5 现场图纸准备</w:t>
      </w:r>
    </w:p>
    <w:p w14:paraId="435266C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关于现场图纸准备的约定：</w:t>
      </w:r>
      <w:r>
        <w:rPr>
          <w:rFonts w:hint="eastAsia" w:ascii="仿宋" w:hAnsi="仿宋" w:eastAsia="仿宋" w:cs="仿宋"/>
          <w:color w:val="auto"/>
          <w:sz w:val="24"/>
          <w:highlight w:val="none"/>
          <w:u w:val="single"/>
        </w:rPr>
        <w:t>执行通用条款</w:t>
      </w:r>
      <w:r>
        <w:rPr>
          <w:rFonts w:hint="eastAsia" w:ascii="仿宋" w:hAnsi="仿宋" w:eastAsia="仿宋" w:cs="仿宋"/>
          <w:color w:val="auto"/>
          <w:sz w:val="24"/>
          <w:highlight w:val="none"/>
        </w:rPr>
        <w:t>。</w:t>
      </w:r>
    </w:p>
    <w:p w14:paraId="4B3E91C6">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1.7 联络</w:t>
      </w:r>
    </w:p>
    <w:p w14:paraId="3A6B47D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1.7.1 发包人和承包人应当在</w:t>
      </w:r>
      <w:r>
        <w:rPr>
          <w:rFonts w:hint="eastAsia" w:ascii="仿宋" w:hAnsi="仿宋" w:eastAsia="仿宋" w:cs="仿宋"/>
          <w:color w:val="auto"/>
          <w:sz w:val="24"/>
          <w:highlight w:val="none"/>
          <w:u w:val="single"/>
        </w:rPr>
        <w:t xml:space="preserve"> 7 </w:t>
      </w:r>
      <w:r>
        <w:rPr>
          <w:rFonts w:hint="eastAsia" w:ascii="仿宋" w:hAnsi="仿宋" w:eastAsia="仿宋" w:cs="仿宋"/>
          <w:color w:val="auto"/>
          <w:sz w:val="24"/>
          <w:highlight w:val="none"/>
        </w:rPr>
        <w:t>天内将与合同有关的通知、批准、证明、证书、指示、指令、要求、请求、同意、意见、确定和决定等书面函件送达对方当事人。</w:t>
      </w:r>
    </w:p>
    <w:p w14:paraId="40AF3CE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1.7.2 发包人接收文件的地点：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 发包人指定的接收人为：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1DC015D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承包人接收文件的地点：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6D122A6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承包人指定的接收人为：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6CF26B3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监理人接收文件的地点：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2B08121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监理人指定的接收人为：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6FAAF8F5">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1.10 交通运输</w:t>
      </w:r>
    </w:p>
    <w:p w14:paraId="0D1DD1D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1.10.1 出入现场的权利</w:t>
      </w:r>
    </w:p>
    <w:p w14:paraId="4C07918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关于出入现场的权利的约定：</w:t>
      </w:r>
      <w:r>
        <w:rPr>
          <w:rFonts w:hint="eastAsia" w:ascii="仿宋" w:hAnsi="仿宋" w:eastAsia="仿宋" w:cs="仿宋"/>
          <w:color w:val="auto"/>
          <w:sz w:val="24"/>
          <w:highlight w:val="none"/>
          <w:u w:val="single"/>
        </w:rPr>
        <w:t xml:space="preserve"> 按通用条款 1.10.1 执行   </w:t>
      </w:r>
      <w:r>
        <w:rPr>
          <w:rFonts w:hint="eastAsia" w:ascii="仿宋" w:hAnsi="仿宋" w:eastAsia="仿宋" w:cs="仿宋"/>
          <w:color w:val="auto"/>
          <w:sz w:val="24"/>
          <w:highlight w:val="none"/>
        </w:rPr>
        <w:t>。</w:t>
      </w:r>
    </w:p>
    <w:p w14:paraId="5967986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1.10.3 场内交通</w:t>
      </w:r>
    </w:p>
    <w:p w14:paraId="764E7A8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关于场外交通和场内交通的边界的约定：</w:t>
      </w:r>
      <w:r>
        <w:rPr>
          <w:rFonts w:hint="eastAsia" w:ascii="仿宋" w:hAnsi="仿宋" w:eastAsia="仿宋" w:cs="仿宋"/>
          <w:color w:val="auto"/>
          <w:sz w:val="24"/>
          <w:highlight w:val="none"/>
          <w:u w:val="single"/>
        </w:rPr>
        <w:t xml:space="preserve">按通用条款 1.10.3 执行 </w:t>
      </w:r>
      <w:r>
        <w:rPr>
          <w:rFonts w:hint="eastAsia" w:ascii="仿宋" w:hAnsi="仿宋" w:eastAsia="仿宋" w:cs="仿宋"/>
          <w:color w:val="auto"/>
          <w:sz w:val="24"/>
          <w:highlight w:val="none"/>
        </w:rPr>
        <w:t xml:space="preserve"> 。</w:t>
      </w:r>
    </w:p>
    <w:p w14:paraId="3BBEDE4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关于发包人向承包人免费提供满足工程施工需要的场内道路和交通设施的约定： </w:t>
      </w:r>
      <w:r>
        <w:rPr>
          <w:rFonts w:hint="eastAsia" w:ascii="仿宋" w:hAnsi="仿宋" w:eastAsia="仿宋" w:cs="仿宋"/>
          <w:color w:val="auto"/>
          <w:sz w:val="24"/>
          <w:highlight w:val="none"/>
          <w:u w:val="single"/>
        </w:rPr>
        <w:t xml:space="preserve"> 无</w:t>
      </w:r>
      <w:r>
        <w:rPr>
          <w:rFonts w:hint="eastAsia" w:ascii="仿宋" w:hAnsi="仿宋" w:eastAsia="仿宋" w:cs="仿宋"/>
          <w:color w:val="auto"/>
          <w:sz w:val="24"/>
          <w:highlight w:val="none"/>
        </w:rPr>
        <w:t xml:space="preserve">  。</w:t>
      </w:r>
    </w:p>
    <w:p w14:paraId="2462898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1.10.4 超大件和超重件的运输</w:t>
      </w:r>
    </w:p>
    <w:p w14:paraId="73431FA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运输超大件或超重件所需的道路和桥梁临时加固改造费用和其他有关费用由</w:t>
      </w:r>
      <w:r>
        <w:rPr>
          <w:rFonts w:hint="eastAsia" w:ascii="仿宋" w:hAnsi="仿宋" w:eastAsia="仿宋" w:cs="仿宋"/>
          <w:color w:val="auto"/>
          <w:sz w:val="24"/>
          <w:highlight w:val="none"/>
          <w:u w:val="single"/>
        </w:rPr>
        <w:t xml:space="preserve"> 承包人</w:t>
      </w:r>
      <w:r>
        <w:rPr>
          <w:rFonts w:hint="eastAsia" w:ascii="仿宋" w:hAnsi="仿宋" w:eastAsia="仿宋" w:cs="仿宋"/>
          <w:color w:val="auto"/>
          <w:sz w:val="24"/>
          <w:highlight w:val="none"/>
        </w:rPr>
        <w:t xml:space="preserve"> 承担。</w:t>
      </w:r>
    </w:p>
    <w:p w14:paraId="7121AC5E">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1.11 知识产权</w:t>
      </w:r>
    </w:p>
    <w:p w14:paraId="33DE919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1.11.1 关于发包人提供给承包人的图纸、发包人为实施工程自行编制或委托编制的技术规范以及反映发包人关于合同要求或其他类似性质的文件的著作权的归：</w:t>
      </w:r>
      <w:r>
        <w:rPr>
          <w:rFonts w:hint="eastAsia" w:ascii="仿宋" w:hAnsi="仿宋" w:eastAsia="仿宋" w:cs="仿宋"/>
          <w:color w:val="auto"/>
          <w:sz w:val="24"/>
          <w:highlight w:val="none"/>
          <w:u w:val="single"/>
        </w:rPr>
        <w:t xml:space="preserve"> 发包人 </w:t>
      </w:r>
      <w:r>
        <w:rPr>
          <w:rFonts w:hint="eastAsia" w:ascii="仿宋" w:hAnsi="仿宋" w:eastAsia="仿宋" w:cs="仿宋"/>
          <w:color w:val="auto"/>
          <w:sz w:val="24"/>
          <w:highlight w:val="none"/>
        </w:rPr>
        <w:t>。</w:t>
      </w:r>
    </w:p>
    <w:p w14:paraId="7C8499B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关于发包人提供的上述文件的使用限制 的要求：</w:t>
      </w:r>
      <w:r>
        <w:rPr>
          <w:rFonts w:hint="eastAsia" w:ascii="仿宋" w:hAnsi="仿宋" w:eastAsia="仿宋" w:cs="仿宋"/>
          <w:color w:val="auto"/>
          <w:sz w:val="24"/>
          <w:highlight w:val="none"/>
          <w:u w:val="single"/>
        </w:rPr>
        <w:t xml:space="preserve">  仅限本项目使用   </w:t>
      </w:r>
      <w:r>
        <w:rPr>
          <w:rFonts w:hint="eastAsia" w:ascii="仿宋" w:hAnsi="仿宋" w:eastAsia="仿宋" w:cs="仿宋"/>
          <w:color w:val="auto"/>
          <w:sz w:val="24"/>
          <w:highlight w:val="none"/>
        </w:rPr>
        <w:t xml:space="preserve">。 </w:t>
      </w:r>
    </w:p>
    <w:p w14:paraId="060AA48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1.11.2 关于承包人为实施工程所编制文件的著作权的归属：</w:t>
      </w:r>
      <w:r>
        <w:rPr>
          <w:rFonts w:hint="eastAsia" w:ascii="仿宋" w:hAnsi="仿宋" w:eastAsia="仿宋" w:cs="仿宋"/>
          <w:color w:val="auto"/>
          <w:sz w:val="24"/>
          <w:highlight w:val="none"/>
          <w:u w:val="single"/>
        </w:rPr>
        <w:t>承包人</w:t>
      </w:r>
      <w:r>
        <w:rPr>
          <w:rFonts w:hint="eastAsia" w:ascii="仿宋" w:hAnsi="仿宋" w:eastAsia="仿宋" w:cs="仿宋"/>
          <w:color w:val="auto"/>
          <w:sz w:val="24"/>
          <w:highlight w:val="none"/>
        </w:rPr>
        <w:t xml:space="preserve">   。 关于承包人提供的上述文件的使用限制的要求：</w:t>
      </w:r>
      <w:r>
        <w:rPr>
          <w:rFonts w:hint="eastAsia" w:ascii="仿宋" w:hAnsi="仿宋" w:eastAsia="仿宋" w:cs="仿宋"/>
          <w:color w:val="auto"/>
          <w:sz w:val="24"/>
          <w:highlight w:val="none"/>
          <w:u w:val="single"/>
        </w:rPr>
        <w:t xml:space="preserve">  无 </w:t>
      </w:r>
      <w:r>
        <w:rPr>
          <w:rFonts w:hint="eastAsia" w:ascii="仿宋" w:hAnsi="仿宋" w:eastAsia="仿宋" w:cs="仿宋"/>
          <w:color w:val="auto"/>
          <w:sz w:val="24"/>
          <w:highlight w:val="none"/>
        </w:rPr>
        <w:t xml:space="preserve">   。</w:t>
      </w:r>
    </w:p>
    <w:p w14:paraId="6155AF3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1.11.4 承包人在施工过程中所采用的专利、专有技术、技术秘密的使用费的承担方式：</w:t>
      </w:r>
      <w:r>
        <w:rPr>
          <w:rFonts w:hint="eastAsia" w:ascii="仿宋" w:hAnsi="仿宋" w:eastAsia="仿宋" w:cs="仿宋"/>
          <w:color w:val="auto"/>
          <w:sz w:val="24"/>
          <w:highlight w:val="none"/>
          <w:u w:val="single"/>
        </w:rPr>
        <w:t xml:space="preserve">由承包人承担，已包含在签约合同价中，发包人不再另行支付 </w:t>
      </w:r>
      <w:r>
        <w:rPr>
          <w:rFonts w:hint="eastAsia" w:ascii="仿宋" w:hAnsi="仿宋" w:eastAsia="仿宋" w:cs="仿宋"/>
          <w:color w:val="auto"/>
          <w:sz w:val="24"/>
          <w:highlight w:val="none"/>
        </w:rPr>
        <w:t>。</w:t>
      </w:r>
    </w:p>
    <w:p w14:paraId="2F2FE6B0">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1.13 工程量清单错误的修正</w:t>
      </w:r>
    </w:p>
    <w:p w14:paraId="5BB1C4A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出现工程量清单工程量偏差时，是否调整合同价格：</w:t>
      </w:r>
      <w:r>
        <w:rPr>
          <w:rFonts w:hint="eastAsia" w:ascii="仿宋" w:hAnsi="仿宋" w:eastAsia="仿宋" w:cs="仿宋"/>
          <w:color w:val="auto"/>
          <w:sz w:val="24"/>
          <w:highlight w:val="none"/>
          <w:u w:val="single"/>
        </w:rPr>
        <w:t>☑是  □否</w:t>
      </w:r>
      <w:r>
        <w:rPr>
          <w:rFonts w:hint="eastAsia" w:ascii="仿宋" w:hAnsi="仿宋" w:eastAsia="仿宋" w:cs="仿宋"/>
          <w:color w:val="auto"/>
          <w:sz w:val="24"/>
          <w:highlight w:val="none"/>
        </w:rPr>
        <w:t>。允许调整合同价格的工程量偏差范围及其调整办法：</w:t>
      </w:r>
    </w:p>
    <w:p w14:paraId="4DD1346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u w:val="single"/>
        </w:rPr>
        <w:t xml:space="preserve">除严重不平衡报价外，无论分部分项工程量清单项目中的工程量变化多少均不调整 </w:t>
      </w:r>
      <w:r>
        <w:rPr>
          <w:rFonts w:hint="eastAsia" w:ascii="仿宋" w:hAnsi="仿宋" w:eastAsia="仿宋" w:cs="仿宋"/>
          <w:color w:val="auto"/>
          <w:sz w:val="24"/>
          <w:highlight w:val="none"/>
        </w:rPr>
        <w:t>。</w:t>
      </w:r>
    </w:p>
    <w:p w14:paraId="6DD3F3B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☑按专用条款第 11.2 款约定。</w:t>
      </w:r>
    </w:p>
    <w:p w14:paraId="773971F8">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 发包人</w:t>
      </w:r>
    </w:p>
    <w:p w14:paraId="71D623D0">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2.1 发包人代表</w:t>
      </w:r>
    </w:p>
    <w:p w14:paraId="3F28D1F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1C0C67E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身份证号：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22FB852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262F05E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75022A4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电子信箱：</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6F1C20C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通信地址：</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25228DC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发包人对发包人代表的授权范围如下： 职权：代表发包人与工程师协调与本工 程有关的事宜，并行使合同约定的发包人权力，履行合同约定的发包人职责；督促 指导监理工程师行使职权，协调施工现场各方面的关系，协调工程质量，进度和安全文明施工中存在的问题，解决有关设计和技术签证，办理、签认现场经济技术签证，审核工程进度报表 。</w:t>
      </w:r>
    </w:p>
    <w:p w14:paraId="39A594CF">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2.3 施工现场、施工条件和基础资料的提供</w:t>
      </w:r>
    </w:p>
    <w:p w14:paraId="204AA5A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2.3.1 提供施工现场</w:t>
      </w:r>
    </w:p>
    <w:p w14:paraId="6AC223C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关于发包人移交施工现场的期限要求： 开工前移交 。</w:t>
      </w:r>
    </w:p>
    <w:p w14:paraId="34E36BE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2.3.2 提供施工条件</w:t>
      </w:r>
    </w:p>
    <w:p w14:paraId="13AF31E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关于发包人应负责提供施工所需要的条件，包括：发包人提供施工用水作为甲 供材料 。</w:t>
      </w:r>
    </w:p>
    <w:p w14:paraId="4319E1C7">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2.4 资金来源证明及支付担保</w:t>
      </w:r>
    </w:p>
    <w:p w14:paraId="52F762F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发包人提供资金来源证明的期限要求： 无  。</w:t>
      </w:r>
    </w:p>
    <w:p w14:paraId="779D59A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发包人是否提供支付担保：   否   。【发包人要求承包人提供履约担保的，应当同时向承包人提供工程款支付担保。工程款支付担保可以全额担保，也可以分阶段担保。分阶段担保的，除保修金以外的全部款项，完成一个阶段清算后再进入下一阶段，有效期截至工程竣工结算款支付完毕。发包人未按合同约定及时支付工程款的，工程担保保证人需承担担保责任。对政府投资项目，由建设单位提供落实财政资金来源的证明文件。】</w:t>
      </w:r>
    </w:p>
    <w:p w14:paraId="6A84478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发包人提供支付担保的形式：可以是银行转账、电汇或网上支付、保函（银行保函、电子保函、保证保险保函、工程担保保函）等形式。工程担保保证人应将出具的保函相关信息录入“广西建筑市场监管云” </w:t>
      </w:r>
      <w:r>
        <w:rPr>
          <w:color w:val="auto"/>
          <w:highlight w:val="none"/>
        </w:rPr>
        <w:fldChar w:fldCharType="begin"/>
      </w:r>
      <w:r>
        <w:rPr>
          <w:color w:val="auto"/>
          <w:highlight w:val="none"/>
        </w:rPr>
        <w:instrText xml:space="preserve"> HYPERLINK "http://gxjzsc.caihcloud.com/" </w:instrText>
      </w:r>
      <w:r>
        <w:rPr>
          <w:color w:val="auto"/>
          <w:highlight w:val="none"/>
        </w:rPr>
        <w:fldChar w:fldCharType="separate"/>
      </w:r>
      <w:r>
        <w:rPr>
          <w:rFonts w:hint="eastAsia" w:ascii="仿宋" w:hAnsi="仿宋" w:eastAsia="仿宋" w:cs="仿宋"/>
          <w:color w:val="auto"/>
          <w:sz w:val="24"/>
          <w:highlight w:val="none"/>
        </w:rPr>
        <w:t>平台（http://gxjzsc.caihcloud.</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 xml:space="preserve"> </w:t>
      </w:r>
      <w:r>
        <w:rPr>
          <w:color w:val="auto"/>
          <w:highlight w:val="none"/>
        </w:rPr>
        <w:fldChar w:fldCharType="begin"/>
      </w:r>
      <w:r>
        <w:rPr>
          <w:color w:val="auto"/>
          <w:highlight w:val="none"/>
        </w:rPr>
        <w:instrText xml:space="preserve"> HYPERLINK "http://gxjzsc.caihcloud.com/" </w:instrText>
      </w:r>
      <w:r>
        <w:rPr>
          <w:color w:val="auto"/>
          <w:highlight w:val="none"/>
        </w:rPr>
        <w:fldChar w:fldCharType="separate"/>
      </w:r>
      <w:r>
        <w:rPr>
          <w:rFonts w:hint="eastAsia" w:ascii="仿宋" w:hAnsi="仿宋" w:eastAsia="仿宋" w:cs="仿宋"/>
          <w:color w:val="auto"/>
          <w:sz w:val="24"/>
          <w:highlight w:val="none"/>
        </w:rPr>
        <w:t>com），以实现保函查询及验真功能。</w:t>
      </w:r>
      <w:r>
        <w:rPr>
          <w:rFonts w:hint="eastAsia" w:ascii="仿宋" w:hAnsi="仿宋" w:eastAsia="仿宋" w:cs="仿宋"/>
          <w:color w:val="auto"/>
          <w:sz w:val="24"/>
          <w:highlight w:val="none"/>
        </w:rPr>
        <w:fldChar w:fldCharType="end"/>
      </w:r>
    </w:p>
    <w:p w14:paraId="6FB928B6">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 承包人</w:t>
      </w:r>
    </w:p>
    <w:p w14:paraId="2D5BB512">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3.1 承包人的一般义务</w:t>
      </w:r>
    </w:p>
    <w:p w14:paraId="323E3D3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（9）承包人提交的竣工资料的内容： </w:t>
      </w:r>
      <w:r>
        <w:rPr>
          <w:rFonts w:hint="eastAsia" w:ascii="仿宋" w:hAnsi="仿宋" w:eastAsia="仿宋" w:cs="仿宋"/>
          <w:color w:val="auto"/>
          <w:sz w:val="24"/>
          <w:highlight w:val="none"/>
          <w:u w:val="single"/>
        </w:rPr>
        <w:t>承包人按《建设工程文件归档整理规范》（GB/T50328-2001）规定，在竣工验收后 2 个月内，向发包人提供 6 份竣工资料及竣工验收报告。双方约定由承包人提供竣工图，应当在竣工验收后 28 个工作日内向发包人提供 4 份竣工图</w:t>
      </w:r>
      <w:r>
        <w:rPr>
          <w:rFonts w:hint="eastAsia" w:ascii="仿宋" w:hAnsi="仿宋" w:eastAsia="仿宋" w:cs="仿宋"/>
          <w:color w:val="auto"/>
          <w:sz w:val="24"/>
          <w:highlight w:val="none"/>
        </w:rPr>
        <w:t>。</w:t>
      </w:r>
    </w:p>
    <w:p w14:paraId="18BE6FD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承包人需要提交的竣工资料套数：</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5CD592A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承包人提交的竣工资料的费用承担：</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 xml:space="preserve">。 </w:t>
      </w:r>
    </w:p>
    <w:p w14:paraId="0867DAB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承包人提交的竣工资料移交时间：</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133DCA3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承包人提交的竣工资料形式要求：</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4482600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（10）承包人应履行的其他义务：双方另行确定  。</w:t>
      </w:r>
    </w:p>
    <w:p w14:paraId="58AA455B">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3.2 项目经理</w:t>
      </w:r>
    </w:p>
    <w:p w14:paraId="17338DF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3.2.1 项目经理：</w:t>
      </w:r>
    </w:p>
    <w:p w14:paraId="2FDA621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67F22E5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身份证号：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50E9014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建造师执业资格等级：</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15E388D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建造师注册证书号：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55057DD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安全生产考核合格证书号：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4EB983D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3E04783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电子信箱：</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4C83F7D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通信地址：</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7DC8FA7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承包人对项目经理的授权范围如下：</w:t>
      </w:r>
      <w:r>
        <w:rPr>
          <w:rFonts w:hint="eastAsia" w:ascii="仿宋" w:hAnsi="仿宋" w:eastAsia="仿宋" w:cs="仿宋"/>
          <w:color w:val="auto"/>
          <w:sz w:val="24"/>
          <w:highlight w:val="none"/>
          <w:u w:val="single"/>
        </w:rPr>
        <w:t>对施工现场全权负责</w:t>
      </w:r>
      <w:r>
        <w:rPr>
          <w:rFonts w:hint="eastAsia" w:ascii="仿宋" w:hAnsi="仿宋" w:eastAsia="仿宋" w:cs="仿宋"/>
          <w:color w:val="auto"/>
          <w:sz w:val="24"/>
          <w:highlight w:val="none"/>
        </w:rPr>
        <w:t>。</w:t>
      </w:r>
    </w:p>
    <w:p w14:paraId="223D292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关于项目经理每月在施工现场的时间要求： </w:t>
      </w:r>
      <w:r>
        <w:rPr>
          <w:rFonts w:hint="eastAsia" w:ascii="仿宋" w:hAnsi="仿宋" w:eastAsia="仿宋" w:cs="仿宋"/>
          <w:color w:val="auto"/>
          <w:sz w:val="24"/>
          <w:highlight w:val="none"/>
          <w:u w:val="single"/>
        </w:rPr>
        <w:t>项目经理和技术负责人要在合同签订后7个工作日内进场，各专业技术工程师根据施工进度的需要进场，并且未经监理工程师允许不得随便更换或离开现场；项目经理每月在施工现场的天数同投标文件承诺时间</w:t>
      </w:r>
      <w:r>
        <w:rPr>
          <w:rFonts w:hint="eastAsia" w:ascii="仿宋" w:hAnsi="仿宋" w:eastAsia="仿宋" w:cs="仿宋"/>
          <w:color w:val="auto"/>
          <w:sz w:val="24"/>
          <w:highlight w:val="none"/>
        </w:rPr>
        <w:t>。</w:t>
      </w:r>
    </w:p>
    <w:p w14:paraId="1F61991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承包人未提交劳动合同，以及没有为项目经理缴纳社会保险证明的违约责任： </w:t>
      </w:r>
      <w:r>
        <w:rPr>
          <w:rFonts w:hint="eastAsia" w:ascii="仿宋" w:hAnsi="仿宋" w:eastAsia="仿宋" w:cs="仿宋"/>
          <w:color w:val="auto"/>
          <w:sz w:val="24"/>
          <w:highlight w:val="none"/>
          <w:u w:val="single"/>
        </w:rPr>
        <w:t xml:space="preserve">向发包人赔偿本项目合同价1%的违约金 </w:t>
      </w:r>
      <w:r>
        <w:rPr>
          <w:rFonts w:hint="eastAsia" w:ascii="仿宋" w:hAnsi="仿宋" w:eastAsia="仿宋" w:cs="仿宋"/>
          <w:color w:val="auto"/>
          <w:sz w:val="24"/>
          <w:highlight w:val="none"/>
        </w:rPr>
        <w:t>。</w:t>
      </w:r>
    </w:p>
    <w:p w14:paraId="7E39BBF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项目经理未经批准，擅自离开施工现场的违约责任：</w:t>
      </w:r>
      <w:r>
        <w:rPr>
          <w:rFonts w:hint="eastAsia" w:ascii="仿宋" w:hAnsi="仿宋" w:eastAsia="仿宋" w:cs="仿宋"/>
          <w:color w:val="auto"/>
          <w:sz w:val="24"/>
          <w:highlight w:val="none"/>
          <w:u w:val="single"/>
        </w:rPr>
        <w:t>项目经理每月在岗带班时间不得少于当月施工时间的 80%。未经发包人同意或正当理由，项目经理每月在岗 带班时间少于当月施工时间 80%的，少在岗带班一天，发包人有权处违约金2000元/日（人民币）</w:t>
      </w:r>
      <w:r>
        <w:rPr>
          <w:rFonts w:hint="eastAsia" w:ascii="仿宋" w:hAnsi="仿宋" w:eastAsia="仿宋" w:cs="仿宋"/>
          <w:color w:val="auto"/>
          <w:sz w:val="24"/>
          <w:highlight w:val="none"/>
        </w:rPr>
        <w:t xml:space="preserve"> 。</w:t>
      </w:r>
    </w:p>
    <w:p w14:paraId="07EE26E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3.2.3 承包人擅自更换项目经理的违约责任：</w:t>
      </w:r>
      <w:r>
        <w:rPr>
          <w:rFonts w:hint="eastAsia" w:ascii="仿宋" w:hAnsi="仿宋" w:eastAsia="仿宋" w:cs="仿宋"/>
          <w:color w:val="auto"/>
          <w:sz w:val="24"/>
          <w:highlight w:val="none"/>
          <w:u w:val="single"/>
        </w:rPr>
        <w:t>承包人项目经理必须与承包人投标时所承诺的人员一致，并在（开工日期）前到任</w:t>
      </w:r>
      <w:r>
        <w:rPr>
          <w:rFonts w:hint="eastAsia" w:ascii="仿宋" w:hAnsi="仿宋" w:eastAsia="仿宋" w:cs="仿宋"/>
          <w:color w:val="auto"/>
          <w:sz w:val="24"/>
          <w:highlight w:val="none"/>
        </w:rPr>
        <w:t>。在监理人向承包人颁发</w:t>
      </w:r>
      <w:r>
        <w:rPr>
          <w:rFonts w:hint="eastAsia" w:ascii="仿宋" w:hAnsi="仿宋" w:eastAsia="仿宋" w:cs="仿宋"/>
          <w:color w:val="auto"/>
          <w:sz w:val="24"/>
          <w:highlight w:val="none"/>
          <w:u w:val="single"/>
        </w:rPr>
        <w:t>（竣工证明材料名称）</w:t>
      </w:r>
      <w:r>
        <w:rPr>
          <w:rFonts w:hint="eastAsia" w:ascii="仿宋" w:hAnsi="仿宋" w:eastAsia="仿宋" w:cs="仿宋"/>
          <w:color w:val="auto"/>
          <w:sz w:val="24"/>
          <w:highlight w:val="none"/>
        </w:rPr>
        <w:t xml:space="preserve">前，项目经理不得同时兼任其他任何项目的项目经理（符合《广西 壮族自治区建筑市场诚信卡管理暂行办法》第十六条第一款及桂建管﹝2016﹞70 号、桂建管〔2020〕 11 号文除外）。未经发包人书面同意，承包人擅自更换项目经理的视为 违约，违约金处 </w:t>
      </w:r>
      <w:r>
        <w:rPr>
          <w:rFonts w:hint="eastAsia" w:ascii="仿宋" w:hAnsi="仿宋" w:eastAsia="仿宋" w:cs="仿宋"/>
          <w:color w:val="auto"/>
          <w:sz w:val="24"/>
          <w:highlight w:val="none"/>
          <w:u w:val="single"/>
        </w:rPr>
        <w:t>本项目合同价 0.1%  元/人•次（人民币）</w:t>
      </w:r>
      <w:r>
        <w:rPr>
          <w:rFonts w:hint="eastAsia" w:ascii="仿宋" w:hAnsi="仿宋" w:eastAsia="仿宋" w:cs="仿宋"/>
          <w:color w:val="auto"/>
          <w:sz w:val="24"/>
          <w:highlight w:val="none"/>
        </w:rPr>
        <w:t>。</w:t>
      </w:r>
    </w:p>
    <w:p w14:paraId="5656B90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3.2.4 承包人无正当理由拒绝更换项目经理的违约责任：</w:t>
      </w:r>
      <w:r>
        <w:rPr>
          <w:rFonts w:hint="eastAsia" w:ascii="仿宋" w:hAnsi="仿宋" w:eastAsia="仿宋" w:cs="仿宋"/>
          <w:color w:val="auto"/>
          <w:sz w:val="24"/>
          <w:highlight w:val="none"/>
          <w:u w:val="single"/>
        </w:rPr>
        <w:t>因承包人项目经理不称职，发包人要求调换而未及时调换的，视为承包人违约，必须向发包人交纳处罚金本项目合同价 0.1%元/人•次（人民币）</w:t>
      </w:r>
      <w:r>
        <w:rPr>
          <w:rFonts w:hint="eastAsia" w:ascii="仿宋" w:hAnsi="仿宋" w:eastAsia="仿宋" w:cs="仿宋"/>
          <w:color w:val="auto"/>
          <w:sz w:val="24"/>
          <w:highlight w:val="none"/>
        </w:rPr>
        <w:t>。</w:t>
      </w:r>
    </w:p>
    <w:p w14:paraId="5805A805">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3.3 承包人人员</w:t>
      </w:r>
    </w:p>
    <w:p w14:paraId="6C0BBD8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3.3.1 承包人提交项目管理机构及施工现场管理人员安排报告的期限：工程开工前2天。</w:t>
      </w:r>
    </w:p>
    <w:p w14:paraId="1972CB9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3.3.3 承包人无正当理由拒绝撤换主要施工管理人员的违约责任：因承包人主要施工管理人员不称职，发包人要求调换而无正当理由拒绝 撤换或未及时调换的，视为承包人违约，必须向发包人交纳处罚金，处罚标准：技术负责人 5000 元/人• 次（人民币）；专业工程师 5000 元/人•次（人民币）。</w:t>
      </w:r>
    </w:p>
    <w:p w14:paraId="63F9614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3.3.4 承包人主要施工管理人员离开施工现场的批准要求：承包人项目经理或技术负责人短期离开施工场地，应事先征得监理人同意并同时呈报发包人，未经批准，不得擅自离开工地现场。</w:t>
      </w:r>
    </w:p>
    <w:p w14:paraId="7114EF0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3.3.5 承包人擅自更换主要施工管理人员的违约责任：项目技术负责人、专职安全生产管理人员及其承诺的其它在场管理人员未经发包人书面同意不准擅自更换，擅自更换项目技术负责人处本项目合同价0.1%元/人•次（人民币）违约金；擅自更换专职安全生产管理人员处本项目合同价0.1%元/人•次（人民币）违约金；擅自更换其它在场管理人员处本项目合同价0.1%元/人•次（人民币）违约金。</w:t>
      </w:r>
    </w:p>
    <w:p w14:paraId="4B23A9E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主要施工管理人员擅自离开施工现场的违约责任：未经发包人同意，项目技术负责人擅自离岗的，视为承包人违约，发包人有权处违约金5000元/人•次（人民币）；未经发包人同意，专职安全生产管理人员擅自离岗的，视为承包人违约，发包人有权处违约金5000元/人•次（人民币）；其它在场管理人员擅自离岗的，视为承包人违约，发包人有权处违约金5000元/人•次（人民币）。</w:t>
      </w:r>
    </w:p>
    <w:p w14:paraId="3239D737">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3.5 分包</w:t>
      </w:r>
    </w:p>
    <w:p w14:paraId="700219B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3.5.1 分包的一般约定</w:t>
      </w:r>
    </w:p>
    <w:p w14:paraId="1BA17F4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禁止分包的工程包括：</w:t>
      </w:r>
      <w:r>
        <w:rPr>
          <w:rFonts w:hint="eastAsia" w:ascii="仿宋" w:hAnsi="仿宋" w:eastAsia="仿宋" w:cs="仿宋"/>
          <w:color w:val="auto"/>
          <w:sz w:val="24"/>
          <w:highlight w:val="none"/>
          <w:u w:val="single"/>
        </w:rPr>
        <w:t xml:space="preserve">  按照法律法规禁止分包的工程 </w:t>
      </w:r>
      <w:r>
        <w:rPr>
          <w:rFonts w:hint="eastAsia" w:ascii="仿宋" w:hAnsi="仿宋" w:eastAsia="仿宋" w:cs="仿宋"/>
          <w:color w:val="auto"/>
          <w:sz w:val="24"/>
          <w:highlight w:val="none"/>
        </w:rPr>
        <w:t xml:space="preserve">。 </w:t>
      </w:r>
    </w:p>
    <w:p w14:paraId="1D9CEC7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主体结构、关键性工作的范围：</w:t>
      </w:r>
      <w:r>
        <w:rPr>
          <w:rFonts w:hint="eastAsia" w:ascii="仿宋" w:hAnsi="仿宋" w:eastAsia="仿宋" w:cs="仿宋"/>
          <w:color w:val="auto"/>
          <w:sz w:val="24"/>
          <w:highlight w:val="none"/>
          <w:u w:val="single"/>
        </w:rPr>
        <w:t xml:space="preserve"> 按照法律规定 </w:t>
      </w:r>
      <w:r>
        <w:rPr>
          <w:rFonts w:hint="eastAsia" w:ascii="仿宋" w:hAnsi="仿宋" w:eastAsia="仿宋" w:cs="仿宋"/>
          <w:color w:val="auto"/>
          <w:sz w:val="24"/>
          <w:highlight w:val="none"/>
        </w:rPr>
        <w:t xml:space="preserve">      。</w:t>
      </w:r>
    </w:p>
    <w:p w14:paraId="282835A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3.5.2 分包的确定</w:t>
      </w:r>
    </w:p>
    <w:p w14:paraId="299EDF6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允许分包的专业工程包括：</w:t>
      </w:r>
      <w:r>
        <w:rPr>
          <w:rFonts w:hint="eastAsia" w:ascii="仿宋" w:hAnsi="仿宋" w:eastAsia="仿宋" w:cs="仿宋"/>
          <w:color w:val="auto"/>
          <w:sz w:val="24"/>
          <w:highlight w:val="none"/>
          <w:u w:val="single"/>
        </w:rPr>
        <w:t>按照法律法规允许分包的工程</w:t>
      </w:r>
      <w:r>
        <w:rPr>
          <w:rFonts w:hint="eastAsia" w:ascii="仿宋" w:hAnsi="仿宋" w:eastAsia="仿宋" w:cs="仿宋"/>
          <w:color w:val="auto"/>
          <w:sz w:val="24"/>
          <w:highlight w:val="none"/>
        </w:rPr>
        <w:t>。</w:t>
      </w:r>
    </w:p>
    <w:p w14:paraId="4EEDFBF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其他关于分包的约定：</w:t>
      </w:r>
    </w:p>
    <w:p w14:paraId="1AE8026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 1。</w:t>
      </w:r>
    </w:p>
    <w:p w14:paraId="51B0204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（2）在相关分包合同签订并报送有关建设行政主管部门备案后7天内，承包人应当将一份副本提交给监理人，承包人应保障分包工作不得再次分包。</w:t>
      </w:r>
    </w:p>
    <w:p w14:paraId="6CD3F46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（3）未经承包人和监理人审批同意的分包工程和分包人，承包人有权拒绝验收分包工程和支付相应款项，由此引起的发包人费用增加和(或)延误的工期由发包人承担。</w:t>
      </w:r>
    </w:p>
    <w:p w14:paraId="1A52EEE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（4）承包人有以下情况之一者，发包人有权解除合同，并视情况扣除其履约保证金或合同价款的 5%：</w:t>
      </w:r>
    </w:p>
    <w:p w14:paraId="7AA2E5B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①个人承包工程，包括本人单位及外单位人员承包，发包人不承认其个人拥有任何资质等级及营业许可资格。没收全部履约保证金或合同价款的5%。</w:t>
      </w:r>
    </w:p>
    <w:p w14:paraId="565344E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②几个人联合承包工程，就地组织暗分包队伍，不具备完成本工程的技术、机械能力，被发包人判定为没有能力履行的承包人。没收全部履约保证金或合同价款的5%。</w:t>
      </w:r>
    </w:p>
    <w:p w14:paraId="5386CDA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③就地转包全部的工程，以谋取高额转让费、管理费的承包人。没收全部履约保证金或合同价款的5%。</w:t>
      </w:r>
    </w:p>
    <w:p w14:paraId="758C259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④承包人有部分分包现象（其中包括冒充承包人下属单位的挂勾单位，凭口头协议参与施工的分包人及其他暗分包个体户），一经发现核实，发包人将采取驱逐该暗分包人措施。没收全部履约保证金或合同价款的5%。</w:t>
      </w:r>
    </w:p>
    <w:p w14:paraId="1C8A9B8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3.5.4 分包合同价款</w:t>
      </w:r>
    </w:p>
    <w:p w14:paraId="0C7D27CB">
      <w:pPr>
        <w:snapToGrid w:val="0"/>
        <w:spacing w:before="120"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关于分包合同价款支付的约定：</w:t>
      </w:r>
      <w:r>
        <w:rPr>
          <w:rFonts w:hint="eastAsia" w:ascii="仿宋" w:hAnsi="仿宋" w:eastAsia="仿宋" w:cs="仿宋"/>
          <w:color w:val="auto"/>
          <w:sz w:val="24"/>
          <w:highlight w:val="none"/>
          <w:u w:val="single"/>
        </w:rPr>
        <w:t>分包工程价款由承包人与分包人（包括专业分包人）结算。发包人未经承包人同意不得以任何形式向分包人（包括专业分包人）</w:t>
      </w:r>
    </w:p>
    <w:p w14:paraId="386C4E7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2E0C1702">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3.6 工程照管与成品、半成品保护</w:t>
      </w:r>
    </w:p>
    <w:p w14:paraId="20DB7C6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承包人负责照管工程及工程相关的材料、工程设备的起始时间：</w:t>
      </w:r>
      <w:r>
        <w:rPr>
          <w:rFonts w:hint="eastAsia" w:ascii="仿宋" w:hAnsi="仿宋" w:eastAsia="仿宋" w:cs="仿宋"/>
          <w:color w:val="auto"/>
          <w:sz w:val="24"/>
          <w:highlight w:val="none"/>
          <w:u w:val="single"/>
        </w:rPr>
        <w:t>工程接收证书颁发前，承包人应负责照管和维护工程。工程接收证书颁发时尚有部份未竣工工程的，承包人还应负责该未竣工工程的照管和维护工作，直到竣工后移交给发包人为止。因发包人原因不能及时办理竣工验收以及移交所引起的照管和保护费用由发包人承担</w:t>
      </w:r>
      <w:r>
        <w:rPr>
          <w:rFonts w:hint="eastAsia" w:ascii="仿宋" w:hAnsi="仿宋" w:eastAsia="仿宋" w:cs="仿宋"/>
          <w:color w:val="auto"/>
          <w:sz w:val="24"/>
          <w:highlight w:val="none"/>
        </w:rPr>
        <w:t>。</w:t>
      </w:r>
    </w:p>
    <w:p w14:paraId="1F401246">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3.7 履约保证金：无。</w:t>
      </w:r>
    </w:p>
    <w:p w14:paraId="7809CA43">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4. 监理人</w:t>
      </w:r>
    </w:p>
    <w:p w14:paraId="2AA16D71">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4.1 监理人的一般规定</w:t>
      </w:r>
    </w:p>
    <w:p w14:paraId="0DF060B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关于监理人的监理内容： </w:t>
      </w:r>
      <w:r>
        <w:rPr>
          <w:rFonts w:hint="eastAsia" w:ascii="仿宋" w:hAnsi="仿宋" w:eastAsia="仿宋" w:cs="仿宋"/>
          <w:color w:val="auto"/>
          <w:sz w:val="24"/>
          <w:highlight w:val="none"/>
          <w:u w:val="single"/>
        </w:rPr>
        <w:t>经审查批准的施工图（含通过了监理审查的设计变更）中所包括的本工程全部内容</w:t>
      </w:r>
      <w:r>
        <w:rPr>
          <w:rFonts w:hint="eastAsia" w:ascii="仿宋" w:hAnsi="仿宋" w:eastAsia="仿宋" w:cs="仿宋"/>
          <w:color w:val="auto"/>
          <w:sz w:val="24"/>
          <w:highlight w:val="none"/>
        </w:rPr>
        <w:t>。</w:t>
      </w:r>
    </w:p>
    <w:p w14:paraId="59BA3B9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关于监理人的监理权限： </w:t>
      </w:r>
      <w:r>
        <w:rPr>
          <w:rFonts w:hint="eastAsia" w:ascii="仿宋" w:hAnsi="仿宋" w:eastAsia="仿宋" w:cs="仿宋"/>
          <w:color w:val="auto"/>
          <w:sz w:val="24"/>
          <w:highlight w:val="none"/>
          <w:u w:val="single"/>
        </w:rPr>
        <w:t>根据发包人授权及法律规定，代表发包人对 工程施工相关事项进行检查、查验、审核、验收，并签发相关指示，但监理人无权修改合同，且无权减轻或免除合同约定的承包人的任何责任与义务。</w:t>
      </w:r>
    </w:p>
    <w:p w14:paraId="588C1EA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关于监理人在施工现场的办公场所、生活场所的提供和费用承担的约 定：</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128041D0">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4.2 监理人员</w:t>
      </w:r>
    </w:p>
    <w:p w14:paraId="5D697FE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总监理工程师：</w:t>
      </w:r>
    </w:p>
    <w:p w14:paraId="335DD69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31FDD50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71E2C25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监理工程师注册证书号：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2346580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5CACB97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电子信箱：</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69542D1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通信地址：</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5D53FA1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关于监理人的其他约定：</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79AF3466">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4.4 商定或确定</w:t>
      </w:r>
    </w:p>
    <w:p w14:paraId="517A35A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在发包人和承包人不能通过协商达成一致意见时，发包人授权监理人对以下事项进行确定：</w:t>
      </w:r>
    </w:p>
    <w:p w14:paraId="5869003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4F3B035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25FB2E7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3033591D">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5. 工程质量</w:t>
      </w:r>
    </w:p>
    <w:p w14:paraId="3CEE6FFF">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5.1 质量要求</w:t>
      </w:r>
    </w:p>
    <w:p w14:paraId="224B67E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5.1.1 特殊质量标准和要求：</w:t>
      </w:r>
      <w:r>
        <w:rPr>
          <w:rFonts w:hint="eastAsia" w:ascii="仿宋" w:hAnsi="仿宋" w:eastAsia="仿宋" w:cs="仿宋"/>
          <w:color w:val="auto"/>
          <w:sz w:val="24"/>
          <w:highlight w:val="none"/>
          <w:u w:val="single"/>
        </w:rPr>
        <w:t xml:space="preserve"> 承包人应在施工场地设置专门的质量检查机构，配备专职质量检查人员，建立完善的质量检查制度。承包人应在合同签订后 14 天期限内，提交工程质量保证措施文件，包括质量检查机构的组织和岗位责任、质检人员的组成、质量检查程序和实施细则等，报送监理人审批。本工程应达到国家工程质量检验评定标准的工程质量合格等级。承包人应按现行的国家施工验收规范和质量评定标准施工。如果工程质量达不到合格等级，承包人必须返工，直至达到合格要求，并承担费用及由此造成的损失</w:t>
      </w:r>
      <w:r>
        <w:rPr>
          <w:rFonts w:hint="eastAsia" w:ascii="仿宋" w:hAnsi="仿宋" w:eastAsia="仿宋" w:cs="仿宋"/>
          <w:color w:val="auto"/>
          <w:sz w:val="24"/>
          <w:highlight w:val="none"/>
        </w:rPr>
        <w:t xml:space="preserve"> 。</w:t>
      </w:r>
    </w:p>
    <w:p w14:paraId="41DDA95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关于工程奖项的约定： 如果工程获得</w:t>
      </w:r>
      <w:r>
        <w:rPr>
          <w:rFonts w:hint="eastAsia" w:ascii="仿宋" w:hAnsi="仿宋" w:eastAsia="仿宋" w:cs="仿宋"/>
          <w:color w:val="auto"/>
          <w:sz w:val="24"/>
          <w:highlight w:val="none"/>
          <w:u w:val="single"/>
        </w:rPr>
        <w:t xml:space="preserve">  /（奖项名称）</w:t>
      </w:r>
      <w:r>
        <w:rPr>
          <w:rFonts w:hint="eastAsia" w:ascii="仿宋" w:hAnsi="仿宋" w:eastAsia="仿宋" w:cs="仿宋"/>
          <w:color w:val="auto"/>
          <w:sz w:val="24"/>
          <w:highlight w:val="none"/>
        </w:rPr>
        <w:t>，给予承包人合同价</w:t>
      </w:r>
      <w:r>
        <w:rPr>
          <w:rFonts w:hint="eastAsia" w:ascii="仿宋" w:hAnsi="仿宋" w:eastAsia="仿宋" w:cs="仿宋"/>
          <w:color w:val="auto"/>
          <w:sz w:val="24"/>
          <w:highlight w:val="none"/>
          <w:u w:val="single"/>
        </w:rPr>
        <w:t xml:space="preserve"> / % </w:t>
      </w:r>
      <w:r>
        <w:rPr>
          <w:rFonts w:hint="eastAsia" w:ascii="仿宋" w:hAnsi="仿宋" w:eastAsia="仿宋" w:cs="仿宋"/>
          <w:color w:val="auto"/>
          <w:sz w:val="24"/>
          <w:highlight w:val="none"/>
        </w:rPr>
        <w:t>的奖励。（建设单位创建优质工程的，鼓励在招标控制 价和预算中按我区工程建设 定额规定计列工程优质费，并在招标文件中 明确工程优质费不可竞争。）</w:t>
      </w:r>
    </w:p>
    <w:p w14:paraId="6FB72136">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5.3 隐蔽工程检查</w:t>
      </w:r>
    </w:p>
    <w:p w14:paraId="5F81F8F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5.3.2 承包人提前通知监理人隐蔽工程检查的期限的约定：工程隐蔽或中间验收前 12 小时以书面形式通知发包人和监理工程师验收的内容、时间、地点，承包人准备验收记录单（最好是印制的表格）由双方签证。验收合格，承包人可进行隐 蔽和继续施工；验收不合格，双方商订时限内修改后按上述循序重新验收。监理人不能按时进行检查时，应提前</w:t>
      </w:r>
      <w:r>
        <w:rPr>
          <w:rFonts w:hint="eastAsia" w:ascii="仿宋" w:hAnsi="仿宋" w:eastAsia="仿宋" w:cs="仿宋"/>
          <w:color w:val="auto"/>
          <w:sz w:val="24"/>
          <w:highlight w:val="none"/>
          <w:u w:val="single"/>
        </w:rPr>
        <w:t xml:space="preserve"> 24  </w:t>
      </w:r>
      <w:r>
        <w:rPr>
          <w:rFonts w:hint="eastAsia" w:ascii="仿宋" w:hAnsi="仿宋" w:eastAsia="仿宋" w:cs="仿宋"/>
          <w:color w:val="auto"/>
          <w:sz w:val="24"/>
          <w:highlight w:val="none"/>
        </w:rPr>
        <w:t>小时提交书面延期要求。 关于延期最长不得超过：</w:t>
      </w:r>
      <w:r>
        <w:rPr>
          <w:rFonts w:hint="eastAsia" w:ascii="仿宋" w:hAnsi="仿宋" w:eastAsia="仿宋" w:cs="仿宋"/>
          <w:color w:val="auto"/>
          <w:sz w:val="24"/>
          <w:highlight w:val="none"/>
          <w:u w:val="single"/>
        </w:rPr>
        <w:t xml:space="preserve">  48  </w:t>
      </w:r>
      <w:r>
        <w:rPr>
          <w:rFonts w:hint="eastAsia" w:ascii="仿宋" w:hAnsi="仿宋" w:eastAsia="仿宋" w:cs="仿宋"/>
          <w:color w:val="auto"/>
          <w:sz w:val="24"/>
          <w:highlight w:val="none"/>
        </w:rPr>
        <w:t>小时。</w:t>
      </w:r>
    </w:p>
    <w:p w14:paraId="18383E26">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6. 安全文明施工与环境保护</w:t>
      </w:r>
    </w:p>
    <w:p w14:paraId="40B4F04D">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6.1 安全文明施工</w:t>
      </w:r>
    </w:p>
    <w:p w14:paraId="7873922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6.1.1 项目安全生产的达标目标及相应事项的约定：</w:t>
      </w:r>
      <w:r>
        <w:rPr>
          <w:rFonts w:hint="eastAsia" w:ascii="仿宋" w:hAnsi="仿宋" w:eastAsia="仿宋" w:cs="仿宋"/>
          <w:color w:val="auto"/>
          <w:sz w:val="24"/>
          <w:highlight w:val="none"/>
          <w:u w:val="single"/>
        </w:rPr>
        <w:t>要求达到《建</w:t>
      </w:r>
      <w:r>
        <w:rPr>
          <w:rFonts w:hint="eastAsia" w:ascii="仿宋" w:hAnsi="仿宋" w:eastAsia="仿宋" w:cs="仿宋"/>
          <w:color w:val="auto"/>
          <w:sz w:val="24"/>
          <w:highlight w:val="none"/>
          <w:u w:val="single"/>
          <w:lang w:eastAsia="zh-CN"/>
        </w:rPr>
        <w:t>筑</w:t>
      </w:r>
      <w:r>
        <w:rPr>
          <w:rFonts w:hint="eastAsia" w:ascii="仿宋" w:hAnsi="仿宋" w:eastAsia="仿宋" w:cs="仿宋"/>
          <w:color w:val="auto"/>
          <w:sz w:val="24"/>
          <w:highlight w:val="none"/>
          <w:u w:val="single"/>
        </w:rPr>
        <w:t>施工安全检查标准》（JGJ59-2011）标准</w:t>
      </w:r>
      <w:r>
        <w:rPr>
          <w:rFonts w:hint="eastAsia" w:ascii="仿宋" w:hAnsi="仿宋" w:eastAsia="仿宋" w:cs="仿宋"/>
          <w:color w:val="auto"/>
          <w:sz w:val="24"/>
          <w:highlight w:val="none"/>
        </w:rPr>
        <w:t>。</w:t>
      </w:r>
    </w:p>
    <w:p w14:paraId="04BB271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关于安全文明施工奖项的约定：</w:t>
      </w:r>
      <w:r>
        <w:rPr>
          <w:rFonts w:hint="eastAsia" w:ascii="仿宋" w:hAnsi="仿宋" w:eastAsia="仿宋" w:cs="仿宋"/>
          <w:color w:val="auto"/>
          <w:sz w:val="24"/>
          <w:highlight w:val="none"/>
          <w:u w:val="single"/>
        </w:rPr>
        <w:t xml:space="preserve">  无  </w:t>
      </w:r>
      <w:r>
        <w:rPr>
          <w:rFonts w:hint="eastAsia" w:ascii="仿宋" w:hAnsi="仿宋" w:eastAsia="仿宋" w:cs="仿宋"/>
          <w:color w:val="auto"/>
          <w:sz w:val="24"/>
          <w:highlight w:val="none"/>
        </w:rPr>
        <w:t>。</w:t>
      </w:r>
    </w:p>
    <w:p w14:paraId="1AD7119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6.1.4 关于治安保卫的特别约定：</w:t>
      </w:r>
      <w:r>
        <w:rPr>
          <w:rFonts w:hint="eastAsia" w:ascii="仿宋" w:hAnsi="仿宋" w:eastAsia="仿宋" w:cs="仿宋"/>
          <w:color w:val="auto"/>
          <w:sz w:val="24"/>
          <w:highlight w:val="none"/>
          <w:u w:val="single"/>
        </w:rPr>
        <w:t>承包人应承担施工安全保卫工作及非夜间施工照明的责任，承包人应采取一切合理的预防措施，防止人员伤亡、财产损失事故，费用由承包人承担。承包人生活设施及施工</w:t>
      </w:r>
      <w:r>
        <w:rPr>
          <w:rFonts w:hint="eastAsia" w:ascii="仿宋" w:hAnsi="仿宋" w:eastAsia="仿宋" w:cs="仿宋"/>
          <w:color w:val="auto"/>
          <w:sz w:val="24"/>
          <w:highlight w:val="none"/>
          <w:u w:val="single"/>
          <w:lang w:eastAsia="zh-CN"/>
        </w:rPr>
        <w:t>现</w:t>
      </w:r>
      <w:r>
        <w:rPr>
          <w:rFonts w:hint="eastAsia" w:ascii="仿宋" w:hAnsi="仿宋" w:eastAsia="仿宋" w:cs="仿宋"/>
          <w:color w:val="auto"/>
          <w:sz w:val="24"/>
          <w:highlight w:val="none"/>
          <w:u w:val="single"/>
        </w:rPr>
        <w:t>场应自费配备消防设备， 防止火灾发生</w:t>
      </w:r>
      <w:r>
        <w:rPr>
          <w:rFonts w:hint="eastAsia" w:ascii="仿宋" w:hAnsi="仿宋" w:eastAsia="仿宋" w:cs="仿宋"/>
          <w:color w:val="auto"/>
          <w:sz w:val="24"/>
          <w:highlight w:val="none"/>
        </w:rPr>
        <w:t>。关于编制施工场地治安管理计划的约定：</w:t>
      </w:r>
      <w:r>
        <w:rPr>
          <w:rFonts w:hint="eastAsia" w:ascii="仿宋" w:hAnsi="仿宋" w:eastAsia="仿宋" w:cs="仿宋"/>
          <w:color w:val="auto"/>
          <w:sz w:val="24"/>
          <w:highlight w:val="none"/>
          <w:u w:val="single"/>
        </w:rPr>
        <w:t xml:space="preserve"> 开工前提供施工场地治安管理计划</w:t>
      </w:r>
      <w:r>
        <w:rPr>
          <w:rFonts w:hint="eastAsia" w:ascii="仿宋" w:hAnsi="仿宋" w:eastAsia="仿宋" w:cs="仿宋"/>
          <w:color w:val="auto"/>
          <w:sz w:val="24"/>
          <w:highlight w:val="none"/>
        </w:rPr>
        <w:t xml:space="preserve"> 。</w:t>
      </w:r>
    </w:p>
    <w:p w14:paraId="47CABA3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6.1.5 文明施工</w:t>
      </w:r>
    </w:p>
    <w:p w14:paraId="4756296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合同当事人对文明施工的要求： </w:t>
      </w:r>
      <w:r>
        <w:rPr>
          <w:rFonts w:hint="eastAsia" w:ascii="仿宋" w:hAnsi="仿宋" w:eastAsia="仿宋" w:cs="仿宋"/>
          <w:color w:val="auto"/>
          <w:sz w:val="24"/>
          <w:highlight w:val="none"/>
          <w:u w:val="single"/>
        </w:rPr>
        <w:t>达到《建筑施工现场环境与卫生标准》（JGJ1 46-2013）</w:t>
      </w:r>
      <w:r>
        <w:rPr>
          <w:rFonts w:hint="eastAsia" w:ascii="仿宋" w:hAnsi="仿宋" w:eastAsia="仿宋" w:cs="仿宋"/>
          <w:color w:val="auto"/>
          <w:sz w:val="24"/>
          <w:highlight w:val="none"/>
        </w:rPr>
        <w:t>。</w:t>
      </w:r>
    </w:p>
    <w:p w14:paraId="4F7ECCA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6.1.6 关于安全生产费总额、支付比例、支付期限、转入和结余收回的约定：</w:t>
      </w:r>
    </w:p>
    <w:p w14:paraId="4E7CF42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（1）本合同价款已包含安全文明施工费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w:t>
      </w:r>
    </w:p>
    <w:p w14:paraId="2AAFA12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（2）使用要求：专款专用。具体按</w:t>
      </w:r>
      <w:r>
        <w:rPr>
          <w:rFonts w:hint="eastAsia" w:ascii="仿宋" w:hAnsi="仿宋" w:eastAsia="仿宋" w:cs="仿宋"/>
          <w:color w:val="auto"/>
          <w:sz w:val="24"/>
          <w:highlight w:val="none"/>
          <w:u w:val="single"/>
        </w:rPr>
        <w:t>《广西壮族自治区建设工程安全文明施工费使用管理细则》（桂建质〔2015〕16 号）</w:t>
      </w:r>
      <w:r>
        <w:rPr>
          <w:rFonts w:hint="eastAsia" w:ascii="仿宋" w:hAnsi="仿宋" w:eastAsia="仿宋" w:cs="仿宋"/>
          <w:color w:val="auto"/>
          <w:sz w:val="24"/>
          <w:highlight w:val="none"/>
        </w:rPr>
        <w:t>和</w:t>
      </w:r>
      <w:r>
        <w:rPr>
          <w:rFonts w:hint="eastAsia" w:ascii="仿宋" w:hAnsi="仿宋" w:eastAsia="仿宋" w:cs="仿宋"/>
          <w:color w:val="auto"/>
          <w:sz w:val="24"/>
          <w:highlight w:val="none"/>
          <w:u w:val="single"/>
        </w:rPr>
        <w:t>百色、钦州、柳州、贺州地区</w:t>
      </w:r>
      <w:r>
        <w:rPr>
          <w:rFonts w:hint="eastAsia" w:ascii="仿宋" w:hAnsi="仿宋" w:eastAsia="仿宋" w:cs="仿宋"/>
          <w:color w:val="auto"/>
          <w:sz w:val="24"/>
          <w:highlight w:val="none"/>
        </w:rPr>
        <w:t>相关规定执行。</w:t>
      </w:r>
    </w:p>
    <w:p w14:paraId="0E6FB50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）建设单位按规定将安全生产费用转入施工单位设立的安全生产费用专户。</w:t>
      </w:r>
    </w:p>
    <w:p w14:paraId="6E80236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）工程施工完成后安全生产费用尚有结余的，结余部分由建设单位收回。</w:t>
      </w:r>
    </w:p>
    <w:p w14:paraId="44DC300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）施工单位将安全生产费用使用情况定期报告建设单位和监理单位，并提供相应的材料接受建设行政主管部门对此事项监管。</w:t>
      </w:r>
    </w:p>
    <w:p w14:paraId="4E2AE97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）安全生产费用专户：××××公司安全生产费用专户。</w:t>
      </w:r>
    </w:p>
    <w:p w14:paraId="5F4A3B50">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6.3 环境保护</w:t>
      </w:r>
    </w:p>
    <w:p w14:paraId="3DD24CCC">
      <w:pPr>
        <w:snapToGrid w:val="0"/>
        <w:spacing w:before="120"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因施工需要，经发包人批准，由承包人办理有关施工场地交通、环卫和施工噪音管理等手续，费用由承包人负责。</w:t>
      </w:r>
    </w:p>
    <w:p w14:paraId="47D8F4B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经过城市道路的施工车辆，必须按交警、城管、运输等部门相关规定执行。由于施工车辆造成的道路、环境等污染，其责任和费用均由承包人承担</w:t>
      </w:r>
      <w:r>
        <w:rPr>
          <w:rFonts w:hint="eastAsia" w:ascii="仿宋" w:hAnsi="仿宋" w:eastAsia="仿宋" w:cs="仿宋"/>
          <w:color w:val="auto"/>
          <w:sz w:val="24"/>
          <w:highlight w:val="none"/>
        </w:rPr>
        <w:t>。</w:t>
      </w:r>
    </w:p>
    <w:p w14:paraId="6930082F">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7. 工期和进度</w:t>
      </w:r>
    </w:p>
    <w:p w14:paraId="72B6E3C3">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7.1 施工组织设计</w:t>
      </w:r>
    </w:p>
    <w:p w14:paraId="6D4CB73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7.1.1 合同当事人约定的施工组织设计应包括的其他内容：</w:t>
      </w:r>
      <w:r>
        <w:rPr>
          <w:rFonts w:hint="eastAsia" w:ascii="仿宋" w:hAnsi="仿宋" w:eastAsia="仿宋" w:cs="仿宋"/>
          <w:color w:val="auto"/>
          <w:sz w:val="24"/>
          <w:highlight w:val="none"/>
          <w:u w:val="single"/>
        </w:rPr>
        <w:t xml:space="preserve">各分项分部工程的工程量、开工完工日期、劳动力安排及动态曲线等，施工进度计划应按照网络图和横道图两种形式分别编制 </w:t>
      </w:r>
      <w:r>
        <w:rPr>
          <w:rFonts w:hint="eastAsia" w:ascii="仿宋" w:hAnsi="仿宋" w:eastAsia="仿宋" w:cs="仿宋"/>
          <w:color w:val="auto"/>
          <w:sz w:val="24"/>
          <w:highlight w:val="none"/>
        </w:rPr>
        <w:t>。</w:t>
      </w:r>
    </w:p>
    <w:p w14:paraId="331E5B5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7.1.2 施工组织设计的提交和修改</w:t>
      </w:r>
    </w:p>
    <w:p w14:paraId="2EA279F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承包人提交详细施工组织设计的期限的约定：</w:t>
      </w:r>
      <w:r>
        <w:rPr>
          <w:rFonts w:hint="eastAsia" w:ascii="仿宋" w:hAnsi="仿宋" w:eastAsia="仿宋" w:cs="仿宋"/>
          <w:color w:val="auto"/>
          <w:sz w:val="24"/>
          <w:highlight w:val="none"/>
          <w:u w:val="single"/>
        </w:rPr>
        <w:t>承包人应在开工前 7 天期限内，编制详细的施工进度计划和施工方案说明报送监理人</w:t>
      </w:r>
      <w:r>
        <w:rPr>
          <w:rFonts w:hint="eastAsia" w:ascii="仿宋" w:hAnsi="仿宋" w:eastAsia="仿宋" w:cs="仿宋"/>
          <w:color w:val="auto"/>
          <w:sz w:val="24"/>
          <w:highlight w:val="none"/>
        </w:rPr>
        <w:t>。</w:t>
      </w:r>
    </w:p>
    <w:p w14:paraId="2A2DA10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发包人和监理人在收到详细的施工组织设计后确认或提出修改意 见的期限：</w:t>
      </w:r>
      <w:r>
        <w:rPr>
          <w:rFonts w:hint="eastAsia" w:ascii="仿宋" w:hAnsi="仿宋" w:eastAsia="仿宋" w:cs="仿宋"/>
          <w:color w:val="auto"/>
          <w:sz w:val="24"/>
          <w:highlight w:val="none"/>
          <w:u w:val="single"/>
        </w:rPr>
        <w:t>监理人应在 6 天期限内批复或提出修改意见，否则该进度计划视为已得到批准。经监理人批准的施工进度计划称合同进度计划，是控制合同工程进度的依据。承包人还应根据合同进度计划，编制更为详细的分阶段或分项进度计划，报监理人审批</w:t>
      </w:r>
      <w:r>
        <w:rPr>
          <w:rFonts w:hint="eastAsia" w:ascii="仿宋" w:hAnsi="仿宋" w:eastAsia="仿宋" w:cs="仿宋"/>
          <w:color w:val="auto"/>
          <w:sz w:val="24"/>
          <w:highlight w:val="none"/>
        </w:rPr>
        <w:t>。</w:t>
      </w:r>
    </w:p>
    <w:p w14:paraId="3387F232">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7.2 施工进度计划</w:t>
      </w:r>
    </w:p>
    <w:p w14:paraId="016341C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7.2.2 施工进度计划的修订</w:t>
      </w:r>
    </w:p>
    <w:p w14:paraId="57DF526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发包人和监理人在收到修订的施工进度计划后确认或提出修改意见的期限：</w:t>
      </w:r>
      <w:r>
        <w:rPr>
          <w:rFonts w:hint="eastAsia" w:ascii="仿宋" w:hAnsi="仿宋" w:eastAsia="仿宋" w:cs="仿宋"/>
          <w:color w:val="auto"/>
          <w:sz w:val="24"/>
          <w:highlight w:val="none"/>
          <w:u w:val="single"/>
        </w:rPr>
        <w:t>不论何种原因造成工程的实际进度与第 7.1 款合同进度计划不符时，承包人可以在变 更发生后 14 天期限内向监理人提交修订合同进度计划的申请报告，并附有关措施和相关资料，报监理人审批；监理人也可以直接向承包人作出修订合同进度计划的指示，承包人应按该指示修订合同进度计划，报监理人审批。监理人应在 14 天期限内批复。监理人在批复前应获得发包人同意</w:t>
      </w:r>
      <w:r>
        <w:rPr>
          <w:rFonts w:hint="eastAsia" w:ascii="仿宋" w:hAnsi="仿宋" w:eastAsia="仿宋" w:cs="仿宋"/>
          <w:color w:val="auto"/>
          <w:sz w:val="24"/>
          <w:highlight w:val="none"/>
        </w:rPr>
        <w:t>。</w:t>
      </w:r>
    </w:p>
    <w:p w14:paraId="2D69DEFD">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7.3 开工</w:t>
      </w:r>
    </w:p>
    <w:p w14:paraId="519C687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7.3.1 开工准备</w:t>
      </w:r>
    </w:p>
    <w:p w14:paraId="7860DE9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关于承包人提交工程开工报审表的期限： </w:t>
      </w:r>
      <w:r>
        <w:rPr>
          <w:rFonts w:hint="eastAsia" w:ascii="仿宋" w:hAnsi="仿宋" w:eastAsia="仿宋" w:cs="仿宋"/>
          <w:color w:val="auto"/>
          <w:sz w:val="24"/>
          <w:highlight w:val="none"/>
          <w:u w:val="single"/>
        </w:rPr>
        <w:t>合同签订后、开工前</w:t>
      </w:r>
      <w:r>
        <w:rPr>
          <w:rFonts w:hint="eastAsia" w:ascii="仿宋" w:hAnsi="仿宋" w:eastAsia="仿宋" w:cs="仿宋"/>
          <w:color w:val="auto"/>
          <w:sz w:val="24"/>
          <w:highlight w:val="none"/>
        </w:rPr>
        <w:t xml:space="preserve"> 。关于发包人应完成的其他开工准备工作及期限：</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 xml:space="preserve"> 。</w:t>
      </w:r>
    </w:p>
    <w:p w14:paraId="37494C7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关于承包人应完成的其他开工准备工作及期限：</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1207F8E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7.3.2 开工通知</w:t>
      </w:r>
    </w:p>
    <w:p w14:paraId="56E4972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因发包人原因造成监理人未能在计划开工日期之日起</w:t>
      </w:r>
      <w:r>
        <w:rPr>
          <w:rFonts w:hint="eastAsia" w:ascii="仿宋" w:hAnsi="仿宋" w:eastAsia="仿宋" w:cs="仿宋"/>
          <w:color w:val="auto"/>
          <w:sz w:val="24"/>
          <w:highlight w:val="none"/>
          <w:u w:val="single"/>
        </w:rPr>
        <w:t xml:space="preserve"> 60 </w:t>
      </w:r>
      <w:r>
        <w:rPr>
          <w:rFonts w:hint="eastAsia" w:ascii="仿宋" w:hAnsi="仿宋" w:eastAsia="仿宋" w:cs="仿宋"/>
          <w:color w:val="auto"/>
          <w:sz w:val="24"/>
          <w:highlight w:val="none"/>
        </w:rPr>
        <w:t>天内发出开工通知的，承包人有权提出价格调整要求，或者解除合同。</w:t>
      </w:r>
    </w:p>
    <w:p w14:paraId="1A886A59">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7.4 测量放线</w:t>
      </w:r>
    </w:p>
    <w:p w14:paraId="7E64995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7.4.1 发包人通过监理人向承包人提供测量基准点、基准线和水准点及其书面资料的期限： </w:t>
      </w:r>
      <w:r>
        <w:rPr>
          <w:rFonts w:hint="eastAsia" w:ascii="仿宋" w:hAnsi="仿宋" w:eastAsia="仿宋" w:cs="仿宋"/>
          <w:color w:val="auto"/>
          <w:sz w:val="24"/>
          <w:highlight w:val="none"/>
          <w:u w:val="single"/>
        </w:rPr>
        <w:t>合同签订后,开工前 15 天</w:t>
      </w:r>
      <w:r>
        <w:rPr>
          <w:rFonts w:hint="eastAsia" w:ascii="仿宋" w:hAnsi="仿宋" w:eastAsia="仿宋" w:cs="仿宋"/>
          <w:color w:val="auto"/>
          <w:sz w:val="24"/>
          <w:highlight w:val="none"/>
        </w:rPr>
        <w:t xml:space="preserve"> 。</w:t>
      </w:r>
    </w:p>
    <w:p w14:paraId="745C9E76">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7.5 工期延误</w:t>
      </w:r>
    </w:p>
    <w:p w14:paraId="203803B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7.5.1 因发包人原因导致工期延误</w:t>
      </w:r>
    </w:p>
    <w:p w14:paraId="1FF2434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（7）因发包人原因导致工期延误的其他情形：</w:t>
      </w:r>
      <w:r>
        <w:rPr>
          <w:rFonts w:hint="eastAsia" w:ascii="仿宋" w:hAnsi="仿宋" w:eastAsia="仿宋" w:cs="仿宋"/>
          <w:color w:val="auto"/>
          <w:sz w:val="24"/>
          <w:highlight w:val="none"/>
          <w:u w:val="single"/>
        </w:rPr>
        <w:t>①重大图纸变更影响关健线路工序施工；②施工期间如因停电、停水连续 8 小时以上或一周内间歇性停水、停电累计 8 小时（含 8 小时）影响正常施工的。③政府指令性停工。④在施工过程中遇 到地下障碍物、溶洞、岩石、文物或地下管线的。⑤因发包人未能及时确认变更价格或甲供材料提供延误的。⑥非承包人的责任造成的工期延误其他情形</w:t>
      </w:r>
      <w:r>
        <w:rPr>
          <w:rFonts w:hint="eastAsia" w:ascii="仿宋" w:hAnsi="仿宋" w:eastAsia="仿宋" w:cs="仿宋"/>
          <w:color w:val="auto"/>
          <w:sz w:val="24"/>
          <w:highlight w:val="none"/>
        </w:rPr>
        <w:t>。</w:t>
      </w:r>
    </w:p>
    <w:p w14:paraId="2C0C4B3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7.5.2 因承包人原因导致工期延误</w:t>
      </w:r>
    </w:p>
    <w:p w14:paraId="6EAF6FC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双方约定经监理工程师确认，工期相应顺延的情况：</w:t>
      </w:r>
      <w:r>
        <w:rPr>
          <w:rFonts w:hint="eastAsia" w:ascii="仿宋" w:hAnsi="仿宋" w:eastAsia="仿宋" w:cs="仿宋"/>
          <w:color w:val="auto"/>
          <w:sz w:val="24"/>
          <w:highlight w:val="none"/>
          <w:u w:val="single"/>
        </w:rPr>
        <w:t xml:space="preserve">双方另行协商  </w:t>
      </w:r>
      <w:r>
        <w:rPr>
          <w:rFonts w:hint="eastAsia" w:ascii="仿宋" w:hAnsi="仿宋" w:eastAsia="仿宋" w:cs="仿宋"/>
          <w:color w:val="auto"/>
          <w:sz w:val="24"/>
          <w:highlight w:val="none"/>
        </w:rPr>
        <w:t>。</w:t>
      </w:r>
    </w:p>
    <w:p w14:paraId="5B60E2F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因承包人原因造成工期延误，逾期竣工违约金的计算方法为：</w:t>
      </w:r>
      <w:r>
        <w:rPr>
          <w:rFonts w:hint="eastAsia" w:ascii="仿宋" w:hAnsi="仿宋" w:eastAsia="仿宋" w:cs="仿宋"/>
          <w:color w:val="auto"/>
          <w:sz w:val="24"/>
          <w:highlight w:val="none"/>
          <w:u w:val="single"/>
        </w:rPr>
        <w:t>按逾期竣工的单项工程罚款，每延误一天,按单项工程应支付给承包人的结算造价的万分之五处罚,罚款直接从结算款中扣除。误期时间从规定竣工日期起直到实际竣工日期的天数（扣除发包人批准顺延的工期）。因承包人原因造成工期延误，逾期竣工违约金的上限：逾期竣工的单项工程结算造价的 1 %</w:t>
      </w:r>
      <w:r>
        <w:rPr>
          <w:rFonts w:hint="eastAsia" w:ascii="仿宋" w:hAnsi="仿宋" w:eastAsia="仿宋" w:cs="仿宋"/>
          <w:color w:val="auto"/>
          <w:sz w:val="24"/>
          <w:highlight w:val="none"/>
        </w:rPr>
        <w:t>。</w:t>
      </w:r>
    </w:p>
    <w:p w14:paraId="2EF0E3BF">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7.6 不利物质条件</w:t>
      </w:r>
    </w:p>
    <w:p w14:paraId="6A5DD61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不利物质条件的其他情形和有关约定：</w:t>
      </w:r>
      <w:r>
        <w:rPr>
          <w:rFonts w:hint="eastAsia" w:ascii="仿宋" w:hAnsi="仿宋" w:eastAsia="仿宋" w:cs="仿宋"/>
          <w:color w:val="auto"/>
          <w:sz w:val="24"/>
          <w:highlight w:val="none"/>
          <w:u w:val="single"/>
        </w:rPr>
        <w:t>恶劣的天气导致无法正常施工、地震等不可抗力；一周内非承包人原因，停水、停电、停气造成停工超过 8 小时；以上不利物质条件延误工期的应相应延长工期，属政府和环境等原因的，双方协商处理</w:t>
      </w:r>
      <w:r>
        <w:rPr>
          <w:rFonts w:hint="eastAsia" w:ascii="仿宋" w:hAnsi="仿宋" w:eastAsia="仿宋" w:cs="仿宋"/>
          <w:color w:val="auto"/>
          <w:sz w:val="24"/>
          <w:highlight w:val="none"/>
        </w:rPr>
        <w:t>。</w:t>
      </w:r>
    </w:p>
    <w:p w14:paraId="2CEA7FE1">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7.7 异常恶劣的气候条件</w:t>
      </w:r>
    </w:p>
    <w:p w14:paraId="3B38A09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发包人和承包人同意以下情形视为异常恶劣的气候条件：</w:t>
      </w:r>
    </w:p>
    <w:p w14:paraId="0674E5F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u w:val="single"/>
        </w:rPr>
        <w:t xml:space="preserve">   大风（指风力大于八级以上）             </w:t>
      </w:r>
      <w:r>
        <w:rPr>
          <w:rFonts w:hint="eastAsia" w:ascii="仿宋" w:hAnsi="仿宋" w:eastAsia="仿宋" w:cs="仿宋"/>
          <w:color w:val="auto"/>
          <w:sz w:val="24"/>
          <w:highlight w:val="none"/>
        </w:rPr>
        <w:t>；</w:t>
      </w:r>
    </w:p>
    <w:p w14:paraId="4DA7284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大雨（指日降水量超过 175MM）           </w:t>
      </w:r>
      <w:r>
        <w:rPr>
          <w:rFonts w:hint="eastAsia" w:ascii="仿宋" w:hAnsi="仿宋" w:eastAsia="仿宋" w:cs="仿宋"/>
          <w:color w:val="auto"/>
          <w:sz w:val="24"/>
          <w:highlight w:val="none"/>
        </w:rPr>
        <w:t>；</w:t>
      </w:r>
    </w:p>
    <w:p w14:paraId="20C0BC5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u w:val="single"/>
        </w:rPr>
        <w:t xml:space="preserve">  其他双方另行确定                        </w:t>
      </w:r>
      <w:r>
        <w:rPr>
          <w:rFonts w:hint="eastAsia" w:ascii="仿宋" w:hAnsi="仿宋" w:eastAsia="仿宋" w:cs="仿宋"/>
          <w:color w:val="auto"/>
          <w:sz w:val="24"/>
          <w:highlight w:val="none"/>
        </w:rPr>
        <w:t>。</w:t>
      </w:r>
    </w:p>
    <w:p w14:paraId="1D06A802">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7.9 提前竣工</w:t>
      </w:r>
    </w:p>
    <w:p w14:paraId="23680A0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7.9.2 提前竣工（赶工）增加费的计算方法：</w:t>
      </w:r>
      <w:r>
        <w:rPr>
          <w:rFonts w:hint="eastAsia" w:ascii="仿宋" w:hAnsi="仿宋" w:eastAsia="仿宋" w:cs="仿宋"/>
          <w:color w:val="auto"/>
          <w:sz w:val="24"/>
          <w:highlight w:val="none"/>
          <w:u w:val="single"/>
        </w:rPr>
        <w:t xml:space="preserve">   无   </w:t>
      </w:r>
      <w:r>
        <w:rPr>
          <w:rFonts w:hint="eastAsia" w:ascii="仿宋" w:hAnsi="仿宋" w:eastAsia="仿宋" w:cs="仿宋"/>
          <w:color w:val="auto"/>
          <w:sz w:val="24"/>
          <w:highlight w:val="none"/>
        </w:rPr>
        <w:t>。</w:t>
      </w:r>
    </w:p>
    <w:p w14:paraId="69548175">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8. 材料与设备</w:t>
      </w:r>
    </w:p>
    <w:p w14:paraId="69F74F13">
      <w:pPr>
        <w:snapToGrid w:val="0"/>
        <w:spacing w:before="120"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8.2 承包人采购材料与工程设备</w:t>
      </w:r>
    </w:p>
    <w:p w14:paraId="4FA1897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除已标价工程量清单《发包人提供主要材料和工程设备一览表》（表 -21）中明 确的材料、工程设备外，由承包人负责材料和工程设备的采购、运输和保管。</w:t>
      </w:r>
    </w:p>
    <w:p w14:paraId="03241E0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对发包人在招标时有“参照或相当于**品牌、级别”约定的材料或设备，承包 人采购时必须按类似于或优于所约定品牌、等级进行采购，施工期间该部分材料或 设备如未超过招标约定的风险幅度的，结算时按投标单价支付，不得调整。</w:t>
      </w:r>
    </w:p>
    <w:p w14:paraId="1BA002E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禁止使用松木、松木包装材料设备、种子、苗木、花卉及繁殖材料。</w:t>
      </w:r>
    </w:p>
    <w:p w14:paraId="649C1908">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8.4 材料与工程设备的保管与使用</w:t>
      </w:r>
    </w:p>
    <w:p w14:paraId="537932D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8.4.1 发包人供应的材料设备的保管费用的承担：</w:t>
      </w:r>
      <w:r>
        <w:rPr>
          <w:rFonts w:hint="eastAsia" w:ascii="仿宋" w:hAnsi="仿宋" w:eastAsia="仿宋" w:cs="仿宋"/>
          <w:color w:val="auto"/>
          <w:sz w:val="24"/>
          <w:highlight w:val="none"/>
          <w:u w:val="single"/>
        </w:rPr>
        <w:t xml:space="preserve"> 由发包人承担 </w:t>
      </w:r>
      <w:r>
        <w:rPr>
          <w:rFonts w:hint="eastAsia" w:ascii="仿宋" w:hAnsi="仿宋" w:eastAsia="仿宋" w:cs="仿宋"/>
          <w:color w:val="auto"/>
          <w:sz w:val="24"/>
          <w:highlight w:val="none"/>
        </w:rPr>
        <w:t>。</w:t>
      </w:r>
    </w:p>
    <w:p w14:paraId="6B9FD092">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8.6 样品</w:t>
      </w:r>
    </w:p>
    <w:p w14:paraId="6D115DE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8.6.1 样品的报送与封存</w:t>
      </w:r>
    </w:p>
    <w:p w14:paraId="4E4C8AA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需要承包人报送样品的材料或工程设备，样品的种类、名称、规格、数量要求：</w:t>
      </w:r>
      <w:r>
        <w:rPr>
          <w:rFonts w:hint="eastAsia" w:ascii="仿宋" w:hAnsi="仿宋" w:eastAsia="仿宋" w:cs="仿宋"/>
          <w:color w:val="auto"/>
          <w:sz w:val="24"/>
          <w:highlight w:val="none"/>
          <w:u w:val="single"/>
        </w:rPr>
        <w:t xml:space="preserve"> 主要材料涉及品种、款式、颜色等方面内容的，承包人应提交准备合格的材料样品送发包人选定</w:t>
      </w:r>
      <w:r>
        <w:rPr>
          <w:rFonts w:hint="eastAsia" w:ascii="仿宋" w:hAnsi="仿宋" w:eastAsia="仿宋" w:cs="仿宋"/>
          <w:color w:val="auto"/>
          <w:sz w:val="24"/>
          <w:highlight w:val="none"/>
        </w:rPr>
        <w:t>。</w:t>
      </w:r>
    </w:p>
    <w:p w14:paraId="696F64B5">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8.8 施工设备和临时设施</w:t>
      </w:r>
    </w:p>
    <w:p w14:paraId="7177574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8.8.1 承包人提供的施工设备和临时设施</w:t>
      </w:r>
    </w:p>
    <w:p w14:paraId="0A5B613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除专用合同条款另有约定的其他独立承包人和监理人指示的他人提供条件外， 承包人运入施工场地的所有施工设备以及在施工场地建设的临时设施仅限于用于合同工程。承包人用于本工程的主要机械设备清 单见合同附件 4。</w:t>
      </w:r>
    </w:p>
    <w:p w14:paraId="6EAD0D2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关于修建临时设施费用承担的约定： </w:t>
      </w:r>
      <w:r>
        <w:rPr>
          <w:rFonts w:hint="eastAsia" w:ascii="仿宋" w:hAnsi="仿宋" w:eastAsia="仿宋" w:cs="仿宋"/>
          <w:color w:val="auto"/>
          <w:sz w:val="24"/>
          <w:highlight w:val="none"/>
          <w:u w:val="single"/>
        </w:rPr>
        <w:t>承包人自行承担修建临时设施产生的所有费用，费用已包含在本次投标报价中</w:t>
      </w:r>
      <w:r>
        <w:rPr>
          <w:rFonts w:hint="eastAsia" w:ascii="仿宋" w:hAnsi="仿宋" w:eastAsia="仿宋" w:cs="仿宋"/>
          <w:color w:val="auto"/>
          <w:sz w:val="24"/>
          <w:highlight w:val="none"/>
        </w:rPr>
        <w:t>。</w:t>
      </w:r>
    </w:p>
    <w:p w14:paraId="7FDFC99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8.8.2 发包人提供的施工设备和临时设施发包人提供的施工设备和临时设施：</w:t>
      </w:r>
      <w:r>
        <w:rPr>
          <w:rFonts w:hint="eastAsia" w:ascii="仿宋" w:hAnsi="仿宋" w:eastAsia="仿宋" w:cs="仿宋"/>
          <w:color w:val="auto"/>
          <w:sz w:val="24"/>
          <w:highlight w:val="none"/>
          <w:u w:val="single"/>
        </w:rPr>
        <w:t xml:space="preserve"> 发包人提供的施工设备和临时设施的运行、维护、拆除、清运等费用由承包人承担</w:t>
      </w:r>
      <w:r>
        <w:rPr>
          <w:rFonts w:hint="eastAsia" w:ascii="仿宋" w:hAnsi="仿宋" w:eastAsia="仿宋" w:cs="仿宋"/>
          <w:color w:val="auto"/>
          <w:sz w:val="24"/>
          <w:highlight w:val="none"/>
        </w:rPr>
        <w:t xml:space="preserve"> 。</w:t>
      </w:r>
    </w:p>
    <w:p w14:paraId="4745C06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发包人提供的施工设备和临时设施的运行、维护、拆除、清运费用的承担人：</w:t>
      </w:r>
      <w:r>
        <w:rPr>
          <w:rFonts w:hint="eastAsia" w:ascii="仿宋" w:hAnsi="仿宋" w:eastAsia="仿宋" w:cs="仿宋"/>
          <w:color w:val="auto"/>
          <w:sz w:val="24"/>
          <w:highlight w:val="none"/>
          <w:u w:val="single"/>
        </w:rPr>
        <w:t xml:space="preserve"> 发包人 </w:t>
      </w:r>
      <w:r>
        <w:rPr>
          <w:rFonts w:hint="eastAsia" w:ascii="仿宋" w:hAnsi="仿宋" w:eastAsia="仿宋" w:cs="仿宋"/>
          <w:color w:val="auto"/>
          <w:sz w:val="24"/>
          <w:highlight w:val="none"/>
        </w:rPr>
        <w:t>。</w:t>
      </w:r>
    </w:p>
    <w:p w14:paraId="59F431AC">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9. 试验与检验</w:t>
      </w:r>
    </w:p>
    <w:p w14:paraId="08227B0A">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9.1 试验设备与试验人员</w:t>
      </w:r>
    </w:p>
    <w:p w14:paraId="2DD6E32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9.1.2 试验设备</w:t>
      </w:r>
    </w:p>
    <w:p w14:paraId="27D55C0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施工现场需要配置的试验场所：</w:t>
      </w:r>
      <w:r>
        <w:rPr>
          <w:rFonts w:hint="eastAsia" w:ascii="仿宋" w:hAnsi="仿宋" w:eastAsia="仿宋" w:cs="仿宋"/>
          <w:color w:val="auto"/>
          <w:sz w:val="24"/>
          <w:highlight w:val="none"/>
          <w:u w:val="single"/>
        </w:rPr>
        <w:t xml:space="preserve">  按有关规定执行 </w:t>
      </w:r>
      <w:r>
        <w:rPr>
          <w:rFonts w:hint="eastAsia" w:ascii="仿宋" w:hAnsi="仿宋" w:eastAsia="仿宋" w:cs="仿宋"/>
          <w:color w:val="auto"/>
          <w:sz w:val="24"/>
          <w:highlight w:val="none"/>
        </w:rPr>
        <w:t xml:space="preserve"> 。 施工现场需要配备的试验设备：  按有关规定执行  。施工现场需要具备的其他试验条件： </w:t>
      </w:r>
      <w:r>
        <w:rPr>
          <w:rFonts w:hint="eastAsia" w:ascii="仿宋" w:hAnsi="仿宋" w:eastAsia="仿宋" w:cs="仿宋"/>
          <w:color w:val="auto"/>
          <w:sz w:val="24"/>
          <w:highlight w:val="none"/>
          <w:u w:val="single"/>
        </w:rPr>
        <w:t>根据项目施工实际情况需要另行约定</w:t>
      </w:r>
      <w:r>
        <w:rPr>
          <w:rFonts w:hint="eastAsia" w:ascii="仿宋" w:hAnsi="仿宋" w:eastAsia="仿宋" w:cs="仿宋"/>
          <w:color w:val="auto"/>
          <w:sz w:val="24"/>
          <w:highlight w:val="none"/>
        </w:rPr>
        <w:t xml:space="preserve"> 。</w:t>
      </w:r>
    </w:p>
    <w:p w14:paraId="3F388B54">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9.4 现场工艺试验</w:t>
      </w:r>
    </w:p>
    <w:p w14:paraId="7745E8F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现场工艺试验的有关约定：</w:t>
      </w:r>
      <w:r>
        <w:rPr>
          <w:rFonts w:hint="eastAsia" w:ascii="仿宋" w:hAnsi="仿宋" w:eastAsia="仿宋" w:cs="仿宋"/>
          <w:color w:val="auto"/>
          <w:sz w:val="24"/>
          <w:highlight w:val="none"/>
          <w:u w:val="single"/>
        </w:rPr>
        <w:t xml:space="preserve"> 根据项目施工实际情况需要另行约定 </w:t>
      </w:r>
      <w:r>
        <w:rPr>
          <w:rFonts w:hint="eastAsia" w:ascii="仿宋" w:hAnsi="仿宋" w:eastAsia="仿宋" w:cs="仿宋"/>
          <w:color w:val="auto"/>
          <w:sz w:val="24"/>
          <w:highlight w:val="none"/>
        </w:rPr>
        <w:t xml:space="preserve"> 。</w:t>
      </w:r>
    </w:p>
    <w:p w14:paraId="5007F2B9">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9.5 检验费用</w:t>
      </w:r>
    </w:p>
    <w:p w14:paraId="5BF781B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根据《建设工程质量检测管理办法》（建设部令第 141 号）以及《广西壮族自治区建设工程质量检测管理规定》（桂建管〔2013〕11 号）规定，工程质量检测业务由发包人委托有相应资质的检测机构检测。费用从发包人的项目建设经费中支出并直接支付给检测机构，不计入合同价款内。</w:t>
      </w:r>
    </w:p>
    <w:p w14:paraId="41373F03">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10. 变更</w:t>
      </w:r>
    </w:p>
    <w:p w14:paraId="7F793C83">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10.1 变更的范围</w:t>
      </w:r>
    </w:p>
    <w:p w14:paraId="6913796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关于变更的范围的约定：</w:t>
      </w:r>
      <w:r>
        <w:rPr>
          <w:rFonts w:hint="eastAsia" w:ascii="仿宋" w:hAnsi="仿宋" w:eastAsia="仿宋" w:cs="仿宋"/>
          <w:color w:val="auto"/>
          <w:sz w:val="24"/>
          <w:highlight w:val="none"/>
          <w:u w:val="single"/>
        </w:rPr>
        <w:t>①合同中有相同或类似工程项目单价的，可以参照合同中相同或类似项目的综合单价计算确定。②合同中没有类似工程项目综合单价的，由承包人根据合同中约定的组价原则或参考“计价依据”提出适当的单价，经发包人、监理人及承包人协商确定变更后的单价或合价，暂定为进度款付款的依据，最终单价以结算审计审核为准；③由于清单项目中项目特征或工程内容发生部分变更的，应以原综合单价为基础，仅就变更部分相应定额子目调整综合单价。以上重新组价的综合单价不能高于按自治区及百色、钦州、柳州、贺州现行工程造价计价规则和计价依据规定计算的价格，并按中标时审定预算价和中标价间的下浮幅度下浮</w:t>
      </w:r>
      <w:r>
        <w:rPr>
          <w:rFonts w:hint="eastAsia" w:ascii="仿宋" w:hAnsi="仿宋" w:eastAsia="仿宋" w:cs="仿宋"/>
          <w:color w:val="auto"/>
          <w:sz w:val="24"/>
          <w:highlight w:val="none"/>
        </w:rPr>
        <w:t>。</w:t>
      </w:r>
    </w:p>
    <w:p w14:paraId="2B256286">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10.3 变更程序</w:t>
      </w:r>
    </w:p>
    <w:p w14:paraId="54417D0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10.3.1 国有投资项目：</w:t>
      </w:r>
    </w:p>
    <w:p w14:paraId="6F675BC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（1）设计变更和工程签证，按各市政府或相关部门的规定办理。属不可抗力（自</w:t>
      </w:r>
    </w:p>
    <w:p w14:paraId="6B38A50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然灾害、突发事件等）造成变更的，按特事特办原则予以办理。</w:t>
      </w:r>
    </w:p>
    <w:p w14:paraId="771FDF2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（2）建设单位在实施项目过程中，若发生单价变动，由发包人、承包人、监理或造价咨询等单位共同商定并签字确认。</w:t>
      </w:r>
    </w:p>
    <w:p w14:paraId="1CC18EE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（3）当合同规定的合同价款调整情况发生后，承包人未在规定时间内通知发包 人，或者未在规定时间内提出调整报告，发包人可以根据有关资料，决定是否调整和调整的金额，并书面通知承包人。</w:t>
      </w:r>
    </w:p>
    <w:p w14:paraId="4893E76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10.3.2 非国有投资项目：</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6D20DF5C">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10.4 变更估价</w:t>
      </w:r>
    </w:p>
    <w:p w14:paraId="2125CC2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10.4.1 变更估价原则：因变更引起的价格调整按照本专用条款</w:t>
      </w:r>
    </w:p>
    <w:p w14:paraId="4216A8A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11.2 款约定处理。</w:t>
      </w:r>
    </w:p>
    <w:p w14:paraId="7A50BB06">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10.5 承包人的合理化建议</w:t>
      </w:r>
    </w:p>
    <w:p w14:paraId="0623C36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监理人审查承包人合理化建议的期限：</w:t>
      </w:r>
      <w:r>
        <w:rPr>
          <w:rFonts w:hint="eastAsia" w:ascii="仿宋" w:hAnsi="仿宋" w:eastAsia="仿宋" w:cs="仿宋"/>
          <w:color w:val="auto"/>
          <w:sz w:val="24"/>
          <w:highlight w:val="none"/>
          <w:u w:val="single"/>
        </w:rPr>
        <w:t xml:space="preserve"> 7 天</w:t>
      </w:r>
      <w:r>
        <w:rPr>
          <w:rFonts w:hint="eastAsia" w:ascii="仿宋" w:hAnsi="仿宋" w:eastAsia="仿宋" w:cs="仿宋"/>
          <w:color w:val="auto"/>
          <w:sz w:val="24"/>
          <w:highlight w:val="none"/>
        </w:rPr>
        <w:t xml:space="preserve"> 。 发包人审批承包人合理化建议的期限： 7 天 。</w:t>
      </w:r>
    </w:p>
    <w:p w14:paraId="250C016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承包人提出的合理化建议降低了合同价格或者提高了工程经济效益的奖励的方法和金额为：    无    。</w:t>
      </w:r>
    </w:p>
    <w:p w14:paraId="589E0AEE">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10.7 暂估价</w:t>
      </w:r>
    </w:p>
    <w:p w14:paraId="42162FB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暂估价材料和工程设备的明细详见已标价工程量清单《材料（工程设备）暂估价格及调整表》（表 12-2）和《专业工程暂估价表》（表12-3）。</w:t>
      </w:r>
    </w:p>
    <w:p w14:paraId="6832595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10.7.1 依法必须招标的暂估价项目</w:t>
      </w:r>
    </w:p>
    <w:p w14:paraId="6E9A968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对于依法必须招标的暂估价项目的确认和批准采取以下方式确定：</w:t>
      </w:r>
    </w:p>
    <w:p w14:paraId="3B8E9CA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（1）承包人应当根据施工进度计划，在招标工作启动前 14 天将招标方案通过 监理人报送发包人审查，发包人应当在收到承包人报送的招标方案后 7 天内批准或提出修改意见。承包人应当按照经过发包人批准的招 标方案开展招标工作；</w:t>
      </w:r>
    </w:p>
    <w:p w14:paraId="691C8F3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（2）承包人应当根据施工进度计划，提前 14 天将招标文件通过监理人报送发包人审批，发包人应当在收到承包人报送的相关文件后 7 天内完成审批或提出修改 意见；发包人有权确定招标控制价并按照法律规定参加评标；</w:t>
      </w:r>
    </w:p>
    <w:p w14:paraId="07AEA43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（3）承包人与供应商、分包人在签订暂估价合同前，应当提前 7 天将确定的 中标候选供应商或中标候选分包人的资料报送发包人，发包人应在收到资料后 3</w:t>
      </w:r>
    </w:p>
    <w:p w14:paraId="51DFBD0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天内与承包人共同确定中标人；承包人应当在签订合同后 7 天内，将暂估价合同副本报送发包人留存。</w:t>
      </w:r>
    </w:p>
    <w:p w14:paraId="0F62D17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10.7.2 不属于依法必须招标的暂估价项目</w:t>
      </w:r>
    </w:p>
    <w:p w14:paraId="5D099C1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对于不属于依法必须招标的暂估价项目的确认和批准采取第以下方式确定：</w:t>
      </w:r>
    </w:p>
    <w:p w14:paraId="54B6E9F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（1）承包人应根据施工进度计划，在签订暂估价项目的采购合同、分包合同前</w:t>
      </w:r>
    </w:p>
    <w:p w14:paraId="083B668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28 天向监理人提出书面申请。监理人应当在收到申请后 3 天 内报送发包人，发包人应当在收到申请后 14 天内给予批准或提出修改意见，发包人逾期未予批准或提出修改意见的，视为该书面申请已获得同意；</w:t>
      </w:r>
    </w:p>
    <w:p w14:paraId="69D8234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（2）发包人认为承包人确定的供应商、分包人无法满足工程质量或合同要求的， 发包人可以要求承包人重新确定暂估价项目的供应商、分包人;</w:t>
      </w:r>
    </w:p>
    <w:p w14:paraId="23CF22E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（3）承包人应当在签订暂估价合同后 7 天内，将暂估价合同副本报送发包人留存。</w:t>
      </w:r>
    </w:p>
    <w:p w14:paraId="5C7AE144">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10.8 暂列金额</w:t>
      </w:r>
    </w:p>
    <w:p w14:paraId="7120D66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合同当事人关于暂列金额使用的约定：</w:t>
      </w:r>
      <w:r>
        <w:rPr>
          <w:rFonts w:hint="eastAsia" w:ascii="仿宋" w:hAnsi="仿宋" w:eastAsia="仿宋" w:cs="仿宋"/>
          <w:color w:val="auto"/>
          <w:sz w:val="24"/>
          <w:highlight w:val="none"/>
          <w:u w:val="single"/>
        </w:rPr>
        <w:t>暂列金额只能按照监理人的指示使用，</w:t>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 xml:space="preserve"> </w:t>
      </w:r>
    </w:p>
    <w:p w14:paraId="13CD179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结算时减去工程价款调整与索赔、现场签证金额计算，如有余额归发包人，如出现差额则由发包人补足并反映在相应的价款中。暂列金不计入工程款付款的基数。</w:t>
      </w:r>
    </w:p>
    <w:p w14:paraId="3E0DBE5D">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11. 价格调整</w:t>
      </w:r>
    </w:p>
    <w:p w14:paraId="304CC177">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11.1 市场价格波动引起的调整</w:t>
      </w:r>
    </w:p>
    <w:p w14:paraId="0BA6B73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取消通用条款内容，以下文取代：</w:t>
      </w:r>
    </w:p>
    <w:p w14:paraId="15D0842B">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11.1 法律变化引起的调整</w:t>
      </w:r>
    </w:p>
    <w:p w14:paraId="7B6B136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11.1.1 招标工程以投标截止日前 28 天，非招标工程以合同签订前 28 天为基准日，基准日期后因法律、法规、规章和政策变化（此类 变化主要反应在规费、增值税上）时，按省级或行业建设主管部门或其授权的工程造价管理机构据此发布的规定调整合同价款。增加时，由发包人承担由此增加的费用；减少时，应从合同价格中予以扣减。基准日期后，因法律变化造成工期延误时，工期应予以顺延。</w:t>
      </w:r>
    </w:p>
    <w:p w14:paraId="55D42F9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因法律变化引起的合同价格和工期调整，合同当事人无法达成一致的，由总监 理工程师按第 4.4 款〔商定或确定〕的约定处理。</w:t>
      </w:r>
    </w:p>
    <w:p w14:paraId="483246F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因承包人原因造成工期延误，在工期延误期间出现法律变化的，由此增加的费用和（或）延误的工期由承包人承担。</w:t>
      </w:r>
    </w:p>
    <w:p w14:paraId="4BD9316B">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11.2 工程变更、项目特征不符、工程量清单缺项、工程量偏差引起的调整</w:t>
      </w:r>
    </w:p>
    <w:p w14:paraId="6649BED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11.2.1 由于工程变更、工程量偏差导致该清单项目的工程数量发生变化时，按已标价工程量清单或预算书相同项目单价计价，并应考虑对物价变化和总价措施项目、规费和增值税的影响。</w:t>
      </w:r>
    </w:p>
    <w:p w14:paraId="362B50A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11.2.2 由于工程变更、项目特征不符、工程量清单缺项导致的新增清单项目，由承包人根据工程资料、计量规则和计价方法、工程造价管理机构发布的信息价格和承包人报价浮动率提出变更工程项目的单价，并应报发包人确认后调整。承包人报价浮动率可按下列公式计算：</w:t>
      </w:r>
    </w:p>
    <w:p w14:paraId="36C26EB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承包人报价浮动率 L＝（1-中标价/招标控制价）×100%</w:t>
      </w:r>
    </w:p>
    <w:p w14:paraId="5C1D231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公式中“中标价”、“招标控制价”、“报价”、“施工图预算”均应不含暂列金额、 材料和工程设备暂估价、专业工程暂估价和建安劳保费。</w:t>
      </w:r>
    </w:p>
    <w:p w14:paraId="64D8ECD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招标工程计价方法为招标时公布的招标控制价的计算方法。工程量清单缺项导致的新增清单项目按以下方法和规则编制：</w:t>
      </w:r>
    </w:p>
    <w:p w14:paraId="7102139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（1）国家计价规范《建设工程工程量清单计价规范》（GB50500-2013）及其广西壮族自治区实施细则；</w:t>
      </w:r>
    </w:p>
    <w:p w14:paraId="77B6B03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（2）国家计量规范《建设工程工程量计算规范》</w:t>
      </w:r>
      <w:bookmarkStart w:id="160" w:name="_GoBack"/>
      <w:bookmarkEnd w:id="160"/>
      <w:r>
        <w:rPr>
          <w:rFonts w:hint="eastAsia" w:ascii="仿宋" w:hAnsi="仿宋" w:eastAsia="仿宋" w:cs="仿宋"/>
          <w:color w:val="auto"/>
          <w:sz w:val="24"/>
          <w:highlight w:val="none"/>
        </w:rPr>
        <w:t>（GB5085～450862-2013）及其广西壮族自治区实施细则（修订本）；</w:t>
      </w:r>
    </w:p>
    <w:p w14:paraId="369333E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自治区建设主管部门颁发的相关定额及计价规定：2013年《广西壮族自治区建筑装饰装修工程消耗量定额》及配套费用定额；2015年《广西壮族自治区安装工程消耗量定额》及配套费用定额；2022年《广西壮族自治区市政工程消耗量定额》及配套费用定额；2016年《广西壮族自治区建设工程费用定额》及现行的定额和标准；</w:t>
      </w:r>
    </w:p>
    <w:p w14:paraId="483A08F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（4）《自治区住房城乡建设厅关于调整建设工程计价增值税税率的通知》（桂建标〔2019〕12号）；</w:t>
      </w:r>
    </w:p>
    <w:p w14:paraId="7577D25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（5）《自治区住房城乡建设厅关于调整建设工程定额人工费及有关费率的通知》（桂建标〔2023〕7号）；</w:t>
      </w:r>
    </w:p>
    <w:p w14:paraId="10CD13D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（6）广西壮族自治区住房和城乡建设厅《关于印发广西壮族自治区房屋建筑和市政基础设施工程安全生产责任保险计价规定的通知》（桂建发〔2023〕6号）；</w:t>
      </w:r>
    </w:p>
    <w:p w14:paraId="267E2C6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（7）广西壮族自治区林业局审批《关于广西壮族自治区直属重点国有林区森林火灾高风险区综合治理项目初步设计的批复》（桂林财发〔2025〕76号）；</w:t>
      </w:r>
    </w:p>
    <w:p w14:paraId="5179CEA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（8）本项目施工图纸（2025年10月）、岩土工程勘察及相关资料；</w:t>
      </w:r>
    </w:p>
    <w:p w14:paraId="48F9735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（9）与建设工程有关的标准、规范、技术资料；</w:t>
      </w:r>
    </w:p>
    <w:p w14:paraId="4EE668E1">
      <w:pPr>
        <w:snapToGrid w:val="0"/>
        <w:spacing w:before="120"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10）材料价格参考《百色市建设工程造价信息》、《贺州市建设工程造价信息》、《柳州市建设工程造价信息》、《钦州市建设工程造价信息》2025年第10期的“除税价格”，工程造价信息中没有的材料参考市场询价除税计算；</w:t>
      </w:r>
    </w:p>
    <w:p w14:paraId="04899B62">
      <w:pPr>
        <w:snapToGrid w:val="0"/>
        <w:spacing w:before="120" w:line="360" w:lineRule="auto"/>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（11）《财政投资评审管理规定》（财建〔2009〕648号）、《财政投资评审质量控制办法(试行)》（财建〔2005〕1065号）、《广西壮族自治区财政投资项目评审操作规程》（桂财办〔2018〕107号）</w:t>
      </w:r>
    </w:p>
    <w:p w14:paraId="24CBDEC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）其他现行计价文件；</w:t>
      </w:r>
    </w:p>
    <w:p w14:paraId="3C2E34E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）其他约定：</w:t>
      </w:r>
    </w:p>
    <w:p w14:paraId="53B0A67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 分部分项工程项目和单价措施项目清单中的材料单价按《百色市建设工程造价信息》、《钦州市建设工程造价信息》、《柳州市建设工程造价信息》、《贺州市建设工程造价信息》基期相应编码的市场材料单价（或信息价格平均价格）计取，没有刊登的根据市场调查确定；管理费和利润按《广西建设工程费用定额》中费率区间的</w:t>
      </w:r>
      <w:r>
        <w:rPr>
          <w:rFonts w:hint="eastAsia" w:ascii="仿宋" w:hAnsi="仿宋" w:eastAsia="仿宋" w:cs="仿宋"/>
          <w:color w:val="auto"/>
          <w:sz w:val="24"/>
          <w:highlight w:val="none"/>
          <w:u w:val="single"/>
        </w:rPr>
        <w:t xml:space="preserve"> 中 </w:t>
      </w:r>
      <w:r>
        <w:rPr>
          <w:rFonts w:hint="eastAsia" w:ascii="仿宋" w:hAnsi="仿宋" w:eastAsia="仿宋" w:cs="仿宋"/>
          <w:color w:val="auto"/>
          <w:sz w:val="24"/>
          <w:highlight w:val="none"/>
        </w:rPr>
        <w:t>值计算；招标文件提供了暂估单价的材料，按暂估的单价计入综合单价；</w:t>
      </w:r>
    </w:p>
    <w:p w14:paraId="3AEED23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总价措施项目清单计价根据本工程招标文件和常规施工方案及《广西建设工程费用定额》规定计算，凡有费率区间选择的均费率区间的</w:t>
      </w:r>
      <w:r>
        <w:rPr>
          <w:rFonts w:hint="eastAsia" w:ascii="仿宋" w:hAnsi="仿宋" w:eastAsia="仿宋" w:cs="仿宋"/>
          <w:color w:val="auto"/>
          <w:sz w:val="24"/>
          <w:highlight w:val="none"/>
          <w:u w:val="single"/>
        </w:rPr>
        <w:t xml:space="preserve"> 中 </w:t>
      </w:r>
      <w:r>
        <w:rPr>
          <w:rFonts w:hint="eastAsia" w:ascii="仿宋" w:hAnsi="仿宋" w:eastAsia="仿宋" w:cs="仿宋"/>
          <w:color w:val="auto"/>
          <w:sz w:val="24"/>
          <w:highlight w:val="none"/>
        </w:rPr>
        <w:t>值计算。</w:t>
      </w:r>
    </w:p>
    <w:p w14:paraId="7703372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 计日工价格按当地造价管理机构发布的工程造价信息中的信息价乘以综合费率计算；工程造价信息未发布的，按市场调查确定的单价计算；综合费率按自治区计价定额有关规定计算；总承包服务费按照 自治区建设主管部门的计价定额及有关 规定计算；</w:t>
      </w:r>
    </w:p>
    <w:p w14:paraId="5168F08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 税前项目直接通过百色、钦州、柳州、贺州地区工程造价管理机构《造价信息》上发布的税前项目价计算，《造价价信息》上没有刊登的根据市场调查确定；</w:t>
      </w:r>
    </w:p>
    <w:p w14:paraId="41E1090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 规费和增值税按国家、自治区建设主管部门或税务主管部门的规定计算。</w:t>
      </w:r>
    </w:p>
    <w:p w14:paraId="7124D13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11.2.3 由于工程变更、工程量偏差导致任一招标工程量清单项目增加时，增加部分的工程量的综合单价以原投标综合单价（考虑物价变化）和按 11.2.2 款规定计算的较低的价格确定该清单综合单价。</w:t>
      </w:r>
    </w:p>
    <w:p w14:paraId="2C7A621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11.2.4 由于工程变更、工程量偏差导致任一招标工程量清单项目减少时，其减少后剩余部分的工程量的综合单价以原投标综合单价（考虑物价变化）和按11.2.2 款规定计算的较高的价格确定该清单综合单价。</w:t>
      </w:r>
    </w:p>
    <w:p w14:paraId="6E1156E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11.2.5 由于工程变更、工程量清单缺项、工程量偏差引起合同约 定工程量增减的，其相应项目清单发、承包人提供的主要材料、工程设备数量应相应调整，调整数量应报发包人核对。发承包双方对材料数量有争议达不成一致的，应按照相关工程的计价定额同类项目规定 的材料消耗量计算。</w:t>
      </w:r>
    </w:p>
    <w:p w14:paraId="2A40D51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11.2.6 由于工程变更、项目特征不符、工程量清单缺项、工程量偏差引起合同价款的调整造成总价措施项目、规费、增值税项目计算基础变化的，应予调整总价措施项目、规费、增值税项目费用。</w:t>
      </w:r>
    </w:p>
    <w:p w14:paraId="143C5556">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11.3 计日工引起的调整</w:t>
      </w:r>
    </w:p>
    <w:p w14:paraId="69A286A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计日工应根据按本合同通用条款 10.9款规定核实的工程数量和承 包人已标价工程量清单中的计日工单价计算计日工金额，调整合同价款。</w:t>
      </w:r>
    </w:p>
    <w:p w14:paraId="1B13A5C8">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11.4 物价变化引起的调整</w:t>
      </w:r>
    </w:p>
    <w:p w14:paraId="5BCBB49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合同履 行期间，因人 工、材料、工程设备、机械台班 价格波动影响合同价款 时，采用以下第 2 种方式对合同价格进行调整：</w:t>
      </w:r>
    </w:p>
    <w:p w14:paraId="30DBAA8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第 1 种方式：采用价格指数进行价格调整。</w:t>
      </w:r>
    </w:p>
    <w:p w14:paraId="762A7E5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  价格调整公式</w:t>
      </w:r>
    </w:p>
    <w:p w14:paraId="573DECB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因人工、材料、工程设备、机械等价格波动影响合同价格时，根据专用合同条 款中约定的数据，按以下公式计算差额并调整合同价格：△P＝P0[A＋（B1×Ft1/F o1＋B2×Ft2/Fo2＋B3×Ft3/Fo3…… +Bn×Ftn/Fon）-1] 公式中：ΔP——需调整 的价格差额；</w:t>
      </w:r>
    </w:p>
    <w:p w14:paraId="7DAF980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P0——约定的付款证书中承包人应得到的已完成工程量的金额。 此项金额应不包括价格调整、不计质量保证金的扣留和支付、预付款 的支付和扣回。约定的变更 及其他金额已按现行价格计价的，也不计 在内；</w:t>
      </w:r>
    </w:p>
    <w:p w14:paraId="5468131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A——定值权重（即不调部分的权重），暂估材料和工程设备应列入定值因子中；</w:t>
      </w:r>
    </w:p>
    <w:p w14:paraId="37B05AC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B1；B2；B3……Bn——各可调因子的变值权重（即可调部分的权重），为各可调因子在签约合同价中所占的比例，变值因子中应包含人工、机械台班、由政府定价或政府指导价管理的原材料及由承包人提供的主要材料和工程设备、税前项目；</w:t>
      </w:r>
    </w:p>
    <w:p w14:paraId="03984C5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Ft1；Ft2；Ft3……Ftn——各可调因子的现行价格指数，指约定的付款证书相</w:t>
      </w:r>
    </w:p>
    <w:p w14:paraId="04B514E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关周期最后一天的前 42 天的各可调因子的价格指数；</w:t>
      </w:r>
    </w:p>
    <w:p w14:paraId="31EF81F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Fo1；Fo2；Fo3……Fon——各可调因子的基本价格指数，指基准日期的各可调因子的价格指数。</w:t>
      </w:r>
    </w:p>
    <w:p w14:paraId="4C5A96D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以上价格调整公式中的各可调 因子、定值和变值权重，以及基本 价格指数及其来源在已标价的工程量清单《承包人提供的主要材料和 工程设备一览表（适用于 价格指数差额调整法）》中约定，非招标订立 的合同，由合同当事人在专用合同条 款中约定。价格指数应首先采用工程造价管理机构发布的价格指数，无前述价格指 数时，可采用工程 造价管理机构发布的价格代替。工程造价管理部门既无相应材料 和工程设备的价格指数，其相应材料和工程设备的价格也缺项的，由发包人和承包 人共同市场询价确定。招标期基本价格指数按招标人提供的招标文件确定，施工期 价格指数按工程造价管理部门公布的价格指数的平均值。施工期价格上涨时，材料 和工程设备价格调整由承包人提出，下降时由发包人提出，调整后的价格经发包人 审查确认。</w:t>
      </w:r>
    </w:p>
    <w:p w14:paraId="4A5A487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  暂时确定调整差额</w:t>
      </w:r>
    </w:p>
    <w:p w14:paraId="049BEA0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在计算调整差额时无现行价格指数的，合同当事人同意暂用前次价格指数计算。实际价格指数有调整的，合同当事人进行相应调整。</w:t>
      </w:r>
    </w:p>
    <w:p w14:paraId="6C6F049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  权重的调整</w:t>
      </w:r>
    </w:p>
    <w:p w14:paraId="7A0FBEB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因变更导致合同约定的权重不合理时，按照第 4.4 款〔商定或确定〕执行。</w:t>
      </w:r>
    </w:p>
    <w:p w14:paraId="4915472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  因承包人原因工期延误后的价格调整</w:t>
      </w:r>
    </w:p>
    <w:p w14:paraId="5058868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因承包人原因未按期竣工的，对合同约定的竣工日期后继续施工的工程，在使用价格调整公式时，应采用计划竣工日期与实际竣工日期的两个价格指数中较低的 一个作为现行价格指数。</w:t>
      </w:r>
    </w:p>
    <w:p w14:paraId="6F2EBD1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  若可调因子中已经包括了人工和施工机械因素，则不再对其进行单项调整。 第 2 种方式：采用造价信息进行价格调整。</w:t>
      </w:r>
    </w:p>
    <w:p w14:paraId="6F1819F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 合同 履行期间，因人工、材料、工程设备和机械台班价格波动影响合同价格时，人工、机 械 、由政府定价或 实行政府指导价管理的原材料使用费按照自治区建设主管部 门或其授权的工程造价管理机构发布的人工调整文件、机械台班单价、原材料（水、电、汽油、柴油）单价 进行调整（原材料的调差计入税内独立费据实调整），但承包人对人工费或人工单价 的报价高于发布价格的除外。</w:t>
      </w:r>
      <w:r>
        <w:rPr>
          <w:rFonts w:hint="eastAsia" w:ascii="仿宋" w:hAnsi="仿宋" w:eastAsia="仿宋" w:cs="仿宋"/>
          <w:color w:val="auto"/>
          <w:sz w:val="24"/>
          <w:highlight w:val="none"/>
          <w:u w:val="single"/>
        </w:rPr>
        <w:t>需要进行价格调整的人工、机械和原材料，其单价和 数量应由发包人审批，发包人确认需调整的人工、机械和原材料单价及数量，作为 调整合同价格的依据</w:t>
      </w:r>
      <w:r>
        <w:rPr>
          <w:rFonts w:hint="eastAsia" w:ascii="仿宋" w:hAnsi="仿宋" w:eastAsia="仿宋" w:cs="仿宋"/>
          <w:color w:val="auto"/>
          <w:sz w:val="24"/>
          <w:highlight w:val="none"/>
        </w:rPr>
        <w:t>。</w:t>
      </w:r>
    </w:p>
    <w:p w14:paraId="0AA88B5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 已标价工程量清单《承包人提供的主要材料和工程设备一览表（适用于造价信息差额调整法》所列材料（本工程主要材料钢材、砂、砖、水泥、商品砼价格变 化超过表中约定的风险幅度值可以调整，其 余不作调整）、工程设备及《税前项目 清单与计价表》所列税前项目价格变化超过以下约定的风险幅度值时 ，按以下规定 调整合同价款 :</w:t>
      </w:r>
    </w:p>
    <w:p w14:paraId="7EF58EF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①承包人在已标价工程量清单或预算书中载明材料</w:t>
      </w:r>
    </w:p>
    <w:p w14:paraId="2D7BAE0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（本工程主要材料钢材、砂、砖、水泥、商品砼价格变化 超过表中约定的风险 幅度值可以调整，其余不作调整）、工程设备、税前项目单价低于基准价格的： 合同 履行期间  材料单价涨幅以基准价格为基础超过风险幅度值±5%，或材料、工程设 备、税前项目单价跌幅以在已标价工程量清 单或预算书中载明材料、工程设备、税 前项目单价为基础超过风险幅度值± 5%时，其超过部分据实调整。</w:t>
      </w:r>
    </w:p>
    <w:p w14:paraId="7CD0BAE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②承包人在已标价工程量清单或预算书中载明材料（本工程主要材料钢材、砂、 砖、水泥、商品砼价格变化超过表中约定的风险幅度值可以调整，其余不作调整）、工程设备、税前项目单价高于基准价格的：除专用合同</w:t>
      </w:r>
    </w:p>
    <w:p w14:paraId="6EA01B9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条款另有约定外，合同履行期间材料、工程设备、税前项目单价跌幅以基准价 格为基础超过风险幅度值 ±5%，材料、工程设备、税前项目单价涨幅以在已标价工 程量清单或预算书中载明材料、工程设备、税前项目单价为基础超过风险幅度值±5% 时，其超过部分据调整。</w:t>
      </w:r>
    </w:p>
    <w:p w14:paraId="0F50709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③承包人在已标价工程量清单或预算书中载 明材料（本工程主要材料钢材、砂、 砖、水泥、商品砼价格变化超过表中约定的风险幅度值可以调整，其余不作调整）、工程设备、税前项目单价等于基准价格的：除专用合同条款另有约定外，合同履行 期间材料、工程设备、税前项目单价涨跌幅以基准价格为基础超过风险幅度值±5% 时，其超过部分据实调整。</w:t>
      </w:r>
    </w:p>
    <w:p w14:paraId="1BFD066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④承包人应在采购材料（本工程主要材料钢材、砂、砖、水泥、商品砼价格变化超过表中约定的风险幅度值可以调整，其余不作调整）、工程设备、税前项目前将采购数量和新的材料单价报发包人核对，发包人确认用于工程时，发包人应确认采 购材料、工程设备、税前项目的数量和单价。发包人在收到承包人报送的确认资料 后 5 天内不予答复的视为认可，作为调整合同价格的依据。未经发包人事先核对，承包人自行采购材料、工程设备、税前项目的，发包人有权不予调整合同价格。发 包人确认需调整的材料、工程设备单价及数量，作为调整暂列金额差额的依据，调整部分仅计差额及相应 的增值税，不计其对分部分项工程量清单综合单价的影响（即不再计算管理费和利润）。税前项目调整的应计相应的增值税调整。</w:t>
      </w:r>
    </w:p>
    <w:p w14:paraId="54EAC52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关于基准价格的约定：本工程主要材料钢材、砂、砖、水泥、商品 砼价格变化 超过表中约定的风险幅度值可以调整，其余不作调整。</w:t>
      </w:r>
    </w:p>
    <w:p w14:paraId="4D9A440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基准日期：招标发包的工程以投标截止日前 28 天的日期为基准日期；政府定点采购的工程以签订合同日期前 28 天的日期为基准日期。</w:t>
      </w:r>
    </w:p>
    <w:p w14:paraId="3231B39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调差时间：按项目类型分类确定：即房建工程按正负零以下、主体部分、装修部分等分部工程按实际施工期（以工序报验资料为准）的信息价平均值计取；市政工程按各专业分部工程按实际施工期（以工序报 验资料为准）的信息价平均值计取。</w:t>
      </w:r>
    </w:p>
    <w:p w14:paraId="37C36DE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第 3  种方式：专用合同条款约定的其他方式: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5F5C7D7A">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12. 合同价格、计量与支付</w:t>
      </w:r>
    </w:p>
    <w:p w14:paraId="7A46987E">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12.1 合同价格形式</w:t>
      </w:r>
    </w:p>
    <w:p w14:paraId="01551E8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（1）单价合同。</w:t>
      </w:r>
    </w:p>
    <w:p w14:paraId="3981B59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本工程采用</w:t>
      </w:r>
      <w:r>
        <w:rPr>
          <w:rFonts w:hint="eastAsia" w:ascii="仿宋" w:hAnsi="仿宋" w:eastAsia="仿宋" w:cs="仿宋"/>
          <w:color w:val="auto"/>
          <w:sz w:val="24"/>
          <w:highlight w:val="none"/>
          <w:u w:val="single"/>
        </w:rPr>
        <w:t xml:space="preserve"> 固定单价 </w:t>
      </w:r>
      <w:r>
        <w:rPr>
          <w:rFonts w:hint="eastAsia" w:ascii="仿宋" w:hAnsi="仿宋" w:eastAsia="仿宋" w:cs="仿宋"/>
          <w:color w:val="auto"/>
          <w:sz w:val="24"/>
          <w:highlight w:val="none"/>
        </w:rPr>
        <w:t>合同价格形式，合同价格包含增值税，本工程计价时采用的增值税计税方法为：□一般计税法  ☑简易计税法。</w:t>
      </w:r>
    </w:p>
    <w:p w14:paraId="4020BF7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（1）单价合同。</w:t>
      </w:r>
    </w:p>
    <w:p w14:paraId="435F355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采用综合单价合同方式时，工程量按建设单位、监理单位、施工单位三方确认的竣工图结算。</w:t>
      </w:r>
    </w:p>
    <w:p w14:paraId="368D378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综合单价包含的风险范围：</w:t>
      </w:r>
      <w:r>
        <w:rPr>
          <w:rFonts w:hint="eastAsia" w:ascii="仿宋" w:hAnsi="仿宋" w:eastAsia="仿宋" w:cs="仿宋"/>
          <w:color w:val="auto"/>
          <w:sz w:val="24"/>
          <w:highlight w:val="none"/>
          <w:u w:val="single"/>
        </w:rPr>
        <w:t>除工程变更、项目特征不符、工程量清单缺项、工程量偏差、政策性调整、市场价格波动</w:t>
      </w:r>
      <w:r>
        <w:rPr>
          <w:rFonts w:hint="eastAsia" w:ascii="仿宋" w:hAnsi="仿宋" w:eastAsia="仿宋" w:cs="仿宋"/>
          <w:color w:val="auto"/>
          <w:sz w:val="24"/>
          <w:highlight w:val="none"/>
        </w:rPr>
        <w:t>。</w:t>
      </w:r>
    </w:p>
    <w:p w14:paraId="6297D40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风险范围以外合同价格的调整方法：</w:t>
      </w:r>
    </w:p>
    <w:p w14:paraId="75AD6A1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①工程变更、项目特征不符、工程量清单缺项：按 10.4.1 变更估 价原则的约定调整。</w:t>
      </w:r>
    </w:p>
    <w:p w14:paraId="18CC60A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②工程量偏差：按 1.13 工程量清单错误修正的约定调整。</w:t>
      </w:r>
    </w:p>
    <w:p w14:paraId="73A5C92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③政策性调整：按国家、自治区住房城乡建设厅或工程所在地市级住房城乡建设主管部门颁布的文件执行。</w:t>
      </w:r>
    </w:p>
    <w:p w14:paraId="3A22C41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④市场波动引起的调整：按 11.1 的约定调整。</w:t>
      </w:r>
    </w:p>
    <w:p w14:paraId="62CAA2E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⑤其他：</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12D8DA0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（2）、工程款的管理</w:t>
      </w:r>
    </w:p>
    <w:p w14:paraId="243205E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本项目工程款实行专款专用，承包人按约向发包人收取工程款，所收工程款必须全额转入经发包人同意的银行账户。发包人有责任和 权力对建设单位支付的工程 款进行安全和正常运转管理，并对工程款的使用进行监督管理，承包人自觉服从发包人对工程款的运转管理并 承诺在工程承包期间严格遵守以下条款：</w:t>
      </w:r>
    </w:p>
    <w:p w14:paraId="2E195F5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（1）工程款专用于工程建设，不得虚报列支，挪做他用。</w:t>
      </w:r>
    </w:p>
    <w:p w14:paraId="1E6A453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（2）不得以本工程名义超定额采购建材，挪做他用。</w:t>
      </w:r>
    </w:p>
    <w:p w14:paraId="6DEE684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（3）承包人应在工程所在地税局交税。</w:t>
      </w:r>
    </w:p>
    <w:p w14:paraId="6E23846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（4）承包人对建设项目中的工人工资和其他款项实行分开银行账户管理。承包人应在发包人指定的工程所在地银行开立账户，工程款 必须一律汇入经发包人同意的开户银行和账户，任何人不得以任何理由直接向建设单位领用、借用工程款或转账到其他账户。承包人应当在建设项目开工前，在项目所在地商业银行设立工人工资支付专用账户用于支付工资。工人工资支付专用账户内的资金除发放工人工资外，得用于其他用途。工人工资支付专用账户开立后， 应向人力资源社 会保障部门和建 设项目主管部门备案。发包人支付工程款时，工人工资一律转入经备案的工人工资 支付专用账户，其他款项转入发包人指 定开立的其他款项专户。发包人对工程建设 项目的工人工资支付情况负有监督责任，要配合承包人解决工人工资发放中存在的 问题。</w:t>
      </w:r>
    </w:p>
    <w:p w14:paraId="639BFD3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承包人设立的本项目农民工工资专用账户（须在广西区内银行开户）</w:t>
      </w:r>
    </w:p>
    <w:p w14:paraId="724E536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开户名称：</w:t>
      </w:r>
      <w:r>
        <w:rPr>
          <w:rFonts w:hint="eastAsia" w:ascii="仿宋" w:hAnsi="仿宋" w:eastAsia="仿宋" w:cs="仿宋"/>
          <w:color w:val="auto"/>
          <w:sz w:val="24"/>
          <w:highlight w:val="none"/>
          <w:u w:val="single"/>
        </w:rPr>
        <w:t xml:space="preserve">           </w:t>
      </w:r>
    </w:p>
    <w:p w14:paraId="41E1FB7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账    号 ：</w:t>
      </w:r>
      <w:r>
        <w:rPr>
          <w:rFonts w:hint="eastAsia" w:ascii="仿宋" w:hAnsi="仿宋" w:eastAsia="仿宋" w:cs="仿宋"/>
          <w:color w:val="auto"/>
          <w:sz w:val="24"/>
          <w:highlight w:val="none"/>
          <w:u w:val="single"/>
        </w:rPr>
        <w:t xml:space="preserve">    </w:t>
      </w:r>
    </w:p>
    <w:p w14:paraId="15780F4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开 户 行 ：</w:t>
      </w:r>
      <w:r>
        <w:rPr>
          <w:rFonts w:hint="eastAsia" w:ascii="仿宋" w:hAnsi="仿宋" w:eastAsia="仿宋" w:cs="仿宋"/>
          <w:color w:val="auto"/>
          <w:sz w:val="24"/>
          <w:highlight w:val="none"/>
          <w:u w:val="single"/>
        </w:rPr>
        <w:t xml:space="preserve">             </w:t>
      </w:r>
    </w:p>
    <w:p w14:paraId="39EE8F27">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12.2 付款方式</w:t>
      </w:r>
    </w:p>
    <w:p w14:paraId="0FF690C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12.2.1预付款（合同总价的30%）合同签订生效后[10]个工作日内，招标人向中标人支付合同总价的30%作为项目预付款，用于中标人开展设备采购、生产备货等前期工作。</w:t>
      </w:r>
    </w:p>
    <w:p w14:paraId="011CF25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12.2.2竣工结算款（合同总价的65%）中标人完成本标段全部设备安装、调试、系统联调及人员培训工作，项目达到合同约定的技术标准和使用要求，经招标人组织竣工验收合格并签署《竣工验收报告》后 [10] 个工作日内，支付合同总价的65% 。</w:t>
      </w:r>
    </w:p>
    <w:p w14:paraId="4E88E6F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12.2.3项目终验款（合同总价的5%）通过项目整体验收，支付剩余本合同项下5%合同款，至此合同款支付完毕。</w:t>
      </w:r>
    </w:p>
    <w:p w14:paraId="75116DE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12.2.4其他约定（1）中标人每次申请付款时，需向招标人提供等额、合法、有效的增值税发票，否则招标人有权顺延付款时间，且不承担违约责任。（2）付款均通过银行转账方式进行，具体付款账户信息以合同约定为准。</w:t>
      </w:r>
    </w:p>
    <w:p w14:paraId="38B1B92B">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12.3 计量</w:t>
      </w:r>
    </w:p>
    <w:p w14:paraId="15196B7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12.3.1 计量原则</w:t>
      </w:r>
    </w:p>
    <w:p w14:paraId="0B3D24C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工程量计算规则：</w:t>
      </w:r>
      <w:r>
        <w:rPr>
          <w:rFonts w:hint="eastAsia" w:ascii="仿宋" w:hAnsi="仿宋" w:eastAsia="仿宋" w:cs="仿宋"/>
          <w:color w:val="auto"/>
          <w:sz w:val="24"/>
          <w:highlight w:val="none"/>
          <w:u w:val="single"/>
        </w:rPr>
        <w:t>按照合 同约定的工程量计算规则、图纸及经业主确定的变更指示等进行计量。工程的计量均以《建设工程工程量清单计价规范》（GB50500－20 13）和及其广西壮族自治区实施细则、《建设工程工程量清单计算规范》（GB50854~ 50862－2013）及其广西实施细则、以及相关的国家标准、行业标准；本工程补充项目清单为准</w:t>
      </w:r>
      <w:r>
        <w:rPr>
          <w:rFonts w:hint="eastAsia" w:ascii="仿宋" w:hAnsi="仿宋" w:eastAsia="仿宋" w:cs="仿宋"/>
          <w:color w:val="auto"/>
          <w:sz w:val="24"/>
          <w:highlight w:val="none"/>
        </w:rPr>
        <w:t>。</w:t>
      </w:r>
    </w:p>
    <w:p w14:paraId="43B7B62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12.3.2 计量周期</w:t>
      </w:r>
    </w:p>
    <w:p w14:paraId="79D3352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关于计量周期的约定：</w:t>
      </w:r>
      <w:r>
        <w:rPr>
          <w:rFonts w:hint="eastAsia" w:ascii="仿宋" w:hAnsi="仿宋" w:eastAsia="仿宋" w:cs="仿宋"/>
          <w:color w:val="auto"/>
          <w:sz w:val="24"/>
          <w:highlight w:val="none"/>
          <w:u w:val="single"/>
        </w:rPr>
        <w:t xml:space="preserve">  每月 25 日前</w:t>
      </w:r>
      <w:r>
        <w:rPr>
          <w:rFonts w:hint="eastAsia" w:ascii="仿宋" w:hAnsi="仿宋" w:eastAsia="仿宋" w:cs="仿宋"/>
          <w:color w:val="auto"/>
          <w:sz w:val="24"/>
          <w:highlight w:val="none"/>
        </w:rPr>
        <w:t xml:space="preserve"> 。</w:t>
      </w:r>
    </w:p>
    <w:p w14:paraId="36AA19B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12.3.3 单价合同的计量关于单价合同计量的约定：</w:t>
      </w:r>
    </w:p>
    <w:p w14:paraId="36A95C8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 工程量清单所列的工程量，不能作为承包人按合同履行其责任依据，实际施工中发生的工程量增加或减少并不影响承包人履行合同的责任，工程结算以完成的实际工程量为准。</w:t>
      </w:r>
    </w:p>
    <w:p w14:paraId="1A4F286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 除另有规定外，工程师应按照合同通过计量来核实确定已完成的工程量和价款，承包人应得到该价款扣除保留金后的金额。当工程师要对已完工的工程量进行计量时，应适时地通知承包人参加。</w:t>
      </w:r>
    </w:p>
    <w:p w14:paraId="69CD688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12.3.4 总价合同的计量</w:t>
      </w:r>
    </w:p>
    <w:p w14:paraId="082F177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（1）总价合同计量约定：进度款按支付分解表支付，支付分解表在招标完成后签合同之前制定，具体详见本专用合同条款 12.4.6。</w:t>
      </w:r>
    </w:p>
    <w:p w14:paraId="11A3508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12.3.6 其他价格形式合同的计量</w:t>
      </w:r>
    </w:p>
    <w:p w14:paraId="4155E66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其他价格形式的计量方式和程序：</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177595BA">
      <w:pPr>
        <w:snapToGrid w:val="0"/>
        <w:spacing w:before="120"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 xml:space="preserve">12.4 </w:t>
      </w:r>
      <w:r>
        <w:rPr>
          <w:rFonts w:hint="eastAsia" w:ascii="仿宋" w:hAnsi="仿宋" w:eastAsia="仿宋" w:cs="仿宋"/>
          <w:color w:val="auto"/>
          <w:sz w:val="24"/>
          <w:highlight w:val="none"/>
        </w:rPr>
        <w:t>农民工工资支付</w:t>
      </w:r>
    </w:p>
    <w:p w14:paraId="14FDC7E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为贯彻落实《国务院办公厅关于全面治理拖欠农民工工资问题的意见》（国办发 〔2016〕1 号），《广西壮族自治区人民政府办公厅关于全面治理拖欠农民工工资问题的实施意见》（桂政办发〔2016〕113 号）精神，切实解决拖欠农民工工资问题，维护农民工合法权益，现要求企业在工程建设领域，实行农民工工资与其他工程款分账管理制度，施工总承包企业要在项目开工前于项目所在地银行开设农民工工资支付专用账户，实行人工费用和其他工程款分账管理。在拨付工程费用时，建设单位按合同约定比例将人工费用数额单列，优先直接拨付到农民工工资专用账户，专门用于发放农民工工资。</w:t>
      </w:r>
    </w:p>
    <w:p w14:paraId="66EABFC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建立农民工工资保证金缴存三方监管制度，项目建设单位和施工企业要在签约商业银行设立农民工工资保证金专用账户，并按相关规定存入足额的农民工工资保证金或以提交银行保函方式替代。除处理本项目拖欠农民工工资案件外，任何单位、组织和个人不得动用农民工工资保证金。</w:t>
      </w:r>
    </w:p>
    <w:p w14:paraId="56CB635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按以下标准在指定的农民工工资保证金专用账户足额存入农民工工资保证金：工程项目中标价（合同价）1000 万元（含1000 万元） 以下的，按 2%计算；超过 1000 万元部分，按1%计算。</w:t>
      </w:r>
    </w:p>
    <w:p w14:paraId="53AE259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（1）如实说明其以前所承建的工程项目中工资支付的情况，特别注明是否存在拖欠或克扣农民工工资的行为。</w:t>
      </w:r>
    </w:p>
    <w:p w14:paraId="5AE4114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（2）承诺中标后及时、足额存入农民工工资保证金。工资支付比例、期限及使用的约定：</w:t>
      </w:r>
    </w:p>
    <w:p w14:paraId="7A77B65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使用要求：专款专用。施工单位委托银行通过其设立的农民工工资（劳务费）专用账户直接将工资划入农民工个人工资账户。除发放工人工资外，不得用于其他用途。具体按《广西壮族自治区工程建设领域工人工资支付专用账户管理办法》</w:t>
      </w:r>
    </w:p>
    <w:p w14:paraId="5D9A465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（桂薪联发[2016]1 号）以及关于印发《柳州市房屋建筑和市政工程领域保障农民工工资支付攻坚行动 工作方案》的通知（柳建管字〔2018〕56 号）相关规定执行。</w:t>
      </w:r>
    </w:p>
    <w:p w14:paraId="0289A72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（2）支付约定：发包人按《广西壮族自治区人民政府办公厅关于全面治理拖欠农民工工资问题的实施意见》（桂政办法〔2016〕113 号）相关规定中，从当期应付工程进度款拨付农民工工资，同步拨付至农民工工资支付专用账户；当拨付的农民工工资不足以按月足额支付农民工工资时，差额部分由甲乙双方另行约定。不得挪作他用，否则按相关规定处罚。</w:t>
      </w:r>
    </w:p>
    <w:p w14:paraId="75DEC02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（3）施工单位应按建设单位要求建立劳动用工管理台账。(如建 设单位按时将农民工工资拨付到农民工工资支付专用账户，仍出现农民工工资拖欠的，由施工单位承担农民工工资清偿责任，建设单位可从未支付工程款中支清偿。)</w:t>
      </w:r>
    </w:p>
    <w:p w14:paraId="7D7DDC4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（4）劳动用工管理台账相应事项的约定双方另行商定。</w:t>
      </w:r>
    </w:p>
    <w:p w14:paraId="607961C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12.4.6 支付分解表的编制</w:t>
      </w:r>
    </w:p>
    <w:p w14:paraId="2BA9914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（1）总价合同支付分解表的编制与审批：</w:t>
      </w:r>
      <w:r>
        <w:rPr>
          <w:rFonts w:hint="eastAsia" w:ascii="仿宋" w:hAnsi="仿宋" w:eastAsia="仿宋" w:cs="仿宋"/>
          <w:color w:val="auto"/>
          <w:sz w:val="24"/>
          <w:highlight w:val="none"/>
          <w:u w:val="single"/>
        </w:rPr>
        <w:t xml:space="preserve"> 总价合同支付分解表在招标完成后由发包人和承包人共同编制，发包人审批，并作为本合同内容</w:t>
      </w:r>
      <w:r>
        <w:rPr>
          <w:rFonts w:hint="eastAsia" w:ascii="仿宋" w:hAnsi="仿宋" w:eastAsia="仿宋" w:cs="仿宋"/>
          <w:color w:val="auto"/>
          <w:sz w:val="24"/>
          <w:highlight w:val="none"/>
        </w:rPr>
        <w:t xml:space="preserve"> 。</w:t>
      </w:r>
    </w:p>
    <w:p w14:paraId="2336ECD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（2）单价合同的总价项目支付分解表的编制与审批：总价项目不采用支付分解表的方式计算，而按《建设工程工程量清单计价规范（GB50500-2013）广西壮族自治区实施细则》的规定执行。</w:t>
      </w:r>
    </w:p>
    <w:p w14:paraId="0D27E538">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13. 验收和工程试车</w:t>
      </w:r>
    </w:p>
    <w:p w14:paraId="4E916045">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13.1 分部分项工程验收</w:t>
      </w:r>
    </w:p>
    <w:p w14:paraId="3A27297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13.1.2 监理人不能按时进行验收时，应提前</w:t>
      </w:r>
      <w:r>
        <w:rPr>
          <w:rFonts w:hint="eastAsia" w:ascii="仿宋" w:hAnsi="仿宋" w:eastAsia="仿宋" w:cs="仿宋"/>
          <w:color w:val="auto"/>
          <w:sz w:val="24"/>
          <w:highlight w:val="none"/>
          <w:u w:val="single"/>
        </w:rPr>
        <w:t xml:space="preserve">  48   </w:t>
      </w:r>
      <w:r>
        <w:rPr>
          <w:rFonts w:hint="eastAsia" w:ascii="仿宋" w:hAnsi="仿宋" w:eastAsia="仿宋" w:cs="仿宋"/>
          <w:color w:val="auto"/>
          <w:sz w:val="24"/>
          <w:highlight w:val="none"/>
        </w:rPr>
        <w:t>小时提交书面延期要求。 关于延期最长不得超过： 48 小时。</w:t>
      </w:r>
    </w:p>
    <w:p w14:paraId="0B6F3B8A">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13.2 竣工验收</w:t>
      </w:r>
    </w:p>
    <w:p w14:paraId="454BC72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13.2.1 竣工验收条件</w:t>
      </w:r>
    </w:p>
    <w:p w14:paraId="072492A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（3）承包人负责整理和提交的竣工验收资料应当符合工程所在地建设行政主管部门和(或)城市建设档案管理机构有关施工资料的要求，具体内容包括：</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。竣工验收资料的份数：</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211A652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承包人提供竣工图的约定：</w:t>
      </w:r>
      <w:r>
        <w:rPr>
          <w:rFonts w:hint="eastAsia" w:ascii="仿宋" w:hAnsi="仿宋" w:eastAsia="仿宋" w:cs="仿宋"/>
          <w:color w:val="auto"/>
          <w:sz w:val="24"/>
          <w:highlight w:val="none"/>
          <w:u w:val="single"/>
        </w:rPr>
        <w:t>竣工验收正式通过后 5 天（工程造价在 500 万元以下含 500 万元）、10 天（工程造价在 500 万元至 1000 万元之间含 1000 万元）、15 天（工程造价在 1000 万元以上），提供竣工图的数量分别为 2 套、4 套、6 套</w:t>
      </w:r>
      <w:r>
        <w:rPr>
          <w:rFonts w:hint="eastAsia" w:ascii="仿宋" w:hAnsi="仿宋" w:eastAsia="仿宋" w:cs="仿宋"/>
          <w:color w:val="auto"/>
          <w:sz w:val="24"/>
          <w:highlight w:val="none"/>
        </w:rPr>
        <w:t>。</w:t>
      </w:r>
    </w:p>
    <w:p w14:paraId="0CA6B51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13.2.2 竣工验收程序</w:t>
      </w:r>
    </w:p>
    <w:p w14:paraId="727E619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关于竣工验收程序的约定：</w:t>
      </w:r>
      <w:r>
        <w:rPr>
          <w:rFonts w:hint="eastAsia" w:ascii="仿宋" w:hAnsi="仿宋" w:eastAsia="仿宋" w:cs="仿宋"/>
          <w:color w:val="auto"/>
          <w:sz w:val="24"/>
          <w:highlight w:val="none"/>
          <w:u w:val="single"/>
        </w:rPr>
        <w:t>按通用条款 13.2.2 执行</w:t>
      </w:r>
      <w:r>
        <w:rPr>
          <w:rFonts w:hint="eastAsia" w:ascii="仿宋" w:hAnsi="仿宋" w:eastAsia="仿宋" w:cs="仿宋"/>
          <w:color w:val="auto"/>
          <w:sz w:val="24"/>
          <w:highlight w:val="none"/>
        </w:rPr>
        <w:t>。</w:t>
      </w:r>
    </w:p>
    <w:p w14:paraId="7571B73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发包人不按照本项约定组织竣工验收、颁发工程接收证书的违约金的计算方法： </w:t>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 xml:space="preserve">无 </w:t>
      </w:r>
      <w:r>
        <w:rPr>
          <w:rFonts w:hint="eastAsia" w:ascii="仿宋" w:hAnsi="仿宋" w:eastAsia="仿宋" w:cs="仿宋"/>
          <w:color w:val="auto"/>
          <w:sz w:val="24"/>
          <w:highlight w:val="none"/>
        </w:rPr>
        <w:t>。</w:t>
      </w:r>
    </w:p>
    <w:p w14:paraId="268E940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13.2.5 移交、接收全部与部分工程</w:t>
      </w:r>
    </w:p>
    <w:p w14:paraId="46D151F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承包人向发包人移交工程的期限：</w:t>
      </w:r>
      <w:r>
        <w:rPr>
          <w:rFonts w:hint="eastAsia" w:ascii="仿宋" w:hAnsi="仿宋" w:eastAsia="仿宋" w:cs="仿宋"/>
          <w:color w:val="auto"/>
          <w:sz w:val="24"/>
          <w:highlight w:val="none"/>
          <w:u w:val="single"/>
        </w:rPr>
        <w:t xml:space="preserve"> 在颁发工程接收证书后 7 天内 </w:t>
      </w:r>
      <w:r>
        <w:rPr>
          <w:rFonts w:hint="eastAsia" w:ascii="仿宋" w:hAnsi="仿宋" w:eastAsia="仿宋" w:cs="仿宋"/>
          <w:color w:val="auto"/>
          <w:sz w:val="24"/>
          <w:highlight w:val="none"/>
        </w:rPr>
        <w:t>。</w:t>
      </w:r>
    </w:p>
    <w:p w14:paraId="67425BE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发包人未按本合同约定接收全部或部分工程的，违约金的计算方法 为：</w:t>
      </w:r>
      <w:r>
        <w:rPr>
          <w:rFonts w:hint="eastAsia" w:ascii="仿宋" w:hAnsi="仿宋" w:eastAsia="仿宋" w:cs="仿宋"/>
          <w:color w:val="auto"/>
          <w:sz w:val="24"/>
          <w:highlight w:val="none"/>
          <w:u w:val="single"/>
        </w:rPr>
        <w:t xml:space="preserve">  无  </w:t>
      </w:r>
      <w:r>
        <w:rPr>
          <w:rFonts w:hint="eastAsia" w:ascii="仿宋" w:hAnsi="仿宋" w:eastAsia="仿宋" w:cs="仿宋"/>
          <w:color w:val="auto"/>
          <w:sz w:val="24"/>
          <w:highlight w:val="none"/>
        </w:rPr>
        <w:t>。 承包人未按时移交工程的，违约金的计算方法为：</w:t>
      </w:r>
      <w:r>
        <w:rPr>
          <w:rFonts w:hint="eastAsia" w:ascii="仿宋" w:hAnsi="仿宋" w:eastAsia="仿宋" w:cs="仿宋"/>
          <w:color w:val="auto"/>
          <w:sz w:val="24"/>
          <w:highlight w:val="none"/>
          <w:u w:val="single"/>
        </w:rPr>
        <w:t xml:space="preserve">   无  </w:t>
      </w:r>
      <w:r>
        <w:rPr>
          <w:rFonts w:hint="eastAsia" w:ascii="仿宋" w:hAnsi="仿宋" w:eastAsia="仿宋" w:cs="仿宋"/>
          <w:color w:val="auto"/>
          <w:sz w:val="24"/>
          <w:highlight w:val="none"/>
        </w:rPr>
        <w:t>。</w:t>
      </w:r>
    </w:p>
    <w:p w14:paraId="77CB96D5">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13.3 工程试车</w:t>
      </w:r>
    </w:p>
    <w:p w14:paraId="5866704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13.3.1 试车程序</w:t>
      </w:r>
    </w:p>
    <w:p w14:paraId="6CED1F4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工程试车内容：</w:t>
      </w:r>
      <w:r>
        <w:rPr>
          <w:rFonts w:hint="eastAsia" w:ascii="仿宋" w:hAnsi="仿宋" w:eastAsia="仿宋" w:cs="仿宋"/>
          <w:color w:val="auto"/>
          <w:sz w:val="24"/>
          <w:highlight w:val="none"/>
          <w:u w:val="single"/>
        </w:rPr>
        <w:t xml:space="preserve">   与承包人承包范围相一致  </w:t>
      </w:r>
      <w:r>
        <w:rPr>
          <w:rFonts w:hint="eastAsia" w:ascii="仿宋" w:hAnsi="仿宋" w:eastAsia="仿宋" w:cs="仿宋"/>
          <w:color w:val="auto"/>
          <w:sz w:val="24"/>
          <w:highlight w:val="none"/>
        </w:rPr>
        <w:t>。</w:t>
      </w:r>
    </w:p>
    <w:p w14:paraId="5FD6442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（1）单机无负荷试车费用由</w:t>
      </w:r>
      <w:r>
        <w:rPr>
          <w:rFonts w:hint="eastAsia" w:ascii="仿宋" w:hAnsi="仿宋" w:eastAsia="仿宋" w:cs="仿宋"/>
          <w:color w:val="auto"/>
          <w:sz w:val="24"/>
          <w:highlight w:val="none"/>
          <w:u w:val="single"/>
        </w:rPr>
        <w:t xml:space="preserve">    承包人     </w:t>
      </w:r>
      <w:r>
        <w:rPr>
          <w:rFonts w:hint="eastAsia" w:ascii="仿宋" w:hAnsi="仿宋" w:eastAsia="仿宋" w:cs="仿宋"/>
          <w:color w:val="auto"/>
          <w:sz w:val="24"/>
          <w:highlight w:val="none"/>
        </w:rPr>
        <w:t>承担；</w:t>
      </w:r>
    </w:p>
    <w:p w14:paraId="3A0095B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（2）无负荷联动试车费用由</w:t>
      </w:r>
      <w:r>
        <w:rPr>
          <w:rFonts w:hint="eastAsia" w:ascii="仿宋" w:hAnsi="仿宋" w:eastAsia="仿宋" w:cs="仿宋"/>
          <w:color w:val="auto"/>
          <w:sz w:val="24"/>
          <w:highlight w:val="none"/>
          <w:u w:val="single"/>
        </w:rPr>
        <w:t xml:space="preserve">    承包人     </w:t>
      </w:r>
      <w:r>
        <w:rPr>
          <w:rFonts w:hint="eastAsia" w:ascii="仿宋" w:hAnsi="仿宋" w:eastAsia="仿宋" w:cs="仿宋"/>
          <w:color w:val="auto"/>
          <w:sz w:val="24"/>
          <w:highlight w:val="none"/>
        </w:rPr>
        <w:t>承担。</w:t>
      </w:r>
    </w:p>
    <w:p w14:paraId="437C13E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13.3.3 投料试车</w:t>
      </w:r>
    </w:p>
    <w:p w14:paraId="0A15366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关于投料试车相关事项的约定：</w:t>
      </w:r>
      <w:r>
        <w:rPr>
          <w:rFonts w:hint="eastAsia" w:ascii="仿宋" w:hAnsi="仿宋" w:eastAsia="仿宋" w:cs="仿宋"/>
          <w:color w:val="auto"/>
          <w:sz w:val="24"/>
          <w:highlight w:val="none"/>
          <w:u w:val="single"/>
        </w:rPr>
        <w:t xml:space="preserve"> 按通用条款 13.3.3 执行 </w:t>
      </w:r>
      <w:r>
        <w:rPr>
          <w:rFonts w:hint="eastAsia" w:ascii="仿宋" w:hAnsi="仿宋" w:eastAsia="仿宋" w:cs="仿宋"/>
          <w:color w:val="auto"/>
          <w:sz w:val="24"/>
          <w:highlight w:val="none"/>
        </w:rPr>
        <w:t>。</w:t>
      </w:r>
    </w:p>
    <w:p w14:paraId="6AD4D5F2">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13.6 竣工退场</w:t>
      </w:r>
    </w:p>
    <w:p w14:paraId="02209E8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13.6.1 竣工退场</w:t>
      </w:r>
    </w:p>
    <w:p w14:paraId="386E4D0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承包人完成竣工退场的期限：</w:t>
      </w:r>
      <w:r>
        <w:rPr>
          <w:rFonts w:hint="eastAsia" w:ascii="仿宋" w:hAnsi="仿宋" w:eastAsia="仿宋" w:cs="仿宋"/>
          <w:color w:val="auto"/>
          <w:sz w:val="24"/>
          <w:highlight w:val="none"/>
          <w:u w:val="single"/>
        </w:rPr>
        <w:t xml:space="preserve"> 按通用条款 13.6.1 执行   </w:t>
      </w:r>
      <w:r>
        <w:rPr>
          <w:rFonts w:hint="eastAsia" w:ascii="仿宋" w:hAnsi="仿宋" w:eastAsia="仿宋" w:cs="仿宋"/>
          <w:color w:val="auto"/>
          <w:sz w:val="24"/>
          <w:highlight w:val="none"/>
        </w:rPr>
        <w:t xml:space="preserve"> 。</w:t>
      </w:r>
    </w:p>
    <w:p w14:paraId="7A8DD0EC">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14. 竣工结算</w:t>
      </w:r>
    </w:p>
    <w:p w14:paraId="2D94D43D">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14.1 竣工结算申请</w:t>
      </w:r>
    </w:p>
    <w:p w14:paraId="419EEE3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承包人提交竣工结算申请单的期限：  </w:t>
      </w:r>
      <w:r>
        <w:rPr>
          <w:rFonts w:hint="eastAsia" w:ascii="仿宋" w:hAnsi="仿宋" w:eastAsia="仿宋" w:cs="仿宋"/>
          <w:color w:val="auto"/>
          <w:sz w:val="24"/>
          <w:highlight w:val="none"/>
          <w:u w:val="single"/>
        </w:rPr>
        <w:t>承包人应在工程竣工验收合格后 60 天内向发包人提交竣工结算申请单，并提交完整的结算资料，未按时提交详见 16.2</w:t>
      </w:r>
      <w:r>
        <w:rPr>
          <w:rFonts w:hint="eastAsia" w:ascii="仿宋" w:hAnsi="仿宋" w:eastAsia="仿宋" w:cs="仿宋"/>
          <w:color w:val="auto"/>
          <w:sz w:val="24"/>
          <w:highlight w:val="none"/>
        </w:rPr>
        <w:t>.</w:t>
      </w:r>
    </w:p>
    <w:p w14:paraId="0925ADD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 承包人违约的责任。</w:t>
      </w:r>
    </w:p>
    <w:p w14:paraId="0589EBB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竣工结算申请单应包括的内容：</w:t>
      </w:r>
      <w:r>
        <w:rPr>
          <w:rFonts w:hint="eastAsia" w:ascii="仿宋" w:hAnsi="仿宋" w:eastAsia="仿宋" w:cs="仿宋"/>
          <w:color w:val="auto"/>
          <w:sz w:val="24"/>
          <w:highlight w:val="none"/>
          <w:u w:val="single"/>
        </w:rPr>
        <w:t xml:space="preserve">竣工结算合同总价、发包人已支付承包人的工程价款、应扣留的质量保证金、应支付的竣工付款金额等，竣工结算书应按发包人的要求装订、整理 </w:t>
      </w:r>
      <w:r>
        <w:rPr>
          <w:rFonts w:hint="eastAsia" w:ascii="仿宋" w:hAnsi="仿宋" w:eastAsia="仿宋" w:cs="仿宋"/>
          <w:color w:val="auto"/>
          <w:sz w:val="24"/>
          <w:highlight w:val="none"/>
        </w:rPr>
        <w:t>。</w:t>
      </w:r>
    </w:p>
    <w:p w14:paraId="1725901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承包人须签订《施工单位项目报审承诺书》（附件 15），保证项目送审结算书 中不存在虚报的工程量，如审定结算认定有虚报工程量（即出 现工程量审核为零的清单项目），自愿承担以下责任：</w:t>
      </w:r>
    </w:p>
    <w:p w14:paraId="1714D74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承包人须如实编制竣工结算资料，并对其编制的竣工结算申请单的准确性负责，不得弄虚作假和高估冒算。当审减率在 10%以上（含 10%）时，承包人应承担 的审核费=（送审金额-审定金额×1.1）×5%，且承包人须支付弄虚作假和高估冒算部分造价的违约金，弄虚作假和高估冒算违约金=（送审金额－审定金额×1.1） ×20％。增加的第三方结算审核费用和承包人违约金由承包人另行支付给发包人（此费用发包人有权通过法律途径进行追诉索赔），承包人付清此费用后，发包人支付工程款尾款。同时报建设主管部门，作为不良行为对承包人及其造价人员予以记录和通报。（如原合同有相关约定的，按原合同执行。）</w:t>
      </w:r>
    </w:p>
    <w:p w14:paraId="1593CFB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双方特别约定：根据鹿寨县财政资金支付的有关规定，上级部门会 对工程结算审核情况进行抽查（具体以上级部门下发的监督检查通知单 为准），经上级部门监督检查后出具的报告认定的工程结算价将作为该 项目的工程结算价，按该工程结算价进行最终结算。</w:t>
      </w:r>
    </w:p>
    <w:p w14:paraId="62941178">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14.2 竣工结算审核</w:t>
      </w:r>
    </w:p>
    <w:p w14:paraId="656F03B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发包人审批竣工付款申请单的期限：</w:t>
      </w:r>
      <w:r>
        <w:rPr>
          <w:rFonts w:hint="eastAsia" w:ascii="仿宋" w:hAnsi="仿宋" w:eastAsia="仿宋" w:cs="仿宋"/>
          <w:color w:val="auto"/>
          <w:sz w:val="24"/>
          <w:highlight w:val="none"/>
          <w:u w:val="single"/>
        </w:rPr>
        <w:t xml:space="preserve">根据实际情况另行约定 </w:t>
      </w:r>
      <w:r>
        <w:rPr>
          <w:rFonts w:hint="eastAsia" w:ascii="仿宋" w:hAnsi="仿宋" w:eastAsia="仿宋" w:cs="仿宋"/>
          <w:color w:val="auto"/>
          <w:sz w:val="24"/>
          <w:highlight w:val="none"/>
        </w:rPr>
        <w:t>。</w:t>
      </w:r>
    </w:p>
    <w:p w14:paraId="6EEE0BC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发包人委托的竣工结算核审机构为：</w:t>
      </w:r>
      <w:r>
        <w:rPr>
          <w:rFonts w:hint="eastAsia" w:ascii="仿宋" w:hAnsi="仿宋" w:eastAsia="仿宋" w:cs="仿宋"/>
          <w:color w:val="auto"/>
          <w:sz w:val="24"/>
          <w:highlight w:val="none"/>
          <w:u w:val="single"/>
        </w:rPr>
        <w:t>发包方或鹿寨县财政局委托有资质的审计单位</w:t>
      </w:r>
      <w:r>
        <w:rPr>
          <w:rFonts w:hint="eastAsia" w:ascii="仿宋" w:hAnsi="仿宋" w:eastAsia="仿宋" w:cs="仿宋"/>
          <w:color w:val="auto"/>
          <w:sz w:val="24"/>
          <w:highlight w:val="none"/>
        </w:rPr>
        <w:t>。</w:t>
      </w:r>
    </w:p>
    <w:p w14:paraId="3D47712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发包人完成竣工付款的期限：</w:t>
      </w:r>
      <w:r>
        <w:rPr>
          <w:rFonts w:hint="eastAsia" w:ascii="仿宋" w:hAnsi="仿宋" w:eastAsia="仿宋" w:cs="仿宋"/>
          <w:color w:val="auto"/>
          <w:sz w:val="24"/>
          <w:highlight w:val="none"/>
          <w:u w:val="single"/>
        </w:rPr>
        <w:t>按通用条款 14.2 执行</w:t>
      </w:r>
      <w:r>
        <w:rPr>
          <w:rFonts w:hint="eastAsia" w:ascii="仿宋" w:hAnsi="仿宋" w:eastAsia="仿宋" w:cs="仿宋"/>
          <w:color w:val="auto"/>
          <w:sz w:val="24"/>
          <w:highlight w:val="none"/>
        </w:rPr>
        <w:t>。</w:t>
      </w:r>
    </w:p>
    <w:p w14:paraId="78CD535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关于竣工付款证书异议部分复核的方式和程序：</w:t>
      </w:r>
      <w:r>
        <w:rPr>
          <w:rFonts w:hint="eastAsia" w:ascii="仿宋" w:hAnsi="仿宋" w:eastAsia="仿宋" w:cs="仿宋"/>
          <w:color w:val="auto"/>
          <w:sz w:val="24"/>
          <w:highlight w:val="none"/>
          <w:u w:val="single"/>
        </w:rPr>
        <w:t>按通用条款 14.2 执行</w:t>
      </w:r>
      <w:r>
        <w:rPr>
          <w:rFonts w:hint="eastAsia" w:ascii="仿宋" w:hAnsi="仿宋" w:eastAsia="仿宋" w:cs="仿宋"/>
          <w:color w:val="auto"/>
          <w:sz w:val="24"/>
          <w:highlight w:val="none"/>
        </w:rPr>
        <w:t>。</w:t>
      </w:r>
    </w:p>
    <w:p w14:paraId="78040155">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14.4 最终结清</w:t>
      </w:r>
    </w:p>
    <w:p w14:paraId="4CB3FF1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14.4.1 最终结清申请单</w:t>
      </w:r>
    </w:p>
    <w:p w14:paraId="304E97E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承包人提交最终结清申请单的份数：</w:t>
      </w:r>
      <w:r>
        <w:rPr>
          <w:rFonts w:hint="eastAsia" w:ascii="仿宋" w:hAnsi="仿宋" w:eastAsia="仿宋" w:cs="仿宋"/>
          <w:color w:val="auto"/>
          <w:sz w:val="24"/>
          <w:highlight w:val="none"/>
          <w:u w:val="single"/>
        </w:rPr>
        <w:t xml:space="preserve">  6 份  </w:t>
      </w:r>
      <w:r>
        <w:rPr>
          <w:rFonts w:hint="eastAsia" w:ascii="仿宋" w:hAnsi="仿宋" w:eastAsia="仿宋" w:cs="仿宋"/>
          <w:color w:val="auto"/>
          <w:sz w:val="24"/>
          <w:highlight w:val="none"/>
        </w:rPr>
        <w:t>。</w:t>
      </w:r>
    </w:p>
    <w:p w14:paraId="52277F9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承包人提交最终结算申请单的期限：</w:t>
      </w:r>
      <w:r>
        <w:rPr>
          <w:rFonts w:hint="eastAsia" w:ascii="仿宋" w:hAnsi="仿宋" w:eastAsia="仿宋" w:cs="仿宋"/>
          <w:color w:val="auto"/>
          <w:sz w:val="24"/>
          <w:highlight w:val="none"/>
          <w:u w:val="single"/>
        </w:rPr>
        <w:t xml:space="preserve"> 按通用条款 14.4 执行</w:t>
      </w:r>
      <w:r>
        <w:rPr>
          <w:rFonts w:hint="eastAsia" w:ascii="仿宋" w:hAnsi="仿宋" w:eastAsia="仿宋" w:cs="仿宋"/>
          <w:color w:val="auto"/>
          <w:sz w:val="24"/>
          <w:highlight w:val="none"/>
        </w:rPr>
        <w:t xml:space="preserve"> 。最终结算款支付申请（核准）表见合同附件 13。</w:t>
      </w:r>
    </w:p>
    <w:p w14:paraId="5056C6E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14.4.2 最终结清证书和支付</w:t>
      </w:r>
    </w:p>
    <w:p w14:paraId="2C19803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（1）发包人完成最终结清申请单的审批并颁发最终结清证书的期限： </w:t>
      </w:r>
      <w:r>
        <w:rPr>
          <w:rFonts w:hint="eastAsia" w:ascii="仿宋" w:hAnsi="仿宋" w:eastAsia="仿宋" w:cs="仿宋"/>
          <w:color w:val="auto"/>
          <w:sz w:val="24"/>
          <w:highlight w:val="none"/>
          <w:u w:val="single"/>
        </w:rPr>
        <w:t>按通用条款 14.4.2 执行</w:t>
      </w:r>
      <w:r>
        <w:rPr>
          <w:rFonts w:hint="eastAsia" w:ascii="仿宋" w:hAnsi="仿宋" w:eastAsia="仿宋" w:cs="仿宋"/>
          <w:color w:val="auto"/>
          <w:sz w:val="24"/>
          <w:highlight w:val="none"/>
        </w:rPr>
        <w:t xml:space="preserve"> 。</w:t>
      </w:r>
    </w:p>
    <w:p w14:paraId="6958477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（2）发包人完成支付的期限：</w:t>
      </w:r>
      <w:r>
        <w:rPr>
          <w:rFonts w:hint="eastAsia" w:ascii="仿宋" w:hAnsi="仿宋" w:eastAsia="仿宋" w:cs="仿宋"/>
          <w:color w:val="auto"/>
          <w:sz w:val="24"/>
          <w:highlight w:val="none"/>
          <w:u w:val="single"/>
        </w:rPr>
        <w:t xml:space="preserve"> 按通用条款 14.4.2 执行 </w:t>
      </w:r>
      <w:r>
        <w:rPr>
          <w:rFonts w:hint="eastAsia" w:ascii="仿宋" w:hAnsi="仿宋" w:eastAsia="仿宋" w:cs="仿宋"/>
          <w:color w:val="auto"/>
          <w:sz w:val="24"/>
          <w:highlight w:val="none"/>
        </w:rPr>
        <w:t xml:space="preserve">。 </w:t>
      </w:r>
    </w:p>
    <w:p w14:paraId="7ABBAF98">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15. 缺陷责任期与保修</w:t>
      </w:r>
    </w:p>
    <w:p w14:paraId="0D4C5FF8">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15.2 缺陷责任期</w:t>
      </w:r>
    </w:p>
    <w:p w14:paraId="460A696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缺陷责任期的具体期限： </w:t>
      </w:r>
      <w:r>
        <w:rPr>
          <w:rFonts w:hint="eastAsia" w:ascii="仿宋" w:hAnsi="仿宋" w:eastAsia="仿宋" w:cs="仿宋"/>
          <w:color w:val="auto"/>
          <w:sz w:val="24"/>
          <w:highlight w:val="none"/>
          <w:u w:val="single"/>
        </w:rPr>
        <w:t xml:space="preserve"> 见工程质量保修书</w:t>
      </w:r>
      <w:r>
        <w:rPr>
          <w:rFonts w:hint="eastAsia" w:ascii="仿宋" w:hAnsi="仿宋" w:eastAsia="仿宋" w:cs="仿宋"/>
          <w:color w:val="auto"/>
          <w:sz w:val="24"/>
          <w:highlight w:val="none"/>
        </w:rPr>
        <w:t xml:space="preserve"> 。</w:t>
      </w:r>
    </w:p>
    <w:p w14:paraId="187AC374">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15.3 质量保证金</w:t>
      </w:r>
    </w:p>
    <w:p w14:paraId="38A8F89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关于是否扣留质量保证金的约定：</w:t>
      </w:r>
      <w:r>
        <w:rPr>
          <w:rFonts w:hint="eastAsia" w:ascii="仿宋" w:hAnsi="仿宋" w:eastAsia="仿宋" w:cs="仿宋"/>
          <w:color w:val="auto"/>
          <w:sz w:val="24"/>
          <w:highlight w:val="none"/>
          <w:u w:val="single"/>
        </w:rPr>
        <w:t xml:space="preserve">  是   </w:t>
      </w:r>
      <w:r>
        <w:rPr>
          <w:rFonts w:hint="eastAsia" w:ascii="仿宋" w:hAnsi="仿宋" w:eastAsia="仿宋" w:cs="仿宋"/>
          <w:color w:val="auto"/>
          <w:sz w:val="24"/>
          <w:highlight w:val="none"/>
        </w:rPr>
        <w:t xml:space="preserve"> 。</w:t>
      </w:r>
    </w:p>
    <w:p w14:paraId="4556266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在工程项目竣工前，承包人按专用合同条款第 3.7 条提供履约担保的，发包人不得同时预留工程质量保证金。</w:t>
      </w:r>
    </w:p>
    <w:p w14:paraId="150B297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15.3.1 承包人提供质量保证金的方式</w:t>
      </w:r>
    </w:p>
    <w:p w14:paraId="68416B2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质量保证金采用以下第</w:t>
      </w:r>
      <w:r>
        <w:rPr>
          <w:rFonts w:hint="eastAsia" w:ascii="仿宋" w:hAnsi="仿宋" w:eastAsia="仿宋" w:cs="仿宋"/>
          <w:color w:val="auto"/>
          <w:sz w:val="24"/>
          <w:highlight w:val="none"/>
          <w:u w:val="single"/>
        </w:rPr>
        <w:t xml:space="preserve"> （1）或（2） </w:t>
      </w:r>
      <w:r>
        <w:rPr>
          <w:rFonts w:hint="eastAsia" w:ascii="仿宋" w:hAnsi="仿宋" w:eastAsia="仿宋" w:cs="仿宋"/>
          <w:color w:val="auto"/>
          <w:sz w:val="24"/>
          <w:highlight w:val="none"/>
        </w:rPr>
        <w:t>种方式：</w:t>
      </w:r>
    </w:p>
    <w:p w14:paraId="30B7A8B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（1）质量保证金保函（银行保函、电子保函、保证保险保函、工程担保保函，工程担保保证人应将出具的保函相关信息录入“广西建筑 市场监管云”平台</w:t>
      </w:r>
      <w:r>
        <w:rPr>
          <w:color w:val="auto"/>
          <w:highlight w:val="none"/>
        </w:rPr>
        <w:fldChar w:fldCharType="begin"/>
      </w:r>
      <w:r>
        <w:rPr>
          <w:color w:val="auto"/>
          <w:highlight w:val="none"/>
        </w:rPr>
        <w:instrText xml:space="preserve"> HYPERLINK "http://gxjzsc.caihcloud.com/" </w:instrText>
      </w:r>
      <w:r>
        <w:rPr>
          <w:color w:val="auto"/>
          <w:highlight w:val="none"/>
        </w:rPr>
        <w:fldChar w:fldCharType="separate"/>
      </w:r>
      <w:r>
        <w:rPr>
          <w:rFonts w:hint="eastAsia" w:ascii="仿宋" w:hAnsi="仿宋" w:eastAsia="仿宋" w:cs="仿宋"/>
          <w:color w:val="auto"/>
          <w:sz w:val="24"/>
          <w:highlight w:val="none"/>
        </w:rPr>
        <w:t>（htt</w:t>
      </w:r>
      <w:r>
        <w:rPr>
          <w:rFonts w:hint="eastAsia" w:ascii="仿宋" w:hAnsi="仿宋" w:eastAsia="仿宋" w:cs="仿宋"/>
          <w:color w:val="auto"/>
          <w:sz w:val="24"/>
          <w:highlight w:val="none"/>
        </w:rPr>
        <w:fldChar w:fldCharType="end"/>
      </w:r>
      <w:r>
        <w:rPr>
          <w:color w:val="auto"/>
          <w:highlight w:val="none"/>
        </w:rPr>
        <w:fldChar w:fldCharType="begin"/>
      </w:r>
      <w:r>
        <w:rPr>
          <w:color w:val="auto"/>
          <w:highlight w:val="none"/>
        </w:rPr>
        <w:instrText xml:space="preserve"> HYPERLINK "http://gxjzsc.caihcloud.com/" </w:instrText>
      </w:r>
      <w:r>
        <w:rPr>
          <w:color w:val="auto"/>
          <w:highlight w:val="none"/>
        </w:rPr>
        <w:fldChar w:fldCharType="separate"/>
      </w:r>
      <w:r>
        <w:rPr>
          <w:rFonts w:hint="eastAsia" w:ascii="仿宋" w:hAnsi="仿宋" w:eastAsia="仿宋" w:cs="仿宋"/>
          <w:color w:val="auto"/>
          <w:sz w:val="24"/>
          <w:highlight w:val="none"/>
        </w:rPr>
        <w:t>p://gxjzsc.caihcloud.com），以实现保函查</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 xml:space="preserve"> 询及验真功能。），保证金额为： </w:t>
      </w:r>
      <w:r>
        <w:rPr>
          <w:rFonts w:hint="eastAsia" w:ascii="仿宋" w:hAnsi="仿宋" w:eastAsia="仿宋" w:cs="仿宋"/>
          <w:color w:val="auto"/>
          <w:sz w:val="24"/>
          <w:highlight w:val="none"/>
          <w:u w:val="single"/>
        </w:rPr>
        <w:t>3%的工程款</w:t>
      </w:r>
      <w:r>
        <w:rPr>
          <w:rFonts w:hint="eastAsia" w:ascii="仿宋" w:hAnsi="仿宋" w:eastAsia="仿宋" w:cs="仿宋"/>
          <w:color w:val="auto"/>
          <w:sz w:val="24"/>
          <w:highlight w:val="none"/>
        </w:rPr>
        <w:t xml:space="preserve"> ；</w:t>
      </w:r>
    </w:p>
    <w:p w14:paraId="10D0DC5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（2）发包人按工程价款结算总额的</w:t>
      </w:r>
      <w:r>
        <w:rPr>
          <w:rFonts w:hint="eastAsia" w:ascii="仿宋" w:hAnsi="仿宋" w:eastAsia="仿宋" w:cs="仿宋"/>
          <w:color w:val="auto"/>
          <w:sz w:val="24"/>
          <w:highlight w:val="none"/>
          <w:u w:val="single"/>
        </w:rPr>
        <w:t xml:space="preserve"> 3  </w:t>
      </w:r>
      <w:r>
        <w:rPr>
          <w:rFonts w:hint="eastAsia" w:ascii="仿宋" w:hAnsi="仿宋" w:eastAsia="仿宋" w:cs="仿宋"/>
          <w:color w:val="auto"/>
          <w:sz w:val="24"/>
          <w:highlight w:val="none"/>
        </w:rPr>
        <w:t>%（不得超过 3%）预留工程质量保证金， 待缺陷责任期满后返还，是否付息及利息计算方式为：</w:t>
      </w:r>
      <w:r>
        <w:rPr>
          <w:rFonts w:hint="eastAsia" w:ascii="仿宋" w:hAnsi="仿宋" w:eastAsia="仿宋" w:cs="仿宋"/>
          <w:color w:val="auto"/>
          <w:sz w:val="24"/>
          <w:highlight w:val="none"/>
          <w:u w:val="single"/>
        </w:rPr>
        <w:t>不计利息</w:t>
      </w:r>
      <w:r>
        <w:rPr>
          <w:rFonts w:hint="eastAsia" w:ascii="仿宋" w:hAnsi="仿宋" w:eastAsia="仿宋" w:cs="仿宋"/>
          <w:color w:val="auto"/>
          <w:sz w:val="24"/>
          <w:highlight w:val="none"/>
        </w:rPr>
        <w:t>；</w:t>
      </w:r>
    </w:p>
    <w:p w14:paraId="37A09C6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（3）其他方式：银行转账、电汇或网上支付等形式。</w:t>
      </w:r>
    </w:p>
    <w:p w14:paraId="279C6C1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15.3.2 质量保证金的扣留</w:t>
      </w:r>
    </w:p>
    <w:p w14:paraId="36EA837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质量保证金的扣留采取以下第</w:t>
      </w:r>
      <w:r>
        <w:rPr>
          <w:rFonts w:hint="eastAsia" w:ascii="仿宋" w:hAnsi="仿宋" w:eastAsia="仿宋" w:cs="仿宋"/>
          <w:color w:val="auto"/>
          <w:sz w:val="24"/>
          <w:highlight w:val="none"/>
          <w:u w:val="single"/>
        </w:rPr>
        <w:t xml:space="preserve"> （2） </w:t>
      </w:r>
      <w:r>
        <w:rPr>
          <w:rFonts w:hint="eastAsia" w:ascii="仿宋" w:hAnsi="仿宋" w:eastAsia="仿宋" w:cs="仿宋"/>
          <w:color w:val="auto"/>
          <w:sz w:val="24"/>
          <w:highlight w:val="none"/>
        </w:rPr>
        <w:t xml:space="preserve"> 种方式：</w:t>
      </w:r>
    </w:p>
    <w:p w14:paraId="5DC179E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（1）在不缴纳履保证金情况下，按支付工程进度款时逐次扣留，质量保证金的计算基数不包括预付款的支付、扣回以及价格调整的金额；</w:t>
      </w:r>
    </w:p>
    <w:p w14:paraId="626DF29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（2）工程竣工结算时，一次性扣留质量保证金，由承包人以银行保函、保证保险替代预留质量保证金，保函金额不得高于工程价款结算总额的 3%；</w:t>
      </w:r>
    </w:p>
    <w:p w14:paraId="2F01B2F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（3）其他扣留方式:银行转账、电汇或网上支付、保函（银行保函、电子保函、保证保险保函、工程担保保函）等形式。</w:t>
      </w:r>
    </w:p>
    <w:p w14:paraId="6F3AF16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关于质量保证金的补充约：</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434C40E1">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15.4 保修</w:t>
      </w:r>
    </w:p>
    <w:p w14:paraId="5F61DBC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15.4.1 保修责任</w:t>
      </w:r>
    </w:p>
    <w:p w14:paraId="4838DAD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工程保修期为：</w:t>
      </w:r>
      <w:r>
        <w:rPr>
          <w:rFonts w:hint="eastAsia" w:ascii="仿宋" w:hAnsi="仿宋" w:eastAsia="仿宋" w:cs="仿宋"/>
          <w:color w:val="auto"/>
          <w:sz w:val="24"/>
          <w:highlight w:val="none"/>
          <w:u w:val="single"/>
        </w:rPr>
        <w:t xml:space="preserve">  见工程质量保修书  </w:t>
      </w:r>
      <w:r>
        <w:rPr>
          <w:rFonts w:hint="eastAsia" w:ascii="仿宋" w:hAnsi="仿宋" w:eastAsia="仿宋" w:cs="仿宋"/>
          <w:color w:val="auto"/>
          <w:sz w:val="24"/>
          <w:highlight w:val="none"/>
        </w:rPr>
        <w:t xml:space="preserve"> 。 </w:t>
      </w:r>
    </w:p>
    <w:p w14:paraId="48309F3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工程保修书具体内容见合同附件 2。</w:t>
      </w:r>
    </w:p>
    <w:p w14:paraId="0C588F1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15.4.3 修复通知</w:t>
      </w:r>
    </w:p>
    <w:p w14:paraId="3C755EB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承包人收到保修通知并到达工程现场的合理时间：</w:t>
      </w:r>
      <w:r>
        <w:rPr>
          <w:rFonts w:hint="eastAsia" w:ascii="仿宋" w:hAnsi="仿宋" w:eastAsia="仿宋" w:cs="仿宋"/>
          <w:color w:val="auto"/>
          <w:sz w:val="24"/>
          <w:highlight w:val="none"/>
          <w:u w:val="single"/>
        </w:rPr>
        <w:t xml:space="preserve">见工程质量保修书 </w:t>
      </w:r>
      <w:r>
        <w:rPr>
          <w:rFonts w:hint="eastAsia" w:ascii="仿宋" w:hAnsi="仿宋" w:eastAsia="仿宋" w:cs="仿宋"/>
          <w:color w:val="auto"/>
          <w:sz w:val="24"/>
          <w:highlight w:val="none"/>
        </w:rPr>
        <w:t>。</w:t>
      </w:r>
    </w:p>
    <w:p w14:paraId="7DBF364B">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16. 违约</w:t>
      </w:r>
    </w:p>
    <w:p w14:paraId="2B92D4B5">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16.1 发包人违约</w:t>
      </w:r>
    </w:p>
    <w:p w14:paraId="3AF6E82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16.1.1 发包人违约的情形</w:t>
      </w:r>
    </w:p>
    <w:p w14:paraId="2D3566E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发包人违约的其他情形：</w:t>
      </w:r>
      <w:r>
        <w:rPr>
          <w:rFonts w:hint="eastAsia" w:ascii="仿宋" w:hAnsi="仿宋" w:eastAsia="仿宋" w:cs="仿宋"/>
          <w:color w:val="auto"/>
          <w:sz w:val="24"/>
          <w:highlight w:val="none"/>
          <w:u w:val="single"/>
        </w:rPr>
        <w:t xml:space="preserve">  按通用条款 16.1 执行</w:t>
      </w:r>
      <w:r>
        <w:rPr>
          <w:rFonts w:hint="eastAsia" w:ascii="仿宋" w:hAnsi="仿宋" w:eastAsia="仿宋" w:cs="仿宋"/>
          <w:color w:val="auto"/>
          <w:sz w:val="24"/>
          <w:highlight w:val="none"/>
        </w:rPr>
        <w:t xml:space="preserve"> 。</w:t>
      </w:r>
    </w:p>
    <w:p w14:paraId="74B8947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16.1.2 发包人违约的责任：</w:t>
      </w:r>
      <w:r>
        <w:rPr>
          <w:rFonts w:hint="eastAsia" w:ascii="仿宋" w:hAnsi="仿宋" w:eastAsia="仿宋" w:cs="仿宋"/>
          <w:color w:val="auto"/>
          <w:sz w:val="24"/>
          <w:highlight w:val="none"/>
          <w:u w:val="single"/>
        </w:rPr>
        <w:t xml:space="preserve">按通用条款 16.1 执行 </w:t>
      </w:r>
      <w:r>
        <w:rPr>
          <w:rFonts w:hint="eastAsia" w:ascii="仿宋" w:hAnsi="仿宋" w:eastAsia="仿宋" w:cs="仿宋"/>
          <w:color w:val="auto"/>
          <w:sz w:val="24"/>
          <w:highlight w:val="none"/>
        </w:rPr>
        <w:t>。</w:t>
      </w:r>
    </w:p>
    <w:p w14:paraId="6825559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16.1.3 因发包人违约解除合同</w:t>
      </w:r>
    </w:p>
    <w:p w14:paraId="7B50E46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承包人按 16.1.1 项〔发包人违约的情形〕约定暂停施工满</w:t>
      </w:r>
      <w:r>
        <w:rPr>
          <w:rFonts w:hint="eastAsia" w:ascii="仿宋" w:hAnsi="仿宋" w:eastAsia="仿宋" w:cs="仿宋"/>
          <w:color w:val="auto"/>
          <w:sz w:val="24"/>
          <w:highlight w:val="none"/>
          <w:u w:val="single"/>
        </w:rPr>
        <w:t xml:space="preserve"> 28 </w:t>
      </w:r>
      <w:r>
        <w:rPr>
          <w:rFonts w:hint="eastAsia" w:ascii="仿宋" w:hAnsi="仿宋" w:eastAsia="仿宋" w:cs="仿宋"/>
          <w:color w:val="auto"/>
          <w:sz w:val="24"/>
          <w:highlight w:val="none"/>
        </w:rPr>
        <w:t>天后发包人仍不纠正其违约行为并致使合同目的不能实现的，承包人有权解除合同。</w:t>
      </w:r>
    </w:p>
    <w:p w14:paraId="69575B38">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16.2 承包人违约</w:t>
      </w:r>
    </w:p>
    <w:p w14:paraId="575373D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16.2.1 承包人违约的情形</w:t>
      </w:r>
    </w:p>
    <w:p w14:paraId="3790130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承包人违约的其他情形：</w:t>
      </w:r>
      <w:r>
        <w:rPr>
          <w:rFonts w:hint="eastAsia" w:ascii="仿宋" w:hAnsi="仿宋" w:eastAsia="仿宋" w:cs="仿宋"/>
          <w:color w:val="auto"/>
          <w:sz w:val="24"/>
          <w:highlight w:val="none"/>
          <w:u w:val="single"/>
        </w:rPr>
        <w:t xml:space="preserve">  按通用条款 16.2 执行</w:t>
      </w:r>
      <w:r>
        <w:rPr>
          <w:rFonts w:hint="eastAsia" w:ascii="仿宋" w:hAnsi="仿宋" w:eastAsia="仿宋" w:cs="仿宋"/>
          <w:color w:val="auto"/>
          <w:sz w:val="24"/>
          <w:highlight w:val="none"/>
        </w:rPr>
        <w:t>。</w:t>
      </w:r>
    </w:p>
    <w:p w14:paraId="2D36495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16.2.2 承包人违约的责任</w:t>
      </w:r>
    </w:p>
    <w:p w14:paraId="16A91E2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①承包人违反合同约定进行转包或违法分包的，违约金按合同价款的 5%计算。</w:t>
      </w:r>
    </w:p>
    <w:p w14:paraId="70F6557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②承包人违反合同约定采购和使用不合格的材料和工程设备的， 违约金按每次 2000 元计算 。</w:t>
      </w:r>
    </w:p>
    <w:p w14:paraId="3539C93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③ 因承包人原因导致工程质量不符合合同要求，经过合理时 间没有整改或者拒不整改的 ，违约金按每次 5000 元计算 。</w:t>
      </w:r>
    </w:p>
    <w:p w14:paraId="04EA11B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④ 承包人违反第 8.9 款〔 材料与设备专用要求〕的约定，未经批准，私自将已按照合同约定进入施工现场 的 材料或设备撤离施工现场的，违约金按每次 1000 元计算 。</w:t>
      </w:r>
    </w:p>
    <w:p w14:paraId="22B54F5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⑤ 承包人在缺陷责任期及保修期内，未能在合理期限对工程缺陷进行修复， 或拒绝按发包人要求进行修复的，违约金按每次 2000 元计算 。</w:t>
      </w:r>
    </w:p>
    <w:p w14:paraId="20B0FA7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⑥承包人明确表示或者以其行为表明不履行合同主要义务的，违约金按合同价款的 0.1%计算 。</w:t>
      </w:r>
    </w:p>
    <w:p w14:paraId="4084B25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⑦承包人出现其他违约情形的，违约金按合同价款的 0.1%计算 。</w:t>
      </w:r>
    </w:p>
    <w:p w14:paraId="3DBAA60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⑧ 承包人拒绝执行监理人、发包人关于质量、安全生产口头指令的，违约金  按每次 2000 元计算。违约事实的认定以影像资料和书面通知为准，承包人不得有异议。</w:t>
      </w:r>
    </w:p>
    <w:p w14:paraId="3C7FF5A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⑨承包人未按时提交完整的结算资料，延迟违约金按结算价 0.05%/ 天计算， 最高违约金为结算价的 5%，在结算金额中扣除。</w:t>
      </w:r>
    </w:p>
    <w:p w14:paraId="1400718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⑩发生农民工恶意讨薪，承包人未及时处理的情况，违约金按每次 10 万元计 算。</w:t>
      </w:r>
    </w:p>
    <w:p w14:paraId="700FD15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16.2.3 因承包人违约解除合同</w:t>
      </w:r>
    </w:p>
    <w:p w14:paraId="29DE97C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关于承包人违约解除合同的特别约定：</w:t>
      </w:r>
    </w:p>
    <w:p w14:paraId="5B7258E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双方约定可由发包人解除合同的其他事由：双方特別约定：出现法定或者本合同通用条款第 16.1.1 约定的发包人可以解除合同的情形的，自发包人向承包人发 出书面解除通知书之日五日内起，合同即解除。解除通知的送达地址，按照本合同 约定的承包人的送达地址执行，发包人按照该地址发出解除合同通知书后五日内， 无论承包人是否签收，均视为解除合同通知书已经送达承包人。因承包人原因导致 合同解除的，则承包人应在合同解除后 14 天内完成已实际完成工作的估价并报送 发包人、发包人委托有资质的咨询公司对估价进行审核，承包人应在收到发包人发 出的审核结果征求意见稿后 14 天内提出修改意见，若承包人未提出修改意见，视 为承包人同意该审核意见，发包人有权按该审核意见出具报告后进行付款和清算。 如承包人提出修改意见后双方在二十八天内最终无法达成一致意见，双方同意再次 共同委托有资质的咨询公司对估价进行重新审核，并同意以该重新审核结论作为付 款和结算依据，重新审核评估的费用由承包人承担。</w:t>
      </w:r>
    </w:p>
    <w:p w14:paraId="4CCA8AE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若承包人未在合同解除后 14 天内完成估价报发包人，则发包人有权直接委托有资质的咨询公司对承包人实际完成工作对应的合同价款 进行确定并出具报告，最 后以该价款进行付款和清算。</w:t>
      </w:r>
    </w:p>
    <w:p w14:paraId="113FEE6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因承包人违约解除合同后的处理如果发包人应扣除的金额超过应支付的金额，承包人应在合同解 除后的 56 天内将其差额退还给发包人。</w:t>
      </w:r>
    </w:p>
    <w:p w14:paraId="5CAAA702">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17. 不可抗力</w:t>
      </w:r>
    </w:p>
    <w:p w14:paraId="19D5E8A5">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17.1 不可抗力的确认</w:t>
      </w:r>
    </w:p>
    <w:p w14:paraId="3E4AD18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除通用合同条款约定的不可抗力事件之外，视为不可抗力的其他情形：</w:t>
      </w:r>
      <w:r>
        <w:rPr>
          <w:rFonts w:hint="eastAsia" w:ascii="仿宋" w:hAnsi="仿宋" w:eastAsia="仿宋" w:cs="仿宋"/>
          <w:color w:val="auto"/>
          <w:sz w:val="24"/>
          <w:highlight w:val="none"/>
          <w:u w:val="single"/>
        </w:rPr>
        <w:t xml:space="preserve"> 无</w:t>
      </w:r>
      <w:r>
        <w:rPr>
          <w:rFonts w:hint="eastAsia" w:ascii="仿宋" w:hAnsi="仿宋" w:eastAsia="仿宋" w:cs="仿宋"/>
          <w:color w:val="auto"/>
          <w:sz w:val="24"/>
          <w:highlight w:val="none"/>
        </w:rPr>
        <w:t xml:space="preserve"> 。</w:t>
      </w:r>
    </w:p>
    <w:p w14:paraId="57548B0B">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17.4 因不可抗力解除合同</w:t>
      </w:r>
    </w:p>
    <w:p w14:paraId="616719E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合同解除后，发包人应在商定或确定发包人应支付款项后</w:t>
      </w:r>
      <w:r>
        <w:rPr>
          <w:rFonts w:hint="eastAsia" w:ascii="仿宋" w:hAnsi="仿宋" w:eastAsia="仿宋" w:cs="仿宋"/>
          <w:color w:val="auto"/>
          <w:sz w:val="24"/>
          <w:highlight w:val="none"/>
          <w:u w:val="single"/>
        </w:rPr>
        <w:t xml:space="preserve"> 28</w:t>
      </w:r>
      <w:r>
        <w:rPr>
          <w:rFonts w:hint="eastAsia" w:ascii="仿宋" w:hAnsi="仿宋" w:eastAsia="仿宋" w:cs="仿宋"/>
          <w:color w:val="auto"/>
          <w:sz w:val="24"/>
          <w:highlight w:val="none"/>
        </w:rPr>
        <w:t xml:space="preserve"> 天内 完成款项的支付。</w:t>
      </w:r>
    </w:p>
    <w:p w14:paraId="4B58DABA">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18. 保险</w:t>
      </w:r>
    </w:p>
    <w:p w14:paraId="2ACBF36E">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18.1 工程保险</w:t>
      </w:r>
    </w:p>
    <w:p w14:paraId="6D467EF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关于工程保险的特别约定： </w:t>
      </w:r>
      <w:r>
        <w:rPr>
          <w:rFonts w:hint="eastAsia" w:ascii="仿宋" w:hAnsi="仿宋" w:eastAsia="仿宋" w:cs="仿宋"/>
          <w:color w:val="auto"/>
          <w:sz w:val="24"/>
          <w:highlight w:val="none"/>
          <w:u w:val="single"/>
        </w:rPr>
        <w:t>承包人应对其为本合同工程派遣或雇用的任何人员进行意外伤亡和人身事故保险，保险费用包含在工程报价中。发包人因此不承担由承包人责任造成一切伤害赔偿，也不补偿与此有关的一切索赔、诉讼、损害赔偿、诉讼费及其他开支</w:t>
      </w:r>
      <w:r>
        <w:rPr>
          <w:rFonts w:hint="eastAsia" w:ascii="仿宋" w:hAnsi="仿宋" w:eastAsia="仿宋" w:cs="仿宋"/>
          <w:color w:val="auto"/>
          <w:sz w:val="24"/>
          <w:highlight w:val="none"/>
        </w:rPr>
        <w:t>。</w:t>
      </w:r>
    </w:p>
    <w:p w14:paraId="4482299E">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18.3 其他保险</w:t>
      </w:r>
    </w:p>
    <w:p w14:paraId="5083625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关于其他保险的约定：</w:t>
      </w:r>
      <w:r>
        <w:rPr>
          <w:rFonts w:hint="eastAsia" w:ascii="仿宋" w:hAnsi="仿宋" w:eastAsia="仿宋" w:cs="仿宋"/>
          <w:color w:val="auto"/>
          <w:sz w:val="24"/>
          <w:highlight w:val="none"/>
          <w:u w:val="single"/>
        </w:rPr>
        <w:t xml:space="preserve">        无                </w:t>
      </w:r>
      <w:r>
        <w:rPr>
          <w:rFonts w:hint="eastAsia" w:ascii="仿宋" w:hAnsi="仿宋" w:eastAsia="仿宋" w:cs="仿宋"/>
          <w:color w:val="auto"/>
          <w:sz w:val="24"/>
          <w:highlight w:val="none"/>
        </w:rPr>
        <w:t xml:space="preserve"> 。</w:t>
      </w:r>
    </w:p>
    <w:p w14:paraId="5B60C2E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承包人是否应为其施工设备等办理财产险：</w:t>
      </w:r>
      <w:r>
        <w:rPr>
          <w:rFonts w:hint="eastAsia" w:ascii="仿宋" w:hAnsi="仿宋" w:eastAsia="仿宋" w:cs="仿宋"/>
          <w:color w:val="auto"/>
          <w:sz w:val="24"/>
          <w:highlight w:val="none"/>
          <w:u w:val="single"/>
        </w:rPr>
        <w:t xml:space="preserve"> 无            </w:t>
      </w:r>
      <w:r>
        <w:rPr>
          <w:rFonts w:hint="eastAsia" w:ascii="仿宋" w:hAnsi="仿宋" w:eastAsia="仿宋" w:cs="仿宋"/>
          <w:color w:val="auto"/>
          <w:sz w:val="24"/>
          <w:highlight w:val="none"/>
        </w:rPr>
        <w:t>。</w:t>
      </w:r>
    </w:p>
    <w:p w14:paraId="2A21F834">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18.7 通知义务</w:t>
      </w:r>
    </w:p>
    <w:p w14:paraId="743BA60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关于变更保险合同时的通知义务的约定：</w:t>
      </w:r>
      <w:r>
        <w:rPr>
          <w:rFonts w:hint="eastAsia" w:ascii="仿宋" w:hAnsi="仿宋" w:eastAsia="仿宋" w:cs="仿宋"/>
          <w:color w:val="auto"/>
          <w:sz w:val="24"/>
          <w:highlight w:val="none"/>
          <w:u w:val="single"/>
        </w:rPr>
        <w:t xml:space="preserve"> 按通用条款 18.7 执行 </w:t>
      </w:r>
      <w:r>
        <w:rPr>
          <w:rFonts w:hint="eastAsia" w:ascii="仿宋" w:hAnsi="仿宋" w:eastAsia="仿宋" w:cs="仿宋"/>
          <w:color w:val="auto"/>
          <w:sz w:val="24"/>
          <w:highlight w:val="none"/>
        </w:rPr>
        <w:t xml:space="preserve"> 。</w:t>
      </w:r>
    </w:p>
    <w:p w14:paraId="2F5D2ACB">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20. 争议解决</w:t>
      </w:r>
    </w:p>
    <w:p w14:paraId="243F75E7">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20.3 争议评审</w:t>
      </w:r>
    </w:p>
    <w:p w14:paraId="319AF5B0">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合同当事人是否同意将工程争议提交争议评审小组决定：</w:t>
      </w:r>
      <w:r>
        <w:rPr>
          <w:rFonts w:hint="eastAsia" w:ascii="仿宋" w:hAnsi="仿宋" w:eastAsia="仿宋" w:cs="仿宋"/>
          <w:color w:val="auto"/>
          <w:sz w:val="24"/>
          <w:highlight w:val="none"/>
          <w:u w:val="single"/>
        </w:rPr>
        <w:t xml:space="preserve"> 否 </w:t>
      </w:r>
      <w:r>
        <w:rPr>
          <w:rFonts w:hint="eastAsia" w:ascii="仿宋" w:hAnsi="仿宋" w:eastAsia="仿宋" w:cs="仿宋"/>
          <w:color w:val="auto"/>
          <w:sz w:val="24"/>
          <w:highlight w:val="none"/>
        </w:rPr>
        <w:t xml:space="preserve">。 </w:t>
      </w:r>
    </w:p>
    <w:p w14:paraId="20D02174">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20.3.1 争议评审小组的确定</w:t>
      </w:r>
    </w:p>
    <w:p w14:paraId="6BA021A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争议评审小组成员的确定：</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7938CF1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选定争议评审员的期限：</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136CF50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争议评审小组成员的报酬承担方式：</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 xml:space="preserve"> 。</w:t>
      </w:r>
    </w:p>
    <w:p w14:paraId="5600E163">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其他事项的约定：</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7AD3769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20.3.2 争议评审小组的决定</w:t>
      </w:r>
    </w:p>
    <w:p w14:paraId="1D7A7B92">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合同当事人关于本项的约定：</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7EE3405D">
      <w:pPr>
        <w:snapToGrid w:val="0"/>
        <w:spacing w:before="120"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20.4 仲裁或诉讼</w:t>
      </w:r>
    </w:p>
    <w:p w14:paraId="6F29360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因合同及合同有关事项发生的争议，按下列第</w:t>
      </w:r>
      <w:r>
        <w:rPr>
          <w:rFonts w:hint="eastAsia" w:ascii="仿宋" w:hAnsi="仿宋" w:eastAsia="仿宋" w:cs="仿宋"/>
          <w:color w:val="auto"/>
          <w:sz w:val="24"/>
          <w:highlight w:val="none"/>
          <w:u w:val="single"/>
        </w:rPr>
        <w:t xml:space="preserve"> 2  </w:t>
      </w:r>
      <w:r>
        <w:rPr>
          <w:rFonts w:hint="eastAsia" w:ascii="仿宋" w:hAnsi="仿宋" w:eastAsia="仿宋" w:cs="仿宋"/>
          <w:color w:val="auto"/>
          <w:sz w:val="24"/>
          <w:highlight w:val="none"/>
        </w:rPr>
        <w:t>种方式解决：</w:t>
      </w:r>
    </w:p>
    <w:p w14:paraId="1B0BA41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（1）提请</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仲裁委员会按照该会仲裁规则进行仲裁，仲裁裁 决是终局的，对合同双方均有约束力。</w:t>
      </w:r>
    </w:p>
    <w:p w14:paraId="28A384BD">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（2）向</w:t>
      </w:r>
      <w:r>
        <w:rPr>
          <w:rFonts w:hint="eastAsia" w:ascii="仿宋" w:hAnsi="仿宋" w:eastAsia="仿宋" w:cs="仿宋"/>
          <w:color w:val="auto"/>
          <w:sz w:val="24"/>
          <w:highlight w:val="none"/>
          <w:u w:val="single"/>
        </w:rPr>
        <w:t xml:space="preserve">   项目所在地有管辖权的  </w:t>
      </w:r>
      <w:r>
        <w:rPr>
          <w:rFonts w:hint="eastAsia" w:ascii="仿宋" w:hAnsi="仿宋" w:eastAsia="仿宋" w:cs="仿宋"/>
          <w:color w:val="auto"/>
          <w:sz w:val="24"/>
          <w:highlight w:val="none"/>
        </w:rPr>
        <w:t>人民法院起诉。</w:t>
      </w:r>
    </w:p>
    <w:p w14:paraId="242813D7">
      <w:pPr>
        <w:snapToGrid w:val="0"/>
        <w:spacing w:before="120" w:line="360" w:lineRule="auto"/>
        <w:ind w:firstLine="480" w:firstLineChars="200"/>
        <w:rPr>
          <w:rFonts w:hint="eastAsia" w:ascii="仿宋" w:hAnsi="仿宋" w:eastAsia="仿宋" w:cs="仿宋"/>
          <w:color w:val="auto"/>
          <w:sz w:val="24"/>
          <w:highlight w:val="none"/>
        </w:rPr>
      </w:pPr>
    </w:p>
    <w:p w14:paraId="308DD607">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附件</w:t>
      </w:r>
    </w:p>
    <w:p w14:paraId="4C58A9D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附件 1：发包人供应材料设备一览表</w:t>
      </w:r>
    </w:p>
    <w:p w14:paraId="0078EBD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附件 2：承包人主要施工管理人员表 </w:t>
      </w:r>
    </w:p>
    <w:p w14:paraId="39FC29D7">
      <w:pPr>
        <w:snapToGrid w:val="0"/>
        <w:spacing w:before="120"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19DDE052">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附件1：</w:t>
      </w:r>
    </w:p>
    <w:p w14:paraId="6FF3661B">
      <w:pPr>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发包人供应材料设备一览表</w:t>
      </w:r>
    </w:p>
    <w:tbl>
      <w:tblPr>
        <w:tblStyle w:val="4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276"/>
        <w:gridCol w:w="1418"/>
        <w:gridCol w:w="940"/>
        <w:gridCol w:w="851"/>
        <w:gridCol w:w="1044"/>
        <w:gridCol w:w="992"/>
        <w:gridCol w:w="851"/>
        <w:gridCol w:w="1487"/>
        <w:gridCol w:w="992"/>
      </w:tblGrid>
      <w:tr w14:paraId="67D501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bottom w:val="double" w:color="auto" w:sz="6" w:space="0"/>
            </w:tcBorders>
            <w:vAlign w:val="center"/>
          </w:tcPr>
          <w:p w14:paraId="67A0FC1D">
            <w:pPr>
              <w:pStyle w:val="17"/>
              <w:keepNext/>
              <w:spacing w:line="440" w:lineRule="exact"/>
              <w:ind w:left="63" w:right="63"/>
              <w:rPr>
                <w:rFonts w:hint="eastAsia" w:ascii="仿宋" w:hAnsi="仿宋" w:eastAsia="仿宋" w:cs="仿宋"/>
                <w:color w:val="auto"/>
                <w:sz w:val="28"/>
                <w:szCs w:val="30"/>
                <w:highlight w:val="none"/>
              </w:rPr>
            </w:pPr>
            <w:r>
              <w:rPr>
                <w:rFonts w:hint="eastAsia" w:ascii="仿宋" w:hAnsi="仿宋" w:eastAsia="仿宋" w:cs="仿宋"/>
                <w:color w:val="auto"/>
                <w:sz w:val="28"/>
                <w:szCs w:val="30"/>
                <w:highlight w:val="none"/>
              </w:rPr>
              <w:t>序号</w:t>
            </w:r>
          </w:p>
        </w:tc>
        <w:tc>
          <w:tcPr>
            <w:tcW w:w="1276" w:type="dxa"/>
            <w:tcBorders>
              <w:top w:val="single" w:color="auto" w:sz="12" w:space="0"/>
              <w:bottom w:val="double" w:color="auto" w:sz="6" w:space="0"/>
            </w:tcBorders>
            <w:vAlign w:val="center"/>
          </w:tcPr>
          <w:p w14:paraId="25F4CA5D">
            <w:pPr>
              <w:pStyle w:val="17"/>
              <w:keepNext/>
              <w:spacing w:line="440" w:lineRule="exact"/>
              <w:ind w:left="63" w:right="63"/>
              <w:rPr>
                <w:rFonts w:hint="eastAsia" w:ascii="仿宋" w:hAnsi="仿宋" w:eastAsia="仿宋" w:cs="仿宋"/>
                <w:color w:val="auto"/>
                <w:sz w:val="28"/>
                <w:szCs w:val="30"/>
                <w:highlight w:val="none"/>
              </w:rPr>
            </w:pPr>
            <w:r>
              <w:rPr>
                <w:rFonts w:hint="eastAsia" w:ascii="仿宋" w:hAnsi="仿宋" w:eastAsia="仿宋" w:cs="仿宋"/>
                <w:color w:val="auto"/>
                <w:sz w:val="28"/>
                <w:szCs w:val="30"/>
                <w:highlight w:val="none"/>
              </w:rPr>
              <w:t xml:space="preserve">  材料、</w:t>
            </w:r>
          </w:p>
          <w:p w14:paraId="3B0425DB">
            <w:pPr>
              <w:pStyle w:val="17"/>
              <w:keepNext/>
              <w:spacing w:line="440" w:lineRule="exact"/>
              <w:ind w:right="63"/>
              <w:rPr>
                <w:rFonts w:hint="eastAsia" w:ascii="仿宋" w:hAnsi="仿宋" w:eastAsia="仿宋" w:cs="仿宋"/>
                <w:color w:val="auto"/>
                <w:sz w:val="28"/>
                <w:szCs w:val="30"/>
                <w:highlight w:val="none"/>
              </w:rPr>
            </w:pPr>
            <w:r>
              <w:rPr>
                <w:rFonts w:hint="eastAsia" w:ascii="仿宋" w:hAnsi="仿宋" w:eastAsia="仿宋" w:cs="仿宋"/>
                <w:color w:val="auto"/>
                <w:sz w:val="28"/>
                <w:szCs w:val="30"/>
                <w:highlight w:val="none"/>
              </w:rPr>
              <w:t>设备品种</w:t>
            </w:r>
          </w:p>
        </w:tc>
        <w:tc>
          <w:tcPr>
            <w:tcW w:w="1418" w:type="dxa"/>
            <w:tcBorders>
              <w:top w:val="single" w:color="auto" w:sz="12" w:space="0"/>
              <w:bottom w:val="double" w:color="auto" w:sz="6" w:space="0"/>
            </w:tcBorders>
            <w:vAlign w:val="center"/>
          </w:tcPr>
          <w:p w14:paraId="292D14C2">
            <w:pPr>
              <w:pStyle w:val="17"/>
              <w:keepNext/>
              <w:spacing w:line="440" w:lineRule="exact"/>
              <w:ind w:left="63" w:right="63"/>
              <w:rPr>
                <w:rFonts w:hint="eastAsia" w:ascii="仿宋" w:hAnsi="仿宋" w:eastAsia="仿宋" w:cs="仿宋"/>
                <w:color w:val="auto"/>
                <w:sz w:val="28"/>
                <w:szCs w:val="30"/>
                <w:highlight w:val="none"/>
              </w:rPr>
            </w:pPr>
            <w:r>
              <w:rPr>
                <w:rFonts w:hint="eastAsia" w:ascii="仿宋" w:hAnsi="仿宋" w:eastAsia="仿宋" w:cs="仿宋"/>
                <w:color w:val="auto"/>
                <w:sz w:val="28"/>
                <w:szCs w:val="30"/>
                <w:highlight w:val="none"/>
              </w:rPr>
              <w:t>规格型号</w:t>
            </w:r>
          </w:p>
        </w:tc>
        <w:tc>
          <w:tcPr>
            <w:tcW w:w="940" w:type="dxa"/>
            <w:tcBorders>
              <w:top w:val="single" w:color="auto" w:sz="12" w:space="0"/>
              <w:bottom w:val="double" w:color="auto" w:sz="6" w:space="0"/>
            </w:tcBorders>
            <w:vAlign w:val="center"/>
          </w:tcPr>
          <w:p w14:paraId="418213EB">
            <w:pPr>
              <w:pStyle w:val="17"/>
              <w:keepNext/>
              <w:spacing w:line="440" w:lineRule="exact"/>
              <w:ind w:left="63" w:right="63"/>
              <w:rPr>
                <w:rFonts w:hint="eastAsia" w:ascii="仿宋" w:hAnsi="仿宋" w:eastAsia="仿宋" w:cs="仿宋"/>
                <w:color w:val="auto"/>
                <w:sz w:val="28"/>
                <w:szCs w:val="30"/>
                <w:highlight w:val="none"/>
              </w:rPr>
            </w:pPr>
            <w:r>
              <w:rPr>
                <w:rFonts w:hint="eastAsia" w:ascii="仿宋" w:hAnsi="仿宋" w:eastAsia="仿宋" w:cs="仿宋"/>
                <w:color w:val="auto"/>
                <w:sz w:val="28"/>
                <w:szCs w:val="30"/>
                <w:highlight w:val="none"/>
              </w:rPr>
              <w:t>单位</w:t>
            </w:r>
          </w:p>
        </w:tc>
        <w:tc>
          <w:tcPr>
            <w:tcW w:w="851" w:type="dxa"/>
            <w:tcBorders>
              <w:top w:val="single" w:color="auto" w:sz="12" w:space="0"/>
              <w:bottom w:val="double" w:color="auto" w:sz="6" w:space="0"/>
            </w:tcBorders>
            <w:vAlign w:val="center"/>
          </w:tcPr>
          <w:p w14:paraId="3642F61D">
            <w:pPr>
              <w:pStyle w:val="17"/>
              <w:keepNext/>
              <w:spacing w:line="440" w:lineRule="exact"/>
              <w:ind w:left="63" w:right="63"/>
              <w:rPr>
                <w:rFonts w:hint="eastAsia" w:ascii="仿宋" w:hAnsi="仿宋" w:eastAsia="仿宋" w:cs="仿宋"/>
                <w:color w:val="auto"/>
                <w:sz w:val="28"/>
                <w:szCs w:val="30"/>
                <w:highlight w:val="none"/>
              </w:rPr>
            </w:pPr>
            <w:r>
              <w:rPr>
                <w:rFonts w:hint="eastAsia" w:ascii="仿宋" w:hAnsi="仿宋" w:eastAsia="仿宋" w:cs="仿宋"/>
                <w:color w:val="auto"/>
                <w:sz w:val="28"/>
                <w:szCs w:val="30"/>
                <w:highlight w:val="none"/>
              </w:rPr>
              <w:t>数量</w:t>
            </w:r>
          </w:p>
        </w:tc>
        <w:tc>
          <w:tcPr>
            <w:tcW w:w="1044" w:type="dxa"/>
            <w:tcBorders>
              <w:top w:val="single" w:color="auto" w:sz="12" w:space="0"/>
              <w:bottom w:val="double" w:color="auto" w:sz="6" w:space="0"/>
            </w:tcBorders>
            <w:vAlign w:val="center"/>
          </w:tcPr>
          <w:p w14:paraId="41E884E9">
            <w:pPr>
              <w:pStyle w:val="17"/>
              <w:keepNext/>
              <w:spacing w:line="440" w:lineRule="exact"/>
              <w:ind w:left="63" w:right="63"/>
              <w:rPr>
                <w:rFonts w:hint="eastAsia" w:ascii="仿宋" w:hAnsi="仿宋" w:eastAsia="仿宋" w:cs="仿宋"/>
                <w:color w:val="auto"/>
                <w:sz w:val="28"/>
                <w:szCs w:val="30"/>
                <w:highlight w:val="none"/>
              </w:rPr>
            </w:pPr>
            <w:r>
              <w:rPr>
                <w:rFonts w:hint="eastAsia" w:ascii="仿宋" w:hAnsi="仿宋" w:eastAsia="仿宋" w:cs="仿宋"/>
                <w:color w:val="auto"/>
                <w:sz w:val="28"/>
                <w:szCs w:val="30"/>
                <w:highlight w:val="none"/>
              </w:rPr>
              <w:t>单价（元）</w:t>
            </w:r>
          </w:p>
        </w:tc>
        <w:tc>
          <w:tcPr>
            <w:tcW w:w="992" w:type="dxa"/>
            <w:tcBorders>
              <w:top w:val="single" w:color="auto" w:sz="12" w:space="0"/>
              <w:bottom w:val="double" w:color="auto" w:sz="6" w:space="0"/>
            </w:tcBorders>
            <w:vAlign w:val="center"/>
          </w:tcPr>
          <w:p w14:paraId="103FB856">
            <w:pPr>
              <w:pStyle w:val="17"/>
              <w:keepNext/>
              <w:spacing w:line="440" w:lineRule="exact"/>
              <w:ind w:left="63" w:right="63"/>
              <w:rPr>
                <w:rFonts w:hint="eastAsia" w:ascii="仿宋" w:hAnsi="仿宋" w:eastAsia="仿宋" w:cs="仿宋"/>
                <w:color w:val="auto"/>
                <w:sz w:val="28"/>
                <w:szCs w:val="30"/>
                <w:highlight w:val="none"/>
              </w:rPr>
            </w:pPr>
            <w:r>
              <w:rPr>
                <w:rFonts w:hint="eastAsia" w:ascii="仿宋" w:hAnsi="仿宋" w:eastAsia="仿宋" w:cs="仿宋"/>
                <w:color w:val="auto"/>
                <w:sz w:val="28"/>
                <w:szCs w:val="30"/>
                <w:highlight w:val="none"/>
              </w:rPr>
              <w:t>质量等级</w:t>
            </w:r>
          </w:p>
        </w:tc>
        <w:tc>
          <w:tcPr>
            <w:tcW w:w="851" w:type="dxa"/>
            <w:tcBorders>
              <w:top w:val="single" w:color="auto" w:sz="12" w:space="0"/>
              <w:bottom w:val="double" w:color="auto" w:sz="6" w:space="0"/>
            </w:tcBorders>
            <w:vAlign w:val="center"/>
          </w:tcPr>
          <w:p w14:paraId="778F7EF9">
            <w:pPr>
              <w:pStyle w:val="17"/>
              <w:keepNext/>
              <w:spacing w:line="440" w:lineRule="exact"/>
              <w:ind w:left="63" w:right="63"/>
              <w:rPr>
                <w:rFonts w:hint="eastAsia" w:ascii="仿宋" w:hAnsi="仿宋" w:eastAsia="仿宋" w:cs="仿宋"/>
                <w:color w:val="auto"/>
                <w:sz w:val="28"/>
                <w:szCs w:val="30"/>
                <w:highlight w:val="none"/>
              </w:rPr>
            </w:pPr>
            <w:r>
              <w:rPr>
                <w:rFonts w:hint="eastAsia" w:ascii="仿宋" w:hAnsi="仿宋" w:eastAsia="仿宋" w:cs="仿宋"/>
                <w:color w:val="auto"/>
                <w:sz w:val="28"/>
                <w:szCs w:val="30"/>
                <w:highlight w:val="none"/>
              </w:rPr>
              <w:t>供应时间</w:t>
            </w:r>
          </w:p>
        </w:tc>
        <w:tc>
          <w:tcPr>
            <w:tcW w:w="1487" w:type="dxa"/>
            <w:tcBorders>
              <w:top w:val="single" w:color="auto" w:sz="12" w:space="0"/>
              <w:bottom w:val="double" w:color="auto" w:sz="6" w:space="0"/>
            </w:tcBorders>
            <w:vAlign w:val="center"/>
          </w:tcPr>
          <w:p w14:paraId="57071E73">
            <w:pPr>
              <w:pStyle w:val="17"/>
              <w:keepNext/>
              <w:spacing w:line="440" w:lineRule="exact"/>
              <w:ind w:left="63" w:right="63"/>
              <w:rPr>
                <w:rFonts w:hint="eastAsia" w:ascii="仿宋" w:hAnsi="仿宋" w:eastAsia="仿宋" w:cs="仿宋"/>
                <w:color w:val="auto"/>
                <w:sz w:val="28"/>
                <w:szCs w:val="30"/>
                <w:highlight w:val="none"/>
              </w:rPr>
            </w:pPr>
            <w:r>
              <w:rPr>
                <w:rFonts w:hint="eastAsia" w:ascii="仿宋" w:hAnsi="仿宋" w:eastAsia="仿宋" w:cs="仿宋"/>
                <w:color w:val="auto"/>
                <w:sz w:val="28"/>
                <w:szCs w:val="30"/>
                <w:highlight w:val="none"/>
              </w:rPr>
              <w:t>送达地点</w:t>
            </w:r>
          </w:p>
        </w:tc>
        <w:tc>
          <w:tcPr>
            <w:tcW w:w="992" w:type="dxa"/>
            <w:tcBorders>
              <w:top w:val="single" w:color="auto" w:sz="12" w:space="0"/>
              <w:bottom w:val="double" w:color="auto" w:sz="6" w:space="0"/>
            </w:tcBorders>
            <w:vAlign w:val="center"/>
          </w:tcPr>
          <w:p w14:paraId="472815B1">
            <w:pPr>
              <w:pStyle w:val="17"/>
              <w:keepNext/>
              <w:spacing w:line="440" w:lineRule="exact"/>
              <w:ind w:left="63" w:right="63"/>
              <w:rPr>
                <w:rFonts w:hint="eastAsia" w:ascii="仿宋" w:hAnsi="仿宋" w:eastAsia="仿宋" w:cs="仿宋"/>
                <w:color w:val="auto"/>
                <w:sz w:val="28"/>
                <w:szCs w:val="30"/>
                <w:highlight w:val="none"/>
              </w:rPr>
            </w:pPr>
            <w:r>
              <w:rPr>
                <w:rFonts w:hint="eastAsia" w:ascii="仿宋" w:hAnsi="仿宋" w:eastAsia="仿宋" w:cs="仿宋"/>
                <w:color w:val="auto"/>
                <w:sz w:val="28"/>
                <w:szCs w:val="30"/>
                <w:highlight w:val="none"/>
              </w:rPr>
              <w:t>备注</w:t>
            </w:r>
          </w:p>
        </w:tc>
      </w:tr>
      <w:tr w14:paraId="4671D8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bottom w:val="single" w:color="auto" w:sz="6" w:space="0"/>
            </w:tcBorders>
            <w:vAlign w:val="center"/>
          </w:tcPr>
          <w:p w14:paraId="7196B3E0">
            <w:pPr>
              <w:pStyle w:val="17"/>
              <w:keepNext/>
              <w:spacing w:line="440" w:lineRule="exact"/>
              <w:ind w:left="63" w:right="63"/>
              <w:rPr>
                <w:rFonts w:hint="eastAsia" w:ascii="仿宋" w:hAnsi="仿宋" w:eastAsia="仿宋" w:cs="仿宋"/>
                <w:color w:val="auto"/>
                <w:sz w:val="30"/>
                <w:szCs w:val="30"/>
                <w:highlight w:val="none"/>
              </w:rPr>
            </w:pPr>
          </w:p>
        </w:tc>
        <w:tc>
          <w:tcPr>
            <w:tcW w:w="1276" w:type="dxa"/>
            <w:tcBorders>
              <w:top w:val="double" w:color="auto" w:sz="6" w:space="0"/>
              <w:bottom w:val="single" w:color="auto" w:sz="6" w:space="0"/>
            </w:tcBorders>
            <w:vAlign w:val="center"/>
          </w:tcPr>
          <w:p w14:paraId="3D7F9C40">
            <w:pPr>
              <w:pStyle w:val="17"/>
              <w:keepNext/>
              <w:spacing w:line="440" w:lineRule="exact"/>
              <w:ind w:left="63" w:right="63"/>
              <w:rPr>
                <w:rFonts w:hint="eastAsia" w:ascii="仿宋" w:hAnsi="仿宋" w:eastAsia="仿宋" w:cs="仿宋"/>
                <w:color w:val="auto"/>
                <w:sz w:val="30"/>
                <w:szCs w:val="30"/>
                <w:highlight w:val="none"/>
              </w:rPr>
            </w:pPr>
          </w:p>
        </w:tc>
        <w:tc>
          <w:tcPr>
            <w:tcW w:w="1418" w:type="dxa"/>
            <w:tcBorders>
              <w:top w:val="double" w:color="auto" w:sz="6" w:space="0"/>
              <w:bottom w:val="single" w:color="auto" w:sz="6" w:space="0"/>
            </w:tcBorders>
            <w:vAlign w:val="center"/>
          </w:tcPr>
          <w:p w14:paraId="639A1119">
            <w:pPr>
              <w:pStyle w:val="17"/>
              <w:keepNext/>
              <w:spacing w:line="440" w:lineRule="exact"/>
              <w:ind w:left="63" w:right="63"/>
              <w:rPr>
                <w:rFonts w:hint="eastAsia" w:ascii="仿宋" w:hAnsi="仿宋" w:eastAsia="仿宋" w:cs="仿宋"/>
                <w:color w:val="auto"/>
                <w:sz w:val="30"/>
                <w:szCs w:val="30"/>
                <w:highlight w:val="none"/>
              </w:rPr>
            </w:pPr>
          </w:p>
        </w:tc>
        <w:tc>
          <w:tcPr>
            <w:tcW w:w="940" w:type="dxa"/>
            <w:tcBorders>
              <w:top w:val="double" w:color="auto" w:sz="6" w:space="0"/>
              <w:bottom w:val="single" w:color="auto" w:sz="6" w:space="0"/>
            </w:tcBorders>
            <w:vAlign w:val="center"/>
          </w:tcPr>
          <w:p w14:paraId="288EE1B9">
            <w:pPr>
              <w:pStyle w:val="17"/>
              <w:keepNext/>
              <w:spacing w:line="440" w:lineRule="exact"/>
              <w:ind w:left="63" w:right="63"/>
              <w:rPr>
                <w:rFonts w:hint="eastAsia" w:ascii="仿宋" w:hAnsi="仿宋" w:eastAsia="仿宋" w:cs="仿宋"/>
                <w:color w:val="auto"/>
                <w:sz w:val="30"/>
                <w:szCs w:val="30"/>
                <w:highlight w:val="none"/>
              </w:rPr>
            </w:pPr>
          </w:p>
        </w:tc>
        <w:tc>
          <w:tcPr>
            <w:tcW w:w="851" w:type="dxa"/>
            <w:tcBorders>
              <w:top w:val="double" w:color="auto" w:sz="6" w:space="0"/>
              <w:bottom w:val="single" w:color="auto" w:sz="6" w:space="0"/>
            </w:tcBorders>
            <w:vAlign w:val="center"/>
          </w:tcPr>
          <w:p w14:paraId="0C76306E">
            <w:pPr>
              <w:pStyle w:val="17"/>
              <w:keepNext/>
              <w:spacing w:line="440" w:lineRule="exact"/>
              <w:ind w:left="63" w:right="63"/>
              <w:rPr>
                <w:rFonts w:hint="eastAsia" w:ascii="仿宋" w:hAnsi="仿宋" w:eastAsia="仿宋" w:cs="仿宋"/>
                <w:color w:val="auto"/>
                <w:sz w:val="30"/>
                <w:szCs w:val="30"/>
                <w:highlight w:val="none"/>
              </w:rPr>
            </w:pPr>
          </w:p>
        </w:tc>
        <w:tc>
          <w:tcPr>
            <w:tcW w:w="1044" w:type="dxa"/>
            <w:tcBorders>
              <w:top w:val="double" w:color="auto" w:sz="6" w:space="0"/>
              <w:bottom w:val="single" w:color="auto" w:sz="6" w:space="0"/>
            </w:tcBorders>
            <w:vAlign w:val="center"/>
          </w:tcPr>
          <w:p w14:paraId="2D2CA49C">
            <w:pPr>
              <w:pStyle w:val="17"/>
              <w:keepNext/>
              <w:spacing w:line="440" w:lineRule="exact"/>
              <w:ind w:left="63" w:right="63"/>
              <w:rPr>
                <w:rFonts w:hint="eastAsia" w:ascii="仿宋" w:hAnsi="仿宋" w:eastAsia="仿宋" w:cs="仿宋"/>
                <w:color w:val="auto"/>
                <w:sz w:val="30"/>
                <w:szCs w:val="30"/>
                <w:highlight w:val="none"/>
              </w:rPr>
            </w:pPr>
          </w:p>
        </w:tc>
        <w:tc>
          <w:tcPr>
            <w:tcW w:w="992" w:type="dxa"/>
            <w:tcBorders>
              <w:top w:val="double" w:color="auto" w:sz="6" w:space="0"/>
              <w:bottom w:val="single" w:color="auto" w:sz="6" w:space="0"/>
            </w:tcBorders>
            <w:vAlign w:val="center"/>
          </w:tcPr>
          <w:p w14:paraId="24B3B470">
            <w:pPr>
              <w:pStyle w:val="17"/>
              <w:keepNext/>
              <w:spacing w:line="440" w:lineRule="exact"/>
              <w:ind w:left="63" w:right="63"/>
              <w:rPr>
                <w:rFonts w:hint="eastAsia" w:ascii="仿宋" w:hAnsi="仿宋" w:eastAsia="仿宋" w:cs="仿宋"/>
                <w:color w:val="auto"/>
                <w:sz w:val="30"/>
                <w:szCs w:val="30"/>
                <w:highlight w:val="none"/>
              </w:rPr>
            </w:pPr>
          </w:p>
        </w:tc>
        <w:tc>
          <w:tcPr>
            <w:tcW w:w="851" w:type="dxa"/>
            <w:tcBorders>
              <w:top w:val="double" w:color="auto" w:sz="6" w:space="0"/>
              <w:bottom w:val="single" w:color="auto" w:sz="6" w:space="0"/>
            </w:tcBorders>
            <w:vAlign w:val="center"/>
          </w:tcPr>
          <w:p w14:paraId="1D1DF645">
            <w:pPr>
              <w:pStyle w:val="17"/>
              <w:keepNext/>
              <w:spacing w:line="440" w:lineRule="exact"/>
              <w:ind w:left="63" w:right="63"/>
              <w:rPr>
                <w:rFonts w:hint="eastAsia" w:ascii="仿宋" w:hAnsi="仿宋" w:eastAsia="仿宋" w:cs="仿宋"/>
                <w:color w:val="auto"/>
                <w:sz w:val="30"/>
                <w:szCs w:val="30"/>
                <w:highlight w:val="none"/>
              </w:rPr>
            </w:pPr>
          </w:p>
        </w:tc>
        <w:tc>
          <w:tcPr>
            <w:tcW w:w="1487" w:type="dxa"/>
            <w:tcBorders>
              <w:top w:val="double" w:color="auto" w:sz="6" w:space="0"/>
              <w:bottom w:val="single" w:color="auto" w:sz="6" w:space="0"/>
            </w:tcBorders>
            <w:vAlign w:val="center"/>
          </w:tcPr>
          <w:p w14:paraId="217D76C8">
            <w:pPr>
              <w:pStyle w:val="17"/>
              <w:keepNext/>
              <w:spacing w:line="440" w:lineRule="exact"/>
              <w:ind w:left="63" w:right="63"/>
              <w:rPr>
                <w:rFonts w:hint="eastAsia" w:ascii="仿宋" w:hAnsi="仿宋" w:eastAsia="仿宋" w:cs="仿宋"/>
                <w:color w:val="auto"/>
                <w:sz w:val="30"/>
                <w:szCs w:val="30"/>
                <w:highlight w:val="none"/>
              </w:rPr>
            </w:pPr>
          </w:p>
        </w:tc>
        <w:tc>
          <w:tcPr>
            <w:tcW w:w="992" w:type="dxa"/>
            <w:tcBorders>
              <w:top w:val="double" w:color="auto" w:sz="6" w:space="0"/>
              <w:bottom w:val="single" w:color="auto" w:sz="6" w:space="0"/>
            </w:tcBorders>
            <w:vAlign w:val="center"/>
          </w:tcPr>
          <w:p w14:paraId="65429598">
            <w:pPr>
              <w:pStyle w:val="17"/>
              <w:keepNext/>
              <w:spacing w:line="440" w:lineRule="exact"/>
              <w:ind w:left="63" w:right="63"/>
              <w:rPr>
                <w:rFonts w:hint="eastAsia" w:ascii="仿宋" w:hAnsi="仿宋" w:eastAsia="仿宋" w:cs="仿宋"/>
                <w:color w:val="auto"/>
                <w:sz w:val="30"/>
                <w:szCs w:val="30"/>
                <w:highlight w:val="none"/>
              </w:rPr>
            </w:pPr>
          </w:p>
        </w:tc>
      </w:tr>
      <w:tr w14:paraId="3A167C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tcBorders>
            <w:vAlign w:val="center"/>
          </w:tcPr>
          <w:p w14:paraId="188164D8">
            <w:pPr>
              <w:pStyle w:val="17"/>
              <w:keepNext/>
              <w:spacing w:line="440" w:lineRule="exact"/>
              <w:ind w:left="63" w:right="63"/>
              <w:rPr>
                <w:rFonts w:hint="eastAsia" w:ascii="仿宋" w:hAnsi="仿宋" w:eastAsia="仿宋" w:cs="仿宋"/>
                <w:color w:val="auto"/>
                <w:sz w:val="30"/>
                <w:szCs w:val="30"/>
                <w:highlight w:val="none"/>
              </w:rPr>
            </w:pPr>
          </w:p>
        </w:tc>
        <w:tc>
          <w:tcPr>
            <w:tcW w:w="1276" w:type="dxa"/>
            <w:tcBorders>
              <w:top w:val="nil"/>
            </w:tcBorders>
            <w:vAlign w:val="center"/>
          </w:tcPr>
          <w:p w14:paraId="37066D4A">
            <w:pPr>
              <w:pStyle w:val="17"/>
              <w:keepNext/>
              <w:spacing w:line="440" w:lineRule="exact"/>
              <w:ind w:left="63" w:right="63"/>
              <w:rPr>
                <w:rFonts w:hint="eastAsia" w:ascii="仿宋" w:hAnsi="仿宋" w:eastAsia="仿宋" w:cs="仿宋"/>
                <w:color w:val="auto"/>
                <w:sz w:val="30"/>
                <w:szCs w:val="30"/>
                <w:highlight w:val="none"/>
              </w:rPr>
            </w:pPr>
          </w:p>
        </w:tc>
        <w:tc>
          <w:tcPr>
            <w:tcW w:w="1418" w:type="dxa"/>
            <w:tcBorders>
              <w:top w:val="nil"/>
            </w:tcBorders>
            <w:vAlign w:val="center"/>
          </w:tcPr>
          <w:p w14:paraId="0C9B79EA">
            <w:pPr>
              <w:pStyle w:val="17"/>
              <w:keepNext/>
              <w:spacing w:line="440" w:lineRule="exact"/>
              <w:ind w:left="63" w:right="63"/>
              <w:rPr>
                <w:rFonts w:hint="eastAsia" w:ascii="仿宋" w:hAnsi="仿宋" w:eastAsia="仿宋" w:cs="仿宋"/>
                <w:color w:val="auto"/>
                <w:sz w:val="30"/>
                <w:szCs w:val="30"/>
                <w:highlight w:val="none"/>
              </w:rPr>
            </w:pPr>
          </w:p>
        </w:tc>
        <w:tc>
          <w:tcPr>
            <w:tcW w:w="940" w:type="dxa"/>
            <w:tcBorders>
              <w:top w:val="nil"/>
            </w:tcBorders>
            <w:vAlign w:val="center"/>
          </w:tcPr>
          <w:p w14:paraId="43A0CB2B">
            <w:pPr>
              <w:pStyle w:val="17"/>
              <w:keepNext/>
              <w:spacing w:line="440" w:lineRule="exact"/>
              <w:ind w:left="63" w:right="63"/>
              <w:rPr>
                <w:rFonts w:hint="eastAsia" w:ascii="仿宋" w:hAnsi="仿宋" w:eastAsia="仿宋" w:cs="仿宋"/>
                <w:color w:val="auto"/>
                <w:sz w:val="30"/>
                <w:szCs w:val="30"/>
                <w:highlight w:val="none"/>
              </w:rPr>
            </w:pPr>
          </w:p>
        </w:tc>
        <w:tc>
          <w:tcPr>
            <w:tcW w:w="851" w:type="dxa"/>
            <w:tcBorders>
              <w:top w:val="nil"/>
            </w:tcBorders>
            <w:vAlign w:val="center"/>
          </w:tcPr>
          <w:p w14:paraId="0A9EFD34">
            <w:pPr>
              <w:pStyle w:val="17"/>
              <w:keepNext/>
              <w:spacing w:line="440" w:lineRule="exact"/>
              <w:ind w:left="63" w:right="63"/>
              <w:rPr>
                <w:rFonts w:hint="eastAsia" w:ascii="仿宋" w:hAnsi="仿宋" w:eastAsia="仿宋" w:cs="仿宋"/>
                <w:color w:val="auto"/>
                <w:sz w:val="30"/>
                <w:szCs w:val="30"/>
                <w:highlight w:val="none"/>
              </w:rPr>
            </w:pPr>
          </w:p>
        </w:tc>
        <w:tc>
          <w:tcPr>
            <w:tcW w:w="1044" w:type="dxa"/>
            <w:tcBorders>
              <w:top w:val="nil"/>
            </w:tcBorders>
            <w:vAlign w:val="center"/>
          </w:tcPr>
          <w:p w14:paraId="1064596F">
            <w:pPr>
              <w:pStyle w:val="17"/>
              <w:keepNext/>
              <w:spacing w:line="440" w:lineRule="exact"/>
              <w:ind w:left="63" w:right="63"/>
              <w:rPr>
                <w:rFonts w:hint="eastAsia" w:ascii="仿宋" w:hAnsi="仿宋" w:eastAsia="仿宋" w:cs="仿宋"/>
                <w:color w:val="auto"/>
                <w:sz w:val="30"/>
                <w:szCs w:val="30"/>
                <w:highlight w:val="none"/>
              </w:rPr>
            </w:pPr>
          </w:p>
        </w:tc>
        <w:tc>
          <w:tcPr>
            <w:tcW w:w="992" w:type="dxa"/>
            <w:tcBorders>
              <w:top w:val="nil"/>
            </w:tcBorders>
            <w:vAlign w:val="center"/>
          </w:tcPr>
          <w:p w14:paraId="74C7AADF">
            <w:pPr>
              <w:pStyle w:val="17"/>
              <w:keepNext/>
              <w:spacing w:line="440" w:lineRule="exact"/>
              <w:ind w:left="63" w:right="63"/>
              <w:rPr>
                <w:rFonts w:hint="eastAsia" w:ascii="仿宋" w:hAnsi="仿宋" w:eastAsia="仿宋" w:cs="仿宋"/>
                <w:color w:val="auto"/>
                <w:sz w:val="30"/>
                <w:szCs w:val="30"/>
                <w:highlight w:val="none"/>
              </w:rPr>
            </w:pPr>
          </w:p>
        </w:tc>
        <w:tc>
          <w:tcPr>
            <w:tcW w:w="851" w:type="dxa"/>
            <w:tcBorders>
              <w:top w:val="nil"/>
            </w:tcBorders>
            <w:vAlign w:val="center"/>
          </w:tcPr>
          <w:p w14:paraId="2AF32C04">
            <w:pPr>
              <w:pStyle w:val="17"/>
              <w:keepNext/>
              <w:spacing w:line="440" w:lineRule="exact"/>
              <w:ind w:left="63" w:right="63"/>
              <w:rPr>
                <w:rFonts w:hint="eastAsia" w:ascii="仿宋" w:hAnsi="仿宋" w:eastAsia="仿宋" w:cs="仿宋"/>
                <w:color w:val="auto"/>
                <w:sz w:val="30"/>
                <w:szCs w:val="30"/>
                <w:highlight w:val="none"/>
              </w:rPr>
            </w:pPr>
          </w:p>
        </w:tc>
        <w:tc>
          <w:tcPr>
            <w:tcW w:w="1487" w:type="dxa"/>
            <w:tcBorders>
              <w:top w:val="nil"/>
            </w:tcBorders>
            <w:vAlign w:val="center"/>
          </w:tcPr>
          <w:p w14:paraId="4DEC6ACC">
            <w:pPr>
              <w:pStyle w:val="17"/>
              <w:keepNext/>
              <w:spacing w:line="440" w:lineRule="exact"/>
              <w:ind w:left="63" w:right="63"/>
              <w:rPr>
                <w:rFonts w:hint="eastAsia" w:ascii="仿宋" w:hAnsi="仿宋" w:eastAsia="仿宋" w:cs="仿宋"/>
                <w:color w:val="auto"/>
                <w:sz w:val="30"/>
                <w:szCs w:val="30"/>
                <w:highlight w:val="none"/>
              </w:rPr>
            </w:pPr>
          </w:p>
        </w:tc>
        <w:tc>
          <w:tcPr>
            <w:tcW w:w="992" w:type="dxa"/>
            <w:tcBorders>
              <w:top w:val="nil"/>
            </w:tcBorders>
            <w:vAlign w:val="center"/>
          </w:tcPr>
          <w:p w14:paraId="01C9E9AE">
            <w:pPr>
              <w:pStyle w:val="17"/>
              <w:keepNext/>
              <w:spacing w:line="440" w:lineRule="exact"/>
              <w:ind w:left="63" w:right="63"/>
              <w:rPr>
                <w:rFonts w:hint="eastAsia" w:ascii="仿宋" w:hAnsi="仿宋" w:eastAsia="仿宋" w:cs="仿宋"/>
                <w:color w:val="auto"/>
                <w:sz w:val="30"/>
                <w:szCs w:val="30"/>
                <w:highlight w:val="none"/>
              </w:rPr>
            </w:pPr>
          </w:p>
        </w:tc>
      </w:tr>
      <w:tr w14:paraId="22A86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0BAC33E8">
            <w:pPr>
              <w:pStyle w:val="17"/>
              <w:keepNext/>
              <w:spacing w:line="440" w:lineRule="exact"/>
              <w:ind w:left="63" w:right="63"/>
              <w:rPr>
                <w:rFonts w:hint="eastAsia" w:ascii="仿宋" w:hAnsi="仿宋" w:eastAsia="仿宋" w:cs="仿宋"/>
                <w:color w:val="auto"/>
                <w:sz w:val="30"/>
                <w:szCs w:val="30"/>
                <w:highlight w:val="none"/>
              </w:rPr>
            </w:pPr>
          </w:p>
        </w:tc>
        <w:tc>
          <w:tcPr>
            <w:tcW w:w="1276" w:type="dxa"/>
            <w:vAlign w:val="center"/>
          </w:tcPr>
          <w:p w14:paraId="684FF4CA">
            <w:pPr>
              <w:pStyle w:val="17"/>
              <w:keepNext/>
              <w:spacing w:line="440" w:lineRule="exact"/>
              <w:ind w:left="63" w:right="63"/>
              <w:rPr>
                <w:rFonts w:hint="eastAsia" w:ascii="仿宋" w:hAnsi="仿宋" w:eastAsia="仿宋" w:cs="仿宋"/>
                <w:color w:val="auto"/>
                <w:sz w:val="30"/>
                <w:szCs w:val="30"/>
                <w:highlight w:val="none"/>
              </w:rPr>
            </w:pPr>
          </w:p>
        </w:tc>
        <w:tc>
          <w:tcPr>
            <w:tcW w:w="1418" w:type="dxa"/>
            <w:vAlign w:val="center"/>
          </w:tcPr>
          <w:p w14:paraId="5E6EDB59">
            <w:pPr>
              <w:pStyle w:val="17"/>
              <w:keepNext/>
              <w:spacing w:line="440" w:lineRule="exact"/>
              <w:ind w:left="63" w:right="63"/>
              <w:rPr>
                <w:rFonts w:hint="eastAsia" w:ascii="仿宋" w:hAnsi="仿宋" w:eastAsia="仿宋" w:cs="仿宋"/>
                <w:color w:val="auto"/>
                <w:sz w:val="30"/>
                <w:szCs w:val="30"/>
                <w:highlight w:val="none"/>
              </w:rPr>
            </w:pPr>
          </w:p>
        </w:tc>
        <w:tc>
          <w:tcPr>
            <w:tcW w:w="940" w:type="dxa"/>
            <w:vAlign w:val="center"/>
          </w:tcPr>
          <w:p w14:paraId="5DE1C9BC">
            <w:pPr>
              <w:pStyle w:val="17"/>
              <w:keepNext/>
              <w:spacing w:line="440" w:lineRule="exact"/>
              <w:ind w:left="63" w:right="63"/>
              <w:rPr>
                <w:rFonts w:hint="eastAsia" w:ascii="仿宋" w:hAnsi="仿宋" w:eastAsia="仿宋" w:cs="仿宋"/>
                <w:color w:val="auto"/>
                <w:sz w:val="30"/>
                <w:szCs w:val="30"/>
                <w:highlight w:val="none"/>
              </w:rPr>
            </w:pPr>
          </w:p>
        </w:tc>
        <w:tc>
          <w:tcPr>
            <w:tcW w:w="851" w:type="dxa"/>
            <w:vAlign w:val="center"/>
          </w:tcPr>
          <w:p w14:paraId="3A051A6C">
            <w:pPr>
              <w:pStyle w:val="17"/>
              <w:keepNext/>
              <w:spacing w:line="440" w:lineRule="exact"/>
              <w:ind w:left="63" w:right="63"/>
              <w:rPr>
                <w:rFonts w:hint="eastAsia" w:ascii="仿宋" w:hAnsi="仿宋" w:eastAsia="仿宋" w:cs="仿宋"/>
                <w:color w:val="auto"/>
                <w:sz w:val="30"/>
                <w:szCs w:val="30"/>
                <w:highlight w:val="none"/>
              </w:rPr>
            </w:pPr>
          </w:p>
        </w:tc>
        <w:tc>
          <w:tcPr>
            <w:tcW w:w="1044" w:type="dxa"/>
            <w:vAlign w:val="center"/>
          </w:tcPr>
          <w:p w14:paraId="70D37500">
            <w:pPr>
              <w:pStyle w:val="17"/>
              <w:keepNext/>
              <w:spacing w:line="440" w:lineRule="exact"/>
              <w:ind w:left="63" w:right="63"/>
              <w:rPr>
                <w:rFonts w:hint="eastAsia" w:ascii="仿宋" w:hAnsi="仿宋" w:eastAsia="仿宋" w:cs="仿宋"/>
                <w:color w:val="auto"/>
                <w:sz w:val="30"/>
                <w:szCs w:val="30"/>
                <w:highlight w:val="none"/>
              </w:rPr>
            </w:pPr>
          </w:p>
        </w:tc>
        <w:tc>
          <w:tcPr>
            <w:tcW w:w="992" w:type="dxa"/>
            <w:vAlign w:val="center"/>
          </w:tcPr>
          <w:p w14:paraId="7B3C840C">
            <w:pPr>
              <w:pStyle w:val="17"/>
              <w:keepNext/>
              <w:spacing w:line="440" w:lineRule="exact"/>
              <w:ind w:left="63" w:right="63"/>
              <w:rPr>
                <w:rFonts w:hint="eastAsia" w:ascii="仿宋" w:hAnsi="仿宋" w:eastAsia="仿宋" w:cs="仿宋"/>
                <w:color w:val="auto"/>
                <w:sz w:val="30"/>
                <w:szCs w:val="30"/>
                <w:highlight w:val="none"/>
              </w:rPr>
            </w:pPr>
          </w:p>
        </w:tc>
        <w:tc>
          <w:tcPr>
            <w:tcW w:w="851" w:type="dxa"/>
            <w:vAlign w:val="center"/>
          </w:tcPr>
          <w:p w14:paraId="5BA2B4B9">
            <w:pPr>
              <w:pStyle w:val="17"/>
              <w:keepNext/>
              <w:spacing w:line="440" w:lineRule="exact"/>
              <w:ind w:left="63" w:right="63"/>
              <w:rPr>
                <w:rFonts w:hint="eastAsia" w:ascii="仿宋" w:hAnsi="仿宋" w:eastAsia="仿宋" w:cs="仿宋"/>
                <w:color w:val="auto"/>
                <w:sz w:val="30"/>
                <w:szCs w:val="30"/>
                <w:highlight w:val="none"/>
              </w:rPr>
            </w:pPr>
          </w:p>
        </w:tc>
        <w:tc>
          <w:tcPr>
            <w:tcW w:w="1487" w:type="dxa"/>
            <w:vAlign w:val="center"/>
          </w:tcPr>
          <w:p w14:paraId="0BFBFA7F">
            <w:pPr>
              <w:pStyle w:val="17"/>
              <w:keepNext/>
              <w:spacing w:line="440" w:lineRule="exact"/>
              <w:ind w:left="63" w:right="63"/>
              <w:rPr>
                <w:rFonts w:hint="eastAsia" w:ascii="仿宋" w:hAnsi="仿宋" w:eastAsia="仿宋" w:cs="仿宋"/>
                <w:color w:val="auto"/>
                <w:sz w:val="30"/>
                <w:szCs w:val="30"/>
                <w:highlight w:val="none"/>
              </w:rPr>
            </w:pPr>
          </w:p>
        </w:tc>
        <w:tc>
          <w:tcPr>
            <w:tcW w:w="992" w:type="dxa"/>
            <w:vAlign w:val="center"/>
          </w:tcPr>
          <w:p w14:paraId="5CC59315">
            <w:pPr>
              <w:pStyle w:val="17"/>
              <w:keepNext/>
              <w:spacing w:line="440" w:lineRule="exact"/>
              <w:ind w:left="63" w:right="63"/>
              <w:rPr>
                <w:rFonts w:hint="eastAsia" w:ascii="仿宋" w:hAnsi="仿宋" w:eastAsia="仿宋" w:cs="仿宋"/>
                <w:color w:val="auto"/>
                <w:sz w:val="30"/>
                <w:szCs w:val="30"/>
                <w:highlight w:val="none"/>
              </w:rPr>
            </w:pPr>
          </w:p>
        </w:tc>
      </w:tr>
      <w:tr w14:paraId="591D19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31B4D82A">
            <w:pPr>
              <w:pStyle w:val="17"/>
              <w:keepNext/>
              <w:spacing w:line="440" w:lineRule="exact"/>
              <w:ind w:left="63" w:right="63"/>
              <w:rPr>
                <w:rFonts w:hint="eastAsia" w:ascii="仿宋" w:hAnsi="仿宋" w:eastAsia="仿宋" w:cs="仿宋"/>
                <w:color w:val="auto"/>
                <w:sz w:val="30"/>
                <w:szCs w:val="30"/>
                <w:highlight w:val="none"/>
              </w:rPr>
            </w:pPr>
          </w:p>
        </w:tc>
        <w:tc>
          <w:tcPr>
            <w:tcW w:w="1276" w:type="dxa"/>
            <w:vAlign w:val="center"/>
          </w:tcPr>
          <w:p w14:paraId="01D58679">
            <w:pPr>
              <w:pStyle w:val="17"/>
              <w:keepNext/>
              <w:spacing w:line="440" w:lineRule="exact"/>
              <w:ind w:left="63" w:right="63"/>
              <w:rPr>
                <w:rFonts w:hint="eastAsia" w:ascii="仿宋" w:hAnsi="仿宋" w:eastAsia="仿宋" w:cs="仿宋"/>
                <w:color w:val="auto"/>
                <w:sz w:val="30"/>
                <w:szCs w:val="30"/>
                <w:highlight w:val="none"/>
              </w:rPr>
            </w:pPr>
          </w:p>
        </w:tc>
        <w:tc>
          <w:tcPr>
            <w:tcW w:w="1418" w:type="dxa"/>
            <w:vAlign w:val="center"/>
          </w:tcPr>
          <w:p w14:paraId="779480CF">
            <w:pPr>
              <w:pStyle w:val="17"/>
              <w:keepNext/>
              <w:spacing w:line="440" w:lineRule="exact"/>
              <w:ind w:left="63" w:right="63"/>
              <w:rPr>
                <w:rFonts w:hint="eastAsia" w:ascii="仿宋" w:hAnsi="仿宋" w:eastAsia="仿宋" w:cs="仿宋"/>
                <w:color w:val="auto"/>
                <w:sz w:val="30"/>
                <w:szCs w:val="30"/>
                <w:highlight w:val="none"/>
              </w:rPr>
            </w:pPr>
          </w:p>
        </w:tc>
        <w:tc>
          <w:tcPr>
            <w:tcW w:w="940" w:type="dxa"/>
            <w:vAlign w:val="center"/>
          </w:tcPr>
          <w:p w14:paraId="171E6F87">
            <w:pPr>
              <w:pStyle w:val="17"/>
              <w:keepNext/>
              <w:spacing w:line="440" w:lineRule="exact"/>
              <w:ind w:left="63" w:right="63"/>
              <w:rPr>
                <w:rFonts w:hint="eastAsia" w:ascii="仿宋" w:hAnsi="仿宋" w:eastAsia="仿宋" w:cs="仿宋"/>
                <w:color w:val="auto"/>
                <w:sz w:val="30"/>
                <w:szCs w:val="30"/>
                <w:highlight w:val="none"/>
              </w:rPr>
            </w:pPr>
          </w:p>
        </w:tc>
        <w:tc>
          <w:tcPr>
            <w:tcW w:w="851" w:type="dxa"/>
            <w:vAlign w:val="center"/>
          </w:tcPr>
          <w:p w14:paraId="05A94EDC">
            <w:pPr>
              <w:pStyle w:val="17"/>
              <w:keepNext/>
              <w:spacing w:line="440" w:lineRule="exact"/>
              <w:ind w:left="63" w:right="63"/>
              <w:rPr>
                <w:rFonts w:hint="eastAsia" w:ascii="仿宋" w:hAnsi="仿宋" w:eastAsia="仿宋" w:cs="仿宋"/>
                <w:color w:val="auto"/>
                <w:sz w:val="30"/>
                <w:szCs w:val="30"/>
                <w:highlight w:val="none"/>
              </w:rPr>
            </w:pPr>
          </w:p>
        </w:tc>
        <w:tc>
          <w:tcPr>
            <w:tcW w:w="1044" w:type="dxa"/>
            <w:vAlign w:val="center"/>
          </w:tcPr>
          <w:p w14:paraId="4B4305F8">
            <w:pPr>
              <w:pStyle w:val="17"/>
              <w:keepNext/>
              <w:spacing w:line="440" w:lineRule="exact"/>
              <w:ind w:left="63" w:right="63"/>
              <w:rPr>
                <w:rFonts w:hint="eastAsia" w:ascii="仿宋" w:hAnsi="仿宋" w:eastAsia="仿宋" w:cs="仿宋"/>
                <w:color w:val="auto"/>
                <w:sz w:val="30"/>
                <w:szCs w:val="30"/>
                <w:highlight w:val="none"/>
              </w:rPr>
            </w:pPr>
          </w:p>
        </w:tc>
        <w:tc>
          <w:tcPr>
            <w:tcW w:w="992" w:type="dxa"/>
            <w:vAlign w:val="center"/>
          </w:tcPr>
          <w:p w14:paraId="6548CFD6">
            <w:pPr>
              <w:pStyle w:val="17"/>
              <w:keepNext/>
              <w:spacing w:line="440" w:lineRule="exact"/>
              <w:ind w:left="63" w:right="63"/>
              <w:rPr>
                <w:rFonts w:hint="eastAsia" w:ascii="仿宋" w:hAnsi="仿宋" w:eastAsia="仿宋" w:cs="仿宋"/>
                <w:color w:val="auto"/>
                <w:sz w:val="30"/>
                <w:szCs w:val="30"/>
                <w:highlight w:val="none"/>
              </w:rPr>
            </w:pPr>
          </w:p>
        </w:tc>
        <w:tc>
          <w:tcPr>
            <w:tcW w:w="851" w:type="dxa"/>
            <w:vAlign w:val="center"/>
          </w:tcPr>
          <w:p w14:paraId="355A2F4B">
            <w:pPr>
              <w:pStyle w:val="17"/>
              <w:keepNext/>
              <w:spacing w:line="440" w:lineRule="exact"/>
              <w:ind w:left="63" w:right="63"/>
              <w:rPr>
                <w:rFonts w:hint="eastAsia" w:ascii="仿宋" w:hAnsi="仿宋" w:eastAsia="仿宋" w:cs="仿宋"/>
                <w:color w:val="auto"/>
                <w:sz w:val="30"/>
                <w:szCs w:val="30"/>
                <w:highlight w:val="none"/>
              </w:rPr>
            </w:pPr>
          </w:p>
        </w:tc>
        <w:tc>
          <w:tcPr>
            <w:tcW w:w="1487" w:type="dxa"/>
            <w:vAlign w:val="center"/>
          </w:tcPr>
          <w:p w14:paraId="5FD50EF6">
            <w:pPr>
              <w:pStyle w:val="17"/>
              <w:keepNext/>
              <w:spacing w:line="440" w:lineRule="exact"/>
              <w:ind w:left="63" w:right="63"/>
              <w:rPr>
                <w:rFonts w:hint="eastAsia" w:ascii="仿宋" w:hAnsi="仿宋" w:eastAsia="仿宋" w:cs="仿宋"/>
                <w:color w:val="auto"/>
                <w:sz w:val="30"/>
                <w:szCs w:val="30"/>
                <w:highlight w:val="none"/>
              </w:rPr>
            </w:pPr>
          </w:p>
        </w:tc>
        <w:tc>
          <w:tcPr>
            <w:tcW w:w="992" w:type="dxa"/>
            <w:vAlign w:val="center"/>
          </w:tcPr>
          <w:p w14:paraId="0BABCE7C">
            <w:pPr>
              <w:pStyle w:val="17"/>
              <w:keepNext/>
              <w:spacing w:line="440" w:lineRule="exact"/>
              <w:ind w:left="63" w:right="63"/>
              <w:rPr>
                <w:rFonts w:hint="eastAsia" w:ascii="仿宋" w:hAnsi="仿宋" w:eastAsia="仿宋" w:cs="仿宋"/>
                <w:color w:val="auto"/>
                <w:sz w:val="30"/>
                <w:szCs w:val="30"/>
                <w:highlight w:val="none"/>
              </w:rPr>
            </w:pPr>
          </w:p>
        </w:tc>
      </w:tr>
      <w:tr w14:paraId="2629E9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4C70D4A1">
            <w:pPr>
              <w:pStyle w:val="17"/>
              <w:keepNext/>
              <w:spacing w:line="440" w:lineRule="exact"/>
              <w:ind w:left="63" w:right="63"/>
              <w:rPr>
                <w:rFonts w:hint="eastAsia" w:ascii="仿宋" w:hAnsi="仿宋" w:eastAsia="仿宋" w:cs="仿宋"/>
                <w:color w:val="auto"/>
                <w:sz w:val="30"/>
                <w:szCs w:val="30"/>
                <w:highlight w:val="none"/>
              </w:rPr>
            </w:pPr>
          </w:p>
        </w:tc>
        <w:tc>
          <w:tcPr>
            <w:tcW w:w="1276" w:type="dxa"/>
            <w:vAlign w:val="center"/>
          </w:tcPr>
          <w:p w14:paraId="1F99F916">
            <w:pPr>
              <w:pStyle w:val="17"/>
              <w:keepNext/>
              <w:spacing w:line="440" w:lineRule="exact"/>
              <w:ind w:left="63" w:right="63"/>
              <w:rPr>
                <w:rFonts w:hint="eastAsia" w:ascii="仿宋" w:hAnsi="仿宋" w:eastAsia="仿宋" w:cs="仿宋"/>
                <w:color w:val="auto"/>
                <w:sz w:val="30"/>
                <w:szCs w:val="30"/>
                <w:highlight w:val="none"/>
              </w:rPr>
            </w:pPr>
          </w:p>
        </w:tc>
        <w:tc>
          <w:tcPr>
            <w:tcW w:w="1418" w:type="dxa"/>
            <w:vAlign w:val="center"/>
          </w:tcPr>
          <w:p w14:paraId="70F5773D">
            <w:pPr>
              <w:pStyle w:val="17"/>
              <w:keepNext/>
              <w:spacing w:line="440" w:lineRule="exact"/>
              <w:ind w:left="63" w:right="63"/>
              <w:rPr>
                <w:rFonts w:hint="eastAsia" w:ascii="仿宋" w:hAnsi="仿宋" w:eastAsia="仿宋" w:cs="仿宋"/>
                <w:color w:val="auto"/>
                <w:sz w:val="30"/>
                <w:szCs w:val="30"/>
                <w:highlight w:val="none"/>
              </w:rPr>
            </w:pPr>
          </w:p>
        </w:tc>
        <w:tc>
          <w:tcPr>
            <w:tcW w:w="940" w:type="dxa"/>
            <w:vAlign w:val="center"/>
          </w:tcPr>
          <w:p w14:paraId="13EC4C7C">
            <w:pPr>
              <w:pStyle w:val="17"/>
              <w:keepNext/>
              <w:spacing w:line="440" w:lineRule="exact"/>
              <w:ind w:left="63" w:right="63"/>
              <w:rPr>
                <w:rFonts w:hint="eastAsia" w:ascii="仿宋" w:hAnsi="仿宋" w:eastAsia="仿宋" w:cs="仿宋"/>
                <w:color w:val="auto"/>
                <w:sz w:val="30"/>
                <w:szCs w:val="30"/>
                <w:highlight w:val="none"/>
              </w:rPr>
            </w:pPr>
          </w:p>
        </w:tc>
        <w:tc>
          <w:tcPr>
            <w:tcW w:w="851" w:type="dxa"/>
            <w:vAlign w:val="center"/>
          </w:tcPr>
          <w:p w14:paraId="6B3EE51F">
            <w:pPr>
              <w:pStyle w:val="17"/>
              <w:keepNext/>
              <w:spacing w:line="440" w:lineRule="exact"/>
              <w:ind w:left="63" w:right="63"/>
              <w:rPr>
                <w:rFonts w:hint="eastAsia" w:ascii="仿宋" w:hAnsi="仿宋" w:eastAsia="仿宋" w:cs="仿宋"/>
                <w:color w:val="auto"/>
                <w:sz w:val="30"/>
                <w:szCs w:val="30"/>
                <w:highlight w:val="none"/>
              </w:rPr>
            </w:pPr>
          </w:p>
        </w:tc>
        <w:tc>
          <w:tcPr>
            <w:tcW w:w="1044" w:type="dxa"/>
            <w:vAlign w:val="center"/>
          </w:tcPr>
          <w:p w14:paraId="66E8B951">
            <w:pPr>
              <w:pStyle w:val="17"/>
              <w:keepNext/>
              <w:spacing w:line="440" w:lineRule="exact"/>
              <w:ind w:left="63" w:right="63"/>
              <w:rPr>
                <w:rFonts w:hint="eastAsia" w:ascii="仿宋" w:hAnsi="仿宋" w:eastAsia="仿宋" w:cs="仿宋"/>
                <w:color w:val="auto"/>
                <w:sz w:val="30"/>
                <w:szCs w:val="30"/>
                <w:highlight w:val="none"/>
              </w:rPr>
            </w:pPr>
          </w:p>
        </w:tc>
        <w:tc>
          <w:tcPr>
            <w:tcW w:w="992" w:type="dxa"/>
            <w:vAlign w:val="center"/>
          </w:tcPr>
          <w:p w14:paraId="091A375D">
            <w:pPr>
              <w:pStyle w:val="17"/>
              <w:keepNext/>
              <w:spacing w:line="440" w:lineRule="exact"/>
              <w:ind w:left="63" w:right="63"/>
              <w:rPr>
                <w:rFonts w:hint="eastAsia" w:ascii="仿宋" w:hAnsi="仿宋" w:eastAsia="仿宋" w:cs="仿宋"/>
                <w:color w:val="auto"/>
                <w:sz w:val="30"/>
                <w:szCs w:val="30"/>
                <w:highlight w:val="none"/>
              </w:rPr>
            </w:pPr>
          </w:p>
        </w:tc>
        <w:tc>
          <w:tcPr>
            <w:tcW w:w="851" w:type="dxa"/>
            <w:vAlign w:val="center"/>
          </w:tcPr>
          <w:p w14:paraId="4DCAA395">
            <w:pPr>
              <w:pStyle w:val="17"/>
              <w:keepNext/>
              <w:spacing w:line="440" w:lineRule="exact"/>
              <w:ind w:left="63" w:right="63"/>
              <w:rPr>
                <w:rFonts w:hint="eastAsia" w:ascii="仿宋" w:hAnsi="仿宋" w:eastAsia="仿宋" w:cs="仿宋"/>
                <w:color w:val="auto"/>
                <w:sz w:val="30"/>
                <w:szCs w:val="30"/>
                <w:highlight w:val="none"/>
              </w:rPr>
            </w:pPr>
          </w:p>
        </w:tc>
        <w:tc>
          <w:tcPr>
            <w:tcW w:w="1487" w:type="dxa"/>
            <w:vAlign w:val="center"/>
          </w:tcPr>
          <w:p w14:paraId="71F258D4">
            <w:pPr>
              <w:pStyle w:val="17"/>
              <w:keepNext/>
              <w:spacing w:line="440" w:lineRule="exact"/>
              <w:ind w:left="63" w:right="63"/>
              <w:rPr>
                <w:rFonts w:hint="eastAsia" w:ascii="仿宋" w:hAnsi="仿宋" w:eastAsia="仿宋" w:cs="仿宋"/>
                <w:color w:val="auto"/>
                <w:sz w:val="30"/>
                <w:szCs w:val="30"/>
                <w:highlight w:val="none"/>
              </w:rPr>
            </w:pPr>
          </w:p>
        </w:tc>
        <w:tc>
          <w:tcPr>
            <w:tcW w:w="992" w:type="dxa"/>
            <w:vAlign w:val="center"/>
          </w:tcPr>
          <w:p w14:paraId="7946A4B7">
            <w:pPr>
              <w:pStyle w:val="17"/>
              <w:keepNext/>
              <w:spacing w:line="440" w:lineRule="exact"/>
              <w:ind w:left="63" w:right="63"/>
              <w:rPr>
                <w:rFonts w:hint="eastAsia" w:ascii="仿宋" w:hAnsi="仿宋" w:eastAsia="仿宋" w:cs="仿宋"/>
                <w:color w:val="auto"/>
                <w:sz w:val="30"/>
                <w:szCs w:val="30"/>
                <w:highlight w:val="none"/>
              </w:rPr>
            </w:pPr>
          </w:p>
        </w:tc>
      </w:tr>
      <w:tr w14:paraId="76CD7A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30E833AC">
            <w:pPr>
              <w:pStyle w:val="17"/>
              <w:keepNext/>
              <w:spacing w:line="440" w:lineRule="exact"/>
              <w:ind w:left="63" w:right="63"/>
              <w:rPr>
                <w:rFonts w:hint="eastAsia" w:ascii="仿宋" w:hAnsi="仿宋" w:eastAsia="仿宋" w:cs="仿宋"/>
                <w:color w:val="auto"/>
                <w:sz w:val="30"/>
                <w:szCs w:val="30"/>
                <w:highlight w:val="none"/>
              </w:rPr>
            </w:pPr>
          </w:p>
        </w:tc>
        <w:tc>
          <w:tcPr>
            <w:tcW w:w="1276" w:type="dxa"/>
            <w:vAlign w:val="center"/>
          </w:tcPr>
          <w:p w14:paraId="57131B42">
            <w:pPr>
              <w:pStyle w:val="17"/>
              <w:keepNext/>
              <w:spacing w:line="440" w:lineRule="exact"/>
              <w:ind w:left="63" w:right="63"/>
              <w:rPr>
                <w:rFonts w:hint="eastAsia" w:ascii="仿宋" w:hAnsi="仿宋" w:eastAsia="仿宋" w:cs="仿宋"/>
                <w:color w:val="auto"/>
                <w:sz w:val="30"/>
                <w:szCs w:val="30"/>
                <w:highlight w:val="none"/>
              </w:rPr>
            </w:pPr>
          </w:p>
        </w:tc>
        <w:tc>
          <w:tcPr>
            <w:tcW w:w="1418" w:type="dxa"/>
            <w:vAlign w:val="center"/>
          </w:tcPr>
          <w:p w14:paraId="1309A1A6">
            <w:pPr>
              <w:pStyle w:val="17"/>
              <w:keepNext/>
              <w:spacing w:line="440" w:lineRule="exact"/>
              <w:ind w:left="63" w:right="63"/>
              <w:rPr>
                <w:rFonts w:hint="eastAsia" w:ascii="仿宋" w:hAnsi="仿宋" w:eastAsia="仿宋" w:cs="仿宋"/>
                <w:color w:val="auto"/>
                <w:sz w:val="30"/>
                <w:szCs w:val="30"/>
                <w:highlight w:val="none"/>
              </w:rPr>
            </w:pPr>
          </w:p>
        </w:tc>
        <w:tc>
          <w:tcPr>
            <w:tcW w:w="940" w:type="dxa"/>
            <w:vAlign w:val="center"/>
          </w:tcPr>
          <w:p w14:paraId="738B1BA4">
            <w:pPr>
              <w:pStyle w:val="17"/>
              <w:keepNext/>
              <w:spacing w:line="440" w:lineRule="exact"/>
              <w:ind w:left="63" w:right="63"/>
              <w:rPr>
                <w:rFonts w:hint="eastAsia" w:ascii="仿宋" w:hAnsi="仿宋" w:eastAsia="仿宋" w:cs="仿宋"/>
                <w:color w:val="auto"/>
                <w:sz w:val="30"/>
                <w:szCs w:val="30"/>
                <w:highlight w:val="none"/>
              </w:rPr>
            </w:pPr>
          </w:p>
        </w:tc>
        <w:tc>
          <w:tcPr>
            <w:tcW w:w="851" w:type="dxa"/>
            <w:vAlign w:val="center"/>
          </w:tcPr>
          <w:p w14:paraId="3AB06794">
            <w:pPr>
              <w:pStyle w:val="17"/>
              <w:keepNext/>
              <w:spacing w:line="440" w:lineRule="exact"/>
              <w:ind w:left="63" w:right="63"/>
              <w:rPr>
                <w:rFonts w:hint="eastAsia" w:ascii="仿宋" w:hAnsi="仿宋" w:eastAsia="仿宋" w:cs="仿宋"/>
                <w:color w:val="auto"/>
                <w:sz w:val="30"/>
                <w:szCs w:val="30"/>
                <w:highlight w:val="none"/>
              </w:rPr>
            </w:pPr>
          </w:p>
        </w:tc>
        <w:tc>
          <w:tcPr>
            <w:tcW w:w="1044" w:type="dxa"/>
            <w:vAlign w:val="center"/>
          </w:tcPr>
          <w:p w14:paraId="1C825C21">
            <w:pPr>
              <w:pStyle w:val="17"/>
              <w:keepNext/>
              <w:spacing w:line="440" w:lineRule="exact"/>
              <w:ind w:left="63" w:right="63"/>
              <w:rPr>
                <w:rFonts w:hint="eastAsia" w:ascii="仿宋" w:hAnsi="仿宋" w:eastAsia="仿宋" w:cs="仿宋"/>
                <w:color w:val="auto"/>
                <w:sz w:val="30"/>
                <w:szCs w:val="30"/>
                <w:highlight w:val="none"/>
              </w:rPr>
            </w:pPr>
          </w:p>
        </w:tc>
        <w:tc>
          <w:tcPr>
            <w:tcW w:w="992" w:type="dxa"/>
            <w:vAlign w:val="center"/>
          </w:tcPr>
          <w:p w14:paraId="50151CC7">
            <w:pPr>
              <w:pStyle w:val="17"/>
              <w:keepNext/>
              <w:spacing w:line="440" w:lineRule="exact"/>
              <w:ind w:left="63" w:right="63"/>
              <w:rPr>
                <w:rFonts w:hint="eastAsia" w:ascii="仿宋" w:hAnsi="仿宋" w:eastAsia="仿宋" w:cs="仿宋"/>
                <w:color w:val="auto"/>
                <w:sz w:val="30"/>
                <w:szCs w:val="30"/>
                <w:highlight w:val="none"/>
              </w:rPr>
            </w:pPr>
          </w:p>
        </w:tc>
        <w:tc>
          <w:tcPr>
            <w:tcW w:w="851" w:type="dxa"/>
            <w:vAlign w:val="center"/>
          </w:tcPr>
          <w:p w14:paraId="54FDE060">
            <w:pPr>
              <w:pStyle w:val="17"/>
              <w:keepNext/>
              <w:spacing w:line="440" w:lineRule="exact"/>
              <w:ind w:left="63" w:right="63"/>
              <w:rPr>
                <w:rFonts w:hint="eastAsia" w:ascii="仿宋" w:hAnsi="仿宋" w:eastAsia="仿宋" w:cs="仿宋"/>
                <w:color w:val="auto"/>
                <w:sz w:val="30"/>
                <w:szCs w:val="30"/>
                <w:highlight w:val="none"/>
              </w:rPr>
            </w:pPr>
          </w:p>
        </w:tc>
        <w:tc>
          <w:tcPr>
            <w:tcW w:w="1487" w:type="dxa"/>
            <w:vAlign w:val="center"/>
          </w:tcPr>
          <w:p w14:paraId="2A9593CD">
            <w:pPr>
              <w:pStyle w:val="17"/>
              <w:keepNext/>
              <w:spacing w:line="440" w:lineRule="exact"/>
              <w:ind w:left="63" w:right="63"/>
              <w:rPr>
                <w:rFonts w:hint="eastAsia" w:ascii="仿宋" w:hAnsi="仿宋" w:eastAsia="仿宋" w:cs="仿宋"/>
                <w:color w:val="auto"/>
                <w:sz w:val="30"/>
                <w:szCs w:val="30"/>
                <w:highlight w:val="none"/>
              </w:rPr>
            </w:pPr>
          </w:p>
        </w:tc>
        <w:tc>
          <w:tcPr>
            <w:tcW w:w="992" w:type="dxa"/>
            <w:vAlign w:val="center"/>
          </w:tcPr>
          <w:p w14:paraId="4753D98B">
            <w:pPr>
              <w:pStyle w:val="17"/>
              <w:keepNext/>
              <w:spacing w:line="440" w:lineRule="exact"/>
              <w:ind w:left="63" w:right="63"/>
              <w:rPr>
                <w:rFonts w:hint="eastAsia" w:ascii="仿宋" w:hAnsi="仿宋" w:eastAsia="仿宋" w:cs="仿宋"/>
                <w:color w:val="auto"/>
                <w:sz w:val="30"/>
                <w:szCs w:val="30"/>
                <w:highlight w:val="none"/>
              </w:rPr>
            </w:pPr>
          </w:p>
        </w:tc>
      </w:tr>
      <w:tr w14:paraId="5734D3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43E3FB0C">
            <w:pPr>
              <w:pStyle w:val="17"/>
              <w:keepNext/>
              <w:spacing w:line="440" w:lineRule="exact"/>
              <w:ind w:left="63" w:right="63"/>
              <w:rPr>
                <w:rFonts w:hint="eastAsia" w:ascii="仿宋" w:hAnsi="仿宋" w:eastAsia="仿宋" w:cs="仿宋"/>
                <w:color w:val="auto"/>
                <w:sz w:val="30"/>
                <w:szCs w:val="30"/>
                <w:highlight w:val="none"/>
              </w:rPr>
            </w:pPr>
          </w:p>
        </w:tc>
        <w:tc>
          <w:tcPr>
            <w:tcW w:w="1276" w:type="dxa"/>
            <w:vAlign w:val="center"/>
          </w:tcPr>
          <w:p w14:paraId="1C22C444">
            <w:pPr>
              <w:pStyle w:val="17"/>
              <w:keepNext/>
              <w:spacing w:line="440" w:lineRule="exact"/>
              <w:ind w:left="63" w:right="63"/>
              <w:rPr>
                <w:rFonts w:hint="eastAsia" w:ascii="仿宋" w:hAnsi="仿宋" w:eastAsia="仿宋" w:cs="仿宋"/>
                <w:color w:val="auto"/>
                <w:sz w:val="30"/>
                <w:szCs w:val="30"/>
                <w:highlight w:val="none"/>
              </w:rPr>
            </w:pPr>
          </w:p>
        </w:tc>
        <w:tc>
          <w:tcPr>
            <w:tcW w:w="1418" w:type="dxa"/>
            <w:vAlign w:val="center"/>
          </w:tcPr>
          <w:p w14:paraId="7CD0346C">
            <w:pPr>
              <w:pStyle w:val="17"/>
              <w:keepNext/>
              <w:spacing w:line="440" w:lineRule="exact"/>
              <w:ind w:left="63" w:right="63"/>
              <w:rPr>
                <w:rFonts w:hint="eastAsia" w:ascii="仿宋" w:hAnsi="仿宋" w:eastAsia="仿宋" w:cs="仿宋"/>
                <w:color w:val="auto"/>
                <w:sz w:val="30"/>
                <w:szCs w:val="30"/>
                <w:highlight w:val="none"/>
              </w:rPr>
            </w:pPr>
          </w:p>
        </w:tc>
        <w:tc>
          <w:tcPr>
            <w:tcW w:w="940" w:type="dxa"/>
            <w:vAlign w:val="center"/>
          </w:tcPr>
          <w:p w14:paraId="5A781DA0">
            <w:pPr>
              <w:pStyle w:val="17"/>
              <w:keepNext/>
              <w:spacing w:line="440" w:lineRule="exact"/>
              <w:ind w:left="63" w:right="63"/>
              <w:rPr>
                <w:rFonts w:hint="eastAsia" w:ascii="仿宋" w:hAnsi="仿宋" w:eastAsia="仿宋" w:cs="仿宋"/>
                <w:color w:val="auto"/>
                <w:sz w:val="30"/>
                <w:szCs w:val="30"/>
                <w:highlight w:val="none"/>
              </w:rPr>
            </w:pPr>
          </w:p>
        </w:tc>
        <w:tc>
          <w:tcPr>
            <w:tcW w:w="851" w:type="dxa"/>
            <w:vAlign w:val="center"/>
          </w:tcPr>
          <w:p w14:paraId="4D156FD8">
            <w:pPr>
              <w:pStyle w:val="17"/>
              <w:keepNext/>
              <w:spacing w:line="440" w:lineRule="exact"/>
              <w:ind w:left="63" w:right="63"/>
              <w:rPr>
                <w:rFonts w:hint="eastAsia" w:ascii="仿宋" w:hAnsi="仿宋" w:eastAsia="仿宋" w:cs="仿宋"/>
                <w:color w:val="auto"/>
                <w:sz w:val="30"/>
                <w:szCs w:val="30"/>
                <w:highlight w:val="none"/>
              </w:rPr>
            </w:pPr>
          </w:p>
        </w:tc>
        <w:tc>
          <w:tcPr>
            <w:tcW w:w="1044" w:type="dxa"/>
            <w:vAlign w:val="center"/>
          </w:tcPr>
          <w:p w14:paraId="4A70A0D0">
            <w:pPr>
              <w:pStyle w:val="17"/>
              <w:keepNext/>
              <w:spacing w:line="440" w:lineRule="exact"/>
              <w:ind w:left="63" w:right="63"/>
              <w:rPr>
                <w:rFonts w:hint="eastAsia" w:ascii="仿宋" w:hAnsi="仿宋" w:eastAsia="仿宋" w:cs="仿宋"/>
                <w:color w:val="auto"/>
                <w:sz w:val="30"/>
                <w:szCs w:val="30"/>
                <w:highlight w:val="none"/>
              </w:rPr>
            </w:pPr>
          </w:p>
        </w:tc>
        <w:tc>
          <w:tcPr>
            <w:tcW w:w="992" w:type="dxa"/>
            <w:vAlign w:val="center"/>
          </w:tcPr>
          <w:p w14:paraId="5DD62241">
            <w:pPr>
              <w:pStyle w:val="17"/>
              <w:keepNext/>
              <w:spacing w:line="440" w:lineRule="exact"/>
              <w:ind w:left="63" w:right="63"/>
              <w:rPr>
                <w:rFonts w:hint="eastAsia" w:ascii="仿宋" w:hAnsi="仿宋" w:eastAsia="仿宋" w:cs="仿宋"/>
                <w:color w:val="auto"/>
                <w:sz w:val="30"/>
                <w:szCs w:val="30"/>
                <w:highlight w:val="none"/>
              </w:rPr>
            </w:pPr>
          </w:p>
        </w:tc>
        <w:tc>
          <w:tcPr>
            <w:tcW w:w="851" w:type="dxa"/>
            <w:vAlign w:val="center"/>
          </w:tcPr>
          <w:p w14:paraId="7AECF785">
            <w:pPr>
              <w:pStyle w:val="17"/>
              <w:keepNext/>
              <w:spacing w:line="440" w:lineRule="exact"/>
              <w:ind w:left="63" w:right="63"/>
              <w:rPr>
                <w:rFonts w:hint="eastAsia" w:ascii="仿宋" w:hAnsi="仿宋" w:eastAsia="仿宋" w:cs="仿宋"/>
                <w:color w:val="auto"/>
                <w:sz w:val="30"/>
                <w:szCs w:val="30"/>
                <w:highlight w:val="none"/>
              </w:rPr>
            </w:pPr>
          </w:p>
        </w:tc>
        <w:tc>
          <w:tcPr>
            <w:tcW w:w="1487" w:type="dxa"/>
            <w:vAlign w:val="center"/>
          </w:tcPr>
          <w:p w14:paraId="6FE09656">
            <w:pPr>
              <w:pStyle w:val="17"/>
              <w:keepNext/>
              <w:spacing w:line="440" w:lineRule="exact"/>
              <w:ind w:left="63" w:right="63"/>
              <w:rPr>
                <w:rFonts w:hint="eastAsia" w:ascii="仿宋" w:hAnsi="仿宋" w:eastAsia="仿宋" w:cs="仿宋"/>
                <w:color w:val="auto"/>
                <w:sz w:val="30"/>
                <w:szCs w:val="30"/>
                <w:highlight w:val="none"/>
              </w:rPr>
            </w:pPr>
          </w:p>
        </w:tc>
        <w:tc>
          <w:tcPr>
            <w:tcW w:w="992" w:type="dxa"/>
            <w:vAlign w:val="center"/>
          </w:tcPr>
          <w:p w14:paraId="15F4462C">
            <w:pPr>
              <w:pStyle w:val="17"/>
              <w:keepNext/>
              <w:spacing w:line="440" w:lineRule="exact"/>
              <w:ind w:left="63" w:right="63"/>
              <w:rPr>
                <w:rFonts w:hint="eastAsia" w:ascii="仿宋" w:hAnsi="仿宋" w:eastAsia="仿宋" w:cs="仿宋"/>
                <w:color w:val="auto"/>
                <w:sz w:val="30"/>
                <w:szCs w:val="30"/>
                <w:highlight w:val="none"/>
              </w:rPr>
            </w:pPr>
          </w:p>
        </w:tc>
      </w:tr>
      <w:tr w14:paraId="0AD9CE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2098890E">
            <w:pPr>
              <w:pStyle w:val="17"/>
              <w:keepNext/>
              <w:spacing w:line="440" w:lineRule="exact"/>
              <w:ind w:left="63" w:right="63"/>
              <w:rPr>
                <w:rFonts w:hint="eastAsia" w:ascii="仿宋" w:hAnsi="仿宋" w:eastAsia="仿宋" w:cs="仿宋"/>
                <w:color w:val="auto"/>
                <w:sz w:val="30"/>
                <w:szCs w:val="30"/>
                <w:highlight w:val="none"/>
              </w:rPr>
            </w:pPr>
          </w:p>
        </w:tc>
        <w:tc>
          <w:tcPr>
            <w:tcW w:w="1276" w:type="dxa"/>
            <w:vAlign w:val="center"/>
          </w:tcPr>
          <w:p w14:paraId="16CE92EA">
            <w:pPr>
              <w:pStyle w:val="17"/>
              <w:keepNext/>
              <w:spacing w:line="440" w:lineRule="exact"/>
              <w:ind w:left="63" w:right="63"/>
              <w:rPr>
                <w:rFonts w:hint="eastAsia" w:ascii="仿宋" w:hAnsi="仿宋" w:eastAsia="仿宋" w:cs="仿宋"/>
                <w:color w:val="auto"/>
                <w:sz w:val="30"/>
                <w:szCs w:val="30"/>
                <w:highlight w:val="none"/>
              </w:rPr>
            </w:pPr>
          </w:p>
        </w:tc>
        <w:tc>
          <w:tcPr>
            <w:tcW w:w="1418" w:type="dxa"/>
            <w:vAlign w:val="center"/>
          </w:tcPr>
          <w:p w14:paraId="0DE6D0A9">
            <w:pPr>
              <w:pStyle w:val="17"/>
              <w:keepNext/>
              <w:spacing w:line="440" w:lineRule="exact"/>
              <w:ind w:left="63" w:right="63"/>
              <w:rPr>
                <w:rFonts w:hint="eastAsia" w:ascii="仿宋" w:hAnsi="仿宋" w:eastAsia="仿宋" w:cs="仿宋"/>
                <w:color w:val="auto"/>
                <w:sz w:val="30"/>
                <w:szCs w:val="30"/>
                <w:highlight w:val="none"/>
              </w:rPr>
            </w:pPr>
          </w:p>
        </w:tc>
        <w:tc>
          <w:tcPr>
            <w:tcW w:w="940" w:type="dxa"/>
            <w:vAlign w:val="center"/>
          </w:tcPr>
          <w:p w14:paraId="6ADF98F7">
            <w:pPr>
              <w:pStyle w:val="17"/>
              <w:keepNext/>
              <w:spacing w:line="440" w:lineRule="exact"/>
              <w:ind w:left="63" w:right="63"/>
              <w:rPr>
                <w:rFonts w:hint="eastAsia" w:ascii="仿宋" w:hAnsi="仿宋" w:eastAsia="仿宋" w:cs="仿宋"/>
                <w:color w:val="auto"/>
                <w:sz w:val="30"/>
                <w:szCs w:val="30"/>
                <w:highlight w:val="none"/>
              </w:rPr>
            </w:pPr>
          </w:p>
        </w:tc>
        <w:tc>
          <w:tcPr>
            <w:tcW w:w="851" w:type="dxa"/>
            <w:vAlign w:val="center"/>
          </w:tcPr>
          <w:p w14:paraId="1EFC3711">
            <w:pPr>
              <w:pStyle w:val="17"/>
              <w:keepNext/>
              <w:spacing w:line="440" w:lineRule="exact"/>
              <w:ind w:left="63" w:right="63"/>
              <w:rPr>
                <w:rFonts w:hint="eastAsia" w:ascii="仿宋" w:hAnsi="仿宋" w:eastAsia="仿宋" w:cs="仿宋"/>
                <w:color w:val="auto"/>
                <w:sz w:val="30"/>
                <w:szCs w:val="30"/>
                <w:highlight w:val="none"/>
              </w:rPr>
            </w:pPr>
          </w:p>
        </w:tc>
        <w:tc>
          <w:tcPr>
            <w:tcW w:w="1044" w:type="dxa"/>
            <w:vAlign w:val="center"/>
          </w:tcPr>
          <w:p w14:paraId="4CD93A0D">
            <w:pPr>
              <w:pStyle w:val="17"/>
              <w:keepNext/>
              <w:spacing w:line="440" w:lineRule="exact"/>
              <w:ind w:left="63" w:right="63"/>
              <w:rPr>
                <w:rFonts w:hint="eastAsia" w:ascii="仿宋" w:hAnsi="仿宋" w:eastAsia="仿宋" w:cs="仿宋"/>
                <w:color w:val="auto"/>
                <w:sz w:val="30"/>
                <w:szCs w:val="30"/>
                <w:highlight w:val="none"/>
              </w:rPr>
            </w:pPr>
          </w:p>
        </w:tc>
        <w:tc>
          <w:tcPr>
            <w:tcW w:w="992" w:type="dxa"/>
            <w:vAlign w:val="center"/>
          </w:tcPr>
          <w:p w14:paraId="4494EB60">
            <w:pPr>
              <w:pStyle w:val="17"/>
              <w:keepNext/>
              <w:spacing w:line="440" w:lineRule="exact"/>
              <w:ind w:left="63" w:right="63"/>
              <w:rPr>
                <w:rFonts w:hint="eastAsia" w:ascii="仿宋" w:hAnsi="仿宋" w:eastAsia="仿宋" w:cs="仿宋"/>
                <w:color w:val="auto"/>
                <w:sz w:val="30"/>
                <w:szCs w:val="30"/>
                <w:highlight w:val="none"/>
              </w:rPr>
            </w:pPr>
          </w:p>
        </w:tc>
        <w:tc>
          <w:tcPr>
            <w:tcW w:w="851" w:type="dxa"/>
            <w:vAlign w:val="center"/>
          </w:tcPr>
          <w:p w14:paraId="201695DF">
            <w:pPr>
              <w:pStyle w:val="17"/>
              <w:keepNext/>
              <w:spacing w:line="440" w:lineRule="exact"/>
              <w:ind w:left="63" w:right="63"/>
              <w:rPr>
                <w:rFonts w:hint="eastAsia" w:ascii="仿宋" w:hAnsi="仿宋" w:eastAsia="仿宋" w:cs="仿宋"/>
                <w:color w:val="auto"/>
                <w:sz w:val="30"/>
                <w:szCs w:val="30"/>
                <w:highlight w:val="none"/>
              </w:rPr>
            </w:pPr>
          </w:p>
        </w:tc>
        <w:tc>
          <w:tcPr>
            <w:tcW w:w="1487" w:type="dxa"/>
            <w:vAlign w:val="center"/>
          </w:tcPr>
          <w:p w14:paraId="1D80573E">
            <w:pPr>
              <w:pStyle w:val="17"/>
              <w:keepNext/>
              <w:spacing w:line="440" w:lineRule="exact"/>
              <w:ind w:left="63" w:right="63"/>
              <w:rPr>
                <w:rFonts w:hint="eastAsia" w:ascii="仿宋" w:hAnsi="仿宋" w:eastAsia="仿宋" w:cs="仿宋"/>
                <w:color w:val="auto"/>
                <w:sz w:val="30"/>
                <w:szCs w:val="30"/>
                <w:highlight w:val="none"/>
              </w:rPr>
            </w:pPr>
          </w:p>
        </w:tc>
        <w:tc>
          <w:tcPr>
            <w:tcW w:w="992" w:type="dxa"/>
            <w:vAlign w:val="center"/>
          </w:tcPr>
          <w:p w14:paraId="5F9FA716">
            <w:pPr>
              <w:pStyle w:val="17"/>
              <w:keepNext/>
              <w:spacing w:line="440" w:lineRule="exact"/>
              <w:ind w:left="63" w:right="63"/>
              <w:rPr>
                <w:rFonts w:hint="eastAsia" w:ascii="仿宋" w:hAnsi="仿宋" w:eastAsia="仿宋" w:cs="仿宋"/>
                <w:color w:val="auto"/>
                <w:sz w:val="30"/>
                <w:szCs w:val="30"/>
                <w:highlight w:val="none"/>
              </w:rPr>
            </w:pPr>
          </w:p>
        </w:tc>
      </w:tr>
      <w:tr w14:paraId="6911B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60CE7151">
            <w:pPr>
              <w:jc w:val="center"/>
              <w:rPr>
                <w:rFonts w:hint="eastAsia" w:ascii="仿宋" w:hAnsi="仿宋" w:eastAsia="仿宋" w:cs="仿宋"/>
                <w:color w:val="auto"/>
                <w:sz w:val="30"/>
                <w:szCs w:val="30"/>
                <w:highlight w:val="none"/>
              </w:rPr>
            </w:pPr>
          </w:p>
        </w:tc>
        <w:tc>
          <w:tcPr>
            <w:tcW w:w="1276" w:type="dxa"/>
            <w:vAlign w:val="center"/>
          </w:tcPr>
          <w:p w14:paraId="6ADE1EB8">
            <w:pPr>
              <w:jc w:val="center"/>
              <w:rPr>
                <w:rFonts w:hint="eastAsia" w:ascii="仿宋" w:hAnsi="仿宋" w:eastAsia="仿宋" w:cs="仿宋"/>
                <w:color w:val="auto"/>
                <w:sz w:val="30"/>
                <w:szCs w:val="30"/>
                <w:highlight w:val="none"/>
              </w:rPr>
            </w:pPr>
          </w:p>
        </w:tc>
        <w:tc>
          <w:tcPr>
            <w:tcW w:w="1418" w:type="dxa"/>
            <w:vAlign w:val="center"/>
          </w:tcPr>
          <w:p w14:paraId="664D6111">
            <w:pPr>
              <w:jc w:val="center"/>
              <w:rPr>
                <w:rFonts w:hint="eastAsia" w:ascii="仿宋" w:hAnsi="仿宋" w:eastAsia="仿宋" w:cs="仿宋"/>
                <w:color w:val="auto"/>
                <w:sz w:val="30"/>
                <w:szCs w:val="30"/>
                <w:highlight w:val="none"/>
              </w:rPr>
            </w:pPr>
          </w:p>
        </w:tc>
        <w:tc>
          <w:tcPr>
            <w:tcW w:w="940" w:type="dxa"/>
            <w:vAlign w:val="center"/>
          </w:tcPr>
          <w:p w14:paraId="4191BC7E">
            <w:pPr>
              <w:jc w:val="center"/>
              <w:rPr>
                <w:rFonts w:hint="eastAsia" w:ascii="仿宋" w:hAnsi="仿宋" w:eastAsia="仿宋" w:cs="仿宋"/>
                <w:color w:val="auto"/>
                <w:sz w:val="30"/>
                <w:szCs w:val="30"/>
                <w:highlight w:val="none"/>
              </w:rPr>
            </w:pPr>
          </w:p>
        </w:tc>
        <w:tc>
          <w:tcPr>
            <w:tcW w:w="851" w:type="dxa"/>
            <w:vAlign w:val="center"/>
          </w:tcPr>
          <w:p w14:paraId="0EF8F628">
            <w:pPr>
              <w:jc w:val="center"/>
              <w:rPr>
                <w:rFonts w:hint="eastAsia" w:ascii="仿宋" w:hAnsi="仿宋" w:eastAsia="仿宋" w:cs="仿宋"/>
                <w:color w:val="auto"/>
                <w:sz w:val="30"/>
                <w:szCs w:val="30"/>
                <w:highlight w:val="none"/>
              </w:rPr>
            </w:pPr>
          </w:p>
        </w:tc>
        <w:tc>
          <w:tcPr>
            <w:tcW w:w="1044" w:type="dxa"/>
            <w:vAlign w:val="center"/>
          </w:tcPr>
          <w:p w14:paraId="000821D8">
            <w:pPr>
              <w:jc w:val="center"/>
              <w:rPr>
                <w:rFonts w:hint="eastAsia" w:ascii="仿宋" w:hAnsi="仿宋" w:eastAsia="仿宋" w:cs="仿宋"/>
                <w:color w:val="auto"/>
                <w:sz w:val="30"/>
                <w:szCs w:val="30"/>
                <w:highlight w:val="none"/>
              </w:rPr>
            </w:pPr>
          </w:p>
        </w:tc>
        <w:tc>
          <w:tcPr>
            <w:tcW w:w="992" w:type="dxa"/>
            <w:vAlign w:val="center"/>
          </w:tcPr>
          <w:p w14:paraId="53070F9E">
            <w:pPr>
              <w:jc w:val="center"/>
              <w:rPr>
                <w:rFonts w:hint="eastAsia" w:ascii="仿宋" w:hAnsi="仿宋" w:eastAsia="仿宋" w:cs="仿宋"/>
                <w:color w:val="auto"/>
                <w:sz w:val="30"/>
                <w:szCs w:val="30"/>
                <w:highlight w:val="none"/>
              </w:rPr>
            </w:pPr>
          </w:p>
        </w:tc>
        <w:tc>
          <w:tcPr>
            <w:tcW w:w="851" w:type="dxa"/>
            <w:vAlign w:val="center"/>
          </w:tcPr>
          <w:p w14:paraId="50EF0A6C">
            <w:pPr>
              <w:jc w:val="center"/>
              <w:rPr>
                <w:rFonts w:hint="eastAsia" w:ascii="仿宋" w:hAnsi="仿宋" w:eastAsia="仿宋" w:cs="仿宋"/>
                <w:color w:val="auto"/>
                <w:sz w:val="30"/>
                <w:szCs w:val="30"/>
                <w:highlight w:val="none"/>
              </w:rPr>
            </w:pPr>
          </w:p>
        </w:tc>
        <w:tc>
          <w:tcPr>
            <w:tcW w:w="1487" w:type="dxa"/>
            <w:vAlign w:val="center"/>
          </w:tcPr>
          <w:p w14:paraId="7D6FB988">
            <w:pPr>
              <w:jc w:val="center"/>
              <w:rPr>
                <w:rFonts w:hint="eastAsia" w:ascii="仿宋" w:hAnsi="仿宋" w:eastAsia="仿宋" w:cs="仿宋"/>
                <w:color w:val="auto"/>
                <w:sz w:val="30"/>
                <w:szCs w:val="30"/>
                <w:highlight w:val="none"/>
              </w:rPr>
            </w:pPr>
          </w:p>
        </w:tc>
        <w:tc>
          <w:tcPr>
            <w:tcW w:w="992" w:type="dxa"/>
            <w:vAlign w:val="center"/>
          </w:tcPr>
          <w:p w14:paraId="422D909D">
            <w:pPr>
              <w:jc w:val="center"/>
              <w:rPr>
                <w:rFonts w:hint="eastAsia" w:ascii="仿宋" w:hAnsi="仿宋" w:eastAsia="仿宋" w:cs="仿宋"/>
                <w:color w:val="auto"/>
                <w:sz w:val="30"/>
                <w:szCs w:val="30"/>
                <w:highlight w:val="none"/>
              </w:rPr>
            </w:pPr>
          </w:p>
        </w:tc>
      </w:tr>
      <w:tr w14:paraId="0130C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6836C1F9">
            <w:pPr>
              <w:pStyle w:val="17"/>
              <w:keepNext/>
              <w:spacing w:line="440" w:lineRule="exact"/>
              <w:ind w:left="63" w:right="63"/>
              <w:rPr>
                <w:rFonts w:hint="eastAsia" w:ascii="仿宋" w:hAnsi="仿宋" w:eastAsia="仿宋" w:cs="仿宋"/>
                <w:color w:val="auto"/>
                <w:sz w:val="30"/>
                <w:szCs w:val="30"/>
                <w:highlight w:val="none"/>
              </w:rPr>
            </w:pPr>
          </w:p>
        </w:tc>
        <w:tc>
          <w:tcPr>
            <w:tcW w:w="1276" w:type="dxa"/>
            <w:vAlign w:val="center"/>
          </w:tcPr>
          <w:p w14:paraId="17BC6652">
            <w:pPr>
              <w:pStyle w:val="17"/>
              <w:keepNext/>
              <w:spacing w:line="440" w:lineRule="exact"/>
              <w:ind w:left="63" w:right="63"/>
              <w:rPr>
                <w:rFonts w:hint="eastAsia" w:ascii="仿宋" w:hAnsi="仿宋" w:eastAsia="仿宋" w:cs="仿宋"/>
                <w:color w:val="auto"/>
                <w:sz w:val="30"/>
                <w:szCs w:val="30"/>
                <w:highlight w:val="none"/>
              </w:rPr>
            </w:pPr>
          </w:p>
        </w:tc>
        <w:tc>
          <w:tcPr>
            <w:tcW w:w="1418" w:type="dxa"/>
            <w:vAlign w:val="center"/>
          </w:tcPr>
          <w:p w14:paraId="31AE0ABE">
            <w:pPr>
              <w:pStyle w:val="17"/>
              <w:keepNext/>
              <w:spacing w:line="440" w:lineRule="exact"/>
              <w:ind w:left="63" w:right="63"/>
              <w:rPr>
                <w:rFonts w:hint="eastAsia" w:ascii="仿宋" w:hAnsi="仿宋" w:eastAsia="仿宋" w:cs="仿宋"/>
                <w:color w:val="auto"/>
                <w:sz w:val="30"/>
                <w:szCs w:val="30"/>
                <w:highlight w:val="none"/>
              </w:rPr>
            </w:pPr>
          </w:p>
        </w:tc>
        <w:tc>
          <w:tcPr>
            <w:tcW w:w="940" w:type="dxa"/>
            <w:vAlign w:val="center"/>
          </w:tcPr>
          <w:p w14:paraId="7CDEE247">
            <w:pPr>
              <w:pStyle w:val="17"/>
              <w:keepNext/>
              <w:spacing w:line="440" w:lineRule="exact"/>
              <w:ind w:left="63" w:right="63"/>
              <w:rPr>
                <w:rFonts w:hint="eastAsia" w:ascii="仿宋" w:hAnsi="仿宋" w:eastAsia="仿宋" w:cs="仿宋"/>
                <w:color w:val="auto"/>
                <w:sz w:val="30"/>
                <w:szCs w:val="30"/>
                <w:highlight w:val="none"/>
              </w:rPr>
            </w:pPr>
          </w:p>
        </w:tc>
        <w:tc>
          <w:tcPr>
            <w:tcW w:w="851" w:type="dxa"/>
            <w:vAlign w:val="center"/>
          </w:tcPr>
          <w:p w14:paraId="0D9BB409">
            <w:pPr>
              <w:pStyle w:val="17"/>
              <w:keepNext/>
              <w:spacing w:line="440" w:lineRule="exact"/>
              <w:ind w:left="63" w:right="63"/>
              <w:rPr>
                <w:rFonts w:hint="eastAsia" w:ascii="仿宋" w:hAnsi="仿宋" w:eastAsia="仿宋" w:cs="仿宋"/>
                <w:color w:val="auto"/>
                <w:sz w:val="30"/>
                <w:szCs w:val="30"/>
                <w:highlight w:val="none"/>
              </w:rPr>
            </w:pPr>
          </w:p>
        </w:tc>
        <w:tc>
          <w:tcPr>
            <w:tcW w:w="1044" w:type="dxa"/>
            <w:vAlign w:val="center"/>
          </w:tcPr>
          <w:p w14:paraId="295662A9">
            <w:pPr>
              <w:pStyle w:val="17"/>
              <w:keepNext/>
              <w:spacing w:line="440" w:lineRule="exact"/>
              <w:ind w:left="63" w:right="63"/>
              <w:rPr>
                <w:rFonts w:hint="eastAsia" w:ascii="仿宋" w:hAnsi="仿宋" w:eastAsia="仿宋" w:cs="仿宋"/>
                <w:color w:val="auto"/>
                <w:sz w:val="30"/>
                <w:szCs w:val="30"/>
                <w:highlight w:val="none"/>
              </w:rPr>
            </w:pPr>
          </w:p>
        </w:tc>
        <w:tc>
          <w:tcPr>
            <w:tcW w:w="992" w:type="dxa"/>
            <w:vAlign w:val="center"/>
          </w:tcPr>
          <w:p w14:paraId="7213B95E">
            <w:pPr>
              <w:pStyle w:val="17"/>
              <w:keepNext/>
              <w:spacing w:line="440" w:lineRule="exact"/>
              <w:ind w:left="63" w:right="63"/>
              <w:rPr>
                <w:rFonts w:hint="eastAsia" w:ascii="仿宋" w:hAnsi="仿宋" w:eastAsia="仿宋" w:cs="仿宋"/>
                <w:color w:val="auto"/>
                <w:sz w:val="30"/>
                <w:szCs w:val="30"/>
                <w:highlight w:val="none"/>
              </w:rPr>
            </w:pPr>
          </w:p>
        </w:tc>
        <w:tc>
          <w:tcPr>
            <w:tcW w:w="851" w:type="dxa"/>
            <w:vAlign w:val="center"/>
          </w:tcPr>
          <w:p w14:paraId="79BB5264">
            <w:pPr>
              <w:pStyle w:val="17"/>
              <w:keepNext/>
              <w:spacing w:line="440" w:lineRule="exact"/>
              <w:ind w:left="63" w:right="63"/>
              <w:rPr>
                <w:rFonts w:hint="eastAsia" w:ascii="仿宋" w:hAnsi="仿宋" w:eastAsia="仿宋" w:cs="仿宋"/>
                <w:color w:val="auto"/>
                <w:sz w:val="30"/>
                <w:szCs w:val="30"/>
                <w:highlight w:val="none"/>
              </w:rPr>
            </w:pPr>
          </w:p>
        </w:tc>
        <w:tc>
          <w:tcPr>
            <w:tcW w:w="1487" w:type="dxa"/>
            <w:vAlign w:val="center"/>
          </w:tcPr>
          <w:p w14:paraId="2254C14A">
            <w:pPr>
              <w:pStyle w:val="17"/>
              <w:keepNext/>
              <w:spacing w:line="440" w:lineRule="exact"/>
              <w:ind w:left="63" w:right="63"/>
              <w:rPr>
                <w:rFonts w:hint="eastAsia" w:ascii="仿宋" w:hAnsi="仿宋" w:eastAsia="仿宋" w:cs="仿宋"/>
                <w:color w:val="auto"/>
                <w:sz w:val="30"/>
                <w:szCs w:val="30"/>
                <w:highlight w:val="none"/>
              </w:rPr>
            </w:pPr>
          </w:p>
        </w:tc>
        <w:tc>
          <w:tcPr>
            <w:tcW w:w="992" w:type="dxa"/>
            <w:vAlign w:val="center"/>
          </w:tcPr>
          <w:p w14:paraId="2887EA35">
            <w:pPr>
              <w:pStyle w:val="17"/>
              <w:keepNext/>
              <w:spacing w:line="440" w:lineRule="exact"/>
              <w:ind w:left="63" w:right="63"/>
              <w:rPr>
                <w:rFonts w:hint="eastAsia" w:ascii="仿宋" w:hAnsi="仿宋" w:eastAsia="仿宋" w:cs="仿宋"/>
                <w:color w:val="auto"/>
                <w:sz w:val="30"/>
                <w:szCs w:val="30"/>
                <w:highlight w:val="none"/>
              </w:rPr>
            </w:pPr>
          </w:p>
        </w:tc>
      </w:tr>
      <w:tr w14:paraId="4A87D5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466FD7F4">
            <w:pPr>
              <w:jc w:val="center"/>
              <w:rPr>
                <w:rFonts w:hint="eastAsia" w:ascii="仿宋" w:hAnsi="仿宋" w:eastAsia="仿宋" w:cs="仿宋"/>
                <w:color w:val="auto"/>
                <w:sz w:val="30"/>
                <w:szCs w:val="30"/>
                <w:highlight w:val="none"/>
              </w:rPr>
            </w:pPr>
          </w:p>
        </w:tc>
        <w:tc>
          <w:tcPr>
            <w:tcW w:w="1276" w:type="dxa"/>
            <w:vAlign w:val="center"/>
          </w:tcPr>
          <w:p w14:paraId="4BBC881A">
            <w:pPr>
              <w:jc w:val="center"/>
              <w:rPr>
                <w:rFonts w:hint="eastAsia" w:ascii="仿宋" w:hAnsi="仿宋" w:eastAsia="仿宋" w:cs="仿宋"/>
                <w:color w:val="auto"/>
                <w:sz w:val="30"/>
                <w:szCs w:val="30"/>
                <w:highlight w:val="none"/>
              </w:rPr>
            </w:pPr>
          </w:p>
        </w:tc>
        <w:tc>
          <w:tcPr>
            <w:tcW w:w="1418" w:type="dxa"/>
            <w:vAlign w:val="center"/>
          </w:tcPr>
          <w:p w14:paraId="1ABE384C">
            <w:pPr>
              <w:jc w:val="center"/>
              <w:rPr>
                <w:rFonts w:hint="eastAsia" w:ascii="仿宋" w:hAnsi="仿宋" w:eastAsia="仿宋" w:cs="仿宋"/>
                <w:color w:val="auto"/>
                <w:sz w:val="30"/>
                <w:szCs w:val="30"/>
                <w:highlight w:val="none"/>
              </w:rPr>
            </w:pPr>
          </w:p>
        </w:tc>
        <w:tc>
          <w:tcPr>
            <w:tcW w:w="940" w:type="dxa"/>
            <w:vAlign w:val="center"/>
          </w:tcPr>
          <w:p w14:paraId="0E826FD6">
            <w:pPr>
              <w:jc w:val="center"/>
              <w:rPr>
                <w:rFonts w:hint="eastAsia" w:ascii="仿宋" w:hAnsi="仿宋" w:eastAsia="仿宋" w:cs="仿宋"/>
                <w:color w:val="auto"/>
                <w:sz w:val="30"/>
                <w:szCs w:val="30"/>
                <w:highlight w:val="none"/>
              </w:rPr>
            </w:pPr>
          </w:p>
        </w:tc>
        <w:tc>
          <w:tcPr>
            <w:tcW w:w="851" w:type="dxa"/>
            <w:vAlign w:val="center"/>
          </w:tcPr>
          <w:p w14:paraId="3D092F5F">
            <w:pPr>
              <w:jc w:val="center"/>
              <w:rPr>
                <w:rFonts w:hint="eastAsia" w:ascii="仿宋" w:hAnsi="仿宋" w:eastAsia="仿宋" w:cs="仿宋"/>
                <w:color w:val="auto"/>
                <w:sz w:val="30"/>
                <w:szCs w:val="30"/>
                <w:highlight w:val="none"/>
              </w:rPr>
            </w:pPr>
          </w:p>
        </w:tc>
        <w:tc>
          <w:tcPr>
            <w:tcW w:w="1044" w:type="dxa"/>
            <w:vAlign w:val="center"/>
          </w:tcPr>
          <w:p w14:paraId="246B260E">
            <w:pPr>
              <w:jc w:val="center"/>
              <w:rPr>
                <w:rFonts w:hint="eastAsia" w:ascii="仿宋" w:hAnsi="仿宋" w:eastAsia="仿宋" w:cs="仿宋"/>
                <w:color w:val="auto"/>
                <w:sz w:val="30"/>
                <w:szCs w:val="30"/>
                <w:highlight w:val="none"/>
              </w:rPr>
            </w:pPr>
          </w:p>
        </w:tc>
        <w:tc>
          <w:tcPr>
            <w:tcW w:w="992" w:type="dxa"/>
            <w:vAlign w:val="center"/>
          </w:tcPr>
          <w:p w14:paraId="3D9FB90F">
            <w:pPr>
              <w:jc w:val="center"/>
              <w:rPr>
                <w:rFonts w:hint="eastAsia" w:ascii="仿宋" w:hAnsi="仿宋" w:eastAsia="仿宋" w:cs="仿宋"/>
                <w:color w:val="auto"/>
                <w:sz w:val="30"/>
                <w:szCs w:val="30"/>
                <w:highlight w:val="none"/>
              </w:rPr>
            </w:pPr>
          </w:p>
        </w:tc>
        <w:tc>
          <w:tcPr>
            <w:tcW w:w="851" w:type="dxa"/>
            <w:vAlign w:val="center"/>
          </w:tcPr>
          <w:p w14:paraId="338B435A">
            <w:pPr>
              <w:jc w:val="center"/>
              <w:rPr>
                <w:rFonts w:hint="eastAsia" w:ascii="仿宋" w:hAnsi="仿宋" w:eastAsia="仿宋" w:cs="仿宋"/>
                <w:color w:val="auto"/>
                <w:sz w:val="30"/>
                <w:szCs w:val="30"/>
                <w:highlight w:val="none"/>
              </w:rPr>
            </w:pPr>
          </w:p>
        </w:tc>
        <w:tc>
          <w:tcPr>
            <w:tcW w:w="1487" w:type="dxa"/>
            <w:vAlign w:val="center"/>
          </w:tcPr>
          <w:p w14:paraId="00A39171">
            <w:pPr>
              <w:jc w:val="center"/>
              <w:rPr>
                <w:rFonts w:hint="eastAsia" w:ascii="仿宋" w:hAnsi="仿宋" w:eastAsia="仿宋" w:cs="仿宋"/>
                <w:color w:val="auto"/>
                <w:sz w:val="30"/>
                <w:szCs w:val="30"/>
                <w:highlight w:val="none"/>
              </w:rPr>
            </w:pPr>
          </w:p>
        </w:tc>
        <w:tc>
          <w:tcPr>
            <w:tcW w:w="992" w:type="dxa"/>
            <w:vAlign w:val="center"/>
          </w:tcPr>
          <w:p w14:paraId="1E0F42F1">
            <w:pPr>
              <w:jc w:val="center"/>
              <w:rPr>
                <w:rFonts w:hint="eastAsia" w:ascii="仿宋" w:hAnsi="仿宋" w:eastAsia="仿宋" w:cs="仿宋"/>
                <w:color w:val="auto"/>
                <w:sz w:val="30"/>
                <w:szCs w:val="30"/>
                <w:highlight w:val="none"/>
              </w:rPr>
            </w:pPr>
          </w:p>
        </w:tc>
      </w:tr>
      <w:tr w14:paraId="07096C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581436BD">
            <w:pPr>
              <w:jc w:val="center"/>
              <w:rPr>
                <w:rFonts w:hint="eastAsia" w:ascii="仿宋" w:hAnsi="仿宋" w:eastAsia="仿宋" w:cs="仿宋"/>
                <w:color w:val="auto"/>
                <w:sz w:val="30"/>
                <w:szCs w:val="30"/>
                <w:highlight w:val="none"/>
              </w:rPr>
            </w:pPr>
          </w:p>
        </w:tc>
        <w:tc>
          <w:tcPr>
            <w:tcW w:w="1276" w:type="dxa"/>
            <w:vAlign w:val="center"/>
          </w:tcPr>
          <w:p w14:paraId="1A84DB5C">
            <w:pPr>
              <w:jc w:val="center"/>
              <w:rPr>
                <w:rFonts w:hint="eastAsia" w:ascii="仿宋" w:hAnsi="仿宋" w:eastAsia="仿宋" w:cs="仿宋"/>
                <w:color w:val="auto"/>
                <w:sz w:val="30"/>
                <w:szCs w:val="30"/>
                <w:highlight w:val="none"/>
              </w:rPr>
            </w:pPr>
          </w:p>
        </w:tc>
        <w:tc>
          <w:tcPr>
            <w:tcW w:w="1418" w:type="dxa"/>
            <w:vAlign w:val="center"/>
          </w:tcPr>
          <w:p w14:paraId="75E02512">
            <w:pPr>
              <w:jc w:val="center"/>
              <w:rPr>
                <w:rFonts w:hint="eastAsia" w:ascii="仿宋" w:hAnsi="仿宋" w:eastAsia="仿宋" w:cs="仿宋"/>
                <w:color w:val="auto"/>
                <w:sz w:val="30"/>
                <w:szCs w:val="30"/>
                <w:highlight w:val="none"/>
              </w:rPr>
            </w:pPr>
          </w:p>
        </w:tc>
        <w:tc>
          <w:tcPr>
            <w:tcW w:w="940" w:type="dxa"/>
            <w:vAlign w:val="center"/>
          </w:tcPr>
          <w:p w14:paraId="32FB1CC6">
            <w:pPr>
              <w:jc w:val="center"/>
              <w:rPr>
                <w:rFonts w:hint="eastAsia" w:ascii="仿宋" w:hAnsi="仿宋" w:eastAsia="仿宋" w:cs="仿宋"/>
                <w:color w:val="auto"/>
                <w:sz w:val="30"/>
                <w:szCs w:val="30"/>
                <w:highlight w:val="none"/>
              </w:rPr>
            </w:pPr>
          </w:p>
        </w:tc>
        <w:tc>
          <w:tcPr>
            <w:tcW w:w="851" w:type="dxa"/>
            <w:vAlign w:val="center"/>
          </w:tcPr>
          <w:p w14:paraId="668BADDF">
            <w:pPr>
              <w:jc w:val="center"/>
              <w:rPr>
                <w:rFonts w:hint="eastAsia" w:ascii="仿宋" w:hAnsi="仿宋" w:eastAsia="仿宋" w:cs="仿宋"/>
                <w:color w:val="auto"/>
                <w:sz w:val="30"/>
                <w:szCs w:val="30"/>
                <w:highlight w:val="none"/>
              </w:rPr>
            </w:pPr>
          </w:p>
        </w:tc>
        <w:tc>
          <w:tcPr>
            <w:tcW w:w="1044" w:type="dxa"/>
            <w:vAlign w:val="center"/>
          </w:tcPr>
          <w:p w14:paraId="179A2AF7">
            <w:pPr>
              <w:jc w:val="center"/>
              <w:rPr>
                <w:rFonts w:hint="eastAsia" w:ascii="仿宋" w:hAnsi="仿宋" w:eastAsia="仿宋" w:cs="仿宋"/>
                <w:color w:val="auto"/>
                <w:sz w:val="30"/>
                <w:szCs w:val="30"/>
                <w:highlight w:val="none"/>
              </w:rPr>
            </w:pPr>
          </w:p>
        </w:tc>
        <w:tc>
          <w:tcPr>
            <w:tcW w:w="992" w:type="dxa"/>
            <w:vAlign w:val="center"/>
          </w:tcPr>
          <w:p w14:paraId="106F0F3D">
            <w:pPr>
              <w:jc w:val="center"/>
              <w:rPr>
                <w:rFonts w:hint="eastAsia" w:ascii="仿宋" w:hAnsi="仿宋" w:eastAsia="仿宋" w:cs="仿宋"/>
                <w:color w:val="auto"/>
                <w:sz w:val="30"/>
                <w:szCs w:val="30"/>
                <w:highlight w:val="none"/>
              </w:rPr>
            </w:pPr>
          </w:p>
        </w:tc>
        <w:tc>
          <w:tcPr>
            <w:tcW w:w="851" w:type="dxa"/>
            <w:vAlign w:val="center"/>
          </w:tcPr>
          <w:p w14:paraId="0FA851E8">
            <w:pPr>
              <w:jc w:val="center"/>
              <w:rPr>
                <w:rFonts w:hint="eastAsia" w:ascii="仿宋" w:hAnsi="仿宋" w:eastAsia="仿宋" w:cs="仿宋"/>
                <w:color w:val="auto"/>
                <w:sz w:val="30"/>
                <w:szCs w:val="30"/>
                <w:highlight w:val="none"/>
              </w:rPr>
            </w:pPr>
          </w:p>
        </w:tc>
        <w:tc>
          <w:tcPr>
            <w:tcW w:w="1487" w:type="dxa"/>
            <w:vAlign w:val="center"/>
          </w:tcPr>
          <w:p w14:paraId="475AF458">
            <w:pPr>
              <w:jc w:val="center"/>
              <w:rPr>
                <w:rFonts w:hint="eastAsia" w:ascii="仿宋" w:hAnsi="仿宋" w:eastAsia="仿宋" w:cs="仿宋"/>
                <w:color w:val="auto"/>
                <w:sz w:val="30"/>
                <w:szCs w:val="30"/>
                <w:highlight w:val="none"/>
              </w:rPr>
            </w:pPr>
          </w:p>
        </w:tc>
        <w:tc>
          <w:tcPr>
            <w:tcW w:w="992" w:type="dxa"/>
            <w:vAlign w:val="center"/>
          </w:tcPr>
          <w:p w14:paraId="075C9D41">
            <w:pPr>
              <w:jc w:val="center"/>
              <w:rPr>
                <w:rFonts w:hint="eastAsia" w:ascii="仿宋" w:hAnsi="仿宋" w:eastAsia="仿宋" w:cs="仿宋"/>
                <w:color w:val="auto"/>
                <w:sz w:val="30"/>
                <w:szCs w:val="30"/>
                <w:highlight w:val="none"/>
              </w:rPr>
            </w:pPr>
          </w:p>
        </w:tc>
      </w:tr>
      <w:tr w14:paraId="4FAC4D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0F926D91">
            <w:pPr>
              <w:jc w:val="center"/>
              <w:rPr>
                <w:rFonts w:hint="eastAsia" w:ascii="仿宋" w:hAnsi="仿宋" w:eastAsia="仿宋" w:cs="仿宋"/>
                <w:color w:val="auto"/>
                <w:sz w:val="30"/>
                <w:szCs w:val="30"/>
                <w:highlight w:val="none"/>
              </w:rPr>
            </w:pPr>
          </w:p>
        </w:tc>
        <w:tc>
          <w:tcPr>
            <w:tcW w:w="1276" w:type="dxa"/>
            <w:vAlign w:val="center"/>
          </w:tcPr>
          <w:p w14:paraId="7F821BD4">
            <w:pPr>
              <w:jc w:val="center"/>
              <w:rPr>
                <w:rFonts w:hint="eastAsia" w:ascii="仿宋" w:hAnsi="仿宋" w:eastAsia="仿宋" w:cs="仿宋"/>
                <w:color w:val="auto"/>
                <w:sz w:val="30"/>
                <w:szCs w:val="30"/>
                <w:highlight w:val="none"/>
              </w:rPr>
            </w:pPr>
          </w:p>
        </w:tc>
        <w:tc>
          <w:tcPr>
            <w:tcW w:w="1418" w:type="dxa"/>
            <w:vAlign w:val="center"/>
          </w:tcPr>
          <w:p w14:paraId="3D729125">
            <w:pPr>
              <w:jc w:val="center"/>
              <w:rPr>
                <w:rFonts w:hint="eastAsia" w:ascii="仿宋" w:hAnsi="仿宋" w:eastAsia="仿宋" w:cs="仿宋"/>
                <w:color w:val="auto"/>
                <w:sz w:val="30"/>
                <w:szCs w:val="30"/>
                <w:highlight w:val="none"/>
              </w:rPr>
            </w:pPr>
          </w:p>
        </w:tc>
        <w:tc>
          <w:tcPr>
            <w:tcW w:w="940" w:type="dxa"/>
            <w:vAlign w:val="center"/>
          </w:tcPr>
          <w:p w14:paraId="6F371F77">
            <w:pPr>
              <w:jc w:val="center"/>
              <w:rPr>
                <w:rFonts w:hint="eastAsia" w:ascii="仿宋" w:hAnsi="仿宋" w:eastAsia="仿宋" w:cs="仿宋"/>
                <w:color w:val="auto"/>
                <w:sz w:val="30"/>
                <w:szCs w:val="30"/>
                <w:highlight w:val="none"/>
              </w:rPr>
            </w:pPr>
          </w:p>
        </w:tc>
        <w:tc>
          <w:tcPr>
            <w:tcW w:w="851" w:type="dxa"/>
            <w:vAlign w:val="center"/>
          </w:tcPr>
          <w:p w14:paraId="30BF0F11">
            <w:pPr>
              <w:jc w:val="center"/>
              <w:rPr>
                <w:rFonts w:hint="eastAsia" w:ascii="仿宋" w:hAnsi="仿宋" w:eastAsia="仿宋" w:cs="仿宋"/>
                <w:color w:val="auto"/>
                <w:sz w:val="30"/>
                <w:szCs w:val="30"/>
                <w:highlight w:val="none"/>
              </w:rPr>
            </w:pPr>
          </w:p>
        </w:tc>
        <w:tc>
          <w:tcPr>
            <w:tcW w:w="1044" w:type="dxa"/>
            <w:vAlign w:val="center"/>
          </w:tcPr>
          <w:p w14:paraId="2CB1DC50">
            <w:pPr>
              <w:jc w:val="center"/>
              <w:rPr>
                <w:rFonts w:hint="eastAsia" w:ascii="仿宋" w:hAnsi="仿宋" w:eastAsia="仿宋" w:cs="仿宋"/>
                <w:color w:val="auto"/>
                <w:sz w:val="30"/>
                <w:szCs w:val="30"/>
                <w:highlight w:val="none"/>
              </w:rPr>
            </w:pPr>
          </w:p>
        </w:tc>
        <w:tc>
          <w:tcPr>
            <w:tcW w:w="992" w:type="dxa"/>
            <w:vAlign w:val="center"/>
          </w:tcPr>
          <w:p w14:paraId="3E5DBA6F">
            <w:pPr>
              <w:jc w:val="center"/>
              <w:rPr>
                <w:rFonts w:hint="eastAsia" w:ascii="仿宋" w:hAnsi="仿宋" w:eastAsia="仿宋" w:cs="仿宋"/>
                <w:color w:val="auto"/>
                <w:sz w:val="30"/>
                <w:szCs w:val="30"/>
                <w:highlight w:val="none"/>
              </w:rPr>
            </w:pPr>
          </w:p>
        </w:tc>
        <w:tc>
          <w:tcPr>
            <w:tcW w:w="851" w:type="dxa"/>
            <w:vAlign w:val="center"/>
          </w:tcPr>
          <w:p w14:paraId="2CC61835">
            <w:pPr>
              <w:jc w:val="center"/>
              <w:rPr>
                <w:rFonts w:hint="eastAsia" w:ascii="仿宋" w:hAnsi="仿宋" w:eastAsia="仿宋" w:cs="仿宋"/>
                <w:color w:val="auto"/>
                <w:sz w:val="30"/>
                <w:szCs w:val="30"/>
                <w:highlight w:val="none"/>
              </w:rPr>
            </w:pPr>
          </w:p>
        </w:tc>
        <w:tc>
          <w:tcPr>
            <w:tcW w:w="1487" w:type="dxa"/>
            <w:vAlign w:val="center"/>
          </w:tcPr>
          <w:p w14:paraId="469B619A">
            <w:pPr>
              <w:jc w:val="center"/>
              <w:rPr>
                <w:rFonts w:hint="eastAsia" w:ascii="仿宋" w:hAnsi="仿宋" w:eastAsia="仿宋" w:cs="仿宋"/>
                <w:color w:val="auto"/>
                <w:sz w:val="30"/>
                <w:szCs w:val="30"/>
                <w:highlight w:val="none"/>
              </w:rPr>
            </w:pPr>
          </w:p>
        </w:tc>
        <w:tc>
          <w:tcPr>
            <w:tcW w:w="992" w:type="dxa"/>
            <w:vAlign w:val="center"/>
          </w:tcPr>
          <w:p w14:paraId="51FC1B33">
            <w:pPr>
              <w:jc w:val="center"/>
              <w:rPr>
                <w:rFonts w:hint="eastAsia" w:ascii="仿宋" w:hAnsi="仿宋" w:eastAsia="仿宋" w:cs="仿宋"/>
                <w:color w:val="auto"/>
                <w:sz w:val="30"/>
                <w:szCs w:val="30"/>
                <w:highlight w:val="none"/>
              </w:rPr>
            </w:pPr>
          </w:p>
        </w:tc>
      </w:tr>
      <w:tr w14:paraId="333BBB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2029806F">
            <w:pPr>
              <w:jc w:val="center"/>
              <w:rPr>
                <w:rFonts w:hint="eastAsia" w:ascii="仿宋" w:hAnsi="仿宋" w:eastAsia="仿宋" w:cs="仿宋"/>
                <w:color w:val="auto"/>
                <w:sz w:val="30"/>
                <w:szCs w:val="30"/>
                <w:highlight w:val="none"/>
              </w:rPr>
            </w:pPr>
          </w:p>
        </w:tc>
        <w:tc>
          <w:tcPr>
            <w:tcW w:w="1276" w:type="dxa"/>
            <w:vAlign w:val="center"/>
          </w:tcPr>
          <w:p w14:paraId="7330EF59">
            <w:pPr>
              <w:jc w:val="center"/>
              <w:rPr>
                <w:rFonts w:hint="eastAsia" w:ascii="仿宋" w:hAnsi="仿宋" w:eastAsia="仿宋" w:cs="仿宋"/>
                <w:color w:val="auto"/>
                <w:sz w:val="30"/>
                <w:szCs w:val="30"/>
                <w:highlight w:val="none"/>
              </w:rPr>
            </w:pPr>
          </w:p>
        </w:tc>
        <w:tc>
          <w:tcPr>
            <w:tcW w:w="1418" w:type="dxa"/>
            <w:vAlign w:val="center"/>
          </w:tcPr>
          <w:p w14:paraId="375B1F0C">
            <w:pPr>
              <w:jc w:val="center"/>
              <w:rPr>
                <w:rFonts w:hint="eastAsia" w:ascii="仿宋" w:hAnsi="仿宋" w:eastAsia="仿宋" w:cs="仿宋"/>
                <w:color w:val="auto"/>
                <w:sz w:val="30"/>
                <w:szCs w:val="30"/>
                <w:highlight w:val="none"/>
              </w:rPr>
            </w:pPr>
          </w:p>
        </w:tc>
        <w:tc>
          <w:tcPr>
            <w:tcW w:w="940" w:type="dxa"/>
            <w:vAlign w:val="center"/>
          </w:tcPr>
          <w:p w14:paraId="3DC2D09F">
            <w:pPr>
              <w:jc w:val="center"/>
              <w:rPr>
                <w:rFonts w:hint="eastAsia" w:ascii="仿宋" w:hAnsi="仿宋" w:eastAsia="仿宋" w:cs="仿宋"/>
                <w:color w:val="auto"/>
                <w:sz w:val="30"/>
                <w:szCs w:val="30"/>
                <w:highlight w:val="none"/>
              </w:rPr>
            </w:pPr>
          </w:p>
        </w:tc>
        <w:tc>
          <w:tcPr>
            <w:tcW w:w="851" w:type="dxa"/>
            <w:vAlign w:val="center"/>
          </w:tcPr>
          <w:p w14:paraId="75CA459D">
            <w:pPr>
              <w:jc w:val="center"/>
              <w:rPr>
                <w:rFonts w:hint="eastAsia" w:ascii="仿宋" w:hAnsi="仿宋" w:eastAsia="仿宋" w:cs="仿宋"/>
                <w:color w:val="auto"/>
                <w:sz w:val="30"/>
                <w:szCs w:val="30"/>
                <w:highlight w:val="none"/>
              </w:rPr>
            </w:pPr>
          </w:p>
        </w:tc>
        <w:tc>
          <w:tcPr>
            <w:tcW w:w="1044" w:type="dxa"/>
            <w:vAlign w:val="center"/>
          </w:tcPr>
          <w:p w14:paraId="6BDDA0C7">
            <w:pPr>
              <w:jc w:val="center"/>
              <w:rPr>
                <w:rFonts w:hint="eastAsia" w:ascii="仿宋" w:hAnsi="仿宋" w:eastAsia="仿宋" w:cs="仿宋"/>
                <w:color w:val="auto"/>
                <w:sz w:val="30"/>
                <w:szCs w:val="30"/>
                <w:highlight w:val="none"/>
              </w:rPr>
            </w:pPr>
          </w:p>
        </w:tc>
        <w:tc>
          <w:tcPr>
            <w:tcW w:w="992" w:type="dxa"/>
            <w:vAlign w:val="center"/>
          </w:tcPr>
          <w:p w14:paraId="306DDF2A">
            <w:pPr>
              <w:jc w:val="center"/>
              <w:rPr>
                <w:rFonts w:hint="eastAsia" w:ascii="仿宋" w:hAnsi="仿宋" w:eastAsia="仿宋" w:cs="仿宋"/>
                <w:color w:val="auto"/>
                <w:sz w:val="30"/>
                <w:szCs w:val="30"/>
                <w:highlight w:val="none"/>
              </w:rPr>
            </w:pPr>
          </w:p>
        </w:tc>
        <w:tc>
          <w:tcPr>
            <w:tcW w:w="851" w:type="dxa"/>
            <w:vAlign w:val="center"/>
          </w:tcPr>
          <w:p w14:paraId="02172541">
            <w:pPr>
              <w:jc w:val="center"/>
              <w:rPr>
                <w:rFonts w:hint="eastAsia" w:ascii="仿宋" w:hAnsi="仿宋" w:eastAsia="仿宋" w:cs="仿宋"/>
                <w:color w:val="auto"/>
                <w:sz w:val="30"/>
                <w:szCs w:val="30"/>
                <w:highlight w:val="none"/>
              </w:rPr>
            </w:pPr>
          </w:p>
        </w:tc>
        <w:tc>
          <w:tcPr>
            <w:tcW w:w="1487" w:type="dxa"/>
            <w:vAlign w:val="center"/>
          </w:tcPr>
          <w:p w14:paraId="4CFCDDAB">
            <w:pPr>
              <w:jc w:val="center"/>
              <w:rPr>
                <w:rFonts w:hint="eastAsia" w:ascii="仿宋" w:hAnsi="仿宋" w:eastAsia="仿宋" w:cs="仿宋"/>
                <w:color w:val="auto"/>
                <w:sz w:val="30"/>
                <w:szCs w:val="30"/>
                <w:highlight w:val="none"/>
              </w:rPr>
            </w:pPr>
          </w:p>
        </w:tc>
        <w:tc>
          <w:tcPr>
            <w:tcW w:w="992" w:type="dxa"/>
            <w:vAlign w:val="center"/>
          </w:tcPr>
          <w:p w14:paraId="1BD0C5AA">
            <w:pPr>
              <w:jc w:val="center"/>
              <w:rPr>
                <w:rFonts w:hint="eastAsia" w:ascii="仿宋" w:hAnsi="仿宋" w:eastAsia="仿宋" w:cs="仿宋"/>
                <w:color w:val="auto"/>
                <w:sz w:val="30"/>
                <w:szCs w:val="30"/>
                <w:highlight w:val="none"/>
              </w:rPr>
            </w:pPr>
          </w:p>
        </w:tc>
      </w:tr>
      <w:tr w14:paraId="05CD4B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15909A63">
            <w:pPr>
              <w:jc w:val="center"/>
              <w:rPr>
                <w:rFonts w:hint="eastAsia" w:ascii="仿宋" w:hAnsi="仿宋" w:eastAsia="仿宋" w:cs="仿宋"/>
                <w:color w:val="auto"/>
                <w:sz w:val="30"/>
                <w:szCs w:val="30"/>
                <w:highlight w:val="none"/>
              </w:rPr>
            </w:pPr>
          </w:p>
        </w:tc>
        <w:tc>
          <w:tcPr>
            <w:tcW w:w="1276" w:type="dxa"/>
            <w:vAlign w:val="center"/>
          </w:tcPr>
          <w:p w14:paraId="677F7E23">
            <w:pPr>
              <w:jc w:val="center"/>
              <w:rPr>
                <w:rFonts w:hint="eastAsia" w:ascii="仿宋" w:hAnsi="仿宋" w:eastAsia="仿宋" w:cs="仿宋"/>
                <w:color w:val="auto"/>
                <w:sz w:val="30"/>
                <w:szCs w:val="30"/>
                <w:highlight w:val="none"/>
              </w:rPr>
            </w:pPr>
          </w:p>
        </w:tc>
        <w:tc>
          <w:tcPr>
            <w:tcW w:w="1418" w:type="dxa"/>
            <w:vAlign w:val="center"/>
          </w:tcPr>
          <w:p w14:paraId="2116EB12">
            <w:pPr>
              <w:jc w:val="center"/>
              <w:rPr>
                <w:rFonts w:hint="eastAsia" w:ascii="仿宋" w:hAnsi="仿宋" w:eastAsia="仿宋" w:cs="仿宋"/>
                <w:color w:val="auto"/>
                <w:sz w:val="30"/>
                <w:szCs w:val="30"/>
                <w:highlight w:val="none"/>
              </w:rPr>
            </w:pPr>
          </w:p>
        </w:tc>
        <w:tc>
          <w:tcPr>
            <w:tcW w:w="940" w:type="dxa"/>
            <w:vAlign w:val="center"/>
          </w:tcPr>
          <w:p w14:paraId="0744C9AA">
            <w:pPr>
              <w:jc w:val="center"/>
              <w:rPr>
                <w:rFonts w:hint="eastAsia" w:ascii="仿宋" w:hAnsi="仿宋" w:eastAsia="仿宋" w:cs="仿宋"/>
                <w:color w:val="auto"/>
                <w:sz w:val="30"/>
                <w:szCs w:val="30"/>
                <w:highlight w:val="none"/>
              </w:rPr>
            </w:pPr>
          </w:p>
        </w:tc>
        <w:tc>
          <w:tcPr>
            <w:tcW w:w="851" w:type="dxa"/>
            <w:vAlign w:val="center"/>
          </w:tcPr>
          <w:p w14:paraId="74F9341B">
            <w:pPr>
              <w:jc w:val="center"/>
              <w:rPr>
                <w:rFonts w:hint="eastAsia" w:ascii="仿宋" w:hAnsi="仿宋" w:eastAsia="仿宋" w:cs="仿宋"/>
                <w:color w:val="auto"/>
                <w:sz w:val="30"/>
                <w:szCs w:val="30"/>
                <w:highlight w:val="none"/>
              </w:rPr>
            </w:pPr>
          </w:p>
        </w:tc>
        <w:tc>
          <w:tcPr>
            <w:tcW w:w="1044" w:type="dxa"/>
            <w:vAlign w:val="center"/>
          </w:tcPr>
          <w:p w14:paraId="1750D63D">
            <w:pPr>
              <w:jc w:val="center"/>
              <w:rPr>
                <w:rFonts w:hint="eastAsia" w:ascii="仿宋" w:hAnsi="仿宋" w:eastAsia="仿宋" w:cs="仿宋"/>
                <w:color w:val="auto"/>
                <w:sz w:val="30"/>
                <w:szCs w:val="30"/>
                <w:highlight w:val="none"/>
              </w:rPr>
            </w:pPr>
          </w:p>
        </w:tc>
        <w:tc>
          <w:tcPr>
            <w:tcW w:w="992" w:type="dxa"/>
            <w:vAlign w:val="center"/>
          </w:tcPr>
          <w:p w14:paraId="1337A154">
            <w:pPr>
              <w:jc w:val="center"/>
              <w:rPr>
                <w:rFonts w:hint="eastAsia" w:ascii="仿宋" w:hAnsi="仿宋" w:eastAsia="仿宋" w:cs="仿宋"/>
                <w:color w:val="auto"/>
                <w:sz w:val="30"/>
                <w:szCs w:val="30"/>
                <w:highlight w:val="none"/>
              </w:rPr>
            </w:pPr>
          </w:p>
        </w:tc>
        <w:tc>
          <w:tcPr>
            <w:tcW w:w="851" w:type="dxa"/>
            <w:vAlign w:val="center"/>
          </w:tcPr>
          <w:p w14:paraId="5834CBB6">
            <w:pPr>
              <w:jc w:val="center"/>
              <w:rPr>
                <w:rFonts w:hint="eastAsia" w:ascii="仿宋" w:hAnsi="仿宋" w:eastAsia="仿宋" w:cs="仿宋"/>
                <w:color w:val="auto"/>
                <w:sz w:val="30"/>
                <w:szCs w:val="30"/>
                <w:highlight w:val="none"/>
              </w:rPr>
            </w:pPr>
          </w:p>
        </w:tc>
        <w:tc>
          <w:tcPr>
            <w:tcW w:w="1487" w:type="dxa"/>
            <w:vAlign w:val="center"/>
          </w:tcPr>
          <w:p w14:paraId="7C77E7CB">
            <w:pPr>
              <w:jc w:val="center"/>
              <w:rPr>
                <w:rFonts w:hint="eastAsia" w:ascii="仿宋" w:hAnsi="仿宋" w:eastAsia="仿宋" w:cs="仿宋"/>
                <w:color w:val="auto"/>
                <w:sz w:val="30"/>
                <w:szCs w:val="30"/>
                <w:highlight w:val="none"/>
              </w:rPr>
            </w:pPr>
          </w:p>
        </w:tc>
        <w:tc>
          <w:tcPr>
            <w:tcW w:w="992" w:type="dxa"/>
            <w:vAlign w:val="center"/>
          </w:tcPr>
          <w:p w14:paraId="1F045F6B">
            <w:pPr>
              <w:jc w:val="center"/>
              <w:rPr>
                <w:rFonts w:hint="eastAsia" w:ascii="仿宋" w:hAnsi="仿宋" w:eastAsia="仿宋" w:cs="仿宋"/>
                <w:color w:val="auto"/>
                <w:sz w:val="30"/>
                <w:szCs w:val="30"/>
                <w:highlight w:val="none"/>
              </w:rPr>
            </w:pPr>
          </w:p>
        </w:tc>
      </w:tr>
      <w:tr w14:paraId="4BF7A5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2FCFF650">
            <w:pPr>
              <w:jc w:val="center"/>
              <w:rPr>
                <w:rFonts w:hint="eastAsia" w:ascii="仿宋" w:hAnsi="仿宋" w:eastAsia="仿宋" w:cs="仿宋"/>
                <w:color w:val="auto"/>
                <w:sz w:val="30"/>
                <w:szCs w:val="30"/>
                <w:highlight w:val="none"/>
              </w:rPr>
            </w:pPr>
          </w:p>
        </w:tc>
        <w:tc>
          <w:tcPr>
            <w:tcW w:w="1276" w:type="dxa"/>
            <w:vAlign w:val="center"/>
          </w:tcPr>
          <w:p w14:paraId="58292D42">
            <w:pPr>
              <w:jc w:val="center"/>
              <w:rPr>
                <w:rFonts w:hint="eastAsia" w:ascii="仿宋" w:hAnsi="仿宋" w:eastAsia="仿宋" w:cs="仿宋"/>
                <w:color w:val="auto"/>
                <w:sz w:val="30"/>
                <w:szCs w:val="30"/>
                <w:highlight w:val="none"/>
              </w:rPr>
            </w:pPr>
          </w:p>
        </w:tc>
        <w:tc>
          <w:tcPr>
            <w:tcW w:w="1418" w:type="dxa"/>
            <w:vAlign w:val="center"/>
          </w:tcPr>
          <w:p w14:paraId="3EBA20C8">
            <w:pPr>
              <w:jc w:val="center"/>
              <w:rPr>
                <w:rFonts w:hint="eastAsia" w:ascii="仿宋" w:hAnsi="仿宋" w:eastAsia="仿宋" w:cs="仿宋"/>
                <w:color w:val="auto"/>
                <w:sz w:val="30"/>
                <w:szCs w:val="30"/>
                <w:highlight w:val="none"/>
              </w:rPr>
            </w:pPr>
          </w:p>
        </w:tc>
        <w:tc>
          <w:tcPr>
            <w:tcW w:w="940" w:type="dxa"/>
            <w:vAlign w:val="center"/>
          </w:tcPr>
          <w:p w14:paraId="05887067">
            <w:pPr>
              <w:jc w:val="center"/>
              <w:rPr>
                <w:rFonts w:hint="eastAsia" w:ascii="仿宋" w:hAnsi="仿宋" w:eastAsia="仿宋" w:cs="仿宋"/>
                <w:color w:val="auto"/>
                <w:sz w:val="30"/>
                <w:szCs w:val="30"/>
                <w:highlight w:val="none"/>
              </w:rPr>
            </w:pPr>
          </w:p>
        </w:tc>
        <w:tc>
          <w:tcPr>
            <w:tcW w:w="851" w:type="dxa"/>
            <w:vAlign w:val="center"/>
          </w:tcPr>
          <w:p w14:paraId="5E4CC76E">
            <w:pPr>
              <w:jc w:val="center"/>
              <w:rPr>
                <w:rFonts w:hint="eastAsia" w:ascii="仿宋" w:hAnsi="仿宋" w:eastAsia="仿宋" w:cs="仿宋"/>
                <w:color w:val="auto"/>
                <w:sz w:val="30"/>
                <w:szCs w:val="30"/>
                <w:highlight w:val="none"/>
              </w:rPr>
            </w:pPr>
          </w:p>
        </w:tc>
        <w:tc>
          <w:tcPr>
            <w:tcW w:w="1044" w:type="dxa"/>
            <w:vAlign w:val="center"/>
          </w:tcPr>
          <w:p w14:paraId="428BA0A6">
            <w:pPr>
              <w:jc w:val="center"/>
              <w:rPr>
                <w:rFonts w:hint="eastAsia" w:ascii="仿宋" w:hAnsi="仿宋" w:eastAsia="仿宋" w:cs="仿宋"/>
                <w:color w:val="auto"/>
                <w:sz w:val="30"/>
                <w:szCs w:val="30"/>
                <w:highlight w:val="none"/>
              </w:rPr>
            </w:pPr>
          </w:p>
        </w:tc>
        <w:tc>
          <w:tcPr>
            <w:tcW w:w="992" w:type="dxa"/>
            <w:vAlign w:val="center"/>
          </w:tcPr>
          <w:p w14:paraId="019EEA68">
            <w:pPr>
              <w:jc w:val="center"/>
              <w:rPr>
                <w:rFonts w:hint="eastAsia" w:ascii="仿宋" w:hAnsi="仿宋" w:eastAsia="仿宋" w:cs="仿宋"/>
                <w:color w:val="auto"/>
                <w:sz w:val="30"/>
                <w:szCs w:val="30"/>
                <w:highlight w:val="none"/>
              </w:rPr>
            </w:pPr>
          </w:p>
        </w:tc>
        <w:tc>
          <w:tcPr>
            <w:tcW w:w="851" w:type="dxa"/>
            <w:vAlign w:val="center"/>
          </w:tcPr>
          <w:p w14:paraId="4893530D">
            <w:pPr>
              <w:jc w:val="center"/>
              <w:rPr>
                <w:rFonts w:hint="eastAsia" w:ascii="仿宋" w:hAnsi="仿宋" w:eastAsia="仿宋" w:cs="仿宋"/>
                <w:color w:val="auto"/>
                <w:sz w:val="30"/>
                <w:szCs w:val="30"/>
                <w:highlight w:val="none"/>
              </w:rPr>
            </w:pPr>
          </w:p>
        </w:tc>
        <w:tc>
          <w:tcPr>
            <w:tcW w:w="1487" w:type="dxa"/>
            <w:vAlign w:val="center"/>
          </w:tcPr>
          <w:p w14:paraId="56E5E733">
            <w:pPr>
              <w:jc w:val="center"/>
              <w:rPr>
                <w:rFonts w:hint="eastAsia" w:ascii="仿宋" w:hAnsi="仿宋" w:eastAsia="仿宋" w:cs="仿宋"/>
                <w:color w:val="auto"/>
                <w:sz w:val="30"/>
                <w:szCs w:val="30"/>
                <w:highlight w:val="none"/>
              </w:rPr>
            </w:pPr>
          </w:p>
        </w:tc>
        <w:tc>
          <w:tcPr>
            <w:tcW w:w="992" w:type="dxa"/>
            <w:vAlign w:val="center"/>
          </w:tcPr>
          <w:p w14:paraId="4CE36DC9">
            <w:pPr>
              <w:jc w:val="center"/>
              <w:rPr>
                <w:rFonts w:hint="eastAsia" w:ascii="仿宋" w:hAnsi="仿宋" w:eastAsia="仿宋" w:cs="仿宋"/>
                <w:color w:val="auto"/>
                <w:sz w:val="30"/>
                <w:szCs w:val="30"/>
                <w:highlight w:val="none"/>
              </w:rPr>
            </w:pPr>
          </w:p>
        </w:tc>
      </w:tr>
      <w:tr w14:paraId="2399D5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7689153A">
            <w:pPr>
              <w:jc w:val="center"/>
              <w:rPr>
                <w:rFonts w:hint="eastAsia" w:ascii="仿宋" w:hAnsi="仿宋" w:eastAsia="仿宋" w:cs="仿宋"/>
                <w:color w:val="auto"/>
                <w:sz w:val="30"/>
                <w:szCs w:val="30"/>
                <w:highlight w:val="none"/>
              </w:rPr>
            </w:pPr>
          </w:p>
        </w:tc>
        <w:tc>
          <w:tcPr>
            <w:tcW w:w="1276" w:type="dxa"/>
            <w:vAlign w:val="center"/>
          </w:tcPr>
          <w:p w14:paraId="04003667">
            <w:pPr>
              <w:jc w:val="center"/>
              <w:rPr>
                <w:rFonts w:hint="eastAsia" w:ascii="仿宋" w:hAnsi="仿宋" w:eastAsia="仿宋" w:cs="仿宋"/>
                <w:color w:val="auto"/>
                <w:sz w:val="30"/>
                <w:szCs w:val="30"/>
                <w:highlight w:val="none"/>
              </w:rPr>
            </w:pPr>
          </w:p>
        </w:tc>
        <w:tc>
          <w:tcPr>
            <w:tcW w:w="1418" w:type="dxa"/>
            <w:vAlign w:val="center"/>
          </w:tcPr>
          <w:p w14:paraId="1733C94A">
            <w:pPr>
              <w:jc w:val="center"/>
              <w:rPr>
                <w:rFonts w:hint="eastAsia" w:ascii="仿宋" w:hAnsi="仿宋" w:eastAsia="仿宋" w:cs="仿宋"/>
                <w:color w:val="auto"/>
                <w:sz w:val="30"/>
                <w:szCs w:val="30"/>
                <w:highlight w:val="none"/>
              </w:rPr>
            </w:pPr>
          </w:p>
        </w:tc>
        <w:tc>
          <w:tcPr>
            <w:tcW w:w="940" w:type="dxa"/>
            <w:vAlign w:val="center"/>
          </w:tcPr>
          <w:p w14:paraId="38BDD461">
            <w:pPr>
              <w:jc w:val="center"/>
              <w:rPr>
                <w:rFonts w:hint="eastAsia" w:ascii="仿宋" w:hAnsi="仿宋" w:eastAsia="仿宋" w:cs="仿宋"/>
                <w:color w:val="auto"/>
                <w:sz w:val="30"/>
                <w:szCs w:val="30"/>
                <w:highlight w:val="none"/>
              </w:rPr>
            </w:pPr>
          </w:p>
        </w:tc>
        <w:tc>
          <w:tcPr>
            <w:tcW w:w="851" w:type="dxa"/>
            <w:vAlign w:val="center"/>
          </w:tcPr>
          <w:p w14:paraId="6589656D">
            <w:pPr>
              <w:jc w:val="center"/>
              <w:rPr>
                <w:rFonts w:hint="eastAsia" w:ascii="仿宋" w:hAnsi="仿宋" w:eastAsia="仿宋" w:cs="仿宋"/>
                <w:color w:val="auto"/>
                <w:sz w:val="30"/>
                <w:szCs w:val="30"/>
                <w:highlight w:val="none"/>
              </w:rPr>
            </w:pPr>
          </w:p>
        </w:tc>
        <w:tc>
          <w:tcPr>
            <w:tcW w:w="1044" w:type="dxa"/>
            <w:vAlign w:val="center"/>
          </w:tcPr>
          <w:p w14:paraId="6304FEC8">
            <w:pPr>
              <w:jc w:val="center"/>
              <w:rPr>
                <w:rFonts w:hint="eastAsia" w:ascii="仿宋" w:hAnsi="仿宋" w:eastAsia="仿宋" w:cs="仿宋"/>
                <w:color w:val="auto"/>
                <w:sz w:val="30"/>
                <w:szCs w:val="30"/>
                <w:highlight w:val="none"/>
              </w:rPr>
            </w:pPr>
          </w:p>
        </w:tc>
        <w:tc>
          <w:tcPr>
            <w:tcW w:w="992" w:type="dxa"/>
            <w:vAlign w:val="center"/>
          </w:tcPr>
          <w:p w14:paraId="51AF25FB">
            <w:pPr>
              <w:jc w:val="center"/>
              <w:rPr>
                <w:rFonts w:hint="eastAsia" w:ascii="仿宋" w:hAnsi="仿宋" w:eastAsia="仿宋" w:cs="仿宋"/>
                <w:color w:val="auto"/>
                <w:sz w:val="30"/>
                <w:szCs w:val="30"/>
                <w:highlight w:val="none"/>
              </w:rPr>
            </w:pPr>
          </w:p>
        </w:tc>
        <w:tc>
          <w:tcPr>
            <w:tcW w:w="851" w:type="dxa"/>
            <w:vAlign w:val="center"/>
          </w:tcPr>
          <w:p w14:paraId="4750FA88">
            <w:pPr>
              <w:jc w:val="center"/>
              <w:rPr>
                <w:rFonts w:hint="eastAsia" w:ascii="仿宋" w:hAnsi="仿宋" w:eastAsia="仿宋" w:cs="仿宋"/>
                <w:color w:val="auto"/>
                <w:sz w:val="30"/>
                <w:szCs w:val="30"/>
                <w:highlight w:val="none"/>
              </w:rPr>
            </w:pPr>
          </w:p>
        </w:tc>
        <w:tc>
          <w:tcPr>
            <w:tcW w:w="1487" w:type="dxa"/>
            <w:vAlign w:val="center"/>
          </w:tcPr>
          <w:p w14:paraId="08A7FFE9">
            <w:pPr>
              <w:jc w:val="center"/>
              <w:rPr>
                <w:rFonts w:hint="eastAsia" w:ascii="仿宋" w:hAnsi="仿宋" w:eastAsia="仿宋" w:cs="仿宋"/>
                <w:color w:val="auto"/>
                <w:sz w:val="30"/>
                <w:szCs w:val="30"/>
                <w:highlight w:val="none"/>
              </w:rPr>
            </w:pPr>
          </w:p>
        </w:tc>
        <w:tc>
          <w:tcPr>
            <w:tcW w:w="992" w:type="dxa"/>
            <w:vAlign w:val="center"/>
          </w:tcPr>
          <w:p w14:paraId="30115294">
            <w:pPr>
              <w:jc w:val="center"/>
              <w:rPr>
                <w:rFonts w:hint="eastAsia" w:ascii="仿宋" w:hAnsi="仿宋" w:eastAsia="仿宋" w:cs="仿宋"/>
                <w:color w:val="auto"/>
                <w:sz w:val="30"/>
                <w:szCs w:val="30"/>
                <w:highlight w:val="none"/>
              </w:rPr>
            </w:pPr>
          </w:p>
        </w:tc>
      </w:tr>
      <w:tr w14:paraId="4E0B78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vAlign w:val="center"/>
          </w:tcPr>
          <w:p w14:paraId="5FABF1BD">
            <w:pPr>
              <w:jc w:val="center"/>
              <w:rPr>
                <w:rFonts w:hint="eastAsia" w:ascii="仿宋" w:hAnsi="仿宋" w:eastAsia="仿宋" w:cs="仿宋"/>
                <w:color w:val="auto"/>
                <w:sz w:val="30"/>
                <w:szCs w:val="30"/>
                <w:highlight w:val="none"/>
              </w:rPr>
            </w:pPr>
          </w:p>
        </w:tc>
        <w:tc>
          <w:tcPr>
            <w:tcW w:w="1276" w:type="dxa"/>
            <w:vAlign w:val="center"/>
          </w:tcPr>
          <w:p w14:paraId="6265B873">
            <w:pPr>
              <w:jc w:val="center"/>
              <w:rPr>
                <w:rFonts w:hint="eastAsia" w:ascii="仿宋" w:hAnsi="仿宋" w:eastAsia="仿宋" w:cs="仿宋"/>
                <w:color w:val="auto"/>
                <w:sz w:val="30"/>
                <w:szCs w:val="30"/>
                <w:highlight w:val="none"/>
              </w:rPr>
            </w:pPr>
          </w:p>
        </w:tc>
        <w:tc>
          <w:tcPr>
            <w:tcW w:w="1418" w:type="dxa"/>
            <w:vAlign w:val="center"/>
          </w:tcPr>
          <w:p w14:paraId="7361F6FB">
            <w:pPr>
              <w:jc w:val="center"/>
              <w:rPr>
                <w:rFonts w:hint="eastAsia" w:ascii="仿宋" w:hAnsi="仿宋" w:eastAsia="仿宋" w:cs="仿宋"/>
                <w:color w:val="auto"/>
                <w:sz w:val="30"/>
                <w:szCs w:val="30"/>
                <w:highlight w:val="none"/>
              </w:rPr>
            </w:pPr>
          </w:p>
        </w:tc>
        <w:tc>
          <w:tcPr>
            <w:tcW w:w="940" w:type="dxa"/>
            <w:vAlign w:val="center"/>
          </w:tcPr>
          <w:p w14:paraId="104CE7E8">
            <w:pPr>
              <w:jc w:val="center"/>
              <w:rPr>
                <w:rFonts w:hint="eastAsia" w:ascii="仿宋" w:hAnsi="仿宋" w:eastAsia="仿宋" w:cs="仿宋"/>
                <w:color w:val="auto"/>
                <w:sz w:val="30"/>
                <w:szCs w:val="30"/>
                <w:highlight w:val="none"/>
              </w:rPr>
            </w:pPr>
          </w:p>
        </w:tc>
        <w:tc>
          <w:tcPr>
            <w:tcW w:w="851" w:type="dxa"/>
            <w:vAlign w:val="center"/>
          </w:tcPr>
          <w:p w14:paraId="71697855">
            <w:pPr>
              <w:jc w:val="center"/>
              <w:rPr>
                <w:rFonts w:hint="eastAsia" w:ascii="仿宋" w:hAnsi="仿宋" w:eastAsia="仿宋" w:cs="仿宋"/>
                <w:color w:val="auto"/>
                <w:sz w:val="30"/>
                <w:szCs w:val="30"/>
                <w:highlight w:val="none"/>
              </w:rPr>
            </w:pPr>
          </w:p>
        </w:tc>
        <w:tc>
          <w:tcPr>
            <w:tcW w:w="1044" w:type="dxa"/>
            <w:vAlign w:val="center"/>
          </w:tcPr>
          <w:p w14:paraId="763A58E6">
            <w:pPr>
              <w:jc w:val="center"/>
              <w:rPr>
                <w:rFonts w:hint="eastAsia" w:ascii="仿宋" w:hAnsi="仿宋" w:eastAsia="仿宋" w:cs="仿宋"/>
                <w:color w:val="auto"/>
                <w:sz w:val="30"/>
                <w:szCs w:val="30"/>
                <w:highlight w:val="none"/>
              </w:rPr>
            </w:pPr>
          </w:p>
        </w:tc>
        <w:tc>
          <w:tcPr>
            <w:tcW w:w="992" w:type="dxa"/>
            <w:vAlign w:val="center"/>
          </w:tcPr>
          <w:p w14:paraId="377171DB">
            <w:pPr>
              <w:jc w:val="center"/>
              <w:rPr>
                <w:rFonts w:hint="eastAsia" w:ascii="仿宋" w:hAnsi="仿宋" w:eastAsia="仿宋" w:cs="仿宋"/>
                <w:color w:val="auto"/>
                <w:sz w:val="30"/>
                <w:szCs w:val="30"/>
                <w:highlight w:val="none"/>
              </w:rPr>
            </w:pPr>
          </w:p>
        </w:tc>
        <w:tc>
          <w:tcPr>
            <w:tcW w:w="851" w:type="dxa"/>
            <w:vAlign w:val="center"/>
          </w:tcPr>
          <w:p w14:paraId="1629B39B">
            <w:pPr>
              <w:jc w:val="center"/>
              <w:rPr>
                <w:rFonts w:hint="eastAsia" w:ascii="仿宋" w:hAnsi="仿宋" w:eastAsia="仿宋" w:cs="仿宋"/>
                <w:color w:val="auto"/>
                <w:sz w:val="30"/>
                <w:szCs w:val="30"/>
                <w:highlight w:val="none"/>
              </w:rPr>
            </w:pPr>
          </w:p>
        </w:tc>
        <w:tc>
          <w:tcPr>
            <w:tcW w:w="1487" w:type="dxa"/>
            <w:vAlign w:val="center"/>
          </w:tcPr>
          <w:p w14:paraId="58DBFB01">
            <w:pPr>
              <w:jc w:val="center"/>
              <w:rPr>
                <w:rFonts w:hint="eastAsia" w:ascii="仿宋" w:hAnsi="仿宋" w:eastAsia="仿宋" w:cs="仿宋"/>
                <w:color w:val="auto"/>
                <w:sz w:val="30"/>
                <w:szCs w:val="30"/>
                <w:highlight w:val="none"/>
              </w:rPr>
            </w:pPr>
          </w:p>
        </w:tc>
        <w:tc>
          <w:tcPr>
            <w:tcW w:w="992" w:type="dxa"/>
            <w:vAlign w:val="center"/>
          </w:tcPr>
          <w:p w14:paraId="0A3929F6">
            <w:pPr>
              <w:jc w:val="center"/>
              <w:rPr>
                <w:rFonts w:hint="eastAsia" w:ascii="仿宋" w:hAnsi="仿宋" w:eastAsia="仿宋" w:cs="仿宋"/>
                <w:color w:val="auto"/>
                <w:sz w:val="30"/>
                <w:szCs w:val="30"/>
                <w:highlight w:val="none"/>
              </w:rPr>
            </w:pPr>
          </w:p>
        </w:tc>
      </w:tr>
    </w:tbl>
    <w:p w14:paraId="291F0C5B">
      <w:pPr>
        <w:jc w:val="cente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2729D96D">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附件 2：</w:t>
      </w:r>
    </w:p>
    <w:p w14:paraId="0B86E053">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承包人主要施工管理人员表</w:t>
      </w:r>
    </w:p>
    <w:tbl>
      <w:tblPr>
        <w:tblStyle w:val="45"/>
        <w:tblpPr w:leftFromText="180" w:rightFromText="180" w:vertAnchor="text" w:horzAnchor="page" w:tblpX="1063" w:tblpY="605"/>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2D4880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12" w:space="0"/>
              <w:bottom w:val="double" w:color="auto" w:sz="6" w:space="0"/>
            </w:tcBorders>
            <w:vAlign w:val="center"/>
          </w:tcPr>
          <w:p w14:paraId="50588CB2">
            <w:pPr>
              <w:pStyle w:val="17"/>
              <w:keepNext/>
              <w:spacing w:line="440" w:lineRule="exact"/>
              <w:ind w:left="63" w:right="6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名    称</w:t>
            </w:r>
          </w:p>
        </w:tc>
        <w:tc>
          <w:tcPr>
            <w:tcW w:w="1418" w:type="dxa"/>
            <w:tcBorders>
              <w:top w:val="single" w:color="auto" w:sz="12" w:space="0"/>
              <w:bottom w:val="double" w:color="auto" w:sz="6" w:space="0"/>
            </w:tcBorders>
            <w:vAlign w:val="center"/>
          </w:tcPr>
          <w:p w14:paraId="701A5982">
            <w:pPr>
              <w:pStyle w:val="17"/>
              <w:keepNext/>
              <w:spacing w:line="440" w:lineRule="exact"/>
              <w:ind w:left="63" w:right="6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姓名</w:t>
            </w:r>
          </w:p>
        </w:tc>
        <w:tc>
          <w:tcPr>
            <w:tcW w:w="1134" w:type="dxa"/>
            <w:tcBorders>
              <w:top w:val="single" w:color="auto" w:sz="12" w:space="0"/>
              <w:bottom w:val="double" w:color="auto" w:sz="6" w:space="0"/>
            </w:tcBorders>
            <w:vAlign w:val="center"/>
          </w:tcPr>
          <w:p w14:paraId="3DE8D00E">
            <w:pPr>
              <w:pStyle w:val="17"/>
              <w:keepNext/>
              <w:spacing w:line="440" w:lineRule="exact"/>
              <w:ind w:left="63" w:right="6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职务</w:t>
            </w:r>
          </w:p>
        </w:tc>
        <w:tc>
          <w:tcPr>
            <w:tcW w:w="1134" w:type="dxa"/>
            <w:tcBorders>
              <w:top w:val="single" w:color="auto" w:sz="12" w:space="0"/>
              <w:bottom w:val="double" w:color="auto" w:sz="6" w:space="0"/>
            </w:tcBorders>
            <w:vAlign w:val="center"/>
          </w:tcPr>
          <w:p w14:paraId="27827E6E">
            <w:pPr>
              <w:pStyle w:val="17"/>
              <w:keepNext/>
              <w:spacing w:line="440" w:lineRule="exact"/>
              <w:ind w:left="63" w:right="6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职称</w:t>
            </w:r>
          </w:p>
        </w:tc>
        <w:tc>
          <w:tcPr>
            <w:tcW w:w="4252" w:type="dxa"/>
            <w:tcBorders>
              <w:top w:val="single" w:color="auto" w:sz="12" w:space="0"/>
              <w:bottom w:val="double" w:color="auto" w:sz="6" w:space="0"/>
            </w:tcBorders>
            <w:vAlign w:val="center"/>
          </w:tcPr>
          <w:p w14:paraId="54391787">
            <w:pPr>
              <w:pStyle w:val="17"/>
              <w:keepNext/>
              <w:spacing w:line="440" w:lineRule="exact"/>
              <w:ind w:left="63" w:right="6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主要资历、经验及承担过的项目</w:t>
            </w:r>
          </w:p>
        </w:tc>
      </w:tr>
      <w:tr w14:paraId="62FC13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09" w:type="dxa"/>
            <w:gridSpan w:val="5"/>
            <w:tcBorders>
              <w:top w:val="double" w:color="auto" w:sz="6" w:space="0"/>
              <w:bottom w:val="single" w:color="auto" w:sz="6" w:space="0"/>
            </w:tcBorders>
            <w:vAlign w:val="center"/>
          </w:tcPr>
          <w:p w14:paraId="51772610">
            <w:pPr>
              <w:pStyle w:val="17"/>
              <w:keepNext/>
              <w:spacing w:line="440" w:lineRule="exact"/>
              <w:ind w:left="63" w:right="6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一、总部人员</w:t>
            </w:r>
          </w:p>
        </w:tc>
      </w:tr>
      <w:tr w14:paraId="6E6D68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nil"/>
              <w:bottom w:val="nil"/>
            </w:tcBorders>
            <w:vAlign w:val="center"/>
          </w:tcPr>
          <w:p w14:paraId="7B738806">
            <w:pPr>
              <w:pStyle w:val="17"/>
              <w:keepNext/>
              <w:spacing w:line="440" w:lineRule="exact"/>
              <w:ind w:left="63" w:right="6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项目主管</w:t>
            </w:r>
          </w:p>
        </w:tc>
        <w:tc>
          <w:tcPr>
            <w:tcW w:w="1418" w:type="dxa"/>
            <w:tcBorders>
              <w:top w:val="nil"/>
            </w:tcBorders>
            <w:vAlign w:val="center"/>
          </w:tcPr>
          <w:p w14:paraId="1A365820">
            <w:pPr>
              <w:pStyle w:val="17"/>
              <w:keepNext/>
              <w:spacing w:line="440" w:lineRule="exact"/>
              <w:ind w:left="63" w:right="63"/>
              <w:rPr>
                <w:rFonts w:hint="eastAsia" w:ascii="仿宋" w:hAnsi="仿宋" w:eastAsia="仿宋" w:cs="仿宋"/>
                <w:color w:val="auto"/>
                <w:sz w:val="28"/>
                <w:szCs w:val="28"/>
                <w:highlight w:val="none"/>
              </w:rPr>
            </w:pPr>
          </w:p>
        </w:tc>
        <w:tc>
          <w:tcPr>
            <w:tcW w:w="1134" w:type="dxa"/>
            <w:tcBorders>
              <w:top w:val="nil"/>
            </w:tcBorders>
            <w:vAlign w:val="center"/>
          </w:tcPr>
          <w:p w14:paraId="31DF868A">
            <w:pPr>
              <w:pStyle w:val="17"/>
              <w:keepNext/>
              <w:spacing w:line="440" w:lineRule="exact"/>
              <w:ind w:left="63" w:right="63"/>
              <w:rPr>
                <w:rFonts w:hint="eastAsia" w:ascii="仿宋" w:hAnsi="仿宋" w:eastAsia="仿宋" w:cs="仿宋"/>
                <w:color w:val="auto"/>
                <w:sz w:val="28"/>
                <w:szCs w:val="28"/>
                <w:highlight w:val="none"/>
              </w:rPr>
            </w:pPr>
          </w:p>
        </w:tc>
        <w:tc>
          <w:tcPr>
            <w:tcW w:w="1134" w:type="dxa"/>
            <w:tcBorders>
              <w:top w:val="nil"/>
            </w:tcBorders>
            <w:vAlign w:val="center"/>
          </w:tcPr>
          <w:p w14:paraId="67391779">
            <w:pPr>
              <w:pStyle w:val="17"/>
              <w:keepNext/>
              <w:spacing w:line="440" w:lineRule="exact"/>
              <w:ind w:left="63" w:right="63"/>
              <w:rPr>
                <w:rFonts w:hint="eastAsia" w:ascii="仿宋" w:hAnsi="仿宋" w:eastAsia="仿宋" w:cs="仿宋"/>
                <w:color w:val="auto"/>
                <w:sz w:val="28"/>
                <w:szCs w:val="28"/>
                <w:highlight w:val="none"/>
              </w:rPr>
            </w:pPr>
          </w:p>
        </w:tc>
        <w:tc>
          <w:tcPr>
            <w:tcW w:w="4252" w:type="dxa"/>
            <w:tcBorders>
              <w:top w:val="nil"/>
            </w:tcBorders>
            <w:vAlign w:val="center"/>
          </w:tcPr>
          <w:p w14:paraId="144677C4">
            <w:pPr>
              <w:pStyle w:val="17"/>
              <w:keepNext/>
              <w:spacing w:line="440" w:lineRule="exact"/>
              <w:ind w:left="63" w:right="63"/>
              <w:rPr>
                <w:rFonts w:hint="eastAsia" w:ascii="仿宋" w:hAnsi="仿宋" w:eastAsia="仿宋" w:cs="仿宋"/>
                <w:color w:val="auto"/>
                <w:sz w:val="28"/>
                <w:szCs w:val="28"/>
                <w:highlight w:val="none"/>
              </w:rPr>
            </w:pPr>
          </w:p>
        </w:tc>
      </w:tr>
      <w:tr w14:paraId="45A30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nil"/>
            </w:tcBorders>
            <w:vAlign w:val="center"/>
          </w:tcPr>
          <w:p w14:paraId="765D4EEF">
            <w:pPr>
              <w:pStyle w:val="17"/>
              <w:keepNext/>
              <w:spacing w:line="440" w:lineRule="exact"/>
              <w:ind w:left="63" w:right="63"/>
              <w:rPr>
                <w:rFonts w:hint="eastAsia" w:ascii="仿宋" w:hAnsi="仿宋" w:eastAsia="仿宋" w:cs="仿宋"/>
                <w:color w:val="auto"/>
                <w:sz w:val="28"/>
                <w:szCs w:val="28"/>
                <w:highlight w:val="none"/>
              </w:rPr>
            </w:pPr>
          </w:p>
        </w:tc>
        <w:tc>
          <w:tcPr>
            <w:tcW w:w="1418" w:type="dxa"/>
            <w:vAlign w:val="center"/>
          </w:tcPr>
          <w:p w14:paraId="74AA26E0">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3EA2498C">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72EC6888">
            <w:pPr>
              <w:pStyle w:val="17"/>
              <w:keepNext/>
              <w:spacing w:line="440" w:lineRule="exact"/>
              <w:ind w:left="63" w:right="63"/>
              <w:rPr>
                <w:rFonts w:hint="eastAsia" w:ascii="仿宋" w:hAnsi="仿宋" w:eastAsia="仿宋" w:cs="仿宋"/>
                <w:color w:val="auto"/>
                <w:sz w:val="28"/>
                <w:szCs w:val="28"/>
                <w:highlight w:val="none"/>
              </w:rPr>
            </w:pPr>
          </w:p>
        </w:tc>
        <w:tc>
          <w:tcPr>
            <w:tcW w:w="4252" w:type="dxa"/>
            <w:vAlign w:val="center"/>
          </w:tcPr>
          <w:p w14:paraId="72732017">
            <w:pPr>
              <w:pStyle w:val="17"/>
              <w:keepNext/>
              <w:spacing w:line="440" w:lineRule="exact"/>
              <w:ind w:left="63" w:right="63"/>
              <w:rPr>
                <w:rFonts w:hint="eastAsia" w:ascii="仿宋" w:hAnsi="仿宋" w:eastAsia="仿宋" w:cs="仿宋"/>
                <w:color w:val="auto"/>
                <w:sz w:val="28"/>
                <w:szCs w:val="28"/>
                <w:highlight w:val="none"/>
              </w:rPr>
            </w:pPr>
          </w:p>
        </w:tc>
      </w:tr>
      <w:tr w14:paraId="1CD934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nil"/>
              <w:bottom w:val="nil"/>
            </w:tcBorders>
            <w:vAlign w:val="center"/>
          </w:tcPr>
          <w:p w14:paraId="1A6DDC52">
            <w:pPr>
              <w:pStyle w:val="17"/>
              <w:keepNext/>
              <w:spacing w:line="440" w:lineRule="exact"/>
              <w:ind w:left="63" w:right="6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其他人员</w:t>
            </w:r>
          </w:p>
        </w:tc>
        <w:tc>
          <w:tcPr>
            <w:tcW w:w="1418" w:type="dxa"/>
            <w:vAlign w:val="center"/>
          </w:tcPr>
          <w:p w14:paraId="03AA01C5">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2C129D16">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61212982">
            <w:pPr>
              <w:pStyle w:val="17"/>
              <w:keepNext/>
              <w:spacing w:line="440" w:lineRule="exact"/>
              <w:ind w:left="63" w:right="63"/>
              <w:rPr>
                <w:rFonts w:hint="eastAsia" w:ascii="仿宋" w:hAnsi="仿宋" w:eastAsia="仿宋" w:cs="仿宋"/>
                <w:color w:val="auto"/>
                <w:sz w:val="28"/>
                <w:szCs w:val="28"/>
                <w:highlight w:val="none"/>
              </w:rPr>
            </w:pPr>
          </w:p>
        </w:tc>
        <w:tc>
          <w:tcPr>
            <w:tcW w:w="4252" w:type="dxa"/>
            <w:vAlign w:val="center"/>
          </w:tcPr>
          <w:p w14:paraId="50425C3B">
            <w:pPr>
              <w:pStyle w:val="17"/>
              <w:keepNext/>
              <w:spacing w:line="440" w:lineRule="exact"/>
              <w:ind w:left="63" w:right="63"/>
              <w:rPr>
                <w:rFonts w:hint="eastAsia" w:ascii="仿宋" w:hAnsi="仿宋" w:eastAsia="仿宋" w:cs="仿宋"/>
                <w:color w:val="auto"/>
                <w:sz w:val="28"/>
                <w:szCs w:val="28"/>
                <w:highlight w:val="none"/>
              </w:rPr>
            </w:pPr>
          </w:p>
        </w:tc>
      </w:tr>
      <w:tr w14:paraId="54BBF4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nil"/>
              <w:bottom w:val="nil"/>
            </w:tcBorders>
            <w:vAlign w:val="center"/>
          </w:tcPr>
          <w:p w14:paraId="53CE4F5D">
            <w:pPr>
              <w:pStyle w:val="17"/>
              <w:keepNext/>
              <w:spacing w:line="440" w:lineRule="exact"/>
              <w:ind w:left="63" w:right="63"/>
              <w:rPr>
                <w:rFonts w:hint="eastAsia" w:ascii="仿宋" w:hAnsi="仿宋" w:eastAsia="仿宋" w:cs="仿宋"/>
                <w:color w:val="auto"/>
                <w:sz w:val="28"/>
                <w:szCs w:val="28"/>
                <w:highlight w:val="none"/>
              </w:rPr>
            </w:pPr>
          </w:p>
        </w:tc>
        <w:tc>
          <w:tcPr>
            <w:tcW w:w="1418" w:type="dxa"/>
            <w:vAlign w:val="center"/>
          </w:tcPr>
          <w:p w14:paraId="2CC78265">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7CE22DD6">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0C056015">
            <w:pPr>
              <w:pStyle w:val="17"/>
              <w:keepNext/>
              <w:spacing w:line="440" w:lineRule="exact"/>
              <w:ind w:left="63" w:right="63"/>
              <w:rPr>
                <w:rFonts w:hint="eastAsia" w:ascii="仿宋" w:hAnsi="仿宋" w:eastAsia="仿宋" w:cs="仿宋"/>
                <w:color w:val="auto"/>
                <w:sz w:val="28"/>
                <w:szCs w:val="28"/>
                <w:highlight w:val="none"/>
              </w:rPr>
            </w:pPr>
          </w:p>
        </w:tc>
        <w:tc>
          <w:tcPr>
            <w:tcW w:w="4252" w:type="dxa"/>
            <w:vAlign w:val="center"/>
          </w:tcPr>
          <w:p w14:paraId="4543CA7D">
            <w:pPr>
              <w:pStyle w:val="17"/>
              <w:keepNext/>
              <w:spacing w:line="440" w:lineRule="exact"/>
              <w:ind w:left="63" w:right="63"/>
              <w:rPr>
                <w:rFonts w:hint="eastAsia" w:ascii="仿宋" w:hAnsi="仿宋" w:eastAsia="仿宋" w:cs="仿宋"/>
                <w:color w:val="auto"/>
                <w:sz w:val="28"/>
                <w:szCs w:val="28"/>
                <w:highlight w:val="none"/>
              </w:rPr>
            </w:pPr>
          </w:p>
        </w:tc>
      </w:tr>
      <w:tr w14:paraId="6B86A0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09" w:type="dxa"/>
            <w:gridSpan w:val="5"/>
            <w:tcBorders>
              <w:top w:val="single" w:color="auto" w:sz="6" w:space="0"/>
              <w:bottom w:val="single" w:color="auto" w:sz="6" w:space="0"/>
            </w:tcBorders>
            <w:vAlign w:val="center"/>
          </w:tcPr>
          <w:p w14:paraId="499EC8B5">
            <w:pPr>
              <w:pStyle w:val="17"/>
              <w:keepNext/>
              <w:spacing w:line="440" w:lineRule="exact"/>
              <w:ind w:left="63" w:right="6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二、现场人员</w:t>
            </w:r>
          </w:p>
        </w:tc>
      </w:tr>
      <w:tr w14:paraId="090C20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vAlign w:val="center"/>
          </w:tcPr>
          <w:p w14:paraId="26BB785A">
            <w:pPr>
              <w:pStyle w:val="17"/>
              <w:keepNext/>
              <w:spacing w:line="440" w:lineRule="exact"/>
              <w:ind w:left="63" w:right="6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项目经理</w:t>
            </w:r>
          </w:p>
        </w:tc>
        <w:tc>
          <w:tcPr>
            <w:tcW w:w="1418" w:type="dxa"/>
            <w:vAlign w:val="center"/>
          </w:tcPr>
          <w:p w14:paraId="0104C960">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2FAE0F97">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4398D1AC">
            <w:pPr>
              <w:pStyle w:val="17"/>
              <w:keepNext/>
              <w:spacing w:line="440" w:lineRule="exact"/>
              <w:ind w:left="63" w:right="63"/>
              <w:rPr>
                <w:rFonts w:hint="eastAsia" w:ascii="仿宋" w:hAnsi="仿宋" w:eastAsia="仿宋" w:cs="仿宋"/>
                <w:color w:val="auto"/>
                <w:sz w:val="28"/>
                <w:szCs w:val="28"/>
                <w:highlight w:val="none"/>
              </w:rPr>
            </w:pPr>
          </w:p>
        </w:tc>
        <w:tc>
          <w:tcPr>
            <w:tcW w:w="4252" w:type="dxa"/>
            <w:vAlign w:val="center"/>
          </w:tcPr>
          <w:p w14:paraId="58B09334">
            <w:pPr>
              <w:pStyle w:val="17"/>
              <w:keepNext/>
              <w:spacing w:line="440" w:lineRule="exact"/>
              <w:ind w:left="63" w:right="63"/>
              <w:rPr>
                <w:rFonts w:hint="eastAsia" w:ascii="仿宋" w:hAnsi="仿宋" w:eastAsia="仿宋" w:cs="仿宋"/>
                <w:color w:val="auto"/>
                <w:sz w:val="28"/>
                <w:szCs w:val="28"/>
                <w:highlight w:val="none"/>
              </w:rPr>
            </w:pPr>
          </w:p>
        </w:tc>
      </w:tr>
      <w:tr w14:paraId="0595D2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vAlign w:val="center"/>
          </w:tcPr>
          <w:p w14:paraId="314CD286">
            <w:pPr>
              <w:pStyle w:val="17"/>
              <w:keepNext/>
              <w:spacing w:line="440" w:lineRule="exact"/>
              <w:ind w:left="63" w:right="6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项目副经理</w:t>
            </w:r>
          </w:p>
        </w:tc>
        <w:tc>
          <w:tcPr>
            <w:tcW w:w="1418" w:type="dxa"/>
            <w:vAlign w:val="center"/>
          </w:tcPr>
          <w:p w14:paraId="6B353931">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73DFF6D2">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720CD763">
            <w:pPr>
              <w:pStyle w:val="17"/>
              <w:keepNext/>
              <w:spacing w:line="440" w:lineRule="exact"/>
              <w:ind w:left="63" w:right="63"/>
              <w:rPr>
                <w:rFonts w:hint="eastAsia" w:ascii="仿宋" w:hAnsi="仿宋" w:eastAsia="仿宋" w:cs="仿宋"/>
                <w:color w:val="auto"/>
                <w:sz w:val="28"/>
                <w:szCs w:val="28"/>
                <w:highlight w:val="none"/>
              </w:rPr>
            </w:pPr>
          </w:p>
        </w:tc>
        <w:tc>
          <w:tcPr>
            <w:tcW w:w="4252" w:type="dxa"/>
            <w:vAlign w:val="center"/>
          </w:tcPr>
          <w:p w14:paraId="71AFEFF7">
            <w:pPr>
              <w:pStyle w:val="17"/>
              <w:keepNext/>
              <w:spacing w:line="440" w:lineRule="exact"/>
              <w:ind w:left="63" w:right="63"/>
              <w:rPr>
                <w:rFonts w:hint="eastAsia" w:ascii="仿宋" w:hAnsi="仿宋" w:eastAsia="仿宋" w:cs="仿宋"/>
                <w:color w:val="auto"/>
                <w:sz w:val="28"/>
                <w:szCs w:val="28"/>
                <w:highlight w:val="none"/>
              </w:rPr>
            </w:pPr>
          </w:p>
        </w:tc>
      </w:tr>
      <w:tr w14:paraId="03CB6F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vAlign w:val="center"/>
          </w:tcPr>
          <w:p w14:paraId="5FB6E854">
            <w:pPr>
              <w:pStyle w:val="17"/>
              <w:keepNext/>
              <w:spacing w:line="440" w:lineRule="exact"/>
              <w:ind w:left="63" w:right="6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技术负责人</w:t>
            </w:r>
          </w:p>
        </w:tc>
        <w:tc>
          <w:tcPr>
            <w:tcW w:w="1418" w:type="dxa"/>
            <w:vAlign w:val="center"/>
          </w:tcPr>
          <w:p w14:paraId="06FBCFF6">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0565C3FF">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2C1CC6E2">
            <w:pPr>
              <w:pStyle w:val="17"/>
              <w:keepNext/>
              <w:spacing w:line="440" w:lineRule="exact"/>
              <w:ind w:left="63" w:right="63"/>
              <w:rPr>
                <w:rFonts w:hint="eastAsia" w:ascii="仿宋" w:hAnsi="仿宋" w:eastAsia="仿宋" w:cs="仿宋"/>
                <w:color w:val="auto"/>
                <w:sz w:val="28"/>
                <w:szCs w:val="28"/>
                <w:highlight w:val="none"/>
              </w:rPr>
            </w:pPr>
          </w:p>
        </w:tc>
        <w:tc>
          <w:tcPr>
            <w:tcW w:w="4252" w:type="dxa"/>
            <w:vAlign w:val="center"/>
          </w:tcPr>
          <w:p w14:paraId="67069D3F">
            <w:pPr>
              <w:pStyle w:val="17"/>
              <w:keepNext/>
              <w:spacing w:line="440" w:lineRule="exact"/>
              <w:ind w:left="63" w:right="63"/>
              <w:rPr>
                <w:rFonts w:hint="eastAsia" w:ascii="仿宋" w:hAnsi="仿宋" w:eastAsia="仿宋" w:cs="仿宋"/>
                <w:color w:val="auto"/>
                <w:sz w:val="28"/>
                <w:szCs w:val="28"/>
                <w:highlight w:val="none"/>
              </w:rPr>
            </w:pPr>
          </w:p>
        </w:tc>
      </w:tr>
      <w:tr w14:paraId="6916CE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vAlign w:val="center"/>
          </w:tcPr>
          <w:p w14:paraId="2E76C8C8">
            <w:pPr>
              <w:pStyle w:val="17"/>
              <w:keepNext/>
              <w:spacing w:line="440" w:lineRule="exact"/>
              <w:ind w:left="63" w:right="6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造价管理</w:t>
            </w:r>
          </w:p>
        </w:tc>
        <w:tc>
          <w:tcPr>
            <w:tcW w:w="1418" w:type="dxa"/>
            <w:vAlign w:val="center"/>
          </w:tcPr>
          <w:p w14:paraId="1E0169CA">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374428A6">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4CD83FF8">
            <w:pPr>
              <w:pStyle w:val="17"/>
              <w:keepNext/>
              <w:spacing w:line="440" w:lineRule="exact"/>
              <w:ind w:left="63" w:right="63"/>
              <w:rPr>
                <w:rFonts w:hint="eastAsia" w:ascii="仿宋" w:hAnsi="仿宋" w:eastAsia="仿宋" w:cs="仿宋"/>
                <w:color w:val="auto"/>
                <w:sz w:val="28"/>
                <w:szCs w:val="28"/>
                <w:highlight w:val="none"/>
              </w:rPr>
            </w:pPr>
          </w:p>
        </w:tc>
        <w:tc>
          <w:tcPr>
            <w:tcW w:w="4252" w:type="dxa"/>
            <w:vAlign w:val="center"/>
          </w:tcPr>
          <w:p w14:paraId="1F1AFADE">
            <w:pPr>
              <w:pStyle w:val="17"/>
              <w:keepNext/>
              <w:spacing w:line="440" w:lineRule="exact"/>
              <w:ind w:left="63" w:right="63"/>
              <w:rPr>
                <w:rFonts w:hint="eastAsia" w:ascii="仿宋" w:hAnsi="仿宋" w:eastAsia="仿宋" w:cs="仿宋"/>
                <w:color w:val="auto"/>
                <w:sz w:val="28"/>
                <w:szCs w:val="28"/>
                <w:highlight w:val="none"/>
              </w:rPr>
            </w:pPr>
          </w:p>
        </w:tc>
      </w:tr>
      <w:tr w14:paraId="5F7BD7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vAlign w:val="center"/>
          </w:tcPr>
          <w:p w14:paraId="2AED5872">
            <w:pPr>
              <w:pStyle w:val="17"/>
              <w:keepNext/>
              <w:spacing w:line="440" w:lineRule="exact"/>
              <w:ind w:left="63" w:right="6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质量管理</w:t>
            </w:r>
          </w:p>
        </w:tc>
        <w:tc>
          <w:tcPr>
            <w:tcW w:w="1418" w:type="dxa"/>
            <w:vAlign w:val="center"/>
          </w:tcPr>
          <w:p w14:paraId="6E66CC34">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78B4C8F8">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4A8EC974">
            <w:pPr>
              <w:pStyle w:val="17"/>
              <w:keepNext/>
              <w:spacing w:line="440" w:lineRule="exact"/>
              <w:ind w:left="63" w:right="63"/>
              <w:rPr>
                <w:rFonts w:hint="eastAsia" w:ascii="仿宋" w:hAnsi="仿宋" w:eastAsia="仿宋" w:cs="仿宋"/>
                <w:color w:val="auto"/>
                <w:sz w:val="28"/>
                <w:szCs w:val="28"/>
                <w:highlight w:val="none"/>
              </w:rPr>
            </w:pPr>
          </w:p>
        </w:tc>
        <w:tc>
          <w:tcPr>
            <w:tcW w:w="4252" w:type="dxa"/>
            <w:vAlign w:val="center"/>
          </w:tcPr>
          <w:p w14:paraId="62D34E9D">
            <w:pPr>
              <w:pStyle w:val="17"/>
              <w:keepNext/>
              <w:spacing w:line="440" w:lineRule="exact"/>
              <w:ind w:left="63" w:right="63"/>
              <w:rPr>
                <w:rFonts w:hint="eastAsia" w:ascii="仿宋" w:hAnsi="仿宋" w:eastAsia="仿宋" w:cs="仿宋"/>
                <w:color w:val="auto"/>
                <w:sz w:val="28"/>
                <w:szCs w:val="28"/>
                <w:highlight w:val="none"/>
              </w:rPr>
            </w:pPr>
          </w:p>
        </w:tc>
      </w:tr>
      <w:tr w14:paraId="223D50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vAlign w:val="center"/>
          </w:tcPr>
          <w:p w14:paraId="2D00290D">
            <w:pPr>
              <w:pStyle w:val="17"/>
              <w:keepNext/>
              <w:spacing w:line="440" w:lineRule="exact"/>
              <w:ind w:left="63" w:right="6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材料管理</w:t>
            </w:r>
          </w:p>
        </w:tc>
        <w:tc>
          <w:tcPr>
            <w:tcW w:w="1418" w:type="dxa"/>
            <w:vAlign w:val="center"/>
          </w:tcPr>
          <w:p w14:paraId="7A339D67">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292A75C6">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5CF5026C">
            <w:pPr>
              <w:pStyle w:val="17"/>
              <w:keepNext/>
              <w:spacing w:line="440" w:lineRule="exact"/>
              <w:ind w:left="63" w:right="63"/>
              <w:rPr>
                <w:rFonts w:hint="eastAsia" w:ascii="仿宋" w:hAnsi="仿宋" w:eastAsia="仿宋" w:cs="仿宋"/>
                <w:color w:val="auto"/>
                <w:sz w:val="28"/>
                <w:szCs w:val="28"/>
                <w:highlight w:val="none"/>
              </w:rPr>
            </w:pPr>
          </w:p>
        </w:tc>
        <w:tc>
          <w:tcPr>
            <w:tcW w:w="4252" w:type="dxa"/>
            <w:vAlign w:val="center"/>
          </w:tcPr>
          <w:p w14:paraId="3E6ACCBD">
            <w:pPr>
              <w:pStyle w:val="17"/>
              <w:keepNext/>
              <w:spacing w:line="440" w:lineRule="exact"/>
              <w:ind w:left="63" w:right="63"/>
              <w:rPr>
                <w:rFonts w:hint="eastAsia" w:ascii="仿宋" w:hAnsi="仿宋" w:eastAsia="仿宋" w:cs="仿宋"/>
                <w:color w:val="auto"/>
                <w:sz w:val="28"/>
                <w:szCs w:val="28"/>
                <w:highlight w:val="none"/>
              </w:rPr>
            </w:pPr>
          </w:p>
        </w:tc>
      </w:tr>
      <w:tr w14:paraId="524B2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vAlign w:val="center"/>
          </w:tcPr>
          <w:p w14:paraId="255519B0">
            <w:pPr>
              <w:pStyle w:val="17"/>
              <w:keepNext/>
              <w:spacing w:line="440" w:lineRule="exact"/>
              <w:ind w:left="63" w:right="6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计划管理</w:t>
            </w:r>
          </w:p>
        </w:tc>
        <w:tc>
          <w:tcPr>
            <w:tcW w:w="1418" w:type="dxa"/>
            <w:vAlign w:val="center"/>
          </w:tcPr>
          <w:p w14:paraId="4CC74D21">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14E6BCD0">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72E63886">
            <w:pPr>
              <w:pStyle w:val="17"/>
              <w:keepNext/>
              <w:spacing w:line="440" w:lineRule="exact"/>
              <w:ind w:left="63" w:right="63"/>
              <w:rPr>
                <w:rFonts w:hint="eastAsia" w:ascii="仿宋" w:hAnsi="仿宋" w:eastAsia="仿宋" w:cs="仿宋"/>
                <w:color w:val="auto"/>
                <w:sz w:val="28"/>
                <w:szCs w:val="28"/>
                <w:highlight w:val="none"/>
              </w:rPr>
            </w:pPr>
          </w:p>
        </w:tc>
        <w:tc>
          <w:tcPr>
            <w:tcW w:w="4252" w:type="dxa"/>
            <w:vAlign w:val="center"/>
          </w:tcPr>
          <w:p w14:paraId="05135908">
            <w:pPr>
              <w:pStyle w:val="17"/>
              <w:keepNext/>
              <w:spacing w:line="440" w:lineRule="exact"/>
              <w:ind w:left="63" w:right="63"/>
              <w:rPr>
                <w:rFonts w:hint="eastAsia" w:ascii="仿宋" w:hAnsi="仿宋" w:eastAsia="仿宋" w:cs="仿宋"/>
                <w:color w:val="auto"/>
                <w:sz w:val="28"/>
                <w:szCs w:val="28"/>
                <w:highlight w:val="none"/>
              </w:rPr>
            </w:pPr>
          </w:p>
        </w:tc>
      </w:tr>
      <w:tr w14:paraId="291439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vAlign w:val="center"/>
          </w:tcPr>
          <w:p w14:paraId="29380709">
            <w:pPr>
              <w:pStyle w:val="17"/>
              <w:keepNext/>
              <w:spacing w:line="440" w:lineRule="exact"/>
              <w:ind w:left="63" w:right="6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安全管理</w:t>
            </w:r>
          </w:p>
        </w:tc>
        <w:tc>
          <w:tcPr>
            <w:tcW w:w="1418" w:type="dxa"/>
            <w:vAlign w:val="center"/>
          </w:tcPr>
          <w:p w14:paraId="6572BA0F">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7D58D0D3">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535026C3">
            <w:pPr>
              <w:pStyle w:val="17"/>
              <w:keepNext/>
              <w:spacing w:line="440" w:lineRule="exact"/>
              <w:ind w:left="63" w:right="63"/>
              <w:rPr>
                <w:rFonts w:hint="eastAsia" w:ascii="仿宋" w:hAnsi="仿宋" w:eastAsia="仿宋" w:cs="仿宋"/>
                <w:color w:val="auto"/>
                <w:sz w:val="28"/>
                <w:szCs w:val="28"/>
                <w:highlight w:val="none"/>
              </w:rPr>
            </w:pPr>
          </w:p>
        </w:tc>
        <w:tc>
          <w:tcPr>
            <w:tcW w:w="4252" w:type="dxa"/>
            <w:vAlign w:val="center"/>
          </w:tcPr>
          <w:p w14:paraId="44EBE746">
            <w:pPr>
              <w:pStyle w:val="17"/>
              <w:keepNext/>
              <w:spacing w:line="440" w:lineRule="exact"/>
              <w:ind w:left="63" w:right="63"/>
              <w:rPr>
                <w:rFonts w:hint="eastAsia" w:ascii="仿宋" w:hAnsi="仿宋" w:eastAsia="仿宋" w:cs="仿宋"/>
                <w:color w:val="auto"/>
                <w:sz w:val="28"/>
                <w:szCs w:val="28"/>
                <w:highlight w:val="none"/>
              </w:rPr>
            </w:pPr>
          </w:p>
        </w:tc>
      </w:tr>
      <w:tr w14:paraId="3C4928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restart"/>
            <w:tcBorders>
              <w:top w:val="single" w:color="auto" w:sz="6" w:space="0"/>
            </w:tcBorders>
            <w:vAlign w:val="center"/>
          </w:tcPr>
          <w:p w14:paraId="07EED1E0">
            <w:pPr>
              <w:pStyle w:val="17"/>
              <w:keepNext/>
              <w:spacing w:line="440" w:lineRule="exact"/>
              <w:ind w:left="63" w:right="6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其他人员</w:t>
            </w:r>
          </w:p>
        </w:tc>
        <w:tc>
          <w:tcPr>
            <w:tcW w:w="1418" w:type="dxa"/>
            <w:vAlign w:val="center"/>
          </w:tcPr>
          <w:p w14:paraId="6FF620D7">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5056C739">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2C25BDEF">
            <w:pPr>
              <w:pStyle w:val="17"/>
              <w:keepNext/>
              <w:spacing w:line="440" w:lineRule="exact"/>
              <w:ind w:left="63" w:right="63"/>
              <w:rPr>
                <w:rFonts w:hint="eastAsia" w:ascii="仿宋" w:hAnsi="仿宋" w:eastAsia="仿宋" w:cs="仿宋"/>
                <w:color w:val="auto"/>
                <w:sz w:val="28"/>
                <w:szCs w:val="28"/>
                <w:highlight w:val="none"/>
              </w:rPr>
            </w:pPr>
          </w:p>
        </w:tc>
        <w:tc>
          <w:tcPr>
            <w:tcW w:w="4252" w:type="dxa"/>
            <w:vAlign w:val="center"/>
          </w:tcPr>
          <w:p w14:paraId="3EF446B3">
            <w:pPr>
              <w:pStyle w:val="17"/>
              <w:keepNext/>
              <w:spacing w:line="440" w:lineRule="exact"/>
              <w:ind w:left="63" w:right="63"/>
              <w:rPr>
                <w:rFonts w:hint="eastAsia" w:ascii="仿宋" w:hAnsi="仿宋" w:eastAsia="仿宋" w:cs="仿宋"/>
                <w:color w:val="auto"/>
                <w:sz w:val="28"/>
                <w:szCs w:val="28"/>
                <w:highlight w:val="none"/>
              </w:rPr>
            </w:pPr>
          </w:p>
        </w:tc>
      </w:tr>
      <w:tr w14:paraId="3F34A4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vAlign w:val="center"/>
          </w:tcPr>
          <w:p w14:paraId="5DAF3044">
            <w:pPr>
              <w:pStyle w:val="17"/>
              <w:keepNext/>
              <w:spacing w:line="440" w:lineRule="exact"/>
              <w:ind w:left="63" w:right="63"/>
              <w:rPr>
                <w:rFonts w:hint="eastAsia" w:ascii="仿宋" w:hAnsi="仿宋" w:eastAsia="仿宋" w:cs="仿宋"/>
                <w:color w:val="auto"/>
                <w:sz w:val="28"/>
                <w:szCs w:val="28"/>
                <w:highlight w:val="none"/>
              </w:rPr>
            </w:pPr>
          </w:p>
        </w:tc>
        <w:tc>
          <w:tcPr>
            <w:tcW w:w="1418" w:type="dxa"/>
            <w:tcBorders>
              <w:bottom w:val="nil"/>
            </w:tcBorders>
            <w:vAlign w:val="center"/>
          </w:tcPr>
          <w:p w14:paraId="24DB7AD8">
            <w:pPr>
              <w:pStyle w:val="17"/>
              <w:keepNext/>
              <w:spacing w:line="440" w:lineRule="exact"/>
              <w:ind w:left="63" w:right="63"/>
              <w:rPr>
                <w:rFonts w:hint="eastAsia" w:ascii="仿宋" w:hAnsi="仿宋" w:eastAsia="仿宋" w:cs="仿宋"/>
                <w:color w:val="auto"/>
                <w:sz w:val="28"/>
                <w:szCs w:val="28"/>
                <w:highlight w:val="none"/>
              </w:rPr>
            </w:pPr>
          </w:p>
        </w:tc>
        <w:tc>
          <w:tcPr>
            <w:tcW w:w="1134" w:type="dxa"/>
            <w:tcBorders>
              <w:bottom w:val="nil"/>
            </w:tcBorders>
            <w:vAlign w:val="center"/>
          </w:tcPr>
          <w:p w14:paraId="130477A7">
            <w:pPr>
              <w:pStyle w:val="17"/>
              <w:keepNext/>
              <w:spacing w:line="440" w:lineRule="exact"/>
              <w:ind w:left="63" w:right="63"/>
              <w:rPr>
                <w:rFonts w:hint="eastAsia" w:ascii="仿宋" w:hAnsi="仿宋" w:eastAsia="仿宋" w:cs="仿宋"/>
                <w:color w:val="auto"/>
                <w:sz w:val="28"/>
                <w:szCs w:val="28"/>
                <w:highlight w:val="none"/>
              </w:rPr>
            </w:pPr>
          </w:p>
        </w:tc>
        <w:tc>
          <w:tcPr>
            <w:tcW w:w="1134" w:type="dxa"/>
            <w:tcBorders>
              <w:bottom w:val="nil"/>
            </w:tcBorders>
            <w:vAlign w:val="center"/>
          </w:tcPr>
          <w:p w14:paraId="2D6F0A93">
            <w:pPr>
              <w:pStyle w:val="17"/>
              <w:keepNext/>
              <w:spacing w:line="440" w:lineRule="exact"/>
              <w:ind w:left="63" w:right="63"/>
              <w:rPr>
                <w:rFonts w:hint="eastAsia" w:ascii="仿宋" w:hAnsi="仿宋" w:eastAsia="仿宋" w:cs="仿宋"/>
                <w:color w:val="auto"/>
                <w:sz w:val="28"/>
                <w:szCs w:val="28"/>
                <w:highlight w:val="none"/>
              </w:rPr>
            </w:pPr>
          </w:p>
        </w:tc>
        <w:tc>
          <w:tcPr>
            <w:tcW w:w="4252" w:type="dxa"/>
            <w:tcBorders>
              <w:bottom w:val="nil"/>
            </w:tcBorders>
            <w:vAlign w:val="center"/>
          </w:tcPr>
          <w:p w14:paraId="17F57921">
            <w:pPr>
              <w:pStyle w:val="17"/>
              <w:keepNext/>
              <w:spacing w:line="440" w:lineRule="exact"/>
              <w:ind w:left="63" w:right="63"/>
              <w:rPr>
                <w:rFonts w:hint="eastAsia" w:ascii="仿宋" w:hAnsi="仿宋" w:eastAsia="仿宋" w:cs="仿宋"/>
                <w:color w:val="auto"/>
                <w:sz w:val="28"/>
                <w:szCs w:val="28"/>
                <w:highlight w:val="none"/>
              </w:rPr>
            </w:pPr>
          </w:p>
        </w:tc>
      </w:tr>
      <w:tr w14:paraId="0C4FE2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vAlign w:val="center"/>
          </w:tcPr>
          <w:p w14:paraId="619D8750">
            <w:pPr>
              <w:pStyle w:val="17"/>
              <w:keepNext/>
              <w:spacing w:line="440" w:lineRule="exact"/>
              <w:ind w:left="63" w:right="63"/>
              <w:rPr>
                <w:rFonts w:hint="eastAsia" w:ascii="仿宋" w:hAnsi="仿宋" w:eastAsia="仿宋" w:cs="仿宋"/>
                <w:color w:val="auto"/>
                <w:sz w:val="28"/>
                <w:szCs w:val="28"/>
                <w:highlight w:val="none"/>
              </w:rPr>
            </w:pPr>
          </w:p>
        </w:tc>
        <w:tc>
          <w:tcPr>
            <w:tcW w:w="1418" w:type="dxa"/>
            <w:vAlign w:val="center"/>
          </w:tcPr>
          <w:p w14:paraId="735CF06F">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4F80D380">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1C3EB509">
            <w:pPr>
              <w:pStyle w:val="17"/>
              <w:keepNext/>
              <w:spacing w:line="440" w:lineRule="exact"/>
              <w:ind w:left="63" w:right="63"/>
              <w:rPr>
                <w:rFonts w:hint="eastAsia" w:ascii="仿宋" w:hAnsi="仿宋" w:eastAsia="仿宋" w:cs="仿宋"/>
                <w:color w:val="auto"/>
                <w:sz w:val="28"/>
                <w:szCs w:val="28"/>
                <w:highlight w:val="none"/>
              </w:rPr>
            </w:pPr>
          </w:p>
        </w:tc>
        <w:tc>
          <w:tcPr>
            <w:tcW w:w="4252" w:type="dxa"/>
            <w:vAlign w:val="center"/>
          </w:tcPr>
          <w:p w14:paraId="2CB3E473">
            <w:pPr>
              <w:pStyle w:val="17"/>
              <w:keepNext/>
              <w:spacing w:line="440" w:lineRule="exact"/>
              <w:ind w:left="63" w:right="63"/>
              <w:rPr>
                <w:rFonts w:hint="eastAsia" w:ascii="仿宋" w:hAnsi="仿宋" w:eastAsia="仿宋" w:cs="仿宋"/>
                <w:color w:val="auto"/>
                <w:sz w:val="28"/>
                <w:szCs w:val="28"/>
                <w:highlight w:val="none"/>
              </w:rPr>
            </w:pPr>
          </w:p>
        </w:tc>
      </w:tr>
      <w:tr w14:paraId="5287F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vAlign w:val="center"/>
          </w:tcPr>
          <w:p w14:paraId="6FBF6FB5">
            <w:pPr>
              <w:pStyle w:val="17"/>
              <w:keepNext/>
              <w:spacing w:line="440" w:lineRule="exact"/>
              <w:ind w:left="63" w:right="63"/>
              <w:rPr>
                <w:rFonts w:hint="eastAsia" w:ascii="仿宋" w:hAnsi="仿宋" w:eastAsia="仿宋" w:cs="仿宋"/>
                <w:color w:val="auto"/>
                <w:sz w:val="28"/>
                <w:szCs w:val="28"/>
                <w:highlight w:val="none"/>
              </w:rPr>
            </w:pPr>
          </w:p>
        </w:tc>
        <w:tc>
          <w:tcPr>
            <w:tcW w:w="1418" w:type="dxa"/>
            <w:vAlign w:val="center"/>
          </w:tcPr>
          <w:p w14:paraId="1E2D65C5">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4EA60983">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52C7C35A">
            <w:pPr>
              <w:pStyle w:val="17"/>
              <w:keepNext/>
              <w:spacing w:line="440" w:lineRule="exact"/>
              <w:ind w:left="63" w:right="63"/>
              <w:rPr>
                <w:rFonts w:hint="eastAsia" w:ascii="仿宋" w:hAnsi="仿宋" w:eastAsia="仿宋" w:cs="仿宋"/>
                <w:color w:val="auto"/>
                <w:sz w:val="28"/>
                <w:szCs w:val="28"/>
                <w:highlight w:val="none"/>
              </w:rPr>
            </w:pPr>
          </w:p>
        </w:tc>
        <w:tc>
          <w:tcPr>
            <w:tcW w:w="4252" w:type="dxa"/>
            <w:vAlign w:val="center"/>
          </w:tcPr>
          <w:p w14:paraId="549E2897">
            <w:pPr>
              <w:pStyle w:val="17"/>
              <w:keepNext/>
              <w:spacing w:line="440" w:lineRule="exact"/>
              <w:ind w:left="63" w:right="63"/>
              <w:rPr>
                <w:rFonts w:hint="eastAsia" w:ascii="仿宋" w:hAnsi="仿宋" w:eastAsia="仿宋" w:cs="仿宋"/>
                <w:color w:val="auto"/>
                <w:sz w:val="28"/>
                <w:szCs w:val="28"/>
                <w:highlight w:val="none"/>
              </w:rPr>
            </w:pPr>
          </w:p>
        </w:tc>
      </w:tr>
      <w:tr w14:paraId="766C9B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vAlign w:val="center"/>
          </w:tcPr>
          <w:p w14:paraId="45B425A8">
            <w:pPr>
              <w:pStyle w:val="17"/>
              <w:keepNext/>
              <w:spacing w:line="440" w:lineRule="exact"/>
              <w:ind w:left="63" w:right="63"/>
              <w:rPr>
                <w:rFonts w:hint="eastAsia" w:ascii="仿宋" w:hAnsi="仿宋" w:eastAsia="仿宋" w:cs="仿宋"/>
                <w:color w:val="auto"/>
                <w:sz w:val="28"/>
                <w:szCs w:val="28"/>
                <w:highlight w:val="none"/>
              </w:rPr>
            </w:pPr>
          </w:p>
        </w:tc>
        <w:tc>
          <w:tcPr>
            <w:tcW w:w="1418" w:type="dxa"/>
            <w:vAlign w:val="center"/>
          </w:tcPr>
          <w:p w14:paraId="2B1579E5">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71F21430">
            <w:pPr>
              <w:pStyle w:val="17"/>
              <w:keepNext/>
              <w:spacing w:line="440" w:lineRule="exact"/>
              <w:ind w:left="63" w:right="63"/>
              <w:rPr>
                <w:rFonts w:hint="eastAsia" w:ascii="仿宋" w:hAnsi="仿宋" w:eastAsia="仿宋" w:cs="仿宋"/>
                <w:color w:val="auto"/>
                <w:sz w:val="28"/>
                <w:szCs w:val="28"/>
                <w:highlight w:val="none"/>
              </w:rPr>
            </w:pPr>
          </w:p>
        </w:tc>
        <w:tc>
          <w:tcPr>
            <w:tcW w:w="1134" w:type="dxa"/>
            <w:vAlign w:val="center"/>
          </w:tcPr>
          <w:p w14:paraId="6EFD7902">
            <w:pPr>
              <w:pStyle w:val="17"/>
              <w:keepNext/>
              <w:spacing w:line="440" w:lineRule="exact"/>
              <w:ind w:left="63" w:right="63"/>
              <w:rPr>
                <w:rFonts w:hint="eastAsia" w:ascii="仿宋" w:hAnsi="仿宋" w:eastAsia="仿宋" w:cs="仿宋"/>
                <w:color w:val="auto"/>
                <w:sz w:val="28"/>
                <w:szCs w:val="28"/>
                <w:highlight w:val="none"/>
              </w:rPr>
            </w:pPr>
          </w:p>
        </w:tc>
        <w:tc>
          <w:tcPr>
            <w:tcW w:w="4252" w:type="dxa"/>
            <w:vAlign w:val="center"/>
          </w:tcPr>
          <w:p w14:paraId="0D18406F">
            <w:pPr>
              <w:pStyle w:val="17"/>
              <w:keepNext/>
              <w:spacing w:line="440" w:lineRule="exact"/>
              <w:ind w:left="63" w:right="63"/>
              <w:rPr>
                <w:rFonts w:hint="eastAsia" w:ascii="仿宋" w:hAnsi="仿宋" w:eastAsia="仿宋" w:cs="仿宋"/>
                <w:color w:val="auto"/>
                <w:sz w:val="28"/>
                <w:szCs w:val="28"/>
                <w:highlight w:val="none"/>
              </w:rPr>
            </w:pPr>
          </w:p>
        </w:tc>
      </w:tr>
      <w:tr w14:paraId="2962F4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tcBorders>
              <w:bottom w:val="single" w:color="auto" w:sz="12" w:space="0"/>
            </w:tcBorders>
            <w:vAlign w:val="center"/>
          </w:tcPr>
          <w:p w14:paraId="3FA1A0CC">
            <w:pPr>
              <w:pStyle w:val="17"/>
              <w:keepNext/>
              <w:spacing w:line="440" w:lineRule="exact"/>
              <w:ind w:left="63" w:right="63"/>
              <w:rPr>
                <w:rFonts w:hint="eastAsia" w:ascii="仿宋" w:hAnsi="仿宋" w:eastAsia="仿宋" w:cs="仿宋"/>
                <w:color w:val="auto"/>
                <w:sz w:val="28"/>
                <w:szCs w:val="28"/>
                <w:highlight w:val="none"/>
              </w:rPr>
            </w:pPr>
          </w:p>
        </w:tc>
        <w:tc>
          <w:tcPr>
            <w:tcW w:w="1418" w:type="dxa"/>
            <w:tcBorders>
              <w:bottom w:val="single" w:color="auto" w:sz="12" w:space="0"/>
            </w:tcBorders>
            <w:vAlign w:val="center"/>
          </w:tcPr>
          <w:p w14:paraId="36A29B3C">
            <w:pPr>
              <w:pStyle w:val="17"/>
              <w:keepNext/>
              <w:spacing w:line="440" w:lineRule="exact"/>
              <w:ind w:left="63" w:right="63"/>
              <w:rPr>
                <w:rFonts w:hint="eastAsia" w:ascii="仿宋" w:hAnsi="仿宋" w:eastAsia="仿宋" w:cs="仿宋"/>
                <w:color w:val="auto"/>
                <w:sz w:val="28"/>
                <w:szCs w:val="28"/>
                <w:highlight w:val="none"/>
              </w:rPr>
            </w:pPr>
          </w:p>
        </w:tc>
        <w:tc>
          <w:tcPr>
            <w:tcW w:w="1134" w:type="dxa"/>
            <w:tcBorders>
              <w:bottom w:val="single" w:color="auto" w:sz="12" w:space="0"/>
            </w:tcBorders>
            <w:vAlign w:val="center"/>
          </w:tcPr>
          <w:p w14:paraId="172A2092">
            <w:pPr>
              <w:pStyle w:val="17"/>
              <w:keepNext/>
              <w:spacing w:line="440" w:lineRule="exact"/>
              <w:ind w:left="63" w:right="63"/>
              <w:rPr>
                <w:rFonts w:hint="eastAsia" w:ascii="仿宋" w:hAnsi="仿宋" w:eastAsia="仿宋" w:cs="仿宋"/>
                <w:color w:val="auto"/>
                <w:sz w:val="28"/>
                <w:szCs w:val="28"/>
                <w:highlight w:val="none"/>
              </w:rPr>
            </w:pPr>
          </w:p>
        </w:tc>
        <w:tc>
          <w:tcPr>
            <w:tcW w:w="1134" w:type="dxa"/>
            <w:tcBorders>
              <w:bottom w:val="single" w:color="auto" w:sz="12" w:space="0"/>
            </w:tcBorders>
            <w:vAlign w:val="center"/>
          </w:tcPr>
          <w:p w14:paraId="4630375D">
            <w:pPr>
              <w:pStyle w:val="17"/>
              <w:keepNext/>
              <w:spacing w:line="440" w:lineRule="exact"/>
              <w:ind w:left="63" w:right="63"/>
              <w:rPr>
                <w:rFonts w:hint="eastAsia" w:ascii="仿宋" w:hAnsi="仿宋" w:eastAsia="仿宋" w:cs="仿宋"/>
                <w:color w:val="auto"/>
                <w:sz w:val="28"/>
                <w:szCs w:val="28"/>
                <w:highlight w:val="none"/>
              </w:rPr>
            </w:pPr>
          </w:p>
        </w:tc>
        <w:tc>
          <w:tcPr>
            <w:tcW w:w="4252" w:type="dxa"/>
            <w:tcBorders>
              <w:bottom w:val="single" w:color="auto" w:sz="12" w:space="0"/>
            </w:tcBorders>
            <w:vAlign w:val="center"/>
          </w:tcPr>
          <w:p w14:paraId="42C8B8B6">
            <w:pPr>
              <w:pStyle w:val="17"/>
              <w:keepNext/>
              <w:spacing w:line="440" w:lineRule="exact"/>
              <w:ind w:left="63" w:right="63"/>
              <w:rPr>
                <w:rFonts w:hint="eastAsia" w:ascii="仿宋" w:hAnsi="仿宋" w:eastAsia="仿宋" w:cs="仿宋"/>
                <w:color w:val="auto"/>
                <w:sz w:val="28"/>
                <w:szCs w:val="28"/>
                <w:highlight w:val="none"/>
              </w:rPr>
            </w:pPr>
          </w:p>
        </w:tc>
      </w:tr>
    </w:tbl>
    <w:p w14:paraId="544549E2">
      <w:pPr>
        <w:jc w:val="cente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0130427D">
      <w:pPr>
        <w:pStyle w:val="3"/>
        <w:spacing w:line="520" w:lineRule="exact"/>
        <w:jc w:val="center"/>
        <w:rPr>
          <w:rFonts w:hint="eastAsia" w:ascii="仿宋" w:hAnsi="仿宋" w:eastAsia="仿宋" w:cs="仿宋"/>
          <w:color w:val="auto"/>
          <w:highlight w:val="none"/>
        </w:rPr>
      </w:pPr>
      <w:r>
        <w:rPr>
          <w:rFonts w:hint="eastAsia" w:ascii="仿宋" w:hAnsi="仿宋" w:eastAsia="仿宋" w:cs="仿宋"/>
          <w:bCs w:val="0"/>
          <w:color w:val="auto"/>
          <w:highlight w:val="none"/>
        </w:rPr>
        <w:t>02分标</w:t>
      </w:r>
      <w:r>
        <w:rPr>
          <w:rFonts w:hint="eastAsia" w:ascii="仿宋" w:hAnsi="仿宋" w:eastAsia="仿宋" w:cs="仿宋"/>
          <w:color w:val="auto"/>
          <w:highlight w:val="none"/>
        </w:rPr>
        <w:t>合同文本</w:t>
      </w:r>
      <w:bookmarkEnd w:id="135"/>
    </w:p>
    <w:p w14:paraId="337371A7">
      <w:pPr>
        <w:pStyle w:val="17"/>
        <w:rPr>
          <w:color w:val="auto"/>
          <w:highlight w:val="none"/>
        </w:rPr>
      </w:pPr>
    </w:p>
    <w:p w14:paraId="6EDBEF01">
      <w:pPr>
        <w:pStyle w:val="44"/>
        <w:ind w:firstLine="240"/>
        <w:rPr>
          <w:color w:val="auto"/>
          <w:highlight w:val="none"/>
        </w:rPr>
      </w:pPr>
    </w:p>
    <w:p w14:paraId="066CEED1">
      <w:pPr>
        <w:snapToGrid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采购人（甲方）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r>
        <w:rPr>
          <w:rFonts w:hint="eastAsia" w:ascii="仿宋" w:hAnsi="仿宋" w:eastAsia="仿宋" w:cs="仿宋"/>
          <w:color w:val="auto"/>
          <w:spacing w:val="-20"/>
          <w:sz w:val="24"/>
          <w:highlight w:val="none"/>
        </w:rPr>
        <w:t>采 购 计 划 号</w:t>
      </w:r>
      <w:r>
        <w:rPr>
          <w:rFonts w:hint="eastAsia" w:ascii="仿宋" w:hAnsi="仿宋" w:eastAsia="仿宋" w:cs="仿宋"/>
          <w:color w:val="auto"/>
          <w:sz w:val="24"/>
          <w:highlight w:val="none"/>
          <w:u w:val="single"/>
        </w:rPr>
        <w:t xml:space="preserve">             </w:t>
      </w:r>
    </w:p>
    <w:p w14:paraId="1C1283F2">
      <w:pPr>
        <w:snapToGrid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供 应 商（乙方）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r>
        <w:rPr>
          <w:rFonts w:hint="eastAsia" w:ascii="仿宋" w:hAnsi="仿宋" w:eastAsia="仿宋" w:cs="仿宋"/>
          <w:color w:val="auto"/>
          <w:spacing w:val="-20"/>
          <w:sz w:val="24"/>
          <w:highlight w:val="none"/>
        </w:rPr>
        <w:t>招  标  编  号</w:t>
      </w:r>
      <w:r>
        <w:rPr>
          <w:rFonts w:hint="eastAsia" w:ascii="仿宋" w:hAnsi="仿宋" w:eastAsia="仿宋" w:cs="仿宋"/>
          <w:color w:val="auto"/>
          <w:sz w:val="24"/>
          <w:highlight w:val="none"/>
          <w:u w:val="single"/>
        </w:rPr>
        <w:t xml:space="preserve">             </w:t>
      </w:r>
    </w:p>
    <w:p w14:paraId="0D5CA15A">
      <w:pPr>
        <w:snapToGrid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签  订  地  点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签 订 时 间</w:t>
      </w:r>
      <w:r>
        <w:rPr>
          <w:rFonts w:hint="eastAsia" w:ascii="仿宋" w:hAnsi="仿宋" w:eastAsia="仿宋" w:cs="仿宋"/>
          <w:color w:val="auto"/>
          <w:sz w:val="24"/>
          <w:highlight w:val="none"/>
          <w:u w:val="single"/>
        </w:rPr>
        <w:t xml:space="preserve">             </w:t>
      </w:r>
    </w:p>
    <w:p w14:paraId="35A6A348">
      <w:pPr>
        <w:snapToGrid w:val="0"/>
        <w:spacing w:line="360" w:lineRule="auto"/>
        <w:ind w:firstLine="480" w:firstLineChars="200"/>
        <w:rPr>
          <w:rFonts w:hint="eastAsia" w:ascii="仿宋" w:hAnsi="仿宋" w:eastAsia="仿宋" w:cs="仿宋"/>
          <w:color w:val="auto"/>
          <w:sz w:val="24"/>
          <w:highlight w:val="none"/>
        </w:rPr>
      </w:pPr>
    </w:p>
    <w:p w14:paraId="54D2D3BA">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根据《中华人民共和国政府采购法》、《中华人民共和国民法典》等法律、法规规定，按照招标文件（采购文件）规定条款和中标（成交）供应商承诺，甲乙双方签订本合同。</w:t>
      </w:r>
    </w:p>
    <w:p w14:paraId="371166DB">
      <w:pPr>
        <w:snapToGrid w:val="0"/>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第一条　合同标的</w:t>
      </w:r>
    </w:p>
    <w:p w14:paraId="31A3A2B2">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1、采购内容一览表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908"/>
        <w:gridCol w:w="668"/>
        <w:gridCol w:w="947"/>
        <w:gridCol w:w="1189"/>
      </w:tblGrid>
      <w:tr w14:paraId="39811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09" w:type="dxa"/>
            <w:vAlign w:val="center"/>
          </w:tcPr>
          <w:p w14:paraId="6DA556E9">
            <w:pPr>
              <w:pStyle w:val="23"/>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序号</w:t>
            </w:r>
          </w:p>
        </w:tc>
        <w:tc>
          <w:tcPr>
            <w:tcW w:w="1233" w:type="dxa"/>
            <w:vAlign w:val="center"/>
          </w:tcPr>
          <w:p w14:paraId="7B041716">
            <w:pPr>
              <w:pStyle w:val="23"/>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产品名称</w:t>
            </w:r>
          </w:p>
        </w:tc>
        <w:tc>
          <w:tcPr>
            <w:tcW w:w="1059" w:type="dxa"/>
            <w:vAlign w:val="center"/>
          </w:tcPr>
          <w:p w14:paraId="66F69D4D">
            <w:pPr>
              <w:pStyle w:val="23"/>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商标品牌</w:t>
            </w:r>
          </w:p>
        </w:tc>
        <w:tc>
          <w:tcPr>
            <w:tcW w:w="1233" w:type="dxa"/>
            <w:vAlign w:val="center"/>
          </w:tcPr>
          <w:p w14:paraId="1DFD8BFC">
            <w:pPr>
              <w:pStyle w:val="23"/>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规格型号</w:t>
            </w:r>
          </w:p>
        </w:tc>
        <w:tc>
          <w:tcPr>
            <w:tcW w:w="1210" w:type="dxa"/>
            <w:vAlign w:val="center"/>
          </w:tcPr>
          <w:p w14:paraId="22F00370">
            <w:pPr>
              <w:pStyle w:val="23"/>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生产厂家</w:t>
            </w:r>
          </w:p>
        </w:tc>
        <w:tc>
          <w:tcPr>
            <w:tcW w:w="908" w:type="dxa"/>
            <w:vAlign w:val="center"/>
          </w:tcPr>
          <w:p w14:paraId="6CC09EB3">
            <w:pPr>
              <w:pStyle w:val="23"/>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数  量</w:t>
            </w:r>
          </w:p>
        </w:tc>
        <w:tc>
          <w:tcPr>
            <w:tcW w:w="668" w:type="dxa"/>
            <w:vAlign w:val="center"/>
          </w:tcPr>
          <w:p w14:paraId="34953004">
            <w:pPr>
              <w:pStyle w:val="23"/>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单位</w:t>
            </w:r>
          </w:p>
        </w:tc>
        <w:tc>
          <w:tcPr>
            <w:tcW w:w="947" w:type="dxa"/>
            <w:vAlign w:val="center"/>
          </w:tcPr>
          <w:p w14:paraId="5A5FCE03">
            <w:pPr>
              <w:pStyle w:val="23"/>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单  价</w:t>
            </w:r>
          </w:p>
          <w:p w14:paraId="286F2AA6">
            <w:pPr>
              <w:pStyle w:val="23"/>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（元）</w:t>
            </w:r>
          </w:p>
        </w:tc>
        <w:tc>
          <w:tcPr>
            <w:tcW w:w="1189" w:type="dxa"/>
            <w:vAlign w:val="center"/>
          </w:tcPr>
          <w:p w14:paraId="4BC3E8D0">
            <w:pPr>
              <w:pStyle w:val="23"/>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金  额</w:t>
            </w:r>
          </w:p>
          <w:p w14:paraId="35C74A7B">
            <w:pPr>
              <w:pStyle w:val="23"/>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（元）</w:t>
            </w:r>
          </w:p>
        </w:tc>
      </w:tr>
      <w:tr w14:paraId="510E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14:paraId="29943C03">
            <w:pPr>
              <w:pStyle w:val="23"/>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1</w:t>
            </w:r>
          </w:p>
        </w:tc>
        <w:tc>
          <w:tcPr>
            <w:tcW w:w="1233" w:type="dxa"/>
            <w:vAlign w:val="center"/>
          </w:tcPr>
          <w:p w14:paraId="36CEFEB4">
            <w:pPr>
              <w:pStyle w:val="23"/>
              <w:spacing w:line="400" w:lineRule="exact"/>
              <w:jc w:val="center"/>
              <w:rPr>
                <w:rFonts w:hint="eastAsia" w:ascii="仿宋" w:hAnsi="仿宋" w:eastAsia="仿宋" w:cs="仿宋"/>
                <w:color w:val="auto"/>
                <w:kern w:val="2"/>
                <w:sz w:val="24"/>
                <w:szCs w:val="24"/>
                <w:highlight w:val="none"/>
              </w:rPr>
            </w:pPr>
          </w:p>
        </w:tc>
        <w:tc>
          <w:tcPr>
            <w:tcW w:w="1059" w:type="dxa"/>
            <w:vAlign w:val="center"/>
          </w:tcPr>
          <w:p w14:paraId="3E0E2166">
            <w:pPr>
              <w:pStyle w:val="23"/>
              <w:spacing w:line="400" w:lineRule="exact"/>
              <w:jc w:val="center"/>
              <w:rPr>
                <w:rFonts w:hint="eastAsia" w:ascii="仿宋" w:hAnsi="仿宋" w:eastAsia="仿宋" w:cs="仿宋"/>
                <w:color w:val="auto"/>
                <w:kern w:val="2"/>
                <w:sz w:val="24"/>
                <w:szCs w:val="24"/>
                <w:highlight w:val="none"/>
              </w:rPr>
            </w:pPr>
          </w:p>
        </w:tc>
        <w:tc>
          <w:tcPr>
            <w:tcW w:w="1233" w:type="dxa"/>
            <w:vAlign w:val="center"/>
          </w:tcPr>
          <w:p w14:paraId="3F241002">
            <w:pPr>
              <w:pStyle w:val="23"/>
              <w:spacing w:line="400" w:lineRule="exact"/>
              <w:jc w:val="center"/>
              <w:rPr>
                <w:rFonts w:hint="eastAsia" w:ascii="仿宋" w:hAnsi="仿宋" w:eastAsia="仿宋" w:cs="仿宋"/>
                <w:color w:val="auto"/>
                <w:kern w:val="2"/>
                <w:sz w:val="24"/>
                <w:szCs w:val="24"/>
                <w:highlight w:val="none"/>
              </w:rPr>
            </w:pPr>
          </w:p>
        </w:tc>
        <w:tc>
          <w:tcPr>
            <w:tcW w:w="1210" w:type="dxa"/>
          </w:tcPr>
          <w:p w14:paraId="65870147">
            <w:pPr>
              <w:pStyle w:val="23"/>
              <w:spacing w:line="400" w:lineRule="exact"/>
              <w:jc w:val="center"/>
              <w:rPr>
                <w:rFonts w:hint="eastAsia" w:ascii="仿宋" w:hAnsi="仿宋" w:eastAsia="仿宋" w:cs="仿宋"/>
                <w:color w:val="auto"/>
                <w:kern w:val="2"/>
                <w:sz w:val="24"/>
                <w:szCs w:val="24"/>
                <w:highlight w:val="none"/>
              </w:rPr>
            </w:pPr>
          </w:p>
        </w:tc>
        <w:tc>
          <w:tcPr>
            <w:tcW w:w="908" w:type="dxa"/>
          </w:tcPr>
          <w:p w14:paraId="0748F7DC">
            <w:pPr>
              <w:pStyle w:val="23"/>
              <w:spacing w:line="400" w:lineRule="exact"/>
              <w:jc w:val="center"/>
              <w:rPr>
                <w:rFonts w:hint="eastAsia" w:ascii="仿宋" w:hAnsi="仿宋" w:eastAsia="仿宋" w:cs="仿宋"/>
                <w:color w:val="auto"/>
                <w:kern w:val="2"/>
                <w:sz w:val="24"/>
                <w:szCs w:val="24"/>
                <w:highlight w:val="none"/>
              </w:rPr>
            </w:pPr>
          </w:p>
        </w:tc>
        <w:tc>
          <w:tcPr>
            <w:tcW w:w="668" w:type="dxa"/>
          </w:tcPr>
          <w:p w14:paraId="15595817">
            <w:pPr>
              <w:pStyle w:val="23"/>
              <w:spacing w:line="400" w:lineRule="exact"/>
              <w:jc w:val="center"/>
              <w:rPr>
                <w:rFonts w:hint="eastAsia" w:ascii="仿宋" w:hAnsi="仿宋" w:eastAsia="仿宋" w:cs="仿宋"/>
                <w:color w:val="auto"/>
                <w:kern w:val="2"/>
                <w:sz w:val="24"/>
                <w:szCs w:val="24"/>
                <w:highlight w:val="none"/>
              </w:rPr>
            </w:pPr>
          </w:p>
        </w:tc>
        <w:tc>
          <w:tcPr>
            <w:tcW w:w="947" w:type="dxa"/>
            <w:vAlign w:val="center"/>
          </w:tcPr>
          <w:p w14:paraId="1F95216E">
            <w:pPr>
              <w:pStyle w:val="23"/>
              <w:spacing w:line="400" w:lineRule="exact"/>
              <w:jc w:val="center"/>
              <w:rPr>
                <w:rFonts w:hint="eastAsia" w:ascii="仿宋" w:hAnsi="仿宋" w:eastAsia="仿宋" w:cs="仿宋"/>
                <w:color w:val="auto"/>
                <w:kern w:val="2"/>
                <w:sz w:val="24"/>
                <w:szCs w:val="24"/>
                <w:highlight w:val="none"/>
              </w:rPr>
            </w:pPr>
          </w:p>
        </w:tc>
        <w:tc>
          <w:tcPr>
            <w:tcW w:w="1189" w:type="dxa"/>
            <w:vAlign w:val="center"/>
          </w:tcPr>
          <w:p w14:paraId="37303FD8">
            <w:pPr>
              <w:pStyle w:val="23"/>
              <w:spacing w:line="400" w:lineRule="exact"/>
              <w:jc w:val="center"/>
              <w:rPr>
                <w:rFonts w:hint="eastAsia" w:ascii="仿宋" w:hAnsi="仿宋" w:eastAsia="仿宋" w:cs="仿宋"/>
                <w:color w:val="auto"/>
                <w:kern w:val="2"/>
                <w:sz w:val="24"/>
                <w:szCs w:val="24"/>
                <w:highlight w:val="none"/>
              </w:rPr>
            </w:pPr>
          </w:p>
        </w:tc>
      </w:tr>
      <w:tr w14:paraId="04037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14:paraId="2443427F">
            <w:pPr>
              <w:pStyle w:val="23"/>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2</w:t>
            </w:r>
          </w:p>
        </w:tc>
        <w:tc>
          <w:tcPr>
            <w:tcW w:w="1233" w:type="dxa"/>
            <w:vAlign w:val="center"/>
          </w:tcPr>
          <w:p w14:paraId="435ABE4E">
            <w:pPr>
              <w:pStyle w:val="23"/>
              <w:spacing w:line="400" w:lineRule="exact"/>
              <w:jc w:val="center"/>
              <w:rPr>
                <w:rFonts w:hint="eastAsia" w:ascii="仿宋" w:hAnsi="仿宋" w:eastAsia="仿宋" w:cs="仿宋"/>
                <w:color w:val="auto"/>
                <w:kern w:val="2"/>
                <w:sz w:val="24"/>
                <w:szCs w:val="24"/>
                <w:highlight w:val="none"/>
              </w:rPr>
            </w:pPr>
          </w:p>
        </w:tc>
        <w:tc>
          <w:tcPr>
            <w:tcW w:w="1059" w:type="dxa"/>
            <w:vAlign w:val="center"/>
          </w:tcPr>
          <w:p w14:paraId="0B438AB5">
            <w:pPr>
              <w:pStyle w:val="23"/>
              <w:spacing w:line="400" w:lineRule="exact"/>
              <w:jc w:val="center"/>
              <w:rPr>
                <w:rFonts w:hint="eastAsia" w:ascii="仿宋" w:hAnsi="仿宋" w:eastAsia="仿宋" w:cs="仿宋"/>
                <w:color w:val="auto"/>
                <w:kern w:val="2"/>
                <w:sz w:val="24"/>
                <w:szCs w:val="24"/>
                <w:highlight w:val="none"/>
              </w:rPr>
            </w:pPr>
          </w:p>
        </w:tc>
        <w:tc>
          <w:tcPr>
            <w:tcW w:w="1233" w:type="dxa"/>
            <w:vAlign w:val="center"/>
          </w:tcPr>
          <w:p w14:paraId="392D0976">
            <w:pPr>
              <w:pStyle w:val="23"/>
              <w:spacing w:line="400" w:lineRule="exact"/>
              <w:jc w:val="center"/>
              <w:rPr>
                <w:rFonts w:hint="eastAsia" w:ascii="仿宋" w:hAnsi="仿宋" w:eastAsia="仿宋" w:cs="仿宋"/>
                <w:color w:val="auto"/>
                <w:kern w:val="2"/>
                <w:sz w:val="24"/>
                <w:szCs w:val="24"/>
                <w:highlight w:val="none"/>
              </w:rPr>
            </w:pPr>
          </w:p>
        </w:tc>
        <w:tc>
          <w:tcPr>
            <w:tcW w:w="1210" w:type="dxa"/>
          </w:tcPr>
          <w:p w14:paraId="0FD0C731">
            <w:pPr>
              <w:pStyle w:val="23"/>
              <w:spacing w:line="400" w:lineRule="exact"/>
              <w:jc w:val="center"/>
              <w:rPr>
                <w:rFonts w:hint="eastAsia" w:ascii="仿宋" w:hAnsi="仿宋" w:eastAsia="仿宋" w:cs="仿宋"/>
                <w:color w:val="auto"/>
                <w:kern w:val="2"/>
                <w:sz w:val="24"/>
                <w:szCs w:val="24"/>
                <w:highlight w:val="none"/>
              </w:rPr>
            </w:pPr>
          </w:p>
        </w:tc>
        <w:tc>
          <w:tcPr>
            <w:tcW w:w="908" w:type="dxa"/>
          </w:tcPr>
          <w:p w14:paraId="577655AD">
            <w:pPr>
              <w:pStyle w:val="23"/>
              <w:spacing w:line="400" w:lineRule="exact"/>
              <w:jc w:val="center"/>
              <w:rPr>
                <w:rFonts w:hint="eastAsia" w:ascii="仿宋" w:hAnsi="仿宋" w:eastAsia="仿宋" w:cs="仿宋"/>
                <w:color w:val="auto"/>
                <w:kern w:val="2"/>
                <w:sz w:val="24"/>
                <w:szCs w:val="24"/>
                <w:highlight w:val="none"/>
              </w:rPr>
            </w:pPr>
          </w:p>
        </w:tc>
        <w:tc>
          <w:tcPr>
            <w:tcW w:w="668" w:type="dxa"/>
          </w:tcPr>
          <w:p w14:paraId="71C1B47F">
            <w:pPr>
              <w:pStyle w:val="23"/>
              <w:spacing w:line="400" w:lineRule="exact"/>
              <w:jc w:val="center"/>
              <w:rPr>
                <w:rFonts w:hint="eastAsia" w:ascii="仿宋" w:hAnsi="仿宋" w:eastAsia="仿宋" w:cs="仿宋"/>
                <w:color w:val="auto"/>
                <w:kern w:val="2"/>
                <w:sz w:val="24"/>
                <w:szCs w:val="24"/>
                <w:highlight w:val="none"/>
              </w:rPr>
            </w:pPr>
          </w:p>
        </w:tc>
        <w:tc>
          <w:tcPr>
            <w:tcW w:w="947" w:type="dxa"/>
            <w:vAlign w:val="center"/>
          </w:tcPr>
          <w:p w14:paraId="2F36667F">
            <w:pPr>
              <w:pStyle w:val="23"/>
              <w:spacing w:line="400" w:lineRule="exact"/>
              <w:jc w:val="center"/>
              <w:rPr>
                <w:rFonts w:hint="eastAsia" w:ascii="仿宋" w:hAnsi="仿宋" w:eastAsia="仿宋" w:cs="仿宋"/>
                <w:color w:val="auto"/>
                <w:kern w:val="2"/>
                <w:sz w:val="24"/>
                <w:szCs w:val="24"/>
                <w:highlight w:val="none"/>
              </w:rPr>
            </w:pPr>
          </w:p>
        </w:tc>
        <w:tc>
          <w:tcPr>
            <w:tcW w:w="1189" w:type="dxa"/>
            <w:vAlign w:val="center"/>
          </w:tcPr>
          <w:p w14:paraId="5506E170">
            <w:pPr>
              <w:pStyle w:val="23"/>
              <w:spacing w:line="400" w:lineRule="exact"/>
              <w:jc w:val="center"/>
              <w:rPr>
                <w:rFonts w:hint="eastAsia" w:ascii="仿宋" w:hAnsi="仿宋" w:eastAsia="仿宋" w:cs="仿宋"/>
                <w:color w:val="auto"/>
                <w:kern w:val="2"/>
                <w:sz w:val="24"/>
                <w:szCs w:val="24"/>
                <w:highlight w:val="none"/>
              </w:rPr>
            </w:pPr>
          </w:p>
        </w:tc>
      </w:tr>
      <w:tr w14:paraId="714C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14:paraId="139C4B61">
            <w:pPr>
              <w:pStyle w:val="23"/>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3</w:t>
            </w:r>
          </w:p>
        </w:tc>
        <w:tc>
          <w:tcPr>
            <w:tcW w:w="1233" w:type="dxa"/>
            <w:vAlign w:val="center"/>
          </w:tcPr>
          <w:p w14:paraId="6E047425">
            <w:pPr>
              <w:pStyle w:val="23"/>
              <w:spacing w:line="400" w:lineRule="exact"/>
              <w:jc w:val="center"/>
              <w:rPr>
                <w:rFonts w:hint="eastAsia" w:ascii="仿宋" w:hAnsi="仿宋" w:eastAsia="仿宋" w:cs="仿宋"/>
                <w:color w:val="auto"/>
                <w:kern w:val="2"/>
                <w:sz w:val="24"/>
                <w:szCs w:val="24"/>
                <w:highlight w:val="none"/>
              </w:rPr>
            </w:pPr>
          </w:p>
        </w:tc>
        <w:tc>
          <w:tcPr>
            <w:tcW w:w="1059" w:type="dxa"/>
            <w:vAlign w:val="center"/>
          </w:tcPr>
          <w:p w14:paraId="3BE89A37">
            <w:pPr>
              <w:pStyle w:val="23"/>
              <w:spacing w:line="400" w:lineRule="exact"/>
              <w:jc w:val="center"/>
              <w:rPr>
                <w:rFonts w:hint="eastAsia" w:ascii="仿宋" w:hAnsi="仿宋" w:eastAsia="仿宋" w:cs="仿宋"/>
                <w:color w:val="auto"/>
                <w:kern w:val="2"/>
                <w:sz w:val="24"/>
                <w:szCs w:val="24"/>
                <w:highlight w:val="none"/>
              </w:rPr>
            </w:pPr>
          </w:p>
        </w:tc>
        <w:tc>
          <w:tcPr>
            <w:tcW w:w="1233" w:type="dxa"/>
            <w:vAlign w:val="center"/>
          </w:tcPr>
          <w:p w14:paraId="657103AC">
            <w:pPr>
              <w:pStyle w:val="23"/>
              <w:spacing w:line="400" w:lineRule="exact"/>
              <w:jc w:val="center"/>
              <w:rPr>
                <w:rFonts w:hint="eastAsia" w:ascii="仿宋" w:hAnsi="仿宋" w:eastAsia="仿宋" w:cs="仿宋"/>
                <w:color w:val="auto"/>
                <w:kern w:val="2"/>
                <w:sz w:val="24"/>
                <w:szCs w:val="24"/>
                <w:highlight w:val="none"/>
              </w:rPr>
            </w:pPr>
          </w:p>
        </w:tc>
        <w:tc>
          <w:tcPr>
            <w:tcW w:w="1210" w:type="dxa"/>
          </w:tcPr>
          <w:p w14:paraId="3BA6D991">
            <w:pPr>
              <w:pStyle w:val="23"/>
              <w:spacing w:line="400" w:lineRule="exact"/>
              <w:jc w:val="center"/>
              <w:rPr>
                <w:rFonts w:hint="eastAsia" w:ascii="仿宋" w:hAnsi="仿宋" w:eastAsia="仿宋" w:cs="仿宋"/>
                <w:color w:val="auto"/>
                <w:kern w:val="2"/>
                <w:sz w:val="24"/>
                <w:szCs w:val="24"/>
                <w:highlight w:val="none"/>
              </w:rPr>
            </w:pPr>
          </w:p>
        </w:tc>
        <w:tc>
          <w:tcPr>
            <w:tcW w:w="908" w:type="dxa"/>
          </w:tcPr>
          <w:p w14:paraId="0AF561BA">
            <w:pPr>
              <w:pStyle w:val="23"/>
              <w:spacing w:line="400" w:lineRule="exact"/>
              <w:jc w:val="center"/>
              <w:rPr>
                <w:rFonts w:hint="eastAsia" w:ascii="仿宋" w:hAnsi="仿宋" w:eastAsia="仿宋" w:cs="仿宋"/>
                <w:color w:val="auto"/>
                <w:kern w:val="2"/>
                <w:sz w:val="24"/>
                <w:szCs w:val="24"/>
                <w:highlight w:val="none"/>
              </w:rPr>
            </w:pPr>
          </w:p>
        </w:tc>
        <w:tc>
          <w:tcPr>
            <w:tcW w:w="668" w:type="dxa"/>
          </w:tcPr>
          <w:p w14:paraId="02B2CC14">
            <w:pPr>
              <w:pStyle w:val="23"/>
              <w:spacing w:line="400" w:lineRule="exact"/>
              <w:jc w:val="center"/>
              <w:rPr>
                <w:rFonts w:hint="eastAsia" w:ascii="仿宋" w:hAnsi="仿宋" w:eastAsia="仿宋" w:cs="仿宋"/>
                <w:color w:val="auto"/>
                <w:kern w:val="2"/>
                <w:sz w:val="24"/>
                <w:szCs w:val="24"/>
                <w:highlight w:val="none"/>
              </w:rPr>
            </w:pPr>
          </w:p>
        </w:tc>
        <w:tc>
          <w:tcPr>
            <w:tcW w:w="947" w:type="dxa"/>
            <w:vAlign w:val="center"/>
          </w:tcPr>
          <w:p w14:paraId="204BD4E3">
            <w:pPr>
              <w:pStyle w:val="23"/>
              <w:spacing w:line="400" w:lineRule="exact"/>
              <w:jc w:val="center"/>
              <w:rPr>
                <w:rFonts w:hint="eastAsia" w:ascii="仿宋" w:hAnsi="仿宋" w:eastAsia="仿宋" w:cs="仿宋"/>
                <w:color w:val="auto"/>
                <w:kern w:val="2"/>
                <w:sz w:val="24"/>
                <w:szCs w:val="24"/>
                <w:highlight w:val="none"/>
              </w:rPr>
            </w:pPr>
          </w:p>
        </w:tc>
        <w:tc>
          <w:tcPr>
            <w:tcW w:w="1189" w:type="dxa"/>
            <w:vAlign w:val="center"/>
          </w:tcPr>
          <w:p w14:paraId="1832D618">
            <w:pPr>
              <w:pStyle w:val="23"/>
              <w:spacing w:line="400" w:lineRule="exact"/>
              <w:jc w:val="center"/>
              <w:rPr>
                <w:rFonts w:hint="eastAsia" w:ascii="仿宋" w:hAnsi="仿宋" w:eastAsia="仿宋" w:cs="仿宋"/>
                <w:color w:val="auto"/>
                <w:kern w:val="2"/>
                <w:sz w:val="24"/>
                <w:szCs w:val="24"/>
                <w:highlight w:val="none"/>
              </w:rPr>
            </w:pPr>
          </w:p>
        </w:tc>
      </w:tr>
      <w:tr w14:paraId="631C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156" w:type="dxa"/>
            <w:gridSpan w:val="9"/>
            <w:vAlign w:val="center"/>
          </w:tcPr>
          <w:p w14:paraId="11AADE3D">
            <w:pPr>
              <w:pStyle w:val="23"/>
              <w:spacing w:line="400" w:lineRule="exact"/>
              <w:jc w:val="left"/>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 xml:space="preserve">人民币合计金额（大写）                          （小写）                 </w:t>
            </w:r>
          </w:p>
        </w:tc>
      </w:tr>
    </w:tbl>
    <w:p w14:paraId="57CA5F5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合同合计金额包括投标货物（包括备品备件、专用工具等）的价格（包括已在中国境内的进口货物完税后的仓库交货价、展室交货价或者货架交货价），投标货物运输（含保险）、安装（如有）、调试、检验、技术服务、培训和招标文件要求提供的所有伴随服务、工程等费用和税费。</w:t>
      </w:r>
    </w:p>
    <w:p w14:paraId="09B8D5A4">
      <w:pPr>
        <w:snapToGrid w:val="0"/>
        <w:spacing w:before="120"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第二条  质量要求</w:t>
      </w:r>
    </w:p>
    <w:p w14:paraId="12E8B52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1、乙方所提供的产品名称、商标品牌、生产厂家、规格型号、技术参数等质量必须与招标文件规定及投标文件承诺相一致。乙方提供的节能和环保产品必须是列入政府采购品目清单的产品。</w:t>
      </w:r>
    </w:p>
    <w:p w14:paraId="047AFC21">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2、乙方所提供的货物必须是全新、未使用的原装产品，且在正常安装、使用和保养条件下，其使用寿命期内各项指标均达到招标文件规定或者投标文件承诺的质量要求。</w:t>
      </w:r>
    </w:p>
    <w:p w14:paraId="7D2738BB">
      <w:pPr>
        <w:snapToGrid w:val="0"/>
        <w:spacing w:before="120"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第三条  权力保证</w:t>
      </w:r>
    </w:p>
    <w:p w14:paraId="64B8475B">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1、乙方应保证所提供货物在使用时不会侵犯任何第三方的专利权、商标权、工业设计权或者其他权利。</w:t>
      </w:r>
    </w:p>
    <w:p w14:paraId="0C965DC8">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2、乙方应按招标文件规定或者投标文件承诺的时间向甲方提供使用货物的有关技术资料。</w:t>
      </w:r>
    </w:p>
    <w:p w14:paraId="7F986E76">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14:paraId="15D29689">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4、乙方保证将要交付的货物的所有权完全属于乙方且无任何抵押、质押、查封等产权瑕疵。</w:t>
      </w:r>
    </w:p>
    <w:p w14:paraId="4AE5CE60">
      <w:pPr>
        <w:snapToGrid w:val="0"/>
        <w:spacing w:before="120"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第四条  包装和运输</w:t>
      </w:r>
    </w:p>
    <w:p w14:paraId="6D2B1316">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bCs/>
          <w:color w:val="auto"/>
          <w:sz w:val="24"/>
          <w:highlight w:val="none"/>
        </w:rPr>
        <w:t>乙方应按招标文件规定或者响应文件承诺的要求的包装材料、包装标准、包装方式进行包装，并满足运输距离、防潮、防震、防锈和防破损装卸等要求，以保证货物安全运达甲方指定地点。</w:t>
      </w:r>
    </w:p>
    <w:p w14:paraId="28882782">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bCs/>
          <w:color w:val="auto"/>
          <w:sz w:val="24"/>
          <w:highlight w:val="none"/>
        </w:rPr>
        <w:t>乙方在货物发运手续办理完毕后二十四小时内或者货到甲方四十八小时前通知甲方，以准备接货。</w:t>
      </w:r>
    </w:p>
    <w:p w14:paraId="0A606B17">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3、货物在规定的交付期限内由乙方送达甲方指定的地点并完成交接手续视为交付（需要安装调试的还需完成安装调试）。</w:t>
      </w:r>
    </w:p>
    <w:p w14:paraId="2FF9020F">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4、货物的运输方式：</w:t>
      </w:r>
      <w:r>
        <w:rPr>
          <w:rFonts w:hint="eastAsia" w:ascii="仿宋" w:hAnsi="仿宋" w:eastAsia="仿宋" w:cs="仿宋"/>
          <w:bCs/>
          <w:color w:val="auto"/>
          <w:sz w:val="24"/>
          <w:highlight w:val="none"/>
          <w:u w:val="single"/>
        </w:rPr>
        <w:t xml:space="preserve">  乙方自定    </w:t>
      </w:r>
      <w:r>
        <w:rPr>
          <w:rFonts w:hint="eastAsia" w:ascii="仿宋" w:hAnsi="仿宋" w:eastAsia="仿宋" w:cs="仿宋"/>
          <w:bCs/>
          <w:color w:val="auto"/>
          <w:sz w:val="24"/>
          <w:highlight w:val="none"/>
        </w:rPr>
        <w:t>。</w:t>
      </w:r>
    </w:p>
    <w:p w14:paraId="7ED0D5D5">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bCs/>
          <w:color w:val="auto"/>
          <w:sz w:val="24"/>
          <w:highlight w:val="none"/>
        </w:rPr>
        <w:t>5、乙方负责货物运输，货物运输合理损耗及计算方法：</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w:t>
      </w:r>
    </w:p>
    <w:p w14:paraId="2CA84B29">
      <w:pPr>
        <w:snapToGrid w:val="0"/>
        <w:spacing w:before="120"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第五条  交货和验收</w:t>
      </w:r>
    </w:p>
    <w:p w14:paraId="4F582442">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1、交付时间：</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；交付地点：</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 xml:space="preserve"> 。</w:t>
      </w:r>
    </w:p>
    <w:p w14:paraId="0373D2F2">
      <w:pPr>
        <w:snapToGrid w:val="0"/>
        <w:spacing w:before="12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货物在交付甲方前发生的风险均由乙方负责。</w:t>
      </w:r>
    </w:p>
    <w:p w14:paraId="0D702EA9">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2、甲方对乙方提交的货物依据招标文件上的技术规格要求和国家有关质量标准进行现场初步验收，外观、说明书符合招标文件技术要求的，给予签收，初步验收不合格的不予签收。</w:t>
      </w:r>
    </w:p>
    <w:p w14:paraId="23BACB55">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乙方应将所提供货物的装箱清单、质量合格证书、用户手册、原厂保修卡、随机资料、工具和备品、备件等交付给甲方，货物属于进口产品的，交付时应同时附上中文使用说明书，如有缺失应在合理的规定时间内补齐，否则视为逾期交货。</w:t>
      </w:r>
    </w:p>
    <w:p w14:paraId="50174FB9">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4、乙方交货前应对产品作出全面检查和对验收文件进行整理，并列出清单，作为甲方收货验收和使用的技术条件依据，检验的结果应随货物交甲方。</w:t>
      </w:r>
    </w:p>
    <w:p w14:paraId="295A4FDD">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5、甲方对乙方提供的货物需要进行安装调试的，乙方需负责安装并培训甲方的使用操作人员，并协助甲方一起调试，直到符合技术要求，甲方才做最终验收。</w:t>
      </w:r>
    </w:p>
    <w:p w14:paraId="08B69B18">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6、甲方应当在到货（安装、调试完）后七个工作日内进行验收，逾期不验收的，乙方可视同验收合格。验收合格后由甲乙双方签署货物验收单并加盖甲方公章，甲乙双方各执一份。</w:t>
      </w:r>
    </w:p>
    <w:p w14:paraId="606897F9">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7、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279B0466">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8、对技术复杂的货物，甲方可以请国家认可的专业检测机构参与验收，并由其出具质量检测报告。检测费用由甲方垫付，检测符合标准的，费用由甲方承担，检测不符合标准的，费用由乙方承担。</w:t>
      </w:r>
    </w:p>
    <w:p w14:paraId="010487D6">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9、验收时乙方必须在现场，验收完毕后作出验收结果报告；验收费用按招标文件约定承担方负责。</w:t>
      </w:r>
    </w:p>
    <w:p w14:paraId="25DBDADC">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10、甲方对验收结果有异议的，在验收后五个工作日内以书面形式向乙方提出，乙方应自收到甲方书面异议后</w:t>
      </w:r>
      <w:r>
        <w:rPr>
          <w:rFonts w:hint="eastAsia" w:ascii="仿宋" w:hAnsi="仿宋" w:eastAsia="仿宋" w:cs="仿宋"/>
          <w:bCs/>
          <w:color w:val="auto"/>
          <w:sz w:val="24"/>
          <w:highlight w:val="none"/>
          <w:u w:val="single"/>
        </w:rPr>
        <w:t>5</w:t>
      </w:r>
      <w:r>
        <w:rPr>
          <w:rFonts w:hint="eastAsia" w:ascii="仿宋" w:hAnsi="仿宋" w:eastAsia="仿宋" w:cs="仿宋"/>
          <w:bCs/>
          <w:color w:val="auto"/>
          <w:sz w:val="24"/>
          <w:highlight w:val="none"/>
        </w:rPr>
        <w:t>日内及时予以解决。</w:t>
      </w:r>
    </w:p>
    <w:p w14:paraId="7E67F3A6">
      <w:pPr>
        <w:snapToGrid w:val="0"/>
        <w:spacing w:before="120"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第六条　安装和培训</w:t>
      </w:r>
    </w:p>
    <w:p w14:paraId="74FB28D1">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1、甲方应提供必要安装条件（如场地、电源、水源等）。</w:t>
      </w:r>
    </w:p>
    <w:p w14:paraId="6259C5BF">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2、乙方投标文件承诺负责甲方有关人员的培训。培训时间、地点：</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w:t>
      </w:r>
    </w:p>
    <w:p w14:paraId="290418EA">
      <w:pPr>
        <w:snapToGrid w:val="0"/>
        <w:spacing w:before="120"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第七条  售后服务、质保期</w:t>
      </w:r>
    </w:p>
    <w:p w14:paraId="1D3C8B66">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1、乙方应按照国家有关法律法规和“三包”规定以及本合同所附的《服务承诺》，为甲方提供售后服务。</w:t>
      </w:r>
    </w:p>
    <w:p w14:paraId="36BC78FC">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2、货物质保期：</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w:t>
      </w:r>
    </w:p>
    <w:p w14:paraId="777A2679">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3、乙方提供的服务承诺和售后服务及保修期责任等其它具体约定事项。（见合同附件）</w:t>
      </w:r>
    </w:p>
    <w:p w14:paraId="2422E260">
      <w:pPr>
        <w:snapToGrid w:val="0"/>
        <w:spacing w:before="120"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第八条　付款方式</w:t>
      </w:r>
    </w:p>
    <w:p w14:paraId="69533E6F">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1、预付款（合同总价的50%）合同签订生效后[10]个工作日内，招标人向中标人支付合同总价的50%作为项目预付款，用于中标人开展设备采购、生产备货等前期工作。</w:t>
      </w:r>
    </w:p>
    <w:p w14:paraId="398F260E">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2、竣工结算款（合同总价的45%）中标人完成本标段全部设备安装、调试、系统联调及人员培训工作，项目达到合同约定的技术标准和使用要求，经招标人组织竣工验收合格并签署《竣工验收报告》后 [10] 个工作日内，支付合同总价的45% 。</w:t>
      </w:r>
    </w:p>
    <w:p w14:paraId="43B3B8F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3、项目终验款（合同总价的5%）通过项目整体验收，支付剩余本合同项下5%合同款，至此合同款支付完毕。</w:t>
      </w:r>
    </w:p>
    <w:p w14:paraId="60CC637A">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4、其他约定（1）中标人每次申请付款时，需向招标人提供等额、合法、有效的增值税发票，否则招标人有权顺延付款时间，且不承担违约责任。（2）付款均通过银行转账方式进行，具体付款账户信息以合同约定为准。 </w:t>
      </w:r>
    </w:p>
    <w:p w14:paraId="1C11278C">
      <w:pPr>
        <w:snapToGrid w:val="0"/>
        <w:spacing w:before="120"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第九条  履约保证金</w:t>
      </w:r>
    </w:p>
    <w:p w14:paraId="5926F2BC">
      <w:pPr>
        <w:snapToGrid w:val="0"/>
        <w:spacing w:before="12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履约保证金金额：无。</w:t>
      </w:r>
    </w:p>
    <w:p w14:paraId="463AFE13">
      <w:pPr>
        <w:snapToGrid w:val="0"/>
        <w:spacing w:before="120"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第十条  税费</w:t>
      </w:r>
    </w:p>
    <w:p w14:paraId="6031E855">
      <w:pPr>
        <w:snapToGrid w:val="0"/>
        <w:spacing w:line="360" w:lineRule="auto"/>
        <w:ind w:left="-61" w:firstLine="514"/>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本合同执行中相关的一切税费均由乙方负担，合同另有约定的除外。</w:t>
      </w:r>
    </w:p>
    <w:p w14:paraId="75AADF04">
      <w:pPr>
        <w:snapToGrid w:val="0"/>
        <w:spacing w:before="120"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第十一条  质量保证及售后服务</w:t>
      </w:r>
    </w:p>
    <w:p w14:paraId="373A8A00">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1、乙方应按招标文件规定的产品名称、商标品牌、生产厂家、规格型号、技术参数、质量标准向甲方提供未经使用的全新产品。不符合要求的，根据实际情况，经双方协商，可按以下办法处理：</w:t>
      </w:r>
    </w:p>
    <w:p w14:paraId="5BCCEB0E">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（1）更换：由乙方承担所发生的全部费用。</w:t>
      </w:r>
    </w:p>
    <w:p w14:paraId="5F6255BF">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（2）退货处理：乙方应退还甲方支付的合同款，同时应承担该货物的直接费用（运输、保险、检验、货款利息及银行手续费等）。</w:t>
      </w:r>
    </w:p>
    <w:p w14:paraId="5A805C2C">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2、乙方应按照国家有关法律法规和“三包”规定以及本合同所附的《服务承诺》，为甲方提供售后服务。</w:t>
      </w:r>
    </w:p>
    <w:p w14:paraId="095CF162">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3、乙方提供的服务承诺和售后服务及保修期责任等其它具体约定事项。（见合同附件）</w:t>
      </w:r>
    </w:p>
    <w:p w14:paraId="4DA4F792">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4、如在使用过程中发生质量问题，乙方在接到甲方通知后到达甲方现场处理的时间（24）小时内。</w:t>
      </w:r>
    </w:p>
    <w:p w14:paraId="4CBA7401">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5、在质保期内，乙方应对货物出现的质量及安全问题负责处理解决并承担一切费用。</w:t>
      </w:r>
    </w:p>
    <w:p w14:paraId="28012DA5">
      <w:pPr>
        <w:snapToGrid w:val="0"/>
        <w:spacing w:before="120"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6、上述的货物质保期为</w:t>
      </w:r>
      <w:r>
        <w:rPr>
          <w:rFonts w:hint="eastAsia" w:ascii="仿宋" w:hAnsi="仿宋" w:eastAsia="仿宋" w:cs="仿宋"/>
          <w:bCs/>
          <w:color w:val="auto"/>
          <w:sz w:val="24"/>
          <w:highlight w:val="none"/>
          <w:u w:val="single"/>
        </w:rPr>
        <w:t xml:space="preserve">  壹   </w:t>
      </w:r>
      <w:r>
        <w:rPr>
          <w:rFonts w:hint="eastAsia" w:ascii="仿宋" w:hAnsi="仿宋" w:eastAsia="仿宋" w:cs="仿宋"/>
          <w:bCs/>
          <w:color w:val="auto"/>
          <w:sz w:val="24"/>
          <w:highlight w:val="none"/>
        </w:rPr>
        <w:t>年，因人为因素出现的故障不在免费保修范围内。超过保修期的机器设备，终生维修，维修时只收部件成本费。</w:t>
      </w:r>
    </w:p>
    <w:p w14:paraId="5040E044">
      <w:pPr>
        <w:snapToGrid w:val="0"/>
        <w:spacing w:before="120"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第十二条　调试和验收</w:t>
      </w:r>
    </w:p>
    <w:p w14:paraId="63E87BEC">
      <w:pPr>
        <w:snapToGrid w:val="0"/>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68E70A2A">
      <w:pPr>
        <w:snapToGrid w:val="0"/>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2、乙方交货前应对产品作出全面检查和对验收文件进行整理，并列出清单，作为甲方收货验收和使用的技术条件依据，检验的结果应随货物交甲方。</w:t>
      </w:r>
    </w:p>
    <w:p w14:paraId="027DC9A6">
      <w:pPr>
        <w:snapToGrid w:val="0"/>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3、甲方对乙方提供的货物在使用前进行调试时，乙方需负责安装并培训甲方的使用操作人员，并协助甲方一起调试，直到符合技术要求，甲方才做最终验收。</w:t>
      </w:r>
    </w:p>
    <w:p w14:paraId="2EAD975C">
      <w:pPr>
        <w:snapToGrid w:val="0"/>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4、对技术复杂的货物，甲方应请国家认可的专业检测机构参与初步验收及最终验收，并由其出具质量检测报告。</w:t>
      </w:r>
    </w:p>
    <w:p w14:paraId="549464C9">
      <w:pPr>
        <w:snapToGrid w:val="0"/>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5、验收时乙方必须在现场，验收完毕后作出验收结果报告；验收费用按招标文件约定承担方负责。</w:t>
      </w:r>
    </w:p>
    <w:p w14:paraId="5BEB64FC">
      <w:pPr>
        <w:pStyle w:val="23"/>
        <w:snapToGrid w:val="0"/>
        <w:spacing w:line="360" w:lineRule="auto"/>
        <w:ind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第十三条  货物包装、发运及运输</w:t>
      </w:r>
    </w:p>
    <w:p w14:paraId="708DFBF3">
      <w:pPr>
        <w:pStyle w:val="23"/>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1、乙方应在货物发运前对其进行满足运输距离、防潮、防震、防锈和防破损装卸等要求包装，以保证货物安全运达甲方指定地点。</w:t>
      </w:r>
    </w:p>
    <w:p w14:paraId="12078268">
      <w:pPr>
        <w:pStyle w:val="23"/>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2、使用说明书（货物属于进口产品的，供货时应同时附上中文使用说明书）、质量检验证明书、随配附件和工具以及清单一并附于货物内。</w:t>
      </w:r>
    </w:p>
    <w:p w14:paraId="45227D43">
      <w:pPr>
        <w:pStyle w:val="23"/>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3、乙方在货物发运手续办理完毕后二十四小时内或者货到甲方四十八小时前通知甲方，以准备接货。</w:t>
      </w:r>
    </w:p>
    <w:p w14:paraId="572C56FE">
      <w:pPr>
        <w:pStyle w:val="23"/>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4、货物在交付甲方前发生的风险均由乙方负责。</w:t>
      </w:r>
    </w:p>
    <w:p w14:paraId="5B123E71">
      <w:pPr>
        <w:pStyle w:val="23"/>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5、货物在规</w:t>
      </w:r>
      <w:r>
        <w:rPr>
          <w:rFonts w:hint="eastAsia" w:ascii="仿宋" w:hAnsi="仿宋" w:eastAsia="仿宋" w:cs="仿宋"/>
          <w:color w:val="auto"/>
          <w:spacing w:val="-8"/>
          <w:sz w:val="24"/>
          <w:szCs w:val="24"/>
          <w:highlight w:val="none"/>
        </w:rPr>
        <w:t>定的交付期限内由乙方送达甲方指定的地点视为交付，乙方同时需通知甲方货物已送达。</w:t>
      </w:r>
    </w:p>
    <w:p w14:paraId="65F24BAA">
      <w:pPr>
        <w:snapToGrid w:val="0"/>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第十四条　违约责任</w:t>
      </w:r>
    </w:p>
    <w:p w14:paraId="1B4DB810">
      <w:pPr>
        <w:pStyle w:val="23"/>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乙方所提供的产品名称、商标品牌、生产厂家、规格型号、技术参数等质量不合格的，应及时更换，更换不及时的按逾期交货处罚；因质量问题甲方不同意接收的或者特殊情况甲方同意接收的，乙方应向甲方支付违约货款额 5%违约金并赔偿甲方经济损失。                                       </w:t>
      </w:r>
    </w:p>
    <w:p w14:paraId="0F9B0898">
      <w:pPr>
        <w:pStyle w:val="23"/>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2、乙方提供的货物如侵犯了第三方合法权益而引发的任何纠纷或者诉讼，均由乙方负责交涉并承担全部责任。</w:t>
      </w:r>
    </w:p>
    <w:p w14:paraId="49A56D56">
      <w:pPr>
        <w:pStyle w:val="23"/>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3、因包装、运输引起的货物损坏，按质量不合格处罚。</w:t>
      </w:r>
    </w:p>
    <w:p w14:paraId="6A6045F8">
      <w:pPr>
        <w:pStyle w:val="23"/>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4、甲方无故延期接收货物、乙方逾期交货的，每天向对方偿付违约货款额3‰违约金，但违约金累计不得超过违约货款额5%，超过</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天对方有权解除合同，违约方承担因此给对方造成经济损失；甲方延期付货款的，每天向乙方偿付延期货款额3‰滞纳金，但滞纳金累计不得超过延期货款额5%。</w:t>
      </w:r>
    </w:p>
    <w:p w14:paraId="0A69311C">
      <w:pPr>
        <w:pStyle w:val="23"/>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5、乙方未按本合同和投标文件中规定的服务承诺提供售后服务的，乙方应按本合同合计金额 5%向甲方支付违约金。</w:t>
      </w:r>
    </w:p>
    <w:p w14:paraId="008DB5E0">
      <w:pPr>
        <w:pStyle w:val="23"/>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6、乙方提供的货物在质量保证期内，因设计、工艺或者材料的缺陷和其它质量原因造成的问题，由乙方负责，费用从余款中扣除，不足另补。</w:t>
      </w:r>
    </w:p>
    <w:p w14:paraId="5786F66A">
      <w:pPr>
        <w:pStyle w:val="23"/>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7、甲乙双方有其它违约行为的，由违约方向对方支付违约内容涉及货款额的5%，违约内容涉及货款额的5%不足以赔偿经济损失的按实际赔偿。</w:t>
      </w:r>
    </w:p>
    <w:p w14:paraId="6FA82882">
      <w:pPr>
        <w:pStyle w:val="23"/>
        <w:snapToGrid w:val="0"/>
        <w:spacing w:line="360" w:lineRule="auto"/>
        <w:ind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第十五条  不可抗力事件处理</w:t>
      </w:r>
    </w:p>
    <w:p w14:paraId="2126ED07">
      <w:pPr>
        <w:pStyle w:val="23"/>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1、在合同有效期内，任何一方因不可抗力事件导致不能履行合同，则合同履行期可延长，其延长期与不可抗力影响期相同。</w:t>
      </w:r>
    </w:p>
    <w:p w14:paraId="6D5FEB4C">
      <w:pPr>
        <w:pStyle w:val="23"/>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2、不可抗力事件发生后，应立即通知对方，并寄送有关权威机构出具的证明。</w:t>
      </w:r>
    </w:p>
    <w:p w14:paraId="13D2C6F0">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3、不可抗力事件延续一百二十天以上，双方应通过友好协商，确定是否继续履行合同。</w:t>
      </w:r>
    </w:p>
    <w:p w14:paraId="18269046">
      <w:pPr>
        <w:snapToGrid w:val="0"/>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第十六条  合同争议解决</w:t>
      </w:r>
    </w:p>
    <w:p w14:paraId="1A7991E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1、因货物质量问题发生争议的，应邀请国家认可的质量检测机构对货物质量进行鉴定。货物符合标准的，鉴定费由甲方承担；货物不符合标准的，鉴定费由乙方承担。</w:t>
      </w:r>
    </w:p>
    <w:p w14:paraId="44DF9899">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2、因履行本合同引起的或者与本合同有关的争议，甲乙双方应首先通过友好协商解决，如果协商不能解决，可向甲方所在地有管辖权的人民法院提起诉讼。</w:t>
      </w:r>
    </w:p>
    <w:p w14:paraId="50EDF036">
      <w:pPr>
        <w:snapToGrid w:val="0"/>
        <w:spacing w:line="360" w:lineRule="auto"/>
        <w:ind w:left="-61" w:firstLine="514"/>
        <w:rPr>
          <w:rFonts w:hint="eastAsia" w:ascii="仿宋" w:hAnsi="仿宋" w:eastAsia="仿宋" w:cs="仿宋"/>
          <w:color w:val="auto"/>
          <w:sz w:val="24"/>
          <w:highlight w:val="none"/>
        </w:rPr>
      </w:pPr>
      <w:r>
        <w:rPr>
          <w:rFonts w:hint="eastAsia" w:ascii="仿宋" w:hAnsi="仿宋" w:eastAsia="仿宋" w:cs="仿宋"/>
          <w:color w:val="auto"/>
          <w:sz w:val="24"/>
          <w:highlight w:val="none"/>
        </w:rPr>
        <w:t>3、诉讼期间，本合同继续履行。</w:t>
      </w:r>
    </w:p>
    <w:p w14:paraId="53251E29">
      <w:pPr>
        <w:pStyle w:val="23"/>
        <w:snapToGrid w:val="0"/>
        <w:spacing w:line="360" w:lineRule="auto"/>
        <w:ind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第十七条  合同生效及其它</w:t>
      </w:r>
    </w:p>
    <w:p w14:paraId="5202DCDE">
      <w:pPr>
        <w:pStyle w:val="23"/>
        <w:snapToGrid w:val="0"/>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1、合同经双方法定代表人或者委托代理人签字并加盖单位公章后生效（委托代理人签字的需后附法定代表人授权委托书，格式自拟）。</w:t>
      </w:r>
    </w:p>
    <w:p w14:paraId="52DFFF8C">
      <w:pPr>
        <w:pStyle w:val="23"/>
        <w:snapToGrid w:val="0"/>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2、合同执行中涉及采购资金和采购内容修改或者补充的，须经财政部门审批，并签书面补充协议报财政部门备案，方可作为主合同不可分割的一部分。</w:t>
      </w:r>
    </w:p>
    <w:p w14:paraId="765B81F6">
      <w:pPr>
        <w:pStyle w:val="23"/>
        <w:snapToGrid w:val="0"/>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3、本合同未尽事宜，遵照《中华人民共和国民法典》有关条文执行。</w:t>
      </w:r>
    </w:p>
    <w:p w14:paraId="2F95ADFC">
      <w:pPr>
        <w:snapToGrid w:val="0"/>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第十八条　合同的变更、终止与转让</w:t>
      </w:r>
    </w:p>
    <w:p w14:paraId="1C405A84">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1、除《中华人民共和国政府采购法》第五十条规定的情形外，本合同一经签订，甲乙双方不得擅自变更、中止或者终止。</w:t>
      </w:r>
    </w:p>
    <w:p w14:paraId="6BDD35BE">
      <w:pPr>
        <w:snapToGrid w:val="0"/>
        <w:spacing w:line="360" w:lineRule="auto"/>
        <w:ind w:left="-61" w:firstLine="514"/>
        <w:rPr>
          <w:rFonts w:hint="eastAsia" w:ascii="仿宋" w:hAnsi="仿宋" w:eastAsia="仿宋" w:cs="仿宋"/>
          <w:color w:val="auto"/>
          <w:sz w:val="24"/>
          <w:highlight w:val="none"/>
        </w:rPr>
      </w:pPr>
      <w:r>
        <w:rPr>
          <w:rFonts w:hint="eastAsia" w:ascii="仿宋" w:hAnsi="仿宋" w:eastAsia="仿宋" w:cs="仿宋"/>
          <w:color w:val="auto"/>
          <w:sz w:val="24"/>
          <w:highlight w:val="none"/>
        </w:rPr>
        <w:t>2、乙方不得擅自转让（无进口资格的供应商委托进口货物除外）其应履行的合同义务。</w:t>
      </w:r>
    </w:p>
    <w:p w14:paraId="2063B848">
      <w:pPr>
        <w:snapToGrid w:val="0"/>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第十九条　</w:t>
      </w:r>
      <w:r>
        <w:rPr>
          <w:rFonts w:hint="eastAsia" w:ascii="仿宋" w:hAnsi="仿宋" w:eastAsia="仿宋" w:cs="仿宋"/>
          <w:color w:val="auto"/>
          <w:spacing w:val="-2"/>
          <w:kern w:val="0"/>
          <w:sz w:val="24"/>
          <w:highlight w:val="none"/>
        </w:rPr>
        <w:t>本</w:t>
      </w:r>
      <w:r>
        <w:rPr>
          <w:rFonts w:hint="eastAsia" w:ascii="仿宋" w:hAnsi="仿宋" w:eastAsia="仿宋" w:cs="仿宋"/>
          <w:color w:val="auto"/>
          <w:kern w:val="0"/>
          <w:sz w:val="24"/>
          <w:highlight w:val="none"/>
        </w:rPr>
        <w:t>合同书</w:t>
      </w:r>
      <w:r>
        <w:rPr>
          <w:rFonts w:hint="eastAsia" w:ascii="仿宋" w:hAnsi="仿宋" w:eastAsia="仿宋" w:cs="仿宋"/>
          <w:color w:val="auto"/>
          <w:spacing w:val="-2"/>
          <w:kern w:val="0"/>
          <w:sz w:val="24"/>
          <w:highlight w:val="none"/>
        </w:rPr>
        <w:t>与</w:t>
      </w:r>
      <w:r>
        <w:rPr>
          <w:rFonts w:hint="eastAsia" w:ascii="仿宋" w:hAnsi="仿宋" w:eastAsia="仿宋" w:cs="仿宋"/>
          <w:color w:val="auto"/>
          <w:kern w:val="0"/>
          <w:sz w:val="24"/>
          <w:highlight w:val="none"/>
        </w:rPr>
        <w:t>下</w:t>
      </w:r>
      <w:r>
        <w:rPr>
          <w:rFonts w:hint="eastAsia" w:ascii="仿宋" w:hAnsi="仿宋" w:eastAsia="仿宋" w:cs="仿宋"/>
          <w:color w:val="auto"/>
          <w:spacing w:val="-2"/>
          <w:kern w:val="0"/>
          <w:sz w:val="24"/>
          <w:highlight w:val="none"/>
        </w:rPr>
        <w:t>列</w:t>
      </w:r>
      <w:r>
        <w:rPr>
          <w:rFonts w:hint="eastAsia" w:ascii="仿宋" w:hAnsi="仿宋" w:eastAsia="仿宋" w:cs="仿宋"/>
          <w:color w:val="auto"/>
          <w:kern w:val="0"/>
          <w:sz w:val="24"/>
          <w:highlight w:val="none"/>
        </w:rPr>
        <w:t>文</w:t>
      </w:r>
      <w:r>
        <w:rPr>
          <w:rFonts w:hint="eastAsia" w:ascii="仿宋" w:hAnsi="仿宋" w:eastAsia="仿宋" w:cs="仿宋"/>
          <w:color w:val="auto"/>
          <w:spacing w:val="-2"/>
          <w:kern w:val="0"/>
          <w:sz w:val="24"/>
          <w:highlight w:val="none"/>
        </w:rPr>
        <w:t>件一</w:t>
      </w:r>
      <w:r>
        <w:rPr>
          <w:rFonts w:hint="eastAsia" w:ascii="仿宋" w:hAnsi="仿宋" w:eastAsia="仿宋" w:cs="仿宋"/>
          <w:color w:val="auto"/>
          <w:kern w:val="0"/>
          <w:sz w:val="24"/>
          <w:highlight w:val="none"/>
        </w:rPr>
        <w:t>起构</w:t>
      </w:r>
      <w:r>
        <w:rPr>
          <w:rFonts w:hint="eastAsia" w:ascii="仿宋" w:hAnsi="仿宋" w:eastAsia="仿宋" w:cs="仿宋"/>
          <w:color w:val="auto"/>
          <w:spacing w:val="-2"/>
          <w:kern w:val="0"/>
          <w:sz w:val="24"/>
          <w:highlight w:val="none"/>
        </w:rPr>
        <w:t>成</w:t>
      </w:r>
      <w:r>
        <w:rPr>
          <w:rFonts w:hint="eastAsia" w:ascii="仿宋" w:hAnsi="仿宋" w:eastAsia="仿宋" w:cs="仿宋"/>
          <w:color w:val="auto"/>
          <w:kern w:val="0"/>
          <w:sz w:val="24"/>
          <w:highlight w:val="none"/>
        </w:rPr>
        <w:t>合</w:t>
      </w:r>
      <w:r>
        <w:rPr>
          <w:rFonts w:hint="eastAsia" w:ascii="仿宋" w:hAnsi="仿宋" w:eastAsia="仿宋" w:cs="仿宋"/>
          <w:color w:val="auto"/>
          <w:spacing w:val="-2"/>
          <w:kern w:val="0"/>
          <w:sz w:val="24"/>
          <w:highlight w:val="none"/>
        </w:rPr>
        <w:t>同</w:t>
      </w:r>
      <w:r>
        <w:rPr>
          <w:rFonts w:hint="eastAsia" w:ascii="仿宋" w:hAnsi="仿宋" w:eastAsia="仿宋" w:cs="仿宋"/>
          <w:color w:val="auto"/>
          <w:kern w:val="0"/>
          <w:sz w:val="24"/>
          <w:highlight w:val="none"/>
        </w:rPr>
        <w:t>文</w:t>
      </w:r>
      <w:r>
        <w:rPr>
          <w:rFonts w:hint="eastAsia" w:ascii="仿宋" w:hAnsi="仿宋" w:eastAsia="仿宋" w:cs="仿宋"/>
          <w:color w:val="auto"/>
          <w:spacing w:val="-2"/>
          <w:kern w:val="0"/>
          <w:sz w:val="24"/>
          <w:highlight w:val="none"/>
        </w:rPr>
        <w:t>件</w:t>
      </w:r>
    </w:p>
    <w:p w14:paraId="2CA1582E">
      <w:pPr>
        <w:pStyle w:val="23"/>
        <w:snapToGrid w:val="0"/>
        <w:spacing w:line="360" w:lineRule="auto"/>
        <w:ind w:left="420" w:left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1、中标通知书；</w:t>
      </w:r>
    </w:p>
    <w:p w14:paraId="44C0B520">
      <w:pPr>
        <w:pStyle w:val="23"/>
        <w:snapToGrid w:val="0"/>
        <w:spacing w:line="360" w:lineRule="auto"/>
        <w:ind w:left="420" w:left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2、投标函；</w:t>
      </w:r>
    </w:p>
    <w:p w14:paraId="2FF1735A">
      <w:pPr>
        <w:pStyle w:val="23"/>
        <w:snapToGrid w:val="0"/>
        <w:spacing w:line="360" w:lineRule="auto"/>
        <w:ind w:left="420" w:left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3、商务条款偏离表和技术偏离表；</w:t>
      </w:r>
    </w:p>
    <w:p w14:paraId="5CE31EA8">
      <w:pPr>
        <w:pStyle w:val="23"/>
        <w:snapToGrid w:val="0"/>
        <w:spacing w:line="360" w:lineRule="auto"/>
        <w:ind w:left="420" w:left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4、采购需求；</w:t>
      </w:r>
    </w:p>
    <w:p w14:paraId="101C0081">
      <w:pPr>
        <w:pStyle w:val="23"/>
        <w:snapToGrid w:val="0"/>
        <w:spacing w:line="360" w:lineRule="auto"/>
        <w:ind w:left="420" w:left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5、开标一览表；</w:t>
      </w:r>
    </w:p>
    <w:p w14:paraId="1D4C16CD">
      <w:pPr>
        <w:pStyle w:val="23"/>
        <w:snapToGrid w:val="0"/>
        <w:spacing w:line="360" w:lineRule="auto"/>
        <w:ind w:left="420" w:left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p>
    <w:p w14:paraId="0B138A52">
      <w:pPr>
        <w:pStyle w:val="23"/>
        <w:snapToGrid w:val="0"/>
        <w:spacing w:line="360" w:lineRule="auto"/>
        <w:ind w:left="420" w:left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7、其他合同文件。</w:t>
      </w:r>
    </w:p>
    <w:p w14:paraId="07AE2916">
      <w:pPr>
        <w:pStyle w:val="23"/>
        <w:snapToGrid w:val="0"/>
        <w:spacing w:line="360" w:lineRule="auto"/>
        <w:ind w:left="420" w:left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8、上述合同文件互相补充和解释。如果合同文件之间存在矛盾或者不一致之处，以上述文</w:t>
      </w:r>
    </w:p>
    <w:p w14:paraId="3F6AD46F">
      <w:pPr>
        <w:pStyle w:val="23"/>
        <w:snapToGrid w:val="0"/>
        <w:spacing w:line="360" w:lineRule="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件的排列顺序在先者为准。</w:t>
      </w:r>
    </w:p>
    <w:p w14:paraId="00647CF2">
      <w:pPr>
        <w:snapToGrid w:val="0"/>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第二十条　</w:t>
      </w:r>
      <w:r>
        <w:rPr>
          <w:rFonts w:hint="eastAsia" w:ascii="仿宋" w:hAnsi="仿宋" w:eastAsia="仿宋" w:cs="仿宋"/>
          <w:color w:val="auto"/>
          <w:sz w:val="24"/>
          <w:highlight w:val="none"/>
        </w:rPr>
        <w:t>本合同一式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份，具有同等法律效力，财政部门（政府采购监管部门）、采购代理机构各一份，甲乙双方各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份（可根据需要另增加）。</w:t>
      </w:r>
    </w:p>
    <w:p w14:paraId="2A1A027E">
      <w:pPr>
        <w:snapToGrid w:val="0"/>
        <w:spacing w:line="360" w:lineRule="auto"/>
        <w:ind w:left="-61" w:firstLine="514"/>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本合同甲乙双方签字盖章后生效，自签订之日起七个工作日内，甲方应当将合同副本报同级财政部门备案。</w:t>
      </w:r>
    </w:p>
    <w:p w14:paraId="42DE668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本合同自签订之日起2个工作日内，甲方应当将采购合同在广西壮族自治区财政厅指定的媒体上公告。</w:t>
      </w:r>
    </w:p>
    <w:p w14:paraId="69112216">
      <w:pPr>
        <w:pStyle w:val="7"/>
        <w:rPr>
          <w:rFonts w:hint="eastAsia" w:ascii="仿宋_GB2312" w:hAnsi="宋体" w:eastAsia="仿宋_GB2312"/>
          <w:color w:val="auto"/>
          <w:sz w:val="24"/>
          <w:szCs w:val="24"/>
          <w:highlight w:val="none"/>
        </w:rPr>
      </w:pPr>
    </w:p>
    <w:p w14:paraId="5155914A">
      <w:pPr>
        <w:pStyle w:val="7"/>
        <w:rPr>
          <w:rFonts w:hint="eastAsia" w:ascii="仿宋_GB2312" w:hAnsi="宋体" w:eastAsia="仿宋_GB2312"/>
          <w:color w:val="auto"/>
          <w:sz w:val="24"/>
          <w:szCs w:val="24"/>
          <w:highlight w:val="none"/>
        </w:rPr>
      </w:pP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14:paraId="2146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14:paraId="5AB3A1EB">
            <w:pPr>
              <w:snapToGrid w:val="0"/>
              <w:spacing w:line="360" w:lineRule="exact"/>
              <w:rPr>
                <w:rFonts w:hint="eastAsia" w:ascii="仿宋" w:hAnsi="仿宋" w:eastAsia="仿宋" w:cs="仿宋"/>
                <w:color w:val="auto"/>
                <w:sz w:val="24"/>
                <w:highlight w:val="none"/>
              </w:rPr>
            </w:pPr>
          </w:p>
          <w:p w14:paraId="38578CA3">
            <w:pPr>
              <w:snapToGrid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甲方（章）           </w:t>
            </w:r>
          </w:p>
          <w:p w14:paraId="11BB2202">
            <w:pPr>
              <w:snapToGrid w:val="0"/>
              <w:spacing w:line="360" w:lineRule="exact"/>
              <w:ind w:firstLine="480" w:firstLineChars="200"/>
              <w:rPr>
                <w:rFonts w:hint="eastAsia" w:ascii="仿宋" w:hAnsi="仿宋" w:eastAsia="仿宋" w:cs="仿宋"/>
                <w:color w:val="auto"/>
                <w:sz w:val="24"/>
                <w:highlight w:val="none"/>
              </w:rPr>
            </w:pPr>
          </w:p>
          <w:p w14:paraId="53146391">
            <w:pPr>
              <w:snapToGrid w:val="0"/>
              <w:spacing w:line="360" w:lineRule="exact"/>
              <w:ind w:firstLine="480" w:firstLineChars="2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tc>
        <w:tc>
          <w:tcPr>
            <w:tcW w:w="4820" w:type="dxa"/>
            <w:vAlign w:val="center"/>
          </w:tcPr>
          <w:p w14:paraId="503C9E65">
            <w:pPr>
              <w:snapToGrid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乙方（章）              </w:t>
            </w:r>
          </w:p>
          <w:p w14:paraId="40957809">
            <w:pPr>
              <w:snapToGrid w:val="0"/>
              <w:spacing w:line="360" w:lineRule="exact"/>
              <w:ind w:firstLine="480" w:firstLineChars="200"/>
              <w:rPr>
                <w:rFonts w:hint="eastAsia" w:ascii="仿宋" w:hAnsi="仿宋" w:eastAsia="仿宋" w:cs="仿宋"/>
                <w:color w:val="auto"/>
                <w:sz w:val="24"/>
                <w:highlight w:val="none"/>
              </w:rPr>
            </w:pPr>
          </w:p>
          <w:p w14:paraId="412AC7F6">
            <w:pPr>
              <w:snapToGrid w:val="0"/>
              <w:spacing w:line="360" w:lineRule="exact"/>
              <w:ind w:firstLine="480" w:firstLineChars="2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年   月   日</w:t>
            </w:r>
          </w:p>
        </w:tc>
      </w:tr>
      <w:tr w14:paraId="0719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14:paraId="16B85274">
            <w:pPr>
              <w:snapToGrid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单位地址：</w:t>
            </w:r>
          </w:p>
        </w:tc>
        <w:tc>
          <w:tcPr>
            <w:tcW w:w="4820" w:type="dxa"/>
            <w:vAlign w:val="center"/>
          </w:tcPr>
          <w:p w14:paraId="383FEAA2">
            <w:pPr>
              <w:snapToGrid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单位地址：</w:t>
            </w:r>
          </w:p>
        </w:tc>
      </w:tr>
      <w:tr w14:paraId="208E1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14:paraId="676393DB">
            <w:pPr>
              <w:snapToGrid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p>
        </w:tc>
        <w:tc>
          <w:tcPr>
            <w:tcW w:w="4820" w:type="dxa"/>
            <w:vAlign w:val="center"/>
          </w:tcPr>
          <w:p w14:paraId="722C177D">
            <w:pPr>
              <w:snapToGrid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p>
        </w:tc>
      </w:tr>
      <w:tr w14:paraId="40BC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14:paraId="06D26DAE">
            <w:pPr>
              <w:snapToGrid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委托代理人：</w:t>
            </w:r>
          </w:p>
        </w:tc>
        <w:tc>
          <w:tcPr>
            <w:tcW w:w="4820" w:type="dxa"/>
            <w:vAlign w:val="center"/>
          </w:tcPr>
          <w:p w14:paraId="51C6551F">
            <w:pPr>
              <w:snapToGrid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委托代理人</w:t>
            </w:r>
          </w:p>
        </w:tc>
      </w:tr>
      <w:tr w14:paraId="5B319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14:paraId="16C24B7B">
            <w:pPr>
              <w:snapToGrid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电    话：</w:t>
            </w:r>
          </w:p>
        </w:tc>
        <w:tc>
          <w:tcPr>
            <w:tcW w:w="4820" w:type="dxa"/>
            <w:vAlign w:val="center"/>
          </w:tcPr>
          <w:p w14:paraId="36D66D73">
            <w:pPr>
              <w:snapToGrid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电    话：</w:t>
            </w:r>
          </w:p>
        </w:tc>
      </w:tr>
      <w:tr w14:paraId="771B1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14:paraId="1994F123">
            <w:pPr>
              <w:snapToGrid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电子邮箱：</w:t>
            </w:r>
          </w:p>
        </w:tc>
        <w:tc>
          <w:tcPr>
            <w:tcW w:w="4820" w:type="dxa"/>
            <w:vAlign w:val="center"/>
          </w:tcPr>
          <w:p w14:paraId="01F38AA9">
            <w:pPr>
              <w:snapToGrid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电子邮箱：</w:t>
            </w:r>
          </w:p>
        </w:tc>
      </w:tr>
      <w:tr w14:paraId="4081E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14:paraId="658EE09E">
            <w:pPr>
              <w:snapToGrid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开户银行：</w:t>
            </w:r>
          </w:p>
        </w:tc>
        <w:tc>
          <w:tcPr>
            <w:tcW w:w="4820" w:type="dxa"/>
            <w:vAlign w:val="center"/>
          </w:tcPr>
          <w:p w14:paraId="354C05A9">
            <w:pPr>
              <w:snapToGrid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开户银行：</w:t>
            </w:r>
          </w:p>
        </w:tc>
      </w:tr>
      <w:tr w14:paraId="6E8B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14:paraId="53541460">
            <w:pPr>
              <w:snapToGrid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账    号：</w:t>
            </w:r>
          </w:p>
        </w:tc>
        <w:tc>
          <w:tcPr>
            <w:tcW w:w="4820" w:type="dxa"/>
            <w:vAlign w:val="center"/>
          </w:tcPr>
          <w:p w14:paraId="5B9E9A1D">
            <w:pPr>
              <w:snapToGrid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账    号：</w:t>
            </w:r>
          </w:p>
        </w:tc>
      </w:tr>
      <w:tr w14:paraId="13E2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14:paraId="6D15F07D">
            <w:pPr>
              <w:snapToGrid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邮政编码：</w:t>
            </w:r>
          </w:p>
        </w:tc>
        <w:tc>
          <w:tcPr>
            <w:tcW w:w="4820" w:type="dxa"/>
            <w:vAlign w:val="center"/>
          </w:tcPr>
          <w:p w14:paraId="7DB7EBE9">
            <w:pPr>
              <w:snapToGrid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邮政编码：</w:t>
            </w:r>
          </w:p>
        </w:tc>
      </w:tr>
      <w:tr w14:paraId="2223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9498" w:type="dxa"/>
            <w:gridSpan w:val="2"/>
            <w:vAlign w:val="center"/>
          </w:tcPr>
          <w:p w14:paraId="686EFBA6">
            <w:pPr>
              <w:snapToGrid w:val="0"/>
              <w:spacing w:line="360" w:lineRule="exact"/>
              <w:rPr>
                <w:rFonts w:hint="eastAsia" w:ascii="仿宋" w:hAnsi="仿宋" w:eastAsia="仿宋" w:cs="仿宋"/>
                <w:color w:val="auto"/>
                <w:sz w:val="24"/>
                <w:highlight w:val="none"/>
              </w:rPr>
            </w:pPr>
          </w:p>
          <w:p w14:paraId="04B9083E">
            <w:pPr>
              <w:snapToGrid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经办人：</w:t>
            </w:r>
          </w:p>
          <w:p w14:paraId="497DEC71">
            <w:pPr>
              <w:snapToGrid w:val="0"/>
              <w:spacing w:line="360" w:lineRule="exact"/>
              <w:rPr>
                <w:rFonts w:hint="eastAsia" w:ascii="仿宋" w:hAnsi="仿宋" w:eastAsia="仿宋" w:cs="仿宋"/>
                <w:color w:val="auto"/>
                <w:sz w:val="24"/>
                <w:highlight w:val="none"/>
              </w:rPr>
            </w:pPr>
          </w:p>
          <w:p w14:paraId="7EE4948C">
            <w:pPr>
              <w:snapToGrid w:val="0"/>
              <w:spacing w:line="360" w:lineRule="exact"/>
              <w:rPr>
                <w:rFonts w:hint="eastAsia" w:ascii="仿宋" w:hAnsi="仿宋" w:eastAsia="仿宋" w:cs="仿宋"/>
                <w:color w:val="auto"/>
                <w:sz w:val="24"/>
                <w:highlight w:val="none"/>
              </w:rPr>
            </w:pPr>
          </w:p>
        </w:tc>
      </w:tr>
    </w:tbl>
    <w:p w14:paraId="4EF5AB1D">
      <w:pPr>
        <w:snapToGrid w:val="0"/>
        <w:spacing w:line="360" w:lineRule="auto"/>
        <w:ind w:firstLine="480" w:firstLineChars="200"/>
        <w:rPr>
          <w:rFonts w:hint="eastAsia" w:ascii="仿宋" w:hAnsi="仿宋" w:eastAsia="仿宋"/>
          <w:color w:val="auto"/>
          <w:sz w:val="24"/>
          <w:highlight w:val="none"/>
        </w:rPr>
      </w:pPr>
    </w:p>
    <w:p w14:paraId="41B24E4D">
      <w:pPr>
        <w:snapToGrid w:val="0"/>
        <w:spacing w:line="360" w:lineRule="auto"/>
        <w:rPr>
          <w:rFonts w:hint="eastAsia" w:ascii="仿宋" w:hAnsi="仿宋" w:eastAsia="仿宋" w:cs="宋体"/>
          <w:b/>
          <w:color w:val="auto"/>
          <w:sz w:val="24"/>
          <w:highlight w:val="none"/>
        </w:rPr>
      </w:pPr>
      <w:r>
        <w:rPr>
          <w:rFonts w:hint="eastAsia" w:ascii="仿宋" w:hAnsi="仿宋" w:eastAsia="仿宋"/>
          <w:color w:val="auto"/>
          <w:sz w:val="24"/>
          <w:highlight w:val="none"/>
        </w:rPr>
        <w:br w:type="page"/>
      </w:r>
      <w:r>
        <w:rPr>
          <w:rFonts w:hint="eastAsia" w:ascii="仿宋" w:hAnsi="仿宋" w:eastAsia="仿宋" w:cs="宋体"/>
          <w:b/>
          <w:color w:val="auto"/>
          <w:sz w:val="24"/>
          <w:highlight w:val="none"/>
        </w:rPr>
        <w:t>合 同 附 件</w:t>
      </w:r>
    </w:p>
    <w:tbl>
      <w:tblPr>
        <w:tblStyle w:val="45"/>
        <w:tblW w:w="0" w:type="auto"/>
        <w:tblInd w:w="0" w:type="dxa"/>
        <w:tblLayout w:type="fixed"/>
        <w:tblCellMar>
          <w:top w:w="0" w:type="dxa"/>
          <w:left w:w="108" w:type="dxa"/>
          <w:bottom w:w="0" w:type="dxa"/>
          <w:right w:w="108" w:type="dxa"/>
        </w:tblCellMar>
      </w:tblPr>
      <w:tblGrid>
        <w:gridCol w:w="4911"/>
        <w:gridCol w:w="4943"/>
      </w:tblGrid>
      <w:tr w14:paraId="7E435BBA">
        <w:tblPrEx>
          <w:tblCellMar>
            <w:top w:w="0" w:type="dxa"/>
            <w:left w:w="108" w:type="dxa"/>
            <w:bottom w:w="0" w:type="dxa"/>
            <w:right w:w="108" w:type="dxa"/>
          </w:tblCellMar>
        </w:tblPrEx>
        <w:trPr>
          <w:trHeight w:val="454" w:hRule="exact"/>
        </w:trPr>
        <w:tc>
          <w:tcPr>
            <w:tcW w:w="9854" w:type="dxa"/>
            <w:gridSpan w:val="2"/>
            <w:tcBorders>
              <w:top w:val="single" w:color="auto" w:sz="4" w:space="0"/>
              <w:left w:val="single" w:color="auto" w:sz="4" w:space="0"/>
              <w:right w:val="single" w:color="auto" w:sz="4" w:space="0"/>
            </w:tcBorders>
            <w:vAlign w:val="center"/>
          </w:tcPr>
          <w:p w14:paraId="7072C6D9">
            <w:pPr>
              <w:snapToGrid w:val="0"/>
              <w:spacing w:line="400" w:lineRule="exact"/>
              <w:ind w:firstLine="482" w:firstLineChars="200"/>
              <w:rPr>
                <w:rFonts w:hint="eastAsia" w:ascii="仿宋" w:hAnsi="仿宋" w:eastAsia="仿宋" w:cs="宋体"/>
                <w:b/>
                <w:color w:val="auto"/>
                <w:sz w:val="24"/>
                <w:highlight w:val="none"/>
              </w:rPr>
            </w:pPr>
            <w:r>
              <w:rPr>
                <w:rFonts w:hint="eastAsia" w:ascii="仿宋" w:hAnsi="仿宋" w:eastAsia="仿宋" w:cs="宋体"/>
                <w:b/>
                <w:color w:val="auto"/>
                <w:sz w:val="24"/>
                <w:highlight w:val="none"/>
              </w:rPr>
              <w:t>1、供应商承诺具体事项：</w:t>
            </w:r>
          </w:p>
        </w:tc>
      </w:tr>
      <w:tr w14:paraId="4DE3E005">
        <w:tblPrEx>
          <w:tblCellMar>
            <w:top w:w="0" w:type="dxa"/>
            <w:left w:w="108" w:type="dxa"/>
            <w:bottom w:w="0" w:type="dxa"/>
            <w:right w:w="108" w:type="dxa"/>
          </w:tblCellMar>
        </w:tblPrEx>
        <w:trPr>
          <w:trHeight w:val="1793" w:hRule="atLeast"/>
        </w:trPr>
        <w:tc>
          <w:tcPr>
            <w:tcW w:w="9854" w:type="dxa"/>
            <w:gridSpan w:val="2"/>
            <w:tcBorders>
              <w:left w:val="single" w:color="auto" w:sz="4" w:space="0"/>
              <w:right w:val="single" w:color="auto" w:sz="4" w:space="0"/>
            </w:tcBorders>
            <w:vAlign w:val="center"/>
          </w:tcPr>
          <w:p w14:paraId="7922FA29">
            <w:pPr>
              <w:snapToGrid w:val="0"/>
              <w:spacing w:line="400" w:lineRule="exact"/>
              <w:ind w:firstLine="4819" w:firstLineChars="2000"/>
              <w:rPr>
                <w:rFonts w:hint="eastAsia" w:ascii="仿宋" w:hAnsi="仿宋" w:eastAsia="仿宋" w:cs="宋体"/>
                <w:b/>
                <w:color w:val="auto"/>
                <w:sz w:val="24"/>
                <w:highlight w:val="none"/>
              </w:rPr>
            </w:pPr>
            <w:r>
              <w:rPr>
                <w:rFonts w:hint="eastAsia" w:ascii="仿宋" w:hAnsi="仿宋" w:eastAsia="仿宋" w:cs="宋体"/>
                <w:b/>
                <w:color w:val="auto"/>
                <w:sz w:val="24"/>
                <w:highlight w:val="none"/>
              </w:rPr>
              <w:t>/</w:t>
            </w:r>
          </w:p>
        </w:tc>
      </w:tr>
      <w:tr w14:paraId="77317E0C">
        <w:tblPrEx>
          <w:tblCellMar>
            <w:top w:w="0" w:type="dxa"/>
            <w:left w:w="108" w:type="dxa"/>
            <w:bottom w:w="0" w:type="dxa"/>
            <w:right w:w="108" w:type="dxa"/>
          </w:tblCellMar>
        </w:tblPrEx>
        <w:trPr>
          <w:trHeight w:val="454" w:hRule="exact"/>
        </w:trPr>
        <w:tc>
          <w:tcPr>
            <w:tcW w:w="9854" w:type="dxa"/>
            <w:gridSpan w:val="2"/>
            <w:tcBorders>
              <w:top w:val="single" w:color="auto" w:sz="4" w:space="0"/>
              <w:left w:val="single" w:color="auto" w:sz="4" w:space="0"/>
              <w:right w:val="single" w:color="auto" w:sz="4" w:space="0"/>
            </w:tcBorders>
            <w:vAlign w:val="center"/>
          </w:tcPr>
          <w:p w14:paraId="3A15F3A9">
            <w:pPr>
              <w:snapToGrid w:val="0"/>
              <w:spacing w:line="400" w:lineRule="exact"/>
              <w:ind w:firstLine="482" w:firstLineChars="200"/>
              <w:rPr>
                <w:rFonts w:hint="eastAsia" w:ascii="仿宋" w:hAnsi="仿宋" w:eastAsia="仿宋" w:cs="宋体"/>
                <w:b/>
                <w:color w:val="auto"/>
                <w:sz w:val="24"/>
                <w:highlight w:val="none"/>
              </w:rPr>
            </w:pPr>
            <w:r>
              <w:rPr>
                <w:rFonts w:hint="eastAsia" w:ascii="仿宋" w:hAnsi="仿宋" w:eastAsia="仿宋" w:cs="宋体"/>
                <w:b/>
                <w:color w:val="auto"/>
                <w:sz w:val="24"/>
                <w:highlight w:val="none"/>
              </w:rPr>
              <w:t>2、保修期具体事项：</w:t>
            </w:r>
          </w:p>
        </w:tc>
      </w:tr>
      <w:tr w14:paraId="41454BBC">
        <w:tblPrEx>
          <w:tblCellMar>
            <w:top w:w="0" w:type="dxa"/>
            <w:left w:w="108" w:type="dxa"/>
            <w:bottom w:w="0" w:type="dxa"/>
            <w:right w:w="108" w:type="dxa"/>
          </w:tblCellMar>
        </w:tblPrEx>
        <w:trPr>
          <w:trHeight w:val="1793" w:hRule="atLeast"/>
        </w:trPr>
        <w:tc>
          <w:tcPr>
            <w:tcW w:w="9854" w:type="dxa"/>
            <w:gridSpan w:val="2"/>
            <w:tcBorders>
              <w:left w:val="single" w:color="auto" w:sz="4" w:space="0"/>
              <w:right w:val="single" w:color="auto" w:sz="4" w:space="0"/>
            </w:tcBorders>
            <w:vAlign w:val="center"/>
          </w:tcPr>
          <w:p w14:paraId="40BD8287">
            <w:pPr>
              <w:snapToGrid w:val="0"/>
              <w:spacing w:line="400" w:lineRule="exact"/>
              <w:ind w:firstLine="4819" w:firstLineChars="2000"/>
              <w:rPr>
                <w:rFonts w:hint="eastAsia" w:ascii="仿宋" w:hAnsi="仿宋" w:eastAsia="仿宋" w:cs="宋体"/>
                <w:b/>
                <w:color w:val="auto"/>
                <w:sz w:val="24"/>
                <w:highlight w:val="none"/>
              </w:rPr>
            </w:pPr>
            <w:r>
              <w:rPr>
                <w:rFonts w:hint="eastAsia" w:ascii="仿宋" w:hAnsi="仿宋" w:eastAsia="仿宋" w:cs="宋体"/>
                <w:b/>
                <w:color w:val="auto"/>
                <w:sz w:val="24"/>
                <w:highlight w:val="none"/>
              </w:rPr>
              <w:t xml:space="preserve">/ </w:t>
            </w:r>
          </w:p>
        </w:tc>
      </w:tr>
      <w:tr w14:paraId="6D8CF6E9">
        <w:tblPrEx>
          <w:tblCellMar>
            <w:top w:w="0" w:type="dxa"/>
            <w:left w:w="108" w:type="dxa"/>
            <w:bottom w:w="0" w:type="dxa"/>
            <w:right w:w="108" w:type="dxa"/>
          </w:tblCellMar>
        </w:tblPrEx>
        <w:trPr>
          <w:trHeight w:val="454" w:hRule="exact"/>
        </w:trPr>
        <w:tc>
          <w:tcPr>
            <w:tcW w:w="9854" w:type="dxa"/>
            <w:gridSpan w:val="2"/>
            <w:tcBorders>
              <w:top w:val="single" w:color="auto" w:sz="4" w:space="0"/>
              <w:left w:val="single" w:color="auto" w:sz="4" w:space="0"/>
              <w:right w:val="single" w:color="auto" w:sz="4" w:space="0"/>
            </w:tcBorders>
            <w:vAlign w:val="center"/>
          </w:tcPr>
          <w:p w14:paraId="1A774B35">
            <w:pPr>
              <w:snapToGrid w:val="0"/>
              <w:spacing w:line="400" w:lineRule="exact"/>
              <w:ind w:firstLine="482" w:firstLineChars="200"/>
              <w:rPr>
                <w:rFonts w:hint="eastAsia" w:ascii="仿宋" w:hAnsi="仿宋" w:eastAsia="仿宋" w:cs="宋体"/>
                <w:b/>
                <w:color w:val="auto"/>
                <w:sz w:val="24"/>
                <w:highlight w:val="none"/>
              </w:rPr>
            </w:pPr>
            <w:r>
              <w:rPr>
                <w:rFonts w:hint="eastAsia" w:ascii="仿宋" w:hAnsi="仿宋" w:eastAsia="仿宋" w:cs="宋体"/>
                <w:b/>
                <w:color w:val="auto"/>
                <w:sz w:val="24"/>
                <w:highlight w:val="none"/>
              </w:rPr>
              <w:t>3、售后服务责任：</w:t>
            </w:r>
          </w:p>
        </w:tc>
      </w:tr>
      <w:tr w14:paraId="33834DDC">
        <w:tblPrEx>
          <w:tblCellMar>
            <w:top w:w="0" w:type="dxa"/>
            <w:left w:w="108" w:type="dxa"/>
            <w:bottom w:w="0" w:type="dxa"/>
            <w:right w:w="108" w:type="dxa"/>
          </w:tblCellMar>
        </w:tblPrEx>
        <w:trPr>
          <w:trHeight w:val="2242" w:hRule="atLeast"/>
        </w:trPr>
        <w:tc>
          <w:tcPr>
            <w:tcW w:w="9854" w:type="dxa"/>
            <w:gridSpan w:val="2"/>
            <w:tcBorders>
              <w:left w:val="single" w:color="auto" w:sz="4" w:space="0"/>
              <w:right w:val="single" w:color="auto" w:sz="4" w:space="0"/>
            </w:tcBorders>
            <w:vAlign w:val="center"/>
          </w:tcPr>
          <w:p w14:paraId="53E92D7F">
            <w:pPr>
              <w:snapToGrid w:val="0"/>
              <w:spacing w:line="400" w:lineRule="exact"/>
              <w:ind w:firstLine="4819" w:firstLineChars="2000"/>
              <w:rPr>
                <w:rFonts w:hint="eastAsia" w:ascii="仿宋" w:hAnsi="仿宋" w:eastAsia="仿宋" w:cs="宋体"/>
                <w:b/>
                <w:color w:val="auto"/>
                <w:sz w:val="24"/>
                <w:highlight w:val="none"/>
              </w:rPr>
            </w:pPr>
            <w:r>
              <w:rPr>
                <w:rFonts w:hint="eastAsia" w:ascii="仿宋" w:hAnsi="仿宋" w:eastAsia="仿宋" w:cs="宋体"/>
                <w:b/>
                <w:color w:val="auto"/>
                <w:sz w:val="24"/>
                <w:highlight w:val="none"/>
              </w:rPr>
              <w:t>/</w:t>
            </w:r>
          </w:p>
        </w:tc>
      </w:tr>
      <w:tr w14:paraId="1A3EA99D">
        <w:tblPrEx>
          <w:tblCellMar>
            <w:top w:w="0" w:type="dxa"/>
            <w:left w:w="108" w:type="dxa"/>
            <w:bottom w:w="0" w:type="dxa"/>
            <w:right w:w="108" w:type="dxa"/>
          </w:tblCellMar>
        </w:tblPrEx>
        <w:trPr>
          <w:trHeight w:val="454" w:hRule="exact"/>
        </w:trPr>
        <w:tc>
          <w:tcPr>
            <w:tcW w:w="9854" w:type="dxa"/>
            <w:gridSpan w:val="2"/>
            <w:tcBorders>
              <w:top w:val="single" w:color="auto" w:sz="4" w:space="0"/>
              <w:left w:val="single" w:color="auto" w:sz="4" w:space="0"/>
              <w:right w:val="single" w:color="auto" w:sz="4" w:space="0"/>
            </w:tcBorders>
            <w:vAlign w:val="center"/>
          </w:tcPr>
          <w:p w14:paraId="4F4EB9E7">
            <w:pPr>
              <w:snapToGrid w:val="0"/>
              <w:spacing w:line="400" w:lineRule="exact"/>
              <w:ind w:firstLine="482" w:firstLineChars="200"/>
              <w:rPr>
                <w:rFonts w:hint="eastAsia" w:ascii="仿宋" w:hAnsi="仿宋" w:eastAsia="仿宋" w:cs="宋体"/>
                <w:b/>
                <w:color w:val="auto"/>
                <w:sz w:val="24"/>
                <w:highlight w:val="none"/>
              </w:rPr>
            </w:pPr>
            <w:r>
              <w:rPr>
                <w:rFonts w:hint="eastAsia" w:ascii="仿宋" w:hAnsi="仿宋" w:eastAsia="仿宋" w:cs="宋体"/>
                <w:b/>
                <w:color w:val="auto"/>
                <w:sz w:val="24"/>
                <w:highlight w:val="none"/>
              </w:rPr>
              <w:t>4、其他具体事项：</w:t>
            </w:r>
          </w:p>
        </w:tc>
      </w:tr>
      <w:tr w14:paraId="4DC60BC9">
        <w:tblPrEx>
          <w:tblCellMar>
            <w:top w:w="0" w:type="dxa"/>
            <w:left w:w="108" w:type="dxa"/>
            <w:bottom w:w="0" w:type="dxa"/>
            <w:right w:w="108" w:type="dxa"/>
          </w:tblCellMar>
        </w:tblPrEx>
        <w:trPr>
          <w:trHeight w:val="1689" w:hRule="atLeast"/>
        </w:trPr>
        <w:tc>
          <w:tcPr>
            <w:tcW w:w="9854" w:type="dxa"/>
            <w:gridSpan w:val="2"/>
            <w:tcBorders>
              <w:left w:val="single" w:color="auto" w:sz="4" w:space="0"/>
              <w:right w:val="single" w:color="auto" w:sz="4" w:space="0"/>
            </w:tcBorders>
            <w:vAlign w:val="center"/>
          </w:tcPr>
          <w:p w14:paraId="70FDA594">
            <w:pPr>
              <w:snapToGrid w:val="0"/>
              <w:spacing w:line="400" w:lineRule="exact"/>
              <w:ind w:firstLine="4578" w:firstLineChars="1900"/>
              <w:rPr>
                <w:rFonts w:hint="eastAsia" w:ascii="仿宋" w:hAnsi="仿宋" w:eastAsia="仿宋" w:cs="宋体"/>
                <w:b/>
                <w:color w:val="auto"/>
                <w:sz w:val="24"/>
                <w:highlight w:val="none"/>
              </w:rPr>
            </w:pPr>
            <w:r>
              <w:rPr>
                <w:rFonts w:hint="eastAsia" w:ascii="仿宋" w:hAnsi="仿宋" w:eastAsia="仿宋" w:cs="宋体"/>
                <w:b/>
                <w:color w:val="auto"/>
                <w:sz w:val="24"/>
                <w:highlight w:val="none"/>
              </w:rPr>
              <w:t>/</w:t>
            </w:r>
          </w:p>
        </w:tc>
      </w:tr>
      <w:tr w14:paraId="6EED51D3">
        <w:tblPrEx>
          <w:tblCellMar>
            <w:top w:w="0" w:type="dxa"/>
            <w:left w:w="108" w:type="dxa"/>
            <w:bottom w:w="0" w:type="dxa"/>
            <w:right w:w="108" w:type="dxa"/>
          </w:tblCellMar>
        </w:tblPrEx>
        <w:trPr>
          <w:trHeight w:val="2577" w:hRule="atLeast"/>
        </w:trPr>
        <w:tc>
          <w:tcPr>
            <w:tcW w:w="4911" w:type="dxa"/>
            <w:tcBorders>
              <w:top w:val="single" w:color="auto" w:sz="4" w:space="0"/>
              <w:left w:val="single" w:color="auto" w:sz="4" w:space="0"/>
              <w:bottom w:val="single" w:color="auto" w:sz="4" w:space="0"/>
              <w:right w:val="single" w:color="auto" w:sz="4" w:space="0"/>
            </w:tcBorders>
            <w:vAlign w:val="center"/>
          </w:tcPr>
          <w:p w14:paraId="41BF02F3">
            <w:pPr>
              <w:snapToGrid w:val="0"/>
              <w:spacing w:line="400" w:lineRule="exact"/>
              <w:ind w:firstLine="482" w:firstLineChars="200"/>
              <w:rPr>
                <w:rFonts w:hint="eastAsia" w:ascii="仿宋" w:hAnsi="仿宋" w:eastAsia="仿宋" w:cs="宋体"/>
                <w:b/>
                <w:color w:val="auto"/>
                <w:sz w:val="24"/>
                <w:highlight w:val="none"/>
              </w:rPr>
            </w:pPr>
            <w:r>
              <w:rPr>
                <w:rFonts w:hint="eastAsia" w:ascii="仿宋" w:hAnsi="仿宋" w:eastAsia="仿宋" w:cs="宋体"/>
                <w:b/>
                <w:color w:val="auto"/>
                <w:sz w:val="24"/>
                <w:highlight w:val="none"/>
              </w:rPr>
              <w:t>甲方（章）</w:t>
            </w:r>
          </w:p>
          <w:p w14:paraId="57E0F174">
            <w:pPr>
              <w:snapToGrid w:val="0"/>
              <w:spacing w:line="400" w:lineRule="exact"/>
              <w:ind w:firstLine="482" w:firstLineChars="200"/>
              <w:rPr>
                <w:rFonts w:hint="eastAsia" w:ascii="仿宋" w:hAnsi="仿宋" w:eastAsia="仿宋" w:cs="宋体"/>
                <w:b/>
                <w:color w:val="auto"/>
                <w:sz w:val="24"/>
                <w:highlight w:val="none"/>
              </w:rPr>
            </w:pPr>
          </w:p>
          <w:p w14:paraId="6B9BCC6D">
            <w:pPr>
              <w:snapToGrid w:val="0"/>
              <w:spacing w:line="400" w:lineRule="exact"/>
              <w:ind w:firstLine="482" w:firstLineChars="200"/>
              <w:rPr>
                <w:rFonts w:hint="eastAsia" w:ascii="仿宋" w:hAnsi="仿宋" w:eastAsia="仿宋" w:cs="宋体"/>
                <w:b/>
                <w:color w:val="auto"/>
                <w:sz w:val="24"/>
                <w:highlight w:val="none"/>
              </w:rPr>
            </w:pPr>
          </w:p>
          <w:p w14:paraId="52FE50E8">
            <w:pPr>
              <w:snapToGrid w:val="0"/>
              <w:spacing w:line="400" w:lineRule="exact"/>
              <w:ind w:firstLine="482" w:firstLineChars="200"/>
              <w:rPr>
                <w:rFonts w:hint="eastAsia" w:ascii="仿宋" w:hAnsi="仿宋" w:eastAsia="仿宋" w:cs="宋体"/>
                <w:b/>
                <w:color w:val="auto"/>
                <w:sz w:val="24"/>
                <w:highlight w:val="none"/>
              </w:rPr>
            </w:pPr>
          </w:p>
          <w:p w14:paraId="0172AFEC">
            <w:pPr>
              <w:snapToGrid w:val="0"/>
              <w:spacing w:line="400" w:lineRule="exact"/>
              <w:ind w:firstLine="482" w:firstLineChars="200"/>
              <w:rPr>
                <w:rFonts w:hint="eastAsia" w:ascii="仿宋" w:hAnsi="仿宋" w:eastAsia="仿宋" w:cs="宋体"/>
                <w:b/>
                <w:color w:val="auto"/>
                <w:sz w:val="24"/>
                <w:highlight w:val="none"/>
              </w:rPr>
            </w:pPr>
          </w:p>
          <w:p w14:paraId="27D3A9D5">
            <w:pPr>
              <w:snapToGrid w:val="0"/>
              <w:spacing w:line="400" w:lineRule="exact"/>
              <w:ind w:firstLine="482" w:firstLineChars="200"/>
              <w:rPr>
                <w:rFonts w:hint="eastAsia" w:ascii="仿宋" w:hAnsi="仿宋" w:eastAsia="仿宋" w:cs="宋体"/>
                <w:b/>
                <w:color w:val="auto"/>
                <w:sz w:val="24"/>
                <w:highlight w:val="none"/>
              </w:rPr>
            </w:pPr>
          </w:p>
          <w:p w14:paraId="7E271396">
            <w:pPr>
              <w:snapToGrid w:val="0"/>
              <w:spacing w:line="400" w:lineRule="exact"/>
              <w:ind w:firstLine="482" w:firstLineChars="200"/>
              <w:rPr>
                <w:rFonts w:hint="eastAsia" w:ascii="仿宋" w:hAnsi="仿宋" w:eastAsia="仿宋" w:cs="宋体"/>
                <w:b/>
                <w:color w:val="auto"/>
                <w:sz w:val="24"/>
                <w:highlight w:val="none"/>
              </w:rPr>
            </w:pPr>
          </w:p>
          <w:p w14:paraId="3C276A93">
            <w:pPr>
              <w:snapToGrid w:val="0"/>
              <w:spacing w:line="400" w:lineRule="exact"/>
              <w:ind w:firstLine="482" w:firstLineChars="200"/>
              <w:rPr>
                <w:rFonts w:hint="eastAsia" w:ascii="仿宋" w:hAnsi="仿宋" w:eastAsia="仿宋" w:cs="宋体"/>
                <w:b/>
                <w:color w:val="auto"/>
                <w:sz w:val="24"/>
                <w:highlight w:val="none"/>
              </w:rPr>
            </w:pPr>
            <w:r>
              <w:rPr>
                <w:rFonts w:hint="eastAsia" w:ascii="仿宋" w:hAnsi="仿宋" w:eastAsia="仿宋" w:cs="宋体"/>
                <w:b/>
                <w:color w:val="auto"/>
                <w:sz w:val="24"/>
                <w:highlight w:val="none"/>
              </w:rPr>
              <w:t xml:space="preserve">                 年   月   日 </w:t>
            </w:r>
          </w:p>
        </w:tc>
        <w:tc>
          <w:tcPr>
            <w:tcW w:w="4943" w:type="dxa"/>
            <w:tcBorders>
              <w:top w:val="single" w:color="auto" w:sz="4" w:space="0"/>
              <w:left w:val="single" w:color="auto" w:sz="4" w:space="0"/>
              <w:bottom w:val="single" w:color="auto" w:sz="4" w:space="0"/>
              <w:right w:val="single" w:color="auto" w:sz="4" w:space="0"/>
            </w:tcBorders>
            <w:vAlign w:val="center"/>
          </w:tcPr>
          <w:p w14:paraId="4F305C0C">
            <w:pPr>
              <w:snapToGrid w:val="0"/>
              <w:spacing w:line="400" w:lineRule="exact"/>
              <w:ind w:firstLine="482" w:firstLineChars="200"/>
              <w:rPr>
                <w:rFonts w:hint="eastAsia" w:ascii="仿宋" w:hAnsi="仿宋" w:eastAsia="仿宋" w:cs="宋体"/>
                <w:b/>
                <w:color w:val="auto"/>
                <w:sz w:val="24"/>
                <w:highlight w:val="none"/>
              </w:rPr>
            </w:pPr>
            <w:r>
              <w:rPr>
                <w:rFonts w:hint="eastAsia" w:ascii="仿宋" w:hAnsi="仿宋" w:eastAsia="仿宋" w:cs="宋体"/>
                <w:b/>
                <w:color w:val="auto"/>
                <w:sz w:val="24"/>
                <w:highlight w:val="none"/>
              </w:rPr>
              <w:t>乙方（章）</w:t>
            </w:r>
          </w:p>
          <w:p w14:paraId="0D481F9D">
            <w:pPr>
              <w:snapToGrid w:val="0"/>
              <w:spacing w:line="400" w:lineRule="exact"/>
              <w:ind w:firstLine="482" w:firstLineChars="200"/>
              <w:rPr>
                <w:rFonts w:hint="eastAsia" w:ascii="仿宋" w:hAnsi="仿宋" w:eastAsia="仿宋" w:cs="宋体"/>
                <w:b/>
                <w:color w:val="auto"/>
                <w:sz w:val="24"/>
                <w:highlight w:val="none"/>
              </w:rPr>
            </w:pPr>
          </w:p>
          <w:p w14:paraId="22F1890D">
            <w:pPr>
              <w:snapToGrid w:val="0"/>
              <w:spacing w:line="400" w:lineRule="exact"/>
              <w:ind w:firstLine="482" w:firstLineChars="200"/>
              <w:rPr>
                <w:rFonts w:hint="eastAsia" w:ascii="仿宋" w:hAnsi="仿宋" w:eastAsia="仿宋" w:cs="宋体"/>
                <w:b/>
                <w:color w:val="auto"/>
                <w:sz w:val="24"/>
                <w:highlight w:val="none"/>
              </w:rPr>
            </w:pPr>
          </w:p>
          <w:p w14:paraId="27238859">
            <w:pPr>
              <w:snapToGrid w:val="0"/>
              <w:spacing w:line="400" w:lineRule="exact"/>
              <w:ind w:firstLine="482" w:firstLineChars="200"/>
              <w:rPr>
                <w:rFonts w:hint="eastAsia" w:ascii="仿宋" w:hAnsi="仿宋" w:eastAsia="仿宋" w:cs="宋体"/>
                <w:b/>
                <w:color w:val="auto"/>
                <w:sz w:val="24"/>
                <w:highlight w:val="none"/>
              </w:rPr>
            </w:pPr>
          </w:p>
          <w:p w14:paraId="193282E5">
            <w:pPr>
              <w:snapToGrid w:val="0"/>
              <w:spacing w:line="400" w:lineRule="exact"/>
              <w:ind w:firstLine="482" w:firstLineChars="200"/>
              <w:rPr>
                <w:rFonts w:hint="eastAsia" w:ascii="仿宋" w:hAnsi="仿宋" w:eastAsia="仿宋" w:cs="宋体"/>
                <w:b/>
                <w:color w:val="auto"/>
                <w:sz w:val="24"/>
                <w:highlight w:val="none"/>
              </w:rPr>
            </w:pPr>
          </w:p>
          <w:p w14:paraId="41D44663">
            <w:pPr>
              <w:snapToGrid w:val="0"/>
              <w:spacing w:line="400" w:lineRule="exact"/>
              <w:ind w:firstLine="482" w:firstLineChars="200"/>
              <w:rPr>
                <w:rFonts w:hint="eastAsia" w:ascii="仿宋" w:hAnsi="仿宋" w:eastAsia="仿宋" w:cs="宋体"/>
                <w:b/>
                <w:color w:val="auto"/>
                <w:sz w:val="24"/>
                <w:highlight w:val="none"/>
              </w:rPr>
            </w:pPr>
          </w:p>
          <w:p w14:paraId="079D0A7A">
            <w:pPr>
              <w:snapToGrid w:val="0"/>
              <w:spacing w:line="400" w:lineRule="exact"/>
              <w:ind w:firstLine="482" w:firstLineChars="200"/>
              <w:rPr>
                <w:rFonts w:hint="eastAsia" w:ascii="仿宋" w:hAnsi="仿宋" w:eastAsia="仿宋" w:cs="宋体"/>
                <w:b/>
                <w:color w:val="auto"/>
                <w:sz w:val="24"/>
                <w:highlight w:val="none"/>
              </w:rPr>
            </w:pPr>
          </w:p>
          <w:p w14:paraId="2EA79AE0">
            <w:pPr>
              <w:snapToGrid w:val="0"/>
              <w:spacing w:line="400" w:lineRule="exact"/>
              <w:ind w:firstLine="482" w:firstLineChars="200"/>
              <w:rPr>
                <w:rFonts w:hint="eastAsia" w:ascii="仿宋" w:hAnsi="仿宋" w:eastAsia="仿宋" w:cs="宋体"/>
                <w:b/>
                <w:color w:val="auto"/>
                <w:sz w:val="24"/>
                <w:highlight w:val="none"/>
              </w:rPr>
            </w:pPr>
            <w:r>
              <w:rPr>
                <w:rFonts w:hint="eastAsia" w:ascii="仿宋" w:hAnsi="仿宋" w:eastAsia="仿宋" w:cs="宋体"/>
                <w:b/>
                <w:color w:val="auto"/>
                <w:sz w:val="24"/>
                <w:highlight w:val="none"/>
              </w:rPr>
              <w:t xml:space="preserve">                年   月   日</w:t>
            </w:r>
          </w:p>
        </w:tc>
      </w:tr>
    </w:tbl>
    <w:p w14:paraId="2168EC50">
      <w:pPr>
        <w:snapToGrid w:val="0"/>
        <w:spacing w:line="400" w:lineRule="exact"/>
        <w:ind w:firstLine="480" w:firstLineChars="200"/>
        <w:rPr>
          <w:rFonts w:hint="eastAsia" w:ascii="仿宋" w:hAnsi="仿宋" w:eastAsia="仿宋" w:cs="宋体"/>
          <w:color w:val="auto"/>
          <w:szCs w:val="21"/>
          <w:highlight w:val="none"/>
        </w:rPr>
      </w:pPr>
      <w:r>
        <w:rPr>
          <w:rFonts w:hint="eastAsia" w:ascii="仿宋" w:hAnsi="仿宋" w:eastAsia="仿宋" w:cs="宋体"/>
          <w:color w:val="auto"/>
          <w:sz w:val="24"/>
          <w:highlight w:val="none"/>
        </w:rPr>
        <w:t xml:space="preserve">  注：售后服务事项填不下时可另加附页</w:t>
      </w:r>
    </w:p>
    <w:p w14:paraId="513E78D3">
      <w:pPr>
        <w:snapToGrid w:val="0"/>
        <w:rPr>
          <w:rFonts w:hint="eastAsia" w:ascii="仿宋" w:hAnsi="仿宋" w:eastAsia="仿宋" w:cs="仿宋"/>
          <w:b/>
          <w:color w:val="auto"/>
          <w:sz w:val="32"/>
          <w:szCs w:val="32"/>
          <w:highlight w:val="none"/>
        </w:rPr>
      </w:pPr>
    </w:p>
    <w:p w14:paraId="64AE2698">
      <w:pPr>
        <w:snapToGrid w:val="0"/>
        <w:jc w:val="center"/>
        <w:rPr>
          <w:rFonts w:hint="eastAsia" w:ascii="仿宋" w:hAnsi="仿宋" w:eastAsia="仿宋" w:cs="仿宋"/>
          <w:bCs/>
          <w:color w:val="auto"/>
          <w:sz w:val="32"/>
          <w:szCs w:val="32"/>
          <w:highlight w:val="none"/>
        </w:rPr>
      </w:pPr>
      <w:r>
        <w:rPr>
          <w:rFonts w:hint="eastAsia" w:ascii="仿宋" w:hAnsi="仿宋" w:eastAsia="仿宋" w:cs="仿宋"/>
          <w:b/>
          <w:color w:val="auto"/>
          <w:sz w:val="32"/>
          <w:szCs w:val="32"/>
          <w:highlight w:val="none"/>
        </w:rPr>
        <w:br w:type="page"/>
      </w:r>
    </w:p>
    <w:bookmarkEnd w:id="134"/>
    <w:p w14:paraId="080B7D4C">
      <w:pPr>
        <w:snapToGrid w:val="0"/>
        <w:spacing w:line="480" w:lineRule="auto"/>
        <w:rPr>
          <w:rFonts w:hint="eastAsia" w:ascii="仿宋" w:hAnsi="仿宋" w:eastAsia="仿宋" w:cs="仿宋"/>
          <w:bCs/>
          <w:color w:val="auto"/>
          <w:sz w:val="32"/>
          <w:szCs w:val="32"/>
          <w:highlight w:val="none"/>
        </w:rPr>
      </w:pPr>
    </w:p>
    <w:p w14:paraId="3BD28B8D">
      <w:pPr>
        <w:snapToGrid w:val="0"/>
        <w:jc w:val="center"/>
        <w:rPr>
          <w:rFonts w:hint="eastAsia" w:ascii="仿宋" w:hAnsi="仿宋" w:eastAsia="仿宋" w:cs="仿宋"/>
          <w:bCs/>
          <w:color w:val="auto"/>
          <w:sz w:val="32"/>
          <w:szCs w:val="32"/>
          <w:highlight w:val="none"/>
        </w:rPr>
      </w:pPr>
    </w:p>
    <w:p w14:paraId="174069E1">
      <w:pPr>
        <w:snapToGrid w:val="0"/>
        <w:jc w:val="center"/>
        <w:rPr>
          <w:rFonts w:hint="eastAsia" w:ascii="仿宋" w:hAnsi="仿宋" w:eastAsia="仿宋" w:cs="仿宋"/>
          <w:bCs/>
          <w:color w:val="auto"/>
          <w:sz w:val="32"/>
          <w:szCs w:val="32"/>
          <w:highlight w:val="none"/>
        </w:rPr>
      </w:pPr>
    </w:p>
    <w:p w14:paraId="1D2AA56C">
      <w:pPr>
        <w:snapToGrid w:val="0"/>
        <w:jc w:val="center"/>
        <w:rPr>
          <w:rFonts w:hint="eastAsia" w:ascii="仿宋" w:hAnsi="仿宋" w:eastAsia="仿宋" w:cs="仿宋"/>
          <w:bCs/>
          <w:color w:val="auto"/>
          <w:sz w:val="32"/>
          <w:szCs w:val="32"/>
          <w:highlight w:val="none"/>
        </w:rPr>
      </w:pPr>
    </w:p>
    <w:p w14:paraId="0818DB0F">
      <w:pPr>
        <w:snapToGrid w:val="0"/>
        <w:jc w:val="center"/>
        <w:rPr>
          <w:rFonts w:hint="eastAsia" w:ascii="仿宋" w:hAnsi="仿宋" w:eastAsia="仿宋" w:cs="仿宋"/>
          <w:bCs/>
          <w:color w:val="auto"/>
          <w:sz w:val="32"/>
          <w:szCs w:val="32"/>
          <w:highlight w:val="none"/>
        </w:rPr>
      </w:pPr>
    </w:p>
    <w:p w14:paraId="3C98721E">
      <w:pPr>
        <w:snapToGrid w:val="0"/>
        <w:jc w:val="center"/>
        <w:rPr>
          <w:rFonts w:hint="eastAsia" w:ascii="仿宋" w:hAnsi="仿宋" w:eastAsia="仿宋" w:cs="仿宋"/>
          <w:bCs/>
          <w:color w:val="auto"/>
          <w:sz w:val="32"/>
          <w:szCs w:val="32"/>
          <w:highlight w:val="none"/>
        </w:rPr>
      </w:pPr>
    </w:p>
    <w:p w14:paraId="3F5EAE0F">
      <w:pPr>
        <w:snapToGrid w:val="0"/>
        <w:jc w:val="center"/>
        <w:rPr>
          <w:rFonts w:hint="eastAsia" w:ascii="仿宋" w:hAnsi="仿宋" w:eastAsia="仿宋" w:cs="仿宋"/>
          <w:bCs/>
          <w:color w:val="auto"/>
          <w:sz w:val="32"/>
          <w:szCs w:val="32"/>
          <w:highlight w:val="none"/>
        </w:rPr>
      </w:pPr>
    </w:p>
    <w:p w14:paraId="2E484207">
      <w:pPr>
        <w:snapToGrid w:val="0"/>
        <w:jc w:val="center"/>
        <w:rPr>
          <w:rFonts w:hint="eastAsia" w:ascii="仿宋" w:hAnsi="仿宋" w:eastAsia="仿宋" w:cs="仿宋"/>
          <w:bCs/>
          <w:color w:val="auto"/>
          <w:sz w:val="32"/>
          <w:szCs w:val="32"/>
          <w:highlight w:val="none"/>
        </w:rPr>
      </w:pPr>
    </w:p>
    <w:p w14:paraId="2519D273">
      <w:pPr>
        <w:snapToGrid w:val="0"/>
        <w:jc w:val="center"/>
        <w:rPr>
          <w:rFonts w:hint="eastAsia" w:ascii="仿宋" w:hAnsi="仿宋" w:eastAsia="仿宋" w:cs="仿宋"/>
          <w:bCs/>
          <w:color w:val="auto"/>
          <w:sz w:val="32"/>
          <w:szCs w:val="32"/>
          <w:highlight w:val="none"/>
        </w:rPr>
      </w:pPr>
    </w:p>
    <w:p w14:paraId="6AAB3953">
      <w:pPr>
        <w:snapToGrid w:val="0"/>
        <w:jc w:val="center"/>
        <w:rPr>
          <w:rFonts w:hint="eastAsia" w:ascii="仿宋" w:hAnsi="仿宋" w:eastAsia="仿宋" w:cs="仿宋"/>
          <w:bCs/>
          <w:color w:val="auto"/>
          <w:sz w:val="32"/>
          <w:szCs w:val="32"/>
          <w:highlight w:val="none"/>
        </w:rPr>
      </w:pPr>
    </w:p>
    <w:p w14:paraId="45C32428">
      <w:pPr>
        <w:snapToGrid w:val="0"/>
        <w:jc w:val="center"/>
        <w:rPr>
          <w:rFonts w:hint="eastAsia" w:ascii="仿宋" w:hAnsi="仿宋" w:eastAsia="仿宋" w:cs="仿宋"/>
          <w:bCs/>
          <w:color w:val="auto"/>
          <w:sz w:val="32"/>
          <w:szCs w:val="32"/>
          <w:highlight w:val="none"/>
        </w:rPr>
      </w:pPr>
    </w:p>
    <w:p w14:paraId="6A4EE7CC">
      <w:pPr>
        <w:snapToGrid w:val="0"/>
        <w:jc w:val="center"/>
        <w:rPr>
          <w:rFonts w:hint="eastAsia" w:ascii="仿宋" w:hAnsi="仿宋" w:eastAsia="仿宋" w:cs="仿宋"/>
          <w:bCs/>
          <w:color w:val="auto"/>
          <w:sz w:val="32"/>
          <w:szCs w:val="32"/>
          <w:highlight w:val="none"/>
        </w:rPr>
      </w:pPr>
    </w:p>
    <w:p w14:paraId="701F7212">
      <w:pPr>
        <w:pStyle w:val="3"/>
        <w:keepNext w:val="0"/>
        <w:keepLines w:val="0"/>
        <w:jc w:val="center"/>
        <w:rPr>
          <w:rFonts w:hint="eastAsia" w:ascii="仿宋" w:hAnsi="仿宋" w:eastAsia="仿宋" w:cs="仿宋"/>
          <w:color w:val="auto"/>
          <w:highlight w:val="none"/>
        </w:rPr>
      </w:pPr>
      <w:bookmarkStart w:id="140" w:name="_Toc32307"/>
      <w:r>
        <w:rPr>
          <w:rFonts w:hint="eastAsia" w:ascii="仿宋" w:hAnsi="仿宋" w:eastAsia="仿宋" w:cs="仿宋"/>
          <w:color w:val="auto"/>
          <w:highlight w:val="none"/>
        </w:rPr>
        <w:t>第六章 投标文件格式</w:t>
      </w:r>
      <w:bookmarkEnd w:id="140"/>
    </w:p>
    <w:p w14:paraId="01680B23">
      <w:pPr>
        <w:snapToGrid w:val="0"/>
        <w:spacing w:before="50" w:after="50"/>
        <w:outlineLvl w:val="1"/>
        <w:rPr>
          <w:rFonts w:hint="eastAsia" w:ascii="仿宋" w:hAnsi="仿宋" w:eastAsia="仿宋" w:cs="仿宋"/>
          <w:color w:val="auto"/>
          <w:sz w:val="32"/>
          <w:szCs w:val="20"/>
          <w:highlight w:val="none"/>
        </w:rPr>
      </w:pPr>
    </w:p>
    <w:p w14:paraId="0F7FF517">
      <w:pPr>
        <w:snapToGrid w:val="0"/>
        <w:spacing w:before="50" w:after="50"/>
        <w:outlineLvl w:val="1"/>
        <w:rPr>
          <w:rFonts w:hint="eastAsia" w:ascii="仿宋" w:hAnsi="仿宋" w:eastAsia="仿宋" w:cs="仿宋"/>
          <w:color w:val="auto"/>
          <w:sz w:val="32"/>
          <w:szCs w:val="20"/>
          <w:highlight w:val="none"/>
        </w:rPr>
      </w:pPr>
    </w:p>
    <w:p w14:paraId="3AEA2FC0">
      <w:pPr>
        <w:snapToGrid w:val="0"/>
        <w:spacing w:before="50" w:after="50"/>
        <w:outlineLvl w:val="1"/>
        <w:rPr>
          <w:rFonts w:hint="eastAsia" w:ascii="仿宋" w:hAnsi="仿宋" w:eastAsia="仿宋" w:cs="仿宋"/>
          <w:color w:val="auto"/>
          <w:sz w:val="32"/>
          <w:szCs w:val="20"/>
          <w:highlight w:val="none"/>
        </w:rPr>
      </w:pPr>
    </w:p>
    <w:p w14:paraId="4536A72A">
      <w:pPr>
        <w:snapToGrid w:val="0"/>
        <w:spacing w:before="50" w:after="50"/>
        <w:outlineLvl w:val="1"/>
        <w:rPr>
          <w:rFonts w:hint="eastAsia" w:ascii="仿宋" w:hAnsi="仿宋" w:eastAsia="仿宋" w:cs="仿宋"/>
          <w:color w:val="auto"/>
          <w:sz w:val="32"/>
          <w:szCs w:val="20"/>
          <w:highlight w:val="none"/>
        </w:rPr>
      </w:pPr>
    </w:p>
    <w:p w14:paraId="5CB7C049">
      <w:pPr>
        <w:snapToGrid w:val="0"/>
        <w:spacing w:before="50" w:after="50"/>
        <w:outlineLvl w:val="1"/>
        <w:rPr>
          <w:rFonts w:hint="eastAsia" w:ascii="仿宋" w:hAnsi="仿宋" w:eastAsia="仿宋" w:cs="仿宋"/>
          <w:color w:val="auto"/>
          <w:sz w:val="32"/>
          <w:szCs w:val="20"/>
          <w:highlight w:val="none"/>
        </w:rPr>
      </w:pPr>
    </w:p>
    <w:p w14:paraId="10589C0B">
      <w:pPr>
        <w:snapToGrid w:val="0"/>
        <w:spacing w:before="50" w:after="50"/>
        <w:outlineLvl w:val="1"/>
        <w:rPr>
          <w:rFonts w:hint="eastAsia" w:ascii="仿宋" w:hAnsi="仿宋" w:eastAsia="仿宋" w:cs="仿宋"/>
          <w:color w:val="auto"/>
          <w:sz w:val="32"/>
          <w:szCs w:val="20"/>
          <w:highlight w:val="none"/>
        </w:rPr>
      </w:pPr>
    </w:p>
    <w:p w14:paraId="32671E93">
      <w:pPr>
        <w:snapToGrid w:val="0"/>
        <w:spacing w:before="50" w:after="50"/>
        <w:outlineLvl w:val="1"/>
        <w:rPr>
          <w:rFonts w:hint="eastAsia" w:ascii="仿宋" w:hAnsi="仿宋" w:eastAsia="仿宋" w:cs="仿宋"/>
          <w:color w:val="auto"/>
          <w:sz w:val="32"/>
          <w:szCs w:val="20"/>
          <w:highlight w:val="none"/>
        </w:rPr>
      </w:pPr>
    </w:p>
    <w:p w14:paraId="390CB94E">
      <w:pPr>
        <w:snapToGrid w:val="0"/>
        <w:spacing w:before="50" w:after="50"/>
        <w:outlineLvl w:val="1"/>
        <w:rPr>
          <w:rFonts w:hint="eastAsia" w:ascii="仿宋" w:hAnsi="仿宋" w:eastAsia="仿宋" w:cs="仿宋"/>
          <w:color w:val="auto"/>
          <w:sz w:val="32"/>
          <w:szCs w:val="20"/>
          <w:highlight w:val="none"/>
        </w:rPr>
      </w:pPr>
    </w:p>
    <w:p w14:paraId="382DBF40">
      <w:pPr>
        <w:snapToGrid w:val="0"/>
        <w:spacing w:before="50" w:after="50"/>
        <w:outlineLvl w:val="1"/>
        <w:rPr>
          <w:rFonts w:hint="eastAsia" w:ascii="仿宋" w:hAnsi="仿宋" w:eastAsia="仿宋" w:cs="仿宋"/>
          <w:color w:val="auto"/>
          <w:sz w:val="32"/>
          <w:szCs w:val="20"/>
          <w:highlight w:val="none"/>
        </w:rPr>
      </w:pPr>
    </w:p>
    <w:p w14:paraId="4E0ED2E4">
      <w:pPr>
        <w:snapToGrid w:val="0"/>
        <w:spacing w:before="50" w:after="50"/>
        <w:outlineLvl w:val="1"/>
        <w:rPr>
          <w:rFonts w:hint="eastAsia" w:ascii="仿宋" w:hAnsi="仿宋" w:eastAsia="仿宋" w:cs="仿宋"/>
          <w:color w:val="auto"/>
          <w:sz w:val="32"/>
          <w:szCs w:val="20"/>
          <w:highlight w:val="none"/>
        </w:rPr>
      </w:pPr>
    </w:p>
    <w:p w14:paraId="29BD4A19">
      <w:pPr>
        <w:snapToGrid w:val="0"/>
        <w:spacing w:before="50" w:after="50"/>
        <w:outlineLvl w:val="1"/>
        <w:rPr>
          <w:rFonts w:hint="eastAsia" w:ascii="仿宋" w:hAnsi="仿宋" w:eastAsia="仿宋" w:cs="仿宋"/>
          <w:color w:val="auto"/>
          <w:sz w:val="32"/>
          <w:szCs w:val="20"/>
          <w:highlight w:val="none"/>
        </w:rPr>
      </w:pPr>
    </w:p>
    <w:p w14:paraId="5DD06FAE">
      <w:pPr>
        <w:snapToGrid w:val="0"/>
        <w:spacing w:before="50" w:after="50"/>
        <w:outlineLvl w:val="1"/>
        <w:rPr>
          <w:rFonts w:hint="eastAsia" w:ascii="仿宋" w:hAnsi="仿宋" w:eastAsia="仿宋" w:cs="仿宋"/>
          <w:color w:val="auto"/>
          <w:sz w:val="32"/>
          <w:szCs w:val="20"/>
          <w:highlight w:val="none"/>
        </w:rPr>
      </w:pPr>
    </w:p>
    <w:p w14:paraId="205954CF">
      <w:pPr>
        <w:snapToGrid w:val="0"/>
        <w:spacing w:before="50" w:after="50"/>
        <w:outlineLvl w:val="1"/>
        <w:rPr>
          <w:rFonts w:hint="eastAsia" w:ascii="仿宋" w:hAnsi="仿宋" w:eastAsia="仿宋" w:cs="仿宋"/>
          <w:color w:val="auto"/>
          <w:sz w:val="32"/>
          <w:szCs w:val="20"/>
          <w:highlight w:val="none"/>
        </w:rPr>
      </w:pPr>
    </w:p>
    <w:p w14:paraId="1E174093">
      <w:pPr>
        <w:pageBreakBefore/>
        <w:spacing w:line="460" w:lineRule="exact"/>
        <w:jc w:val="center"/>
        <w:rPr>
          <w:rFonts w:hint="eastAsia" w:ascii="仿宋_GB2312" w:hAnsi="仿宋_GB2312" w:eastAsia="仿宋_GB2312" w:cs="仿宋_GB2312"/>
          <w:b/>
          <w:color w:val="auto"/>
          <w:sz w:val="36"/>
          <w:szCs w:val="36"/>
          <w:highlight w:val="none"/>
        </w:rPr>
      </w:pPr>
      <w:bookmarkStart w:id="141" w:name="_Toc254970556"/>
      <w:bookmarkStart w:id="142" w:name="_Toc19686835"/>
      <w:bookmarkStart w:id="143" w:name="_Toc254970697"/>
      <w:r>
        <w:rPr>
          <w:rFonts w:hint="eastAsia" w:ascii="仿宋_GB2312" w:hAnsi="仿宋_GB2312" w:eastAsia="仿宋_GB2312" w:cs="仿宋_GB2312"/>
          <w:b/>
          <w:color w:val="auto"/>
          <w:sz w:val="36"/>
          <w:szCs w:val="36"/>
          <w:highlight w:val="none"/>
        </w:rPr>
        <w:t>投标人提交电子投标文件须知</w:t>
      </w:r>
    </w:p>
    <w:p w14:paraId="7D1503CB">
      <w:pPr>
        <w:adjustRightInd w:val="0"/>
        <w:snapToGrid w:val="0"/>
        <w:spacing w:line="460" w:lineRule="exact"/>
        <w:ind w:firstLine="480" w:firstLineChars="200"/>
        <w:jc w:val="left"/>
        <w:rPr>
          <w:rFonts w:hint="eastAsia" w:ascii="仿宋_GB2312" w:hAnsi="仿宋_GB2312" w:eastAsia="仿宋_GB2312" w:cs="仿宋_GB2312"/>
          <w:bCs/>
          <w:color w:val="auto"/>
          <w:sz w:val="24"/>
          <w:highlight w:val="none"/>
        </w:rPr>
      </w:pPr>
    </w:p>
    <w:p w14:paraId="2A3F6C06">
      <w:pPr>
        <w:adjustRightInd w:val="0"/>
        <w:snapToGrid w:val="0"/>
        <w:spacing w:line="420" w:lineRule="exact"/>
        <w:ind w:firstLine="48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参与电子标的投标人必须为广西政府采购云平台的正式供应商且申领CA证书，各供应商应在开标前及时完成平台注册、CA证书申领、CA证书绑定、下载投标客户端，熟悉并掌握政采云电子标系统操作。</w:t>
      </w:r>
    </w:p>
    <w:p w14:paraId="5E1FDD99">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一、投标人应保证全部声明和问题的回答是真实的和准确的。</w:t>
      </w:r>
    </w:p>
    <w:p w14:paraId="07851200">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二、评标委员会将应用投标人递交的资料作出自己的判断。</w:t>
      </w:r>
    </w:p>
    <w:p w14:paraId="17102E31">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三、投标人递交的材料将在一定期限内被保密保存，不予退还。</w:t>
      </w:r>
    </w:p>
    <w:p w14:paraId="62C8DD5F">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四、电子投标文件编制格式及规范要求：</w:t>
      </w:r>
    </w:p>
    <w:p w14:paraId="4EE181F8">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（一）投标文件应使用政采云电子投标客户端软件，并按照本公开招标文件和广西政府采购云平台要求编制并加密投标文件。未按规定加密的投标文件，广西政府采购云平台将拒收。</w:t>
      </w:r>
    </w:p>
    <w:p w14:paraId="3C43D59F">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（二）投标文件制作并加密完成后应在广西政府采购云平台上传完成。</w:t>
      </w:r>
    </w:p>
    <w:p w14:paraId="1166F607">
      <w:pPr>
        <w:adjustRightInd w:val="0"/>
        <w:snapToGrid w:val="0"/>
        <w:spacing w:line="420" w:lineRule="exact"/>
        <w:ind w:firstLine="482" w:firstLineChars="20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（三）投标文件应使用CA证书进行电子签章。在签章时，投标人应注意CA电子签章的位置，如因CA电子签章遮挡重要、关键信息导致评标委员会作出对投标人不利评审的，后果由投标人负责。</w:t>
      </w:r>
    </w:p>
    <w:p w14:paraId="35F92609">
      <w:pPr>
        <w:adjustRightInd w:val="0"/>
        <w:snapToGrid w:val="0"/>
        <w:spacing w:line="420" w:lineRule="exact"/>
        <w:ind w:firstLine="482" w:firstLineChars="20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（四）投标人应准确设置评审关联点。未设置或设置错误导致投标文件被误读、漏读或者查找不到相关内容的，是投标人的责任。</w:t>
      </w:r>
    </w:p>
    <w:p w14:paraId="323509A7">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（五）投标文件所提供的相关材料的尺寸和清晰度应该能够在电脑上被阅读、识别和判断。</w:t>
      </w:r>
    </w:p>
    <w:p w14:paraId="37C0121A">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（六）投标文件内容无法阅读、识别和判断的，视为未提供。</w:t>
      </w:r>
    </w:p>
    <w:p w14:paraId="5E833F64">
      <w:pPr>
        <w:adjustRightInd w:val="0"/>
        <w:snapToGrid w:val="0"/>
        <w:spacing w:line="420" w:lineRule="exact"/>
        <w:ind w:firstLine="480" w:firstLineChars="20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（七）投标文件的容量大小须符合广西政府采购云平台规定。</w:t>
      </w:r>
    </w:p>
    <w:p w14:paraId="6C23D843">
      <w:pPr>
        <w:adjustRightInd w:val="0"/>
        <w:snapToGrid w:val="0"/>
        <w:spacing w:line="42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五、投标人在使用广西政府采购云平台进行投标过程中遇到涉及平台使用的任何问题，可致电平台技术支持热线咨询，联系方式：95763。</w:t>
      </w:r>
    </w:p>
    <w:p w14:paraId="362C62A0">
      <w:pPr>
        <w:snapToGrid w:val="0"/>
        <w:spacing w:line="420" w:lineRule="exact"/>
        <w:ind w:firstLine="482" w:firstLineChars="200"/>
        <w:jc w:val="left"/>
        <w:rPr>
          <w:rFonts w:hint="eastAsia" w:ascii="仿宋_GB2312" w:hAnsi="宋体" w:eastAsia="仿宋_GB2312"/>
          <w:b/>
          <w:bCs/>
          <w:color w:val="auto"/>
          <w:sz w:val="24"/>
          <w:highlight w:val="none"/>
        </w:rPr>
      </w:pPr>
      <w:r>
        <w:rPr>
          <w:rFonts w:hint="eastAsia" w:ascii="仿宋_GB2312" w:hAnsi="宋体" w:eastAsia="仿宋_GB2312"/>
          <w:b/>
          <w:bCs/>
          <w:color w:val="auto"/>
          <w:sz w:val="24"/>
          <w:highlight w:val="none"/>
        </w:rPr>
        <w:t>六、特别说明</w:t>
      </w:r>
    </w:p>
    <w:p w14:paraId="5FD05756">
      <w:pPr>
        <w:adjustRightInd w:val="0"/>
        <w:snapToGrid w:val="0"/>
        <w:spacing w:line="42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（一）投标文件中须加盖公章部分均采用投标人CA电子签章，否则视为投标无效。</w:t>
      </w:r>
    </w:p>
    <w:p w14:paraId="56B35575">
      <w:pPr>
        <w:adjustRightInd w:val="0"/>
        <w:snapToGrid w:val="0"/>
        <w:spacing w:line="420" w:lineRule="exact"/>
        <w:ind w:firstLine="482" w:firstLineChars="200"/>
        <w:jc w:val="left"/>
        <w:rPr>
          <w:rFonts w:ascii="仿宋_GB2312" w:eastAsia="仿宋_GB2312"/>
          <w:b/>
          <w:color w:val="auto"/>
          <w:sz w:val="24"/>
          <w:highlight w:val="none"/>
        </w:rPr>
      </w:pPr>
      <w:r>
        <w:rPr>
          <w:rFonts w:hint="eastAsia" w:ascii="仿宋_GB2312" w:hAnsi="仿宋_GB2312" w:eastAsia="仿宋_GB2312" w:cs="仿宋_GB2312"/>
          <w:b/>
          <w:color w:val="auto"/>
          <w:sz w:val="24"/>
          <w:highlight w:val="none"/>
        </w:rPr>
        <w:t>（二）公开招标文件要求由法定代表人（负责人、自然人）或委托代理人签字的材料，</w:t>
      </w:r>
      <w:r>
        <w:rPr>
          <w:rFonts w:hint="eastAsia" w:ascii="仿宋_GB2312" w:eastAsia="仿宋_GB2312"/>
          <w:b/>
          <w:bCs/>
          <w:color w:val="auto"/>
          <w:sz w:val="24"/>
          <w:highlight w:val="none"/>
        </w:rPr>
        <w:t>若</w:t>
      </w:r>
      <w:r>
        <w:rPr>
          <w:rFonts w:hint="eastAsia" w:ascii="仿宋_GB2312" w:hAnsi="宋体" w:eastAsia="仿宋_GB2312"/>
          <w:b/>
          <w:bCs/>
          <w:color w:val="auto"/>
          <w:sz w:val="24"/>
          <w:highlight w:val="none"/>
        </w:rPr>
        <w:t>政采云电子投标客户端的CA证书无法实现</w:t>
      </w:r>
      <w:r>
        <w:rPr>
          <w:rFonts w:hint="eastAsia" w:ascii="仿宋_GB2312" w:eastAsia="仿宋_GB2312"/>
          <w:b/>
          <w:bCs/>
          <w:color w:val="auto"/>
          <w:sz w:val="24"/>
          <w:highlight w:val="none"/>
        </w:rPr>
        <w:t>法定代表人（负责人、自然人）或授权委托代理人线上亲笔签字，投标人应在线下完成亲笔签字后以PDF格式上传，</w:t>
      </w:r>
      <w:r>
        <w:rPr>
          <w:rFonts w:hint="eastAsia" w:ascii="仿宋_GB2312" w:eastAsia="仿宋_GB2312"/>
          <w:b/>
          <w:color w:val="auto"/>
          <w:sz w:val="24"/>
          <w:highlight w:val="none"/>
        </w:rPr>
        <w:t>否则视为投标无效。</w:t>
      </w:r>
    </w:p>
    <w:p w14:paraId="38E253D4">
      <w:pPr>
        <w:snapToGrid w:val="0"/>
        <w:spacing w:before="50" w:after="50"/>
        <w:outlineLvl w:val="1"/>
        <w:rPr>
          <w:rFonts w:ascii="仿宋_GB2312" w:eastAsia="仿宋_GB2312"/>
          <w:b/>
          <w:color w:val="auto"/>
          <w:sz w:val="24"/>
          <w:highlight w:val="none"/>
        </w:rPr>
      </w:pPr>
    </w:p>
    <w:p w14:paraId="5DB6BC30">
      <w:pPr>
        <w:snapToGrid w:val="0"/>
        <w:spacing w:before="50" w:after="50"/>
        <w:outlineLvl w:val="1"/>
        <w:rPr>
          <w:rFonts w:ascii="仿宋_GB2312" w:eastAsia="仿宋_GB2312"/>
          <w:b/>
          <w:color w:val="auto"/>
          <w:sz w:val="24"/>
          <w:highlight w:val="none"/>
        </w:rPr>
      </w:pPr>
    </w:p>
    <w:p w14:paraId="465E64EA">
      <w:pPr>
        <w:snapToGrid w:val="0"/>
        <w:spacing w:before="50" w:after="50"/>
        <w:outlineLvl w:val="1"/>
        <w:rPr>
          <w:rFonts w:ascii="仿宋_GB2312" w:eastAsia="仿宋_GB2312"/>
          <w:b/>
          <w:color w:val="auto"/>
          <w:sz w:val="24"/>
          <w:highlight w:val="none"/>
        </w:rPr>
      </w:pPr>
    </w:p>
    <w:p w14:paraId="2E5238EE">
      <w:pPr>
        <w:snapToGrid w:val="0"/>
        <w:spacing w:before="50" w:after="50"/>
        <w:outlineLvl w:val="1"/>
        <w:rPr>
          <w:rFonts w:ascii="仿宋_GB2312" w:eastAsia="仿宋_GB2312"/>
          <w:b/>
          <w:color w:val="auto"/>
          <w:sz w:val="24"/>
          <w:highlight w:val="none"/>
        </w:rPr>
      </w:pPr>
    </w:p>
    <w:p w14:paraId="235EC6B9">
      <w:pPr>
        <w:snapToGrid w:val="0"/>
        <w:spacing w:before="50" w:after="50"/>
        <w:outlineLvl w:val="1"/>
        <w:rPr>
          <w:rFonts w:ascii="仿宋_GB2312" w:eastAsia="仿宋_GB2312"/>
          <w:b/>
          <w:color w:val="auto"/>
          <w:sz w:val="24"/>
          <w:highlight w:val="none"/>
        </w:rPr>
      </w:pPr>
    </w:p>
    <w:p w14:paraId="05FA6CE5">
      <w:pPr>
        <w:snapToGrid w:val="0"/>
        <w:spacing w:before="50" w:after="50"/>
        <w:outlineLvl w:val="1"/>
        <w:rPr>
          <w:rFonts w:ascii="仿宋_GB2312" w:eastAsia="仿宋_GB2312"/>
          <w:b/>
          <w:color w:val="auto"/>
          <w:sz w:val="24"/>
          <w:highlight w:val="none"/>
        </w:rPr>
      </w:pPr>
    </w:p>
    <w:p w14:paraId="73303DD1">
      <w:pPr>
        <w:snapToGrid w:val="0"/>
        <w:spacing w:before="50" w:after="50"/>
        <w:outlineLvl w:val="1"/>
        <w:rPr>
          <w:rFonts w:ascii="仿宋_GB2312" w:eastAsia="仿宋_GB2312"/>
          <w:b/>
          <w:color w:val="auto"/>
          <w:sz w:val="24"/>
          <w:highlight w:val="none"/>
        </w:rPr>
      </w:pPr>
    </w:p>
    <w:p w14:paraId="1CC076B6">
      <w:pPr>
        <w:snapToGrid w:val="0"/>
        <w:spacing w:before="50" w:after="50"/>
        <w:outlineLvl w:val="1"/>
        <w:rPr>
          <w:rFonts w:hint="eastAsia" w:ascii="仿宋" w:hAnsi="仿宋" w:eastAsia="仿宋" w:cs="仿宋"/>
          <w:b/>
          <w:bCs/>
          <w:color w:val="auto"/>
          <w:sz w:val="28"/>
          <w:szCs w:val="28"/>
          <w:highlight w:val="none"/>
        </w:rPr>
      </w:pPr>
    </w:p>
    <w:p w14:paraId="1E96DA4B">
      <w:pPr>
        <w:snapToGrid w:val="0"/>
        <w:spacing w:before="50" w:after="50"/>
        <w:outlineLvl w:val="1"/>
        <w:rPr>
          <w:rFonts w:hint="eastAsia" w:ascii="仿宋" w:hAnsi="仿宋" w:eastAsia="仿宋" w:cs="仿宋"/>
          <w:b/>
          <w:bCs/>
          <w:color w:val="auto"/>
          <w:sz w:val="28"/>
          <w:szCs w:val="28"/>
          <w:highlight w:val="none"/>
        </w:rPr>
      </w:pPr>
      <w:bookmarkStart w:id="144" w:name="_Toc10717"/>
      <w:r>
        <w:rPr>
          <w:rFonts w:hint="eastAsia" w:ascii="仿宋" w:hAnsi="仿宋" w:eastAsia="仿宋" w:cs="仿宋"/>
          <w:b/>
          <w:bCs/>
          <w:color w:val="auto"/>
          <w:sz w:val="28"/>
          <w:szCs w:val="28"/>
          <w:highlight w:val="none"/>
        </w:rPr>
        <w:t>一、投标文件外层包装封面格式</w:t>
      </w:r>
      <w:bookmarkEnd w:id="141"/>
      <w:bookmarkEnd w:id="142"/>
      <w:bookmarkEnd w:id="143"/>
      <w:bookmarkEnd w:id="144"/>
      <w:r>
        <w:rPr>
          <w:rFonts w:hint="eastAsia" w:ascii="仿宋" w:hAnsi="仿宋" w:eastAsia="仿宋" w:cs="仿宋"/>
          <w:b/>
          <w:color w:val="auto"/>
          <w:sz w:val="28"/>
          <w:szCs w:val="28"/>
          <w:highlight w:val="none"/>
        </w:rPr>
        <w:t xml:space="preserve"> </w:t>
      </w:r>
    </w:p>
    <w:p w14:paraId="1C412F3D">
      <w:pPr>
        <w:snapToGrid w:val="0"/>
        <w:spacing w:before="156" w:beforeLines="50" w:after="50"/>
        <w:rPr>
          <w:rFonts w:hint="eastAsia" w:ascii="仿宋" w:hAnsi="仿宋" w:eastAsia="仿宋" w:cs="仿宋"/>
          <w:color w:val="auto"/>
          <w:sz w:val="24"/>
          <w:szCs w:val="20"/>
          <w:highlight w:val="none"/>
        </w:rPr>
      </w:pPr>
    </w:p>
    <w:p w14:paraId="0BBDEF49">
      <w:pPr>
        <w:snapToGrid w:val="0"/>
        <w:spacing w:before="156" w:beforeLines="50" w:after="50"/>
        <w:jc w:val="center"/>
        <w:rPr>
          <w:rFonts w:hint="eastAsia" w:ascii="仿宋" w:hAnsi="仿宋" w:eastAsia="仿宋" w:cs="仿宋"/>
          <w:bCs/>
          <w:color w:val="auto"/>
          <w:sz w:val="24"/>
          <w:szCs w:val="20"/>
          <w:highlight w:val="none"/>
        </w:rPr>
      </w:pPr>
    </w:p>
    <w:p w14:paraId="109178DF">
      <w:pPr>
        <w:snapToGrid w:val="0"/>
        <w:spacing w:before="156" w:beforeLines="50" w:after="5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投 标 文 件</w:t>
      </w:r>
    </w:p>
    <w:p w14:paraId="37D6C314">
      <w:pPr>
        <w:snapToGrid w:val="0"/>
        <w:spacing w:before="156" w:beforeLines="50" w:after="50"/>
        <w:rPr>
          <w:rFonts w:hint="eastAsia" w:ascii="仿宋" w:hAnsi="仿宋" w:eastAsia="仿宋" w:cs="仿宋"/>
          <w:bCs/>
          <w:color w:val="auto"/>
          <w:sz w:val="24"/>
          <w:szCs w:val="20"/>
          <w:highlight w:val="none"/>
        </w:rPr>
      </w:pPr>
    </w:p>
    <w:p w14:paraId="4506955B">
      <w:pPr>
        <w:snapToGrid w:val="0"/>
        <w:spacing w:before="156" w:beforeLines="50" w:after="50"/>
        <w:rPr>
          <w:rFonts w:hint="eastAsia" w:ascii="仿宋" w:hAnsi="仿宋" w:eastAsia="仿宋" w:cs="仿宋"/>
          <w:bCs/>
          <w:color w:val="auto"/>
          <w:sz w:val="24"/>
          <w:szCs w:val="20"/>
          <w:highlight w:val="none"/>
        </w:rPr>
      </w:pPr>
    </w:p>
    <w:p w14:paraId="289C9BA7">
      <w:pPr>
        <w:snapToGrid w:val="0"/>
        <w:spacing w:before="156" w:beforeLines="50" w:after="50"/>
        <w:rPr>
          <w:rFonts w:hint="eastAsia" w:ascii="仿宋" w:hAnsi="仿宋" w:eastAsia="仿宋" w:cs="仿宋"/>
          <w:bCs/>
          <w:color w:val="auto"/>
          <w:sz w:val="24"/>
          <w:szCs w:val="20"/>
          <w:highlight w:val="none"/>
        </w:rPr>
      </w:pPr>
    </w:p>
    <w:p w14:paraId="1B0C161C">
      <w:pPr>
        <w:snapToGrid w:val="0"/>
        <w:spacing w:before="156" w:beforeLines="50" w:after="50"/>
        <w:rPr>
          <w:rFonts w:hint="eastAsia" w:ascii="仿宋" w:hAnsi="仿宋" w:eastAsia="仿宋" w:cs="仿宋"/>
          <w:bCs/>
          <w:color w:val="auto"/>
          <w:sz w:val="24"/>
          <w:szCs w:val="20"/>
          <w:highlight w:val="none"/>
        </w:rPr>
      </w:pPr>
    </w:p>
    <w:p w14:paraId="39B8EBBE">
      <w:pPr>
        <w:snapToGrid w:val="0"/>
        <w:spacing w:before="156" w:beforeLines="50" w:after="50"/>
        <w:rPr>
          <w:rFonts w:hint="eastAsia" w:ascii="仿宋" w:hAnsi="仿宋" w:eastAsia="仿宋" w:cs="仿宋"/>
          <w:bCs/>
          <w:color w:val="auto"/>
          <w:sz w:val="24"/>
          <w:szCs w:val="20"/>
          <w:highlight w:val="none"/>
        </w:rPr>
      </w:pPr>
    </w:p>
    <w:p w14:paraId="06389B03">
      <w:pPr>
        <w:snapToGrid w:val="0"/>
        <w:spacing w:before="156" w:beforeLines="50" w:after="50"/>
        <w:rPr>
          <w:rFonts w:hint="eastAsia" w:ascii="仿宋" w:hAnsi="仿宋" w:eastAsia="仿宋" w:cs="仿宋"/>
          <w:bCs/>
          <w:color w:val="auto"/>
          <w:sz w:val="24"/>
          <w:szCs w:val="20"/>
          <w:highlight w:val="none"/>
        </w:rPr>
      </w:pPr>
    </w:p>
    <w:p w14:paraId="449F8467">
      <w:pPr>
        <w:snapToGrid w:val="0"/>
        <w:spacing w:before="156" w:beforeLines="50" w:after="50"/>
        <w:ind w:firstLine="360" w:firstLineChars="15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项目名称：</w:t>
      </w:r>
    </w:p>
    <w:p w14:paraId="36A733BE">
      <w:pPr>
        <w:snapToGrid w:val="0"/>
        <w:spacing w:before="156" w:beforeLines="50" w:after="50"/>
        <w:ind w:firstLine="360" w:firstLineChars="150"/>
        <w:rPr>
          <w:rFonts w:hint="eastAsia" w:ascii="仿宋" w:hAnsi="仿宋" w:eastAsia="仿宋" w:cs="仿宋"/>
          <w:bCs/>
          <w:color w:val="auto"/>
          <w:sz w:val="24"/>
          <w:szCs w:val="20"/>
          <w:highlight w:val="none"/>
        </w:rPr>
      </w:pPr>
    </w:p>
    <w:p w14:paraId="4778CF13">
      <w:pPr>
        <w:snapToGrid w:val="0"/>
        <w:spacing w:before="156" w:beforeLines="50" w:after="50"/>
        <w:ind w:firstLine="360" w:firstLineChars="15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项目编号：</w:t>
      </w:r>
    </w:p>
    <w:p w14:paraId="00ACD796">
      <w:pPr>
        <w:snapToGrid w:val="0"/>
        <w:spacing w:before="156" w:beforeLines="50" w:after="50"/>
        <w:ind w:firstLine="360" w:firstLineChars="150"/>
        <w:rPr>
          <w:rFonts w:hint="eastAsia" w:ascii="仿宋" w:hAnsi="仿宋" w:eastAsia="仿宋" w:cs="仿宋"/>
          <w:bCs/>
          <w:color w:val="auto"/>
          <w:sz w:val="24"/>
          <w:szCs w:val="20"/>
          <w:highlight w:val="none"/>
        </w:rPr>
      </w:pPr>
    </w:p>
    <w:p w14:paraId="01D73424">
      <w:pPr>
        <w:snapToGrid w:val="0"/>
        <w:spacing w:before="156" w:beforeLines="50" w:after="50"/>
        <w:ind w:firstLine="360" w:firstLineChars="15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所投分标：</w:t>
      </w:r>
    </w:p>
    <w:p w14:paraId="37F807B8">
      <w:pPr>
        <w:snapToGrid w:val="0"/>
        <w:spacing w:before="156" w:beforeLines="50" w:after="50"/>
        <w:rPr>
          <w:rFonts w:hint="eastAsia" w:ascii="仿宋" w:hAnsi="仿宋" w:eastAsia="仿宋" w:cs="仿宋"/>
          <w:bCs/>
          <w:color w:val="auto"/>
          <w:sz w:val="24"/>
          <w:szCs w:val="20"/>
          <w:highlight w:val="none"/>
        </w:rPr>
      </w:pPr>
    </w:p>
    <w:p w14:paraId="414CFD7D">
      <w:pPr>
        <w:snapToGrid w:val="0"/>
        <w:spacing w:before="156" w:beforeLines="50" w:after="50"/>
        <w:ind w:firstLine="360" w:firstLineChars="150"/>
        <w:rPr>
          <w:rFonts w:hint="eastAsia" w:ascii="仿宋" w:hAnsi="仿宋" w:eastAsia="仿宋" w:cs="仿宋"/>
          <w:bCs/>
          <w:color w:val="auto"/>
          <w:sz w:val="24"/>
          <w:szCs w:val="20"/>
          <w:highlight w:val="none"/>
        </w:rPr>
      </w:pPr>
      <w:r>
        <w:rPr>
          <w:rFonts w:hint="eastAsia" w:ascii="仿宋" w:hAnsi="仿宋" w:eastAsia="仿宋" w:cs="仿宋"/>
          <w:bCs/>
          <w:color w:val="auto"/>
          <w:sz w:val="24"/>
          <w:szCs w:val="20"/>
          <w:highlight w:val="none"/>
        </w:rPr>
        <w:t>投标人名称：</w:t>
      </w:r>
    </w:p>
    <w:p w14:paraId="41A57542">
      <w:pPr>
        <w:snapToGrid w:val="0"/>
        <w:spacing w:before="156" w:beforeLines="50" w:after="50"/>
        <w:ind w:firstLine="360" w:firstLineChars="150"/>
        <w:rPr>
          <w:rFonts w:hint="eastAsia" w:ascii="仿宋" w:hAnsi="仿宋" w:eastAsia="仿宋" w:cs="仿宋"/>
          <w:bCs/>
          <w:color w:val="auto"/>
          <w:sz w:val="24"/>
          <w:szCs w:val="20"/>
          <w:highlight w:val="none"/>
        </w:rPr>
      </w:pPr>
    </w:p>
    <w:p w14:paraId="03903E72">
      <w:pPr>
        <w:snapToGrid w:val="0"/>
        <w:spacing w:before="156" w:beforeLines="50" w:after="50"/>
        <w:ind w:firstLine="360" w:firstLineChars="150"/>
        <w:rPr>
          <w:rFonts w:hint="eastAsia" w:ascii="仿宋" w:hAnsi="仿宋" w:eastAsia="仿宋" w:cs="仿宋"/>
          <w:bCs/>
          <w:color w:val="auto"/>
          <w:sz w:val="24"/>
          <w:szCs w:val="20"/>
          <w:highlight w:val="none"/>
        </w:rPr>
      </w:pPr>
      <w:r>
        <w:rPr>
          <w:rFonts w:hint="eastAsia" w:ascii="仿宋" w:hAnsi="仿宋" w:eastAsia="仿宋" w:cs="仿宋"/>
          <w:bCs/>
          <w:color w:val="auto"/>
          <w:sz w:val="24"/>
          <w:szCs w:val="20"/>
          <w:highlight w:val="none"/>
        </w:rPr>
        <w:t>投标人地址：</w:t>
      </w:r>
    </w:p>
    <w:p w14:paraId="4FB84A3E">
      <w:pPr>
        <w:snapToGrid w:val="0"/>
        <w:spacing w:before="156" w:beforeLines="50" w:after="50"/>
        <w:ind w:firstLine="360" w:firstLineChars="150"/>
        <w:rPr>
          <w:rFonts w:hint="eastAsia" w:ascii="仿宋" w:hAnsi="仿宋" w:eastAsia="仿宋" w:cs="仿宋"/>
          <w:bCs/>
          <w:color w:val="auto"/>
          <w:sz w:val="24"/>
          <w:szCs w:val="20"/>
          <w:highlight w:val="none"/>
        </w:rPr>
      </w:pPr>
    </w:p>
    <w:p w14:paraId="6C051A84">
      <w:pPr>
        <w:snapToGrid w:val="0"/>
        <w:spacing w:before="156" w:beforeLines="50" w:after="50"/>
        <w:ind w:firstLine="4080" w:firstLineChars="1700"/>
        <w:rPr>
          <w:rFonts w:hint="eastAsia" w:ascii="仿宋" w:hAnsi="仿宋" w:eastAsia="仿宋" w:cs="仿宋"/>
          <w:bCs/>
          <w:color w:val="auto"/>
          <w:sz w:val="24"/>
          <w:szCs w:val="20"/>
          <w:highlight w:val="none"/>
        </w:rPr>
      </w:pPr>
    </w:p>
    <w:p w14:paraId="1AD72CAC">
      <w:pPr>
        <w:pStyle w:val="17"/>
        <w:rPr>
          <w:color w:val="auto"/>
          <w:highlight w:val="none"/>
        </w:rPr>
      </w:pPr>
    </w:p>
    <w:p w14:paraId="4BD9798E">
      <w:pPr>
        <w:snapToGrid w:val="0"/>
        <w:spacing w:before="156" w:beforeLines="50" w:after="50"/>
        <w:ind w:firstLine="645"/>
        <w:jc w:val="left"/>
        <w:rPr>
          <w:rFonts w:hint="eastAsia" w:ascii="仿宋" w:hAnsi="仿宋" w:eastAsia="仿宋" w:cs="仿宋"/>
          <w:bCs/>
          <w:color w:val="auto"/>
          <w:sz w:val="24"/>
          <w:szCs w:val="20"/>
          <w:highlight w:val="none"/>
        </w:rPr>
      </w:pPr>
      <w:r>
        <w:rPr>
          <w:rFonts w:hint="eastAsia" w:ascii="仿宋" w:hAnsi="仿宋" w:eastAsia="仿宋" w:cs="仿宋"/>
          <w:bCs/>
          <w:color w:val="auto"/>
          <w:sz w:val="24"/>
          <w:highlight w:val="none"/>
        </w:rPr>
        <w:t xml:space="preserve">                        年    月    日</w:t>
      </w:r>
    </w:p>
    <w:p w14:paraId="711929D4">
      <w:pPr>
        <w:snapToGrid w:val="0"/>
        <w:spacing w:before="156" w:beforeLines="50" w:after="50"/>
        <w:jc w:val="center"/>
        <w:outlineLvl w:val="1"/>
        <w:rPr>
          <w:rFonts w:hint="eastAsia" w:ascii="仿宋" w:hAnsi="仿宋" w:eastAsia="仿宋" w:cs="仿宋"/>
          <w:color w:val="auto"/>
          <w:highlight w:val="none"/>
        </w:rPr>
      </w:pPr>
    </w:p>
    <w:p w14:paraId="6D66A3C6">
      <w:pPr>
        <w:snapToGrid w:val="0"/>
        <w:spacing w:before="156" w:beforeLines="50" w:after="50"/>
        <w:jc w:val="center"/>
        <w:outlineLvl w:val="1"/>
        <w:rPr>
          <w:rFonts w:hint="eastAsia" w:ascii="仿宋" w:hAnsi="仿宋" w:eastAsia="仿宋" w:cs="仿宋"/>
          <w:color w:val="auto"/>
          <w:highlight w:val="none"/>
        </w:rPr>
      </w:pPr>
    </w:p>
    <w:p w14:paraId="15A5C337">
      <w:pPr>
        <w:snapToGrid w:val="0"/>
        <w:spacing w:before="156" w:beforeLines="50" w:after="50"/>
        <w:jc w:val="center"/>
        <w:outlineLvl w:val="1"/>
        <w:rPr>
          <w:rFonts w:hint="eastAsia" w:ascii="仿宋" w:hAnsi="仿宋" w:eastAsia="仿宋" w:cs="仿宋"/>
          <w:color w:val="auto"/>
          <w:highlight w:val="none"/>
        </w:rPr>
      </w:pPr>
    </w:p>
    <w:p w14:paraId="133ED832">
      <w:pPr>
        <w:snapToGrid w:val="0"/>
        <w:spacing w:before="156" w:beforeLines="50" w:after="50"/>
        <w:jc w:val="center"/>
        <w:outlineLvl w:val="1"/>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6CF8A704">
      <w:pPr>
        <w:snapToGrid w:val="0"/>
        <w:spacing w:before="156" w:beforeLines="50" w:after="50" w:line="360" w:lineRule="auto"/>
        <w:outlineLvl w:val="1"/>
        <w:rPr>
          <w:rFonts w:hint="eastAsia" w:ascii="仿宋" w:hAnsi="仿宋" w:eastAsia="仿宋" w:cs="仿宋"/>
          <w:b/>
          <w:bCs/>
          <w:color w:val="auto"/>
          <w:sz w:val="28"/>
          <w:szCs w:val="28"/>
          <w:highlight w:val="none"/>
        </w:rPr>
      </w:pPr>
      <w:bookmarkStart w:id="145" w:name="_Toc19686836"/>
      <w:bookmarkStart w:id="146" w:name="_Toc7692"/>
      <w:bookmarkStart w:id="147" w:name="_Toc254970557"/>
      <w:bookmarkStart w:id="148" w:name="_Toc254970698"/>
      <w:r>
        <w:rPr>
          <w:rFonts w:hint="eastAsia" w:ascii="仿宋" w:hAnsi="仿宋" w:eastAsia="仿宋" w:cs="仿宋"/>
          <w:b/>
          <w:bCs/>
          <w:color w:val="auto"/>
          <w:sz w:val="28"/>
          <w:szCs w:val="28"/>
          <w:highlight w:val="none"/>
        </w:rPr>
        <w:t>二、报价文件格式</w:t>
      </w:r>
      <w:bookmarkEnd w:id="145"/>
      <w:bookmarkEnd w:id="146"/>
    </w:p>
    <w:p w14:paraId="1A2C2EC7">
      <w:pPr>
        <w:snapToGrid w:val="0"/>
        <w:spacing w:before="156" w:beforeLines="50" w:after="50" w:line="360" w:lineRule="auto"/>
        <w:ind w:left="142"/>
        <w:jc w:val="left"/>
        <w:rPr>
          <w:rFonts w:hint="eastAsia" w:ascii="仿宋" w:hAnsi="仿宋" w:eastAsia="仿宋" w:cs="仿宋"/>
          <w:color w:val="auto"/>
          <w:sz w:val="24"/>
          <w:szCs w:val="20"/>
          <w:highlight w:val="none"/>
        </w:rPr>
      </w:pPr>
      <w:r>
        <w:rPr>
          <w:rFonts w:hint="eastAsia" w:ascii="仿宋" w:hAnsi="仿宋" w:eastAsia="仿宋" w:cs="仿宋"/>
          <w:b/>
          <w:color w:val="auto"/>
          <w:sz w:val="24"/>
          <w:highlight w:val="none"/>
        </w:rPr>
        <w:t xml:space="preserve">1. 报价文件封面格式： </w:t>
      </w:r>
    </w:p>
    <w:p w14:paraId="2C0B588B">
      <w:pPr>
        <w:snapToGrid w:val="0"/>
        <w:spacing w:before="156" w:beforeLines="50" w:after="50" w:line="400" w:lineRule="exact"/>
        <w:rPr>
          <w:rFonts w:hint="eastAsia" w:ascii="仿宋" w:hAnsi="仿宋" w:eastAsia="仿宋" w:cs="仿宋"/>
          <w:bCs/>
          <w:color w:val="auto"/>
          <w:sz w:val="32"/>
          <w:szCs w:val="20"/>
          <w:highlight w:val="none"/>
        </w:rPr>
      </w:pPr>
      <w:r>
        <w:rPr>
          <w:rFonts w:hint="eastAsia" w:ascii="仿宋" w:hAnsi="仿宋" w:eastAsia="仿宋" w:cs="仿宋"/>
          <w:color w:val="auto"/>
          <w:sz w:val="24"/>
          <w:highlight w:val="none"/>
        </w:rPr>
        <w:t xml:space="preserve">                                                   </w:t>
      </w:r>
    </w:p>
    <w:p w14:paraId="4A509494">
      <w:pPr>
        <w:snapToGrid w:val="0"/>
        <w:spacing w:before="156" w:beforeLines="50" w:after="50" w:line="400" w:lineRule="exact"/>
        <w:jc w:val="center"/>
        <w:rPr>
          <w:rFonts w:hint="eastAsia" w:ascii="仿宋" w:hAnsi="仿宋" w:eastAsia="仿宋" w:cs="仿宋"/>
          <w:bCs/>
          <w:color w:val="auto"/>
          <w:sz w:val="24"/>
          <w:szCs w:val="20"/>
          <w:highlight w:val="none"/>
        </w:rPr>
      </w:pPr>
    </w:p>
    <w:p w14:paraId="1060C191">
      <w:pPr>
        <w:snapToGrid w:val="0"/>
        <w:spacing w:before="156" w:beforeLines="50" w:after="50" w:line="400" w:lineRule="exact"/>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报价文件</w:t>
      </w:r>
    </w:p>
    <w:p w14:paraId="6AEE9C4F">
      <w:pPr>
        <w:snapToGrid w:val="0"/>
        <w:spacing w:before="156" w:beforeLines="50" w:after="50" w:line="400" w:lineRule="exact"/>
        <w:rPr>
          <w:rFonts w:hint="eastAsia" w:ascii="仿宋" w:hAnsi="仿宋" w:eastAsia="仿宋" w:cs="仿宋"/>
          <w:bCs/>
          <w:color w:val="auto"/>
          <w:sz w:val="24"/>
          <w:szCs w:val="20"/>
          <w:highlight w:val="none"/>
        </w:rPr>
      </w:pPr>
    </w:p>
    <w:p w14:paraId="5EEF6B39">
      <w:pPr>
        <w:snapToGrid w:val="0"/>
        <w:spacing w:before="156" w:beforeLines="50" w:after="50" w:line="400" w:lineRule="exact"/>
        <w:rPr>
          <w:rFonts w:hint="eastAsia" w:ascii="仿宋" w:hAnsi="仿宋" w:eastAsia="仿宋" w:cs="仿宋"/>
          <w:bCs/>
          <w:color w:val="auto"/>
          <w:sz w:val="24"/>
          <w:szCs w:val="20"/>
          <w:highlight w:val="none"/>
        </w:rPr>
      </w:pPr>
    </w:p>
    <w:p w14:paraId="21F15289">
      <w:pPr>
        <w:snapToGrid w:val="0"/>
        <w:spacing w:before="156" w:beforeLines="50" w:after="50" w:line="400" w:lineRule="exact"/>
        <w:rPr>
          <w:rFonts w:hint="eastAsia" w:ascii="仿宋" w:hAnsi="仿宋" w:eastAsia="仿宋" w:cs="仿宋"/>
          <w:bCs/>
          <w:color w:val="auto"/>
          <w:sz w:val="24"/>
          <w:szCs w:val="20"/>
          <w:highlight w:val="none"/>
        </w:rPr>
      </w:pPr>
    </w:p>
    <w:p w14:paraId="41F809AB">
      <w:pPr>
        <w:snapToGrid w:val="0"/>
        <w:spacing w:before="156" w:beforeLines="50" w:after="50" w:line="400" w:lineRule="exact"/>
        <w:rPr>
          <w:rFonts w:hint="eastAsia" w:ascii="仿宋" w:hAnsi="仿宋" w:eastAsia="仿宋" w:cs="仿宋"/>
          <w:bCs/>
          <w:color w:val="auto"/>
          <w:sz w:val="24"/>
          <w:szCs w:val="20"/>
          <w:highlight w:val="none"/>
        </w:rPr>
      </w:pPr>
    </w:p>
    <w:p w14:paraId="6397ABED">
      <w:pPr>
        <w:snapToGrid w:val="0"/>
        <w:spacing w:before="156" w:beforeLines="50" w:after="50" w:line="400" w:lineRule="exact"/>
        <w:ind w:firstLine="360" w:firstLineChars="15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项目名称： </w:t>
      </w:r>
    </w:p>
    <w:p w14:paraId="4CAB95E3">
      <w:pPr>
        <w:snapToGrid w:val="0"/>
        <w:spacing w:before="156" w:beforeLines="50" w:after="50" w:line="400" w:lineRule="exact"/>
        <w:ind w:firstLine="360" w:firstLineChars="150"/>
        <w:rPr>
          <w:rFonts w:hint="eastAsia" w:ascii="仿宋" w:hAnsi="仿宋" w:eastAsia="仿宋" w:cs="仿宋"/>
          <w:bCs/>
          <w:color w:val="auto"/>
          <w:sz w:val="24"/>
          <w:highlight w:val="none"/>
        </w:rPr>
      </w:pPr>
    </w:p>
    <w:p w14:paraId="6DA209CB">
      <w:pPr>
        <w:snapToGrid w:val="0"/>
        <w:spacing w:before="156" w:beforeLines="50" w:after="50" w:line="400" w:lineRule="exact"/>
        <w:ind w:firstLine="360" w:firstLineChars="15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项目编号： </w:t>
      </w:r>
    </w:p>
    <w:p w14:paraId="7C5E92E6">
      <w:pPr>
        <w:snapToGrid w:val="0"/>
        <w:spacing w:before="156" w:beforeLines="50" w:after="50" w:line="400" w:lineRule="exact"/>
        <w:ind w:firstLine="360" w:firstLineChars="150"/>
        <w:rPr>
          <w:rFonts w:hint="eastAsia" w:ascii="仿宋" w:hAnsi="仿宋" w:eastAsia="仿宋" w:cs="仿宋"/>
          <w:bCs/>
          <w:color w:val="auto"/>
          <w:sz w:val="24"/>
          <w:highlight w:val="none"/>
        </w:rPr>
      </w:pPr>
    </w:p>
    <w:p w14:paraId="53367FF5">
      <w:pPr>
        <w:snapToGrid w:val="0"/>
        <w:spacing w:before="156" w:beforeLines="50" w:after="50" w:line="400" w:lineRule="exact"/>
        <w:ind w:firstLine="360" w:firstLineChars="15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所投分标：</w:t>
      </w:r>
    </w:p>
    <w:p w14:paraId="6CD7C453">
      <w:pPr>
        <w:snapToGrid w:val="0"/>
        <w:spacing w:before="156" w:beforeLines="50" w:after="50" w:line="400" w:lineRule="exact"/>
        <w:ind w:firstLine="360" w:firstLineChars="150"/>
        <w:rPr>
          <w:rFonts w:hint="eastAsia" w:ascii="仿宋" w:hAnsi="仿宋" w:eastAsia="仿宋" w:cs="仿宋"/>
          <w:bCs/>
          <w:color w:val="auto"/>
          <w:sz w:val="24"/>
          <w:highlight w:val="none"/>
        </w:rPr>
      </w:pPr>
    </w:p>
    <w:p w14:paraId="2C939AB1">
      <w:pPr>
        <w:snapToGrid w:val="0"/>
        <w:spacing w:before="156" w:beforeLines="50" w:after="50" w:line="400" w:lineRule="exact"/>
        <w:ind w:firstLine="360" w:firstLineChars="15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投标人名称：</w:t>
      </w:r>
    </w:p>
    <w:p w14:paraId="35A23990">
      <w:pPr>
        <w:snapToGrid w:val="0"/>
        <w:spacing w:before="156" w:beforeLines="50" w:after="50" w:line="400" w:lineRule="exact"/>
        <w:ind w:firstLine="360" w:firstLineChars="150"/>
        <w:rPr>
          <w:rFonts w:hint="eastAsia" w:ascii="仿宋" w:hAnsi="仿宋" w:eastAsia="仿宋" w:cs="仿宋"/>
          <w:bCs/>
          <w:color w:val="auto"/>
          <w:sz w:val="24"/>
          <w:highlight w:val="none"/>
        </w:rPr>
      </w:pPr>
    </w:p>
    <w:p w14:paraId="2B872B2C">
      <w:pPr>
        <w:snapToGrid w:val="0"/>
        <w:spacing w:before="156" w:beforeLines="50" w:after="50" w:line="400" w:lineRule="exact"/>
        <w:ind w:firstLine="360" w:firstLineChars="15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投标人地址：</w:t>
      </w:r>
    </w:p>
    <w:p w14:paraId="7B8FF300">
      <w:pPr>
        <w:pStyle w:val="7"/>
        <w:snapToGrid w:val="0"/>
        <w:spacing w:before="50" w:after="50" w:line="400" w:lineRule="exact"/>
        <w:ind w:firstLine="960" w:firstLineChars="400"/>
        <w:rPr>
          <w:rFonts w:hint="eastAsia" w:ascii="仿宋" w:hAnsi="仿宋" w:eastAsia="仿宋" w:cs="仿宋"/>
          <w:bCs/>
          <w:color w:val="auto"/>
          <w:sz w:val="24"/>
          <w:szCs w:val="24"/>
          <w:highlight w:val="none"/>
        </w:rPr>
      </w:pPr>
    </w:p>
    <w:p w14:paraId="5C6A33CB">
      <w:pPr>
        <w:snapToGrid w:val="0"/>
        <w:spacing w:before="156" w:beforeLines="50" w:after="50" w:line="400" w:lineRule="exact"/>
        <w:rPr>
          <w:rFonts w:hint="eastAsia" w:ascii="仿宋" w:hAnsi="仿宋" w:eastAsia="仿宋" w:cs="仿宋"/>
          <w:color w:val="auto"/>
          <w:sz w:val="30"/>
          <w:szCs w:val="20"/>
          <w:highlight w:val="none"/>
        </w:rPr>
      </w:pPr>
      <w:r>
        <w:rPr>
          <w:rFonts w:hint="eastAsia" w:ascii="仿宋" w:hAnsi="仿宋" w:eastAsia="仿宋" w:cs="仿宋"/>
          <w:color w:val="auto"/>
          <w:sz w:val="24"/>
          <w:highlight w:val="none"/>
        </w:rPr>
        <w:t xml:space="preserve">                                   年  月  日</w:t>
      </w:r>
    </w:p>
    <w:p w14:paraId="7151E90E">
      <w:pPr>
        <w:snapToGrid w:val="0"/>
        <w:spacing w:before="156" w:beforeLines="50" w:after="50" w:line="360" w:lineRule="auto"/>
        <w:jc w:val="left"/>
        <w:rPr>
          <w:rFonts w:hint="eastAsia" w:ascii="仿宋" w:hAnsi="仿宋" w:eastAsia="仿宋" w:cs="仿宋"/>
          <w:color w:val="auto"/>
          <w:sz w:val="24"/>
          <w:szCs w:val="20"/>
          <w:highlight w:val="none"/>
        </w:rPr>
      </w:pPr>
      <w:r>
        <w:rPr>
          <w:rFonts w:hint="eastAsia" w:ascii="仿宋" w:hAnsi="仿宋" w:eastAsia="仿宋" w:cs="仿宋"/>
          <w:b/>
          <w:color w:val="auto"/>
          <w:sz w:val="24"/>
          <w:highlight w:val="none"/>
        </w:rPr>
        <w:br w:type="page"/>
      </w:r>
      <w:r>
        <w:rPr>
          <w:rFonts w:hint="eastAsia" w:ascii="仿宋" w:hAnsi="仿宋" w:eastAsia="仿宋" w:cs="仿宋"/>
          <w:b/>
          <w:color w:val="auto"/>
          <w:sz w:val="24"/>
          <w:highlight w:val="none"/>
        </w:rPr>
        <w:t>2.</w:t>
      </w:r>
      <w:r>
        <w:rPr>
          <w:rFonts w:hint="eastAsia" w:ascii="仿宋" w:hAnsi="仿宋" w:eastAsia="仿宋" w:cs="仿宋"/>
          <w:b/>
          <w:bCs/>
          <w:color w:val="auto"/>
          <w:sz w:val="24"/>
          <w:highlight w:val="none"/>
        </w:rPr>
        <w:t>报价文件目录</w:t>
      </w:r>
    </w:p>
    <w:p w14:paraId="6E66B705">
      <w:pPr>
        <w:snapToGrid w:val="0"/>
        <w:spacing w:before="50" w:after="156" w:afterLines="50" w:line="360" w:lineRule="auto"/>
        <w:jc w:val="left"/>
        <w:rPr>
          <w:rFonts w:hint="eastAsia" w:ascii="仿宋" w:hAnsi="仿宋" w:eastAsia="仿宋" w:cs="仿宋"/>
          <w:b/>
          <w:color w:val="auto"/>
          <w:sz w:val="28"/>
          <w:szCs w:val="28"/>
          <w:highlight w:val="none"/>
        </w:rPr>
      </w:pPr>
      <w:r>
        <w:rPr>
          <w:rFonts w:hint="eastAsia" w:ascii="仿宋" w:hAnsi="仿宋" w:eastAsia="仿宋" w:cs="仿宋"/>
          <w:color w:val="auto"/>
          <w:sz w:val="24"/>
          <w:highlight w:val="none"/>
        </w:rPr>
        <w:t>根据招标文件规定及投标人提供的材料自行编写目录。</w:t>
      </w:r>
    </w:p>
    <w:p w14:paraId="75881B3F">
      <w:pPr>
        <w:snapToGrid w:val="0"/>
        <w:spacing w:before="156" w:beforeLines="50" w:after="50"/>
        <w:rPr>
          <w:rFonts w:hint="eastAsia" w:ascii="仿宋" w:hAnsi="仿宋" w:eastAsia="仿宋" w:cs="仿宋"/>
          <w:b/>
          <w:color w:val="auto"/>
          <w:sz w:val="24"/>
          <w:highlight w:val="none"/>
        </w:rPr>
      </w:pPr>
    </w:p>
    <w:p w14:paraId="018A3767">
      <w:pPr>
        <w:snapToGrid w:val="0"/>
        <w:spacing w:before="156" w:beforeLines="50" w:after="50"/>
        <w:rPr>
          <w:rFonts w:hint="eastAsia" w:ascii="仿宋" w:hAnsi="仿宋" w:eastAsia="仿宋" w:cs="仿宋"/>
          <w:b/>
          <w:color w:val="auto"/>
          <w:sz w:val="24"/>
          <w:highlight w:val="none"/>
        </w:rPr>
      </w:pPr>
    </w:p>
    <w:p w14:paraId="2E7C131B">
      <w:pPr>
        <w:snapToGrid w:val="0"/>
        <w:spacing w:before="156" w:beforeLines="50" w:after="50"/>
        <w:rPr>
          <w:rFonts w:hint="eastAsia" w:ascii="仿宋" w:hAnsi="仿宋" w:eastAsia="仿宋" w:cs="仿宋"/>
          <w:b/>
          <w:color w:val="auto"/>
          <w:sz w:val="24"/>
          <w:highlight w:val="none"/>
        </w:rPr>
      </w:pPr>
    </w:p>
    <w:p w14:paraId="68F5BE7C">
      <w:pPr>
        <w:snapToGrid w:val="0"/>
        <w:spacing w:before="156" w:beforeLines="50" w:after="50"/>
        <w:ind w:left="142"/>
        <w:jc w:val="left"/>
        <w:rPr>
          <w:rFonts w:hint="eastAsia" w:ascii="仿宋" w:hAnsi="仿宋" w:eastAsia="仿宋" w:cs="仿宋"/>
          <w:b/>
          <w:color w:val="auto"/>
          <w:sz w:val="24"/>
          <w:highlight w:val="none"/>
        </w:rPr>
      </w:pPr>
    </w:p>
    <w:p w14:paraId="369991EC">
      <w:pPr>
        <w:snapToGrid w:val="0"/>
        <w:spacing w:before="156" w:beforeLines="50" w:after="50"/>
        <w:ind w:left="142"/>
        <w:jc w:val="left"/>
        <w:rPr>
          <w:rFonts w:hint="eastAsia" w:ascii="仿宋" w:hAnsi="仿宋" w:eastAsia="仿宋" w:cs="仿宋"/>
          <w:b/>
          <w:color w:val="auto"/>
          <w:sz w:val="24"/>
          <w:highlight w:val="none"/>
        </w:rPr>
      </w:pPr>
    </w:p>
    <w:p w14:paraId="3C7FD810">
      <w:pPr>
        <w:snapToGrid w:val="0"/>
        <w:spacing w:before="156" w:beforeLines="50" w:after="50"/>
        <w:ind w:left="142"/>
        <w:jc w:val="left"/>
        <w:rPr>
          <w:rFonts w:hint="eastAsia" w:ascii="仿宋" w:hAnsi="仿宋" w:eastAsia="仿宋" w:cs="仿宋"/>
          <w:b/>
          <w:color w:val="auto"/>
          <w:sz w:val="24"/>
          <w:highlight w:val="none"/>
        </w:rPr>
      </w:pPr>
    </w:p>
    <w:p w14:paraId="0F90A2AD">
      <w:pPr>
        <w:snapToGrid w:val="0"/>
        <w:spacing w:before="156" w:beforeLines="50" w:after="50"/>
        <w:ind w:left="142"/>
        <w:jc w:val="left"/>
        <w:rPr>
          <w:rFonts w:hint="eastAsia" w:ascii="仿宋" w:hAnsi="仿宋" w:eastAsia="仿宋" w:cs="仿宋"/>
          <w:b/>
          <w:color w:val="auto"/>
          <w:sz w:val="24"/>
          <w:highlight w:val="none"/>
        </w:rPr>
      </w:pPr>
    </w:p>
    <w:p w14:paraId="3ABD778D">
      <w:pPr>
        <w:snapToGrid w:val="0"/>
        <w:spacing w:before="156" w:beforeLines="50" w:after="50"/>
        <w:ind w:left="142"/>
        <w:jc w:val="left"/>
        <w:rPr>
          <w:rFonts w:hint="eastAsia" w:ascii="仿宋" w:hAnsi="仿宋" w:eastAsia="仿宋" w:cs="仿宋"/>
          <w:b/>
          <w:color w:val="auto"/>
          <w:sz w:val="24"/>
          <w:highlight w:val="none"/>
        </w:rPr>
      </w:pPr>
    </w:p>
    <w:p w14:paraId="11A0389D">
      <w:pPr>
        <w:snapToGrid w:val="0"/>
        <w:spacing w:before="156" w:beforeLines="50" w:after="50"/>
        <w:ind w:left="142"/>
        <w:jc w:val="left"/>
        <w:rPr>
          <w:rFonts w:hint="eastAsia" w:ascii="仿宋" w:hAnsi="仿宋" w:eastAsia="仿宋" w:cs="仿宋"/>
          <w:b/>
          <w:color w:val="auto"/>
          <w:sz w:val="24"/>
          <w:highlight w:val="none"/>
        </w:rPr>
      </w:pPr>
    </w:p>
    <w:p w14:paraId="4AA89116">
      <w:pPr>
        <w:snapToGrid w:val="0"/>
        <w:spacing w:before="156" w:beforeLines="50" w:after="50"/>
        <w:ind w:left="142"/>
        <w:jc w:val="left"/>
        <w:rPr>
          <w:rFonts w:hint="eastAsia" w:ascii="仿宋" w:hAnsi="仿宋" w:eastAsia="仿宋" w:cs="仿宋"/>
          <w:b/>
          <w:color w:val="auto"/>
          <w:sz w:val="24"/>
          <w:highlight w:val="none"/>
        </w:rPr>
      </w:pPr>
    </w:p>
    <w:p w14:paraId="3FD2DFB8">
      <w:pPr>
        <w:snapToGrid w:val="0"/>
        <w:spacing w:before="156" w:beforeLines="50" w:after="50"/>
        <w:ind w:left="142"/>
        <w:jc w:val="left"/>
        <w:rPr>
          <w:rFonts w:hint="eastAsia" w:ascii="仿宋" w:hAnsi="仿宋" w:eastAsia="仿宋" w:cs="仿宋"/>
          <w:b/>
          <w:color w:val="auto"/>
          <w:sz w:val="24"/>
          <w:highlight w:val="none"/>
        </w:rPr>
      </w:pPr>
    </w:p>
    <w:p w14:paraId="17DD70CF">
      <w:pPr>
        <w:snapToGrid w:val="0"/>
        <w:spacing w:before="156" w:beforeLines="50" w:after="50"/>
        <w:ind w:left="142"/>
        <w:jc w:val="left"/>
        <w:rPr>
          <w:rFonts w:hint="eastAsia" w:ascii="仿宋" w:hAnsi="仿宋" w:eastAsia="仿宋" w:cs="仿宋"/>
          <w:b/>
          <w:color w:val="auto"/>
          <w:sz w:val="24"/>
          <w:highlight w:val="none"/>
        </w:rPr>
      </w:pPr>
    </w:p>
    <w:p w14:paraId="253D7C4F">
      <w:pPr>
        <w:snapToGrid w:val="0"/>
        <w:spacing w:before="156" w:beforeLines="50" w:after="50"/>
        <w:ind w:left="142"/>
        <w:jc w:val="left"/>
        <w:rPr>
          <w:rFonts w:hint="eastAsia" w:ascii="仿宋" w:hAnsi="仿宋" w:eastAsia="仿宋" w:cs="仿宋"/>
          <w:b/>
          <w:color w:val="auto"/>
          <w:sz w:val="24"/>
          <w:highlight w:val="none"/>
        </w:rPr>
      </w:pPr>
    </w:p>
    <w:p w14:paraId="42D6A4A3">
      <w:pPr>
        <w:snapToGrid w:val="0"/>
        <w:spacing w:before="156" w:beforeLines="50" w:after="50"/>
        <w:ind w:left="142"/>
        <w:jc w:val="left"/>
        <w:rPr>
          <w:rFonts w:hint="eastAsia" w:ascii="仿宋" w:hAnsi="仿宋" w:eastAsia="仿宋" w:cs="仿宋"/>
          <w:b/>
          <w:color w:val="auto"/>
          <w:sz w:val="24"/>
          <w:highlight w:val="none"/>
        </w:rPr>
      </w:pPr>
    </w:p>
    <w:p w14:paraId="3F76D50F">
      <w:pPr>
        <w:snapToGrid w:val="0"/>
        <w:spacing w:before="156" w:beforeLines="50" w:after="50"/>
        <w:ind w:left="142"/>
        <w:jc w:val="left"/>
        <w:rPr>
          <w:rFonts w:hint="eastAsia" w:ascii="仿宋" w:hAnsi="仿宋" w:eastAsia="仿宋" w:cs="仿宋"/>
          <w:b/>
          <w:color w:val="auto"/>
          <w:sz w:val="24"/>
          <w:highlight w:val="none"/>
        </w:rPr>
      </w:pPr>
    </w:p>
    <w:p w14:paraId="4CD8841A">
      <w:pPr>
        <w:snapToGrid w:val="0"/>
        <w:spacing w:before="156" w:beforeLines="50" w:after="50"/>
        <w:ind w:left="142"/>
        <w:jc w:val="left"/>
        <w:rPr>
          <w:rFonts w:hint="eastAsia" w:ascii="仿宋" w:hAnsi="仿宋" w:eastAsia="仿宋" w:cs="仿宋"/>
          <w:b/>
          <w:color w:val="auto"/>
          <w:sz w:val="24"/>
          <w:highlight w:val="none"/>
        </w:rPr>
      </w:pPr>
    </w:p>
    <w:p w14:paraId="2950C99D">
      <w:pPr>
        <w:snapToGrid w:val="0"/>
        <w:spacing w:before="156" w:beforeLines="50" w:after="50"/>
        <w:ind w:left="142"/>
        <w:jc w:val="left"/>
        <w:rPr>
          <w:rFonts w:hint="eastAsia" w:ascii="仿宋" w:hAnsi="仿宋" w:eastAsia="仿宋" w:cs="仿宋"/>
          <w:b/>
          <w:color w:val="auto"/>
          <w:sz w:val="24"/>
          <w:highlight w:val="none"/>
        </w:rPr>
      </w:pPr>
    </w:p>
    <w:p w14:paraId="1B5362A8">
      <w:pPr>
        <w:snapToGrid w:val="0"/>
        <w:spacing w:before="156" w:beforeLines="50" w:after="50"/>
        <w:ind w:left="142"/>
        <w:jc w:val="left"/>
        <w:rPr>
          <w:rFonts w:hint="eastAsia" w:ascii="仿宋" w:hAnsi="仿宋" w:eastAsia="仿宋" w:cs="仿宋"/>
          <w:b/>
          <w:color w:val="auto"/>
          <w:sz w:val="24"/>
          <w:highlight w:val="none"/>
        </w:rPr>
      </w:pPr>
    </w:p>
    <w:p w14:paraId="68FC799B">
      <w:pPr>
        <w:snapToGrid w:val="0"/>
        <w:spacing w:before="156" w:beforeLines="50" w:after="50"/>
        <w:ind w:left="142"/>
        <w:jc w:val="left"/>
        <w:rPr>
          <w:rFonts w:hint="eastAsia" w:ascii="仿宋" w:hAnsi="仿宋" w:eastAsia="仿宋" w:cs="仿宋"/>
          <w:b/>
          <w:color w:val="auto"/>
          <w:sz w:val="24"/>
          <w:highlight w:val="none"/>
        </w:rPr>
      </w:pPr>
    </w:p>
    <w:p w14:paraId="38D22073">
      <w:pPr>
        <w:snapToGrid w:val="0"/>
        <w:spacing w:before="156" w:beforeLines="50" w:after="50"/>
        <w:ind w:left="142"/>
        <w:jc w:val="left"/>
        <w:rPr>
          <w:rFonts w:hint="eastAsia" w:ascii="仿宋" w:hAnsi="仿宋" w:eastAsia="仿宋" w:cs="仿宋"/>
          <w:b/>
          <w:color w:val="auto"/>
          <w:sz w:val="24"/>
          <w:highlight w:val="none"/>
        </w:rPr>
      </w:pPr>
    </w:p>
    <w:p w14:paraId="7033C041">
      <w:pPr>
        <w:snapToGrid w:val="0"/>
        <w:spacing w:before="156" w:beforeLines="50" w:after="50"/>
        <w:ind w:left="142"/>
        <w:jc w:val="left"/>
        <w:rPr>
          <w:rFonts w:hint="eastAsia" w:ascii="仿宋" w:hAnsi="仿宋" w:eastAsia="仿宋" w:cs="仿宋"/>
          <w:b/>
          <w:color w:val="auto"/>
          <w:sz w:val="24"/>
          <w:highlight w:val="none"/>
        </w:rPr>
      </w:pPr>
    </w:p>
    <w:p w14:paraId="0C636DB6">
      <w:pPr>
        <w:snapToGrid w:val="0"/>
        <w:spacing w:before="156" w:beforeLines="50" w:after="50"/>
        <w:ind w:left="142"/>
        <w:jc w:val="left"/>
        <w:rPr>
          <w:rFonts w:hint="eastAsia" w:ascii="仿宋" w:hAnsi="仿宋" w:eastAsia="仿宋" w:cs="仿宋"/>
          <w:b/>
          <w:color w:val="auto"/>
          <w:sz w:val="24"/>
          <w:highlight w:val="none"/>
        </w:rPr>
      </w:pPr>
    </w:p>
    <w:p w14:paraId="5D748867">
      <w:pPr>
        <w:snapToGrid w:val="0"/>
        <w:spacing w:before="156" w:beforeLines="50" w:after="50"/>
        <w:ind w:left="142"/>
        <w:jc w:val="left"/>
        <w:rPr>
          <w:rFonts w:hint="eastAsia" w:ascii="仿宋" w:hAnsi="仿宋" w:eastAsia="仿宋" w:cs="仿宋"/>
          <w:b/>
          <w:color w:val="auto"/>
          <w:sz w:val="24"/>
          <w:highlight w:val="none"/>
        </w:rPr>
      </w:pPr>
    </w:p>
    <w:p w14:paraId="5AA1B47A">
      <w:pPr>
        <w:snapToGrid w:val="0"/>
        <w:spacing w:before="156" w:beforeLines="50" w:after="50"/>
        <w:ind w:left="142"/>
        <w:jc w:val="left"/>
        <w:rPr>
          <w:rFonts w:hint="eastAsia" w:ascii="仿宋" w:hAnsi="仿宋" w:eastAsia="仿宋" w:cs="仿宋"/>
          <w:b/>
          <w:color w:val="auto"/>
          <w:sz w:val="24"/>
          <w:highlight w:val="none"/>
        </w:rPr>
      </w:pPr>
    </w:p>
    <w:p w14:paraId="08959D17">
      <w:pPr>
        <w:snapToGrid w:val="0"/>
        <w:spacing w:before="156" w:beforeLines="50" w:after="50"/>
        <w:ind w:left="142"/>
        <w:jc w:val="left"/>
        <w:rPr>
          <w:rFonts w:hint="eastAsia" w:ascii="仿宋" w:hAnsi="仿宋" w:eastAsia="仿宋" w:cs="仿宋"/>
          <w:b/>
          <w:color w:val="auto"/>
          <w:sz w:val="24"/>
          <w:highlight w:val="none"/>
        </w:rPr>
      </w:pPr>
    </w:p>
    <w:p w14:paraId="6EB83CFD">
      <w:pPr>
        <w:snapToGrid w:val="0"/>
        <w:spacing w:before="156" w:beforeLines="50" w:after="50"/>
        <w:ind w:left="142"/>
        <w:jc w:val="left"/>
        <w:rPr>
          <w:rFonts w:hint="eastAsia" w:ascii="仿宋" w:hAnsi="仿宋" w:eastAsia="仿宋" w:cs="仿宋"/>
          <w:b/>
          <w:color w:val="auto"/>
          <w:sz w:val="24"/>
          <w:highlight w:val="none"/>
        </w:rPr>
      </w:pPr>
    </w:p>
    <w:p w14:paraId="2D08BA9C">
      <w:pPr>
        <w:snapToGrid w:val="0"/>
        <w:spacing w:before="156" w:beforeLines="50" w:after="50"/>
        <w:jc w:val="left"/>
        <w:rPr>
          <w:rFonts w:hint="eastAsia" w:ascii="仿宋" w:hAnsi="仿宋" w:eastAsia="仿宋" w:cs="仿宋"/>
          <w:b/>
          <w:color w:val="auto"/>
          <w:sz w:val="24"/>
          <w:highlight w:val="none"/>
        </w:rPr>
      </w:pPr>
    </w:p>
    <w:p w14:paraId="42EBC086">
      <w:pPr>
        <w:snapToGrid w:val="0"/>
        <w:spacing w:before="156" w:beforeLines="50" w:after="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3.投标函格式：</w:t>
      </w:r>
    </w:p>
    <w:p w14:paraId="6945A3F4">
      <w:pPr>
        <w:snapToGrid w:val="0"/>
        <w:spacing w:before="156" w:beforeLines="50" w:after="50" w:line="320" w:lineRule="exact"/>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投 标 函</w:t>
      </w:r>
    </w:p>
    <w:p w14:paraId="2FAFA839">
      <w:pPr>
        <w:snapToGrid w:val="0"/>
        <w:spacing w:before="156" w:beforeLines="50" w:after="50" w:line="320" w:lineRule="exact"/>
        <w:jc w:val="center"/>
        <w:rPr>
          <w:rFonts w:hint="eastAsia" w:ascii="仿宋" w:hAnsi="仿宋" w:eastAsia="仿宋" w:cs="仿宋"/>
          <w:b/>
          <w:color w:val="auto"/>
          <w:sz w:val="24"/>
          <w:szCs w:val="20"/>
          <w:highlight w:val="none"/>
        </w:rPr>
      </w:pPr>
    </w:p>
    <w:p w14:paraId="00D571B8">
      <w:pPr>
        <w:snapToGrid w:val="0"/>
        <w:spacing w:before="156" w:beforeLines="50" w:after="50" w:line="320" w:lineRule="exact"/>
        <w:jc w:val="center"/>
        <w:rPr>
          <w:rFonts w:hint="eastAsia" w:ascii="仿宋" w:hAnsi="仿宋" w:eastAsia="仿宋" w:cs="仿宋"/>
          <w:b/>
          <w:color w:val="auto"/>
          <w:sz w:val="24"/>
          <w:szCs w:val="20"/>
          <w:highlight w:val="none"/>
        </w:rPr>
      </w:pPr>
    </w:p>
    <w:p w14:paraId="17785F9C">
      <w:pPr>
        <w:snapToGrid w:val="0"/>
        <w:spacing w:before="156" w:beforeLines="50" w:after="50" w:line="320" w:lineRule="exact"/>
        <w:jc w:val="center"/>
        <w:rPr>
          <w:rFonts w:hint="eastAsia" w:ascii="仿宋" w:hAnsi="仿宋" w:eastAsia="仿宋" w:cs="仿宋"/>
          <w:b/>
          <w:color w:val="auto"/>
          <w:sz w:val="24"/>
          <w:szCs w:val="20"/>
          <w:highlight w:val="none"/>
        </w:rPr>
      </w:pPr>
    </w:p>
    <w:p w14:paraId="7FF8AD40">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采购人名称</w:t>
      </w:r>
      <w:r>
        <w:rPr>
          <w:rFonts w:hint="eastAsia" w:ascii="仿宋" w:hAnsi="仿宋" w:eastAsia="仿宋" w:cs="仿宋"/>
          <w:color w:val="auto"/>
          <w:sz w:val="24"/>
          <w:highlight w:val="none"/>
        </w:rPr>
        <w:t>：</w:t>
      </w:r>
    </w:p>
    <w:p w14:paraId="021B63D5">
      <w:pPr>
        <w:snapToGrid w:val="0"/>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根据贵方</w:t>
      </w:r>
      <w:r>
        <w:rPr>
          <w:rFonts w:hint="eastAsia" w:ascii="仿宋" w:hAnsi="仿宋" w:eastAsia="仿宋" w:cs="仿宋"/>
          <w:color w:val="auto"/>
          <w:sz w:val="24"/>
          <w:highlight w:val="none"/>
          <w:u w:val="single"/>
        </w:rPr>
        <w:t xml:space="preserve"> 项目名称</w:t>
      </w:r>
      <w:r>
        <w:rPr>
          <w:rFonts w:hint="eastAsia" w:ascii="仿宋" w:hAnsi="仿宋" w:eastAsia="仿宋" w:cs="仿宋"/>
          <w:color w:val="auto"/>
          <w:sz w:val="24"/>
          <w:highlight w:val="none"/>
        </w:rPr>
        <w:t>（项目编号：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）的招标公告，签字代表</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（姓名）经正式授权并代表投标人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（投标人名称）提交投标文件。</w:t>
      </w:r>
    </w:p>
    <w:p w14:paraId="6FD189B7">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据此函，我方宣布同意如下：</w:t>
      </w:r>
    </w:p>
    <w:p w14:paraId="549D192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29DBF99D">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2.我方在投标之前已经完全理解并接受招标文件的各项规定和要求，对招标文件的合理性、合法性不再有异议。</w:t>
      </w:r>
    </w:p>
    <w:p w14:paraId="7703D832">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3.本投标有效期自投标截止之日起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6989E009">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4.如中标，本投标文件至本项目合同履行完毕止均保持有效，我方将按“招标文件”及政府采购法律、法规的规定履行合同责任和义务。</w:t>
      </w:r>
    </w:p>
    <w:p w14:paraId="6964AC6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5.我方同意按照贵方要求提供与投标有关的一切数据或者资料。</w:t>
      </w:r>
    </w:p>
    <w:p w14:paraId="5637FF21">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6.我方向贵方提交的所有投标文件、资料都是准确的和真实的。</w:t>
      </w:r>
    </w:p>
    <w:p w14:paraId="3D4388E7">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7.以上事项如有虚假或者隐瞒，我方愿意承担一切后果，并不再寻求任何旨在减轻或者免除法律责任的辩解。</w:t>
      </w:r>
    </w:p>
    <w:p w14:paraId="62E7DFA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747D074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□我方本次投标文件</w:t>
      </w:r>
      <w:r>
        <w:rPr>
          <w:rFonts w:hint="eastAsia" w:ascii="仿宋" w:hAnsi="仿宋" w:eastAsia="仿宋" w:cs="仿宋"/>
          <w:color w:val="auto"/>
          <w:kern w:val="0"/>
          <w:sz w:val="24"/>
          <w:highlight w:val="none"/>
        </w:rPr>
        <w:t>内容中</w:t>
      </w:r>
      <w:r>
        <w:rPr>
          <w:rFonts w:hint="eastAsia" w:ascii="仿宋" w:hAnsi="仿宋" w:eastAsia="仿宋" w:cs="仿宋"/>
          <w:color w:val="auto"/>
          <w:sz w:val="24"/>
          <w:highlight w:val="none"/>
        </w:rPr>
        <w:t>未</w:t>
      </w:r>
      <w:r>
        <w:rPr>
          <w:rFonts w:hint="eastAsia" w:ascii="仿宋" w:hAnsi="仿宋" w:eastAsia="仿宋" w:cs="仿宋"/>
          <w:color w:val="auto"/>
          <w:kern w:val="0"/>
          <w:sz w:val="24"/>
          <w:highlight w:val="none"/>
        </w:rPr>
        <w:t>涉及商业秘密；</w:t>
      </w:r>
    </w:p>
    <w:p w14:paraId="7B8D0C4D">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□我方本次投标文件</w:t>
      </w:r>
      <w:r>
        <w:rPr>
          <w:rFonts w:hint="eastAsia" w:ascii="仿宋" w:hAnsi="仿宋" w:eastAsia="仿宋" w:cs="仿宋"/>
          <w:color w:val="auto"/>
          <w:kern w:val="0"/>
          <w:sz w:val="24"/>
          <w:highlight w:val="none"/>
        </w:rPr>
        <w:t>涉及商业秘密的内容有：</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6D1DDA2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9.与本投标有关的一切正式往来信函请寄：</w:t>
      </w:r>
    </w:p>
    <w:p w14:paraId="2D4832CA">
      <w:pPr>
        <w:snapToGrid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single"/>
        </w:rPr>
        <w:t xml:space="preserve">            </w:t>
      </w:r>
    </w:p>
    <w:p w14:paraId="45D130A5">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电话：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传真：</w:t>
      </w:r>
      <w:r>
        <w:rPr>
          <w:rFonts w:hint="eastAsia" w:ascii="仿宋" w:hAnsi="仿宋" w:eastAsia="仿宋" w:cs="仿宋"/>
          <w:color w:val="auto"/>
          <w:sz w:val="24"/>
          <w:highlight w:val="none"/>
          <w:u w:val="single"/>
        </w:rPr>
        <w:t xml:space="preserve">          </w:t>
      </w:r>
    </w:p>
    <w:p w14:paraId="05440BCD">
      <w:pPr>
        <w:snapToGrid w:val="0"/>
        <w:spacing w:line="360" w:lineRule="auto"/>
        <w:rPr>
          <w:rFonts w:hint="eastAsia" w:ascii="仿宋" w:hAnsi="仿宋" w:eastAsia="仿宋" w:cs="仿宋"/>
          <w:color w:val="auto"/>
          <w:sz w:val="24"/>
          <w:highlight w:val="none"/>
        </w:rPr>
      </w:pPr>
    </w:p>
    <w:p w14:paraId="1E85737E">
      <w:pPr>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开户银行：</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银行帐号：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00AC6F36">
      <w:pPr>
        <w:pStyle w:val="23"/>
        <w:snapToGrid w:val="0"/>
        <w:spacing w:before="295" w:after="295"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72331433">
      <w:pPr>
        <w:snapToGrid w:val="0"/>
        <w:spacing w:line="360" w:lineRule="auto"/>
        <w:rPr>
          <w:rFonts w:hint="eastAsia" w:ascii="仿宋" w:hAnsi="仿宋" w:eastAsia="仿宋" w:cs="仿宋"/>
          <w:color w:val="auto"/>
          <w:sz w:val="24"/>
          <w:highlight w:val="none"/>
        </w:rPr>
      </w:pPr>
    </w:p>
    <w:p w14:paraId="2C9AE177">
      <w:pPr>
        <w:snapToGrid w:val="0"/>
        <w:spacing w:line="360" w:lineRule="auto"/>
        <w:jc w:val="center"/>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投标人（盖公章）：</w:t>
      </w:r>
      <w:r>
        <w:rPr>
          <w:rFonts w:hint="eastAsia" w:ascii="仿宋" w:hAnsi="仿宋" w:eastAsia="仿宋" w:cs="仿宋"/>
          <w:color w:val="auto"/>
          <w:sz w:val="24"/>
          <w:highlight w:val="none"/>
          <w:u w:val="single"/>
        </w:rPr>
        <w:t xml:space="preserve">             </w:t>
      </w:r>
    </w:p>
    <w:p w14:paraId="4CC857B0">
      <w:pPr>
        <w:snapToGrid w:val="0"/>
        <w:spacing w:line="360" w:lineRule="auto"/>
        <w:jc w:val="center"/>
        <w:rPr>
          <w:rFonts w:hint="eastAsia" w:ascii="仿宋" w:hAnsi="仿宋" w:eastAsia="仿宋" w:cs="仿宋"/>
          <w:color w:val="auto"/>
          <w:sz w:val="24"/>
          <w:highlight w:val="none"/>
          <w:u w:val="single"/>
        </w:rPr>
      </w:pPr>
    </w:p>
    <w:p w14:paraId="3CD8E363">
      <w:pPr>
        <w:snapToGrid w:val="0"/>
        <w:spacing w:line="360" w:lineRule="auto"/>
        <w:jc w:val="center"/>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法定代表人或者委托代理人签字:</w:t>
      </w:r>
      <w:r>
        <w:rPr>
          <w:rFonts w:hint="eastAsia" w:ascii="仿宋" w:hAnsi="仿宋" w:eastAsia="仿宋" w:cs="仿宋"/>
          <w:color w:val="auto"/>
          <w:sz w:val="24"/>
          <w:highlight w:val="none"/>
          <w:u w:val="single"/>
        </w:rPr>
        <w:t xml:space="preserve">               </w:t>
      </w:r>
    </w:p>
    <w:p w14:paraId="67982EBF">
      <w:pPr>
        <w:snapToGrid w:val="0"/>
        <w:spacing w:line="360" w:lineRule="auto"/>
        <w:jc w:val="center"/>
        <w:rPr>
          <w:rFonts w:hint="eastAsia" w:ascii="仿宋" w:hAnsi="仿宋" w:eastAsia="仿宋" w:cs="仿宋"/>
          <w:color w:val="auto"/>
          <w:sz w:val="24"/>
          <w:highlight w:val="none"/>
        </w:rPr>
      </w:pPr>
    </w:p>
    <w:p w14:paraId="544630CC">
      <w:pPr>
        <w:pStyle w:val="23"/>
        <w:snapToGrid w:val="0"/>
        <w:spacing w:before="295" w:after="295" w:line="360" w:lineRule="auto"/>
        <w:jc w:val="right"/>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23CAF307">
      <w:pPr>
        <w:snapToGrid w:val="0"/>
        <w:spacing w:before="156" w:beforeLines="50" w:after="50"/>
        <w:jc w:val="left"/>
        <w:rPr>
          <w:rFonts w:hint="eastAsia" w:ascii="仿宋" w:hAnsi="仿宋" w:eastAsia="仿宋" w:cs="仿宋"/>
          <w:b/>
          <w:color w:val="auto"/>
          <w:sz w:val="24"/>
          <w:szCs w:val="20"/>
          <w:highlight w:val="none"/>
        </w:rPr>
      </w:pPr>
      <w:r>
        <w:rPr>
          <w:rFonts w:hint="eastAsia" w:ascii="仿宋" w:hAnsi="仿宋" w:eastAsia="仿宋" w:cs="仿宋"/>
          <w:color w:val="auto"/>
          <w:highlight w:val="none"/>
          <w:u w:val="single"/>
        </w:rPr>
        <w:br w:type="page"/>
      </w:r>
      <w:r>
        <w:rPr>
          <w:rFonts w:hint="eastAsia" w:ascii="仿宋" w:hAnsi="仿宋" w:eastAsia="仿宋" w:cs="仿宋"/>
          <w:b/>
          <w:color w:val="auto"/>
          <w:sz w:val="24"/>
          <w:highlight w:val="none"/>
        </w:rPr>
        <w:t>4. 投标报价表</w:t>
      </w:r>
    </w:p>
    <w:p w14:paraId="3BDA231E">
      <w:pPr>
        <w:snapToGrid w:val="0"/>
        <w:spacing w:before="50" w:after="50"/>
        <w:jc w:val="center"/>
        <w:rPr>
          <w:rFonts w:hint="eastAsia" w:ascii="仿宋" w:hAnsi="仿宋" w:eastAsia="仿宋" w:cs="仿宋"/>
          <w:b/>
          <w:color w:val="auto"/>
          <w:sz w:val="30"/>
          <w:szCs w:val="20"/>
          <w:highlight w:val="none"/>
        </w:rPr>
      </w:pPr>
      <w:r>
        <w:rPr>
          <w:rFonts w:hint="eastAsia" w:ascii="仿宋" w:hAnsi="仿宋" w:eastAsia="仿宋" w:cs="仿宋"/>
          <w:b/>
          <w:color w:val="auto"/>
          <w:sz w:val="30"/>
          <w:szCs w:val="20"/>
          <w:highlight w:val="none"/>
        </w:rPr>
        <w:t>投标报价表</w:t>
      </w:r>
    </w:p>
    <w:p w14:paraId="3A820BFE">
      <w:pPr>
        <w:snapToGrid w:val="0"/>
        <w:spacing w:before="50" w:after="50"/>
        <w:jc w:val="center"/>
        <w:rPr>
          <w:rFonts w:hint="eastAsia" w:ascii="仿宋" w:hAnsi="仿宋" w:eastAsia="仿宋" w:cs="仿宋"/>
          <w:b/>
          <w:color w:val="auto"/>
          <w:sz w:val="30"/>
          <w:szCs w:val="20"/>
          <w:highlight w:val="none"/>
        </w:rPr>
      </w:pPr>
    </w:p>
    <w:p w14:paraId="2A12DDCD">
      <w:pPr>
        <w:snapToGrid w:val="0"/>
        <w:spacing w:before="50" w:after="50"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项目编号：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分标：</w:t>
      </w:r>
      <w:r>
        <w:rPr>
          <w:rFonts w:hint="eastAsia" w:ascii="仿宋" w:hAnsi="仿宋" w:eastAsia="仿宋" w:cs="仿宋"/>
          <w:color w:val="auto"/>
          <w:sz w:val="24"/>
          <w:highlight w:val="none"/>
          <w:u w:val="single"/>
        </w:rPr>
        <w:t xml:space="preserve">           </w:t>
      </w:r>
    </w:p>
    <w:p w14:paraId="30D3C2BD">
      <w:pPr>
        <w:snapToGrid w:val="0"/>
        <w:spacing w:before="50" w:after="50"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单位：元</w:t>
      </w:r>
    </w:p>
    <w:tbl>
      <w:tblPr>
        <w:tblStyle w:val="119"/>
        <w:tblW w:w="94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96"/>
      </w:tblGrid>
      <w:tr w14:paraId="7B8E2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3" w:hRule="atLeast"/>
        </w:trPr>
        <w:tc>
          <w:tcPr>
            <w:tcW w:w="9496" w:type="dxa"/>
            <w:vAlign w:val="center"/>
          </w:tcPr>
          <w:p w14:paraId="46E28827">
            <w:pPr>
              <w:snapToGrid w:val="0"/>
              <w:spacing w:before="50" w:after="50"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总投标报价（大写）：人民币</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  ）合同履约期限：</w:t>
            </w:r>
            <w:r>
              <w:rPr>
                <w:rFonts w:hint="eastAsia" w:ascii="仿宋" w:hAnsi="仿宋" w:eastAsia="仿宋" w:cs="仿宋"/>
                <w:color w:val="auto"/>
                <w:sz w:val="24"/>
                <w:highlight w:val="none"/>
                <w:u w:val="single"/>
              </w:rPr>
              <w:t xml:space="preserve">                                   </w:t>
            </w:r>
          </w:p>
        </w:tc>
      </w:tr>
      <w:tr w14:paraId="07E94C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2" w:hRule="atLeast"/>
        </w:trPr>
        <w:tc>
          <w:tcPr>
            <w:tcW w:w="9496" w:type="dxa"/>
            <w:vAlign w:val="center"/>
          </w:tcPr>
          <w:p w14:paraId="16D041A8">
            <w:pPr>
              <w:snapToGrid w:val="0"/>
              <w:spacing w:before="50" w:after="50"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其中：</w:t>
            </w:r>
          </w:p>
          <w:p w14:paraId="4E7399FB">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属于财政部《节能产品政府采购品目清单》内产品的总金额为人民币（大写）：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元）（其中属于财政部《节能产品政府采购品 目清单》内优先采购产品的总金额为人民币（大写）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 ））；</w:t>
            </w:r>
          </w:p>
          <w:p w14:paraId="43E704C1">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属于财政部《环境标志产品政府采购品目清单》内产品的总金额为人民币（大写）：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w:t>
            </w:r>
          </w:p>
          <w:p w14:paraId="10AE4066">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备注：若不属于财政部《节能产品政府采购品目清单》及《环境标志产品政府采购品目清单》内产品的，则该处填写“无”字样。</w:t>
            </w:r>
          </w:p>
        </w:tc>
      </w:tr>
      <w:tr w14:paraId="1699E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9" w:hRule="atLeast"/>
        </w:trPr>
        <w:tc>
          <w:tcPr>
            <w:tcW w:w="9496" w:type="dxa"/>
            <w:vAlign w:val="center"/>
          </w:tcPr>
          <w:p w14:paraId="1C1CC40D">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说明：投标报价：投标报价包括所投标的价款、标的随配标准附件、包装、运输、装卸、保险、税金、货到位以及安装、安装所需辅材、调试、检验、售后服务、培训、保修、验收及其他所有成本费用的总和，投标人应综合考虑在报价中。</w:t>
            </w:r>
          </w:p>
        </w:tc>
      </w:tr>
    </w:tbl>
    <w:p w14:paraId="2A6B24A3">
      <w:pPr>
        <w:snapToGrid w:val="0"/>
        <w:spacing w:before="50" w:after="50"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附：（1）设备清单表</w:t>
      </w:r>
    </w:p>
    <w:p w14:paraId="6B6945D9">
      <w:pPr>
        <w:snapToGrid w:val="0"/>
        <w:spacing w:before="50" w:after="50"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（2）01分标必须附上已标价工程量清单</w:t>
      </w:r>
    </w:p>
    <w:p w14:paraId="40A97E5B">
      <w:pPr>
        <w:snapToGrid w:val="0"/>
        <w:spacing w:before="50" w:after="50"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注: </w:t>
      </w:r>
    </w:p>
    <w:p w14:paraId="416151E2">
      <w:pPr>
        <w:snapToGrid w:val="0"/>
        <w:spacing w:before="50" w:after="50"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1.投标人的开标一览表必须加盖投标人公章并由法定代表人或者委托代理人签字，</w:t>
      </w:r>
      <w:r>
        <w:rPr>
          <w:rFonts w:hint="eastAsia" w:ascii="仿宋" w:hAnsi="仿宋" w:eastAsia="仿宋" w:cs="仿宋"/>
          <w:b/>
          <w:color w:val="auto"/>
          <w:sz w:val="24"/>
          <w:highlight w:val="none"/>
        </w:rPr>
        <w:t>否则其投标作无效标处理</w:t>
      </w:r>
      <w:r>
        <w:rPr>
          <w:rFonts w:hint="eastAsia" w:ascii="仿宋" w:hAnsi="仿宋" w:eastAsia="仿宋" w:cs="仿宋"/>
          <w:color w:val="auto"/>
          <w:sz w:val="24"/>
          <w:highlight w:val="none"/>
        </w:rPr>
        <w:t>。</w:t>
      </w:r>
    </w:p>
    <w:p w14:paraId="4D8F295C">
      <w:pPr>
        <w:snapToGrid w:val="0"/>
        <w:spacing w:before="50" w:after="50" w:line="360" w:lineRule="auto"/>
        <w:ind w:firstLine="480" w:firstLineChars="200"/>
        <w:jc w:val="left"/>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2.</w:t>
      </w:r>
      <w:r>
        <w:rPr>
          <w:rFonts w:hint="eastAsia" w:ascii="仿宋" w:hAnsi="仿宋" w:eastAsia="仿宋" w:cs="仿宋"/>
          <w:color w:val="auto"/>
          <w:sz w:val="24"/>
          <w:highlight w:val="none"/>
        </w:rPr>
        <w:t>报价一经涂改，应在涂改处加盖投标人CA电子签章或者由法定代表人（负责人、自然人）或授权委托代理人签字或加盖手写签名章</w:t>
      </w:r>
      <w:r>
        <w:rPr>
          <w:rFonts w:hint="eastAsia" w:ascii="仿宋" w:hAnsi="仿宋" w:eastAsia="仿宋" w:cs="仿宋"/>
          <w:b/>
          <w:color w:val="auto"/>
          <w:sz w:val="24"/>
          <w:highlight w:val="none"/>
        </w:rPr>
        <w:t>，否则其投标作无效标处理。</w:t>
      </w:r>
    </w:p>
    <w:p w14:paraId="08329B99">
      <w:pPr>
        <w:snapToGrid w:val="0"/>
        <w:spacing w:before="50" w:after="50"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3.招标文件中列明采购专用耗材的，应按招标文件规定的耗材量或者按耗材的常规试用量提供报价。</w:t>
      </w:r>
    </w:p>
    <w:p w14:paraId="1887E2A6">
      <w:pPr>
        <w:snapToGrid w:val="0"/>
        <w:spacing w:before="50" w:after="50"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4.如为联合体投标，“投标人名称”处必须列明联合体各方名称，并标注联合体牵头人名称，</w:t>
      </w:r>
      <w:r>
        <w:rPr>
          <w:rFonts w:hint="eastAsia" w:ascii="仿宋" w:hAnsi="仿宋" w:eastAsia="仿宋" w:cs="仿宋"/>
          <w:b/>
          <w:color w:val="auto"/>
          <w:sz w:val="24"/>
          <w:highlight w:val="none"/>
        </w:rPr>
        <w:t>否则其投标作无效标处理。</w:t>
      </w:r>
    </w:p>
    <w:p w14:paraId="300EB846">
      <w:pPr>
        <w:snapToGrid w:val="0"/>
        <w:spacing w:before="50" w:after="50"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5.如为联合体投标，盖章处须加盖联合体各方公章，</w:t>
      </w:r>
      <w:r>
        <w:rPr>
          <w:rFonts w:hint="eastAsia" w:ascii="仿宋" w:hAnsi="仿宋" w:eastAsia="仿宋" w:cs="仿宋"/>
          <w:b/>
          <w:color w:val="auto"/>
          <w:sz w:val="24"/>
          <w:highlight w:val="none"/>
        </w:rPr>
        <w:t>否则其投标作无效标处理。</w:t>
      </w:r>
    </w:p>
    <w:p w14:paraId="3FC01139">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6.如有多分标，按分标分别提供开标一览表，</w:t>
      </w:r>
      <w:r>
        <w:rPr>
          <w:rFonts w:hint="eastAsia" w:ascii="仿宋" w:hAnsi="仿宋" w:eastAsia="仿宋" w:cs="仿宋"/>
          <w:b/>
          <w:color w:val="auto"/>
          <w:sz w:val="24"/>
          <w:highlight w:val="none"/>
        </w:rPr>
        <w:t>否则投标无效。</w:t>
      </w:r>
    </w:p>
    <w:p w14:paraId="46618F99">
      <w:pPr>
        <w:snapToGrid w:val="0"/>
        <w:spacing w:before="50" w:after="50" w:line="360" w:lineRule="auto"/>
        <w:ind w:left="-2" w:leftChars="-1" w:right="-817" w:rightChars="-389"/>
        <w:rPr>
          <w:rFonts w:hint="eastAsia" w:ascii="仿宋" w:hAnsi="仿宋" w:eastAsia="仿宋" w:cs="仿宋"/>
          <w:color w:val="auto"/>
          <w:sz w:val="24"/>
          <w:highlight w:val="none"/>
        </w:rPr>
      </w:pPr>
    </w:p>
    <w:p w14:paraId="27CEBCE5">
      <w:pPr>
        <w:snapToGrid w:val="0"/>
        <w:spacing w:before="50" w:after="50" w:line="360" w:lineRule="auto"/>
        <w:ind w:left="-2" w:leftChars="-1" w:right="-817" w:rightChars="-389"/>
        <w:rPr>
          <w:rFonts w:hint="eastAsia" w:ascii="仿宋" w:hAnsi="仿宋" w:eastAsia="仿宋" w:cs="仿宋"/>
          <w:color w:val="auto"/>
          <w:sz w:val="24"/>
          <w:highlight w:val="none"/>
        </w:rPr>
      </w:pPr>
    </w:p>
    <w:p w14:paraId="41316EA4">
      <w:pPr>
        <w:snapToGrid w:val="0"/>
        <w:spacing w:before="50" w:after="50" w:line="360" w:lineRule="auto"/>
        <w:ind w:right="-817" w:rightChars="-389"/>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法定代表人或者委托代理人（签字）：</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206E4E11">
      <w:pPr>
        <w:snapToGrid w:val="0"/>
        <w:spacing w:before="50" w:after="50" w:line="360" w:lineRule="auto"/>
        <w:ind w:left="-3" w:leftChars="-72" w:right="-817" w:rightChars="-389" w:hanging="148" w:hangingChars="62"/>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42B59667">
      <w:pPr>
        <w:snapToGrid w:val="0"/>
        <w:spacing w:before="50" w:after="50" w:line="360" w:lineRule="auto"/>
        <w:ind w:left="-3" w:leftChars="-15" w:right="-817" w:rightChars="-389" w:hanging="28" w:hangingChars="12"/>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投标人（盖公章）：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4B57B80C">
      <w:pPr>
        <w:pStyle w:val="17"/>
        <w:spacing w:before="42" w:line="228" w:lineRule="auto"/>
        <w:ind w:left="130"/>
        <w:rPr>
          <w:rFonts w:hint="eastAsia" w:ascii="仿宋" w:hAnsi="仿宋" w:eastAsia="仿宋" w:cs="仿宋"/>
          <w:color w:val="auto"/>
          <w:highlight w:val="none"/>
        </w:rPr>
      </w:pPr>
      <w:r>
        <w:rPr>
          <w:rFonts w:hint="eastAsia" w:ascii="仿宋" w:hAnsi="仿宋" w:eastAsia="仿宋" w:cs="仿宋"/>
          <w:color w:val="auto"/>
          <w:highlight w:val="none"/>
        </w:rPr>
        <w:t xml:space="preserve">                                              日期：    年   月   日</w:t>
      </w:r>
      <w:r>
        <w:rPr>
          <w:rFonts w:hint="eastAsia" w:ascii="仿宋" w:hAnsi="仿宋" w:eastAsia="仿宋" w:cs="仿宋"/>
          <w:b/>
          <w:bCs/>
          <w:color w:val="auto"/>
          <w:highlight w:val="none"/>
        </w:rPr>
        <w:br w:type="page"/>
      </w:r>
      <w:bookmarkStart w:id="149" w:name="_Toc19686837"/>
      <w:r>
        <w:rPr>
          <w:rFonts w:hint="eastAsia" w:ascii="仿宋" w:hAnsi="仿宋" w:eastAsia="仿宋" w:cs="仿宋"/>
          <w:b/>
          <w:bCs/>
          <w:color w:val="auto"/>
          <w:spacing w:val="5"/>
          <w:highlight w:val="none"/>
        </w:rPr>
        <w:t>（1）设备清单表</w:t>
      </w:r>
    </w:p>
    <w:p w14:paraId="7F3C7AE6">
      <w:pPr>
        <w:spacing w:before="114"/>
        <w:rPr>
          <w:rFonts w:hint="eastAsia" w:ascii="仿宋" w:hAnsi="仿宋" w:eastAsia="仿宋" w:cs="仿宋"/>
          <w:color w:val="auto"/>
          <w:sz w:val="24"/>
          <w:highlight w:val="none"/>
        </w:rPr>
      </w:pPr>
    </w:p>
    <w:tbl>
      <w:tblPr>
        <w:tblStyle w:val="119"/>
        <w:tblW w:w="91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2"/>
        <w:gridCol w:w="2269"/>
        <w:gridCol w:w="1866"/>
        <w:gridCol w:w="1559"/>
        <w:gridCol w:w="1187"/>
        <w:gridCol w:w="983"/>
        <w:gridCol w:w="760"/>
      </w:tblGrid>
      <w:tr w14:paraId="53CA7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512" w:type="dxa"/>
            <w:vAlign w:val="center"/>
          </w:tcPr>
          <w:p w14:paraId="4E43C1E4">
            <w:pPr>
              <w:pStyle w:val="118"/>
              <w:spacing w:before="165" w:line="241" w:lineRule="auto"/>
              <w:ind w:left="160" w:right="150" w:hanging="1"/>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项</w:t>
            </w:r>
            <w:r>
              <w:rPr>
                <w:rFonts w:hint="eastAsia" w:ascii="仿宋" w:hAnsi="仿宋" w:eastAsia="仿宋" w:cs="仿宋"/>
                <w:color w:val="auto"/>
                <w:spacing w:val="-5"/>
                <w:sz w:val="24"/>
                <w:szCs w:val="24"/>
                <w:highlight w:val="none"/>
              </w:rPr>
              <w:t>号</w:t>
            </w:r>
          </w:p>
        </w:tc>
        <w:tc>
          <w:tcPr>
            <w:tcW w:w="2269" w:type="dxa"/>
            <w:vAlign w:val="center"/>
          </w:tcPr>
          <w:p w14:paraId="187216E1">
            <w:pPr>
              <w:pStyle w:val="118"/>
              <w:spacing w:before="163" w:line="242" w:lineRule="auto"/>
              <w:ind w:left="560" w:right="157" w:hanging="417"/>
              <w:jc w:val="center"/>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货物（标的</w:t>
            </w:r>
            <w:r>
              <w:rPr>
                <w:rFonts w:hint="eastAsia" w:ascii="仿宋" w:hAnsi="仿宋" w:eastAsia="仿宋" w:cs="仿宋"/>
                <w:color w:val="auto"/>
                <w:spacing w:val="4"/>
                <w:sz w:val="24"/>
                <w:szCs w:val="24"/>
                <w:highlight w:val="none"/>
                <w:lang w:eastAsia="zh-CN"/>
              </w:rPr>
              <w:t>）</w:t>
            </w:r>
            <w:r>
              <w:rPr>
                <w:rFonts w:hint="eastAsia" w:ascii="仿宋" w:hAnsi="仿宋" w:eastAsia="仿宋" w:cs="仿宋"/>
                <w:color w:val="auto"/>
                <w:spacing w:val="3"/>
                <w:sz w:val="24"/>
                <w:szCs w:val="24"/>
                <w:highlight w:val="none"/>
              </w:rPr>
              <w:t>名称</w:t>
            </w:r>
          </w:p>
        </w:tc>
        <w:tc>
          <w:tcPr>
            <w:tcW w:w="1866" w:type="dxa"/>
            <w:vAlign w:val="center"/>
          </w:tcPr>
          <w:p w14:paraId="6BE4816A">
            <w:pPr>
              <w:pStyle w:val="118"/>
              <w:spacing w:before="293" w:line="228" w:lineRule="auto"/>
              <w:jc w:val="center"/>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品牌、规格型号</w:t>
            </w:r>
          </w:p>
        </w:tc>
        <w:tc>
          <w:tcPr>
            <w:tcW w:w="1559" w:type="dxa"/>
            <w:vAlign w:val="center"/>
          </w:tcPr>
          <w:p w14:paraId="3845AAE1">
            <w:pPr>
              <w:pStyle w:val="118"/>
              <w:spacing w:before="294" w:line="228" w:lineRule="auto"/>
              <w:jc w:val="center"/>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rPr>
              <w:t>制造商</w:t>
            </w:r>
          </w:p>
        </w:tc>
        <w:tc>
          <w:tcPr>
            <w:tcW w:w="1187" w:type="dxa"/>
            <w:vAlign w:val="center"/>
          </w:tcPr>
          <w:p w14:paraId="63B95ED1">
            <w:pPr>
              <w:pStyle w:val="118"/>
              <w:spacing w:before="293" w:line="228" w:lineRule="auto"/>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数量</w:t>
            </w:r>
          </w:p>
        </w:tc>
        <w:tc>
          <w:tcPr>
            <w:tcW w:w="983" w:type="dxa"/>
            <w:vAlign w:val="center"/>
          </w:tcPr>
          <w:p w14:paraId="5977530A">
            <w:pPr>
              <w:pStyle w:val="118"/>
              <w:spacing w:before="294" w:line="228" w:lineRule="auto"/>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单位</w:t>
            </w:r>
          </w:p>
        </w:tc>
        <w:tc>
          <w:tcPr>
            <w:tcW w:w="760" w:type="dxa"/>
            <w:vAlign w:val="center"/>
          </w:tcPr>
          <w:p w14:paraId="51B97BAD">
            <w:pPr>
              <w:pStyle w:val="118"/>
              <w:spacing w:before="294" w:line="229" w:lineRule="auto"/>
              <w:jc w:val="center"/>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备注</w:t>
            </w:r>
          </w:p>
        </w:tc>
      </w:tr>
      <w:tr w14:paraId="1A926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12" w:type="dxa"/>
            <w:vAlign w:val="center"/>
          </w:tcPr>
          <w:p w14:paraId="1A0047E1">
            <w:pPr>
              <w:pStyle w:val="118"/>
              <w:spacing w:before="65" w:line="27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position w:val="1"/>
                <w:sz w:val="24"/>
                <w:szCs w:val="24"/>
                <w:highlight w:val="none"/>
              </w:rPr>
              <w:t>1</w:t>
            </w:r>
          </w:p>
        </w:tc>
        <w:tc>
          <w:tcPr>
            <w:tcW w:w="2269" w:type="dxa"/>
            <w:vAlign w:val="center"/>
          </w:tcPr>
          <w:p w14:paraId="17D238FD">
            <w:pPr>
              <w:pStyle w:val="118"/>
              <w:spacing w:before="174" w:line="323" w:lineRule="auto"/>
              <w:ind w:left="352" w:right="139" w:hanging="214"/>
              <w:jc w:val="center"/>
              <w:rPr>
                <w:rFonts w:hint="eastAsia" w:ascii="仿宋" w:hAnsi="仿宋" w:eastAsia="仿宋" w:cs="仿宋"/>
                <w:color w:val="auto"/>
                <w:sz w:val="24"/>
                <w:szCs w:val="24"/>
                <w:highlight w:val="none"/>
              </w:rPr>
            </w:pPr>
          </w:p>
        </w:tc>
        <w:tc>
          <w:tcPr>
            <w:tcW w:w="1866" w:type="dxa"/>
            <w:vAlign w:val="center"/>
          </w:tcPr>
          <w:p w14:paraId="76E108DD">
            <w:pPr>
              <w:jc w:val="center"/>
              <w:rPr>
                <w:rFonts w:hint="eastAsia" w:ascii="仿宋" w:hAnsi="仿宋" w:eastAsia="仿宋" w:cs="仿宋"/>
                <w:color w:val="auto"/>
                <w:sz w:val="24"/>
                <w:highlight w:val="none"/>
              </w:rPr>
            </w:pPr>
          </w:p>
        </w:tc>
        <w:tc>
          <w:tcPr>
            <w:tcW w:w="1559" w:type="dxa"/>
            <w:vAlign w:val="center"/>
          </w:tcPr>
          <w:p w14:paraId="321E0703">
            <w:pPr>
              <w:jc w:val="center"/>
              <w:rPr>
                <w:rFonts w:hint="eastAsia" w:ascii="仿宋" w:hAnsi="仿宋" w:eastAsia="仿宋" w:cs="仿宋"/>
                <w:color w:val="auto"/>
                <w:sz w:val="24"/>
                <w:highlight w:val="none"/>
              </w:rPr>
            </w:pPr>
          </w:p>
        </w:tc>
        <w:tc>
          <w:tcPr>
            <w:tcW w:w="1187" w:type="dxa"/>
            <w:vAlign w:val="center"/>
          </w:tcPr>
          <w:p w14:paraId="44FFDA54">
            <w:pPr>
              <w:pStyle w:val="118"/>
              <w:spacing w:before="65" w:line="270" w:lineRule="exact"/>
              <w:ind w:left="510"/>
              <w:jc w:val="center"/>
              <w:rPr>
                <w:rFonts w:hint="eastAsia" w:ascii="仿宋" w:hAnsi="仿宋" w:eastAsia="仿宋" w:cs="仿宋"/>
                <w:color w:val="auto"/>
                <w:sz w:val="24"/>
                <w:szCs w:val="24"/>
                <w:highlight w:val="none"/>
              </w:rPr>
            </w:pPr>
          </w:p>
        </w:tc>
        <w:tc>
          <w:tcPr>
            <w:tcW w:w="983" w:type="dxa"/>
            <w:vAlign w:val="center"/>
          </w:tcPr>
          <w:p w14:paraId="266792FF">
            <w:pPr>
              <w:pStyle w:val="118"/>
              <w:spacing w:before="65" w:line="230" w:lineRule="auto"/>
              <w:ind w:left="411"/>
              <w:jc w:val="center"/>
              <w:rPr>
                <w:rFonts w:hint="eastAsia" w:ascii="仿宋" w:hAnsi="仿宋" w:eastAsia="仿宋" w:cs="仿宋"/>
                <w:color w:val="auto"/>
                <w:sz w:val="24"/>
                <w:szCs w:val="24"/>
                <w:highlight w:val="none"/>
              </w:rPr>
            </w:pPr>
          </w:p>
        </w:tc>
        <w:tc>
          <w:tcPr>
            <w:tcW w:w="760" w:type="dxa"/>
            <w:vAlign w:val="center"/>
          </w:tcPr>
          <w:p w14:paraId="6E7F093D">
            <w:pPr>
              <w:jc w:val="center"/>
              <w:rPr>
                <w:rFonts w:hint="eastAsia" w:ascii="仿宋" w:hAnsi="仿宋" w:eastAsia="仿宋" w:cs="仿宋"/>
                <w:color w:val="auto"/>
                <w:sz w:val="24"/>
                <w:highlight w:val="none"/>
              </w:rPr>
            </w:pPr>
          </w:p>
        </w:tc>
      </w:tr>
      <w:tr w14:paraId="609C7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12" w:type="dxa"/>
            <w:vAlign w:val="center"/>
          </w:tcPr>
          <w:p w14:paraId="7DEF45CF">
            <w:pPr>
              <w:pStyle w:val="118"/>
              <w:spacing w:before="65" w:line="270" w:lineRule="exact"/>
              <w:jc w:val="center"/>
              <w:rPr>
                <w:rFonts w:hint="eastAsia" w:ascii="仿宋" w:hAnsi="仿宋" w:eastAsia="仿宋" w:cs="仿宋"/>
                <w:color w:val="auto"/>
                <w:position w:val="1"/>
                <w:sz w:val="24"/>
                <w:szCs w:val="24"/>
                <w:highlight w:val="none"/>
                <w:lang w:eastAsia="zh-CN"/>
              </w:rPr>
            </w:pPr>
            <w:r>
              <w:rPr>
                <w:rFonts w:hint="eastAsia" w:ascii="仿宋" w:hAnsi="仿宋" w:eastAsia="仿宋" w:cs="仿宋"/>
                <w:color w:val="auto"/>
                <w:position w:val="1"/>
                <w:sz w:val="24"/>
                <w:szCs w:val="24"/>
                <w:highlight w:val="none"/>
                <w:lang w:eastAsia="zh-CN"/>
              </w:rPr>
              <w:t>2</w:t>
            </w:r>
          </w:p>
        </w:tc>
        <w:tc>
          <w:tcPr>
            <w:tcW w:w="2269" w:type="dxa"/>
            <w:vAlign w:val="center"/>
          </w:tcPr>
          <w:p w14:paraId="5F560158">
            <w:pPr>
              <w:pStyle w:val="118"/>
              <w:spacing w:before="174" w:line="323" w:lineRule="auto"/>
              <w:ind w:left="352" w:right="139" w:hanging="214"/>
              <w:jc w:val="center"/>
              <w:rPr>
                <w:rFonts w:hint="eastAsia" w:ascii="仿宋" w:hAnsi="仿宋" w:eastAsia="仿宋" w:cs="仿宋"/>
                <w:color w:val="auto"/>
                <w:sz w:val="24"/>
                <w:szCs w:val="24"/>
                <w:highlight w:val="none"/>
              </w:rPr>
            </w:pPr>
          </w:p>
        </w:tc>
        <w:tc>
          <w:tcPr>
            <w:tcW w:w="1866" w:type="dxa"/>
            <w:vAlign w:val="center"/>
          </w:tcPr>
          <w:p w14:paraId="017E8396">
            <w:pPr>
              <w:jc w:val="center"/>
              <w:rPr>
                <w:rFonts w:hint="eastAsia" w:ascii="仿宋" w:hAnsi="仿宋" w:eastAsia="仿宋" w:cs="仿宋"/>
                <w:color w:val="auto"/>
                <w:sz w:val="24"/>
                <w:highlight w:val="none"/>
              </w:rPr>
            </w:pPr>
          </w:p>
        </w:tc>
        <w:tc>
          <w:tcPr>
            <w:tcW w:w="1559" w:type="dxa"/>
            <w:vAlign w:val="center"/>
          </w:tcPr>
          <w:p w14:paraId="6D8AB335">
            <w:pPr>
              <w:jc w:val="center"/>
              <w:rPr>
                <w:rFonts w:hint="eastAsia" w:ascii="仿宋" w:hAnsi="仿宋" w:eastAsia="仿宋" w:cs="仿宋"/>
                <w:color w:val="auto"/>
                <w:sz w:val="24"/>
                <w:highlight w:val="none"/>
              </w:rPr>
            </w:pPr>
          </w:p>
        </w:tc>
        <w:tc>
          <w:tcPr>
            <w:tcW w:w="1187" w:type="dxa"/>
            <w:vAlign w:val="center"/>
          </w:tcPr>
          <w:p w14:paraId="7D09EE6A">
            <w:pPr>
              <w:pStyle w:val="118"/>
              <w:spacing w:before="65" w:line="270" w:lineRule="exact"/>
              <w:ind w:left="510"/>
              <w:jc w:val="center"/>
              <w:rPr>
                <w:rFonts w:hint="eastAsia" w:ascii="仿宋" w:hAnsi="仿宋" w:eastAsia="仿宋" w:cs="仿宋"/>
                <w:color w:val="auto"/>
                <w:sz w:val="24"/>
                <w:szCs w:val="24"/>
                <w:highlight w:val="none"/>
              </w:rPr>
            </w:pPr>
          </w:p>
        </w:tc>
        <w:tc>
          <w:tcPr>
            <w:tcW w:w="983" w:type="dxa"/>
            <w:vAlign w:val="center"/>
          </w:tcPr>
          <w:p w14:paraId="010C4F20">
            <w:pPr>
              <w:pStyle w:val="118"/>
              <w:spacing w:before="65" w:line="230" w:lineRule="auto"/>
              <w:ind w:left="411"/>
              <w:jc w:val="center"/>
              <w:rPr>
                <w:rFonts w:hint="eastAsia" w:ascii="仿宋" w:hAnsi="仿宋" w:eastAsia="仿宋" w:cs="仿宋"/>
                <w:color w:val="auto"/>
                <w:sz w:val="24"/>
                <w:szCs w:val="24"/>
                <w:highlight w:val="none"/>
              </w:rPr>
            </w:pPr>
          </w:p>
        </w:tc>
        <w:tc>
          <w:tcPr>
            <w:tcW w:w="760" w:type="dxa"/>
            <w:vAlign w:val="center"/>
          </w:tcPr>
          <w:p w14:paraId="5044206B">
            <w:pPr>
              <w:jc w:val="center"/>
              <w:rPr>
                <w:rFonts w:hint="eastAsia" w:ascii="仿宋" w:hAnsi="仿宋" w:eastAsia="仿宋" w:cs="仿宋"/>
                <w:color w:val="auto"/>
                <w:sz w:val="24"/>
                <w:highlight w:val="none"/>
              </w:rPr>
            </w:pPr>
          </w:p>
        </w:tc>
      </w:tr>
      <w:tr w14:paraId="77EC5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12" w:type="dxa"/>
            <w:vAlign w:val="center"/>
          </w:tcPr>
          <w:p w14:paraId="6ED9828E">
            <w:pPr>
              <w:pStyle w:val="118"/>
              <w:spacing w:before="65" w:line="270" w:lineRule="exact"/>
              <w:jc w:val="center"/>
              <w:rPr>
                <w:rFonts w:hint="eastAsia" w:ascii="仿宋" w:hAnsi="仿宋" w:eastAsia="仿宋" w:cs="仿宋"/>
                <w:color w:val="auto"/>
                <w:position w:val="1"/>
                <w:sz w:val="24"/>
                <w:szCs w:val="24"/>
                <w:highlight w:val="none"/>
                <w:lang w:eastAsia="zh-CN"/>
              </w:rPr>
            </w:pPr>
            <w:r>
              <w:rPr>
                <w:rFonts w:hint="eastAsia" w:ascii="仿宋" w:hAnsi="仿宋" w:eastAsia="仿宋" w:cs="仿宋"/>
                <w:color w:val="auto"/>
                <w:position w:val="1"/>
                <w:sz w:val="24"/>
                <w:szCs w:val="24"/>
                <w:highlight w:val="none"/>
                <w:lang w:eastAsia="zh-CN"/>
              </w:rPr>
              <w:t>3</w:t>
            </w:r>
          </w:p>
        </w:tc>
        <w:tc>
          <w:tcPr>
            <w:tcW w:w="2269" w:type="dxa"/>
            <w:vAlign w:val="center"/>
          </w:tcPr>
          <w:p w14:paraId="29726278">
            <w:pPr>
              <w:pStyle w:val="118"/>
              <w:spacing w:before="174" w:line="323" w:lineRule="auto"/>
              <w:ind w:left="352" w:right="139" w:hanging="214"/>
              <w:jc w:val="center"/>
              <w:rPr>
                <w:rFonts w:hint="eastAsia" w:ascii="仿宋" w:hAnsi="仿宋" w:eastAsia="仿宋" w:cs="仿宋"/>
                <w:color w:val="auto"/>
                <w:sz w:val="24"/>
                <w:szCs w:val="24"/>
                <w:highlight w:val="none"/>
              </w:rPr>
            </w:pPr>
          </w:p>
        </w:tc>
        <w:tc>
          <w:tcPr>
            <w:tcW w:w="1866" w:type="dxa"/>
            <w:vAlign w:val="center"/>
          </w:tcPr>
          <w:p w14:paraId="24386A31">
            <w:pPr>
              <w:jc w:val="center"/>
              <w:rPr>
                <w:rFonts w:hint="eastAsia" w:ascii="仿宋" w:hAnsi="仿宋" w:eastAsia="仿宋" w:cs="仿宋"/>
                <w:color w:val="auto"/>
                <w:sz w:val="24"/>
                <w:highlight w:val="none"/>
              </w:rPr>
            </w:pPr>
          </w:p>
        </w:tc>
        <w:tc>
          <w:tcPr>
            <w:tcW w:w="1559" w:type="dxa"/>
            <w:vAlign w:val="center"/>
          </w:tcPr>
          <w:p w14:paraId="234E900D">
            <w:pPr>
              <w:jc w:val="center"/>
              <w:rPr>
                <w:rFonts w:hint="eastAsia" w:ascii="仿宋" w:hAnsi="仿宋" w:eastAsia="仿宋" w:cs="仿宋"/>
                <w:color w:val="auto"/>
                <w:sz w:val="24"/>
                <w:highlight w:val="none"/>
              </w:rPr>
            </w:pPr>
          </w:p>
        </w:tc>
        <w:tc>
          <w:tcPr>
            <w:tcW w:w="1187" w:type="dxa"/>
            <w:vAlign w:val="center"/>
          </w:tcPr>
          <w:p w14:paraId="17F909AF">
            <w:pPr>
              <w:pStyle w:val="118"/>
              <w:spacing w:before="65" w:line="270" w:lineRule="exact"/>
              <w:ind w:left="510"/>
              <w:jc w:val="center"/>
              <w:rPr>
                <w:rFonts w:hint="eastAsia" w:ascii="仿宋" w:hAnsi="仿宋" w:eastAsia="仿宋" w:cs="仿宋"/>
                <w:color w:val="auto"/>
                <w:sz w:val="24"/>
                <w:szCs w:val="24"/>
                <w:highlight w:val="none"/>
              </w:rPr>
            </w:pPr>
          </w:p>
        </w:tc>
        <w:tc>
          <w:tcPr>
            <w:tcW w:w="983" w:type="dxa"/>
            <w:vAlign w:val="center"/>
          </w:tcPr>
          <w:p w14:paraId="47F53293">
            <w:pPr>
              <w:pStyle w:val="118"/>
              <w:spacing w:before="65" w:line="230" w:lineRule="auto"/>
              <w:ind w:left="411"/>
              <w:jc w:val="center"/>
              <w:rPr>
                <w:rFonts w:hint="eastAsia" w:ascii="仿宋" w:hAnsi="仿宋" w:eastAsia="仿宋" w:cs="仿宋"/>
                <w:color w:val="auto"/>
                <w:sz w:val="24"/>
                <w:szCs w:val="24"/>
                <w:highlight w:val="none"/>
              </w:rPr>
            </w:pPr>
          </w:p>
        </w:tc>
        <w:tc>
          <w:tcPr>
            <w:tcW w:w="760" w:type="dxa"/>
            <w:vAlign w:val="center"/>
          </w:tcPr>
          <w:p w14:paraId="24A20D7E">
            <w:pPr>
              <w:jc w:val="center"/>
              <w:rPr>
                <w:rFonts w:hint="eastAsia" w:ascii="仿宋" w:hAnsi="仿宋" w:eastAsia="仿宋" w:cs="仿宋"/>
                <w:color w:val="auto"/>
                <w:sz w:val="24"/>
                <w:highlight w:val="none"/>
              </w:rPr>
            </w:pPr>
          </w:p>
        </w:tc>
      </w:tr>
      <w:tr w14:paraId="2EEB5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12" w:type="dxa"/>
            <w:vAlign w:val="center"/>
          </w:tcPr>
          <w:p w14:paraId="40DE8F46">
            <w:pPr>
              <w:pStyle w:val="118"/>
              <w:spacing w:before="65" w:line="270" w:lineRule="exact"/>
              <w:jc w:val="center"/>
              <w:rPr>
                <w:rFonts w:hint="eastAsia" w:ascii="仿宋" w:hAnsi="仿宋" w:eastAsia="仿宋" w:cs="仿宋"/>
                <w:color w:val="auto"/>
                <w:position w:val="1"/>
                <w:sz w:val="24"/>
                <w:szCs w:val="24"/>
                <w:highlight w:val="none"/>
                <w:lang w:eastAsia="zh-CN"/>
              </w:rPr>
            </w:pPr>
            <w:r>
              <w:rPr>
                <w:rFonts w:hint="eastAsia" w:ascii="仿宋" w:hAnsi="仿宋" w:eastAsia="仿宋" w:cs="仿宋"/>
                <w:color w:val="auto"/>
                <w:position w:val="1"/>
                <w:sz w:val="24"/>
                <w:szCs w:val="24"/>
                <w:highlight w:val="none"/>
                <w:lang w:eastAsia="zh-CN"/>
              </w:rPr>
              <w:t>4</w:t>
            </w:r>
          </w:p>
        </w:tc>
        <w:tc>
          <w:tcPr>
            <w:tcW w:w="2269" w:type="dxa"/>
            <w:vAlign w:val="center"/>
          </w:tcPr>
          <w:p w14:paraId="352B49F8">
            <w:pPr>
              <w:pStyle w:val="118"/>
              <w:spacing w:before="174" w:line="323" w:lineRule="auto"/>
              <w:ind w:left="352" w:right="139" w:hanging="214"/>
              <w:jc w:val="center"/>
              <w:rPr>
                <w:rFonts w:hint="eastAsia" w:ascii="仿宋" w:hAnsi="仿宋" w:eastAsia="仿宋" w:cs="仿宋"/>
                <w:color w:val="auto"/>
                <w:sz w:val="24"/>
                <w:szCs w:val="24"/>
                <w:highlight w:val="none"/>
              </w:rPr>
            </w:pPr>
          </w:p>
        </w:tc>
        <w:tc>
          <w:tcPr>
            <w:tcW w:w="1866" w:type="dxa"/>
            <w:vAlign w:val="center"/>
          </w:tcPr>
          <w:p w14:paraId="58C18B41">
            <w:pPr>
              <w:jc w:val="center"/>
              <w:rPr>
                <w:rFonts w:hint="eastAsia" w:ascii="仿宋" w:hAnsi="仿宋" w:eastAsia="仿宋" w:cs="仿宋"/>
                <w:color w:val="auto"/>
                <w:sz w:val="24"/>
                <w:highlight w:val="none"/>
              </w:rPr>
            </w:pPr>
          </w:p>
        </w:tc>
        <w:tc>
          <w:tcPr>
            <w:tcW w:w="1559" w:type="dxa"/>
            <w:vAlign w:val="center"/>
          </w:tcPr>
          <w:p w14:paraId="1408267D">
            <w:pPr>
              <w:jc w:val="center"/>
              <w:rPr>
                <w:rFonts w:hint="eastAsia" w:ascii="仿宋" w:hAnsi="仿宋" w:eastAsia="仿宋" w:cs="仿宋"/>
                <w:color w:val="auto"/>
                <w:sz w:val="24"/>
                <w:highlight w:val="none"/>
              </w:rPr>
            </w:pPr>
          </w:p>
        </w:tc>
        <w:tc>
          <w:tcPr>
            <w:tcW w:w="1187" w:type="dxa"/>
            <w:vAlign w:val="center"/>
          </w:tcPr>
          <w:p w14:paraId="17B95624">
            <w:pPr>
              <w:pStyle w:val="118"/>
              <w:spacing w:before="65" w:line="270" w:lineRule="exact"/>
              <w:ind w:left="510"/>
              <w:jc w:val="center"/>
              <w:rPr>
                <w:rFonts w:hint="eastAsia" w:ascii="仿宋" w:hAnsi="仿宋" w:eastAsia="仿宋" w:cs="仿宋"/>
                <w:color w:val="auto"/>
                <w:sz w:val="24"/>
                <w:szCs w:val="24"/>
                <w:highlight w:val="none"/>
              </w:rPr>
            </w:pPr>
          </w:p>
        </w:tc>
        <w:tc>
          <w:tcPr>
            <w:tcW w:w="983" w:type="dxa"/>
            <w:vAlign w:val="center"/>
          </w:tcPr>
          <w:p w14:paraId="3C2A568E">
            <w:pPr>
              <w:pStyle w:val="118"/>
              <w:spacing w:before="65" w:line="230" w:lineRule="auto"/>
              <w:ind w:left="411"/>
              <w:jc w:val="center"/>
              <w:rPr>
                <w:rFonts w:hint="eastAsia" w:ascii="仿宋" w:hAnsi="仿宋" w:eastAsia="仿宋" w:cs="仿宋"/>
                <w:color w:val="auto"/>
                <w:sz w:val="24"/>
                <w:szCs w:val="24"/>
                <w:highlight w:val="none"/>
              </w:rPr>
            </w:pPr>
          </w:p>
        </w:tc>
        <w:tc>
          <w:tcPr>
            <w:tcW w:w="760" w:type="dxa"/>
            <w:vAlign w:val="center"/>
          </w:tcPr>
          <w:p w14:paraId="3F475742">
            <w:pPr>
              <w:jc w:val="center"/>
              <w:rPr>
                <w:rFonts w:hint="eastAsia" w:ascii="仿宋" w:hAnsi="仿宋" w:eastAsia="仿宋" w:cs="仿宋"/>
                <w:color w:val="auto"/>
                <w:sz w:val="24"/>
                <w:highlight w:val="none"/>
              </w:rPr>
            </w:pPr>
          </w:p>
        </w:tc>
      </w:tr>
      <w:tr w14:paraId="20799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12" w:type="dxa"/>
            <w:vAlign w:val="center"/>
          </w:tcPr>
          <w:p w14:paraId="15A9DC60">
            <w:pPr>
              <w:pStyle w:val="118"/>
              <w:spacing w:before="65" w:line="270" w:lineRule="exact"/>
              <w:jc w:val="center"/>
              <w:rPr>
                <w:rFonts w:hint="eastAsia" w:ascii="仿宋" w:hAnsi="仿宋" w:eastAsia="仿宋" w:cs="仿宋"/>
                <w:color w:val="auto"/>
                <w:position w:val="1"/>
                <w:sz w:val="24"/>
                <w:szCs w:val="24"/>
                <w:highlight w:val="none"/>
                <w:lang w:eastAsia="zh-CN"/>
              </w:rPr>
            </w:pPr>
            <w:r>
              <w:rPr>
                <w:rFonts w:hint="eastAsia" w:ascii="仿宋" w:hAnsi="仿宋" w:eastAsia="仿宋" w:cs="仿宋"/>
                <w:color w:val="auto"/>
                <w:position w:val="1"/>
                <w:sz w:val="24"/>
                <w:szCs w:val="24"/>
                <w:highlight w:val="none"/>
                <w:lang w:eastAsia="zh-CN"/>
              </w:rPr>
              <w:t>5</w:t>
            </w:r>
          </w:p>
        </w:tc>
        <w:tc>
          <w:tcPr>
            <w:tcW w:w="2269" w:type="dxa"/>
            <w:vAlign w:val="center"/>
          </w:tcPr>
          <w:p w14:paraId="30781AA1">
            <w:pPr>
              <w:pStyle w:val="118"/>
              <w:spacing w:before="174" w:line="323" w:lineRule="auto"/>
              <w:ind w:left="352" w:right="139" w:hanging="214"/>
              <w:jc w:val="center"/>
              <w:rPr>
                <w:rFonts w:hint="eastAsia" w:ascii="仿宋" w:hAnsi="仿宋" w:eastAsia="仿宋" w:cs="仿宋"/>
                <w:color w:val="auto"/>
                <w:sz w:val="24"/>
                <w:szCs w:val="24"/>
                <w:highlight w:val="none"/>
              </w:rPr>
            </w:pPr>
          </w:p>
        </w:tc>
        <w:tc>
          <w:tcPr>
            <w:tcW w:w="1866" w:type="dxa"/>
            <w:vAlign w:val="center"/>
          </w:tcPr>
          <w:p w14:paraId="0AA25E78">
            <w:pPr>
              <w:jc w:val="center"/>
              <w:rPr>
                <w:rFonts w:hint="eastAsia" w:ascii="仿宋" w:hAnsi="仿宋" w:eastAsia="仿宋" w:cs="仿宋"/>
                <w:color w:val="auto"/>
                <w:sz w:val="24"/>
                <w:highlight w:val="none"/>
              </w:rPr>
            </w:pPr>
          </w:p>
        </w:tc>
        <w:tc>
          <w:tcPr>
            <w:tcW w:w="1559" w:type="dxa"/>
            <w:vAlign w:val="center"/>
          </w:tcPr>
          <w:p w14:paraId="120EDC1E">
            <w:pPr>
              <w:jc w:val="center"/>
              <w:rPr>
                <w:rFonts w:hint="eastAsia" w:ascii="仿宋" w:hAnsi="仿宋" w:eastAsia="仿宋" w:cs="仿宋"/>
                <w:color w:val="auto"/>
                <w:sz w:val="24"/>
                <w:highlight w:val="none"/>
              </w:rPr>
            </w:pPr>
          </w:p>
        </w:tc>
        <w:tc>
          <w:tcPr>
            <w:tcW w:w="1187" w:type="dxa"/>
            <w:vAlign w:val="center"/>
          </w:tcPr>
          <w:p w14:paraId="5F1F190D">
            <w:pPr>
              <w:pStyle w:val="118"/>
              <w:spacing w:before="65" w:line="270" w:lineRule="exact"/>
              <w:ind w:left="510"/>
              <w:jc w:val="center"/>
              <w:rPr>
                <w:rFonts w:hint="eastAsia" w:ascii="仿宋" w:hAnsi="仿宋" w:eastAsia="仿宋" w:cs="仿宋"/>
                <w:color w:val="auto"/>
                <w:sz w:val="24"/>
                <w:szCs w:val="24"/>
                <w:highlight w:val="none"/>
              </w:rPr>
            </w:pPr>
          </w:p>
        </w:tc>
        <w:tc>
          <w:tcPr>
            <w:tcW w:w="983" w:type="dxa"/>
            <w:vAlign w:val="center"/>
          </w:tcPr>
          <w:p w14:paraId="471103BB">
            <w:pPr>
              <w:pStyle w:val="118"/>
              <w:spacing w:before="65" w:line="230" w:lineRule="auto"/>
              <w:ind w:left="411"/>
              <w:jc w:val="center"/>
              <w:rPr>
                <w:rFonts w:hint="eastAsia" w:ascii="仿宋" w:hAnsi="仿宋" w:eastAsia="仿宋" w:cs="仿宋"/>
                <w:color w:val="auto"/>
                <w:sz w:val="24"/>
                <w:szCs w:val="24"/>
                <w:highlight w:val="none"/>
              </w:rPr>
            </w:pPr>
          </w:p>
        </w:tc>
        <w:tc>
          <w:tcPr>
            <w:tcW w:w="760" w:type="dxa"/>
            <w:vAlign w:val="center"/>
          </w:tcPr>
          <w:p w14:paraId="72C8E802">
            <w:pPr>
              <w:jc w:val="center"/>
              <w:rPr>
                <w:rFonts w:hint="eastAsia" w:ascii="仿宋" w:hAnsi="仿宋" w:eastAsia="仿宋" w:cs="仿宋"/>
                <w:color w:val="auto"/>
                <w:sz w:val="24"/>
                <w:highlight w:val="none"/>
              </w:rPr>
            </w:pPr>
          </w:p>
        </w:tc>
      </w:tr>
      <w:tr w14:paraId="04B1B6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12" w:type="dxa"/>
            <w:vAlign w:val="center"/>
          </w:tcPr>
          <w:p w14:paraId="7358FFF2">
            <w:pPr>
              <w:pStyle w:val="118"/>
              <w:spacing w:before="65" w:line="270" w:lineRule="exact"/>
              <w:jc w:val="center"/>
              <w:rPr>
                <w:rFonts w:hint="eastAsia" w:ascii="仿宋" w:hAnsi="仿宋" w:eastAsia="仿宋" w:cs="仿宋"/>
                <w:color w:val="auto"/>
                <w:position w:val="1"/>
                <w:sz w:val="24"/>
                <w:szCs w:val="24"/>
                <w:highlight w:val="none"/>
                <w:lang w:eastAsia="zh-CN"/>
              </w:rPr>
            </w:pPr>
            <w:r>
              <w:rPr>
                <w:rFonts w:hint="eastAsia" w:ascii="仿宋" w:hAnsi="仿宋" w:eastAsia="仿宋" w:cs="仿宋"/>
                <w:color w:val="auto"/>
                <w:position w:val="1"/>
                <w:sz w:val="24"/>
                <w:szCs w:val="24"/>
                <w:highlight w:val="none"/>
                <w:lang w:eastAsia="zh-CN"/>
              </w:rPr>
              <w:t>...</w:t>
            </w:r>
          </w:p>
        </w:tc>
        <w:tc>
          <w:tcPr>
            <w:tcW w:w="2269" w:type="dxa"/>
            <w:vAlign w:val="center"/>
          </w:tcPr>
          <w:p w14:paraId="385FE565">
            <w:pPr>
              <w:pStyle w:val="118"/>
              <w:spacing w:before="174" w:line="323" w:lineRule="auto"/>
              <w:ind w:left="352" w:right="139" w:hanging="214"/>
              <w:jc w:val="center"/>
              <w:rPr>
                <w:rFonts w:hint="eastAsia" w:ascii="仿宋" w:hAnsi="仿宋" w:eastAsia="仿宋" w:cs="仿宋"/>
                <w:color w:val="auto"/>
                <w:sz w:val="24"/>
                <w:szCs w:val="24"/>
                <w:highlight w:val="none"/>
              </w:rPr>
            </w:pPr>
          </w:p>
        </w:tc>
        <w:tc>
          <w:tcPr>
            <w:tcW w:w="1866" w:type="dxa"/>
            <w:vAlign w:val="center"/>
          </w:tcPr>
          <w:p w14:paraId="51F01E8B">
            <w:pPr>
              <w:jc w:val="center"/>
              <w:rPr>
                <w:rFonts w:hint="eastAsia" w:ascii="仿宋" w:hAnsi="仿宋" w:eastAsia="仿宋" w:cs="仿宋"/>
                <w:color w:val="auto"/>
                <w:sz w:val="24"/>
                <w:highlight w:val="none"/>
              </w:rPr>
            </w:pPr>
          </w:p>
        </w:tc>
        <w:tc>
          <w:tcPr>
            <w:tcW w:w="1559" w:type="dxa"/>
            <w:vAlign w:val="center"/>
          </w:tcPr>
          <w:p w14:paraId="03D0A5F2">
            <w:pPr>
              <w:jc w:val="center"/>
              <w:rPr>
                <w:rFonts w:hint="eastAsia" w:ascii="仿宋" w:hAnsi="仿宋" w:eastAsia="仿宋" w:cs="仿宋"/>
                <w:color w:val="auto"/>
                <w:sz w:val="24"/>
                <w:highlight w:val="none"/>
              </w:rPr>
            </w:pPr>
          </w:p>
        </w:tc>
        <w:tc>
          <w:tcPr>
            <w:tcW w:w="1187" w:type="dxa"/>
            <w:vAlign w:val="center"/>
          </w:tcPr>
          <w:p w14:paraId="767AFA85">
            <w:pPr>
              <w:pStyle w:val="118"/>
              <w:spacing w:before="65" w:line="270" w:lineRule="exact"/>
              <w:ind w:left="510"/>
              <w:jc w:val="center"/>
              <w:rPr>
                <w:rFonts w:hint="eastAsia" w:ascii="仿宋" w:hAnsi="仿宋" w:eastAsia="仿宋" w:cs="仿宋"/>
                <w:color w:val="auto"/>
                <w:sz w:val="24"/>
                <w:szCs w:val="24"/>
                <w:highlight w:val="none"/>
              </w:rPr>
            </w:pPr>
          </w:p>
        </w:tc>
        <w:tc>
          <w:tcPr>
            <w:tcW w:w="983" w:type="dxa"/>
            <w:vAlign w:val="center"/>
          </w:tcPr>
          <w:p w14:paraId="66E9B6B3">
            <w:pPr>
              <w:pStyle w:val="118"/>
              <w:spacing w:before="65" w:line="230" w:lineRule="auto"/>
              <w:ind w:left="411"/>
              <w:jc w:val="center"/>
              <w:rPr>
                <w:rFonts w:hint="eastAsia" w:ascii="仿宋" w:hAnsi="仿宋" w:eastAsia="仿宋" w:cs="仿宋"/>
                <w:color w:val="auto"/>
                <w:sz w:val="24"/>
                <w:szCs w:val="24"/>
                <w:highlight w:val="none"/>
              </w:rPr>
            </w:pPr>
          </w:p>
        </w:tc>
        <w:tc>
          <w:tcPr>
            <w:tcW w:w="760" w:type="dxa"/>
            <w:vAlign w:val="center"/>
          </w:tcPr>
          <w:p w14:paraId="2F12F0EE">
            <w:pPr>
              <w:jc w:val="center"/>
              <w:rPr>
                <w:rFonts w:hint="eastAsia" w:ascii="仿宋" w:hAnsi="仿宋" w:eastAsia="仿宋" w:cs="仿宋"/>
                <w:color w:val="auto"/>
                <w:sz w:val="24"/>
                <w:highlight w:val="none"/>
              </w:rPr>
            </w:pPr>
          </w:p>
        </w:tc>
      </w:tr>
    </w:tbl>
    <w:p w14:paraId="30B7DBA3">
      <w:pPr>
        <w:spacing w:line="253" w:lineRule="auto"/>
        <w:rPr>
          <w:rFonts w:hint="eastAsia" w:ascii="仿宋" w:hAnsi="仿宋" w:eastAsia="仿宋" w:cs="仿宋"/>
          <w:color w:val="auto"/>
          <w:sz w:val="24"/>
          <w:highlight w:val="none"/>
        </w:rPr>
      </w:pPr>
    </w:p>
    <w:p w14:paraId="1871C8F2">
      <w:pPr>
        <w:spacing w:line="253" w:lineRule="auto"/>
        <w:rPr>
          <w:rFonts w:hint="eastAsia" w:ascii="仿宋" w:hAnsi="仿宋" w:eastAsia="仿宋" w:cs="仿宋"/>
          <w:color w:val="auto"/>
          <w:sz w:val="24"/>
          <w:highlight w:val="none"/>
        </w:rPr>
      </w:pPr>
    </w:p>
    <w:p w14:paraId="60369F63">
      <w:pPr>
        <w:spacing w:line="253" w:lineRule="auto"/>
        <w:rPr>
          <w:rFonts w:hint="eastAsia" w:ascii="仿宋" w:hAnsi="仿宋" w:eastAsia="仿宋" w:cs="仿宋"/>
          <w:color w:val="auto"/>
          <w:sz w:val="24"/>
          <w:highlight w:val="none"/>
        </w:rPr>
      </w:pPr>
    </w:p>
    <w:p w14:paraId="2A8D9100">
      <w:pPr>
        <w:spacing w:line="253" w:lineRule="auto"/>
        <w:rPr>
          <w:rFonts w:hint="eastAsia" w:ascii="仿宋" w:hAnsi="仿宋" w:eastAsia="仿宋" w:cs="仿宋"/>
          <w:color w:val="auto"/>
          <w:sz w:val="24"/>
          <w:highlight w:val="none"/>
        </w:rPr>
      </w:pPr>
    </w:p>
    <w:p w14:paraId="14008664">
      <w:pPr>
        <w:spacing w:line="253" w:lineRule="auto"/>
        <w:rPr>
          <w:rFonts w:hint="eastAsia" w:ascii="仿宋" w:hAnsi="仿宋" w:eastAsia="仿宋" w:cs="仿宋"/>
          <w:color w:val="auto"/>
          <w:sz w:val="24"/>
          <w:highlight w:val="none"/>
        </w:rPr>
      </w:pPr>
    </w:p>
    <w:p w14:paraId="7330788D">
      <w:pPr>
        <w:spacing w:line="253" w:lineRule="auto"/>
        <w:rPr>
          <w:rFonts w:hint="eastAsia" w:ascii="仿宋" w:hAnsi="仿宋" w:eastAsia="仿宋" w:cs="仿宋"/>
          <w:color w:val="auto"/>
          <w:sz w:val="24"/>
          <w:highlight w:val="none"/>
        </w:rPr>
      </w:pPr>
    </w:p>
    <w:p w14:paraId="258DAB57">
      <w:pPr>
        <w:pStyle w:val="17"/>
        <w:spacing w:before="65" w:line="227" w:lineRule="auto"/>
        <w:ind w:left="228"/>
        <w:outlineLvl w:val="2"/>
        <w:rPr>
          <w:rFonts w:hint="eastAsia" w:ascii="仿宋" w:hAnsi="仿宋" w:eastAsia="仿宋" w:cs="仿宋"/>
          <w:color w:val="auto"/>
          <w:highlight w:val="none"/>
        </w:rPr>
      </w:pPr>
      <w:r>
        <w:rPr>
          <w:rFonts w:hint="eastAsia" w:ascii="仿宋" w:hAnsi="仿宋" w:eastAsia="仿宋" w:cs="仿宋"/>
          <w:color w:val="auto"/>
          <w:spacing w:val="3"/>
          <w:highlight w:val="none"/>
        </w:rPr>
        <w:t>投标人</w:t>
      </w:r>
      <w:r>
        <w:rPr>
          <w:rFonts w:hint="eastAsia" w:ascii="仿宋" w:hAnsi="仿宋" w:eastAsia="仿宋" w:cs="仿宋"/>
          <w:color w:val="auto"/>
          <w:spacing w:val="52"/>
          <w:highlight w:val="none"/>
        </w:rPr>
        <w:t xml:space="preserve"> </w:t>
      </w:r>
      <w:r>
        <w:rPr>
          <w:rFonts w:hint="eastAsia" w:ascii="仿宋" w:hAnsi="仿宋" w:eastAsia="仿宋" w:cs="仿宋"/>
          <w:color w:val="auto"/>
          <w:spacing w:val="3"/>
          <w:highlight w:val="none"/>
        </w:rPr>
        <w:t>(电子签章)：</w:t>
      </w:r>
      <w:r>
        <w:rPr>
          <w:rFonts w:hint="eastAsia" w:ascii="仿宋" w:hAnsi="仿宋" w:eastAsia="仿宋" w:cs="仿宋"/>
          <w:color w:val="auto"/>
          <w:highlight w:val="none"/>
          <w:u w:val="single"/>
        </w:rPr>
        <w:t xml:space="preserve">                                       </w:t>
      </w:r>
    </w:p>
    <w:p w14:paraId="46F2F4A8">
      <w:pPr>
        <w:pStyle w:val="17"/>
        <w:spacing w:before="107" w:line="228" w:lineRule="auto"/>
        <w:ind w:left="575"/>
        <w:rPr>
          <w:rFonts w:hint="eastAsia" w:ascii="仿宋" w:hAnsi="仿宋" w:eastAsia="仿宋" w:cs="仿宋"/>
          <w:color w:val="auto"/>
          <w:highlight w:val="none"/>
        </w:rPr>
      </w:pPr>
      <w:r>
        <w:rPr>
          <w:rFonts w:hint="eastAsia" w:ascii="仿宋" w:hAnsi="仿宋" w:eastAsia="仿宋" w:cs="仿宋"/>
          <w:color w:val="auto"/>
          <w:spacing w:val="-18"/>
          <w:highlight w:val="none"/>
        </w:rPr>
        <w:t>日</w:t>
      </w:r>
      <w:r>
        <w:rPr>
          <w:rFonts w:hint="eastAsia" w:ascii="仿宋" w:hAnsi="仿宋" w:eastAsia="仿宋" w:cs="仿宋"/>
          <w:color w:val="auto"/>
          <w:spacing w:val="7"/>
          <w:highlight w:val="none"/>
        </w:rPr>
        <w:t xml:space="preserve">     </w:t>
      </w:r>
      <w:r>
        <w:rPr>
          <w:rFonts w:hint="eastAsia" w:ascii="仿宋" w:hAnsi="仿宋" w:eastAsia="仿宋" w:cs="仿宋"/>
          <w:color w:val="auto"/>
          <w:spacing w:val="-18"/>
          <w:highlight w:val="none"/>
        </w:rPr>
        <w:t>期</w:t>
      </w:r>
      <w:r>
        <w:rPr>
          <w:rFonts w:hint="eastAsia" w:ascii="仿宋" w:hAnsi="仿宋" w:eastAsia="仿宋" w:cs="仿宋"/>
          <w:color w:val="auto"/>
          <w:spacing w:val="-71"/>
          <w:highlight w:val="none"/>
        </w:rPr>
        <w:t xml:space="preserve"> </w:t>
      </w:r>
      <w:r>
        <w:rPr>
          <w:rFonts w:hint="eastAsia" w:ascii="仿宋" w:hAnsi="仿宋" w:eastAsia="仿宋" w:cs="仿宋"/>
          <w:color w:val="auto"/>
          <w:spacing w:val="-18"/>
          <w:highlight w:val="none"/>
        </w:rPr>
        <w:t>：</w:t>
      </w:r>
      <w:r>
        <w:rPr>
          <w:rFonts w:hint="eastAsia" w:ascii="仿宋" w:hAnsi="仿宋" w:eastAsia="仿宋" w:cs="仿宋"/>
          <w:color w:val="auto"/>
          <w:highlight w:val="none"/>
          <w:u w:val="single"/>
        </w:rPr>
        <w:t xml:space="preserve">                                                      </w:t>
      </w:r>
    </w:p>
    <w:p w14:paraId="71A0B8E1">
      <w:pPr>
        <w:spacing w:line="262" w:lineRule="auto"/>
        <w:rPr>
          <w:rFonts w:hint="eastAsia" w:ascii="仿宋" w:hAnsi="仿宋" w:eastAsia="仿宋" w:cs="仿宋"/>
          <w:color w:val="auto"/>
          <w:sz w:val="24"/>
          <w:highlight w:val="none"/>
        </w:rPr>
      </w:pPr>
    </w:p>
    <w:p w14:paraId="3DE18680">
      <w:pPr>
        <w:spacing w:line="262" w:lineRule="auto"/>
        <w:rPr>
          <w:rFonts w:hint="eastAsia" w:ascii="仿宋" w:hAnsi="仿宋" w:eastAsia="仿宋" w:cs="仿宋"/>
          <w:color w:val="auto"/>
          <w:sz w:val="24"/>
          <w:highlight w:val="none"/>
        </w:rPr>
      </w:pPr>
    </w:p>
    <w:p w14:paraId="0FF1B299">
      <w:pPr>
        <w:spacing w:line="262" w:lineRule="auto"/>
        <w:rPr>
          <w:rFonts w:hint="eastAsia" w:ascii="仿宋" w:hAnsi="仿宋" w:eastAsia="仿宋" w:cs="仿宋"/>
          <w:color w:val="auto"/>
          <w:sz w:val="24"/>
          <w:highlight w:val="none"/>
        </w:rPr>
      </w:pPr>
    </w:p>
    <w:p w14:paraId="465D3FBE">
      <w:pPr>
        <w:spacing w:line="263" w:lineRule="auto"/>
        <w:rPr>
          <w:rFonts w:hint="eastAsia" w:ascii="仿宋" w:hAnsi="仿宋" w:eastAsia="仿宋" w:cs="仿宋"/>
          <w:color w:val="auto"/>
          <w:sz w:val="24"/>
          <w:highlight w:val="none"/>
        </w:rPr>
      </w:pPr>
    </w:p>
    <w:p w14:paraId="026343A7">
      <w:pPr>
        <w:pStyle w:val="17"/>
        <w:spacing w:before="65" w:line="226" w:lineRule="auto"/>
        <w:ind w:left="130"/>
        <w:rPr>
          <w:rFonts w:hint="eastAsia" w:ascii="仿宋" w:hAnsi="仿宋" w:eastAsia="仿宋" w:cs="仿宋"/>
          <w:color w:val="auto"/>
          <w:highlight w:val="none"/>
        </w:rPr>
      </w:pPr>
      <w:r>
        <w:rPr>
          <w:rFonts w:hint="eastAsia" w:ascii="仿宋" w:hAnsi="仿宋" w:eastAsia="仿宋" w:cs="仿宋"/>
          <w:b/>
          <w:bCs/>
          <w:color w:val="auto"/>
          <w:spacing w:val="2"/>
          <w:highlight w:val="none"/>
        </w:rPr>
        <w:t>（2）</w:t>
      </w:r>
      <w:r>
        <w:rPr>
          <w:rFonts w:hint="eastAsia" w:ascii="仿宋" w:hAnsi="仿宋" w:eastAsia="仿宋" w:cs="仿宋"/>
          <w:color w:val="auto"/>
          <w:spacing w:val="-52"/>
          <w:highlight w:val="none"/>
        </w:rPr>
        <w:t xml:space="preserve"> </w:t>
      </w:r>
      <w:r>
        <w:rPr>
          <w:rFonts w:hint="eastAsia" w:ascii="仿宋" w:hAnsi="仿宋" w:eastAsia="仿宋" w:cs="仿宋"/>
          <w:b/>
          <w:bCs/>
          <w:color w:val="auto"/>
          <w:spacing w:val="2"/>
          <w:highlight w:val="none"/>
        </w:rPr>
        <w:t>已标价工程量清单</w:t>
      </w:r>
    </w:p>
    <w:p w14:paraId="35271929">
      <w:pP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br w:type="page"/>
      </w:r>
    </w:p>
    <w:p w14:paraId="37FD1C47">
      <w:pPr>
        <w:snapToGrid w:val="0"/>
        <w:spacing w:before="50" w:after="50" w:line="360" w:lineRule="auto"/>
        <w:ind w:left="3" w:leftChars="-15" w:right="-817" w:rightChars="-389" w:hanging="34" w:hangingChars="12"/>
        <w:jc w:val="lef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三、资格证明文件格式</w:t>
      </w:r>
      <w:bookmarkEnd w:id="147"/>
      <w:bookmarkEnd w:id="148"/>
      <w:bookmarkEnd w:id="149"/>
    </w:p>
    <w:p w14:paraId="0432AD3C">
      <w:pPr>
        <w:numPr>
          <w:ilvl w:val="2"/>
          <w:numId w:val="4"/>
        </w:numPr>
        <w:snapToGrid w:val="0"/>
        <w:spacing w:before="156" w:beforeLines="50" w:after="50" w:line="360" w:lineRule="auto"/>
        <w:ind w:left="0" w:firstLine="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资格证明文件封面格式： </w:t>
      </w:r>
    </w:p>
    <w:p w14:paraId="272C7751">
      <w:pPr>
        <w:snapToGrid w:val="0"/>
        <w:spacing w:before="156" w:beforeLines="50" w:after="50"/>
        <w:rPr>
          <w:rFonts w:hint="eastAsia" w:ascii="仿宋" w:hAnsi="仿宋" w:eastAsia="仿宋" w:cs="仿宋"/>
          <w:bCs/>
          <w:color w:val="auto"/>
          <w:sz w:val="32"/>
          <w:szCs w:val="20"/>
          <w:highlight w:val="none"/>
        </w:rPr>
      </w:pPr>
      <w:r>
        <w:rPr>
          <w:rFonts w:hint="eastAsia" w:ascii="仿宋" w:hAnsi="仿宋" w:eastAsia="仿宋" w:cs="仿宋"/>
          <w:color w:val="auto"/>
          <w:sz w:val="24"/>
          <w:highlight w:val="none"/>
        </w:rPr>
        <w:t xml:space="preserve">                                                    </w:t>
      </w:r>
    </w:p>
    <w:p w14:paraId="6FEA31D2">
      <w:pPr>
        <w:snapToGrid w:val="0"/>
        <w:spacing w:before="156" w:beforeLines="50" w:after="50"/>
        <w:rPr>
          <w:rFonts w:hint="eastAsia" w:ascii="仿宋" w:hAnsi="仿宋" w:eastAsia="仿宋" w:cs="仿宋"/>
          <w:color w:val="auto"/>
          <w:sz w:val="24"/>
          <w:szCs w:val="20"/>
          <w:highlight w:val="none"/>
        </w:rPr>
      </w:pPr>
    </w:p>
    <w:p w14:paraId="06862580">
      <w:pPr>
        <w:snapToGrid w:val="0"/>
        <w:spacing w:before="156" w:beforeLines="50" w:after="50"/>
        <w:jc w:val="center"/>
        <w:rPr>
          <w:rFonts w:hint="eastAsia" w:ascii="仿宋" w:hAnsi="仿宋" w:eastAsia="仿宋" w:cs="仿宋"/>
          <w:b/>
          <w:color w:val="auto"/>
          <w:sz w:val="24"/>
          <w:szCs w:val="20"/>
          <w:highlight w:val="none"/>
        </w:rPr>
      </w:pPr>
      <w:r>
        <w:rPr>
          <w:rFonts w:hint="eastAsia" w:ascii="仿宋" w:hAnsi="仿宋" w:eastAsia="仿宋" w:cs="仿宋"/>
          <w:b/>
          <w:color w:val="auto"/>
          <w:sz w:val="32"/>
          <w:szCs w:val="32"/>
          <w:highlight w:val="none"/>
        </w:rPr>
        <w:t>资格证明文件</w:t>
      </w:r>
    </w:p>
    <w:p w14:paraId="63595BAA">
      <w:pPr>
        <w:snapToGrid w:val="0"/>
        <w:spacing w:before="156" w:beforeLines="50" w:after="50"/>
        <w:rPr>
          <w:rFonts w:hint="eastAsia" w:ascii="仿宋" w:hAnsi="仿宋" w:eastAsia="仿宋" w:cs="仿宋"/>
          <w:bCs/>
          <w:color w:val="auto"/>
          <w:sz w:val="24"/>
          <w:szCs w:val="20"/>
          <w:highlight w:val="none"/>
        </w:rPr>
      </w:pPr>
    </w:p>
    <w:p w14:paraId="761E837D">
      <w:pPr>
        <w:snapToGrid w:val="0"/>
        <w:spacing w:before="156" w:beforeLines="50" w:after="50"/>
        <w:rPr>
          <w:rFonts w:hint="eastAsia" w:ascii="仿宋" w:hAnsi="仿宋" w:eastAsia="仿宋" w:cs="仿宋"/>
          <w:bCs/>
          <w:color w:val="auto"/>
          <w:sz w:val="24"/>
          <w:szCs w:val="20"/>
          <w:highlight w:val="none"/>
        </w:rPr>
      </w:pPr>
    </w:p>
    <w:p w14:paraId="0BA7407C">
      <w:pPr>
        <w:snapToGrid w:val="0"/>
        <w:spacing w:before="156" w:beforeLines="50" w:after="50"/>
        <w:rPr>
          <w:rFonts w:hint="eastAsia" w:ascii="仿宋" w:hAnsi="仿宋" w:eastAsia="仿宋" w:cs="仿宋"/>
          <w:bCs/>
          <w:color w:val="auto"/>
          <w:sz w:val="24"/>
          <w:szCs w:val="20"/>
          <w:highlight w:val="none"/>
        </w:rPr>
      </w:pPr>
    </w:p>
    <w:p w14:paraId="2A618215">
      <w:pPr>
        <w:snapToGrid w:val="0"/>
        <w:spacing w:before="156" w:beforeLines="50" w:after="50"/>
        <w:rPr>
          <w:rFonts w:hint="eastAsia" w:ascii="仿宋" w:hAnsi="仿宋" w:eastAsia="仿宋" w:cs="仿宋"/>
          <w:bCs/>
          <w:color w:val="auto"/>
          <w:sz w:val="24"/>
          <w:szCs w:val="20"/>
          <w:highlight w:val="none"/>
        </w:rPr>
      </w:pPr>
    </w:p>
    <w:p w14:paraId="79C81978">
      <w:pPr>
        <w:snapToGrid w:val="0"/>
        <w:spacing w:before="156" w:beforeLines="50" w:after="50"/>
        <w:rPr>
          <w:rFonts w:hint="eastAsia" w:ascii="仿宋" w:hAnsi="仿宋" w:eastAsia="仿宋" w:cs="仿宋"/>
          <w:bCs/>
          <w:color w:val="auto"/>
          <w:sz w:val="24"/>
          <w:szCs w:val="20"/>
          <w:highlight w:val="none"/>
        </w:rPr>
      </w:pPr>
    </w:p>
    <w:p w14:paraId="0C86197E">
      <w:pPr>
        <w:snapToGrid w:val="0"/>
        <w:spacing w:before="156" w:beforeLines="50" w:after="50"/>
        <w:rPr>
          <w:rFonts w:hint="eastAsia" w:ascii="仿宋" w:hAnsi="仿宋" w:eastAsia="仿宋" w:cs="仿宋"/>
          <w:bCs/>
          <w:color w:val="auto"/>
          <w:sz w:val="24"/>
          <w:szCs w:val="20"/>
          <w:highlight w:val="none"/>
        </w:rPr>
      </w:pPr>
    </w:p>
    <w:p w14:paraId="0F8CA4DC">
      <w:pPr>
        <w:snapToGrid w:val="0"/>
        <w:spacing w:before="156" w:beforeLines="50" w:after="50"/>
        <w:rPr>
          <w:rFonts w:hint="eastAsia" w:ascii="仿宋" w:hAnsi="仿宋" w:eastAsia="仿宋" w:cs="仿宋"/>
          <w:bCs/>
          <w:color w:val="auto"/>
          <w:sz w:val="24"/>
          <w:szCs w:val="20"/>
          <w:highlight w:val="none"/>
        </w:rPr>
      </w:pPr>
    </w:p>
    <w:p w14:paraId="219D343C">
      <w:pPr>
        <w:snapToGrid w:val="0"/>
        <w:spacing w:before="156" w:beforeLines="50" w:after="50"/>
        <w:ind w:firstLine="540" w:firstLineChars="225"/>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项目名称：</w:t>
      </w:r>
    </w:p>
    <w:p w14:paraId="26E9B0FF">
      <w:pPr>
        <w:snapToGrid w:val="0"/>
        <w:spacing w:before="156" w:beforeLines="50" w:after="50"/>
        <w:ind w:firstLine="540" w:firstLineChars="225"/>
        <w:rPr>
          <w:rFonts w:hint="eastAsia" w:ascii="仿宋" w:hAnsi="仿宋" w:eastAsia="仿宋" w:cs="仿宋"/>
          <w:bCs/>
          <w:color w:val="auto"/>
          <w:sz w:val="24"/>
          <w:szCs w:val="20"/>
          <w:highlight w:val="none"/>
        </w:rPr>
      </w:pPr>
    </w:p>
    <w:p w14:paraId="6E380040">
      <w:pPr>
        <w:snapToGrid w:val="0"/>
        <w:spacing w:before="156" w:beforeLines="50" w:after="50"/>
        <w:ind w:firstLine="540" w:firstLineChars="225"/>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项目编号：</w:t>
      </w:r>
    </w:p>
    <w:p w14:paraId="756E7A61">
      <w:pPr>
        <w:snapToGrid w:val="0"/>
        <w:spacing w:before="156" w:beforeLines="50" w:after="50"/>
        <w:ind w:firstLine="540" w:firstLineChars="225"/>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 </w:t>
      </w:r>
    </w:p>
    <w:p w14:paraId="2A59C111">
      <w:pPr>
        <w:snapToGrid w:val="0"/>
        <w:spacing w:before="156" w:beforeLines="50" w:after="50"/>
        <w:ind w:firstLine="540" w:firstLineChars="225"/>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所投分标：</w:t>
      </w:r>
    </w:p>
    <w:p w14:paraId="50507D52">
      <w:pPr>
        <w:snapToGrid w:val="0"/>
        <w:spacing w:before="156" w:beforeLines="50" w:after="50"/>
        <w:ind w:firstLine="540" w:firstLineChars="225"/>
        <w:rPr>
          <w:rFonts w:hint="eastAsia" w:ascii="仿宋" w:hAnsi="仿宋" w:eastAsia="仿宋" w:cs="仿宋"/>
          <w:bCs/>
          <w:color w:val="auto"/>
          <w:sz w:val="24"/>
          <w:highlight w:val="none"/>
        </w:rPr>
      </w:pPr>
    </w:p>
    <w:p w14:paraId="3AE48BF4">
      <w:pPr>
        <w:snapToGrid w:val="0"/>
        <w:spacing w:before="156" w:beforeLines="50" w:after="50"/>
        <w:ind w:firstLine="540" w:firstLineChars="225"/>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投标人名称：</w:t>
      </w:r>
    </w:p>
    <w:p w14:paraId="6CD9EF52">
      <w:pPr>
        <w:pStyle w:val="7"/>
        <w:snapToGrid w:val="0"/>
        <w:spacing w:before="50" w:after="50"/>
        <w:ind w:firstLine="540" w:firstLineChars="225"/>
        <w:rPr>
          <w:rFonts w:hint="eastAsia" w:ascii="仿宋" w:hAnsi="仿宋" w:eastAsia="仿宋" w:cs="仿宋"/>
          <w:bCs/>
          <w:color w:val="auto"/>
          <w:sz w:val="24"/>
          <w:szCs w:val="24"/>
          <w:highlight w:val="none"/>
        </w:rPr>
      </w:pPr>
    </w:p>
    <w:p w14:paraId="7FBF1B44">
      <w:pPr>
        <w:pStyle w:val="7"/>
        <w:snapToGrid w:val="0"/>
        <w:spacing w:before="50" w:after="50"/>
        <w:ind w:firstLine="960" w:firstLineChars="400"/>
        <w:rPr>
          <w:rFonts w:hint="eastAsia" w:ascii="仿宋" w:hAnsi="仿宋" w:eastAsia="仿宋" w:cs="仿宋"/>
          <w:bCs/>
          <w:color w:val="auto"/>
          <w:sz w:val="24"/>
          <w:szCs w:val="24"/>
          <w:highlight w:val="none"/>
        </w:rPr>
      </w:pPr>
    </w:p>
    <w:p w14:paraId="6185F0EB">
      <w:pPr>
        <w:snapToGrid w:val="0"/>
        <w:spacing w:before="156" w:beforeLines="50" w:after="50"/>
        <w:ind w:firstLine="645"/>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6A7852E4">
      <w:pPr>
        <w:snapToGrid w:val="0"/>
        <w:spacing w:before="156" w:beforeLines="50" w:after="5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 xml:space="preserve"> </w:t>
      </w:r>
    </w:p>
    <w:p w14:paraId="2510E7C5">
      <w:pPr>
        <w:snapToGrid w:val="0"/>
        <w:spacing w:before="156" w:beforeLines="50" w:after="50"/>
        <w:rPr>
          <w:rFonts w:hint="eastAsia" w:ascii="仿宋" w:hAnsi="仿宋" w:eastAsia="仿宋" w:cs="仿宋"/>
          <w:color w:val="auto"/>
          <w:sz w:val="24"/>
          <w:szCs w:val="20"/>
          <w:highlight w:val="none"/>
        </w:rPr>
      </w:pPr>
    </w:p>
    <w:p w14:paraId="14983C79">
      <w:pPr>
        <w:numPr>
          <w:ilvl w:val="2"/>
          <w:numId w:val="4"/>
        </w:numPr>
        <w:snapToGrid w:val="0"/>
        <w:spacing w:before="156" w:beforeLines="50" w:after="50" w:line="360" w:lineRule="auto"/>
        <w:ind w:left="0" w:firstLine="0"/>
        <w:jc w:val="left"/>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br w:type="page"/>
      </w:r>
      <w:r>
        <w:rPr>
          <w:rFonts w:hint="eastAsia" w:ascii="仿宋" w:hAnsi="仿宋" w:eastAsia="仿宋" w:cs="仿宋"/>
          <w:b/>
          <w:bCs/>
          <w:color w:val="auto"/>
          <w:sz w:val="24"/>
          <w:highlight w:val="none"/>
        </w:rPr>
        <w:t>资格证明文件目录</w:t>
      </w:r>
    </w:p>
    <w:p w14:paraId="2F54A182">
      <w:pPr>
        <w:snapToGrid w:val="0"/>
        <w:spacing w:before="156" w:beforeLines="50" w:after="50" w:line="360" w:lineRule="auto"/>
        <w:ind w:firstLine="240" w:firstLineChars="1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根据招标文件规定及投标人提供的材料自行编写目录。</w:t>
      </w:r>
    </w:p>
    <w:p w14:paraId="5CC4D0DE">
      <w:pPr>
        <w:snapToGrid w:val="0"/>
        <w:spacing w:before="50" w:after="156" w:afterLines="50"/>
        <w:jc w:val="left"/>
        <w:rPr>
          <w:rFonts w:hint="eastAsia" w:ascii="仿宋" w:hAnsi="仿宋" w:eastAsia="仿宋" w:cs="仿宋"/>
          <w:color w:val="auto"/>
          <w:sz w:val="24"/>
          <w:highlight w:val="none"/>
        </w:rPr>
      </w:pPr>
    </w:p>
    <w:p w14:paraId="058DA9EC">
      <w:pPr>
        <w:snapToGrid w:val="0"/>
        <w:spacing w:before="50" w:after="156" w:afterLines="50"/>
        <w:jc w:val="left"/>
        <w:rPr>
          <w:rFonts w:hint="eastAsia" w:ascii="仿宋" w:hAnsi="仿宋" w:eastAsia="仿宋" w:cs="仿宋"/>
          <w:color w:val="auto"/>
          <w:sz w:val="24"/>
          <w:highlight w:val="none"/>
        </w:rPr>
      </w:pPr>
    </w:p>
    <w:p w14:paraId="26BC6AF9">
      <w:pPr>
        <w:numPr>
          <w:ilvl w:val="2"/>
          <w:numId w:val="4"/>
        </w:numPr>
        <w:snapToGrid w:val="0"/>
        <w:spacing w:before="156" w:beforeLines="50" w:after="50"/>
        <w:ind w:left="0" w:firstLine="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br w:type="page"/>
      </w:r>
      <w:r>
        <w:rPr>
          <w:rFonts w:hint="eastAsia" w:ascii="仿宋" w:hAnsi="仿宋" w:eastAsia="仿宋" w:cs="仿宋"/>
          <w:b/>
          <w:color w:val="auto"/>
          <w:sz w:val="28"/>
          <w:szCs w:val="28"/>
          <w:highlight w:val="none"/>
        </w:rPr>
        <w:t>投标人直接控股、管理关系信息表</w:t>
      </w:r>
    </w:p>
    <w:p w14:paraId="25609AB1">
      <w:pPr>
        <w:snapToGrid w:val="0"/>
        <w:spacing w:before="50" w:after="156" w:afterLines="50"/>
        <w:jc w:val="center"/>
        <w:rPr>
          <w:rFonts w:hint="eastAsia" w:ascii="仿宋" w:hAnsi="仿宋" w:eastAsia="仿宋" w:cs="仿宋"/>
          <w:b/>
          <w:color w:val="auto"/>
          <w:sz w:val="28"/>
          <w:szCs w:val="28"/>
          <w:highlight w:val="none"/>
        </w:rPr>
      </w:pPr>
    </w:p>
    <w:p w14:paraId="061B2FAD">
      <w:pPr>
        <w:snapToGrid w:val="0"/>
        <w:spacing w:before="50" w:after="156" w:afterLines="50"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投标人直接控股股东信息表</w:t>
      </w:r>
    </w:p>
    <w:tbl>
      <w:tblPr>
        <w:tblStyle w:val="45"/>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2AA606B6">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C00BC3D">
            <w:pPr>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3425970">
            <w:pPr>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36DD908">
            <w:pPr>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82BDC59">
            <w:pPr>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5B1375E">
            <w:pPr>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备注</w:t>
            </w:r>
          </w:p>
        </w:tc>
      </w:tr>
      <w:tr w14:paraId="710FF0E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5C4DCF">
            <w:pPr>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21C1EE">
            <w:pPr>
              <w:spacing w:line="360" w:lineRule="auto"/>
              <w:jc w:val="center"/>
              <w:rPr>
                <w:rFonts w:hint="eastAsia" w:ascii="仿宋" w:hAnsi="仿宋" w:eastAsia="仿宋" w:cs="仿宋"/>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19CF76">
            <w:pPr>
              <w:spacing w:line="360" w:lineRule="auto"/>
              <w:jc w:val="center"/>
              <w:rPr>
                <w:rFonts w:hint="eastAsia" w:ascii="仿宋" w:hAnsi="仿宋" w:eastAsia="仿宋" w:cs="仿宋"/>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38890E">
            <w:pPr>
              <w:spacing w:line="360" w:lineRule="auto"/>
              <w:jc w:val="center"/>
              <w:rPr>
                <w:rFonts w:hint="eastAsia" w:ascii="仿宋" w:hAnsi="仿宋" w:eastAsia="仿宋" w:cs="仿宋"/>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EEB7D9">
            <w:pPr>
              <w:spacing w:line="360" w:lineRule="auto"/>
              <w:jc w:val="center"/>
              <w:rPr>
                <w:rFonts w:hint="eastAsia" w:ascii="仿宋" w:hAnsi="仿宋" w:eastAsia="仿宋" w:cs="仿宋"/>
                <w:color w:val="auto"/>
                <w:kern w:val="0"/>
                <w:sz w:val="24"/>
                <w:highlight w:val="none"/>
              </w:rPr>
            </w:pPr>
          </w:p>
        </w:tc>
      </w:tr>
      <w:tr w14:paraId="48B7B9E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998512">
            <w:pPr>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B92AB07">
            <w:pPr>
              <w:spacing w:line="360" w:lineRule="auto"/>
              <w:jc w:val="center"/>
              <w:rPr>
                <w:rFonts w:hint="eastAsia" w:ascii="仿宋" w:hAnsi="仿宋" w:eastAsia="仿宋" w:cs="仿宋"/>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B7FAD1">
            <w:pPr>
              <w:spacing w:line="360" w:lineRule="auto"/>
              <w:jc w:val="center"/>
              <w:rPr>
                <w:rFonts w:hint="eastAsia" w:ascii="仿宋" w:hAnsi="仿宋" w:eastAsia="仿宋" w:cs="仿宋"/>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1E0483">
            <w:pPr>
              <w:spacing w:line="360" w:lineRule="auto"/>
              <w:jc w:val="center"/>
              <w:rPr>
                <w:rFonts w:hint="eastAsia" w:ascii="仿宋" w:hAnsi="仿宋" w:eastAsia="仿宋" w:cs="仿宋"/>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9FCE3C">
            <w:pPr>
              <w:spacing w:line="360" w:lineRule="auto"/>
              <w:jc w:val="center"/>
              <w:rPr>
                <w:rFonts w:hint="eastAsia" w:ascii="仿宋" w:hAnsi="仿宋" w:eastAsia="仿宋" w:cs="仿宋"/>
                <w:color w:val="auto"/>
                <w:kern w:val="0"/>
                <w:sz w:val="24"/>
                <w:highlight w:val="none"/>
              </w:rPr>
            </w:pPr>
          </w:p>
        </w:tc>
      </w:tr>
      <w:tr w14:paraId="3A02730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648E4A">
            <w:pPr>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B39AE0">
            <w:pPr>
              <w:spacing w:line="360" w:lineRule="auto"/>
              <w:jc w:val="center"/>
              <w:rPr>
                <w:rFonts w:hint="eastAsia" w:ascii="仿宋" w:hAnsi="仿宋" w:eastAsia="仿宋" w:cs="仿宋"/>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497617">
            <w:pPr>
              <w:spacing w:line="360" w:lineRule="auto"/>
              <w:jc w:val="center"/>
              <w:rPr>
                <w:rFonts w:hint="eastAsia" w:ascii="仿宋" w:hAnsi="仿宋" w:eastAsia="仿宋" w:cs="仿宋"/>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442DCA">
            <w:pPr>
              <w:spacing w:line="360" w:lineRule="auto"/>
              <w:jc w:val="center"/>
              <w:rPr>
                <w:rFonts w:hint="eastAsia" w:ascii="仿宋" w:hAnsi="仿宋" w:eastAsia="仿宋" w:cs="仿宋"/>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9D8BA0">
            <w:pPr>
              <w:spacing w:line="360" w:lineRule="auto"/>
              <w:jc w:val="center"/>
              <w:rPr>
                <w:rFonts w:hint="eastAsia" w:ascii="仿宋" w:hAnsi="仿宋" w:eastAsia="仿宋" w:cs="仿宋"/>
                <w:color w:val="auto"/>
                <w:kern w:val="0"/>
                <w:sz w:val="24"/>
                <w:highlight w:val="none"/>
              </w:rPr>
            </w:pPr>
          </w:p>
        </w:tc>
      </w:tr>
      <w:tr w14:paraId="6E7A147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03E80E">
            <w:pPr>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EA1503">
            <w:pPr>
              <w:spacing w:line="360" w:lineRule="auto"/>
              <w:jc w:val="center"/>
              <w:rPr>
                <w:rFonts w:hint="eastAsia" w:ascii="仿宋" w:hAnsi="仿宋" w:eastAsia="仿宋" w:cs="仿宋"/>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234E935">
            <w:pPr>
              <w:spacing w:line="360" w:lineRule="auto"/>
              <w:jc w:val="center"/>
              <w:rPr>
                <w:rFonts w:hint="eastAsia" w:ascii="仿宋" w:hAnsi="仿宋" w:eastAsia="仿宋" w:cs="仿宋"/>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E37D49">
            <w:pPr>
              <w:spacing w:line="360" w:lineRule="auto"/>
              <w:jc w:val="center"/>
              <w:rPr>
                <w:rFonts w:hint="eastAsia" w:ascii="仿宋" w:hAnsi="仿宋" w:eastAsia="仿宋" w:cs="仿宋"/>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4A03A0">
            <w:pPr>
              <w:spacing w:line="360" w:lineRule="auto"/>
              <w:jc w:val="center"/>
              <w:rPr>
                <w:rFonts w:hint="eastAsia" w:ascii="仿宋" w:hAnsi="仿宋" w:eastAsia="仿宋" w:cs="仿宋"/>
                <w:color w:val="auto"/>
                <w:kern w:val="0"/>
                <w:sz w:val="24"/>
                <w:highlight w:val="none"/>
              </w:rPr>
            </w:pPr>
          </w:p>
        </w:tc>
      </w:tr>
    </w:tbl>
    <w:p w14:paraId="5C7066C2">
      <w:pPr>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5F23039B">
      <w:pPr>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D4E370F">
      <w:pPr>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2.本表所指的控股关系仅限于直接控股关系，不包括间接的控股关系。公司实际控制人与公司之间的关系不属于本表所指的直接控股关系。</w:t>
      </w:r>
    </w:p>
    <w:p w14:paraId="1CA32DEB">
      <w:pPr>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3.供应商不存在直接控股股东的，则填“无”。</w:t>
      </w:r>
    </w:p>
    <w:p w14:paraId="3B254053">
      <w:pPr>
        <w:snapToGrid w:val="0"/>
        <w:spacing w:line="360" w:lineRule="auto"/>
        <w:jc w:val="left"/>
        <w:rPr>
          <w:rFonts w:hint="eastAsia" w:ascii="仿宋" w:hAnsi="仿宋" w:eastAsia="仿宋" w:cs="仿宋"/>
          <w:color w:val="auto"/>
          <w:sz w:val="24"/>
          <w:highlight w:val="none"/>
        </w:rPr>
      </w:pPr>
    </w:p>
    <w:p w14:paraId="1F219396">
      <w:pPr>
        <w:snapToGrid w:val="0"/>
        <w:spacing w:line="360" w:lineRule="auto"/>
        <w:jc w:val="left"/>
        <w:rPr>
          <w:rFonts w:hint="eastAsia" w:ascii="仿宋" w:hAnsi="仿宋" w:eastAsia="仿宋" w:cs="仿宋"/>
          <w:color w:val="auto"/>
          <w:sz w:val="24"/>
          <w:highlight w:val="none"/>
        </w:rPr>
      </w:pPr>
    </w:p>
    <w:p w14:paraId="66279664">
      <w:pPr>
        <w:snapToGrid w:val="0"/>
        <w:spacing w:line="360" w:lineRule="auto"/>
        <w:jc w:val="left"/>
        <w:rPr>
          <w:rFonts w:hint="eastAsia" w:ascii="仿宋" w:hAnsi="仿宋" w:eastAsia="仿宋" w:cs="仿宋"/>
          <w:color w:val="auto"/>
          <w:sz w:val="24"/>
          <w:highlight w:val="none"/>
        </w:rPr>
      </w:pPr>
    </w:p>
    <w:p w14:paraId="17C15D50">
      <w:pPr>
        <w:snapToGrid w:val="0"/>
        <w:spacing w:line="360" w:lineRule="auto"/>
        <w:jc w:val="left"/>
        <w:rPr>
          <w:rFonts w:hint="eastAsia" w:ascii="仿宋" w:hAnsi="仿宋" w:eastAsia="仿宋" w:cs="仿宋"/>
          <w:color w:val="auto"/>
          <w:sz w:val="24"/>
          <w:highlight w:val="none"/>
        </w:rPr>
      </w:pPr>
    </w:p>
    <w:p w14:paraId="70257783">
      <w:pPr>
        <w:snapToGrid w:val="0"/>
        <w:spacing w:line="360" w:lineRule="auto"/>
        <w:jc w:val="left"/>
        <w:rPr>
          <w:rFonts w:hint="eastAsia" w:ascii="仿宋" w:hAnsi="仿宋" w:eastAsia="仿宋" w:cs="仿宋"/>
          <w:color w:val="auto"/>
          <w:sz w:val="24"/>
          <w:highlight w:val="none"/>
        </w:rPr>
      </w:pPr>
    </w:p>
    <w:p w14:paraId="6866D84B">
      <w:pPr>
        <w:snapToGrid w:val="0"/>
        <w:spacing w:line="360" w:lineRule="auto"/>
        <w:jc w:val="left"/>
        <w:rPr>
          <w:rFonts w:hint="eastAsia" w:ascii="仿宋" w:hAnsi="仿宋" w:eastAsia="仿宋" w:cs="仿宋"/>
          <w:color w:val="auto"/>
          <w:sz w:val="24"/>
          <w:highlight w:val="none"/>
        </w:rPr>
      </w:pPr>
    </w:p>
    <w:p w14:paraId="4C84B141">
      <w:pPr>
        <w:snapToGrid w:val="0"/>
        <w:spacing w:before="156" w:beforeLines="50" w:line="360" w:lineRule="auto"/>
        <w:ind w:right="480" w:firstLine="3967" w:firstLineChars="1653"/>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法定代表人或者委托代理人签字：</w:t>
      </w:r>
      <w:r>
        <w:rPr>
          <w:rFonts w:hint="eastAsia" w:ascii="仿宋" w:hAnsi="仿宋" w:eastAsia="仿宋" w:cs="仿宋"/>
          <w:color w:val="auto"/>
          <w:sz w:val="24"/>
          <w:highlight w:val="none"/>
          <w:u w:val="single"/>
        </w:rPr>
        <w:t xml:space="preserve">             </w:t>
      </w:r>
    </w:p>
    <w:p w14:paraId="1990D5B2">
      <w:pPr>
        <w:snapToGrid w:val="0"/>
        <w:spacing w:before="156" w:beforeLines="50" w:after="50" w:line="360" w:lineRule="auto"/>
        <w:ind w:right="480" w:firstLine="5520" w:firstLineChars="23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投标人（盖公章）：</w:t>
      </w:r>
      <w:r>
        <w:rPr>
          <w:rFonts w:hint="eastAsia" w:ascii="仿宋" w:hAnsi="仿宋" w:eastAsia="仿宋" w:cs="仿宋"/>
          <w:color w:val="auto"/>
          <w:sz w:val="24"/>
          <w:highlight w:val="none"/>
          <w:u w:val="single"/>
        </w:rPr>
        <w:t xml:space="preserve">                 </w:t>
      </w:r>
    </w:p>
    <w:p w14:paraId="6462C14A">
      <w:pPr>
        <w:snapToGrid w:val="0"/>
        <w:spacing w:before="156" w:beforeLines="50" w:after="50" w:line="360" w:lineRule="auto"/>
        <w:ind w:right="480" w:firstLine="5520" w:firstLineChars="2300"/>
        <w:rPr>
          <w:rFonts w:hint="eastAsia" w:ascii="仿宋" w:hAnsi="仿宋" w:eastAsia="仿宋" w:cs="仿宋"/>
          <w:b/>
          <w:color w:val="auto"/>
          <w:sz w:val="28"/>
          <w:szCs w:val="28"/>
          <w:highlight w:val="none"/>
        </w:rPr>
      </w:pPr>
      <w:r>
        <w:rPr>
          <w:rFonts w:hint="eastAsia" w:ascii="仿宋" w:hAnsi="仿宋" w:eastAsia="仿宋" w:cs="仿宋"/>
          <w:color w:val="auto"/>
          <w:sz w:val="24"/>
          <w:highlight w:val="none"/>
        </w:rPr>
        <w:t>年    月    日</w:t>
      </w:r>
      <w:r>
        <w:rPr>
          <w:rFonts w:hint="eastAsia" w:ascii="仿宋" w:hAnsi="仿宋" w:eastAsia="仿宋" w:cs="仿宋"/>
          <w:b/>
          <w:color w:val="auto"/>
          <w:sz w:val="28"/>
          <w:szCs w:val="28"/>
          <w:highlight w:val="none"/>
        </w:rPr>
        <w:br w:type="page"/>
      </w:r>
    </w:p>
    <w:p w14:paraId="3B9E137E">
      <w:pPr>
        <w:snapToGrid w:val="0"/>
        <w:spacing w:line="360" w:lineRule="auto"/>
        <w:jc w:val="center"/>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rPr>
        <w:t>投标人直接管理关系信息表</w:t>
      </w:r>
    </w:p>
    <w:tbl>
      <w:tblPr>
        <w:tblStyle w:val="45"/>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3442A512">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A5E99EC">
            <w:pPr>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A43C1B5">
            <w:pPr>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46B27D3">
            <w:pPr>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DE3B925">
            <w:pPr>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备注</w:t>
            </w:r>
          </w:p>
        </w:tc>
      </w:tr>
      <w:tr w14:paraId="750DB61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C37B34">
            <w:pPr>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5A67AA">
            <w:pPr>
              <w:spacing w:line="360" w:lineRule="auto"/>
              <w:jc w:val="center"/>
              <w:rPr>
                <w:rFonts w:hint="eastAsia" w:ascii="仿宋" w:hAnsi="仿宋" w:eastAsia="仿宋" w:cs="仿宋"/>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479C48">
            <w:pPr>
              <w:spacing w:line="360" w:lineRule="auto"/>
              <w:jc w:val="center"/>
              <w:rPr>
                <w:rFonts w:hint="eastAsia" w:ascii="仿宋" w:hAnsi="仿宋" w:eastAsia="仿宋" w:cs="仿宋"/>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43407B">
            <w:pPr>
              <w:spacing w:line="360" w:lineRule="auto"/>
              <w:jc w:val="center"/>
              <w:rPr>
                <w:rFonts w:hint="eastAsia" w:ascii="仿宋" w:hAnsi="仿宋" w:eastAsia="仿宋" w:cs="仿宋"/>
                <w:color w:val="auto"/>
                <w:kern w:val="0"/>
                <w:sz w:val="24"/>
                <w:highlight w:val="none"/>
              </w:rPr>
            </w:pPr>
          </w:p>
        </w:tc>
      </w:tr>
      <w:tr w14:paraId="7905CFB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0EFFCC">
            <w:pPr>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78098E">
            <w:pPr>
              <w:spacing w:line="360" w:lineRule="auto"/>
              <w:jc w:val="center"/>
              <w:rPr>
                <w:rFonts w:hint="eastAsia" w:ascii="仿宋" w:hAnsi="仿宋" w:eastAsia="仿宋" w:cs="仿宋"/>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135B43">
            <w:pPr>
              <w:spacing w:line="360" w:lineRule="auto"/>
              <w:jc w:val="center"/>
              <w:rPr>
                <w:rFonts w:hint="eastAsia" w:ascii="仿宋" w:hAnsi="仿宋" w:eastAsia="仿宋" w:cs="仿宋"/>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A0E88A">
            <w:pPr>
              <w:spacing w:line="360" w:lineRule="auto"/>
              <w:jc w:val="center"/>
              <w:rPr>
                <w:rFonts w:hint="eastAsia" w:ascii="仿宋" w:hAnsi="仿宋" w:eastAsia="仿宋" w:cs="仿宋"/>
                <w:color w:val="auto"/>
                <w:kern w:val="0"/>
                <w:sz w:val="24"/>
                <w:highlight w:val="none"/>
              </w:rPr>
            </w:pPr>
          </w:p>
        </w:tc>
      </w:tr>
      <w:tr w14:paraId="59164BE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FFB584">
            <w:pPr>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E36EC7">
            <w:pPr>
              <w:spacing w:line="360" w:lineRule="auto"/>
              <w:jc w:val="center"/>
              <w:rPr>
                <w:rFonts w:hint="eastAsia" w:ascii="仿宋" w:hAnsi="仿宋" w:eastAsia="仿宋" w:cs="仿宋"/>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1DC2CD">
            <w:pPr>
              <w:spacing w:line="360" w:lineRule="auto"/>
              <w:jc w:val="center"/>
              <w:rPr>
                <w:rFonts w:hint="eastAsia" w:ascii="仿宋" w:hAnsi="仿宋" w:eastAsia="仿宋" w:cs="仿宋"/>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C70BA2">
            <w:pPr>
              <w:spacing w:line="360" w:lineRule="auto"/>
              <w:jc w:val="center"/>
              <w:rPr>
                <w:rFonts w:hint="eastAsia" w:ascii="仿宋" w:hAnsi="仿宋" w:eastAsia="仿宋" w:cs="仿宋"/>
                <w:color w:val="auto"/>
                <w:kern w:val="0"/>
                <w:sz w:val="24"/>
                <w:highlight w:val="none"/>
              </w:rPr>
            </w:pPr>
          </w:p>
        </w:tc>
      </w:tr>
      <w:tr w14:paraId="73BA520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6A8EBF">
            <w:pPr>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F30735">
            <w:pPr>
              <w:spacing w:line="360" w:lineRule="auto"/>
              <w:jc w:val="center"/>
              <w:rPr>
                <w:rFonts w:hint="eastAsia" w:ascii="仿宋" w:hAnsi="仿宋" w:eastAsia="仿宋" w:cs="仿宋"/>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F686394">
            <w:pPr>
              <w:spacing w:line="360" w:lineRule="auto"/>
              <w:jc w:val="center"/>
              <w:rPr>
                <w:rFonts w:hint="eastAsia" w:ascii="仿宋" w:hAnsi="仿宋" w:eastAsia="仿宋" w:cs="仿宋"/>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C1111C">
            <w:pPr>
              <w:spacing w:line="360" w:lineRule="auto"/>
              <w:jc w:val="center"/>
              <w:rPr>
                <w:rFonts w:hint="eastAsia" w:ascii="仿宋" w:hAnsi="仿宋" w:eastAsia="仿宋" w:cs="仿宋"/>
                <w:color w:val="auto"/>
                <w:kern w:val="0"/>
                <w:sz w:val="24"/>
                <w:highlight w:val="none"/>
              </w:rPr>
            </w:pPr>
          </w:p>
        </w:tc>
      </w:tr>
    </w:tbl>
    <w:p w14:paraId="4DEA0EA4">
      <w:pPr>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27408EA9">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1.管理关系：是指不具有出资持股关系的其他单位之间存在的管理与被管理关系，如一些上下级关系的事业单位和团体组织。</w:t>
      </w:r>
    </w:p>
    <w:p w14:paraId="72AD9E24">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pacing w:val="-6"/>
          <w:sz w:val="24"/>
          <w:highlight w:val="none"/>
        </w:rPr>
        <w:t>本表所指的管理关系仅限于直接管理关系，不包括间接的管理关系。</w:t>
      </w:r>
    </w:p>
    <w:p w14:paraId="0998C67D">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3.供应商不存在直接管理关系的，则填“无”。</w:t>
      </w:r>
    </w:p>
    <w:p w14:paraId="4503632E">
      <w:pPr>
        <w:snapToGrid w:val="0"/>
        <w:spacing w:line="360" w:lineRule="auto"/>
        <w:jc w:val="left"/>
        <w:rPr>
          <w:rFonts w:hint="eastAsia" w:ascii="仿宋" w:hAnsi="仿宋" w:eastAsia="仿宋" w:cs="仿宋"/>
          <w:color w:val="auto"/>
          <w:sz w:val="24"/>
          <w:highlight w:val="none"/>
        </w:rPr>
      </w:pPr>
    </w:p>
    <w:p w14:paraId="2E00B746">
      <w:pPr>
        <w:snapToGrid w:val="0"/>
        <w:spacing w:line="360" w:lineRule="auto"/>
        <w:jc w:val="left"/>
        <w:rPr>
          <w:rFonts w:hint="eastAsia" w:ascii="仿宋" w:hAnsi="仿宋" w:eastAsia="仿宋" w:cs="仿宋"/>
          <w:color w:val="auto"/>
          <w:sz w:val="24"/>
          <w:highlight w:val="none"/>
        </w:rPr>
      </w:pPr>
    </w:p>
    <w:p w14:paraId="6C83D0EB">
      <w:pPr>
        <w:snapToGrid w:val="0"/>
        <w:spacing w:line="360" w:lineRule="auto"/>
        <w:jc w:val="left"/>
        <w:rPr>
          <w:rFonts w:hint="eastAsia" w:ascii="仿宋" w:hAnsi="仿宋" w:eastAsia="仿宋" w:cs="仿宋"/>
          <w:color w:val="auto"/>
          <w:sz w:val="24"/>
          <w:highlight w:val="none"/>
        </w:rPr>
      </w:pPr>
    </w:p>
    <w:p w14:paraId="17F2B512">
      <w:pPr>
        <w:snapToGrid w:val="0"/>
        <w:spacing w:line="360" w:lineRule="auto"/>
        <w:jc w:val="left"/>
        <w:rPr>
          <w:rFonts w:hint="eastAsia" w:ascii="仿宋" w:hAnsi="仿宋" w:eastAsia="仿宋" w:cs="仿宋"/>
          <w:color w:val="auto"/>
          <w:sz w:val="24"/>
          <w:highlight w:val="none"/>
        </w:rPr>
      </w:pPr>
    </w:p>
    <w:p w14:paraId="55192404">
      <w:pPr>
        <w:snapToGrid w:val="0"/>
        <w:spacing w:line="360" w:lineRule="auto"/>
        <w:jc w:val="left"/>
        <w:rPr>
          <w:rFonts w:hint="eastAsia" w:ascii="仿宋" w:hAnsi="仿宋" w:eastAsia="仿宋" w:cs="仿宋"/>
          <w:color w:val="auto"/>
          <w:sz w:val="24"/>
          <w:highlight w:val="none"/>
        </w:rPr>
      </w:pPr>
    </w:p>
    <w:p w14:paraId="40879B4C">
      <w:pPr>
        <w:snapToGrid w:val="0"/>
        <w:spacing w:line="360" w:lineRule="auto"/>
        <w:jc w:val="left"/>
        <w:rPr>
          <w:rFonts w:hint="eastAsia" w:ascii="仿宋" w:hAnsi="仿宋" w:eastAsia="仿宋" w:cs="仿宋"/>
          <w:color w:val="auto"/>
          <w:sz w:val="24"/>
          <w:highlight w:val="none"/>
        </w:rPr>
      </w:pPr>
    </w:p>
    <w:p w14:paraId="2D5D9764">
      <w:pPr>
        <w:snapToGrid w:val="0"/>
        <w:spacing w:line="360" w:lineRule="auto"/>
        <w:jc w:val="left"/>
        <w:rPr>
          <w:rFonts w:hint="eastAsia" w:ascii="仿宋" w:hAnsi="仿宋" w:eastAsia="仿宋" w:cs="仿宋"/>
          <w:color w:val="auto"/>
          <w:sz w:val="24"/>
          <w:highlight w:val="none"/>
        </w:rPr>
      </w:pPr>
    </w:p>
    <w:p w14:paraId="7A859690">
      <w:pPr>
        <w:snapToGrid w:val="0"/>
        <w:spacing w:before="156" w:beforeLines="50" w:line="360" w:lineRule="auto"/>
        <w:ind w:right="480" w:firstLine="3967" w:firstLineChars="1653"/>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法定代表人或者委托代理人签字：</w:t>
      </w:r>
      <w:r>
        <w:rPr>
          <w:rFonts w:hint="eastAsia" w:ascii="仿宋" w:hAnsi="仿宋" w:eastAsia="仿宋" w:cs="仿宋"/>
          <w:color w:val="auto"/>
          <w:sz w:val="24"/>
          <w:highlight w:val="none"/>
          <w:u w:val="single"/>
        </w:rPr>
        <w:t xml:space="preserve">             </w:t>
      </w:r>
    </w:p>
    <w:p w14:paraId="71EE1E33">
      <w:pPr>
        <w:snapToGrid w:val="0"/>
        <w:spacing w:before="156" w:beforeLines="50" w:after="50" w:line="360" w:lineRule="auto"/>
        <w:ind w:right="480" w:firstLine="5520" w:firstLineChars="23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投标人（盖公章）：</w:t>
      </w:r>
      <w:r>
        <w:rPr>
          <w:rFonts w:hint="eastAsia" w:ascii="仿宋" w:hAnsi="仿宋" w:eastAsia="仿宋" w:cs="仿宋"/>
          <w:color w:val="auto"/>
          <w:sz w:val="24"/>
          <w:highlight w:val="none"/>
          <w:u w:val="single"/>
        </w:rPr>
        <w:t xml:space="preserve">                 </w:t>
      </w:r>
    </w:p>
    <w:p w14:paraId="57098F86">
      <w:pPr>
        <w:snapToGrid w:val="0"/>
        <w:spacing w:before="156" w:beforeLines="50" w:after="50" w:line="360" w:lineRule="auto"/>
        <w:ind w:right="480" w:firstLine="240" w:firstLineChars="1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年    月    日</w:t>
      </w:r>
    </w:p>
    <w:p w14:paraId="24D3F168">
      <w:pPr>
        <w:snapToGrid w:val="0"/>
        <w:spacing w:before="50" w:after="156" w:afterLines="50"/>
        <w:jc w:val="left"/>
        <w:rPr>
          <w:rFonts w:hint="eastAsia" w:ascii="仿宋" w:hAnsi="仿宋" w:eastAsia="仿宋" w:cs="仿宋"/>
          <w:color w:val="auto"/>
          <w:szCs w:val="21"/>
          <w:highlight w:val="none"/>
        </w:rPr>
      </w:pPr>
    </w:p>
    <w:p w14:paraId="71E0E192">
      <w:pPr>
        <w:snapToGrid w:val="0"/>
        <w:spacing w:before="156" w:beforeLines="50" w:after="50"/>
        <w:jc w:val="left"/>
        <w:rPr>
          <w:rFonts w:hint="eastAsia" w:ascii="仿宋" w:hAnsi="仿宋" w:eastAsia="仿宋" w:cs="仿宋"/>
          <w:b/>
          <w:color w:val="auto"/>
          <w:sz w:val="24"/>
          <w:szCs w:val="20"/>
          <w:highlight w:val="none"/>
        </w:rPr>
      </w:pPr>
    </w:p>
    <w:p w14:paraId="5B3A801E">
      <w:pPr>
        <w:numPr>
          <w:ilvl w:val="2"/>
          <w:numId w:val="4"/>
        </w:numPr>
        <w:snapToGrid w:val="0"/>
        <w:spacing w:before="156" w:beforeLines="50" w:after="50"/>
        <w:ind w:left="0" w:firstLine="0"/>
        <w:jc w:val="left"/>
        <w:rPr>
          <w:rFonts w:hint="eastAsia" w:ascii="仿宋" w:hAnsi="仿宋" w:eastAsia="仿宋" w:cs="仿宋"/>
          <w:b/>
          <w:color w:val="auto"/>
          <w:sz w:val="24"/>
          <w:szCs w:val="20"/>
          <w:highlight w:val="none"/>
        </w:rPr>
      </w:pPr>
      <w:r>
        <w:rPr>
          <w:rFonts w:hint="eastAsia" w:ascii="仿宋" w:hAnsi="仿宋" w:eastAsia="仿宋" w:cs="仿宋"/>
          <w:b/>
          <w:color w:val="auto"/>
          <w:sz w:val="24"/>
          <w:highlight w:val="none"/>
        </w:rPr>
        <w:br w:type="page"/>
      </w:r>
      <w:r>
        <w:rPr>
          <w:rFonts w:hint="eastAsia" w:ascii="仿宋" w:hAnsi="仿宋" w:eastAsia="仿宋" w:cs="仿宋"/>
          <w:b/>
          <w:color w:val="auto"/>
          <w:sz w:val="24"/>
          <w:highlight w:val="none"/>
        </w:rPr>
        <w:t>投标声明</w:t>
      </w:r>
    </w:p>
    <w:p w14:paraId="6E51F642">
      <w:pPr>
        <w:snapToGrid w:val="0"/>
        <w:spacing w:before="50" w:after="156" w:afterLines="50"/>
        <w:jc w:val="left"/>
        <w:rPr>
          <w:rFonts w:hint="eastAsia" w:ascii="仿宋" w:hAnsi="仿宋" w:eastAsia="仿宋" w:cs="仿宋"/>
          <w:color w:val="auto"/>
          <w:highlight w:val="none"/>
        </w:rPr>
      </w:pPr>
    </w:p>
    <w:p w14:paraId="59612960">
      <w:pPr>
        <w:snapToGrid w:val="0"/>
        <w:spacing w:before="50" w:after="156" w:afterLines="5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投标声明</w:t>
      </w:r>
    </w:p>
    <w:p w14:paraId="7F7D3B30">
      <w:pPr>
        <w:snapToGrid w:val="0"/>
        <w:spacing w:before="50" w:after="156" w:afterLines="50"/>
        <w:rPr>
          <w:rFonts w:hint="eastAsia" w:ascii="仿宋" w:hAnsi="仿宋" w:eastAsia="仿宋" w:cs="仿宋"/>
          <w:b/>
          <w:color w:val="auto"/>
          <w:sz w:val="28"/>
          <w:szCs w:val="28"/>
          <w:highlight w:val="none"/>
        </w:rPr>
      </w:pPr>
    </w:p>
    <w:p w14:paraId="02548F30">
      <w:pPr>
        <w:snapToGrid w:val="0"/>
        <w:spacing w:before="50" w:after="156" w:afterLines="50"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p>
    <w:p w14:paraId="0105C389">
      <w:pPr>
        <w:snapToGrid w:val="0"/>
        <w:spacing w:before="50" w:after="156" w:afterLines="50" w:line="360" w:lineRule="auto"/>
        <w:ind w:firstLine="405"/>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我方参加贵单位组织</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项目（项目编号：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）的政府采购活动。我方在此郑重声明：</w:t>
      </w:r>
    </w:p>
    <w:p w14:paraId="552B20DC">
      <w:pPr>
        <w:snapToGrid w:val="0"/>
        <w:spacing w:before="50" w:after="156" w:afterLines="50"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72986A56">
      <w:pPr>
        <w:snapToGrid w:val="0"/>
        <w:spacing w:before="50" w:after="156" w:afterLines="50"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5C344AD8">
      <w:pPr>
        <w:snapToGrid w:val="0"/>
        <w:spacing w:before="50" w:after="156" w:afterLines="50"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 我方承诺符合《中华人民共和国政府采购法》第二十二条规定：</w:t>
      </w:r>
    </w:p>
    <w:p w14:paraId="5D2825FF">
      <w:pPr>
        <w:snapToGrid w:val="0"/>
        <w:spacing w:before="50" w:after="156" w:afterLines="50"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（一）具有独立承担民事责任的能力；</w:t>
      </w:r>
    </w:p>
    <w:p w14:paraId="68468632">
      <w:pPr>
        <w:snapToGrid w:val="0"/>
        <w:spacing w:before="50" w:after="156" w:afterLines="50"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（二）具有良好的商业信誉和健全的财务会计制度；</w:t>
      </w:r>
    </w:p>
    <w:p w14:paraId="74970ED7">
      <w:pPr>
        <w:snapToGrid w:val="0"/>
        <w:spacing w:before="50" w:after="156" w:afterLines="50"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（三）具有履行合同所必需的设备和专业技术能力；</w:t>
      </w:r>
    </w:p>
    <w:p w14:paraId="622156C6">
      <w:pPr>
        <w:snapToGrid w:val="0"/>
        <w:spacing w:before="50" w:after="156" w:afterLines="50"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（四）有依法缴纳税收和社会保障资金的良好记录；</w:t>
      </w:r>
    </w:p>
    <w:p w14:paraId="340ACFC2">
      <w:pPr>
        <w:snapToGrid w:val="0"/>
        <w:spacing w:before="50" w:after="156" w:afterLines="50"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（五）参加政府采购活动前三年内，在经营活动中没有重大违法记录；</w:t>
      </w:r>
    </w:p>
    <w:p w14:paraId="1DD1198C">
      <w:pPr>
        <w:snapToGrid w:val="0"/>
        <w:spacing w:before="50" w:after="156" w:afterLines="50"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（六）法律、行政法规规定的其他条件。</w:t>
      </w:r>
    </w:p>
    <w:p w14:paraId="79CDE20D">
      <w:pPr>
        <w:snapToGrid w:val="0"/>
        <w:spacing w:before="50" w:after="156" w:afterLines="50"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4.以上事项如有虚假或者隐瞒，我方愿意承担一切后果，并不再寻求任何旨在减轻或者免除法律责任的辩解。</w:t>
      </w:r>
    </w:p>
    <w:p w14:paraId="6A6616E3">
      <w:pPr>
        <w:snapToGrid w:val="0"/>
        <w:spacing w:before="50" w:after="156" w:afterLines="50"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特此承诺。</w:t>
      </w:r>
    </w:p>
    <w:p w14:paraId="69890091">
      <w:pPr>
        <w:snapToGrid w:val="0"/>
        <w:spacing w:before="50" w:after="156" w:afterLines="50" w:line="360" w:lineRule="auto"/>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注：如为联合体投标，盖章处须加盖联合体各方公章并由联合体各方法定代表人分别</w:t>
      </w:r>
    </w:p>
    <w:p w14:paraId="47E7AF6A">
      <w:pPr>
        <w:snapToGrid w:val="0"/>
        <w:spacing w:before="50" w:after="156" w:afterLines="50" w:line="360" w:lineRule="auto"/>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签署，否则投标无效。</w:t>
      </w:r>
    </w:p>
    <w:p w14:paraId="1E414F33">
      <w:pPr>
        <w:snapToGrid w:val="0"/>
        <w:spacing w:before="50" w:after="156" w:afterLines="50"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法定代表人（负责人、自然人）签字：</w:t>
      </w:r>
      <w:r>
        <w:rPr>
          <w:rFonts w:hint="eastAsia" w:ascii="仿宋" w:hAnsi="仿宋" w:eastAsia="仿宋" w:cs="仿宋"/>
          <w:color w:val="auto"/>
          <w:sz w:val="24"/>
          <w:highlight w:val="none"/>
          <w:u w:val="single"/>
        </w:rPr>
        <w:t xml:space="preserve">           </w:t>
      </w:r>
    </w:p>
    <w:p w14:paraId="4A881B43">
      <w:pPr>
        <w:snapToGrid w:val="0"/>
        <w:spacing w:before="50" w:after="156" w:afterLines="50"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投标人（盖公章）：</w:t>
      </w:r>
      <w:r>
        <w:rPr>
          <w:rFonts w:hint="eastAsia" w:ascii="仿宋" w:hAnsi="仿宋" w:eastAsia="仿宋" w:cs="仿宋"/>
          <w:color w:val="auto"/>
          <w:sz w:val="24"/>
          <w:highlight w:val="none"/>
          <w:u w:val="single"/>
        </w:rPr>
        <w:t xml:space="preserve">                 </w:t>
      </w:r>
    </w:p>
    <w:p w14:paraId="628ABAF8">
      <w:pPr>
        <w:snapToGrid w:val="0"/>
        <w:spacing w:before="50" w:after="156" w:afterLines="50" w:line="360" w:lineRule="auto"/>
        <w:jc w:val="left"/>
        <w:rPr>
          <w:rFonts w:hint="eastAsia" w:ascii="仿宋" w:hAnsi="仿宋" w:eastAsia="仿宋" w:cs="仿宋"/>
          <w:color w:val="auto"/>
          <w:highlight w:val="none"/>
        </w:rPr>
      </w:pPr>
      <w:r>
        <w:rPr>
          <w:rFonts w:hint="eastAsia" w:ascii="仿宋" w:hAnsi="仿宋" w:eastAsia="仿宋" w:cs="仿宋"/>
          <w:color w:val="auto"/>
          <w:sz w:val="24"/>
          <w:highlight w:val="none"/>
        </w:rPr>
        <w:t xml:space="preserve">                                                  年    月    日</w:t>
      </w:r>
    </w:p>
    <w:p w14:paraId="7F33AFEE">
      <w:pPr>
        <w:snapToGrid w:val="0"/>
        <w:spacing w:before="156" w:beforeLines="50" w:after="50"/>
        <w:jc w:val="left"/>
        <w:rPr>
          <w:rFonts w:hint="eastAsia" w:ascii="仿宋" w:hAnsi="仿宋" w:eastAsia="仿宋" w:cs="仿宋"/>
          <w:color w:val="auto"/>
          <w:highlight w:val="none"/>
        </w:rPr>
      </w:pPr>
    </w:p>
    <w:p w14:paraId="7CF1369E">
      <w:pPr>
        <w:snapToGrid w:val="0"/>
        <w:spacing w:before="50" w:after="156" w:afterLines="50"/>
        <w:jc w:val="left"/>
        <w:rPr>
          <w:rFonts w:hint="eastAsia" w:ascii="仿宋" w:hAnsi="仿宋" w:eastAsia="仿宋" w:cs="仿宋"/>
          <w:color w:val="auto"/>
          <w:sz w:val="24"/>
          <w:highlight w:val="none"/>
        </w:rPr>
      </w:pPr>
    </w:p>
    <w:p w14:paraId="4CC940A9">
      <w:pPr>
        <w:rPr>
          <w:rFonts w:hint="eastAsia" w:ascii="仿宋" w:hAnsi="仿宋" w:eastAsia="仿宋" w:cs="仿宋"/>
          <w:b/>
          <w:color w:val="auto"/>
          <w:sz w:val="24"/>
          <w:highlight w:val="none"/>
        </w:rPr>
      </w:pPr>
    </w:p>
    <w:p w14:paraId="5FC27792">
      <w:pPr>
        <w:rPr>
          <w:rFonts w:hint="eastAsia" w:ascii="仿宋" w:hAnsi="仿宋" w:eastAsia="仿宋" w:cs="仿宋"/>
          <w:b/>
          <w:color w:val="auto"/>
          <w:sz w:val="24"/>
          <w:highlight w:val="none"/>
        </w:rPr>
      </w:pPr>
    </w:p>
    <w:p w14:paraId="4272169F">
      <w:pPr>
        <w:rPr>
          <w:rFonts w:hint="eastAsia" w:ascii="仿宋" w:hAnsi="仿宋" w:eastAsia="仿宋" w:cs="仿宋"/>
          <w:b/>
          <w:color w:val="auto"/>
          <w:sz w:val="24"/>
          <w:highlight w:val="none"/>
        </w:rPr>
      </w:pPr>
    </w:p>
    <w:p w14:paraId="2DDAB1E5">
      <w:pPr>
        <w:rPr>
          <w:rFonts w:hint="eastAsia" w:ascii="仿宋" w:hAnsi="仿宋" w:eastAsia="仿宋" w:cs="仿宋"/>
          <w:b/>
          <w:color w:val="auto"/>
          <w:sz w:val="24"/>
          <w:highlight w:val="none"/>
        </w:rPr>
      </w:pPr>
    </w:p>
    <w:p w14:paraId="39E779C1">
      <w:pPr>
        <w:rPr>
          <w:rFonts w:hint="eastAsia" w:ascii="仿宋" w:hAnsi="仿宋" w:eastAsia="仿宋" w:cs="仿宋"/>
          <w:b/>
          <w:color w:val="auto"/>
          <w:sz w:val="24"/>
          <w:highlight w:val="none"/>
        </w:rPr>
      </w:pPr>
    </w:p>
    <w:p w14:paraId="0036B99C">
      <w:pPr>
        <w:rPr>
          <w:rFonts w:hint="eastAsia" w:ascii="仿宋" w:hAnsi="仿宋" w:eastAsia="仿宋" w:cs="仿宋"/>
          <w:b/>
          <w:color w:val="auto"/>
          <w:sz w:val="24"/>
          <w:highlight w:val="none"/>
        </w:rPr>
      </w:pPr>
    </w:p>
    <w:p w14:paraId="4E7B36A4">
      <w:pPr>
        <w:rPr>
          <w:rFonts w:hint="eastAsia" w:ascii="仿宋" w:hAnsi="仿宋" w:eastAsia="仿宋" w:cs="仿宋"/>
          <w:b/>
          <w:color w:val="auto"/>
          <w:sz w:val="24"/>
          <w:highlight w:val="none"/>
        </w:rPr>
      </w:pPr>
    </w:p>
    <w:p w14:paraId="67EC086B">
      <w:pPr>
        <w:rPr>
          <w:rFonts w:hint="eastAsia" w:ascii="仿宋" w:hAnsi="仿宋" w:eastAsia="仿宋" w:cs="仿宋"/>
          <w:b/>
          <w:color w:val="auto"/>
          <w:sz w:val="24"/>
          <w:highlight w:val="none"/>
        </w:rPr>
      </w:pPr>
    </w:p>
    <w:p w14:paraId="650BED1A">
      <w:pPr>
        <w:rPr>
          <w:rFonts w:hint="eastAsia" w:ascii="仿宋" w:hAnsi="仿宋" w:eastAsia="仿宋" w:cs="仿宋"/>
          <w:b/>
          <w:color w:val="auto"/>
          <w:sz w:val="24"/>
          <w:highlight w:val="none"/>
        </w:rPr>
      </w:pPr>
    </w:p>
    <w:p w14:paraId="1593DE6E">
      <w:pPr>
        <w:rPr>
          <w:rFonts w:hint="eastAsia" w:ascii="仿宋" w:hAnsi="仿宋" w:eastAsia="仿宋" w:cs="仿宋"/>
          <w:b/>
          <w:color w:val="auto"/>
          <w:sz w:val="24"/>
          <w:highlight w:val="none"/>
        </w:rPr>
      </w:pPr>
    </w:p>
    <w:p w14:paraId="64C8EF96">
      <w:pPr>
        <w:rPr>
          <w:rFonts w:hint="eastAsia" w:ascii="仿宋" w:hAnsi="仿宋" w:eastAsia="仿宋" w:cs="仿宋"/>
          <w:b/>
          <w:color w:val="auto"/>
          <w:sz w:val="24"/>
          <w:highlight w:val="none"/>
        </w:rPr>
      </w:pPr>
    </w:p>
    <w:p w14:paraId="0B9C2E3A">
      <w:pPr>
        <w:rPr>
          <w:rFonts w:hint="eastAsia" w:ascii="仿宋" w:hAnsi="仿宋" w:eastAsia="仿宋" w:cs="仿宋"/>
          <w:b/>
          <w:color w:val="auto"/>
          <w:sz w:val="24"/>
          <w:highlight w:val="none"/>
        </w:rPr>
      </w:pPr>
    </w:p>
    <w:p w14:paraId="01A62DA8">
      <w:pPr>
        <w:rPr>
          <w:rFonts w:hint="eastAsia" w:ascii="仿宋" w:hAnsi="仿宋" w:eastAsia="仿宋" w:cs="仿宋"/>
          <w:b/>
          <w:color w:val="auto"/>
          <w:sz w:val="24"/>
          <w:highlight w:val="none"/>
        </w:rPr>
      </w:pPr>
    </w:p>
    <w:p w14:paraId="5F323D8D">
      <w:pPr>
        <w:rPr>
          <w:rFonts w:hint="eastAsia" w:ascii="仿宋" w:hAnsi="仿宋" w:eastAsia="仿宋" w:cs="仿宋"/>
          <w:b/>
          <w:color w:val="auto"/>
          <w:sz w:val="24"/>
          <w:highlight w:val="none"/>
        </w:rPr>
      </w:pPr>
    </w:p>
    <w:p w14:paraId="25703AEB">
      <w:pPr>
        <w:rPr>
          <w:rFonts w:hint="eastAsia" w:ascii="仿宋" w:hAnsi="仿宋" w:eastAsia="仿宋" w:cs="仿宋"/>
          <w:b/>
          <w:color w:val="auto"/>
          <w:sz w:val="24"/>
          <w:highlight w:val="none"/>
        </w:rPr>
      </w:pPr>
    </w:p>
    <w:p w14:paraId="5D910F81">
      <w:pPr>
        <w:rPr>
          <w:rFonts w:hint="eastAsia" w:ascii="仿宋" w:hAnsi="仿宋" w:eastAsia="仿宋" w:cs="仿宋"/>
          <w:b/>
          <w:color w:val="auto"/>
          <w:sz w:val="24"/>
          <w:highlight w:val="none"/>
        </w:rPr>
      </w:pPr>
    </w:p>
    <w:p w14:paraId="210CA24E">
      <w:pPr>
        <w:rPr>
          <w:rFonts w:hint="eastAsia" w:ascii="仿宋" w:hAnsi="仿宋" w:eastAsia="仿宋" w:cs="仿宋"/>
          <w:b/>
          <w:color w:val="auto"/>
          <w:sz w:val="24"/>
          <w:highlight w:val="none"/>
        </w:rPr>
      </w:pPr>
    </w:p>
    <w:p w14:paraId="7CBB4706">
      <w:pPr>
        <w:rPr>
          <w:rFonts w:hint="eastAsia" w:ascii="仿宋" w:hAnsi="仿宋" w:eastAsia="仿宋" w:cs="仿宋"/>
          <w:b/>
          <w:color w:val="auto"/>
          <w:sz w:val="24"/>
          <w:highlight w:val="none"/>
        </w:rPr>
      </w:pPr>
    </w:p>
    <w:p w14:paraId="37A0B654">
      <w:pPr>
        <w:rPr>
          <w:rFonts w:hint="eastAsia" w:ascii="仿宋" w:hAnsi="仿宋" w:eastAsia="仿宋" w:cs="仿宋"/>
          <w:b/>
          <w:color w:val="auto"/>
          <w:sz w:val="24"/>
          <w:highlight w:val="none"/>
        </w:rPr>
      </w:pPr>
    </w:p>
    <w:p w14:paraId="2B7F85D0">
      <w:pPr>
        <w:rPr>
          <w:rFonts w:hint="eastAsia" w:ascii="仿宋" w:hAnsi="仿宋" w:eastAsia="仿宋" w:cs="仿宋"/>
          <w:b/>
          <w:color w:val="auto"/>
          <w:sz w:val="24"/>
          <w:highlight w:val="none"/>
        </w:rPr>
      </w:pPr>
    </w:p>
    <w:p w14:paraId="563D5979">
      <w:pPr>
        <w:rPr>
          <w:rFonts w:hint="eastAsia" w:ascii="仿宋" w:hAnsi="仿宋" w:eastAsia="仿宋" w:cs="仿宋"/>
          <w:b/>
          <w:color w:val="auto"/>
          <w:sz w:val="24"/>
          <w:highlight w:val="none"/>
        </w:rPr>
      </w:pPr>
    </w:p>
    <w:p w14:paraId="0A9E59CB">
      <w:pPr>
        <w:rPr>
          <w:rFonts w:hint="eastAsia" w:ascii="仿宋" w:hAnsi="仿宋" w:eastAsia="仿宋" w:cs="仿宋"/>
          <w:b/>
          <w:color w:val="auto"/>
          <w:sz w:val="24"/>
          <w:highlight w:val="none"/>
        </w:rPr>
      </w:pPr>
    </w:p>
    <w:p w14:paraId="77E76442">
      <w:pPr>
        <w:rPr>
          <w:rFonts w:hint="eastAsia" w:ascii="仿宋" w:hAnsi="仿宋" w:eastAsia="仿宋" w:cs="仿宋"/>
          <w:b/>
          <w:color w:val="auto"/>
          <w:sz w:val="24"/>
          <w:highlight w:val="none"/>
        </w:rPr>
      </w:pPr>
    </w:p>
    <w:p w14:paraId="02FE3BEE">
      <w:pPr>
        <w:rPr>
          <w:rFonts w:hint="eastAsia" w:ascii="仿宋" w:hAnsi="仿宋" w:eastAsia="仿宋" w:cs="仿宋"/>
          <w:b/>
          <w:color w:val="auto"/>
          <w:sz w:val="24"/>
          <w:highlight w:val="none"/>
        </w:rPr>
      </w:pPr>
    </w:p>
    <w:p w14:paraId="6E4DC7FD">
      <w:pPr>
        <w:rPr>
          <w:rFonts w:hint="eastAsia" w:ascii="仿宋" w:hAnsi="仿宋" w:eastAsia="仿宋" w:cs="仿宋"/>
          <w:b/>
          <w:color w:val="auto"/>
          <w:sz w:val="24"/>
          <w:highlight w:val="none"/>
        </w:rPr>
      </w:pPr>
    </w:p>
    <w:p w14:paraId="38FE2D66">
      <w:pPr>
        <w:rPr>
          <w:rFonts w:hint="eastAsia" w:ascii="仿宋" w:hAnsi="仿宋" w:eastAsia="仿宋" w:cs="仿宋"/>
          <w:b/>
          <w:color w:val="auto"/>
          <w:sz w:val="24"/>
          <w:highlight w:val="none"/>
        </w:rPr>
      </w:pPr>
    </w:p>
    <w:p w14:paraId="0A206F9C">
      <w:pPr>
        <w:rPr>
          <w:rFonts w:hint="eastAsia" w:ascii="仿宋" w:hAnsi="仿宋" w:eastAsia="仿宋" w:cs="仿宋"/>
          <w:b/>
          <w:color w:val="auto"/>
          <w:sz w:val="24"/>
          <w:highlight w:val="none"/>
        </w:rPr>
      </w:pPr>
    </w:p>
    <w:p w14:paraId="19666713">
      <w:pPr>
        <w:rPr>
          <w:rFonts w:hint="eastAsia" w:ascii="仿宋" w:hAnsi="仿宋" w:eastAsia="仿宋" w:cs="仿宋"/>
          <w:b/>
          <w:color w:val="auto"/>
          <w:sz w:val="24"/>
          <w:highlight w:val="none"/>
        </w:rPr>
      </w:pPr>
    </w:p>
    <w:p w14:paraId="088D0E9C">
      <w:pPr>
        <w:rPr>
          <w:rFonts w:hint="eastAsia" w:ascii="仿宋" w:hAnsi="仿宋" w:eastAsia="仿宋" w:cs="仿宋"/>
          <w:b/>
          <w:color w:val="auto"/>
          <w:sz w:val="24"/>
          <w:highlight w:val="none"/>
        </w:rPr>
      </w:pPr>
    </w:p>
    <w:p w14:paraId="26762DD2">
      <w:pPr>
        <w:rPr>
          <w:rFonts w:hint="eastAsia" w:ascii="仿宋" w:hAnsi="仿宋" w:eastAsia="仿宋" w:cs="仿宋"/>
          <w:b/>
          <w:color w:val="auto"/>
          <w:sz w:val="24"/>
          <w:highlight w:val="none"/>
        </w:rPr>
      </w:pPr>
    </w:p>
    <w:p w14:paraId="1EC89F24">
      <w:pPr>
        <w:rPr>
          <w:rFonts w:hint="eastAsia" w:ascii="仿宋" w:hAnsi="仿宋" w:eastAsia="仿宋" w:cs="仿宋"/>
          <w:b/>
          <w:color w:val="auto"/>
          <w:sz w:val="24"/>
          <w:highlight w:val="none"/>
        </w:rPr>
      </w:pPr>
    </w:p>
    <w:p w14:paraId="118DF75B">
      <w:pPr>
        <w:rPr>
          <w:rFonts w:hint="eastAsia" w:ascii="仿宋" w:hAnsi="仿宋" w:eastAsia="仿宋" w:cs="仿宋"/>
          <w:b/>
          <w:color w:val="auto"/>
          <w:sz w:val="24"/>
          <w:highlight w:val="none"/>
        </w:rPr>
      </w:pPr>
    </w:p>
    <w:p w14:paraId="0E571848">
      <w:pPr>
        <w:rPr>
          <w:rFonts w:hint="eastAsia" w:ascii="仿宋" w:hAnsi="仿宋" w:eastAsia="仿宋" w:cs="仿宋"/>
          <w:b/>
          <w:color w:val="auto"/>
          <w:sz w:val="24"/>
          <w:highlight w:val="none"/>
        </w:rPr>
      </w:pPr>
    </w:p>
    <w:p w14:paraId="3E4B3ACD">
      <w:pPr>
        <w:rPr>
          <w:rFonts w:hint="eastAsia" w:ascii="仿宋" w:hAnsi="仿宋" w:eastAsia="仿宋" w:cs="仿宋"/>
          <w:b/>
          <w:color w:val="auto"/>
          <w:sz w:val="24"/>
          <w:highlight w:val="none"/>
        </w:rPr>
      </w:pPr>
    </w:p>
    <w:p w14:paraId="671BB099">
      <w:pPr>
        <w:rPr>
          <w:rFonts w:hint="eastAsia" w:ascii="仿宋" w:hAnsi="仿宋" w:eastAsia="仿宋" w:cs="仿宋"/>
          <w:b/>
          <w:color w:val="auto"/>
          <w:sz w:val="24"/>
          <w:highlight w:val="none"/>
        </w:rPr>
      </w:pPr>
    </w:p>
    <w:p w14:paraId="2C52CD87">
      <w:pPr>
        <w:rPr>
          <w:rFonts w:hint="eastAsia" w:ascii="仿宋" w:hAnsi="仿宋" w:eastAsia="仿宋" w:cs="仿宋"/>
          <w:b/>
          <w:color w:val="auto"/>
          <w:sz w:val="24"/>
          <w:szCs w:val="20"/>
          <w:highlight w:val="none"/>
        </w:rPr>
      </w:pPr>
      <w:r>
        <w:rPr>
          <w:rFonts w:hint="eastAsia" w:ascii="仿宋" w:hAnsi="仿宋" w:eastAsia="仿宋" w:cs="仿宋"/>
          <w:b/>
          <w:color w:val="auto"/>
          <w:sz w:val="24"/>
          <w:highlight w:val="none"/>
        </w:rPr>
        <w:t>5.政府采购供应商资格信用承诺函格式</w:t>
      </w:r>
    </w:p>
    <w:p w14:paraId="7FA375C0">
      <w:pPr>
        <w:snapToGrid w:val="0"/>
        <w:spacing w:before="50"/>
        <w:jc w:val="left"/>
        <w:rPr>
          <w:rFonts w:hint="eastAsia" w:ascii="仿宋" w:hAnsi="仿宋" w:eastAsia="仿宋" w:cs="仿宋"/>
          <w:color w:val="auto"/>
          <w:sz w:val="24"/>
          <w:highlight w:val="none"/>
        </w:rPr>
      </w:pPr>
    </w:p>
    <w:p w14:paraId="3CE9526B">
      <w:pPr>
        <w:snapToGrid w:val="0"/>
        <w:spacing w:before="50" w:after="50"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采购人名称）、（代理机构名称）</w:t>
      </w:r>
      <w:r>
        <w:rPr>
          <w:rFonts w:hint="eastAsia" w:ascii="仿宋" w:hAnsi="仿宋" w:eastAsia="仿宋" w:cs="仿宋"/>
          <w:color w:val="auto"/>
          <w:sz w:val="24"/>
          <w:highlight w:val="none"/>
        </w:rPr>
        <w:t>：</w:t>
      </w:r>
    </w:p>
    <w:p w14:paraId="5E0B9C86">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我方自愿参加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项目（项目编号：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）的政府采购活动，并郑重承诺我方符合《中华人民共和国政府采购法》第二十二条规定的条件： </w:t>
      </w:r>
    </w:p>
    <w:p w14:paraId="7E80AFB8">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（一）具有独立承担民事责任的能力； </w:t>
      </w:r>
    </w:p>
    <w:p w14:paraId="29E22D64">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（二）具有良好的商业信誉和健全的财务会计制度； </w:t>
      </w:r>
    </w:p>
    <w:p w14:paraId="64F41F6E">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（三）具有履行合同所必需的设备和专业技术能力； </w:t>
      </w:r>
    </w:p>
    <w:p w14:paraId="0466B175">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（四）有依法缴纳税收和社会保障资金的良好记录； </w:t>
      </w:r>
    </w:p>
    <w:p w14:paraId="72B27798">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（五）参加政府采购活动前三年内，在经营活动中没有重大违法记录； </w:t>
      </w:r>
    </w:p>
    <w:p w14:paraId="43A2F4DC">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（六）法律、行政法规规定的其他条件。 </w:t>
      </w:r>
    </w:p>
    <w:p w14:paraId="5D987276">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我方保证上述承诺事项的真实性，如有弄虚作假或其他违法违规行为，愿意承担一切法律责任，并承担因此所造成的一切损失。 </w:t>
      </w:r>
    </w:p>
    <w:p w14:paraId="3C6C1134">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特此声明！ </w:t>
      </w:r>
    </w:p>
    <w:p w14:paraId="18DCC6CB">
      <w:pPr>
        <w:pStyle w:val="17"/>
        <w:rPr>
          <w:rFonts w:hint="eastAsia" w:ascii="仿宋" w:hAnsi="仿宋" w:eastAsia="仿宋" w:cs="仿宋"/>
          <w:color w:val="auto"/>
          <w:highlight w:val="none"/>
        </w:rPr>
      </w:pPr>
    </w:p>
    <w:p w14:paraId="68C3177C">
      <w:pPr>
        <w:rPr>
          <w:rFonts w:hint="eastAsia" w:ascii="仿宋" w:hAnsi="仿宋" w:eastAsia="仿宋" w:cs="仿宋"/>
          <w:color w:val="auto"/>
          <w:sz w:val="24"/>
          <w:highlight w:val="none"/>
        </w:rPr>
      </w:pPr>
    </w:p>
    <w:p w14:paraId="1F68E3AA">
      <w:pPr>
        <w:pStyle w:val="17"/>
        <w:rPr>
          <w:rFonts w:hint="eastAsia" w:ascii="仿宋" w:hAnsi="仿宋" w:eastAsia="仿宋" w:cs="仿宋"/>
          <w:color w:val="auto"/>
          <w:highlight w:val="none"/>
        </w:rPr>
      </w:pPr>
    </w:p>
    <w:p w14:paraId="15F2AEA7">
      <w:pPr>
        <w:rPr>
          <w:rFonts w:hint="eastAsia" w:ascii="仿宋" w:hAnsi="仿宋" w:eastAsia="仿宋" w:cs="仿宋"/>
          <w:color w:val="auto"/>
          <w:highlight w:val="none"/>
        </w:rPr>
      </w:pPr>
    </w:p>
    <w:p w14:paraId="1A22F17F">
      <w:pPr>
        <w:snapToGrid w:val="0"/>
        <w:spacing w:before="50" w:after="50"/>
        <w:ind w:firstLine="3600" w:firstLineChars="1500"/>
        <w:rPr>
          <w:rFonts w:hint="eastAsia" w:ascii="仿宋" w:hAnsi="仿宋" w:eastAsia="仿宋" w:cs="仿宋"/>
          <w:color w:val="auto"/>
          <w:spacing w:val="20"/>
          <w:sz w:val="24"/>
          <w:highlight w:val="none"/>
          <w:u w:val="single"/>
        </w:rPr>
      </w:pPr>
      <w:r>
        <w:rPr>
          <w:rFonts w:hint="eastAsia" w:ascii="仿宋" w:hAnsi="仿宋" w:eastAsia="仿宋" w:cs="仿宋"/>
          <w:color w:val="auto"/>
          <w:sz w:val="24"/>
          <w:highlight w:val="none"/>
        </w:rPr>
        <w:t>法定代表人或者委托代理人</w:t>
      </w:r>
      <w:r>
        <w:rPr>
          <w:rFonts w:hint="eastAsia" w:ascii="仿宋" w:hAnsi="仿宋" w:eastAsia="仿宋" w:cs="仿宋"/>
          <w:color w:val="auto"/>
          <w:spacing w:val="20"/>
          <w:sz w:val="24"/>
          <w:highlight w:val="none"/>
        </w:rPr>
        <w:t>签字：</w:t>
      </w:r>
      <w:r>
        <w:rPr>
          <w:rFonts w:hint="eastAsia" w:ascii="仿宋" w:hAnsi="仿宋" w:eastAsia="仿宋" w:cs="仿宋"/>
          <w:color w:val="auto"/>
          <w:spacing w:val="20"/>
          <w:sz w:val="24"/>
          <w:highlight w:val="none"/>
          <w:u w:val="single"/>
        </w:rPr>
        <w:t xml:space="preserve">        </w:t>
      </w:r>
    </w:p>
    <w:p w14:paraId="49974AC9">
      <w:pPr>
        <w:snapToGrid w:val="0"/>
        <w:spacing w:before="156" w:beforeLines="50"/>
        <w:ind w:firstLine="4760" w:firstLineChars="1700"/>
        <w:rPr>
          <w:rFonts w:hint="eastAsia" w:ascii="仿宋" w:hAnsi="仿宋" w:eastAsia="仿宋" w:cs="仿宋"/>
          <w:color w:val="auto"/>
          <w:spacing w:val="20"/>
          <w:sz w:val="24"/>
          <w:highlight w:val="none"/>
        </w:rPr>
      </w:pPr>
      <w:r>
        <w:rPr>
          <w:rFonts w:hint="eastAsia" w:ascii="仿宋" w:hAnsi="仿宋" w:eastAsia="仿宋" w:cs="仿宋"/>
          <w:color w:val="auto"/>
          <w:spacing w:val="20"/>
          <w:sz w:val="24"/>
          <w:highlight w:val="none"/>
        </w:rPr>
        <w:t>投标人盖公章：</w:t>
      </w:r>
      <w:r>
        <w:rPr>
          <w:rFonts w:hint="eastAsia" w:ascii="仿宋" w:hAnsi="仿宋" w:eastAsia="仿宋" w:cs="仿宋"/>
          <w:color w:val="auto"/>
          <w:spacing w:val="20"/>
          <w:sz w:val="24"/>
          <w:highlight w:val="none"/>
          <w:u w:val="single"/>
        </w:rPr>
        <w:t xml:space="preserve">            </w:t>
      </w:r>
      <w:r>
        <w:rPr>
          <w:rFonts w:hint="eastAsia" w:ascii="仿宋" w:hAnsi="仿宋" w:eastAsia="仿宋" w:cs="仿宋"/>
          <w:color w:val="auto"/>
          <w:spacing w:val="20"/>
          <w:sz w:val="24"/>
          <w:highlight w:val="none"/>
        </w:rPr>
        <w:t xml:space="preserve">   </w:t>
      </w:r>
    </w:p>
    <w:p w14:paraId="4C1CDCF5">
      <w:pPr>
        <w:snapToGrid w:val="0"/>
        <w:spacing w:before="156" w:beforeLines="50"/>
        <w:ind w:firstLine="5280" w:firstLineChars="2200"/>
        <w:rPr>
          <w:rFonts w:hint="eastAsia" w:ascii="仿宋" w:hAnsi="仿宋" w:eastAsia="仿宋" w:cs="仿宋"/>
          <w:color w:val="auto"/>
          <w:sz w:val="24"/>
          <w:szCs w:val="20"/>
          <w:highlight w:val="none"/>
        </w:rPr>
      </w:pPr>
      <w:r>
        <w:rPr>
          <w:rFonts w:hint="eastAsia" w:ascii="仿宋" w:hAnsi="仿宋" w:eastAsia="仿宋" w:cs="仿宋"/>
          <w:color w:val="auto"/>
          <w:sz w:val="24"/>
          <w:highlight w:val="none"/>
        </w:rPr>
        <w:t xml:space="preserve">              年    月    日</w:t>
      </w:r>
    </w:p>
    <w:p w14:paraId="0A5577FA">
      <w:pPr>
        <w:rPr>
          <w:rFonts w:hint="eastAsia" w:ascii="仿宋" w:hAnsi="仿宋" w:eastAsia="仿宋" w:cs="仿宋"/>
          <w:b/>
          <w:color w:val="auto"/>
          <w:sz w:val="24"/>
          <w:highlight w:val="none"/>
        </w:rPr>
      </w:pPr>
    </w:p>
    <w:p w14:paraId="0BE8648D">
      <w:pPr>
        <w:rPr>
          <w:rFonts w:hint="eastAsia" w:ascii="仿宋" w:hAnsi="仿宋" w:eastAsia="仿宋" w:cs="仿宋"/>
          <w:b/>
          <w:color w:val="auto"/>
          <w:sz w:val="24"/>
          <w:highlight w:val="none"/>
        </w:rPr>
      </w:pPr>
    </w:p>
    <w:p w14:paraId="6D662792">
      <w:pPr>
        <w:rPr>
          <w:rFonts w:hint="eastAsia" w:ascii="仿宋" w:hAnsi="仿宋" w:eastAsia="仿宋" w:cs="仿宋"/>
          <w:b/>
          <w:color w:val="auto"/>
          <w:sz w:val="24"/>
          <w:highlight w:val="none"/>
        </w:rPr>
      </w:pPr>
    </w:p>
    <w:p w14:paraId="03090EA5">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别说明：供应商对信用承诺内容的真实性、合法性、有效性负责。如作出虚假信用承诺，视同为“提供虚假材料谋取中标、成交”的违法行为。经调查核实后，按照《中国人民共和国政府采购法》第七十七条规定及柳财采〔2022〕9号文规定处理。</w:t>
      </w:r>
    </w:p>
    <w:p w14:paraId="0D837423">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br w:type="page"/>
      </w:r>
      <w:bookmarkStart w:id="150" w:name="_Toc7727"/>
      <w:bookmarkStart w:id="151" w:name="_Toc19686838"/>
      <w:r>
        <w:rPr>
          <w:rFonts w:hint="eastAsia" w:ascii="仿宋" w:hAnsi="仿宋" w:eastAsia="仿宋" w:cs="仿宋"/>
          <w:b/>
          <w:bCs/>
          <w:color w:val="auto"/>
          <w:sz w:val="24"/>
          <w:highlight w:val="none"/>
        </w:rPr>
        <w:t>6.</w:t>
      </w:r>
      <w:r>
        <w:rPr>
          <w:rFonts w:hint="eastAsia" w:ascii="仿宋" w:hAnsi="仿宋" w:eastAsia="仿宋" w:cs="仿宋"/>
          <w:color w:val="auto"/>
          <w:sz w:val="24"/>
          <w:highlight w:val="none"/>
        </w:rPr>
        <w:t xml:space="preserve">如供应商提供的产品属于本国产品，按以下格式提供关于符合本国产品标准的声明函。 </w:t>
      </w:r>
    </w:p>
    <w:p w14:paraId="070B0BEE">
      <w:pPr>
        <w:snapToGrid w:val="0"/>
        <w:spacing w:before="50" w:after="50" w:line="360" w:lineRule="auto"/>
        <w:ind w:firstLine="482" w:firstLineChars="200"/>
        <w:jc w:val="cente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关于符合本国产品标准的声明函</w:t>
      </w:r>
    </w:p>
    <w:p w14:paraId="4DD57031">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本公司（单位）郑重声明，根据《国务院办公厅关于在政府采购中实施本国产品标准及相关政策的通知》（国办发〔2025〕34 号）的规定，本公司（单位）提供的以下产品属于本国产品。具体情况 </w:t>
      </w:r>
    </w:p>
    <w:p w14:paraId="103DF3A0">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如下： </w:t>
      </w:r>
    </w:p>
    <w:p w14:paraId="33B80336">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u w:val="single"/>
        </w:rPr>
        <w:t xml:space="preserve">（产品名称 1）1 </w:t>
      </w:r>
      <w:r>
        <w:rPr>
          <w:rFonts w:hint="eastAsia" w:ascii="仿宋" w:hAnsi="仿宋" w:eastAsia="仿宋" w:cs="仿宋"/>
          <w:color w:val="auto"/>
          <w:sz w:val="24"/>
          <w:highlight w:val="none"/>
        </w:rPr>
        <w:t>，生产厂为</w:t>
      </w:r>
      <w:r>
        <w:rPr>
          <w:rFonts w:hint="eastAsia" w:ascii="仿宋" w:hAnsi="仿宋" w:eastAsia="仿宋" w:cs="仿宋"/>
          <w:color w:val="auto"/>
          <w:sz w:val="24"/>
          <w:highlight w:val="none"/>
          <w:u w:val="single"/>
        </w:rPr>
        <w:t xml:space="preserve">（厂名）2 </w:t>
      </w:r>
      <w:r>
        <w:rPr>
          <w:rFonts w:hint="eastAsia" w:ascii="仿宋" w:hAnsi="仿宋" w:eastAsia="仿宋" w:cs="仿宋"/>
          <w:color w:val="auto"/>
          <w:sz w:val="24"/>
          <w:highlight w:val="none"/>
        </w:rPr>
        <w:t>，厂址为（生产厂址）</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。（产品名称1）的 中国境内生产的组件成本占比≥</w:t>
      </w:r>
      <w:r>
        <w:rPr>
          <w:rFonts w:hint="eastAsia" w:ascii="仿宋" w:hAnsi="仿宋" w:eastAsia="仿宋" w:cs="仿宋"/>
          <w:color w:val="auto"/>
          <w:sz w:val="24"/>
          <w:highlight w:val="none"/>
          <w:u w:val="single"/>
        </w:rPr>
        <w:t xml:space="preserve">（规定比例）3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（产品名称 1）</w:t>
      </w:r>
      <w:r>
        <w:rPr>
          <w:rFonts w:hint="eastAsia" w:ascii="仿宋" w:hAnsi="仿宋" w:eastAsia="仿宋" w:cs="仿宋"/>
          <w:color w:val="auto"/>
          <w:sz w:val="24"/>
          <w:highlight w:val="none"/>
        </w:rPr>
        <w:t xml:space="preserve"> 的</w:t>
      </w:r>
      <w:r>
        <w:rPr>
          <w:rFonts w:hint="eastAsia" w:ascii="仿宋" w:hAnsi="仿宋" w:eastAsia="仿宋" w:cs="仿宋"/>
          <w:color w:val="auto"/>
          <w:sz w:val="24"/>
          <w:highlight w:val="none"/>
          <w:u w:val="single"/>
        </w:rPr>
        <w:t xml:space="preserve">（关键组件）4 </w:t>
      </w:r>
      <w:r>
        <w:rPr>
          <w:rFonts w:hint="eastAsia" w:ascii="仿宋" w:hAnsi="仿宋" w:eastAsia="仿宋" w:cs="仿宋"/>
          <w:color w:val="auto"/>
          <w:sz w:val="24"/>
          <w:highlight w:val="none"/>
        </w:rPr>
        <w:t>在中国境内生产。</w:t>
      </w:r>
      <w:r>
        <w:rPr>
          <w:rFonts w:hint="eastAsia" w:ascii="仿宋" w:hAnsi="仿宋" w:eastAsia="仿宋" w:cs="仿宋"/>
          <w:color w:val="auto"/>
          <w:sz w:val="24"/>
          <w:highlight w:val="none"/>
          <w:u w:val="single"/>
        </w:rPr>
        <w:t>（产品名称 1）</w:t>
      </w:r>
      <w:r>
        <w:rPr>
          <w:rFonts w:hint="eastAsia" w:ascii="仿宋" w:hAnsi="仿宋" w:eastAsia="仿宋" w:cs="仿宋"/>
          <w:color w:val="auto"/>
          <w:sz w:val="24"/>
          <w:highlight w:val="none"/>
        </w:rPr>
        <w:t xml:space="preserve"> 的</w:t>
      </w:r>
      <w:r>
        <w:rPr>
          <w:rFonts w:hint="eastAsia" w:ascii="仿宋" w:hAnsi="仿宋" w:eastAsia="仿宋" w:cs="仿宋"/>
          <w:color w:val="auto"/>
          <w:sz w:val="24"/>
          <w:highlight w:val="none"/>
          <w:u w:val="single"/>
        </w:rPr>
        <w:t>（关键工序）5</w:t>
      </w:r>
      <w:r>
        <w:rPr>
          <w:rFonts w:hint="eastAsia" w:ascii="仿宋" w:hAnsi="仿宋" w:eastAsia="仿宋" w:cs="仿宋"/>
          <w:color w:val="auto"/>
          <w:sz w:val="24"/>
          <w:highlight w:val="none"/>
        </w:rPr>
        <w:t xml:space="preserve">在中国境内完成。 </w:t>
      </w:r>
    </w:p>
    <w:p w14:paraId="35601066">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（产品名称 2）</w:t>
      </w:r>
      <w:r>
        <w:rPr>
          <w:rFonts w:hint="eastAsia" w:ascii="仿宋" w:hAnsi="仿宋" w:eastAsia="仿宋" w:cs="仿宋"/>
          <w:color w:val="auto"/>
          <w:sz w:val="24"/>
          <w:highlight w:val="none"/>
        </w:rPr>
        <w:t>，生产厂为</w:t>
      </w:r>
      <w:r>
        <w:rPr>
          <w:rFonts w:hint="eastAsia" w:ascii="仿宋" w:hAnsi="仿宋" w:eastAsia="仿宋" w:cs="仿宋"/>
          <w:color w:val="auto"/>
          <w:sz w:val="24"/>
          <w:highlight w:val="none"/>
          <w:u w:val="single"/>
        </w:rPr>
        <w:t>（厂名）</w:t>
      </w:r>
      <w:r>
        <w:rPr>
          <w:rFonts w:hint="eastAsia" w:ascii="仿宋" w:hAnsi="仿宋" w:eastAsia="仿宋" w:cs="仿宋"/>
          <w:color w:val="auto"/>
          <w:sz w:val="24"/>
          <w:highlight w:val="none"/>
        </w:rPr>
        <w:t>，厂址为（生产厂址）</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u w:val="single"/>
        </w:rPr>
        <w:t>（产品名称 2）</w:t>
      </w:r>
      <w:r>
        <w:rPr>
          <w:rFonts w:hint="eastAsia" w:ascii="仿宋" w:hAnsi="仿宋" w:eastAsia="仿宋" w:cs="仿宋"/>
          <w:color w:val="auto"/>
          <w:sz w:val="24"/>
          <w:highlight w:val="none"/>
        </w:rPr>
        <w:t>的中国境内 生产的组件成本占比≥</w:t>
      </w:r>
      <w:r>
        <w:rPr>
          <w:rFonts w:hint="eastAsia" w:ascii="仿宋" w:hAnsi="仿宋" w:eastAsia="仿宋" w:cs="仿宋"/>
          <w:color w:val="auto"/>
          <w:sz w:val="24"/>
          <w:highlight w:val="none"/>
          <w:u w:val="single"/>
        </w:rPr>
        <w:t>（规定比例）</w:t>
      </w: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u w:val="single"/>
        </w:rPr>
        <w:t>（产品名称 2）</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（关键组件）</w:t>
      </w:r>
      <w:r>
        <w:rPr>
          <w:rFonts w:hint="eastAsia" w:ascii="仿宋" w:hAnsi="仿宋" w:eastAsia="仿宋" w:cs="仿宋"/>
          <w:color w:val="auto"/>
          <w:sz w:val="24"/>
          <w:highlight w:val="none"/>
        </w:rPr>
        <w:t xml:space="preserve"> 在中国境内生产。</w:t>
      </w:r>
      <w:r>
        <w:rPr>
          <w:rFonts w:hint="eastAsia" w:ascii="仿宋" w:hAnsi="仿宋" w:eastAsia="仿宋" w:cs="仿宋"/>
          <w:color w:val="auto"/>
          <w:sz w:val="24"/>
          <w:highlight w:val="none"/>
          <w:u w:val="single"/>
        </w:rPr>
        <w:t>（产品名称 2）</w:t>
      </w:r>
      <w:r>
        <w:rPr>
          <w:rFonts w:hint="eastAsia" w:ascii="仿宋" w:hAnsi="仿宋" w:eastAsia="仿宋" w:cs="仿宋"/>
          <w:color w:val="auto"/>
          <w:sz w:val="24"/>
          <w:highlight w:val="none"/>
        </w:rPr>
        <w:t xml:space="preserve"> 的</w:t>
      </w:r>
      <w:r>
        <w:rPr>
          <w:rFonts w:hint="eastAsia" w:ascii="仿宋" w:hAnsi="仿宋" w:eastAsia="仿宋" w:cs="仿宋"/>
          <w:color w:val="auto"/>
          <w:sz w:val="24"/>
          <w:highlight w:val="none"/>
          <w:u w:val="single"/>
        </w:rPr>
        <w:t xml:space="preserve">（关键工序） </w:t>
      </w:r>
      <w:r>
        <w:rPr>
          <w:rFonts w:hint="eastAsia" w:ascii="仿宋" w:hAnsi="仿宋" w:eastAsia="仿宋" w:cs="仿宋"/>
          <w:color w:val="auto"/>
          <w:sz w:val="24"/>
          <w:highlight w:val="none"/>
        </w:rPr>
        <w:t xml:space="preserve">在中国境内完成。 </w:t>
      </w:r>
    </w:p>
    <w:p w14:paraId="4161F478">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65EC6A25">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本公司（单位）对上述声明内容的真实性负责。如有虚假，愿承担相应法律责任。 </w:t>
      </w:r>
    </w:p>
    <w:p w14:paraId="39B10361">
      <w:pPr>
        <w:snapToGrid w:val="0"/>
        <w:spacing w:before="50" w:after="50" w:line="360" w:lineRule="auto"/>
        <w:ind w:firstLine="480" w:firstLineChars="2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供应商名称（盖章）： </w:t>
      </w:r>
    </w:p>
    <w:p w14:paraId="56DB7654">
      <w:pPr>
        <w:snapToGrid w:val="0"/>
        <w:spacing w:before="50" w:after="50" w:line="360" w:lineRule="auto"/>
        <w:ind w:firstLine="480" w:firstLineChars="2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年    月   日 </w:t>
      </w:r>
    </w:p>
    <w:p w14:paraId="3C576968">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__________________ </w:t>
      </w:r>
    </w:p>
    <w:p w14:paraId="00737C0C">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1.产品如有型号，请在“产品名称”栏一并填写。 </w:t>
      </w:r>
    </w:p>
    <w:p w14:paraId="696A93DA">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2.生产厂名与厂址应与生产厂营业执照载明的相关信息保持一致。 </w:t>
      </w:r>
    </w:p>
    <w:p w14:paraId="38B6F494">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3.该产品的中国境内生产的组件成本占比相关要求实施前，“规定比例”栏可不填，下同。 </w:t>
      </w:r>
    </w:p>
    <w:p w14:paraId="5DD1A3A9">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4.该产品的关键组件要求实施前，“关键组件”栏可不填，下同。 </w:t>
      </w:r>
    </w:p>
    <w:p w14:paraId="4E8078B0">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5.该产品的关键工序要求实施前，“关键工序”栏可不填，下同。</w:t>
      </w:r>
    </w:p>
    <w:p w14:paraId="31A2E02A">
      <w:pPr>
        <w:rPr>
          <w:rFonts w:hint="eastAsia" w:ascii="仿宋" w:hAnsi="仿宋" w:eastAsia="仿宋" w:cs="仿宋"/>
          <w:color w:val="auto"/>
          <w:sz w:val="24"/>
          <w:highlight w:val="none"/>
        </w:rPr>
      </w:pPr>
      <w:r>
        <w:rPr>
          <w:rFonts w:hint="eastAsia" w:ascii="仿宋" w:hAnsi="仿宋" w:eastAsia="仿宋" w:cs="仿宋"/>
          <w:color w:val="auto"/>
          <w:sz w:val="24"/>
          <w:highlight w:val="none"/>
        </w:rPr>
        <w:br w:type="page"/>
      </w:r>
    </w:p>
    <w:p w14:paraId="507E7822">
      <w:pPr>
        <w:snapToGrid w:val="0"/>
        <w:spacing w:before="50" w:after="50"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7.</w:t>
      </w:r>
      <w:r>
        <w:rPr>
          <w:rFonts w:hint="eastAsia" w:ascii="仿宋" w:hAnsi="仿宋" w:eastAsia="仿宋" w:cs="仿宋"/>
          <w:color w:val="auto"/>
          <w:sz w:val="24"/>
          <w:highlight w:val="none"/>
        </w:rPr>
        <w:t xml:space="preserve">关于符合本国产品标准的成本占比承诺函（单一产品采购不填写此函，多产品采购项目或采购包如供应商所有产品均为本国产品且填写《关于符合本国产品标准的声明函》可不填写此函。格式内容仅供参考） </w:t>
      </w:r>
    </w:p>
    <w:p w14:paraId="1ED39821">
      <w:pPr>
        <w:snapToGrid w:val="0"/>
        <w:spacing w:before="50" w:after="50" w:line="360" w:lineRule="auto"/>
        <w:ind w:firstLine="482" w:firstLineChars="200"/>
        <w:jc w:val="cente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关于符合本国产品标准的成本占比承诺函</w:t>
      </w:r>
    </w:p>
    <w:p w14:paraId="367FF36B">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致：[采购人/采购代理机构名称] </w:t>
      </w:r>
    </w:p>
    <w:p w14:paraId="65AA2A02">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本单位就参与[项目名称、编号]项目，郑重承诺如下： </w:t>
      </w:r>
    </w:p>
    <w:p w14:paraId="4C1A7C45">
      <w:pPr>
        <w:snapToGrid w:val="0"/>
        <w:spacing w:before="50" w:after="5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本单位为该项目（或采购包）提供的符合本国产品标准的产品成本之和，占所提供全部产品成本之和的比例达到 80%以上。本公司（单位）对上述承诺内容的真实性负责。如有虚假，愿承担相应法律责任。 </w:t>
      </w:r>
    </w:p>
    <w:p w14:paraId="2F1E5256">
      <w:pPr>
        <w:snapToGrid w:val="0"/>
        <w:spacing w:before="50" w:after="50" w:line="360" w:lineRule="auto"/>
        <w:ind w:firstLine="480" w:firstLineChars="200"/>
        <w:rPr>
          <w:rFonts w:hint="eastAsia" w:ascii="仿宋" w:hAnsi="仿宋" w:eastAsia="仿宋" w:cs="仿宋"/>
          <w:color w:val="auto"/>
          <w:sz w:val="24"/>
          <w:highlight w:val="none"/>
        </w:rPr>
      </w:pPr>
    </w:p>
    <w:p w14:paraId="39497CF7">
      <w:pPr>
        <w:snapToGrid w:val="0"/>
        <w:spacing w:before="50" w:after="50" w:line="360" w:lineRule="auto"/>
        <w:ind w:firstLine="480" w:firstLineChars="200"/>
        <w:rPr>
          <w:rFonts w:hint="eastAsia" w:ascii="仿宋" w:hAnsi="仿宋" w:eastAsia="仿宋" w:cs="仿宋"/>
          <w:color w:val="auto"/>
          <w:sz w:val="24"/>
          <w:highlight w:val="none"/>
        </w:rPr>
      </w:pPr>
    </w:p>
    <w:p w14:paraId="534BF3C2">
      <w:pPr>
        <w:snapToGrid w:val="0"/>
        <w:spacing w:before="50" w:after="50" w:line="360" w:lineRule="auto"/>
        <w:ind w:firstLine="480" w:firstLineChars="200"/>
        <w:rPr>
          <w:rFonts w:hint="eastAsia" w:ascii="仿宋" w:hAnsi="仿宋" w:eastAsia="仿宋" w:cs="仿宋"/>
          <w:color w:val="auto"/>
          <w:sz w:val="24"/>
          <w:highlight w:val="none"/>
        </w:rPr>
      </w:pPr>
    </w:p>
    <w:p w14:paraId="23D34620">
      <w:pPr>
        <w:snapToGrid w:val="0"/>
        <w:spacing w:before="50" w:after="50" w:line="360" w:lineRule="auto"/>
        <w:ind w:firstLine="480" w:firstLineChars="200"/>
        <w:rPr>
          <w:rFonts w:hint="eastAsia" w:ascii="仿宋" w:hAnsi="仿宋" w:eastAsia="仿宋" w:cs="仿宋"/>
          <w:color w:val="auto"/>
          <w:sz w:val="24"/>
          <w:highlight w:val="none"/>
        </w:rPr>
      </w:pPr>
    </w:p>
    <w:p w14:paraId="7B35FBA2">
      <w:pPr>
        <w:snapToGrid w:val="0"/>
        <w:spacing w:before="50" w:after="50" w:line="360" w:lineRule="auto"/>
        <w:ind w:firstLine="480" w:firstLineChars="2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供应商名称（盖章）： </w:t>
      </w:r>
    </w:p>
    <w:p w14:paraId="61037707">
      <w:pPr>
        <w:snapToGrid w:val="0"/>
        <w:spacing w:before="50" w:after="50" w:line="360" w:lineRule="auto"/>
        <w:ind w:firstLine="480" w:firstLineChars="2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5CFA2713">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br w:type="page"/>
      </w:r>
    </w:p>
    <w:p w14:paraId="03B9F473">
      <w:pPr>
        <w:rPr>
          <w:color w:val="auto"/>
          <w:sz w:val="30"/>
          <w:szCs w:val="30"/>
          <w:highlight w:val="none"/>
        </w:rPr>
      </w:pPr>
      <w:r>
        <w:rPr>
          <w:rFonts w:hint="eastAsia" w:ascii="仿宋" w:hAnsi="仿宋" w:eastAsia="仿宋" w:cs="仿宋"/>
          <w:b/>
          <w:color w:val="auto"/>
          <w:sz w:val="24"/>
          <w:highlight w:val="none"/>
        </w:rPr>
        <w:t>8.联合体协议书（联合体投标人适用）</w:t>
      </w:r>
    </w:p>
    <w:p w14:paraId="0FE38C83">
      <w:pPr>
        <w:spacing w:line="252" w:lineRule="auto"/>
        <w:rPr>
          <w:rFonts w:ascii="Arial"/>
          <w:color w:val="auto"/>
          <w:highlight w:val="none"/>
        </w:rPr>
      </w:pPr>
    </w:p>
    <w:p w14:paraId="279241ED">
      <w:pPr>
        <w:spacing w:line="252" w:lineRule="auto"/>
        <w:rPr>
          <w:rFonts w:ascii="Arial"/>
          <w:color w:val="auto"/>
          <w:highlight w:val="none"/>
        </w:rPr>
      </w:pPr>
    </w:p>
    <w:p w14:paraId="30F7EDC0">
      <w:pPr>
        <w:spacing w:line="252" w:lineRule="auto"/>
        <w:rPr>
          <w:rFonts w:ascii="Arial"/>
          <w:color w:val="auto"/>
          <w:highlight w:val="none"/>
        </w:rPr>
      </w:pPr>
    </w:p>
    <w:p w14:paraId="3268B19F">
      <w:pPr>
        <w:spacing w:line="252" w:lineRule="auto"/>
        <w:jc w:val="center"/>
        <w:rPr>
          <w:rFonts w:ascii="Arial"/>
          <w:color w:val="auto"/>
          <w:sz w:val="30"/>
          <w:szCs w:val="30"/>
          <w:highlight w:val="none"/>
        </w:rPr>
      </w:pPr>
      <w:r>
        <w:rPr>
          <w:rFonts w:hint="eastAsia" w:ascii="仿宋" w:hAnsi="仿宋" w:eastAsia="仿宋" w:cs="仿宋"/>
          <w:b/>
          <w:color w:val="auto"/>
          <w:sz w:val="30"/>
          <w:szCs w:val="30"/>
          <w:highlight w:val="none"/>
        </w:rPr>
        <w:t>联合体协议书（联合体投标人适用）</w:t>
      </w:r>
    </w:p>
    <w:p w14:paraId="7572F68D">
      <w:pPr>
        <w:pStyle w:val="17"/>
        <w:tabs>
          <w:tab w:val="left" w:pos="1561"/>
        </w:tabs>
        <w:spacing w:before="69" w:line="387" w:lineRule="auto"/>
        <w:ind w:right="15" w:firstLine="510"/>
        <w:rPr>
          <w:rFonts w:hint="eastAsia" w:ascii="仿宋" w:hAnsi="仿宋" w:eastAsia="仿宋" w:cs="仿宋"/>
          <w:color w:val="auto"/>
          <w:highlight w:val="none"/>
        </w:rPr>
      </w:pPr>
      <w:r>
        <w:rPr>
          <w:rFonts w:hint="eastAsia" w:ascii="仿宋" w:hAnsi="仿宋" w:eastAsia="仿宋" w:cs="仿宋"/>
          <w:color w:val="auto"/>
          <w:highlight w:val="none"/>
          <w:u w:val="single"/>
        </w:rPr>
        <w:tab/>
      </w:r>
      <w:r>
        <w:rPr>
          <w:rFonts w:hint="eastAsia" w:ascii="仿宋" w:hAnsi="仿宋" w:eastAsia="仿宋" w:cs="仿宋"/>
          <w:color w:val="auto"/>
          <w:spacing w:val="2"/>
          <w:highlight w:val="none"/>
        </w:rPr>
        <w:t>（所有成员单位名称）</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2"/>
          <w:highlight w:val="none"/>
        </w:rPr>
        <w:t>自愿组成</w:t>
      </w:r>
      <w:r>
        <w:rPr>
          <w:rFonts w:hint="eastAsia" w:ascii="仿宋" w:hAnsi="仿宋" w:eastAsia="仿宋" w:cs="仿宋"/>
          <w:color w:val="auto"/>
          <w:spacing w:val="-98"/>
          <w:highlight w:val="none"/>
        </w:rPr>
        <w:t xml:space="preserve"> </w:t>
      </w:r>
      <w:r>
        <w:rPr>
          <w:rFonts w:hint="eastAsia" w:ascii="仿宋" w:hAnsi="仿宋" w:eastAsia="仿宋" w:cs="仿宋"/>
          <w:color w:val="auto"/>
          <w:spacing w:val="2"/>
          <w:highlight w:val="none"/>
          <w:u w:val="single"/>
        </w:rPr>
        <w:t xml:space="preserve">         </w:t>
      </w:r>
      <w:r>
        <w:rPr>
          <w:rFonts w:hint="eastAsia" w:ascii="仿宋" w:hAnsi="仿宋" w:eastAsia="仿宋" w:cs="仿宋"/>
          <w:color w:val="auto"/>
          <w:spacing w:val="2"/>
          <w:highlight w:val="none"/>
        </w:rPr>
        <w:t>（联合体名称）联合体，共同参加</w:t>
      </w:r>
      <w:r>
        <w:rPr>
          <w:rFonts w:hint="eastAsia" w:ascii="仿宋" w:hAnsi="仿宋" w:eastAsia="仿宋" w:cs="仿宋"/>
          <w:color w:val="auto"/>
          <w:spacing w:val="-1"/>
          <w:highlight w:val="none"/>
        </w:rPr>
        <w:t>（项目名称）总承包投标。现就联合体投标事宜订立如下协议。</w:t>
      </w:r>
    </w:p>
    <w:p w14:paraId="56697E9A">
      <w:pPr>
        <w:pStyle w:val="17"/>
        <w:spacing w:line="233" w:lineRule="auto"/>
        <w:ind w:left="535"/>
        <w:rPr>
          <w:rFonts w:hint="eastAsia" w:ascii="仿宋" w:hAnsi="仿宋" w:eastAsia="仿宋" w:cs="仿宋"/>
          <w:color w:val="auto"/>
          <w:highlight w:val="none"/>
        </w:rPr>
      </w:pPr>
      <w:r>
        <w:rPr>
          <w:rFonts w:hint="eastAsia" w:ascii="仿宋" w:hAnsi="仿宋" w:eastAsia="仿宋" w:cs="仿宋"/>
          <w:color w:val="auto"/>
          <w:spacing w:val="-1"/>
          <w:highlight w:val="none"/>
        </w:rPr>
        <w:t>1</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1"/>
          <w:highlight w:val="none"/>
        </w:rPr>
        <w:t>、</w:t>
      </w:r>
      <w:r>
        <w:rPr>
          <w:rFonts w:hint="eastAsia" w:ascii="仿宋" w:hAnsi="仿宋" w:eastAsia="仿宋" w:cs="仿宋"/>
          <w:color w:val="auto"/>
          <w:spacing w:val="-1"/>
          <w:highlight w:val="none"/>
          <w:u w:val="single"/>
        </w:rPr>
        <w:t xml:space="preserve">       </w:t>
      </w:r>
      <w:r>
        <w:rPr>
          <w:rFonts w:hint="eastAsia" w:ascii="仿宋" w:hAnsi="仿宋" w:eastAsia="仿宋" w:cs="仿宋"/>
          <w:color w:val="auto"/>
          <w:spacing w:val="-1"/>
          <w:highlight w:val="none"/>
        </w:rPr>
        <w:t>（某成员单位名称）为</w:t>
      </w:r>
      <w:r>
        <w:rPr>
          <w:rFonts w:hint="eastAsia" w:ascii="仿宋" w:hAnsi="仿宋" w:eastAsia="仿宋" w:cs="仿宋"/>
          <w:color w:val="auto"/>
          <w:spacing w:val="-105"/>
          <w:highlight w:val="none"/>
        </w:rPr>
        <w:t xml:space="preserve"> </w:t>
      </w:r>
      <w:r>
        <w:rPr>
          <w:rFonts w:hint="eastAsia" w:ascii="仿宋" w:hAnsi="仿宋" w:eastAsia="仿宋" w:cs="仿宋"/>
          <w:color w:val="auto"/>
          <w:spacing w:val="-1"/>
          <w:highlight w:val="none"/>
          <w:u w:val="single"/>
        </w:rPr>
        <w:t xml:space="preserve">        </w:t>
      </w:r>
      <w:r>
        <w:rPr>
          <w:rFonts w:hint="eastAsia" w:ascii="仿宋" w:hAnsi="仿宋" w:eastAsia="仿宋" w:cs="仿宋"/>
          <w:color w:val="auto"/>
          <w:spacing w:val="-1"/>
          <w:highlight w:val="none"/>
        </w:rPr>
        <w:t>（联合体名称</w:t>
      </w:r>
      <w:r>
        <w:rPr>
          <w:rFonts w:hint="eastAsia" w:ascii="仿宋" w:hAnsi="仿宋" w:eastAsia="仿宋" w:cs="仿宋"/>
          <w:color w:val="auto"/>
          <w:spacing w:val="-2"/>
          <w:highlight w:val="none"/>
        </w:rPr>
        <w:t>）牵头人。</w:t>
      </w:r>
    </w:p>
    <w:p w14:paraId="282AABB2">
      <w:pPr>
        <w:pStyle w:val="17"/>
        <w:spacing w:before="172" w:line="332" w:lineRule="auto"/>
        <w:ind w:left="98" w:firstLine="416"/>
        <w:rPr>
          <w:rFonts w:hint="eastAsia" w:ascii="仿宋" w:hAnsi="仿宋" w:eastAsia="仿宋" w:cs="仿宋"/>
          <w:color w:val="auto"/>
          <w:highlight w:val="none"/>
        </w:rPr>
      </w:pPr>
      <w:r>
        <w:rPr>
          <w:rFonts w:hint="eastAsia" w:ascii="仿宋" w:hAnsi="仿宋" w:eastAsia="仿宋" w:cs="仿宋"/>
          <w:color w:val="auto"/>
          <w:spacing w:val="-1"/>
          <w:highlight w:val="none"/>
        </w:rPr>
        <w:t>2、联合体牵头人合法代表联合体各成员负责本招标项目投标</w:t>
      </w:r>
      <w:r>
        <w:rPr>
          <w:rFonts w:hint="eastAsia" w:ascii="仿宋" w:hAnsi="仿宋" w:eastAsia="仿宋" w:cs="仿宋"/>
          <w:color w:val="auto"/>
          <w:spacing w:val="-2"/>
          <w:highlight w:val="none"/>
        </w:rPr>
        <w:t>文件编制和合同谈判活动，并</w:t>
      </w:r>
      <w:r>
        <w:rPr>
          <w:rFonts w:hint="eastAsia" w:ascii="仿宋" w:hAnsi="仿宋" w:eastAsia="仿宋" w:cs="仿宋"/>
          <w:color w:val="auto"/>
          <w:spacing w:val="1"/>
          <w:highlight w:val="none"/>
        </w:rPr>
        <w:t>代表联合体提交和接收相关的资料、信息及指示，并处理与之有关的一切事务，负责合同实施</w:t>
      </w:r>
      <w:r>
        <w:rPr>
          <w:rFonts w:hint="eastAsia" w:ascii="仿宋" w:hAnsi="仿宋" w:eastAsia="仿宋" w:cs="仿宋"/>
          <w:color w:val="auto"/>
          <w:spacing w:val="-2"/>
          <w:highlight w:val="none"/>
        </w:rPr>
        <w:t>阶段的主办、组织和协调工作。</w:t>
      </w:r>
    </w:p>
    <w:p w14:paraId="080985AA">
      <w:pPr>
        <w:pStyle w:val="17"/>
        <w:spacing w:before="189" w:line="304" w:lineRule="auto"/>
        <w:ind w:left="98" w:right="6" w:firstLine="421"/>
        <w:rPr>
          <w:rFonts w:hint="eastAsia" w:ascii="仿宋" w:hAnsi="仿宋" w:eastAsia="仿宋" w:cs="仿宋"/>
          <w:color w:val="auto"/>
          <w:highlight w:val="none"/>
        </w:rPr>
      </w:pPr>
      <w:r>
        <w:rPr>
          <w:rFonts w:hint="eastAsia" w:ascii="仿宋" w:hAnsi="仿宋" w:eastAsia="仿宋" w:cs="仿宋"/>
          <w:color w:val="auto"/>
          <w:spacing w:val="-2"/>
          <w:highlight w:val="none"/>
        </w:rPr>
        <w:t>3、联合体将严格按照招标文件的各项要求，递交投标文件，履行合同，并对外承担连带责</w:t>
      </w:r>
      <w:r>
        <w:rPr>
          <w:rFonts w:hint="eastAsia" w:ascii="仿宋" w:hAnsi="仿宋" w:eastAsia="仿宋" w:cs="仿宋"/>
          <w:color w:val="auto"/>
          <w:spacing w:val="-10"/>
          <w:highlight w:val="none"/>
        </w:rPr>
        <w:t>任。</w:t>
      </w:r>
    </w:p>
    <w:p w14:paraId="70596E7F">
      <w:pPr>
        <w:pStyle w:val="17"/>
        <w:spacing w:before="189" w:line="303" w:lineRule="auto"/>
        <w:ind w:left="318" w:right="5" w:firstLine="195"/>
        <w:rPr>
          <w:rFonts w:hint="eastAsia" w:ascii="仿宋" w:hAnsi="仿宋" w:eastAsia="仿宋" w:cs="仿宋"/>
          <w:color w:val="auto"/>
          <w:highlight w:val="none"/>
        </w:rPr>
      </w:pPr>
      <w:r>
        <w:rPr>
          <w:rFonts w:hint="eastAsia" w:ascii="仿宋" w:hAnsi="仿宋" w:eastAsia="仿宋" w:cs="仿宋"/>
          <w:color w:val="auto"/>
          <w:spacing w:val="-1"/>
          <w:highlight w:val="none"/>
        </w:rPr>
        <w:t>4、联合体各成员单位内部的职责分工如下：</w:t>
      </w:r>
      <w:r>
        <w:rPr>
          <w:rFonts w:hint="eastAsia" w:ascii="仿宋" w:hAnsi="仿宋" w:eastAsia="仿宋" w:cs="仿宋"/>
          <w:color w:val="auto"/>
          <w:spacing w:val="-55"/>
          <w:highlight w:val="none"/>
        </w:rPr>
        <w:t xml:space="preserve"> </w:t>
      </w:r>
      <w:r>
        <w:rPr>
          <w:rFonts w:hint="eastAsia" w:ascii="仿宋" w:hAnsi="仿宋" w:eastAsia="仿宋" w:cs="仿宋"/>
          <w:color w:val="auto"/>
          <w:highlight w:val="none"/>
          <w:u w:val="single"/>
        </w:rPr>
        <w:t xml:space="preserve">         </w:t>
      </w:r>
      <w:r>
        <w:rPr>
          <w:rFonts w:hint="eastAsia" w:ascii="仿宋" w:hAnsi="仿宋" w:eastAsia="仿宋" w:cs="仿宋"/>
          <w:color w:val="auto"/>
          <w:spacing w:val="-72"/>
          <w:highlight w:val="none"/>
        </w:rPr>
        <w:t xml:space="preserve"> </w:t>
      </w:r>
      <w:r>
        <w:rPr>
          <w:rFonts w:hint="eastAsia" w:ascii="仿宋" w:hAnsi="仿宋" w:eastAsia="仿宋" w:cs="仿宋"/>
          <w:color w:val="auto"/>
          <w:spacing w:val="-1"/>
          <w:highlight w:val="none"/>
        </w:rPr>
        <w:t>，且投标保证金由</w:t>
      </w:r>
      <w:r>
        <w:rPr>
          <w:rFonts w:hint="eastAsia" w:ascii="仿宋" w:hAnsi="仿宋" w:eastAsia="仿宋" w:cs="仿宋"/>
          <w:color w:val="auto"/>
          <w:spacing w:val="-101"/>
          <w:highlight w:val="none"/>
        </w:rPr>
        <w:t xml:space="preserve"> </w:t>
      </w:r>
      <w:r>
        <w:rPr>
          <w:rFonts w:hint="eastAsia" w:ascii="仿宋" w:hAnsi="仿宋" w:eastAsia="仿宋" w:cs="仿宋"/>
          <w:color w:val="auto"/>
          <w:spacing w:val="-1"/>
          <w:highlight w:val="none"/>
          <w:u w:val="single"/>
        </w:rPr>
        <w:t xml:space="preserve">        </w:t>
      </w:r>
      <w:r>
        <w:rPr>
          <w:rFonts w:hint="eastAsia" w:ascii="仿宋" w:hAnsi="仿宋" w:eastAsia="仿宋" w:cs="仿宋"/>
          <w:color w:val="auto"/>
          <w:spacing w:val="-1"/>
          <w:highlight w:val="none"/>
        </w:rPr>
        <w:t>（某成</w:t>
      </w:r>
      <w:r>
        <w:rPr>
          <w:rFonts w:hint="eastAsia" w:ascii="仿宋" w:hAnsi="仿宋" w:eastAsia="仿宋" w:cs="仿宋"/>
          <w:color w:val="auto"/>
          <w:spacing w:val="-4"/>
          <w:highlight w:val="none"/>
        </w:rPr>
        <w:t>员单位名称）缴纳。</w:t>
      </w:r>
    </w:p>
    <w:p w14:paraId="31F0F0A1">
      <w:pPr>
        <w:pStyle w:val="17"/>
        <w:spacing w:before="190" w:line="234" w:lineRule="auto"/>
        <w:ind w:left="521"/>
        <w:rPr>
          <w:rFonts w:hint="eastAsia" w:ascii="仿宋" w:hAnsi="仿宋" w:eastAsia="仿宋" w:cs="仿宋"/>
          <w:color w:val="auto"/>
          <w:highlight w:val="none"/>
        </w:rPr>
      </w:pPr>
      <w:r>
        <w:rPr>
          <w:rFonts w:hint="eastAsia" w:ascii="仿宋" w:hAnsi="仿宋" w:eastAsia="仿宋" w:cs="仿宋"/>
          <w:color w:val="auto"/>
          <w:highlight w:val="none"/>
        </w:rPr>
        <w:t>5、本协议书自签署之日起生效，合同履行完毕</w:t>
      </w:r>
      <w:r>
        <w:rPr>
          <w:rFonts w:hint="eastAsia" w:ascii="仿宋" w:hAnsi="仿宋" w:eastAsia="仿宋" w:cs="仿宋"/>
          <w:color w:val="auto"/>
          <w:spacing w:val="-1"/>
          <w:highlight w:val="none"/>
        </w:rPr>
        <w:t>后自动失效。</w:t>
      </w:r>
    </w:p>
    <w:p w14:paraId="034C18F3">
      <w:pPr>
        <w:pStyle w:val="17"/>
        <w:spacing w:before="173" w:line="234" w:lineRule="auto"/>
        <w:ind w:left="520"/>
        <w:rPr>
          <w:rFonts w:hint="eastAsia" w:ascii="仿宋" w:hAnsi="仿宋" w:eastAsia="仿宋" w:cs="仿宋"/>
          <w:color w:val="auto"/>
          <w:highlight w:val="none"/>
        </w:rPr>
      </w:pPr>
      <w:r>
        <w:rPr>
          <w:rFonts w:hint="eastAsia" w:ascii="仿宋" w:hAnsi="仿宋" w:eastAsia="仿宋" w:cs="仿宋"/>
          <w:color w:val="auto"/>
          <w:spacing w:val="-1"/>
          <w:highlight w:val="none"/>
        </w:rPr>
        <w:t>6、本协议书一式</w:t>
      </w:r>
      <w:r>
        <w:rPr>
          <w:rFonts w:hint="eastAsia" w:ascii="仿宋" w:hAnsi="仿宋" w:eastAsia="仿宋" w:cs="仿宋"/>
          <w:color w:val="auto"/>
          <w:spacing w:val="-105"/>
          <w:highlight w:val="none"/>
        </w:rPr>
        <w:t xml:space="preserve"> </w:t>
      </w:r>
      <w:r>
        <w:rPr>
          <w:rFonts w:hint="eastAsia" w:ascii="仿宋" w:hAnsi="仿宋" w:eastAsia="仿宋" w:cs="仿宋"/>
          <w:color w:val="auto"/>
          <w:highlight w:val="none"/>
          <w:u w:val="single"/>
        </w:rPr>
        <w:t xml:space="preserve">     </w:t>
      </w:r>
      <w:r>
        <w:rPr>
          <w:rFonts w:hint="eastAsia" w:ascii="仿宋" w:hAnsi="仿宋" w:eastAsia="仿宋" w:cs="仿宋"/>
          <w:color w:val="auto"/>
          <w:spacing w:val="-96"/>
          <w:highlight w:val="none"/>
        </w:rPr>
        <w:t xml:space="preserve"> </w:t>
      </w:r>
      <w:r>
        <w:rPr>
          <w:rFonts w:hint="eastAsia" w:ascii="仿宋" w:hAnsi="仿宋" w:eastAsia="仿宋" w:cs="仿宋"/>
          <w:color w:val="auto"/>
          <w:spacing w:val="-1"/>
          <w:highlight w:val="none"/>
        </w:rPr>
        <w:t>份，联合体成员和招标人各执</w:t>
      </w:r>
      <w:r>
        <w:rPr>
          <w:rFonts w:hint="eastAsia" w:ascii="仿宋" w:hAnsi="仿宋" w:eastAsia="仿宋" w:cs="仿宋"/>
          <w:color w:val="auto"/>
          <w:spacing w:val="-1"/>
          <w:highlight w:val="none"/>
          <w:u w:val="single"/>
        </w:rPr>
        <w:t xml:space="preserve"> </w:t>
      </w:r>
      <w:r>
        <w:rPr>
          <w:rFonts w:hint="eastAsia" w:ascii="仿宋" w:hAnsi="仿宋" w:eastAsia="仿宋" w:cs="仿宋"/>
          <w:color w:val="auto"/>
          <w:spacing w:val="-2"/>
          <w:highlight w:val="none"/>
          <w:u w:val="single"/>
        </w:rPr>
        <w:t xml:space="preserve">    </w:t>
      </w:r>
      <w:r>
        <w:rPr>
          <w:rFonts w:hint="eastAsia" w:ascii="仿宋" w:hAnsi="仿宋" w:eastAsia="仿宋" w:cs="仿宋"/>
          <w:color w:val="auto"/>
          <w:spacing w:val="-97"/>
          <w:highlight w:val="none"/>
        </w:rPr>
        <w:t xml:space="preserve"> </w:t>
      </w:r>
      <w:r>
        <w:rPr>
          <w:rFonts w:hint="eastAsia" w:ascii="仿宋" w:hAnsi="仿宋" w:eastAsia="仿宋" w:cs="仿宋"/>
          <w:color w:val="auto"/>
          <w:spacing w:val="-2"/>
          <w:highlight w:val="none"/>
        </w:rPr>
        <w:t>份。</w:t>
      </w:r>
    </w:p>
    <w:p w14:paraId="1965C832">
      <w:pPr>
        <w:spacing w:line="245" w:lineRule="auto"/>
        <w:rPr>
          <w:rFonts w:hint="eastAsia" w:ascii="仿宋" w:hAnsi="仿宋" w:eastAsia="仿宋" w:cs="仿宋"/>
          <w:color w:val="auto"/>
          <w:sz w:val="24"/>
          <w:highlight w:val="none"/>
        </w:rPr>
      </w:pPr>
    </w:p>
    <w:p w14:paraId="70BDD631">
      <w:pPr>
        <w:spacing w:line="245" w:lineRule="auto"/>
        <w:rPr>
          <w:rFonts w:hint="eastAsia" w:ascii="仿宋" w:hAnsi="仿宋" w:eastAsia="仿宋" w:cs="仿宋"/>
          <w:color w:val="auto"/>
          <w:sz w:val="24"/>
          <w:highlight w:val="none"/>
        </w:rPr>
      </w:pPr>
    </w:p>
    <w:p w14:paraId="3DCF1734">
      <w:pPr>
        <w:spacing w:line="245" w:lineRule="auto"/>
        <w:rPr>
          <w:rFonts w:hint="eastAsia" w:ascii="仿宋" w:hAnsi="仿宋" w:eastAsia="仿宋" w:cs="仿宋"/>
          <w:color w:val="auto"/>
          <w:sz w:val="24"/>
          <w:highlight w:val="none"/>
        </w:rPr>
      </w:pPr>
    </w:p>
    <w:p w14:paraId="4CB9F40A">
      <w:pPr>
        <w:spacing w:line="245" w:lineRule="auto"/>
        <w:rPr>
          <w:rFonts w:hint="eastAsia" w:ascii="仿宋" w:hAnsi="仿宋" w:eastAsia="仿宋" w:cs="仿宋"/>
          <w:color w:val="auto"/>
          <w:sz w:val="24"/>
          <w:highlight w:val="none"/>
        </w:rPr>
      </w:pPr>
    </w:p>
    <w:p w14:paraId="14D40EC9">
      <w:pPr>
        <w:pStyle w:val="17"/>
        <w:spacing w:before="68" w:line="220" w:lineRule="auto"/>
        <w:ind w:left="100"/>
        <w:rPr>
          <w:rFonts w:hint="eastAsia" w:ascii="仿宋" w:hAnsi="仿宋" w:eastAsia="仿宋" w:cs="仿宋"/>
          <w:color w:val="auto"/>
          <w:highlight w:val="none"/>
        </w:rPr>
      </w:pPr>
      <w:r>
        <w:rPr>
          <w:rFonts w:hint="eastAsia" w:ascii="仿宋" w:hAnsi="仿宋" w:eastAsia="仿宋" w:cs="仿宋"/>
          <w:color w:val="auto"/>
          <w:spacing w:val="-1"/>
          <w:highlight w:val="none"/>
        </w:rPr>
        <w:t>牵头人名称</w:t>
      </w:r>
      <w:r>
        <w:rPr>
          <w:rFonts w:hint="eastAsia" w:ascii="仿宋" w:hAnsi="仿宋" w:eastAsia="仿宋" w:cs="仿宋"/>
          <w:color w:val="auto"/>
          <w:spacing w:val="5"/>
          <w:highlight w:val="none"/>
        </w:rPr>
        <w:t>：</w:t>
      </w:r>
      <w:r>
        <w:rPr>
          <w:rFonts w:hint="eastAsia" w:ascii="仿宋" w:hAnsi="仿宋" w:eastAsia="仿宋" w:cs="仿宋"/>
          <w:color w:val="auto"/>
          <w:spacing w:val="3"/>
          <w:highlight w:val="none"/>
          <w:u w:val="single"/>
        </w:rPr>
        <w:t xml:space="preserve">                                </w:t>
      </w:r>
      <w:r>
        <w:rPr>
          <w:rFonts w:hint="eastAsia" w:ascii="仿宋" w:hAnsi="仿宋" w:eastAsia="仿宋" w:cs="仿宋"/>
          <w:color w:val="auto"/>
          <w:spacing w:val="5"/>
          <w:highlight w:val="none"/>
        </w:rPr>
        <w:t>（</w:t>
      </w:r>
      <w:r>
        <w:rPr>
          <w:rFonts w:hint="eastAsia" w:ascii="仿宋" w:hAnsi="仿宋" w:eastAsia="仿宋" w:cs="仿宋"/>
          <w:color w:val="auto"/>
          <w:spacing w:val="-1"/>
          <w:highlight w:val="none"/>
        </w:rPr>
        <w:t>盖法人单位章或电子章）</w:t>
      </w:r>
    </w:p>
    <w:p w14:paraId="2647DEC2">
      <w:pPr>
        <w:spacing w:line="248" w:lineRule="auto"/>
        <w:rPr>
          <w:rFonts w:hint="eastAsia" w:ascii="仿宋" w:hAnsi="仿宋" w:eastAsia="仿宋" w:cs="仿宋"/>
          <w:color w:val="auto"/>
          <w:sz w:val="24"/>
          <w:highlight w:val="none"/>
        </w:rPr>
      </w:pPr>
    </w:p>
    <w:p w14:paraId="2E39729F">
      <w:pPr>
        <w:spacing w:line="249" w:lineRule="auto"/>
        <w:rPr>
          <w:rFonts w:hint="eastAsia" w:ascii="仿宋" w:hAnsi="仿宋" w:eastAsia="仿宋" w:cs="仿宋"/>
          <w:color w:val="auto"/>
          <w:sz w:val="24"/>
          <w:highlight w:val="none"/>
        </w:rPr>
      </w:pPr>
    </w:p>
    <w:p w14:paraId="6CEF15CD">
      <w:pPr>
        <w:spacing w:line="249" w:lineRule="auto"/>
        <w:rPr>
          <w:rFonts w:hint="eastAsia" w:ascii="仿宋" w:hAnsi="仿宋" w:eastAsia="仿宋" w:cs="仿宋"/>
          <w:color w:val="auto"/>
          <w:sz w:val="24"/>
          <w:highlight w:val="none"/>
        </w:rPr>
      </w:pPr>
    </w:p>
    <w:p w14:paraId="2B2443B9">
      <w:pPr>
        <w:spacing w:line="249" w:lineRule="auto"/>
        <w:rPr>
          <w:rFonts w:hint="eastAsia" w:ascii="仿宋" w:hAnsi="仿宋" w:eastAsia="仿宋" w:cs="仿宋"/>
          <w:color w:val="auto"/>
          <w:sz w:val="24"/>
          <w:highlight w:val="none"/>
        </w:rPr>
      </w:pPr>
    </w:p>
    <w:p w14:paraId="2946D990">
      <w:pPr>
        <w:pStyle w:val="17"/>
        <w:spacing w:before="69" w:line="220" w:lineRule="auto"/>
        <w:ind w:left="100"/>
        <w:rPr>
          <w:rFonts w:hint="eastAsia" w:ascii="仿宋" w:hAnsi="仿宋" w:eastAsia="仿宋" w:cs="仿宋"/>
          <w:color w:val="auto"/>
          <w:highlight w:val="none"/>
        </w:rPr>
      </w:pPr>
      <w:r>
        <w:rPr>
          <w:rFonts w:hint="eastAsia" w:ascii="仿宋" w:hAnsi="仿宋" w:eastAsia="仿宋" w:cs="仿宋"/>
          <w:color w:val="auto"/>
          <w:spacing w:val="1"/>
          <w:highlight w:val="none"/>
        </w:rPr>
        <w:t>成员名称</w:t>
      </w:r>
      <w:r>
        <w:rPr>
          <w:rFonts w:hint="eastAsia" w:ascii="仿宋" w:hAnsi="仿宋" w:eastAsia="仿宋" w:cs="仿宋"/>
          <w:color w:val="auto"/>
          <w:spacing w:val="-15"/>
          <w:highlight w:val="none"/>
        </w:rPr>
        <w:t>：</w:t>
      </w:r>
      <w:r>
        <w:rPr>
          <w:rFonts w:hint="eastAsia" w:ascii="仿宋" w:hAnsi="仿宋" w:eastAsia="仿宋" w:cs="仿宋"/>
          <w:color w:val="auto"/>
          <w:highlight w:val="none"/>
          <w:u w:val="single"/>
        </w:rPr>
        <w:t xml:space="preserve">                                 </w:t>
      </w:r>
      <w:r>
        <w:rPr>
          <w:rFonts w:hint="eastAsia" w:ascii="仿宋" w:hAnsi="仿宋" w:eastAsia="仿宋" w:cs="仿宋"/>
          <w:color w:val="auto"/>
          <w:spacing w:val="-15"/>
          <w:highlight w:val="none"/>
        </w:rPr>
        <w:t>（</w:t>
      </w:r>
      <w:r>
        <w:rPr>
          <w:rFonts w:hint="eastAsia" w:ascii="仿宋" w:hAnsi="仿宋" w:eastAsia="仿宋" w:cs="仿宋"/>
          <w:color w:val="auto"/>
          <w:spacing w:val="1"/>
          <w:highlight w:val="none"/>
        </w:rPr>
        <w:t>盖法人单位章或电子章）</w:t>
      </w:r>
    </w:p>
    <w:p w14:paraId="1E153C7C">
      <w:pPr>
        <w:spacing w:line="258" w:lineRule="auto"/>
        <w:rPr>
          <w:rFonts w:hint="eastAsia" w:ascii="仿宋" w:hAnsi="仿宋" w:eastAsia="仿宋" w:cs="仿宋"/>
          <w:color w:val="auto"/>
          <w:sz w:val="24"/>
          <w:highlight w:val="none"/>
        </w:rPr>
      </w:pPr>
    </w:p>
    <w:p w14:paraId="2FBE2C5A">
      <w:pPr>
        <w:spacing w:line="258" w:lineRule="auto"/>
        <w:rPr>
          <w:rFonts w:hint="eastAsia" w:ascii="仿宋" w:hAnsi="仿宋" w:eastAsia="仿宋" w:cs="仿宋"/>
          <w:color w:val="auto"/>
          <w:sz w:val="24"/>
          <w:highlight w:val="none"/>
        </w:rPr>
      </w:pPr>
    </w:p>
    <w:p w14:paraId="2DB8413A">
      <w:pPr>
        <w:spacing w:line="258" w:lineRule="auto"/>
        <w:rPr>
          <w:rFonts w:hint="eastAsia" w:ascii="仿宋" w:hAnsi="仿宋" w:eastAsia="仿宋" w:cs="仿宋"/>
          <w:color w:val="auto"/>
          <w:sz w:val="24"/>
          <w:highlight w:val="none"/>
        </w:rPr>
      </w:pPr>
    </w:p>
    <w:p w14:paraId="10AB2152">
      <w:pPr>
        <w:spacing w:line="258" w:lineRule="auto"/>
        <w:rPr>
          <w:rFonts w:hint="eastAsia" w:ascii="仿宋" w:hAnsi="仿宋" w:eastAsia="仿宋" w:cs="仿宋"/>
          <w:color w:val="auto"/>
          <w:sz w:val="24"/>
          <w:highlight w:val="none"/>
        </w:rPr>
      </w:pPr>
    </w:p>
    <w:p w14:paraId="1029F2B3">
      <w:pPr>
        <w:spacing w:line="258" w:lineRule="auto"/>
        <w:rPr>
          <w:rFonts w:hint="eastAsia" w:ascii="仿宋" w:hAnsi="仿宋" w:eastAsia="仿宋" w:cs="仿宋"/>
          <w:color w:val="auto"/>
          <w:sz w:val="24"/>
          <w:highlight w:val="none"/>
        </w:rPr>
      </w:pPr>
    </w:p>
    <w:p w14:paraId="34508170">
      <w:pPr>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ab/>
      </w:r>
      <w:r>
        <w:rPr>
          <w:rFonts w:hint="eastAsia" w:ascii="仿宋" w:hAnsi="仿宋" w:eastAsia="仿宋" w:cs="仿宋"/>
          <w:color w:val="auto"/>
          <w:spacing w:val="-95"/>
          <w:sz w:val="24"/>
          <w:highlight w:val="none"/>
        </w:rPr>
        <w:t xml:space="preserve"> </w:t>
      </w:r>
      <w:r>
        <w:rPr>
          <w:rFonts w:hint="eastAsia" w:ascii="仿宋" w:hAnsi="仿宋" w:eastAsia="仿宋" w:cs="仿宋"/>
          <w:color w:val="auto"/>
          <w:spacing w:val="-7"/>
          <w:sz w:val="24"/>
          <w:highlight w:val="none"/>
        </w:rPr>
        <w:t>年</w:t>
      </w:r>
      <w:r>
        <w:rPr>
          <w:rFonts w:hint="eastAsia" w:ascii="仿宋" w:hAnsi="仿宋" w:eastAsia="仿宋" w:cs="仿宋"/>
          <w:color w:val="auto"/>
          <w:spacing w:val="17"/>
          <w:sz w:val="24"/>
          <w:highlight w:val="none"/>
          <w:u w:val="single"/>
        </w:rPr>
        <w:t xml:space="preserve">      </w:t>
      </w:r>
      <w:r>
        <w:rPr>
          <w:rFonts w:hint="eastAsia" w:ascii="仿宋" w:hAnsi="仿宋" w:eastAsia="仿宋" w:cs="仿宋"/>
          <w:color w:val="auto"/>
          <w:spacing w:val="-92"/>
          <w:sz w:val="24"/>
          <w:highlight w:val="none"/>
        </w:rPr>
        <w:t xml:space="preserve"> </w:t>
      </w:r>
      <w:r>
        <w:rPr>
          <w:rFonts w:hint="eastAsia" w:ascii="仿宋" w:hAnsi="仿宋" w:eastAsia="仿宋" w:cs="仿宋"/>
          <w:color w:val="auto"/>
          <w:spacing w:val="-7"/>
          <w:sz w:val="24"/>
          <w:highlight w:val="none"/>
        </w:rPr>
        <w:t>月</w:t>
      </w:r>
      <w:r>
        <w:rPr>
          <w:rFonts w:hint="eastAsia" w:ascii="仿宋" w:hAnsi="仿宋" w:eastAsia="仿宋" w:cs="仿宋"/>
          <w:color w:val="auto"/>
          <w:spacing w:val="17"/>
          <w:sz w:val="24"/>
          <w:highlight w:val="none"/>
          <w:u w:val="single"/>
        </w:rPr>
        <w:t xml:space="preserve">      </w:t>
      </w:r>
      <w:r>
        <w:rPr>
          <w:rFonts w:hint="eastAsia" w:ascii="仿宋" w:hAnsi="仿宋" w:eastAsia="仿宋" w:cs="仿宋"/>
          <w:color w:val="auto"/>
          <w:spacing w:val="-58"/>
          <w:sz w:val="24"/>
          <w:highlight w:val="none"/>
        </w:rPr>
        <w:t xml:space="preserve"> </w:t>
      </w:r>
      <w:r>
        <w:rPr>
          <w:rFonts w:hint="eastAsia" w:ascii="仿宋" w:hAnsi="仿宋" w:eastAsia="仿宋" w:cs="仿宋"/>
          <w:color w:val="auto"/>
          <w:spacing w:val="-7"/>
          <w:sz w:val="24"/>
          <w:highlight w:val="none"/>
        </w:rPr>
        <w:t>日</w:t>
      </w:r>
      <w:r>
        <w:rPr>
          <w:rFonts w:hint="eastAsia" w:ascii="仿宋" w:hAnsi="仿宋" w:eastAsia="仿宋" w:cs="仿宋"/>
          <w:color w:val="auto"/>
          <w:sz w:val="24"/>
          <w:highlight w:val="none"/>
        </w:rPr>
        <w:br w:type="page"/>
      </w:r>
    </w:p>
    <w:p w14:paraId="0F827950">
      <w:pPr>
        <w:snapToGrid w:val="0"/>
        <w:spacing w:before="156" w:beforeLines="50" w:after="50" w:line="360" w:lineRule="auto"/>
        <w:outlineLvl w:val="1"/>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四、商务文件格式</w:t>
      </w:r>
      <w:bookmarkEnd w:id="150"/>
      <w:bookmarkEnd w:id="151"/>
    </w:p>
    <w:p w14:paraId="1B749A74">
      <w:pPr>
        <w:snapToGrid w:val="0"/>
        <w:spacing w:before="156" w:beforeLines="50" w:after="50" w:line="360" w:lineRule="auto"/>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1.商务文件封面格式： </w:t>
      </w:r>
    </w:p>
    <w:p w14:paraId="635603F1">
      <w:pPr>
        <w:snapToGrid w:val="0"/>
        <w:spacing w:before="156" w:beforeLines="50" w:after="50"/>
        <w:rPr>
          <w:rFonts w:hint="eastAsia" w:ascii="仿宋" w:hAnsi="仿宋" w:eastAsia="仿宋" w:cs="仿宋"/>
          <w:bCs/>
          <w:color w:val="auto"/>
          <w:sz w:val="32"/>
          <w:szCs w:val="20"/>
          <w:highlight w:val="none"/>
        </w:rPr>
      </w:pPr>
      <w:r>
        <w:rPr>
          <w:rFonts w:hint="eastAsia" w:ascii="仿宋" w:hAnsi="仿宋" w:eastAsia="仿宋" w:cs="仿宋"/>
          <w:color w:val="auto"/>
          <w:sz w:val="24"/>
          <w:highlight w:val="none"/>
        </w:rPr>
        <w:t xml:space="preserve">                                                   </w:t>
      </w:r>
    </w:p>
    <w:p w14:paraId="75E23067">
      <w:pPr>
        <w:snapToGrid w:val="0"/>
        <w:spacing w:before="156" w:beforeLines="50" w:after="50"/>
        <w:rPr>
          <w:rFonts w:hint="eastAsia" w:ascii="仿宋" w:hAnsi="仿宋" w:eastAsia="仿宋" w:cs="仿宋"/>
          <w:color w:val="auto"/>
          <w:sz w:val="24"/>
          <w:szCs w:val="20"/>
          <w:highlight w:val="none"/>
        </w:rPr>
      </w:pPr>
    </w:p>
    <w:p w14:paraId="0167E94A">
      <w:pPr>
        <w:snapToGrid w:val="0"/>
        <w:spacing w:before="156" w:beforeLines="50" w:after="50"/>
        <w:jc w:val="center"/>
        <w:rPr>
          <w:rFonts w:hint="eastAsia" w:ascii="仿宋" w:hAnsi="仿宋" w:eastAsia="仿宋" w:cs="仿宋"/>
          <w:b/>
          <w:color w:val="auto"/>
          <w:sz w:val="24"/>
          <w:szCs w:val="20"/>
          <w:highlight w:val="none"/>
        </w:rPr>
      </w:pPr>
      <w:r>
        <w:rPr>
          <w:rFonts w:hint="eastAsia" w:ascii="仿宋" w:hAnsi="仿宋" w:eastAsia="仿宋" w:cs="仿宋"/>
          <w:b/>
          <w:color w:val="auto"/>
          <w:sz w:val="32"/>
          <w:szCs w:val="32"/>
          <w:highlight w:val="none"/>
        </w:rPr>
        <w:t>商务文件</w:t>
      </w:r>
    </w:p>
    <w:p w14:paraId="0A6D77C1">
      <w:pPr>
        <w:snapToGrid w:val="0"/>
        <w:spacing w:before="156" w:beforeLines="50" w:after="50"/>
        <w:rPr>
          <w:rFonts w:hint="eastAsia" w:ascii="仿宋" w:hAnsi="仿宋" w:eastAsia="仿宋" w:cs="仿宋"/>
          <w:bCs/>
          <w:color w:val="auto"/>
          <w:sz w:val="24"/>
          <w:szCs w:val="20"/>
          <w:highlight w:val="none"/>
        </w:rPr>
      </w:pPr>
    </w:p>
    <w:p w14:paraId="2497DF9D">
      <w:pPr>
        <w:snapToGrid w:val="0"/>
        <w:spacing w:before="156" w:beforeLines="50" w:after="50"/>
        <w:ind w:firstLine="540" w:firstLineChars="225"/>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项目名称：</w:t>
      </w:r>
    </w:p>
    <w:p w14:paraId="716A475C">
      <w:pPr>
        <w:snapToGrid w:val="0"/>
        <w:spacing w:before="156" w:beforeLines="50" w:after="50"/>
        <w:ind w:firstLine="540" w:firstLineChars="225"/>
        <w:rPr>
          <w:rFonts w:hint="eastAsia" w:ascii="仿宋" w:hAnsi="仿宋" w:eastAsia="仿宋" w:cs="仿宋"/>
          <w:bCs/>
          <w:color w:val="auto"/>
          <w:sz w:val="24"/>
          <w:szCs w:val="20"/>
          <w:highlight w:val="none"/>
        </w:rPr>
      </w:pPr>
    </w:p>
    <w:p w14:paraId="15409B42">
      <w:pPr>
        <w:snapToGrid w:val="0"/>
        <w:spacing w:before="156" w:beforeLines="50" w:after="50"/>
        <w:ind w:firstLine="540" w:firstLineChars="225"/>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项目编号：</w:t>
      </w:r>
    </w:p>
    <w:p w14:paraId="6A90F463">
      <w:pPr>
        <w:snapToGrid w:val="0"/>
        <w:spacing w:before="156" w:beforeLines="50" w:after="50"/>
        <w:ind w:firstLine="540" w:firstLineChars="225"/>
        <w:rPr>
          <w:rFonts w:hint="eastAsia" w:ascii="仿宋" w:hAnsi="仿宋" w:eastAsia="仿宋" w:cs="仿宋"/>
          <w:bCs/>
          <w:color w:val="auto"/>
          <w:sz w:val="24"/>
          <w:szCs w:val="20"/>
          <w:highlight w:val="none"/>
        </w:rPr>
      </w:pPr>
      <w:r>
        <w:rPr>
          <w:rFonts w:hint="eastAsia" w:ascii="仿宋" w:hAnsi="仿宋" w:eastAsia="仿宋" w:cs="仿宋"/>
          <w:bCs/>
          <w:color w:val="auto"/>
          <w:sz w:val="24"/>
          <w:highlight w:val="none"/>
        </w:rPr>
        <w:t xml:space="preserve"> </w:t>
      </w:r>
    </w:p>
    <w:p w14:paraId="55FC69C2">
      <w:pPr>
        <w:snapToGrid w:val="0"/>
        <w:spacing w:before="156" w:beforeLines="50" w:after="50"/>
        <w:ind w:firstLine="540" w:firstLineChars="225"/>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所投分标：</w:t>
      </w:r>
    </w:p>
    <w:p w14:paraId="4F72119D">
      <w:pPr>
        <w:snapToGrid w:val="0"/>
        <w:spacing w:before="156" w:beforeLines="50" w:after="50"/>
        <w:ind w:firstLine="540" w:firstLineChars="225"/>
        <w:rPr>
          <w:rFonts w:hint="eastAsia" w:ascii="仿宋" w:hAnsi="仿宋" w:eastAsia="仿宋" w:cs="仿宋"/>
          <w:bCs/>
          <w:color w:val="auto"/>
          <w:sz w:val="24"/>
          <w:highlight w:val="none"/>
        </w:rPr>
      </w:pPr>
    </w:p>
    <w:p w14:paraId="661AA194">
      <w:pPr>
        <w:snapToGrid w:val="0"/>
        <w:spacing w:before="156" w:beforeLines="50" w:after="50"/>
        <w:ind w:firstLine="540" w:firstLineChars="225"/>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投标人名称：</w:t>
      </w:r>
    </w:p>
    <w:p w14:paraId="26B59A09">
      <w:pPr>
        <w:snapToGrid w:val="0"/>
        <w:spacing w:before="156" w:beforeLines="50" w:after="50"/>
        <w:ind w:firstLine="540" w:firstLineChars="225"/>
        <w:rPr>
          <w:rFonts w:hint="eastAsia" w:ascii="仿宋" w:hAnsi="仿宋" w:eastAsia="仿宋" w:cs="仿宋"/>
          <w:bCs/>
          <w:color w:val="auto"/>
          <w:sz w:val="24"/>
          <w:highlight w:val="none"/>
        </w:rPr>
      </w:pPr>
    </w:p>
    <w:p w14:paraId="1FE31AFF">
      <w:pPr>
        <w:snapToGrid w:val="0"/>
        <w:spacing w:before="156" w:beforeLines="50" w:after="50"/>
        <w:ind w:firstLine="540" w:firstLineChars="225"/>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投标人地址：</w:t>
      </w:r>
    </w:p>
    <w:p w14:paraId="668F664D">
      <w:pPr>
        <w:pStyle w:val="7"/>
        <w:snapToGrid w:val="0"/>
        <w:spacing w:before="50" w:after="50"/>
        <w:ind w:firstLine="960" w:firstLineChars="400"/>
        <w:rPr>
          <w:rFonts w:hint="eastAsia" w:ascii="仿宋" w:hAnsi="仿宋" w:eastAsia="仿宋" w:cs="仿宋"/>
          <w:bCs/>
          <w:color w:val="auto"/>
          <w:sz w:val="24"/>
          <w:szCs w:val="24"/>
          <w:highlight w:val="none"/>
        </w:rPr>
      </w:pPr>
    </w:p>
    <w:p w14:paraId="2654849F">
      <w:pPr>
        <w:snapToGrid w:val="0"/>
        <w:spacing w:before="156" w:beforeLines="50" w:after="50"/>
        <w:ind w:firstLine="645"/>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年  月  日</w:t>
      </w:r>
    </w:p>
    <w:p w14:paraId="137089C7">
      <w:pPr>
        <w:snapToGrid w:val="0"/>
        <w:spacing w:before="156" w:beforeLines="50" w:after="5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 xml:space="preserve"> </w:t>
      </w:r>
    </w:p>
    <w:p w14:paraId="5F624BBE">
      <w:pPr>
        <w:snapToGrid w:val="0"/>
        <w:spacing w:line="360" w:lineRule="auto"/>
        <w:jc w:val="left"/>
        <w:rPr>
          <w:rFonts w:hint="eastAsia" w:ascii="仿宋" w:hAnsi="仿宋" w:eastAsia="仿宋" w:cs="仿宋"/>
          <w:b/>
          <w:bCs/>
          <w:color w:val="auto"/>
          <w:sz w:val="28"/>
          <w:szCs w:val="28"/>
          <w:highlight w:val="none"/>
        </w:rPr>
      </w:pPr>
      <w:r>
        <w:rPr>
          <w:rFonts w:hint="eastAsia" w:ascii="仿宋" w:hAnsi="仿宋" w:eastAsia="仿宋" w:cs="仿宋"/>
          <w:color w:val="auto"/>
          <w:sz w:val="24"/>
          <w:szCs w:val="20"/>
          <w:highlight w:val="none"/>
        </w:rPr>
        <w:br w:type="page"/>
      </w:r>
      <w:r>
        <w:rPr>
          <w:rFonts w:hint="eastAsia" w:ascii="仿宋" w:hAnsi="仿宋" w:eastAsia="仿宋" w:cs="仿宋"/>
          <w:b/>
          <w:bCs/>
          <w:color w:val="auto"/>
          <w:sz w:val="28"/>
          <w:szCs w:val="28"/>
          <w:highlight w:val="none"/>
        </w:rPr>
        <w:t>2.商务文件目录</w:t>
      </w:r>
    </w:p>
    <w:p w14:paraId="5900978E">
      <w:pPr>
        <w:snapToGrid w:val="0"/>
        <w:spacing w:before="50" w:after="156" w:afterLines="50" w:line="360" w:lineRule="auto"/>
        <w:jc w:val="left"/>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t>根据招标文件规定及投标人提供的材料自行编写目录。</w:t>
      </w:r>
    </w:p>
    <w:p w14:paraId="06C31322">
      <w:pPr>
        <w:snapToGrid w:val="0"/>
        <w:spacing w:before="50" w:after="156" w:afterLines="50"/>
        <w:jc w:val="left"/>
        <w:rPr>
          <w:rFonts w:hint="eastAsia" w:ascii="仿宋" w:hAnsi="仿宋" w:eastAsia="仿宋" w:cs="仿宋"/>
          <w:color w:val="auto"/>
          <w:highlight w:val="none"/>
        </w:rPr>
      </w:pPr>
    </w:p>
    <w:p w14:paraId="04C1AC16">
      <w:pPr>
        <w:snapToGrid w:val="0"/>
        <w:spacing w:before="156" w:beforeLines="50" w:after="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br w:type="page"/>
      </w:r>
      <w:r>
        <w:rPr>
          <w:rFonts w:hint="eastAsia" w:ascii="仿宋" w:hAnsi="仿宋" w:eastAsia="仿宋" w:cs="仿宋"/>
          <w:b/>
          <w:color w:val="auto"/>
          <w:sz w:val="24"/>
          <w:highlight w:val="none"/>
        </w:rPr>
        <w:t>3.投标人参加本项目无围标串标行为的承诺</w:t>
      </w:r>
    </w:p>
    <w:p w14:paraId="14F38C54">
      <w:pPr>
        <w:snapToGrid w:val="0"/>
        <w:spacing w:before="156" w:beforeLines="50" w:after="50"/>
        <w:ind w:left="420"/>
        <w:jc w:val="left"/>
        <w:rPr>
          <w:rFonts w:hint="eastAsia" w:ascii="仿宋" w:hAnsi="仿宋" w:eastAsia="仿宋" w:cs="仿宋"/>
          <w:b/>
          <w:color w:val="auto"/>
          <w:sz w:val="24"/>
          <w:highlight w:val="none"/>
        </w:rPr>
      </w:pPr>
    </w:p>
    <w:p w14:paraId="5E5B3F2A">
      <w:pPr>
        <w:snapToGrid w:val="0"/>
        <w:spacing w:before="156" w:beforeLines="50" w:after="50"/>
        <w:ind w:left="420"/>
        <w:jc w:val="left"/>
        <w:rPr>
          <w:rFonts w:hint="eastAsia" w:ascii="仿宋" w:hAnsi="仿宋" w:eastAsia="仿宋" w:cs="仿宋"/>
          <w:b/>
          <w:color w:val="auto"/>
          <w:sz w:val="24"/>
          <w:highlight w:val="none"/>
        </w:rPr>
      </w:pPr>
    </w:p>
    <w:p w14:paraId="6D93277D">
      <w:pPr>
        <w:snapToGrid w:val="0"/>
        <w:spacing w:before="156" w:beforeLines="50" w:after="50"/>
        <w:ind w:left="42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投标人参加本项目无围标串标行为的承诺函</w:t>
      </w:r>
    </w:p>
    <w:p w14:paraId="415EE291">
      <w:pPr>
        <w:snapToGrid w:val="0"/>
        <w:spacing w:before="156" w:beforeLines="50" w:after="50"/>
        <w:ind w:left="420"/>
        <w:jc w:val="center"/>
        <w:rPr>
          <w:rFonts w:hint="eastAsia" w:ascii="仿宋" w:hAnsi="仿宋" w:eastAsia="仿宋" w:cs="仿宋"/>
          <w:b/>
          <w:color w:val="auto"/>
          <w:sz w:val="24"/>
          <w:highlight w:val="none"/>
        </w:rPr>
      </w:pPr>
    </w:p>
    <w:p w14:paraId="7026ADC3">
      <w:pPr>
        <w:snapToGrid w:val="0"/>
        <w:spacing w:before="156" w:beforeLines="50" w:after="50"/>
        <w:ind w:left="420"/>
        <w:jc w:val="center"/>
        <w:rPr>
          <w:rFonts w:hint="eastAsia" w:ascii="仿宋" w:hAnsi="仿宋" w:eastAsia="仿宋" w:cs="仿宋"/>
          <w:b/>
          <w:color w:val="auto"/>
          <w:sz w:val="24"/>
          <w:highlight w:val="none"/>
        </w:rPr>
      </w:pPr>
    </w:p>
    <w:p w14:paraId="16E510EC">
      <w:pPr>
        <w:snapToGrid w:val="0"/>
        <w:spacing w:before="156" w:beforeLines="50" w:after="50" w:line="360" w:lineRule="auto"/>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一、我方承诺无下列相互串通投标的情形：</w:t>
      </w:r>
    </w:p>
    <w:p w14:paraId="6CC6E39B">
      <w:pPr>
        <w:snapToGrid w:val="0"/>
        <w:spacing w:before="156" w:beforeLines="50" w:after="50" w:line="360" w:lineRule="auto"/>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1.不同投标人的投标文件由同一单位或者个人编制；或者不同投标人报名的IP地址一致的；</w:t>
      </w:r>
    </w:p>
    <w:p w14:paraId="2516A227">
      <w:pPr>
        <w:snapToGrid w:val="0"/>
        <w:spacing w:before="156" w:beforeLines="50" w:after="50" w:line="360" w:lineRule="auto"/>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2.不同投标人委托同一单位或者个人办理投标事宜；</w:t>
      </w:r>
    </w:p>
    <w:p w14:paraId="70577AEC">
      <w:pPr>
        <w:snapToGrid w:val="0"/>
        <w:spacing w:before="156" w:beforeLines="50" w:after="50" w:line="360" w:lineRule="auto"/>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3.不同的投标人的投标文件载明的项目管理员为同一个人；</w:t>
      </w:r>
    </w:p>
    <w:p w14:paraId="671397E2">
      <w:pPr>
        <w:snapToGrid w:val="0"/>
        <w:spacing w:before="156" w:beforeLines="50" w:after="50" w:line="360" w:lineRule="auto"/>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4.不同投标人的投标文件异常一致或者投标报价呈规律性差异；</w:t>
      </w:r>
    </w:p>
    <w:p w14:paraId="75B6A585">
      <w:pPr>
        <w:snapToGrid w:val="0"/>
        <w:spacing w:before="156" w:beforeLines="50" w:after="50" w:line="360" w:lineRule="auto"/>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5.不同投标人的投标文件相互混装；</w:t>
      </w:r>
    </w:p>
    <w:p w14:paraId="7AF8D926">
      <w:pPr>
        <w:snapToGrid w:val="0"/>
        <w:spacing w:before="156" w:beforeLines="50" w:after="50" w:line="360" w:lineRule="auto"/>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6.不同投标人的投标保证金从同一单位或者个人账户转出。</w:t>
      </w:r>
    </w:p>
    <w:p w14:paraId="37AF6E22">
      <w:pPr>
        <w:snapToGrid w:val="0"/>
        <w:spacing w:before="156" w:beforeLines="50" w:after="50" w:line="360" w:lineRule="auto"/>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二、我方承诺无下列恶意串通的情形：</w:t>
      </w:r>
    </w:p>
    <w:p w14:paraId="6020D468">
      <w:pPr>
        <w:snapToGrid w:val="0"/>
        <w:spacing w:before="156" w:beforeLines="50" w:after="50" w:line="360" w:lineRule="auto"/>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1.投标人直接或者间接从采购人或者采购代理机构处获得其他投标人的相关信息并修改其投标文件或者响应文件；</w:t>
      </w:r>
    </w:p>
    <w:p w14:paraId="6681939D">
      <w:pPr>
        <w:snapToGrid w:val="0"/>
        <w:spacing w:before="156" w:beforeLines="50" w:after="50" w:line="360" w:lineRule="auto"/>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2.投标人按照采购人或者采购代理机构的授意撤换、修改投标文件或者响应文件；</w:t>
      </w:r>
    </w:p>
    <w:p w14:paraId="1408D537">
      <w:pPr>
        <w:snapToGrid w:val="0"/>
        <w:spacing w:before="156" w:beforeLines="50" w:after="50" w:line="360" w:lineRule="auto"/>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3.投标人之间协商报价、技术方案等投标文件或者响应文件的实质性内容；</w:t>
      </w:r>
    </w:p>
    <w:p w14:paraId="31E85707">
      <w:pPr>
        <w:snapToGrid w:val="0"/>
        <w:spacing w:before="156" w:beforeLines="50" w:after="50" w:line="360" w:lineRule="auto"/>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4.属于同一集团、协会、商会等组织成员的投标人按照该组织要求协同参加政府采购活动；</w:t>
      </w:r>
    </w:p>
    <w:p w14:paraId="395F7C4A">
      <w:pPr>
        <w:snapToGrid w:val="0"/>
        <w:spacing w:before="156" w:beforeLines="50" w:after="50" w:line="360" w:lineRule="auto"/>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1F2FE712">
      <w:pPr>
        <w:snapToGrid w:val="0"/>
        <w:spacing w:before="156" w:beforeLines="50" w:after="50" w:line="360" w:lineRule="auto"/>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6.投标人之间商定部分投标人放弃参加政府采购活动或者放弃中标；</w:t>
      </w:r>
    </w:p>
    <w:p w14:paraId="0BC05C42">
      <w:pPr>
        <w:snapToGrid w:val="0"/>
        <w:spacing w:before="156" w:beforeLines="50" w:after="50" w:line="360" w:lineRule="auto"/>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7.投标人与采购人或者采购代理机构之间、投标人相互之间，为谋求特定投标人中标或者排斥其他投标人的其他串通行为。</w:t>
      </w:r>
    </w:p>
    <w:p w14:paraId="6DA004B9">
      <w:pPr>
        <w:snapToGrid w:val="0"/>
        <w:spacing w:before="156" w:beforeLines="50" w:after="50" w:line="360" w:lineRule="auto"/>
        <w:ind w:firstLine="470" w:firstLineChars="196"/>
        <w:jc w:val="left"/>
        <w:rPr>
          <w:rFonts w:hint="eastAsia" w:ascii="仿宋" w:hAnsi="仿宋" w:eastAsia="仿宋" w:cs="仿宋"/>
          <w:color w:val="auto"/>
          <w:sz w:val="24"/>
          <w:highlight w:val="none"/>
        </w:rPr>
      </w:pPr>
    </w:p>
    <w:p w14:paraId="2EE2289E">
      <w:pPr>
        <w:snapToGrid w:val="0"/>
        <w:spacing w:before="156" w:beforeLines="50" w:after="50" w:line="360" w:lineRule="auto"/>
        <w:ind w:firstLine="472" w:firstLineChars="196"/>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以上情形一经核查属实，我方愿意承担一切后果，并不再寻求任何旨在减轻或者免除法律责任的辩解。</w:t>
      </w:r>
    </w:p>
    <w:p w14:paraId="353CEF2B">
      <w:pPr>
        <w:pStyle w:val="23"/>
        <w:snapToGrid w:val="0"/>
        <w:spacing w:before="295" w:after="295" w:line="360" w:lineRule="auto"/>
        <w:ind w:firstLine="6840" w:firstLineChars="2850"/>
        <w:rPr>
          <w:rFonts w:hint="eastAsia" w:ascii="仿宋" w:hAnsi="仿宋" w:eastAsia="仿宋" w:cs="仿宋"/>
          <w:color w:val="auto"/>
          <w:sz w:val="24"/>
          <w:szCs w:val="24"/>
          <w:highlight w:val="none"/>
        </w:rPr>
      </w:pPr>
    </w:p>
    <w:p w14:paraId="7DB0202E">
      <w:pPr>
        <w:pStyle w:val="23"/>
        <w:snapToGrid w:val="0"/>
        <w:spacing w:before="295" w:after="295"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pacing w:val="20"/>
          <w:sz w:val="24"/>
          <w:highlight w:val="none"/>
        </w:rPr>
        <w:t>投标人盖公章：</w:t>
      </w:r>
      <w:r>
        <w:rPr>
          <w:rFonts w:hint="eastAsia" w:ascii="仿宋" w:hAnsi="仿宋" w:eastAsia="仿宋" w:cs="仿宋"/>
          <w:color w:val="auto"/>
          <w:spacing w:val="20"/>
          <w:sz w:val="24"/>
          <w:highlight w:val="none"/>
          <w:u w:val="single"/>
        </w:rPr>
        <w:t xml:space="preserve">            </w:t>
      </w:r>
    </w:p>
    <w:p w14:paraId="68CF8390">
      <w:pPr>
        <w:pStyle w:val="23"/>
        <w:snapToGrid w:val="0"/>
        <w:spacing w:before="295" w:after="295"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年    月    日</w:t>
      </w:r>
    </w:p>
    <w:p w14:paraId="7BF71914">
      <w:pPr>
        <w:snapToGrid w:val="0"/>
        <w:spacing w:before="156" w:beforeLines="50" w:after="50"/>
        <w:ind w:firstLine="472" w:firstLineChars="196"/>
        <w:jc w:val="left"/>
        <w:rPr>
          <w:rFonts w:hint="eastAsia" w:ascii="仿宋" w:hAnsi="仿宋" w:eastAsia="仿宋" w:cs="仿宋"/>
          <w:b/>
          <w:color w:val="auto"/>
          <w:sz w:val="24"/>
          <w:szCs w:val="20"/>
          <w:highlight w:val="none"/>
        </w:rPr>
      </w:pPr>
      <w:r>
        <w:rPr>
          <w:rFonts w:hint="eastAsia" w:ascii="仿宋" w:hAnsi="仿宋" w:eastAsia="仿宋" w:cs="仿宋"/>
          <w:b/>
          <w:color w:val="auto"/>
          <w:sz w:val="24"/>
          <w:highlight w:val="none"/>
        </w:rPr>
        <w:br w:type="page"/>
      </w:r>
      <w:r>
        <w:rPr>
          <w:rFonts w:hint="eastAsia" w:ascii="仿宋" w:hAnsi="仿宋" w:eastAsia="仿宋" w:cs="仿宋"/>
          <w:b/>
          <w:color w:val="auto"/>
          <w:sz w:val="24"/>
          <w:highlight w:val="none"/>
        </w:rPr>
        <w:t>4.法定代表人身份证明</w:t>
      </w:r>
    </w:p>
    <w:p w14:paraId="518A1870">
      <w:pPr>
        <w:spacing w:before="312" w:beforeLines="100" w:after="156" w:afterLines="50"/>
        <w:ind w:left="540"/>
        <w:jc w:val="center"/>
        <w:rPr>
          <w:rFonts w:hint="eastAsia" w:ascii="仿宋" w:hAnsi="仿宋" w:eastAsia="仿宋" w:cs="仿宋"/>
          <w:b/>
          <w:color w:val="auto"/>
          <w:sz w:val="32"/>
          <w:szCs w:val="32"/>
          <w:highlight w:val="none"/>
        </w:rPr>
      </w:pPr>
    </w:p>
    <w:p w14:paraId="39D86A69">
      <w:pPr>
        <w:spacing w:before="312" w:beforeLines="100" w:after="156" w:afterLines="50"/>
        <w:ind w:left="540"/>
        <w:jc w:val="center"/>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rPr>
        <w:t>法定代表人身份证明</w:t>
      </w:r>
    </w:p>
    <w:p w14:paraId="3E77234C">
      <w:pPr>
        <w:spacing w:line="500" w:lineRule="exact"/>
        <w:ind w:left="540"/>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14:paraId="7B91FCB0">
      <w:pPr>
        <w:spacing w:line="500" w:lineRule="exact"/>
        <w:ind w:left="540"/>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14:paraId="2A97E33A">
      <w:pPr>
        <w:spacing w:line="500" w:lineRule="exact"/>
        <w:ind w:left="540"/>
        <w:rPr>
          <w:rFonts w:hint="eastAsia" w:ascii="仿宋" w:hAnsi="仿宋" w:eastAsia="仿宋" w:cs="仿宋"/>
          <w:color w:val="auto"/>
          <w:sz w:val="24"/>
          <w:highlight w:val="non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性      别：</w:t>
      </w:r>
      <w:r>
        <w:rPr>
          <w:rFonts w:hint="eastAsia" w:ascii="仿宋" w:hAnsi="仿宋" w:eastAsia="仿宋" w:cs="仿宋"/>
          <w:color w:val="auto"/>
          <w:sz w:val="24"/>
          <w:highlight w:val="none"/>
          <w:u w:val="single"/>
        </w:rPr>
        <w:t xml:space="preserve">                </w:t>
      </w:r>
    </w:p>
    <w:p w14:paraId="1FF4E224">
      <w:pPr>
        <w:spacing w:line="500" w:lineRule="exact"/>
        <w:ind w:left="54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年    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10945027">
      <w:pPr>
        <w:spacing w:line="500" w:lineRule="exact"/>
        <w:ind w:left="540"/>
        <w:rPr>
          <w:rFonts w:hint="eastAsia" w:ascii="仿宋" w:hAnsi="仿宋" w:eastAsia="仿宋" w:cs="仿宋"/>
          <w:color w:val="auto"/>
          <w:sz w:val="24"/>
          <w:highlight w:val="non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24D3B02D">
      <w:pPr>
        <w:spacing w:line="500" w:lineRule="exact"/>
        <w:ind w:left="540"/>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（投标人名称）              </w:t>
      </w:r>
      <w:r>
        <w:rPr>
          <w:rFonts w:hint="eastAsia" w:ascii="仿宋" w:hAnsi="仿宋" w:eastAsia="仿宋" w:cs="仿宋"/>
          <w:color w:val="auto"/>
          <w:sz w:val="24"/>
          <w:highlight w:val="none"/>
        </w:rPr>
        <w:t>的法定代表人。</w:t>
      </w:r>
    </w:p>
    <w:p w14:paraId="681A772D">
      <w:pPr>
        <w:spacing w:line="500" w:lineRule="exact"/>
        <w:ind w:left="54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5A5AE877">
      <w:pPr>
        <w:spacing w:line="500" w:lineRule="exact"/>
        <w:ind w:left="540"/>
        <w:rPr>
          <w:rFonts w:hint="eastAsia" w:ascii="仿宋" w:hAnsi="仿宋" w:eastAsia="仿宋" w:cs="仿宋"/>
          <w:color w:val="auto"/>
          <w:sz w:val="24"/>
          <w:highlight w:val="none"/>
        </w:rPr>
      </w:pPr>
    </w:p>
    <w:p w14:paraId="6C950561">
      <w:pPr>
        <w:spacing w:line="500" w:lineRule="exact"/>
        <w:ind w:left="540"/>
        <w:rPr>
          <w:rFonts w:hint="eastAsia" w:ascii="仿宋" w:hAnsi="仿宋" w:eastAsia="仿宋" w:cs="仿宋"/>
          <w:color w:val="auto"/>
          <w:sz w:val="24"/>
          <w:highlight w:val="none"/>
        </w:rPr>
      </w:pPr>
    </w:p>
    <w:p w14:paraId="2BFC4683">
      <w:pPr>
        <w:spacing w:line="500" w:lineRule="exact"/>
        <w:ind w:left="540"/>
        <w:rPr>
          <w:rFonts w:hint="eastAsia" w:ascii="仿宋" w:hAnsi="仿宋" w:eastAsia="仿宋" w:cs="仿宋"/>
          <w:color w:val="auto"/>
          <w:sz w:val="24"/>
          <w:highlight w:val="none"/>
        </w:rPr>
      </w:pPr>
      <w:r>
        <w:rPr>
          <w:rFonts w:hint="eastAsia" w:ascii="仿宋" w:hAnsi="仿宋" w:eastAsia="仿宋" w:cs="仿宋"/>
          <w:color w:val="auto"/>
          <w:sz w:val="24"/>
          <w:highlight w:val="none"/>
        </w:rPr>
        <w:t>附件：法定代表人有效身份证正反面复印件</w:t>
      </w:r>
    </w:p>
    <w:p w14:paraId="0829D534">
      <w:pPr>
        <w:spacing w:line="500" w:lineRule="exact"/>
        <w:ind w:left="540"/>
        <w:rPr>
          <w:rFonts w:hint="eastAsia" w:ascii="仿宋" w:hAnsi="仿宋" w:eastAsia="仿宋" w:cs="仿宋"/>
          <w:color w:val="auto"/>
          <w:sz w:val="24"/>
          <w:highlight w:val="none"/>
        </w:rPr>
      </w:pPr>
    </w:p>
    <w:p w14:paraId="47E4D58D">
      <w:pPr>
        <w:spacing w:line="500" w:lineRule="exact"/>
        <w:ind w:left="540" w:firstLine="5040" w:firstLineChars="1800"/>
        <w:rPr>
          <w:rFonts w:hint="eastAsia" w:ascii="仿宋" w:hAnsi="仿宋" w:eastAsia="仿宋" w:cs="仿宋"/>
          <w:color w:val="auto"/>
          <w:spacing w:val="20"/>
          <w:sz w:val="24"/>
          <w:highlight w:val="none"/>
          <w:u w:val="single"/>
        </w:rPr>
      </w:pPr>
      <w:r>
        <w:rPr>
          <w:rFonts w:hint="eastAsia" w:ascii="仿宋" w:hAnsi="仿宋" w:eastAsia="仿宋" w:cs="仿宋"/>
          <w:color w:val="auto"/>
          <w:spacing w:val="20"/>
          <w:sz w:val="24"/>
          <w:highlight w:val="none"/>
        </w:rPr>
        <w:t>投标人盖公章：</w:t>
      </w:r>
      <w:r>
        <w:rPr>
          <w:rFonts w:hint="eastAsia" w:ascii="仿宋" w:hAnsi="仿宋" w:eastAsia="仿宋" w:cs="仿宋"/>
          <w:color w:val="auto"/>
          <w:spacing w:val="20"/>
          <w:sz w:val="24"/>
          <w:highlight w:val="none"/>
          <w:u w:val="single"/>
        </w:rPr>
        <w:t xml:space="preserve">            </w:t>
      </w:r>
    </w:p>
    <w:p w14:paraId="30E15BC3">
      <w:pPr>
        <w:spacing w:line="500" w:lineRule="exact"/>
        <w:rPr>
          <w:rFonts w:hint="eastAsia" w:ascii="仿宋" w:hAnsi="仿宋" w:eastAsia="仿宋" w:cs="仿宋"/>
          <w:color w:val="auto"/>
          <w:spacing w:val="20"/>
          <w:sz w:val="24"/>
          <w:highlight w:val="none"/>
          <w:u w:val="single"/>
        </w:rPr>
      </w:pPr>
    </w:p>
    <w:p w14:paraId="508A2400">
      <w:pPr>
        <w:snapToGrid w:val="0"/>
        <w:spacing w:before="156" w:beforeLines="50" w:after="50"/>
        <w:jc w:val="center"/>
        <w:rPr>
          <w:rFonts w:hint="eastAsia" w:ascii="仿宋" w:hAnsi="仿宋" w:eastAsia="仿宋" w:cs="仿宋"/>
          <w:b/>
          <w:color w:val="auto"/>
          <w:sz w:val="24"/>
          <w:highlight w:val="none"/>
        </w:rPr>
      </w:pPr>
      <w:r>
        <w:rPr>
          <w:rFonts w:hint="eastAsia" w:ascii="仿宋" w:hAnsi="仿宋" w:eastAsia="仿宋" w:cs="仿宋"/>
          <w:color w:val="auto"/>
          <w:sz w:val="24"/>
          <w:highlight w:val="none"/>
        </w:rPr>
        <w:t xml:space="preserve">                                                          年    月    日</w:t>
      </w:r>
    </w:p>
    <w:p w14:paraId="5E93FDDF">
      <w:pPr>
        <w:snapToGrid w:val="0"/>
        <w:spacing w:before="156" w:beforeLines="50" w:after="50"/>
        <w:jc w:val="left"/>
        <w:rPr>
          <w:rFonts w:hint="eastAsia" w:ascii="仿宋" w:hAnsi="仿宋" w:eastAsia="仿宋" w:cs="仿宋"/>
          <w:color w:val="auto"/>
          <w:sz w:val="24"/>
          <w:highlight w:val="none"/>
        </w:rPr>
      </w:pPr>
    </w:p>
    <w:p w14:paraId="6E7F4719">
      <w:pPr>
        <w:snapToGrid w:val="0"/>
        <w:spacing w:before="156" w:beforeLines="50" w:after="50"/>
        <w:jc w:val="left"/>
        <w:rPr>
          <w:rFonts w:hint="eastAsia" w:ascii="仿宋" w:hAnsi="仿宋" w:eastAsia="仿宋" w:cs="仿宋"/>
          <w:b/>
          <w:color w:val="auto"/>
          <w:sz w:val="24"/>
          <w:szCs w:val="20"/>
          <w:highlight w:val="none"/>
        </w:rPr>
      </w:pPr>
      <w:r>
        <w:rPr>
          <w:rFonts w:hint="eastAsia" w:ascii="仿宋" w:hAnsi="仿宋" w:eastAsia="仿宋" w:cs="仿宋"/>
          <w:color w:val="auto"/>
          <w:sz w:val="24"/>
          <w:highlight w:val="none"/>
        </w:rPr>
        <w:t>注：自然人投标的无需提供</w:t>
      </w:r>
    </w:p>
    <w:p w14:paraId="23D78A49">
      <w:pPr>
        <w:snapToGrid w:val="0"/>
        <w:spacing w:before="156" w:beforeLines="50" w:after="50"/>
        <w:jc w:val="left"/>
        <w:rPr>
          <w:rFonts w:hint="eastAsia" w:ascii="仿宋" w:hAnsi="仿宋" w:eastAsia="仿宋" w:cs="仿宋"/>
          <w:b/>
          <w:color w:val="auto"/>
          <w:sz w:val="24"/>
          <w:szCs w:val="20"/>
          <w:highlight w:val="none"/>
        </w:rPr>
      </w:pPr>
      <w:r>
        <w:rPr>
          <w:rFonts w:hint="eastAsia" w:ascii="仿宋" w:hAnsi="仿宋" w:eastAsia="仿宋" w:cs="仿宋"/>
          <w:b/>
          <w:color w:val="auto"/>
          <w:sz w:val="24"/>
          <w:highlight w:val="none"/>
        </w:rPr>
        <w:br w:type="page"/>
      </w:r>
      <w:r>
        <w:rPr>
          <w:rFonts w:hint="eastAsia" w:ascii="仿宋" w:hAnsi="仿宋" w:eastAsia="仿宋" w:cs="仿宋"/>
          <w:b/>
          <w:color w:val="auto"/>
          <w:sz w:val="24"/>
          <w:highlight w:val="none"/>
        </w:rPr>
        <w:t>5.法定代表人授权委托书格式</w:t>
      </w:r>
    </w:p>
    <w:p w14:paraId="1EE0E445">
      <w:pPr>
        <w:snapToGrid w:val="0"/>
        <w:spacing w:before="156" w:beforeLines="50" w:after="50"/>
        <w:jc w:val="center"/>
        <w:rPr>
          <w:rFonts w:hint="eastAsia" w:ascii="仿宋" w:hAnsi="仿宋" w:eastAsia="仿宋" w:cs="仿宋"/>
          <w:b/>
          <w:color w:val="auto"/>
          <w:sz w:val="44"/>
          <w:szCs w:val="44"/>
          <w:highlight w:val="none"/>
        </w:rPr>
      </w:pPr>
    </w:p>
    <w:p w14:paraId="34A1E510">
      <w:pPr>
        <w:snapToGrid w:val="0"/>
        <w:spacing w:before="156" w:beforeLines="50" w:after="5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法定代表人授权委托书</w:t>
      </w:r>
    </w:p>
    <w:p w14:paraId="41DD60EB">
      <w:pPr>
        <w:snapToGrid w:val="0"/>
        <w:spacing w:before="156" w:beforeLines="50" w:after="5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（非联合体投标格式）</w:t>
      </w:r>
    </w:p>
    <w:p w14:paraId="64DBE37F">
      <w:pPr>
        <w:snapToGrid w:val="0"/>
        <w:spacing w:before="156" w:beforeLines="50" w:after="50"/>
        <w:jc w:val="center"/>
        <w:rPr>
          <w:rFonts w:hint="eastAsia" w:ascii="仿宋" w:hAnsi="仿宋" w:eastAsia="仿宋" w:cs="仿宋"/>
          <w:b/>
          <w:color w:val="auto"/>
          <w:sz w:val="24"/>
          <w:highlight w:val="none"/>
        </w:rPr>
      </w:pPr>
      <w:r>
        <w:rPr>
          <w:rFonts w:hint="eastAsia" w:ascii="仿宋" w:hAnsi="仿宋" w:eastAsia="仿宋" w:cs="仿宋"/>
          <w:b/>
          <w:color w:val="auto"/>
          <w:sz w:val="32"/>
          <w:szCs w:val="32"/>
          <w:highlight w:val="none"/>
        </w:rPr>
        <w:t>（如有委托时）</w:t>
      </w:r>
    </w:p>
    <w:p w14:paraId="62B36DF4">
      <w:pPr>
        <w:snapToGrid w:val="0"/>
        <w:spacing w:before="156" w:beforeLines="50" w:after="50"/>
        <w:jc w:val="center"/>
        <w:rPr>
          <w:rFonts w:hint="eastAsia" w:ascii="仿宋" w:hAnsi="仿宋" w:eastAsia="仿宋" w:cs="仿宋"/>
          <w:b/>
          <w:color w:val="auto"/>
          <w:sz w:val="24"/>
          <w:highlight w:val="none"/>
        </w:rPr>
      </w:pPr>
    </w:p>
    <w:p w14:paraId="188E1C49">
      <w:pPr>
        <w:snapToGrid w:val="0"/>
        <w:spacing w:before="156" w:beforeLines="50" w:after="50" w:line="360" w:lineRule="auto"/>
        <w:rPr>
          <w:rFonts w:hint="eastAsia" w:ascii="仿宋" w:hAnsi="仿宋" w:eastAsia="仿宋" w:cs="仿宋"/>
          <w:b/>
          <w:bCs/>
          <w:color w:val="auto"/>
          <w:sz w:val="24"/>
          <w:highlight w:val="none"/>
        </w:rPr>
      </w:pPr>
      <w:r>
        <w:rPr>
          <w:rFonts w:hint="eastAsia" w:ascii="仿宋" w:hAnsi="仿宋" w:eastAsia="仿宋" w:cs="仿宋"/>
          <w:bCs/>
          <w:color w:val="auto"/>
          <w:sz w:val="24"/>
          <w:highlight w:val="none"/>
        </w:rPr>
        <w:t>致：</w:t>
      </w:r>
      <w:r>
        <w:rPr>
          <w:rFonts w:hint="eastAsia" w:ascii="仿宋" w:hAnsi="仿宋" w:eastAsia="仿宋" w:cs="仿宋"/>
          <w:color w:val="auto"/>
          <w:sz w:val="24"/>
          <w:highlight w:val="none"/>
          <w:u w:val="single"/>
        </w:rPr>
        <w:t>采购人名称</w:t>
      </w:r>
      <w:r>
        <w:rPr>
          <w:rFonts w:hint="eastAsia" w:ascii="仿宋" w:hAnsi="仿宋" w:eastAsia="仿宋" w:cs="仿宋"/>
          <w:color w:val="auto"/>
          <w:sz w:val="24"/>
          <w:highlight w:val="none"/>
        </w:rPr>
        <w:t>：</w:t>
      </w:r>
    </w:p>
    <w:p w14:paraId="1EDFCC8D">
      <w:pPr>
        <w:snapToGrid w:val="0"/>
        <w:spacing w:before="156" w:beforeLines="50" w:after="50" w:line="360" w:lineRule="auto"/>
        <w:ind w:firstLine="566" w:firstLineChars="236"/>
        <w:rPr>
          <w:rFonts w:hint="eastAsia" w:ascii="仿宋" w:hAnsi="仿宋" w:eastAsia="仿宋" w:cs="仿宋"/>
          <w:color w:val="auto"/>
          <w:sz w:val="24"/>
          <w:highlight w:val="none"/>
        </w:rPr>
      </w:pPr>
      <w:r>
        <w:rPr>
          <w:rFonts w:hint="eastAsia" w:ascii="仿宋" w:hAnsi="仿宋" w:eastAsia="仿宋" w:cs="仿宋"/>
          <w:color w:val="auto"/>
          <w:sz w:val="24"/>
          <w:highlight w:val="none"/>
        </w:rPr>
        <w:t>我</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（姓名）系</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（投标人名称）的法定代表人，现授权委托</w:t>
      </w:r>
      <w:r>
        <w:rPr>
          <w:rFonts w:hint="eastAsia" w:ascii="仿宋" w:hAnsi="仿宋" w:eastAsia="仿宋" w:cs="仿宋"/>
          <w:color w:val="auto"/>
          <w:sz w:val="24"/>
          <w:highlight w:val="none"/>
          <w:u w:val="single"/>
        </w:rPr>
        <w:t xml:space="preserve">              （姓名）</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项目的投标活动，并代表我方全权办理针对上述项目的所有采购程序和环节的具体事务和签署相关文件。</w:t>
      </w:r>
    </w:p>
    <w:p w14:paraId="0AB70143">
      <w:pPr>
        <w:snapToGrid w:val="0"/>
        <w:spacing w:before="156" w:beforeLines="50" w:after="50"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我方对委托代理人的签字事项负全部责任。</w:t>
      </w:r>
    </w:p>
    <w:p w14:paraId="29B8181F">
      <w:pPr>
        <w:snapToGrid w:val="0"/>
        <w:spacing w:before="156" w:beforeLines="50" w:after="50"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本授权书自签署之日起生效，在撤销授权的书面通知以前，本授权书一直有效。委托代理人在授权书有效期内签署的所有文件不因授权的撤销而失效。</w:t>
      </w:r>
    </w:p>
    <w:p w14:paraId="16821A42">
      <w:pPr>
        <w:snapToGrid w:val="0"/>
        <w:spacing w:before="156" w:beforeLines="50" w:after="50"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委托代理人无转委托权，特此委托。</w:t>
      </w:r>
    </w:p>
    <w:p w14:paraId="183603E9">
      <w:pPr>
        <w:snapToGrid w:val="0"/>
        <w:spacing w:before="156" w:beforeLines="50" w:after="50"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附：法定代表人身份证明及委托代理人有效身份证正反面复印件</w:t>
      </w:r>
    </w:p>
    <w:p w14:paraId="6B40C261">
      <w:pPr>
        <w:snapToGrid w:val="0"/>
        <w:spacing w:before="156" w:beforeLines="50" w:after="50"/>
        <w:rPr>
          <w:rFonts w:hint="eastAsia" w:ascii="仿宋" w:hAnsi="仿宋" w:eastAsia="仿宋" w:cs="仿宋"/>
          <w:color w:val="auto"/>
          <w:sz w:val="24"/>
          <w:highlight w:val="none"/>
        </w:rPr>
      </w:pPr>
    </w:p>
    <w:p w14:paraId="2E6E010B">
      <w:pPr>
        <w:snapToGrid w:val="0"/>
        <w:spacing w:before="156" w:beforeLines="50" w:after="5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委托代理人签字：</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法定代表人签字：</w:t>
      </w:r>
      <w:r>
        <w:rPr>
          <w:rFonts w:hint="eastAsia" w:ascii="仿宋" w:hAnsi="仿宋" w:eastAsia="仿宋" w:cs="仿宋"/>
          <w:color w:val="auto"/>
          <w:sz w:val="24"/>
          <w:highlight w:val="none"/>
          <w:u w:val="single"/>
        </w:rPr>
        <w:t xml:space="preserve">              </w:t>
      </w:r>
    </w:p>
    <w:p w14:paraId="4D2ADBEF">
      <w:pPr>
        <w:snapToGrid w:val="0"/>
        <w:spacing w:before="156" w:beforeLines="50" w:after="50"/>
        <w:rPr>
          <w:rFonts w:hint="eastAsia" w:ascii="仿宋" w:hAnsi="仿宋" w:eastAsia="仿宋" w:cs="仿宋"/>
          <w:color w:val="auto"/>
          <w:sz w:val="24"/>
          <w:highlight w:val="none"/>
        </w:rPr>
      </w:pPr>
      <w:r>
        <w:rPr>
          <w:rFonts w:hint="eastAsia" w:ascii="仿宋" w:hAnsi="仿宋" w:eastAsia="仿宋" w:cs="仿宋"/>
          <w:color w:val="auto"/>
          <w:sz w:val="24"/>
          <w:highlight w:val="none"/>
        </w:rPr>
        <w:t>所在部门职务：</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职务：</w:t>
      </w:r>
      <w:r>
        <w:rPr>
          <w:rFonts w:hint="eastAsia" w:ascii="仿宋" w:hAnsi="仿宋" w:eastAsia="仿宋" w:cs="仿宋"/>
          <w:color w:val="auto"/>
          <w:sz w:val="24"/>
          <w:highlight w:val="none"/>
          <w:u w:val="single"/>
        </w:rPr>
        <w:t xml:space="preserve">                  </w:t>
      </w:r>
    </w:p>
    <w:p w14:paraId="004450F8">
      <w:pPr>
        <w:snapToGrid w:val="0"/>
        <w:spacing w:before="156" w:beforeLines="50" w:after="5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委托代理人身份证号码：</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57E2F835">
      <w:pPr>
        <w:snapToGrid w:val="0"/>
        <w:spacing w:before="156" w:beforeLines="50" w:after="50"/>
        <w:jc w:val="center"/>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投标人（盖公章）：</w:t>
      </w:r>
      <w:r>
        <w:rPr>
          <w:rFonts w:hint="eastAsia" w:ascii="仿宋" w:hAnsi="仿宋" w:eastAsia="仿宋" w:cs="仿宋"/>
          <w:color w:val="auto"/>
          <w:sz w:val="24"/>
          <w:highlight w:val="none"/>
          <w:u w:val="single"/>
        </w:rPr>
        <w:t xml:space="preserve">          </w:t>
      </w:r>
    </w:p>
    <w:p w14:paraId="3958F959">
      <w:pPr>
        <w:snapToGrid w:val="0"/>
        <w:spacing w:before="156" w:beforeLines="50" w:after="5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年    月    日</w:t>
      </w:r>
    </w:p>
    <w:p w14:paraId="2562A95E">
      <w:pPr>
        <w:snapToGrid w:val="0"/>
        <w:spacing w:before="156" w:beforeLines="50" w:after="50"/>
        <w:jc w:val="center"/>
        <w:rPr>
          <w:rFonts w:hint="eastAsia" w:ascii="仿宋" w:hAnsi="仿宋" w:eastAsia="仿宋" w:cs="仿宋"/>
          <w:color w:val="auto"/>
          <w:sz w:val="24"/>
          <w:highlight w:val="none"/>
        </w:rPr>
      </w:pPr>
    </w:p>
    <w:p w14:paraId="5508536A">
      <w:pPr>
        <w:snapToGrid w:val="0"/>
        <w:spacing w:before="156" w:beforeLines="50" w:after="50"/>
        <w:jc w:val="center"/>
        <w:rPr>
          <w:rFonts w:hint="eastAsia" w:ascii="仿宋" w:hAnsi="仿宋" w:eastAsia="仿宋" w:cs="仿宋"/>
          <w:color w:val="auto"/>
          <w:sz w:val="24"/>
          <w:highlight w:val="none"/>
        </w:rPr>
      </w:pPr>
    </w:p>
    <w:p w14:paraId="3B74E24C">
      <w:pPr>
        <w:snapToGrid w:val="0"/>
        <w:spacing w:before="156" w:beforeLines="50" w:after="50"/>
        <w:rPr>
          <w:rFonts w:hint="eastAsia" w:ascii="仿宋" w:hAnsi="仿宋" w:eastAsia="仿宋" w:cs="仿宋"/>
          <w:color w:val="auto"/>
          <w:sz w:val="24"/>
          <w:highlight w:val="none"/>
        </w:rPr>
      </w:pPr>
    </w:p>
    <w:p w14:paraId="0E1A60D1">
      <w:pPr>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注：1.法定代表人和委托代理人必须在授权委托书上签名，</w:t>
      </w:r>
      <w:r>
        <w:rPr>
          <w:rFonts w:hint="eastAsia" w:ascii="仿宋" w:hAnsi="仿宋" w:eastAsia="仿宋" w:cs="仿宋"/>
          <w:b/>
          <w:bCs/>
          <w:color w:val="auto"/>
          <w:sz w:val="24"/>
          <w:highlight w:val="none"/>
        </w:rPr>
        <w:t>否则作无效投标处理</w:t>
      </w:r>
      <w:r>
        <w:rPr>
          <w:rFonts w:hint="eastAsia" w:ascii="仿宋" w:hAnsi="仿宋" w:eastAsia="仿宋" w:cs="仿宋"/>
          <w:color w:val="auto"/>
          <w:sz w:val="24"/>
          <w:highlight w:val="none"/>
        </w:rPr>
        <w:t>；</w:t>
      </w:r>
    </w:p>
    <w:p w14:paraId="2500F849">
      <w:pPr>
        <w:spacing w:line="50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2.以联合体形式投标的，本授权委托书应由联合体牵头人的法定代表人按上述规定签署。</w:t>
      </w:r>
    </w:p>
    <w:p w14:paraId="3141D180">
      <w:pPr>
        <w:spacing w:line="500" w:lineRule="exact"/>
        <w:ind w:firstLine="480" w:firstLineChars="200"/>
        <w:jc w:val="left"/>
        <w:rPr>
          <w:rFonts w:hint="eastAsia" w:ascii="仿宋" w:hAnsi="仿宋" w:eastAsia="仿宋" w:cs="仿宋"/>
          <w:color w:val="auto"/>
          <w:sz w:val="24"/>
          <w:highlight w:val="none"/>
        </w:rPr>
        <w:sectPr>
          <w:footerReference r:id="rId7" w:type="first"/>
          <w:headerReference r:id="rId4" w:type="default"/>
          <w:footerReference r:id="rId5" w:type="default"/>
          <w:footerReference r:id="rId6" w:type="even"/>
          <w:pgSz w:w="11906" w:h="16838"/>
          <w:pgMar w:top="1134" w:right="779" w:bottom="1559" w:left="1247" w:header="851" w:footer="992" w:gutter="0"/>
          <w:pgNumType w:fmt="decimal"/>
          <w:cols w:space="0" w:num="1"/>
          <w:titlePg/>
          <w:docGrid w:type="lines" w:linePitch="312" w:charSpace="0"/>
        </w:sectPr>
      </w:pPr>
      <w:r>
        <w:rPr>
          <w:rFonts w:hint="eastAsia" w:ascii="仿宋" w:hAnsi="仿宋" w:eastAsia="仿宋" w:cs="仿宋"/>
          <w:color w:val="auto"/>
          <w:sz w:val="24"/>
          <w:highlight w:val="none"/>
        </w:rPr>
        <w:t>3.供应商为其他组织或者自然人时，本招标文件规定的法定代表人指负责人或者自然人。本招标文件所称负责人是指参加投标的其他组织营业执照上的负责人，本招标文件所称自然人指参与投标的自然人本人。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450EF231">
      <w:pPr>
        <w:ind w:right="-199" w:rightChars="-95"/>
        <w:rPr>
          <w:rFonts w:hint="eastAsia" w:ascii="仿宋" w:hAnsi="仿宋" w:eastAsia="仿宋" w:cs="仿宋"/>
          <w:color w:val="auto"/>
          <w:sz w:val="24"/>
          <w:highlight w:val="none"/>
        </w:rPr>
      </w:pPr>
    </w:p>
    <w:p w14:paraId="696E21B5">
      <w:pPr>
        <w:rPr>
          <w:rFonts w:hint="eastAsia" w:ascii="仿宋" w:hAnsi="仿宋" w:eastAsia="仿宋" w:cs="仿宋"/>
          <w:b/>
          <w:color w:val="auto"/>
          <w:sz w:val="24"/>
          <w:szCs w:val="20"/>
          <w:highlight w:val="none"/>
        </w:rPr>
      </w:pPr>
      <w:r>
        <w:rPr>
          <w:rFonts w:hint="eastAsia" w:ascii="仿宋" w:hAnsi="仿宋" w:eastAsia="仿宋" w:cs="仿宋"/>
          <w:b/>
          <w:color w:val="auto"/>
          <w:sz w:val="24"/>
          <w:highlight w:val="none"/>
        </w:rPr>
        <w:t>6.商务条款偏离表格式(注：按项目需求表具体项目修改)</w:t>
      </w:r>
    </w:p>
    <w:p w14:paraId="411009C6">
      <w:pPr>
        <w:snapToGrid w:val="0"/>
        <w:spacing w:before="50"/>
        <w:jc w:val="left"/>
        <w:rPr>
          <w:rFonts w:hint="eastAsia" w:ascii="仿宋" w:hAnsi="仿宋" w:eastAsia="仿宋" w:cs="仿宋"/>
          <w:color w:val="auto"/>
          <w:sz w:val="24"/>
          <w:highlight w:val="none"/>
        </w:rPr>
      </w:pPr>
    </w:p>
    <w:p w14:paraId="1F53D5C9">
      <w:pPr>
        <w:pStyle w:val="23"/>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所投分标：</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分标</w:t>
      </w:r>
    </w:p>
    <w:p w14:paraId="6E3D463A">
      <w:pPr>
        <w:snapToGrid w:val="0"/>
        <w:spacing w:before="50"/>
        <w:jc w:val="left"/>
        <w:rPr>
          <w:rFonts w:hint="eastAsia" w:ascii="仿宋" w:hAnsi="仿宋" w:eastAsia="仿宋" w:cs="仿宋"/>
          <w:color w:val="auto"/>
          <w:sz w:val="24"/>
          <w:highlight w:val="none"/>
          <w:u w:val="single"/>
        </w:rPr>
      </w:pPr>
    </w:p>
    <w:tbl>
      <w:tblPr>
        <w:tblStyle w:val="45"/>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51053C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3FBC007A">
            <w:pPr>
              <w:snapToGrid w:val="0"/>
              <w:spacing w:before="120" w:beforeLines="5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tcPr>
          <w:p w14:paraId="2A6B2742">
            <w:pPr>
              <w:snapToGrid w:val="0"/>
              <w:spacing w:before="120" w:beforeLines="5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招标文件商务条款要求</w:t>
            </w:r>
          </w:p>
        </w:tc>
        <w:tc>
          <w:tcPr>
            <w:tcW w:w="1760" w:type="dxa"/>
            <w:tcBorders>
              <w:top w:val="single" w:color="auto" w:sz="4" w:space="0"/>
              <w:left w:val="single" w:color="auto" w:sz="4" w:space="0"/>
              <w:bottom w:val="single" w:color="auto" w:sz="4" w:space="0"/>
              <w:right w:val="single" w:color="auto" w:sz="4" w:space="0"/>
            </w:tcBorders>
          </w:tcPr>
          <w:p w14:paraId="6BCDC7C5">
            <w:pPr>
              <w:snapToGrid w:val="0"/>
              <w:spacing w:before="120" w:beforeLines="5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tcPr>
          <w:p w14:paraId="5075C4A1">
            <w:pPr>
              <w:snapToGrid w:val="0"/>
              <w:spacing w:before="120" w:beforeLines="5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偏离说明</w:t>
            </w:r>
          </w:p>
        </w:tc>
      </w:tr>
      <w:tr w14:paraId="189225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510" w:type="dxa"/>
            <w:tcBorders>
              <w:top w:val="single" w:color="auto" w:sz="4" w:space="0"/>
              <w:left w:val="single" w:color="auto" w:sz="4" w:space="0"/>
              <w:bottom w:val="single" w:color="auto" w:sz="4" w:space="0"/>
              <w:right w:val="single" w:color="auto" w:sz="4" w:space="0"/>
            </w:tcBorders>
            <w:vAlign w:val="center"/>
          </w:tcPr>
          <w:p w14:paraId="50E5C622">
            <w:pPr>
              <w:snapToGrid w:val="0"/>
              <w:spacing w:line="440" w:lineRule="exact"/>
              <w:jc w:val="center"/>
              <w:rPr>
                <w:rFonts w:hint="eastAsia" w:ascii="仿宋" w:hAnsi="仿宋" w:eastAsia="仿宋" w:cs="仿宋"/>
                <w:bCs/>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19EEE07E">
            <w:pPr>
              <w:snapToGrid w:val="0"/>
              <w:spacing w:before="120" w:beforeLines="50"/>
              <w:jc w:val="center"/>
              <w:rPr>
                <w:rFonts w:hint="eastAsia" w:ascii="仿宋" w:hAnsi="仿宋" w:eastAsia="仿宋" w:cs="仿宋"/>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7C2708F4">
            <w:pPr>
              <w:snapToGrid w:val="0"/>
              <w:spacing w:before="120" w:beforeLines="50"/>
              <w:jc w:val="center"/>
              <w:rPr>
                <w:rFonts w:hint="eastAsia" w:ascii="仿宋" w:hAnsi="仿宋" w:eastAsia="仿宋" w:cs="仿宋"/>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008F67EA">
            <w:pPr>
              <w:snapToGrid w:val="0"/>
              <w:spacing w:before="120" w:beforeLines="50"/>
              <w:jc w:val="center"/>
              <w:rPr>
                <w:rFonts w:hint="eastAsia" w:ascii="仿宋" w:hAnsi="仿宋" w:eastAsia="仿宋" w:cs="仿宋"/>
                <w:color w:val="auto"/>
                <w:sz w:val="24"/>
                <w:highlight w:val="none"/>
              </w:rPr>
            </w:pPr>
          </w:p>
        </w:tc>
      </w:tr>
      <w:tr w14:paraId="45B74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510" w:type="dxa"/>
            <w:tcBorders>
              <w:top w:val="single" w:color="auto" w:sz="4" w:space="0"/>
              <w:left w:val="single" w:color="auto" w:sz="4" w:space="0"/>
              <w:bottom w:val="single" w:color="auto" w:sz="4" w:space="0"/>
              <w:right w:val="single" w:color="auto" w:sz="4" w:space="0"/>
            </w:tcBorders>
            <w:vAlign w:val="center"/>
          </w:tcPr>
          <w:p w14:paraId="39B34B0D">
            <w:pPr>
              <w:widowControl/>
              <w:jc w:val="center"/>
              <w:textAlignment w:val="center"/>
              <w:rPr>
                <w:rFonts w:hint="eastAsia" w:ascii="仿宋" w:hAnsi="仿宋" w:eastAsia="仿宋" w:cs="仿宋"/>
                <w:bCs/>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2E52FF63">
            <w:pPr>
              <w:snapToGrid w:val="0"/>
              <w:spacing w:before="120" w:beforeLines="50"/>
              <w:rPr>
                <w:rFonts w:hint="eastAsia" w:ascii="仿宋" w:hAnsi="仿宋" w:eastAsia="仿宋" w:cs="仿宋"/>
                <w:color w:val="auto"/>
                <w:sz w:val="24"/>
                <w:highlight w:val="none"/>
                <w:u w:val="single"/>
              </w:rPr>
            </w:pPr>
          </w:p>
        </w:tc>
        <w:tc>
          <w:tcPr>
            <w:tcW w:w="1760" w:type="dxa"/>
            <w:tcBorders>
              <w:top w:val="single" w:color="auto" w:sz="4" w:space="0"/>
              <w:left w:val="single" w:color="auto" w:sz="4" w:space="0"/>
              <w:bottom w:val="single" w:color="auto" w:sz="4" w:space="0"/>
              <w:right w:val="single" w:color="auto" w:sz="4" w:space="0"/>
            </w:tcBorders>
          </w:tcPr>
          <w:p w14:paraId="411C4A0A">
            <w:pPr>
              <w:snapToGrid w:val="0"/>
              <w:spacing w:before="120" w:beforeLines="50"/>
              <w:ind w:left="43"/>
              <w:jc w:val="center"/>
              <w:rPr>
                <w:rFonts w:hint="eastAsia" w:ascii="仿宋" w:hAnsi="仿宋" w:eastAsia="仿宋" w:cs="仿宋"/>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755129A3">
            <w:pPr>
              <w:snapToGrid w:val="0"/>
              <w:spacing w:before="120" w:beforeLines="50"/>
              <w:ind w:left="43"/>
              <w:jc w:val="center"/>
              <w:rPr>
                <w:rFonts w:hint="eastAsia" w:ascii="仿宋" w:hAnsi="仿宋" w:eastAsia="仿宋" w:cs="仿宋"/>
                <w:color w:val="auto"/>
                <w:sz w:val="24"/>
                <w:highlight w:val="none"/>
              </w:rPr>
            </w:pPr>
          </w:p>
        </w:tc>
      </w:tr>
      <w:tr w14:paraId="05A682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510" w:type="dxa"/>
            <w:tcBorders>
              <w:top w:val="single" w:color="auto" w:sz="4" w:space="0"/>
              <w:left w:val="single" w:color="auto" w:sz="4" w:space="0"/>
              <w:bottom w:val="single" w:color="auto" w:sz="4" w:space="0"/>
              <w:right w:val="single" w:color="auto" w:sz="4" w:space="0"/>
            </w:tcBorders>
            <w:vAlign w:val="center"/>
          </w:tcPr>
          <w:p w14:paraId="225521E7">
            <w:pPr>
              <w:snapToGrid w:val="0"/>
              <w:spacing w:line="440" w:lineRule="exact"/>
              <w:jc w:val="center"/>
              <w:rPr>
                <w:rFonts w:hint="eastAsia" w:ascii="仿宋" w:hAnsi="仿宋" w:eastAsia="仿宋" w:cs="仿宋"/>
                <w:bCs/>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37025CB5">
            <w:pPr>
              <w:snapToGrid w:val="0"/>
              <w:spacing w:before="120" w:beforeLines="50"/>
              <w:rPr>
                <w:rFonts w:hint="eastAsia" w:ascii="仿宋" w:hAnsi="仿宋" w:eastAsia="仿宋" w:cs="仿宋"/>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70AB51A9">
            <w:pPr>
              <w:snapToGrid w:val="0"/>
              <w:spacing w:before="120" w:beforeLines="50"/>
              <w:jc w:val="center"/>
              <w:rPr>
                <w:rFonts w:hint="eastAsia" w:ascii="仿宋" w:hAnsi="仿宋" w:eastAsia="仿宋" w:cs="仿宋"/>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7768AC4A">
            <w:pPr>
              <w:snapToGrid w:val="0"/>
              <w:spacing w:before="120" w:beforeLines="50"/>
              <w:jc w:val="center"/>
              <w:rPr>
                <w:rFonts w:hint="eastAsia" w:ascii="仿宋" w:hAnsi="仿宋" w:eastAsia="仿宋" w:cs="仿宋"/>
                <w:color w:val="auto"/>
                <w:sz w:val="24"/>
                <w:highlight w:val="none"/>
              </w:rPr>
            </w:pPr>
          </w:p>
        </w:tc>
      </w:tr>
      <w:tr w14:paraId="28B374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510" w:type="dxa"/>
            <w:tcBorders>
              <w:top w:val="single" w:color="auto" w:sz="4" w:space="0"/>
              <w:left w:val="single" w:color="auto" w:sz="4" w:space="0"/>
              <w:bottom w:val="single" w:color="auto" w:sz="4" w:space="0"/>
              <w:right w:val="single" w:color="auto" w:sz="4" w:space="0"/>
            </w:tcBorders>
            <w:vAlign w:val="center"/>
          </w:tcPr>
          <w:p w14:paraId="5FE1A1B5">
            <w:pPr>
              <w:pStyle w:val="29"/>
              <w:jc w:val="center"/>
              <w:rPr>
                <w:rFonts w:hint="eastAsia" w:ascii="仿宋" w:hAnsi="仿宋" w:eastAsia="仿宋" w:cs="仿宋"/>
                <w:bCs/>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6E057F82">
            <w:pPr>
              <w:snapToGrid w:val="0"/>
              <w:spacing w:before="120" w:beforeLines="50"/>
              <w:jc w:val="center"/>
              <w:rPr>
                <w:rFonts w:hint="eastAsia" w:ascii="仿宋" w:hAnsi="仿宋" w:eastAsia="仿宋" w:cs="仿宋"/>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63F98780">
            <w:pPr>
              <w:snapToGrid w:val="0"/>
              <w:spacing w:before="120" w:beforeLines="50"/>
              <w:jc w:val="center"/>
              <w:rPr>
                <w:rFonts w:hint="eastAsia" w:ascii="仿宋" w:hAnsi="仿宋" w:eastAsia="仿宋" w:cs="仿宋"/>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76D01B47">
            <w:pPr>
              <w:snapToGrid w:val="0"/>
              <w:spacing w:before="120" w:beforeLines="50"/>
              <w:jc w:val="center"/>
              <w:rPr>
                <w:rFonts w:hint="eastAsia" w:ascii="仿宋" w:hAnsi="仿宋" w:eastAsia="仿宋" w:cs="仿宋"/>
                <w:color w:val="auto"/>
                <w:sz w:val="24"/>
                <w:highlight w:val="none"/>
              </w:rPr>
            </w:pPr>
          </w:p>
        </w:tc>
      </w:tr>
      <w:tr w14:paraId="2CA62C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510" w:type="dxa"/>
            <w:tcBorders>
              <w:top w:val="single" w:color="auto" w:sz="4" w:space="0"/>
              <w:left w:val="single" w:color="auto" w:sz="4" w:space="0"/>
              <w:bottom w:val="single" w:color="auto" w:sz="4" w:space="0"/>
              <w:right w:val="single" w:color="auto" w:sz="4" w:space="0"/>
            </w:tcBorders>
            <w:vAlign w:val="center"/>
          </w:tcPr>
          <w:p w14:paraId="078BCF99">
            <w:pPr>
              <w:pStyle w:val="29"/>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w:t>
            </w:r>
          </w:p>
        </w:tc>
        <w:tc>
          <w:tcPr>
            <w:tcW w:w="3336" w:type="dxa"/>
            <w:tcBorders>
              <w:top w:val="single" w:color="auto" w:sz="4" w:space="0"/>
              <w:left w:val="single" w:color="auto" w:sz="4" w:space="0"/>
              <w:bottom w:val="single" w:color="auto" w:sz="4" w:space="0"/>
              <w:right w:val="single" w:color="auto" w:sz="4" w:space="0"/>
            </w:tcBorders>
          </w:tcPr>
          <w:p w14:paraId="19A7C9CC">
            <w:pPr>
              <w:snapToGrid w:val="0"/>
              <w:spacing w:before="120" w:beforeLines="50"/>
              <w:jc w:val="center"/>
              <w:rPr>
                <w:rFonts w:hint="eastAsia" w:ascii="仿宋" w:hAnsi="仿宋" w:eastAsia="仿宋" w:cs="仿宋"/>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54F546D6">
            <w:pPr>
              <w:snapToGrid w:val="0"/>
              <w:spacing w:before="120" w:beforeLines="50"/>
              <w:jc w:val="center"/>
              <w:rPr>
                <w:rFonts w:hint="eastAsia" w:ascii="仿宋" w:hAnsi="仿宋" w:eastAsia="仿宋" w:cs="仿宋"/>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60AB74A1">
            <w:pPr>
              <w:snapToGrid w:val="0"/>
              <w:spacing w:before="120" w:beforeLines="50"/>
              <w:jc w:val="center"/>
              <w:rPr>
                <w:rFonts w:hint="eastAsia" w:ascii="仿宋" w:hAnsi="仿宋" w:eastAsia="仿宋" w:cs="仿宋"/>
                <w:color w:val="auto"/>
                <w:sz w:val="24"/>
                <w:highlight w:val="none"/>
              </w:rPr>
            </w:pPr>
          </w:p>
        </w:tc>
      </w:tr>
    </w:tbl>
    <w:p w14:paraId="7DF73663">
      <w:pPr>
        <w:pStyle w:val="16"/>
        <w:rPr>
          <w:rFonts w:hint="eastAsia" w:ascii="仿宋" w:hAnsi="仿宋" w:eastAsia="仿宋" w:cs="仿宋"/>
          <w:color w:val="auto"/>
          <w:highlight w:val="none"/>
        </w:rPr>
      </w:pPr>
      <w:r>
        <w:rPr>
          <w:rFonts w:hint="eastAsia" w:ascii="仿宋" w:hAnsi="仿宋" w:eastAsia="仿宋" w:cs="仿宋"/>
          <w:color w:val="auto"/>
          <w:highlight w:val="none"/>
        </w:rPr>
        <w:t>注：</w:t>
      </w:r>
    </w:p>
    <w:p w14:paraId="0FEE7CB6">
      <w:pPr>
        <w:pStyle w:val="18"/>
        <w:spacing w:line="520" w:lineRule="exact"/>
        <w:ind w:firstLine="0" w:firstLineChars="0"/>
        <w:rPr>
          <w:rFonts w:hint="eastAsia" w:ascii="仿宋" w:hAnsi="仿宋" w:eastAsia="仿宋" w:cs="仿宋"/>
          <w:color w:val="auto"/>
          <w:szCs w:val="32"/>
          <w:highlight w:val="none"/>
        </w:rPr>
      </w:pPr>
      <w:r>
        <w:rPr>
          <w:rFonts w:hint="eastAsia" w:ascii="仿宋" w:hAnsi="仿宋" w:eastAsia="仿宋" w:cs="仿宋"/>
          <w:color w:val="auto"/>
          <w:sz w:val="24"/>
          <w:szCs w:val="24"/>
          <w:highlight w:val="none"/>
        </w:rPr>
        <w:t>1.说明：应对照招标文件“第二章 采购需求”中的商务条款逐条实质性响应，并作出偏离说明。</w:t>
      </w:r>
    </w:p>
    <w:p w14:paraId="4B3318A0">
      <w:pPr>
        <w:pStyle w:val="16"/>
        <w:rPr>
          <w:rFonts w:hint="eastAsia" w:ascii="仿宋" w:hAnsi="仿宋" w:eastAsia="仿宋" w:cs="仿宋"/>
          <w:b w:val="0"/>
          <w:bCs w:val="0"/>
          <w:color w:val="auto"/>
          <w:highlight w:val="none"/>
        </w:rPr>
      </w:pPr>
      <w:r>
        <w:rPr>
          <w:rFonts w:hint="eastAsia" w:ascii="仿宋" w:hAnsi="仿宋" w:eastAsia="仿宋" w:cs="仿宋"/>
          <w:b w:val="0"/>
          <w:bCs w:val="0"/>
          <w:color w:val="auto"/>
          <w:highlight w:val="none"/>
        </w:rPr>
        <w:t>2.投标人应根据自身的承诺，对照招标文件要求在“偏离说明”中注明“</w:t>
      </w:r>
      <w:r>
        <w:rPr>
          <w:rFonts w:hint="eastAsia" w:ascii="仿宋" w:hAnsi="仿宋" w:eastAsia="仿宋" w:cs="仿宋"/>
          <w:color w:val="auto"/>
          <w:highlight w:val="none"/>
        </w:rPr>
        <w:t>正偏离</w:t>
      </w:r>
      <w:r>
        <w:rPr>
          <w:rFonts w:hint="eastAsia" w:ascii="仿宋" w:hAnsi="仿宋" w:eastAsia="仿宋" w:cs="仿宋"/>
          <w:b w:val="0"/>
          <w:bCs w:val="0"/>
          <w:color w:val="auto"/>
          <w:highlight w:val="none"/>
        </w:rPr>
        <w:t>”、“</w:t>
      </w:r>
      <w:r>
        <w:rPr>
          <w:rFonts w:hint="eastAsia" w:ascii="仿宋" w:hAnsi="仿宋" w:eastAsia="仿宋" w:cs="仿宋"/>
          <w:color w:val="auto"/>
          <w:highlight w:val="none"/>
        </w:rPr>
        <w:t>负偏离</w:t>
      </w:r>
      <w:r>
        <w:rPr>
          <w:rFonts w:hint="eastAsia" w:ascii="仿宋" w:hAnsi="仿宋" w:eastAsia="仿宋" w:cs="仿宋"/>
          <w:b w:val="0"/>
          <w:bCs w:val="0"/>
          <w:color w:val="auto"/>
          <w:highlight w:val="none"/>
        </w:rPr>
        <w:t>”或者“</w:t>
      </w:r>
      <w:r>
        <w:rPr>
          <w:rFonts w:hint="eastAsia" w:ascii="仿宋" w:hAnsi="仿宋" w:eastAsia="仿宋" w:cs="仿宋"/>
          <w:color w:val="auto"/>
          <w:highlight w:val="none"/>
        </w:rPr>
        <w:t>无偏离</w:t>
      </w:r>
      <w:r>
        <w:rPr>
          <w:rFonts w:hint="eastAsia" w:ascii="仿宋" w:hAnsi="仿宋" w:eastAsia="仿宋" w:cs="仿宋"/>
          <w:b w:val="0"/>
          <w:bCs w:val="0"/>
          <w:color w:val="auto"/>
          <w:highlight w:val="none"/>
        </w:rPr>
        <w:t>”。既不属于“</w:t>
      </w:r>
      <w:r>
        <w:rPr>
          <w:rFonts w:hint="eastAsia" w:ascii="仿宋" w:hAnsi="仿宋" w:eastAsia="仿宋" w:cs="仿宋"/>
          <w:color w:val="auto"/>
          <w:highlight w:val="none"/>
        </w:rPr>
        <w:t>正偏离</w:t>
      </w:r>
      <w:r>
        <w:rPr>
          <w:rFonts w:hint="eastAsia" w:ascii="仿宋" w:hAnsi="仿宋" w:eastAsia="仿宋" w:cs="仿宋"/>
          <w:b w:val="0"/>
          <w:bCs w:val="0"/>
          <w:color w:val="auto"/>
          <w:highlight w:val="none"/>
        </w:rPr>
        <w:t>”也不属于“</w:t>
      </w:r>
      <w:r>
        <w:rPr>
          <w:rFonts w:hint="eastAsia" w:ascii="仿宋" w:hAnsi="仿宋" w:eastAsia="仿宋" w:cs="仿宋"/>
          <w:color w:val="auto"/>
          <w:highlight w:val="none"/>
        </w:rPr>
        <w:t>负偏离</w:t>
      </w:r>
      <w:r>
        <w:rPr>
          <w:rFonts w:hint="eastAsia" w:ascii="仿宋" w:hAnsi="仿宋" w:eastAsia="仿宋" w:cs="仿宋"/>
          <w:b w:val="0"/>
          <w:bCs w:val="0"/>
          <w:color w:val="auto"/>
          <w:highlight w:val="none"/>
        </w:rPr>
        <w:t>”即为“</w:t>
      </w:r>
      <w:r>
        <w:rPr>
          <w:rFonts w:hint="eastAsia" w:ascii="仿宋" w:hAnsi="仿宋" w:eastAsia="仿宋" w:cs="仿宋"/>
          <w:color w:val="auto"/>
          <w:highlight w:val="none"/>
        </w:rPr>
        <w:t>无偏离</w:t>
      </w:r>
      <w:r>
        <w:rPr>
          <w:rFonts w:hint="eastAsia" w:ascii="仿宋" w:hAnsi="仿宋" w:eastAsia="仿宋" w:cs="仿宋"/>
          <w:b w:val="0"/>
          <w:bCs w:val="0"/>
          <w:color w:val="auto"/>
          <w:highlight w:val="none"/>
        </w:rPr>
        <w:t>”。</w:t>
      </w:r>
    </w:p>
    <w:p w14:paraId="0244890C">
      <w:pPr>
        <w:snapToGrid w:val="0"/>
        <w:spacing w:before="50" w:after="50"/>
        <w:rPr>
          <w:rFonts w:hint="eastAsia" w:ascii="仿宋" w:hAnsi="仿宋" w:eastAsia="仿宋" w:cs="仿宋"/>
          <w:color w:val="auto"/>
          <w:sz w:val="24"/>
          <w:highlight w:val="none"/>
        </w:rPr>
      </w:pPr>
    </w:p>
    <w:p w14:paraId="1A4A3973">
      <w:pPr>
        <w:snapToGrid w:val="0"/>
        <w:spacing w:before="50" w:after="50"/>
        <w:rPr>
          <w:rFonts w:hint="eastAsia" w:ascii="仿宋" w:hAnsi="仿宋" w:eastAsia="仿宋" w:cs="仿宋"/>
          <w:color w:val="auto"/>
          <w:spacing w:val="20"/>
          <w:sz w:val="24"/>
          <w:highlight w:val="none"/>
          <w:u w:val="single"/>
        </w:rPr>
      </w:pPr>
      <w:r>
        <w:rPr>
          <w:rFonts w:hint="eastAsia" w:ascii="仿宋" w:hAnsi="仿宋" w:eastAsia="仿宋" w:cs="仿宋"/>
          <w:color w:val="auto"/>
          <w:sz w:val="24"/>
          <w:highlight w:val="none"/>
        </w:rPr>
        <w:t>法定代表人或者委托代理人</w:t>
      </w:r>
      <w:r>
        <w:rPr>
          <w:rFonts w:hint="eastAsia" w:ascii="仿宋" w:hAnsi="仿宋" w:eastAsia="仿宋" w:cs="仿宋"/>
          <w:color w:val="auto"/>
          <w:spacing w:val="20"/>
          <w:sz w:val="24"/>
          <w:highlight w:val="none"/>
        </w:rPr>
        <w:t>签字：</w:t>
      </w:r>
      <w:r>
        <w:rPr>
          <w:rFonts w:hint="eastAsia" w:ascii="仿宋" w:hAnsi="仿宋" w:eastAsia="仿宋" w:cs="仿宋"/>
          <w:color w:val="auto"/>
          <w:spacing w:val="20"/>
          <w:sz w:val="24"/>
          <w:highlight w:val="none"/>
          <w:u w:val="single"/>
        </w:rPr>
        <w:t xml:space="preserve">        </w:t>
      </w:r>
    </w:p>
    <w:p w14:paraId="2C8AAB13">
      <w:pPr>
        <w:snapToGrid w:val="0"/>
        <w:spacing w:before="120" w:beforeLines="50"/>
        <w:rPr>
          <w:rFonts w:hint="eastAsia" w:ascii="仿宋" w:hAnsi="仿宋" w:eastAsia="仿宋" w:cs="仿宋"/>
          <w:color w:val="auto"/>
          <w:spacing w:val="20"/>
          <w:sz w:val="24"/>
          <w:highlight w:val="none"/>
        </w:rPr>
      </w:pPr>
      <w:r>
        <w:rPr>
          <w:rFonts w:hint="eastAsia" w:ascii="仿宋" w:hAnsi="仿宋" w:eastAsia="仿宋" w:cs="仿宋"/>
          <w:color w:val="auto"/>
          <w:spacing w:val="20"/>
          <w:sz w:val="24"/>
          <w:highlight w:val="none"/>
        </w:rPr>
        <w:t>投标人盖公章：</w:t>
      </w:r>
      <w:r>
        <w:rPr>
          <w:rFonts w:hint="eastAsia" w:ascii="仿宋" w:hAnsi="仿宋" w:eastAsia="仿宋" w:cs="仿宋"/>
          <w:color w:val="auto"/>
          <w:spacing w:val="20"/>
          <w:sz w:val="24"/>
          <w:highlight w:val="none"/>
          <w:u w:val="single"/>
        </w:rPr>
        <w:t xml:space="preserve">            </w:t>
      </w:r>
      <w:r>
        <w:rPr>
          <w:rFonts w:hint="eastAsia" w:ascii="仿宋" w:hAnsi="仿宋" w:eastAsia="仿宋" w:cs="仿宋"/>
          <w:color w:val="auto"/>
          <w:spacing w:val="20"/>
          <w:sz w:val="24"/>
          <w:highlight w:val="none"/>
        </w:rPr>
        <w:t xml:space="preserve">   </w:t>
      </w:r>
    </w:p>
    <w:p w14:paraId="5ED1CE85">
      <w:pPr>
        <w:snapToGrid w:val="0"/>
        <w:spacing w:before="120" w:beforeLines="50"/>
        <w:rPr>
          <w:rFonts w:hint="eastAsia" w:ascii="仿宋" w:hAnsi="仿宋" w:eastAsia="仿宋" w:cs="仿宋"/>
          <w:color w:val="auto"/>
          <w:sz w:val="24"/>
          <w:szCs w:val="20"/>
          <w:highlight w:val="none"/>
        </w:rPr>
      </w:pPr>
      <w:r>
        <w:rPr>
          <w:rFonts w:hint="eastAsia" w:ascii="仿宋" w:hAnsi="仿宋" w:eastAsia="仿宋" w:cs="仿宋"/>
          <w:color w:val="auto"/>
          <w:spacing w:val="20"/>
          <w:sz w:val="24"/>
          <w:highlight w:val="none"/>
        </w:rPr>
        <w:t>日  期：</w:t>
      </w:r>
      <w:r>
        <w:rPr>
          <w:rFonts w:hint="eastAsia" w:ascii="仿宋" w:hAnsi="仿宋" w:eastAsia="仿宋" w:cs="仿宋"/>
          <w:color w:val="auto"/>
          <w:spacing w:val="20"/>
          <w:sz w:val="24"/>
          <w:highlight w:val="none"/>
          <w:u w:val="single"/>
        </w:rPr>
        <w:t xml:space="preserve">         </w:t>
      </w:r>
    </w:p>
    <w:p w14:paraId="31EC9D42">
      <w:pPr>
        <w:snapToGrid w:val="0"/>
        <w:spacing w:before="120" w:beforeLines="50"/>
        <w:rPr>
          <w:rFonts w:hint="eastAsia" w:ascii="仿宋" w:hAnsi="仿宋" w:eastAsia="仿宋" w:cs="仿宋"/>
          <w:color w:val="auto"/>
          <w:sz w:val="24"/>
          <w:szCs w:val="20"/>
          <w:highlight w:val="none"/>
        </w:rPr>
      </w:pPr>
    </w:p>
    <w:p w14:paraId="5D59B7C1">
      <w:pPr>
        <w:snapToGrid w:val="0"/>
        <w:spacing w:before="120" w:beforeLines="50" w:after="50"/>
        <w:jc w:val="left"/>
        <w:rPr>
          <w:rFonts w:hint="eastAsia" w:ascii="仿宋" w:hAnsi="仿宋" w:eastAsia="仿宋" w:cs="仿宋"/>
          <w:color w:val="auto"/>
          <w:sz w:val="24"/>
          <w:szCs w:val="20"/>
          <w:highlight w:val="none"/>
        </w:rPr>
        <w:sectPr>
          <w:footerReference r:id="rId11" w:type="first"/>
          <w:headerReference r:id="rId8" w:type="default"/>
          <w:footerReference r:id="rId9" w:type="default"/>
          <w:footerReference r:id="rId10" w:type="even"/>
          <w:pgSz w:w="11906" w:h="16838"/>
          <w:pgMar w:top="1440" w:right="1489" w:bottom="1440" w:left="1797" w:header="851" w:footer="992" w:gutter="0"/>
          <w:pgNumType w:fmt="decimal"/>
          <w:cols w:space="720" w:num="1"/>
          <w:docGrid w:linePitch="312" w:charSpace="0"/>
        </w:sectPr>
      </w:pPr>
    </w:p>
    <w:p w14:paraId="55EB4B97">
      <w:pPr>
        <w:snapToGrid w:val="0"/>
        <w:spacing w:before="120" w:beforeLines="50" w:after="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7.投标人类似的业绩证明文件</w:t>
      </w:r>
    </w:p>
    <w:p w14:paraId="3EBFCFF3">
      <w:pPr>
        <w:pStyle w:val="33"/>
        <w:snapToGrid w:val="0"/>
        <w:ind w:left="480" w:hanging="480"/>
        <w:rPr>
          <w:rFonts w:hint="eastAsia" w:ascii="仿宋" w:hAnsi="仿宋" w:eastAsia="仿宋" w:cs="仿宋"/>
          <w:color w:val="auto"/>
          <w:sz w:val="24"/>
          <w:highlight w:val="none"/>
        </w:rPr>
      </w:pPr>
    </w:p>
    <w:p w14:paraId="5F996CED">
      <w:pPr>
        <w:pStyle w:val="33"/>
        <w:snapToGrid w:val="0"/>
        <w:ind w:left="480" w:hanging="48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投标人同类项目情况一览表格式：（投标人同类项目合同复印件、用户验收报告、用户评价意见格式自拟）</w:t>
      </w:r>
    </w:p>
    <w:tbl>
      <w:tblPr>
        <w:tblStyle w:val="4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176D85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1BF49D29">
            <w:pPr>
              <w:snapToGrid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123DF84D">
            <w:pPr>
              <w:snapToGrid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1715" w:type="dxa"/>
            <w:vMerge w:val="restart"/>
            <w:tcBorders>
              <w:top w:val="single" w:color="auto" w:sz="4" w:space="0"/>
              <w:left w:val="single" w:color="auto" w:sz="4" w:space="0"/>
              <w:bottom w:val="single" w:color="auto" w:sz="4" w:space="0"/>
              <w:right w:val="single" w:color="auto" w:sz="4" w:space="0"/>
            </w:tcBorders>
            <w:vAlign w:val="center"/>
          </w:tcPr>
          <w:p w14:paraId="6E6B639B">
            <w:pPr>
              <w:snapToGrid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w:t>
            </w:r>
          </w:p>
          <w:p w14:paraId="28D93602">
            <w:pPr>
              <w:snapToGrid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金额</w:t>
            </w:r>
          </w:p>
          <w:p w14:paraId="2FF9B894">
            <w:pPr>
              <w:snapToGrid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（万元）</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1A2AD50B">
            <w:pPr>
              <w:snapToGrid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14:paraId="783BC136">
            <w:pPr>
              <w:snapToGrid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采购人联系人及</w:t>
            </w:r>
          </w:p>
          <w:p w14:paraId="277039FE">
            <w:pPr>
              <w:snapToGrid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tc>
      </w:tr>
      <w:tr w14:paraId="64C7B4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5F959A36">
            <w:pPr>
              <w:jc w:val="left"/>
              <w:rPr>
                <w:rFonts w:hint="eastAsia" w:ascii="仿宋" w:hAnsi="仿宋" w:eastAsia="仿宋" w:cs="仿宋"/>
                <w:color w:val="auto"/>
                <w:sz w:val="24"/>
                <w:highlight w:val="none"/>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0949F1B2">
            <w:pPr>
              <w:jc w:val="left"/>
              <w:rPr>
                <w:rFonts w:hint="eastAsia" w:ascii="仿宋" w:hAnsi="仿宋" w:eastAsia="仿宋" w:cs="仿宋"/>
                <w:color w:val="auto"/>
                <w:sz w:val="24"/>
                <w:highlight w:val="none"/>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74C9F89A">
            <w:pPr>
              <w:jc w:val="left"/>
              <w:rPr>
                <w:rFonts w:hint="eastAsia" w:ascii="仿宋" w:hAnsi="仿宋" w:eastAsia="仿宋" w:cs="仿宋"/>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03531BF8">
            <w:pPr>
              <w:snapToGrid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26649B7D">
            <w:pPr>
              <w:snapToGrid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验收报告</w:t>
            </w:r>
          </w:p>
        </w:tc>
        <w:tc>
          <w:tcPr>
            <w:tcW w:w="1418" w:type="dxa"/>
            <w:tcBorders>
              <w:top w:val="single" w:color="auto" w:sz="4" w:space="0"/>
              <w:left w:val="single" w:color="auto" w:sz="4" w:space="0"/>
              <w:bottom w:val="single" w:color="auto" w:sz="4" w:space="0"/>
              <w:right w:val="single" w:color="auto" w:sz="4" w:space="0"/>
            </w:tcBorders>
            <w:vAlign w:val="center"/>
          </w:tcPr>
          <w:p w14:paraId="7CADCC32">
            <w:pPr>
              <w:snapToGrid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用户评价</w:t>
            </w: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327F9D71">
            <w:pPr>
              <w:jc w:val="left"/>
              <w:rPr>
                <w:rFonts w:hint="eastAsia" w:ascii="仿宋" w:hAnsi="仿宋" w:eastAsia="仿宋" w:cs="仿宋"/>
                <w:color w:val="auto"/>
                <w:sz w:val="24"/>
                <w:highlight w:val="none"/>
              </w:rPr>
            </w:pPr>
          </w:p>
        </w:tc>
      </w:tr>
      <w:tr w14:paraId="2ED244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tcPr>
          <w:p w14:paraId="5C651C32">
            <w:pPr>
              <w:snapToGrid w:val="0"/>
              <w:spacing w:line="240" w:lineRule="exact"/>
              <w:jc w:val="left"/>
              <w:rPr>
                <w:rFonts w:hint="eastAsia" w:ascii="仿宋" w:hAnsi="仿宋" w:eastAsia="仿宋" w:cs="仿宋"/>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2DF787C0">
            <w:pPr>
              <w:snapToGrid w:val="0"/>
              <w:spacing w:line="240" w:lineRule="exact"/>
              <w:jc w:val="left"/>
              <w:rPr>
                <w:rFonts w:hint="eastAsia" w:ascii="仿宋" w:hAnsi="仿宋" w:eastAsia="仿宋" w:cs="仿宋"/>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0C1FA593">
            <w:pPr>
              <w:snapToGrid w:val="0"/>
              <w:spacing w:line="240" w:lineRule="exact"/>
              <w:jc w:val="left"/>
              <w:rPr>
                <w:rFonts w:hint="eastAsia" w:ascii="仿宋" w:hAnsi="仿宋" w:eastAsia="仿宋" w:cs="仿宋"/>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351F9D31">
            <w:pPr>
              <w:snapToGrid w:val="0"/>
              <w:spacing w:line="240" w:lineRule="exact"/>
              <w:jc w:val="left"/>
              <w:rPr>
                <w:rFonts w:hint="eastAsia" w:ascii="仿宋" w:hAnsi="仿宋" w:eastAsia="仿宋" w:cs="仿宋"/>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18DE41C3">
            <w:pPr>
              <w:snapToGrid w:val="0"/>
              <w:spacing w:line="240" w:lineRule="exact"/>
              <w:jc w:val="left"/>
              <w:rPr>
                <w:rFonts w:hint="eastAsia" w:ascii="仿宋" w:hAnsi="仿宋" w:eastAsia="仿宋" w:cs="仿宋"/>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218D8AF7">
            <w:pPr>
              <w:snapToGrid w:val="0"/>
              <w:spacing w:line="240" w:lineRule="exact"/>
              <w:jc w:val="left"/>
              <w:rPr>
                <w:rFonts w:hint="eastAsia" w:ascii="仿宋" w:hAnsi="仿宋" w:eastAsia="仿宋" w:cs="仿宋"/>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4E18F740">
            <w:pPr>
              <w:snapToGrid w:val="0"/>
              <w:spacing w:line="240" w:lineRule="exact"/>
              <w:jc w:val="left"/>
              <w:rPr>
                <w:rFonts w:hint="eastAsia" w:ascii="仿宋" w:hAnsi="仿宋" w:eastAsia="仿宋" w:cs="仿宋"/>
                <w:color w:val="auto"/>
                <w:sz w:val="24"/>
                <w:highlight w:val="none"/>
              </w:rPr>
            </w:pPr>
          </w:p>
        </w:tc>
      </w:tr>
      <w:tr w14:paraId="49D67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538A16A4">
            <w:pPr>
              <w:snapToGrid w:val="0"/>
              <w:spacing w:before="50" w:after="120" w:afterLines="50" w:line="400" w:lineRule="exact"/>
              <w:jc w:val="left"/>
              <w:rPr>
                <w:rFonts w:hint="eastAsia" w:ascii="仿宋" w:hAnsi="仿宋" w:eastAsia="仿宋" w:cs="仿宋"/>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739382F1">
            <w:pPr>
              <w:snapToGrid w:val="0"/>
              <w:spacing w:before="50" w:after="120" w:afterLines="50" w:line="400" w:lineRule="exact"/>
              <w:jc w:val="left"/>
              <w:rPr>
                <w:rFonts w:hint="eastAsia" w:ascii="仿宋" w:hAnsi="仿宋" w:eastAsia="仿宋" w:cs="仿宋"/>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7D1350EE">
            <w:pPr>
              <w:snapToGrid w:val="0"/>
              <w:spacing w:before="50" w:after="120" w:afterLines="50" w:line="400" w:lineRule="exact"/>
              <w:jc w:val="left"/>
              <w:rPr>
                <w:rFonts w:hint="eastAsia" w:ascii="仿宋" w:hAnsi="仿宋" w:eastAsia="仿宋" w:cs="仿宋"/>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6914C48D">
            <w:pPr>
              <w:snapToGrid w:val="0"/>
              <w:spacing w:before="50" w:after="120" w:afterLines="50" w:line="400" w:lineRule="exact"/>
              <w:jc w:val="left"/>
              <w:rPr>
                <w:rFonts w:hint="eastAsia" w:ascii="仿宋" w:hAnsi="仿宋" w:eastAsia="仿宋" w:cs="仿宋"/>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5CC54C6F">
            <w:pPr>
              <w:snapToGrid w:val="0"/>
              <w:spacing w:before="50" w:after="120" w:afterLines="50" w:line="400" w:lineRule="exact"/>
              <w:jc w:val="left"/>
              <w:rPr>
                <w:rFonts w:hint="eastAsia" w:ascii="仿宋" w:hAnsi="仿宋" w:eastAsia="仿宋" w:cs="仿宋"/>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181217CB">
            <w:pPr>
              <w:snapToGrid w:val="0"/>
              <w:spacing w:before="50" w:after="120" w:afterLines="50" w:line="400" w:lineRule="exact"/>
              <w:jc w:val="left"/>
              <w:rPr>
                <w:rFonts w:hint="eastAsia" w:ascii="仿宋" w:hAnsi="仿宋" w:eastAsia="仿宋" w:cs="仿宋"/>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09277594">
            <w:pPr>
              <w:snapToGrid w:val="0"/>
              <w:spacing w:before="50" w:after="120" w:afterLines="50" w:line="400" w:lineRule="exact"/>
              <w:jc w:val="left"/>
              <w:rPr>
                <w:rFonts w:hint="eastAsia" w:ascii="仿宋" w:hAnsi="仿宋" w:eastAsia="仿宋" w:cs="仿宋"/>
                <w:color w:val="auto"/>
                <w:sz w:val="24"/>
                <w:highlight w:val="none"/>
              </w:rPr>
            </w:pPr>
          </w:p>
        </w:tc>
      </w:tr>
      <w:tr w14:paraId="0A8F2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14:paraId="4388F368">
            <w:pPr>
              <w:snapToGrid w:val="0"/>
              <w:spacing w:before="50" w:after="120" w:afterLines="50" w:line="400" w:lineRule="exact"/>
              <w:jc w:val="left"/>
              <w:rPr>
                <w:rFonts w:hint="eastAsia" w:ascii="仿宋" w:hAnsi="仿宋" w:eastAsia="仿宋" w:cs="仿宋"/>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77EEBA24">
            <w:pPr>
              <w:snapToGrid w:val="0"/>
              <w:spacing w:before="50" w:after="120" w:afterLines="50" w:line="400" w:lineRule="exact"/>
              <w:jc w:val="left"/>
              <w:rPr>
                <w:rFonts w:hint="eastAsia" w:ascii="仿宋" w:hAnsi="仿宋" w:eastAsia="仿宋" w:cs="仿宋"/>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1C67DD5C">
            <w:pPr>
              <w:snapToGrid w:val="0"/>
              <w:spacing w:before="50" w:after="120" w:afterLines="50" w:line="400" w:lineRule="exact"/>
              <w:jc w:val="left"/>
              <w:rPr>
                <w:rFonts w:hint="eastAsia" w:ascii="仿宋" w:hAnsi="仿宋" w:eastAsia="仿宋" w:cs="仿宋"/>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57A3C3A6">
            <w:pPr>
              <w:snapToGrid w:val="0"/>
              <w:spacing w:before="50" w:after="120" w:afterLines="50" w:line="400" w:lineRule="exact"/>
              <w:jc w:val="left"/>
              <w:rPr>
                <w:rFonts w:hint="eastAsia" w:ascii="仿宋" w:hAnsi="仿宋" w:eastAsia="仿宋" w:cs="仿宋"/>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40959E1B">
            <w:pPr>
              <w:snapToGrid w:val="0"/>
              <w:spacing w:before="50" w:after="120" w:afterLines="50" w:line="400" w:lineRule="exact"/>
              <w:jc w:val="left"/>
              <w:rPr>
                <w:rFonts w:hint="eastAsia" w:ascii="仿宋" w:hAnsi="仿宋" w:eastAsia="仿宋" w:cs="仿宋"/>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46DF53BD">
            <w:pPr>
              <w:snapToGrid w:val="0"/>
              <w:spacing w:before="50" w:after="120" w:afterLines="50" w:line="400" w:lineRule="exact"/>
              <w:jc w:val="left"/>
              <w:rPr>
                <w:rFonts w:hint="eastAsia" w:ascii="仿宋" w:hAnsi="仿宋" w:eastAsia="仿宋" w:cs="仿宋"/>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009C6303">
            <w:pPr>
              <w:snapToGrid w:val="0"/>
              <w:spacing w:before="50" w:after="120" w:afterLines="50" w:line="400" w:lineRule="exact"/>
              <w:jc w:val="left"/>
              <w:rPr>
                <w:rFonts w:hint="eastAsia" w:ascii="仿宋" w:hAnsi="仿宋" w:eastAsia="仿宋" w:cs="仿宋"/>
                <w:color w:val="auto"/>
                <w:sz w:val="24"/>
                <w:highlight w:val="none"/>
              </w:rPr>
            </w:pPr>
          </w:p>
        </w:tc>
      </w:tr>
      <w:tr w14:paraId="518313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31A73BBE">
            <w:pPr>
              <w:snapToGrid w:val="0"/>
              <w:spacing w:before="50" w:after="120" w:afterLines="50" w:line="400" w:lineRule="exact"/>
              <w:jc w:val="left"/>
              <w:rPr>
                <w:rFonts w:hint="eastAsia" w:ascii="仿宋" w:hAnsi="仿宋" w:eastAsia="仿宋" w:cs="仿宋"/>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77ABC292">
            <w:pPr>
              <w:snapToGrid w:val="0"/>
              <w:spacing w:before="50" w:after="120" w:afterLines="50" w:line="400" w:lineRule="exact"/>
              <w:jc w:val="left"/>
              <w:rPr>
                <w:rFonts w:hint="eastAsia" w:ascii="仿宋" w:hAnsi="仿宋" w:eastAsia="仿宋" w:cs="仿宋"/>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13545BBB">
            <w:pPr>
              <w:snapToGrid w:val="0"/>
              <w:spacing w:before="50" w:after="120" w:afterLines="50" w:line="400" w:lineRule="exact"/>
              <w:jc w:val="left"/>
              <w:rPr>
                <w:rFonts w:hint="eastAsia" w:ascii="仿宋" w:hAnsi="仿宋" w:eastAsia="仿宋" w:cs="仿宋"/>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64FDA65">
            <w:pPr>
              <w:snapToGrid w:val="0"/>
              <w:spacing w:before="50" w:after="120" w:afterLines="50" w:line="400" w:lineRule="exact"/>
              <w:jc w:val="left"/>
              <w:rPr>
                <w:rFonts w:hint="eastAsia" w:ascii="仿宋" w:hAnsi="仿宋" w:eastAsia="仿宋" w:cs="仿宋"/>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607A16C7">
            <w:pPr>
              <w:snapToGrid w:val="0"/>
              <w:spacing w:before="50" w:after="120" w:afterLines="50" w:line="400" w:lineRule="exact"/>
              <w:jc w:val="left"/>
              <w:rPr>
                <w:rFonts w:hint="eastAsia" w:ascii="仿宋" w:hAnsi="仿宋" w:eastAsia="仿宋" w:cs="仿宋"/>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46C8B213">
            <w:pPr>
              <w:snapToGrid w:val="0"/>
              <w:spacing w:before="50" w:after="120" w:afterLines="50" w:line="400" w:lineRule="exact"/>
              <w:jc w:val="left"/>
              <w:rPr>
                <w:rFonts w:hint="eastAsia" w:ascii="仿宋" w:hAnsi="仿宋" w:eastAsia="仿宋" w:cs="仿宋"/>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1C645E51">
            <w:pPr>
              <w:snapToGrid w:val="0"/>
              <w:spacing w:before="50" w:after="120" w:afterLines="50" w:line="400" w:lineRule="exact"/>
              <w:jc w:val="left"/>
              <w:rPr>
                <w:rFonts w:hint="eastAsia" w:ascii="仿宋" w:hAnsi="仿宋" w:eastAsia="仿宋" w:cs="仿宋"/>
                <w:color w:val="auto"/>
                <w:sz w:val="24"/>
                <w:highlight w:val="none"/>
              </w:rPr>
            </w:pPr>
          </w:p>
        </w:tc>
      </w:tr>
      <w:tr w14:paraId="0B1AB1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2CA253C2">
            <w:pPr>
              <w:snapToGrid w:val="0"/>
              <w:spacing w:before="50" w:after="120" w:afterLines="50" w:line="400" w:lineRule="exact"/>
              <w:jc w:val="left"/>
              <w:rPr>
                <w:rFonts w:hint="eastAsia" w:ascii="仿宋" w:hAnsi="仿宋" w:eastAsia="仿宋" w:cs="仿宋"/>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6A740F91">
            <w:pPr>
              <w:snapToGrid w:val="0"/>
              <w:spacing w:before="50" w:after="120" w:afterLines="50" w:line="400" w:lineRule="exact"/>
              <w:jc w:val="left"/>
              <w:rPr>
                <w:rFonts w:hint="eastAsia" w:ascii="仿宋" w:hAnsi="仿宋" w:eastAsia="仿宋" w:cs="仿宋"/>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01862291">
            <w:pPr>
              <w:snapToGrid w:val="0"/>
              <w:spacing w:before="50" w:after="120" w:afterLines="50" w:line="400" w:lineRule="exact"/>
              <w:jc w:val="left"/>
              <w:rPr>
                <w:rFonts w:hint="eastAsia" w:ascii="仿宋" w:hAnsi="仿宋" w:eastAsia="仿宋" w:cs="仿宋"/>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11E8D5F1">
            <w:pPr>
              <w:snapToGrid w:val="0"/>
              <w:spacing w:before="50" w:after="120" w:afterLines="50" w:line="400" w:lineRule="exact"/>
              <w:jc w:val="left"/>
              <w:rPr>
                <w:rFonts w:hint="eastAsia" w:ascii="仿宋" w:hAnsi="仿宋" w:eastAsia="仿宋" w:cs="仿宋"/>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C643A0C">
            <w:pPr>
              <w:snapToGrid w:val="0"/>
              <w:spacing w:before="50" w:after="120" w:afterLines="50" w:line="400" w:lineRule="exact"/>
              <w:jc w:val="left"/>
              <w:rPr>
                <w:rFonts w:hint="eastAsia" w:ascii="仿宋" w:hAnsi="仿宋" w:eastAsia="仿宋" w:cs="仿宋"/>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1C13A5E2">
            <w:pPr>
              <w:snapToGrid w:val="0"/>
              <w:spacing w:before="50" w:after="120" w:afterLines="50" w:line="400" w:lineRule="exact"/>
              <w:jc w:val="left"/>
              <w:rPr>
                <w:rFonts w:hint="eastAsia" w:ascii="仿宋" w:hAnsi="仿宋" w:eastAsia="仿宋" w:cs="仿宋"/>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38CF7DD2">
            <w:pPr>
              <w:snapToGrid w:val="0"/>
              <w:spacing w:before="50" w:after="120" w:afterLines="50" w:line="400" w:lineRule="exact"/>
              <w:jc w:val="left"/>
              <w:rPr>
                <w:rFonts w:hint="eastAsia" w:ascii="仿宋" w:hAnsi="仿宋" w:eastAsia="仿宋" w:cs="仿宋"/>
                <w:color w:val="auto"/>
                <w:sz w:val="24"/>
                <w:highlight w:val="none"/>
              </w:rPr>
            </w:pPr>
          </w:p>
        </w:tc>
      </w:tr>
    </w:tbl>
    <w:p w14:paraId="1A1E130F">
      <w:pPr>
        <w:pStyle w:val="14"/>
        <w:snapToGrid w:val="0"/>
        <w:rPr>
          <w:rFonts w:hint="eastAsia" w:ascii="仿宋" w:hAnsi="仿宋" w:eastAsia="仿宋" w:cs="仿宋"/>
          <w:color w:val="auto"/>
          <w:sz w:val="24"/>
          <w:szCs w:val="24"/>
          <w:highlight w:val="none"/>
        </w:rPr>
      </w:pPr>
    </w:p>
    <w:p w14:paraId="0ECDF38E">
      <w:pPr>
        <w:pStyle w:val="14"/>
        <w:snapToGrid w:val="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法定代表人或者委托代理人签字：</w:t>
      </w:r>
      <w:r>
        <w:rPr>
          <w:rFonts w:hint="eastAsia" w:ascii="仿宋" w:hAnsi="仿宋" w:eastAsia="仿宋" w:cs="仿宋"/>
          <w:color w:val="auto"/>
          <w:sz w:val="24"/>
          <w:szCs w:val="24"/>
          <w:highlight w:val="none"/>
          <w:u w:val="single"/>
        </w:rPr>
        <w:t>　　　　　</w:t>
      </w:r>
    </w:p>
    <w:p w14:paraId="0E053E8B">
      <w:pPr>
        <w:snapToGrid w:val="0"/>
        <w:spacing w:before="50"/>
        <w:ind w:right="480"/>
        <w:jc w:val="left"/>
        <w:rPr>
          <w:rFonts w:hint="eastAsia" w:ascii="仿宋" w:hAnsi="仿宋" w:eastAsia="仿宋" w:cs="仿宋"/>
          <w:color w:val="auto"/>
          <w:sz w:val="24"/>
          <w:szCs w:val="20"/>
          <w:highlight w:val="none"/>
        </w:rPr>
      </w:pPr>
      <w:r>
        <w:rPr>
          <w:rFonts w:hint="eastAsia" w:ascii="仿宋" w:hAnsi="仿宋" w:eastAsia="仿宋" w:cs="仿宋"/>
          <w:color w:val="auto"/>
          <w:sz w:val="24"/>
          <w:highlight w:val="none"/>
        </w:rPr>
        <w:t xml:space="preserve">投标人（盖公章）：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年    月    日</w:t>
      </w:r>
    </w:p>
    <w:p w14:paraId="7A3D178F">
      <w:pPr>
        <w:snapToGrid w:val="0"/>
        <w:spacing w:before="50"/>
        <w:ind w:firstLine="480" w:firstLineChars="200"/>
        <w:jc w:val="left"/>
        <w:rPr>
          <w:rFonts w:hint="eastAsia" w:ascii="仿宋" w:hAnsi="仿宋" w:eastAsia="仿宋" w:cs="仿宋"/>
          <w:color w:val="auto"/>
          <w:sz w:val="24"/>
          <w:szCs w:val="20"/>
          <w:highlight w:val="none"/>
        </w:rPr>
      </w:pPr>
    </w:p>
    <w:p w14:paraId="14BDCA94">
      <w:pPr>
        <w:snapToGrid w:val="0"/>
        <w:spacing w:before="50"/>
        <w:jc w:val="left"/>
        <w:rPr>
          <w:rFonts w:hint="eastAsia" w:ascii="仿宋" w:hAnsi="仿宋" w:eastAsia="仿宋" w:cs="仿宋"/>
          <w:color w:val="auto"/>
          <w:sz w:val="24"/>
          <w:highlight w:val="none"/>
        </w:rPr>
      </w:pPr>
    </w:p>
    <w:p w14:paraId="50114C88">
      <w:pPr>
        <w:snapToGrid w:val="0"/>
        <w:spacing w:before="120" w:beforeLines="50"/>
        <w:rPr>
          <w:rFonts w:hint="eastAsia" w:ascii="仿宋" w:hAnsi="仿宋" w:eastAsia="仿宋" w:cs="仿宋"/>
          <w:color w:val="auto"/>
          <w:sz w:val="24"/>
          <w:szCs w:val="20"/>
          <w:highlight w:val="none"/>
        </w:rPr>
        <w:sectPr>
          <w:pgSz w:w="16838" w:h="11906" w:orient="landscape"/>
          <w:pgMar w:top="1797" w:right="1440" w:bottom="1797" w:left="1440" w:header="851" w:footer="992" w:gutter="0"/>
          <w:pgNumType w:fmt="decimal"/>
          <w:cols w:space="720" w:num="1"/>
          <w:docGrid w:linePitch="312" w:charSpace="0"/>
        </w:sectPr>
      </w:pPr>
    </w:p>
    <w:p w14:paraId="42B1E329">
      <w:pPr>
        <w:snapToGrid w:val="0"/>
        <w:spacing w:before="120" w:beforeLines="50" w:after="50"/>
        <w:outlineLvl w:val="1"/>
        <w:rPr>
          <w:rFonts w:hint="eastAsia" w:ascii="仿宋" w:hAnsi="仿宋" w:eastAsia="仿宋" w:cs="仿宋"/>
          <w:b/>
          <w:color w:val="auto"/>
          <w:sz w:val="28"/>
          <w:szCs w:val="28"/>
          <w:highlight w:val="none"/>
        </w:rPr>
      </w:pPr>
      <w:bookmarkStart w:id="152" w:name="_Toc294"/>
      <w:bookmarkStart w:id="153" w:name="_Toc19686839"/>
      <w:r>
        <w:rPr>
          <w:rFonts w:hint="eastAsia" w:ascii="仿宋" w:hAnsi="仿宋" w:eastAsia="仿宋" w:cs="仿宋"/>
          <w:b/>
          <w:color w:val="auto"/>
          <w:sz w:val="28"/>
          <w:szCs w:val="28"/>
          <w:highlight w:val="none"/>
        </w:rPr>
        <w:t>五、技术文件格式</w:t>
      </w:r>
      <w:bookmarkEnd w:id="152"/>
      <w:bookmarkEnd w:id="153"/>
    </w:p>
    <w:p w14:paraId="3D6468FF">
      <w:pPr>
        <w:snapToGrid w:val="0"/>
        <w:spacing w:before="120" w:beforeLines="50" w:after="50"/>
        <w:ind w:left="142"/>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1. 技术文件封面格式： </w:t>
      </w:r>
    </w:p>
    <w:p w14:paraId="501CD4F4">
      <w:pPr>
        <w:snapToGrid w:val="0"/>
        <w:spacing w:before="120" w:beforeLines="50" w:after="50"/>
        <w:rPr>
          <w:rFonts w:hint="eastAsia" w:ascii="仿宋" w:hAnsi="仿宋" w:eastAsia="仿宋" w:cs="仿宋"/>
          <w:b/>
          <w:bCs/>
          <w:color w:val="auto"/>
          <w:sz w:val="32"/>
          <w:szCs w:val="20"/>
          <w:highlight w:val="none"/>
        </w:rPr>
      </w:pPr>
      <w:r>
        <w:rPr>
          <w:rFonts w:hint="eastAsia" w:ascii="仿宋" w:hAnsi="仿宋" w:eastAsia="仿宋" w:cs="仿宋"/>
          <w:color w:val="auto"/>
          <w:sz w:val="24"/>
          <w:highlight w:val="none"/>
        </w:rPr>
        <w:t xml:space="preserve">                                                    </w:t>
      </w:r>
    </w:p>
    <w:p w14:paraId="7D227811">
      <w:pPr>
        <w:snapToGrid w:val="0"/>
        <w:spacing w:before="120" w:beforeLines="50" w:after="50"/>
        <w:rPr>
          <w:rFonts w:hint="eastAsia" w:ascii="仿宋" w:hAnsi="仿宋" w:eastAsia="仿宋" w:cs="仿宋"/>
          <w:color w:val="auto"/>
          <w:sz w:val="24"/>
          <w:szCs w:val="20"/>
          <w:highlight w:val="none"/>
        </w:rPr>
      </w:pPr>
    </w:p>
    <w:p w14:paraId="2E6525CE">
      <w:pPr>
        <w:snapToGrid w:val="0"/>
        <w:spacing w:before="120" w:beforeLines="50" w:after="5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技术文件</w:t>
      </w:r>
    </w:p>
    <w:p w14:paraId="79680C99">
      <w:pPr>
        <w:snapToGrid w:val="0"/>
        <w:spacing w:before="120" w:beforeLines="50" w:after="50"/>
        <w:rPr>
          <w:rFonts w:hint="eastAsia" w:ascii="仿宋" w:hAnsi="仿宋" w:eastAsia="仿宋" w:cs="仿宋"/>
          <w:bCs/>
          <w:color w:val="auto"/>
          <w:sz w:val="24"/>
          <w:szCs w:val="20"/>
          <w:highlight w:val="none"/>
        </w:rPr>
      </w:pPr>
    </w:p>
    <w:p w14:paraId="27B855B3">
      <w:pPr>
        <w:snapToGrid w:val="0"/>
        <w:spacing w:before="120" w:beforeLines="50" w:after="50"/>
        <w:ind w:firstLine="360" w:firstLineChars="15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项目名称： </w:t>
      </w:r>
    </w:p>
    <w:p w14:paraId="65BC8147">
      <w:pPr>
        <w:snapToGrid w:val="0"/>
        <w:spacing w:before="120" w:beforeLines="50" w:after="50"/>
        <w:ind w:firstLine="360" w:firstLineChars="150"/>
        <w:rPr>
          <w:rFonts w:hint="eastAsia" w:ascii="仿宋" w:hAnsi="仿宋" w:eastAsia="仿宋" w:cs="仿宋"/>
          <w:bCs/>
          <w:color w:val="auto"/>
          <w:sz w:val="24"/>
          <w:highlight w:val="none"/>
        </w:rPr>
      </w:pPr>
    </w:p>
    <w:p w14:paraId="0BB8650D">
      <w:pPr>
        <w:snapToGrid w:val="0"/>
        <w:spacing w:before="120" w:beforeLines="50" w:after="50"/>
        <w:ind w:firstLine="360" w:firstLineChars="15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项目编号： </w:t>
      </w:r>
    </w:p>
    <w:p w14:paraId="3C09588C">
      <w:pPr>
        <w:snapToGrid w:val="0"/>
        <w:spacing w:before="120" w:beforeLines="50" w:after="50"/>
        <w:ind w:firstLine="360" w:firstLineChars="150"/>
        <w:rPr>
          <w:rFonts w:hint="eastAsia" w:ascii="仿宋" w:hAnsi="仿宋" w:eastAsia="仿宋" w:cs="仿宋"/>
          <w:bCs/>
          <w:color w:val="auto"/>
          <w:sz w:val="24"/>
          <w:highlight w:val="none"/>
        </w:rPr>
      </w:pPr>
    </w:p>
    <w:p w14:paraId="4D96CEDF">
      <w:pPr>
        <w:snapToGrid w:val="0"/>
        <w:spacing w:before="120" w:beforeLines="50" w:after="50"/>
        <w:ind w:firstLine="360" w:firstLineChars="15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所投分标：</w:t>
      </w:r>
    </w:p>
    <w:p w14:paraId="2D8B1CF3">
      <w:pPr>
        <w:snapToGrid w:val="0"/>
        <w:spacing w:before="120" w:beforeLines="50" w:after="50"/>
        <w:ind w:firstLine="360" w:firstLineChars="150"/>
        <w:rPr>
          <w:rFonts w:hint="eastAsia" w:ascii="仿宋" w:hAnsi="仿宋" w:eastAsia="仿宋" w:cs="仿宋"/>
          <w:bCs/>
          <w:color w:val="auto"/>
          <w:sz w:val="24"/>
          <w:highlight w:val="none"/>
        </w:rPr>
      </w:pPr>
    </w:p>
    <w:p w14:paraId="4CE26B3F">
      <w:pPr>
        <w:snapToGrid w:val="0"/>
        <w:spacing w:before="120" w:beforeLines="50" w:after="50"/>
        <w:ind w:firstLine="360" w:firstLineChars="15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投标人名称：</w:t>
      </w:r>
    </w:p>
    <w:p w14:paraId="253928FA">
      <w:pPr>
        <w:snapToGrid w:val="0"/>
        <w:spacing w:before="120" w:beforeLines="50" w:after="50"/>
        <w:ind w:firstLine="360" w:firstLineChars="150"/>
        <w:rPr>
          <w:rFonts w:hint="eastAsia" w:ascii="仿宋" w:hAnsi="仿宋" w:eastAsia="仿宋" w:cs="仿宋"/>
          <w:bCs/>
          <w:color w:val="auto"/>
          <w:sz w:val="24"/>
          <w:highlight w:val="none"/>
        </w:rPr>
      </w:pPr>
    </w:p>
    <w:p w14:paraId="1CE5D78A">
      <w:pPr>
        <w:snapToGrid w:val="0"/>
        <w:spacing w:before="120" w:beforeLines="50" w:after="50"/>
        <w:ind w:firstLine="360" w:firstLineChars="15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投标人地址：</w:t>
      </w:r>
    </w:p>
    <w:p w14:paraId="388A7F02">
      <w:pPr>
        <w:snapToGrid w:val="0"/>
        <w:spacing w:before="120" w:beforeLines="50" w:after="50"/>
        <w:ind w:firstLine="645"/>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34373A35">
      <w:pPr>
        <w:snapToGrid w:val="0"/>
        <w:spacing w:before="120" w:beforeLines="50" w:after="50"/>
        <w:ind w:firstLine="645"/>
        <w:jc w:val="center"/>
        <w:rPr>
          <w:rFonts w:hint="eastAsia" w:ascii="仿宋" w:hAnsi="仿宋" w:eastAsia="仿宋" w:cs="仿宋"/>
          <w:color w:val="auto"/>
          <w:sz w:val="24"/>
          <w:highlight w:val="none"/>
        </w:rPr>
      </w:pPr>
    </w:p>
    <w:p w14:paraId="45C0CBDC">
      <w:pPr>
        <w:snapToGrid w:val="0"/>
        <w:spacing w:before="120" w:beforeLines="50" w:after="50"/>
        <w:ind w:firstLine="645"/>
        <w:jc w:val="center"/>
        <w:rPr>
          <w:rFonts w:hint="eastAsia" w:ascii="仿宋" w:hAnsi="仿宋" w:eastAsia="仿宋" w:cs="仿宋"/>
          <w:color w:val="auto"/>
          <w:sz w:val="24"/>
          <w:highlight w:val="none"/>
        </w:rPr>
      </w:pPr>
    </w:p>
    <w:p w14:paraId="10599124">
      <w:pPr>
        <w:snapToGrid w:val="0"/>
        <w:spacing w:before="120" w:beforeLines="50" w:after="50"/>
        <w:ind w:firstLine="645"/>
        <w:jc w:val="center"/>
        <w:rPr>
          <w:rFonts w:hint="eastAsia" w:ascii="仿宋" w:hAnsi="仿宋" w:eastAsia="仿宋" w:cs="仿宋"/>
          <w:color w:val="auto"/>
          <w:sz w:val="24"/>
          <w:highlight w:val="none"/>
        </w:rPr>
      </w:pPr>
    </w:p>
    <w:p w14:paraId="5721B9DD">
      <w:pPr>
        <w:snapToGrid w:val="0"/>
        <w:spacing w:before="120" w:beforeLines="50" w:after="50"/>
        <w:ind w:firstLine="645"/>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年    月    日</w:t>
      </w:r>
    </w:p>
    <w:p w14:paraId="43E43E6F">
      <w:pPr>
        <w:snapToGrid w:val="0"/>
        <w:spacing w:before="120" w:beforeLines="50" w:after="50"/>
        <w:ind w:firstLine="645"/>
        <w:jc w:val="center"/>
        <w:rPr>
          <w:rFonts w:hint="eastAsia" w:ascii="仿宋" w:hAnsi="仿宋" w:eastAsia="仿宋" w:cs="仿宋"/>
          <w:color w:val="auto"/>
          <w:sz w:val="24"/>
          <w:szCs w:val="20"/>
          <w:highlight w:val="none"/>
        </w:rPr>
      </w:pPr>
    </w:p>
    <w:p w14:paraId="263BF86D">
      <w:pPr>
        <w:snapToGrid w:val="0"/>
        <w:spacing w:before="120" w:beforeLines="50" w:after="50"/>
        <w:outlineLvl w:val="1"/>
        <w:rPr>
          <w:rFonts w:hint="eastAsia" w:ascii="仿宋" w:hAnsi="仿宋" w:eastAsia="仿宋" w:cs="仿宋"/>
          <w:b/>
          <w:color w:val="auto"/>
          <w:sz w:val="24"/>
          <w:highlight w:val="none"/>
        </w:rPr>
      </w:pPr>
      <w:r>
        <w:rPr>
          <w:rFonts w:hint="eastAsia" w:ascii="仿宋" w:hAnsi="仿宋" w:eastAsia="仿宋" w:cs="仿宋"/>
          <w:b/>
          <w:bCs/>
          <w:color w:val="auto"/>
          <w:sz w:val="24"/>
          <w:highlight w:val="none"/>
        </w:rPr>
        <w:br w:type="page"/>
      </w:r>
      <w:bookmarkStart w:id="154" w:name="_Toc460"/>
      <w:r>
        <w:rPr>
          <w:rFonts w:hint="eastAsia" w:ascii="仿宋" w:hAnsi="仿宋" w:eastAsia="仿宋" w:cs="仿宋"/>
          <w:b/>
          <w:bCs/>
          <w:color w:val="auto"/>
          <w:sz w:val="24"/>
          <w:highlight w:val="none"/>
        </w:rPr>
        <w:t>2</w:t>
      </w:r>
      <w:r>
        <w:rPr>
          <w:rFonts w:hint="eastAsia" w:ascii="仿宋" w:hAnsi="仿宋" w:eastAsia="仿宋" w:cs="仿宋"/>
          <w:b/>
          <w:color w:val="auto"/>
          <w:sz w:val="28"/>
          <w:szCs w:val="28"/>
          <w:highlight w:val="none"/>
        </w:rPr>
        <w:t xml:space="preserve">. </w:t>
      </w:r>
      <w:r>
        <w:rPr>
          <w:rFonts w:hint="eastAsia" w:ascii="仿宋" w:hAnsi="仿宋" w:eastAsia="仿宋" w:cs="仿宋"/>
          <w:b/>
          <w:color w:val="auto"/>
          <w:sz w:val="24"/>
          <w:highlight w:val="none"/>
        </w:rPr>
        <w:t>技术文件目录</w:t>
      </w:r>
      <w:bookmarkEnd w:id="154"/>
    </w:p>
    <w:p w14:paraId="65B627BD">
      <w:pPr>
        <w:snapToGrid w:val="0"/>
        <w:spacing w:before="120" w:beforeLines="50" w:after="50"/>
        <w:outlineLvl w:val="1"/>
        <w:rPr>
          <w:rFonts w:hint="eastAsia" w:ascii="仿宋" w:hAnsi="仿宋" w:eastAsia="仿宋" w:cs="仿宋"/>
          <w:b/>
          <w:color w:val="auto"/>
          <w:sz w:val="24"/>
          <w:highlight w:val="none"/>
        </w:rPr>
      </w:pPr>
      <w:bookmarkStart w:id="155" w:name="_Toc18470"/>
      <w:r>
        <w:rPr>
          <w:rFonts w:hint="eastAsia" w:ascii="仿宋" w:hAnsi="仿宋" w:eastAsia="仿宋" w:cs="仿宋"/>
          <w:bCs/>
          <w:color w:val="auto"/>
          <w:sz w:val="24"/>
          <w:highlight w:val="none"/>
        </w:rPr>
        <w:t>根据招标文件规定及投标人提供的材料自行编写目录。</w:t>
      </w:r>
      <w:bookmarkEnd w:id="155"/>
    </w:p>
    <w:p w14:paraId="181F7C11">
      <w:pPr>
        <w:snapToGrid w:val="0"/>
        <w:spacing w:before="50" w:after="120" w:afterLine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br w:type="page"/>
      </w:r>
      <w:r>
        <w:rPr>
          <w:rFonts w:hint="eastAsia" w:ascii="仿宋" w:hAnsi="仿宋" w:eastAsia="仿宋" w:cs="仿宋"/>
          <w:b/>
          <w:color w:val="auto"/>
          <w:sz w:val="24"/>
          <w:highlight w:val="none"/>
        </w:rPr>
        <w:t>3. 技术需求偏离表格式</w:t>
      </w:r>
    </w:p>
    <w:p w14:paraId="0AE75C10">
      <w:pPr>
        <w:snapToGrid w:val="0"/>
        <w:spacing w:before="120" w:beforeLines="50" w:after="50"/>
        <w:ind w:left="142"/>
        <w:jc w:val="left"/>
        <w:rPr>
          <w:rFonts w:hint="eastAsia" w:ascii="仿宋" w:hAnsi="仿宋" w:eastAsia="仿宋" w:cs="仿宋"/>
          <w:b/>
          <w:color w:val="auto"/>
          <w:sz w:val="24"/>
          <w:highlight w:val="none"/>
        </w:rPr>
      </w:pPr>
    </w:p>
    <w:p w14:paraId="68C39B04">
      <w:pPr>
        <w:snapToGrid w:val="0"/>
        <w:spacing w:before="120" w:beforeLines="50" w:after="50"/>
        <w:ind w:left="142"/>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技术需求偏离表</w:t>
      </w:r>
    </w:p>
    <w:p w14:paraId="331ED40D">
      <w:pPr>
        <w:pStyle w:val="23"/>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所投分标：</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分标</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4EDD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40B9CA45">
            <w:pPr>
              <w:pStyle w:val="23"/>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项号</w:t>
            </w:r>
          </w:p>
        </w:tc>
        <w:tc>
          <w:tcPr>
            <w:tcW w:w="2143" w:type="dxa"/>
            <w:vAlign w:val="center"/>
          </w:tcPr>
          <w:p w14:paraId="329180D9">
            <w:pPr>
              <w:pStyle w:val="23"/>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标的的名称</w:t>
            </w:r>
          </w:p>
        </w:tc>
        <w:tc>
          <w:tcPr>
            <w:tcW w:w="1834" w:type="dxa"/>
            <w:vAlign w:val="center"/>
          </w:tcPr>
          <w:p w14:paraId="1308DF20">
            <w:pPr>
              <w:pStyle w:val="23"/>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招标要求</w:t>
            </w:r>
          </w:p>
        </w:tc>
        <w:tc>
          <w:tcPr>
            <w:tcW w:w="2181" w:type="dxa"/>
            <w:vAlign w:val="center"/>
          </w:tcPr>
          <w:p w14:paraId="56647D61">
            <w:pPr>
              <w:pStyle w:val="23"/>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投标响应</w:t>
            </w:r>
          </w:p>
        </w:tc>
        <w:tc>
          <w:tcPr>
            <w:tcW w:w="1934" w:type="dxa"/>
            <w:vAlign w:val="center"/>
          </w:tcPr>
          <w:p w14:paraId="682AD943">
            <w:pPr>
              <w:pStyle w:val="23"/>
              <w:spacing w:line="400" w:lineRule="exact"/>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偏离说明</w:t>
            </w:r>
          </w:p>
        </w:tc>
      </w:tr>
      <w:tr w14:paraId="7333F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F6E5956">
            <w:pPr>
              <w:pStyle w:val="23"/>
              <w:spacing w:line="600" w:lineRule="exact"/>
              <w:jc w:val="center"/>
              <w:rPr>
                <w:rFonts w:hint="eastAsia" w:ascii="仿宋" w:hAnsi="仿宋" w:eastAsia="仿宋" w:cs="仿宋"/>
                <w:color w:val="auto"/>
                <w:kern w:val="2"/>
                <w:sz w:val="24"/>
                <w:szCs w:val="24"/>
                <w:highlight w:val="none"/>
              </w:rPr>
            </w:pPr>
          </w:p>
        </w:tc>
        <w:tc>
          <w:tcPr>
            <w:tcW w:w="2143" w:type="dxa"/>
            <w:vAlign w:val="center"/>
          </w:tcPr>
          <w:p w14:paraId="3765FBAE">
            <w:pPr>
              <w:pStyle w:val="23"/>
              <w:spacing w:line="600" w:lineRule="exact"/>
              <w:jc w:val="center"/>
              <w:rPr>
                <w:rFonts w:hint="eastAsia" w:ascii="仿宋" w:hAnsi="仿宋" w:eastAsia="仿宋" w:cs="仿宋"/>
                <w:color w:val="auto"/>
                <w:kern w:val="2"/>
                <w:sz w:val="24"/>
                <w:szCs w:val="24"/>
                <w:highlight w:val="none"/>
              </w:rPr>
            </w:pPr>
          </w:p>
        </w:tc>
        <w:tc>
          <w:tcPr>
            <w:tcW w:w="1834" w:type="dxa"/>
            <w:vAlign w:val="center"/>
          </w:tcPr>
          <w:p w14:paraId="5E7507F8">
            <w:pPr>
              <w:pStyle w:val="23"/>
              <w:spacing w:line="600" w:lineRule="exact"/>
              <w:jc w:val="center"/>
              <w:rPr>
                <w:rFonts w:hint="eastAsia" w:ascii="仿宋" w:hAnsi="仿宋" w:eastAsia="仿宋" w:cs="仿宋"/>
                <w:color w:val="auto"/>
                <w:kern w:val="2"/>
                <w:sz w:val="24"/>
                <w:szCs w:val="24"/>
                <w:highlight w:val="none"/>
              </w:rPr>
            </w:pPr>
          </w:p>
        </w:tc>
        <w:tc>
          <w:tcPr>
            <w:tcW w:w="2181" w:type="dxa"/>
            <w:vAlign w:val="center"/>
          </w:tcPr>
          <w:p w14:paraId="4ABF930E">
            <w:pPr>
              <w:pStyle w:val="23"/>
              <w:spacing w:line="600" w:lineRule="exact"/>
              <w:jc w:val="center"/>
              <w:rPr>
                <w:rFonts w:hint="eastAsia" w:ascii="仿宋" w:hAnsi="仿宋" w:eastAsia="仿宋" w:cs="仿宋"/>
                <w:color w:val="auto"/>
                <w:kern w:val="2"/>
                <w:sz w:val="24"/>
                <w:szCs w:val="24"/>
                <w:highlight w:val="none"/>
              </w:rPr>
            </w:pPr>
          </w:p>
        </w:tc>
        <w:tc>
          <w:tcPr>
            <w:tcW w:w="1934" w:type="dxa"/>
            <w:vAlign w:val="center"/>
          </w:tcPr>
          <w:p w14:paraId="32795162">
            <w:pPr>
              <w:pStyle w:val="23"/>
              <w:spacing w:line="600" w:lineRule="exact"/>
              <w:jc w:val="center"/>
              <w:rPr>
                <w:rFonts w:hint="eastAsia" w:ascii="仿宋" w:hAnsi="仿宋" w:eastAsia="仿宋" w:cs="仿宋"/>
                <w:color w:val="auto"/>
                <w:kern w:val="2"/>
                <w:sz w:val="24"/>
                <w:szCs w:val="24"/>
                <w:highlight w:val="none"/>
              </w:rPr>
            </w:pPr>
          </w:p>
        </w:tc>
      </w:tr>
      <w:tr w14:paraId="75CA8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BF7F96C">
            <w:pPr>
              <w:pStyle w:val="23"/>
              <w:spacing w:line="600" w:lineRule="exact"/>
              <w:rPr>
                <w:rFonts w:hint="eastAsia" w:ascii="仿宋" w:hAnsi="仿宋" w:eastAsia="仿宋" w:cs="仿宋"/>
                <w:color w:val="auto"/>
                <w:kern w:val="2"/>
                <w:sz w:val="24"/>
                <w:szCs w:val="24"/>
                <w:highlight w:val="none"/>
              </w:rPr>
            </w:pPr>
          </w:p>
        </w:tc>
        <w:tc>
          <w:tcPr>
            <w:tcW w:w="2143" w:type="dxa"/>
          </w:tcPr>
          <w:p w14:paraId="63286E30">
            <w:pPr>
              <w:pStyle w:val="23"/>
              <w:spacing w:line="600" w:lineRule="exact"/>
              <w:rPr>
                <w:rFonts w:hint="eastAsia" w:ascii="仿宋" w:hAnsi="仿宋" w:eastAsia="仿宋" w:cs="仿宋"/>
                <w:color w:val="auto"/>
                <w:kern w:val="2"/>
                <w:sz w:val="24"/>
                <w:szCs w:val="24"/>
                <w:highlight w:val="none"/>
              </w:rPr>
            </w:pPr>
          </w:p>
        </w:tc>
        <w:tc>
          <w:tcPr>
            <w:tcW w:w="1834" w:type="dxa"/>
          </w:tcPr>
          <w:p w14:paraId="21180BFE">
            <w:pPr>
              <w:pStyle w:val="23"/>
              <w:spacing w:line="600" w:lineRule="exact"/>
              <w:rPr>
                <w:rFonts w:hint="eastAsia" w:ascii="仿宋" w:hAnsi="仿宋" w:eastAsia="仿宋" w:cs="仿宋"/>
                <w:color w:val="auto"/>
                <w:kern w:val="2"/>
                <w:sz w:val="24"/>
                <w:szCs w:val="24"/>
                <w:highlight w:val="none"/>
              </w:rPr>
            </w:pPr>
          </w:p>
        </w:tc>
        <w:tc>
          <w:tcPr>
            <w:tcW w:w="2181" w:type="dxa"/>
          </w:tcPr>
          <w:p w14:paraId="3290DFF9">
            <w:pPr>
              <w:pStyle w:val="23"/>
              <w:spacing w:line="600" w:lineRule="exact"/>
              <w:rPr>
                <w:rFonts w:hint="eastAsia" w:ascii="仿宋" w:hAnsi="仿宋" w:eastAsia="仿宋" w:cs="仿宋"/>
                <w:color w:val="auto"/>
                <w:kern w:val="2"/>
                <w:sz w:val="24"/>
                <w:szCs w:val="24"/>
                <w:highlight w:val="none"/>
              </w:rPr>
            </w:pPr>
          </w:p>
        </w:tc>
        <w:tc>
          <w:tcPr>
            <w:tcW w:w="1934" w:type="dxa"/>
          </w:tcPr>
          <w:p w14:paraId="7AED1EFB">
            <w:pPr>
              <w:pStyle w:val="23"/>
              <w:spacing w:line="600" w:lineRule="exact"/>
              <w:rPr>
                <w:rFonts w:hint="eastAsia" w:ascii="仿宋" w:hAnsi="仿宋" w:eastAsia="仿宋" w:cs="仿宋"/>
                <w:color w:val="auto"/>
                <w:kern w:val="2"/>
                <w:sz w:val="24"/>
                <w:szCs w:val="24"/>
                <w:highlight w:val="none"/>
              </w:rPr>
            </w:pPr>
          </w:p>
        </w:tc>
      </w:tr>
      <w:tr w14:paraId="3247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5A93880">
            <w:pPr>
              <w:pStyle w:val="23"/>
              <w:spacing w:line="600" w:lineRule="exact"/>
              <w:rPr>
                <w:rFonts w:hint="eastAsia" w:ascii="仿宋" w:hAnsi="仿宋" w:eastAsia="仿宋" w:cs="仿宋"/>
                <w:color w:val="auto"/>
                <w:kern w:val="2"/>
                <w:sz w:val="24"/>
                <w:szCs w:val="24"/>
                <w:highlight w:val="none"/>
              </w:rPr>
            </w:pPr>
          </w:p>
        </w:tc>
        <w:tc>
          <w:tcPr>
            <w:tcW w:w="2143" w:type="dxa"/>
          </w:tcPr>
          <w:p w14:paraId="77E9874C">
            <w:pPr>
              <w:pStyle w:val="23"/>
              <w:spacing w:line="600" w:lineRule="exact"/>
              <w:rPr>
                <w:rFonts w:hint="eastAsia" w:ascii="仿宋" w:hAnsi="仿宋" w:eastAsia="仿宋" w:cs="仿宋"/>
                <w:color w:val="auto"/>
                <w:kern w:val="2"/>
                <w:sz w:val="24"/>
                <w:szCs w:val="24"/>
                <w:highlight w:val="none"/>
              </w:rPr>
            </w:pPr>
          </w:p>
        </w:tc>
        <w:tc>
          <w:tcPr>
            <w:tcW w:w="1834" w:type="dxa"/>
          </w:tcPr>
          <w:p w14:paraId="54F8781A">
            <w:pPr>
              <w:pStyle w:val="23"/>
              <w:spacing w:line="600" w:lineRule="exact"/>
              <w:rPr>
                <w:rFonts w:hint="eastAsia" w:ascii="仿宋" w:hAnsi="仿宋" w:eastAsia="仿宋" w:cs="仿宋"/>
                <w:color w:val="auto"/>
                <w:kern w:val="2"/>
                <w:sz w:val="24"/>
                <w:szCs w:val="24"/>
                <w:highlight w:val="none"/>
              </w:rPr>
            </w:pPr>
          </w:p>
        </w:tc>
        <w:tc>
          <w:tcPr>
            <w:tcW w:w="2181" w:type="dxa"/>
          </w:tcPr>
          <w:p w14:paraId="5B246346">
            <w:pPr>
              <w:pStyle w:val="23"/>
              <w:spacing w:line="600" w:lineRule="exact"/>
              <w:rPr>
                <w:rFonts w:hint="eastAsia" w:ascii="仿宋" w:hAnsi="仿宋" w:eastAsia="仿宋" w:cs="仿宋"/>
                <w:color w:val="auto"/>
                <w:kern w:val="2"/>
                <w:sz w:val="24"/>
                <w:szCs w:val="24"/>
                <w:highlight w:val="none"/>
              </w:rPr>
            </w:pPr>
          </w:p>
        </w:tc>
        <w:tc>
          <w:tcPr>
            <w:tcW w:w="1934" w:type="dxa"/>
          </w:tcPr>
          <w:p w14:paraId="1E014880">
            <w:pPr>
              <w:pStyle w:val="23"/>
              <w:spacing w:line="600" w:lineRule="exact"/>
              <w:rPr>
                <w:rFonts w:hint="eastAsia" w:ascii="仿宋" w:hAnsi="仿宋" w:eastAsia="仿宋" w:cs="仿宋"/>
                <w:color w:val="auto"/>
                <w:kern w:val="2"/>
                <w:sz w:val="24"/>
                <w:szCs w:val="24"/>
                <w:highlight w:val="none"/>
              </w:rPr>
            </w:pPr>
          </w:p>
        </w:tc>
      </w:tr>
      <w:tr w14:paraId="5648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EF11877">
            <w:pPr>
              <w:pStyle w:val="23"/>
              <w:spacing w:line="600" w:lineRule="exact"/>
              <w:rPr>
                <w:rFonts w:hint="eastAsia" w:ascii="仿宋" w:hAnsi="仿宋" w:eastAsia="仿宋" w:cs="仿宋"/>
                <w:color w:val="auto"/>
                <w:kern w:val="2"/>
                <w:sz w:val="24"/>
                <w:szCs w:val="24"/>
                <w:highlight w:val="none"/>
              </w:rPr>
            </w:pPr>
          </w:p>
        </w:tc>
        <w:tc>
          <w:tcPr>
            <w:tcW w:w="2143" w:type="dxa"/>
          </w:tcPr>
          <w:p w14:paraId="32448B56">
            <w:pPr>
              <w:pStyle w:val="23"/>
              <w:spacing w:line="600" w:lineRule="exact"/>
              <w:rPr>
                <w:rFonts w:hint="eastAsia" w:ascii="仿宋" w:hAnsi="仿宋" w:eastAsia="仿宋" w:cs="仿宋"/>
                <w:color w:val="auto"/>
                <w:kern w:val="2"/>
                <w:sz w:val="24"/>
                <w:szCs w:val="24"/>
                <w:highlight w:val="none"/>
              </w:rPr>
            </w:pPr>
          </w:p>
        </w:tc>
        <w:tc>
          <w:tcPr>
            <w:tcW w:w="1834" w:type="dxa"/>
          </w:tcPr>
          <w:p w14:paraId="0AA230B2">
            <w:pPr>
              <w:pStyle w:val="23"/>
              <w:spacing w:line="600" w:lineRule="exact"/>
              <w:rPr>
                <w:rFonts w:hint="eastAsia" w:ascii="仿宋" w:hAnsi="仿宋" w:eastAsia="仿宋" w:cs="仿宋"/>
                <w:color w:val="auto"/>
                <w:kern w:val="2"/>
                <w:sz w:val="24"/>
                <w:szCs w:val="24"/>
                <w:highlight w:val="none"/>
              </w:rPr>
            </w:pPr>
          </w:p>
        </w:tc>
        <w:tc>
          <w:tcPr>
            <w:tcW w:w="2181" w:type="dxa"/>
          </w:tcPr>
          <w:p w14:paraId="0B32D6F6">
            <w:pPr>
              <w:pStyle w:val="23"/>
              <w:spacing w:line="600" w:lineRule="exact"/>
              <w:rPr>
                <w:rFonts w:hint="eastAsia" w:ascii="仿宋" w:hAnsi="仿宋" w:eastAsia="仿宋" w:cs="仿宋"/>
                <w:color w:val="auto"/>
                <w:kern w:val="2"/>
                <w:sz w:val="24"/>
                <w:szCs w:val="24"/>
                <w:highlight w:val="none"/>
              </w:rPr>
            </w:pPr>
          </w:p>
        </w:tc>
        <w:tc>
          <w:tcPr>
            <w:tcW w:w="1934" w:type="dxa"/>
          </w:tcPr>
          <w:p w14:paraId="386D5AFB">
            <w:pPr>
              <w:pStyle w:val="23"/>
              <w:spacing w:line="600" w:lineRule="exact"/>
              <w:rPr>
                <w:rFonts w:hint="eastAsia" w:ascii="仿宋" w:hAnsi="仿宋" w:eastAsia="仿宋" w:cs="仿宋"/>
                <w:color w:val="auto"/>
                <w:kern w:val="2"/>
                <w:sz w:val="24"/>
                <w:szCs w:val="24"/>
                <w:highlight w:val="none"/>
              </w:rPr>
            </w:pPr>
          </w:p>
        </w:tc>
      </w:tr>
      <w:tr w14:paraId="3A27B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A93EEC2">
            <w:pPr>
              <w:pStyle w:val="23"/>
              <w:spacing w:line="600" w:lineRule="exact"/>
              <w:rPr>
                <w:rFonts w:hint="eastAsia" w:ascii="仿宋" w:hAnsi="仿宋" w:eastAsia="仿宋" w:cs="仿宋"/>
                <w:color w:val="auto"/>
                <w:kern w:val="2"/>
                <w:sz w:val="24"/>
                <w:szCs w:val="24"/>
                <w:highlight w:val="none"/>
              </w:rPr>
            </w:pPr>
          </w:p>
        </w:tc>
        <w:tc>
          <w:tcPr>
            <w:tcW w:w="2143" w:type="dxa"/>
          </w:tcPr>
          <w:p w14:paraId="083B46AC">
            <w:pPr>
              <w:pStyle w:val="23"/>
              <w:spacing w:line="600" w:lineRule="exact"/>
              <w:rPr>
                <w:rFonts w:hint="eastAsia" w:ascii="仿宋" w:hAnsi="仿宋" w:eastAsia="仿宋" w:cs="仿宋"/>
                <w:color w:val="auto"/>
                <w:kern w:val="2"/>
                <w:sz w:val="24"/>
                <w:szCs w:val="24"/>
                <w:highlight w:val="none"/>
              </w:rPr>
            </w:pPr>
          </w:p>
        </w:tc>
        <w:tc>
          <w:tcPr>
            <w:tcW w:w="1834" w:type="dxa"/>
          </w:tcPr>
          <w:p w14:paraId="6512DED1">
            <w:pPr>
              <w:pStyle w:val="23"/>
              <w:spacing w:line="600" w:lineRule="exact"/>
              <w:rPr>
                <w:rFonts w:hint="eastAsia" w:ascii="仿宋" w:hAnsi="仿宋" w:eastAsia="仿宋" w:cs="仿宋"/>
                <w:color w:val="auto"/>
                <w:kern w:val="2"/>
                <w:sz w:val="24"/>
                <w:szCs w:val="24"/>
                <w:highlight w:val="none"/>
              </w:rPr>
            </w:pPr>
          </w:p>
        </w:tc>
        <w:tc>
          <w:tcPr>
            <w:tcW w:w="2181" w:type="dxa"/>
          </w:tcPr>
          <w:p w14:paraId="1FFAE9D2">
            <w:pPr>
              <w:pStyle w:val="23"/>
              <w:spacing w:line="600" w:lineRule="exact"/>
              <w:rPr>
                <w:rFonts w:hint="eastAsia" w:ascii="仿宋" w:hAnsi="仿宋" w:eastAsia="仿宋" w:cs="仿宋"/>
                <w:color w:val="auto"/>
                <w:kern w:val="2"/>
                <w:sz w:val="24"/>
                <w:szCs w:val="24"/>
                <w:highlight w:val="none"/>
              </w:rPr>
            </w:pPr>
          </w:p>
        </w:tc>
        <w:tc>
          <w:tcPr>
            <w:tcW w:w="1934" w:type="dxa"/>
          </w:tcPr>
          <w:p w14:paraId="77E8D45C">
            <w:pPr>
              <w:pStyle w:val="23"/>
              <w:spacing w:line="600" w:lineRule="exact"/>
              <w:rPr>
                <w:rFonts w:hint="eastAsia" w:ascii="仿宋" w:hAnsi="仿宋" w:eastAsia="仿宋" w:cs="仿宋"/>
                <w:color w:val="auto"/>
                <w:kern w:val="2"/>
                <w:sz w:val="24"/>
                <w:szCs w:val="24"/>
                <w:highlight w:val="none"/>
              </w:rPr>
            </w:pPr>
          </w:p>
        </w:tc>
      </w:tr>
      <w:tr w14:paraId="60792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13105AB">
            <w:pPr>
              <w:pStyle w:val="23"/>
              <w:spacing w:line="600" w:lineRule="exact"/>
              <w:rPr>
                <w:rFonts w:hint="eastAsia" w:ascii="仿宋" w:hAnsi="仿宋" w:eastAsia="仿宋" w:cs="仿宋"/>
                <w:color w:val="auto"/>
                <w:kern w:val="2"/>
                <w:sz w:val="24"/>
                <w:szCs w:val="24"/>
                <w:highlight w:val="none"/>
              </w:rPr>
            </w:pPr>
          </w:p>
        </w:tc>
        <w:tc>
          <w:tcPr>
            <w:tcW w:w="2143" w:type="dxa"/>
          </w:tcPr>
          <w:p w14:paraId="70B338E6">
            <w:pPr>
              <w:pStyle w:val="23"/>
              <w:spacing w:line="600" w:lineRule="exact"/>
              <w:rPr>
                <w:rFonts w:hint="eastAsia" w:ascii="仿宋" w:hAnsi="仿宋" w:eastAsia="仿宋" w:cs="仿宋"/>
                <w:color w:val="auto"/>
                <w:kern w:val="2"/>
                <w:sz w:val="24"/>
                <w:szCs w:val="24"/>
                <w:highlight w:val="none"/>
              </w:rPr>
            </w:pPr>
          </w:p>
        </w:tc>
        <w:tc>
          <w:tcPr>
            <w:tcW w:w="1834" w:type="dxa"/>
          </w:tcPr>
          <w:p w14:paraId="269AD035">
            <w:pPr>
              <w:pStyle w:val="23"/>
              <w:spacing w:line="600" w:lineRule="exact"/>
              <w:rPr>
                <w:rFonts w:hint="eastAsia" w:ascii="仿宋" w:hAnsi="仿宋" w:eastAsia="仿宋" w:cs="仿宋"/>
                <w:color w:val="auto"/>
                <w:kern w:val="2"/>
                <w:sz w:val="24"/>
                <w:szCs w:val="24"/>
                <w:highlight w:val="none"/>
              </w:rPr>
            </w:pPr>
          </w:p>
        </w:tc>
        <w:tc>
          <w:tcPr>
            <w:tcW w:w="2181" w:type="dxa"/>
          </w:tcPr>
          <w:p w14:paraId="1C325673">
            <w:pPr>
              <w:pStyle w:val="23"/>
              <w:spacing w:line="600" w:lineRule="exact"/>
              <w:rPr>
                <w:rFonts w:hint="eastAsia" w:ascii="仿宋" w:hAnsi="仿宋" w:eastAsia="仿宋" w:cs="仿宋"/>
                <w:color w:val="auto"/>
                <w:kern w:val="2"/>
                <w:sz w:val="24"/>
                <w:szCs w:val="24"/>
                <w:highlight w:val="none"/>
              </w:rPr>
            </w:pPr>
          </w:p>
        </w:tc>
        <w:tc>
          <w:tcPr>
            <w:tcW w:w="1934" w:type="dxa"/>
          </w:tcPr>
          <w:p w14:paraId="522B4168">
            <w:pPr>
              <w:pStyle w:val="23"/>
              <w:spacing w:line="600" w:lineRule="exact"/>
              <w:rPr>
                <w:rFonts w:hint="eastAsia" w:ascii="仿宋" w:hAnsi="仿宋" w:eastAsia="仿宋" w:cs="仿宋"/>
                <w:color w:val="auto"/>
                <w:kern w:val="2"/>
                <w:sz w:val="24"/>
                <w:szCs w:val="24"/>
                <w:highlight w:val="none"/>
              </w:rPr>
            </w:pPr>
          </w:p>
        </w:tc>
      </w:tr>
      <w:tr w14:paraId="536D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2A05680">
            <w:pPr>
              <w:pStyle w:val="23"/>
              <w:spacing w:line="600" w:lineRule="exact"/>
              <w:rPr>
                <w:rFonts w:hint="eastAsia" w:ascii="仿宋" w:hAnsi="仿宋" w:eastAsia="仿宋" w:cs="仿宋"/>
                <w:color w:val="auto"/>
                <w:kern w:val="2"/>
                <w:sz w:val="24"/>
                <w:szCs w:val="24"/>
                <w:highlight w:val="none"/>
              </w:rPr>
            </w:pPr>
          </w:p>
        </w:tc>
        <w:tc>
          <w:tcPr>
            <w:tcW w:w="2143" w:type="dxa"/>
          </w:tcPr>
          <w:p w14:paraId="7C232C69">
            <w:pPr>
              <w:pStyle w:val="23"/>
              <w:spacing w:line="600" w:lineRule="exact"/>
              <w:rPr>
                <w:rFonts w:hint="eastAsia" w:ascii="仿宋" w:hAnsi="仿宋" w:eastAsia="仿宋" w:cs="仿宋"/>
                <w:color w:val="auto"/>
                <w:kern w:val="2"/>
                <w:sz w:val="24"/>
                <w:szCs w:val="24"/>
                <w:highlight w:val="none"/>
              </w:rPr>
            </w:pPr>
          </w:p>
        </w:tc>
        <w:tc>
          <w:tcPr>
            <w:tcW w:w="1834" w:type="dxa"/>
          </w:tcPr>
          <w:p w14:paraId="6C6BB606">
            <w:pPr>
              <w:pStyle w:val="23"/>
              <w:spacing w:line="600" w:lineRule="exact"/>
              <w:rPr>
                <w:rFonts w:hint="eastAsia" w:ascii="仿宋" w:hAnsi="仿宋" w:eastAsia="仿宋" w:cs="仿宋"/>
                <w:color w:val="auto"/>
                <w:kern w:val="2"/>
                <w:sz w:val="24"/>
                <w:szCs w:val="24"/>
                <w:highlight w:val="none"/>
              </w:rPr>
            </w:pPr>
          </w:p>
        </w:tc>
        <w:tc>
          <w:tcPr>
            <w:tcW w:w="2181" w:type="dxa"/>
          </w:tcPr>
          <w:p w14:paraId="7B32E402">
            <w:pPr>
              <w:pStyle w:val="23"/>
              <w:spacing w:line="600" w:lineRule="exact"/>
              <w:rPr>
                <w:rFonts w:hint="eastAsia" w:ascii="仿宋" w:hAnsi="仿宋" w:eastAsia="仿宋" w:cs="仿宋"/>
                <w:color w:val="auto"/>
                <w:kern w:val="2"/>
                <w:sz w:val="24"/>
                <w:szCs w:val="24"/>
                <w:highlight w:val="none"/>
              </w:rPr>
            </w:pPr>
          </w:p>
        </w:tc>
        <w:tc>
          <w:tcPr>
            <w:tcW w:w="1934" w:type="dxa"/>
          </w:tcPr>
          <w:p w14:paraId="6A622D37">
            <w:pPr>
              <w:pStyle w:val="23"/>
              <w:spacing w:line="600" w:lineRule="exact"/>
              <w:rPr>
                <w:rFonts w:hint="eastAsia" w:ascii="仿宋" w:hAnsi="仿宋" w:eastAsia="仿宋" w:cs="仿宋"/>
                <w:color w:val="auto"/>
                <w:kern w:val="2"/>
                <w:sz w:val="24"/>
                <w:szCs w:val="24"/>
                <w:highlight w:val="none"/>
              </w:rPr>
            </w:pPr>
          </w:p>
        </w:tc>
      </w:tr>
      <w:tr w14:paraId="0245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BE0D3AF">
            <w:pPr>
              <w:pStyle w:val="23"/>
              <w:spacing w:line="600" w:lineRule="exact"/>
              <w:rPr>
                <w:rFonts w:hint="eastAsia" w:ascii="仿宋" w:hAnsi="仿宋" w:eastAsia="仿宋" w:cs="仿宋"/>
                <w:color w:val="auto"/>
                <w:kern w:val="2"/>
                <w:sz w:val="24"/>
                <w:szCs w:val="24"/>
                <w:highlight w:val="none"/>
              </w:rPr>
            </w:pPr>
          </w:p>
        </w:tc>
        <w:tc>
          <w:tcPr>
            <w:tcW w:w="2143" w:type="dxa"/>
          </w:tcPr>
          <w:p w14:paraId="6B259B64">
            <w:pPr>
              <w:pStyle w:val="23"/>
              <w:spacing w:line="600" w:lineRule="exact"/>
              <w:rPr>
                <w:rFonts w:hint="eastAsia" w:ascii="仿宋" w:hAnsi="仿宋" w:eastAsia="仿宋" w:cs="仿宋"/>
                <w:color w:val="auto"/>
                <w:kern w:val="2"/>
                <w:sz w:val="24"/>
                <w:szCs w:val="24"/>
                <w:highlight w:val="none"/>
              </w:rPr>
            </w:pPr>
          </w:p>
        </w:tc>
        <w:tc>
          <w:tcPr>
            <w:tcW w:w="1834" w:type="dxa"/>
          </w:tcPr>
          <w:p w14:paraId="1CC73BB9">
            <w:pPr>
              <w:pStyle w:val="23"/>
              <w:spacing w:line="600" w:lineRule="exact"/>
              <w:rPr>
                <w:rFonts w:hint="eastAsia" w:ascii="仿宋" w:hAnsi="仿宋" w:eastAsia="仿宋" w:cs="仿宋"/>
                <w:color w:val="auto"/>
                <w:kern w:val="2"/>
                <w:sz w:val="24"/>
                <w:szCs w:val="24"/>
                <w:highlight w:val="none"/>
              </w:rPr>
            </w:pPr>
          </w:p>
        </w:tc>
        <w:tc>
          <w:tcPr>
            <w:tcW w:w="2181" w:type="dxa"/>
          </w:tcPr>
          <w:p w14:paraId="224AED5E">
            <w:pPr>
              <w:pStyle w:val="23"/>
              <w:spacing w:line="600" w:lineRule="exact"/>
              <w:rPr>
                <w:rFonts w:hint="eastAsia" w:ascii="仿宋" w:hAnsi="仿宋" w:eastAsia="仿宋" w:cs="仿宋"/>
                <w:color w:val="auto"/>
                <w:kern w:val="2"/>
                <w:sz w:val="24"/>
                <w:szCs w:val="24"/>
                <w:highlight w:val="none"/>
              </w:rPr>
            </w:pPr>
          </w:p>
        </w:tc>
        <w:tc>
          <w:tcPr>
            <w:tcW w:w="1934" w:type="dxa"/>
          </w:tcPr>
          <w:p w14:paraId="2F80FBBA">
            <w:pPr>
              <w:pStyle w:val="23"/>
              <w:spacing w:line="600" w:lineRule="exact"/>
              <w:rPr>
                <w:rFonts w:hint="eastAsia" w:ascii="仿宋" w:hAnsi="仿宋" w:eastAsia="仿宋" w:cs="仿宋"/>
                <w:color w:val="auto"/>
                <w:kern w:val="2"/>
                <w:sz w:val="24"/>
                <w:szCs w:val="24"/>
                <w:highlight w:val="none"/>
              </w:rPr>
            </w:pPr>
          </w:p>
        </w:tc>
      </w:tr>
      <w:tr w14:paraId="23799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4CDB2DDF">
            <w:pPr>
              <w:pStyle w:val="23"/>
              <w:spacing w:line="600" w:lineRule="exact"/>
              <w:rPr>
                <w:rFonts w:hint="eastAsia" w:ascii="仿宋" w:hAnsi="仿宋" w:eastAsia="仿宋" w:cs="仿宋"/>
                <w:color w:val="auto"/>
                <w:kern w:val="2"/>
                <w:sz w:val="24"/>
                <w:szCs w:val="24"/>
                <w:highlight w:val="none"/>
              </w:rPr>
            </w:pPr>
          </w:p>
        </w:tc>
        <w:tc>
          <w:tcPr>
            <w:tcW w:w="2143" w:type="dxa"/>
          </w:tcPr>
          <w:p w14:paraId="0F7B9CA8">
            <w:pPr>
              <w:pStyle w:val="23"/>
              <w:spacing w:line="600" w:lineRule="exact"/>
              <w:rPr>
                <w:rFonts w:hint="eastAsia" w:ascii="仿宋" w:hAnsi="仿宋" w:eastAsia="仿宋" w:cs="仿宋"/>
                <w:color w:val="auto"/>
                <w:kern w:val="2"/>
                <w:sz w:val="24"/>
                <w:szCs w:val="24"/>
                <w:highlight w:val="none"/>
              </w:rPr>
            </w:pPr>
          </w:p>
        </w:tc>
        <w:tc>
          <w:tcPr>
            <w:tcW w:w="1834" w:type="dxa"/>
          </w:tcPr>
          <w:p w14:paraId="14359EF1">
            <w:pPr>
              <w:pStyle w:val="23"/>
              <w:spacing w:line="600" w:lineRule="exact"/>
              <w:rPr>
                <w:rFonts w:hint="eastAsia" w:ascii="仿宋" w:hAnsi="仿宋" w:eastAsia="仿宋" w:cs="仿宋"/>
                <w:color w:val="auto"/>
                <w:kern w:val="2"/>
                <w:sz w:val="24"/>
                <w:szCs w:val="24"/>
                <w:highlight w:val="none"/>
              </w:rPr>
            </w:pPr>
          </w:p>
        </w:tc>
        <w:tc>
          <w:tcPr>
            <w:tcW w:w="2181" w:type="dxa"/>
          </w:tcPr>
          <w:p w14:paraId="681F4915">
            <w:pPr>
              <w:pStyle w:val="23"/>
              <w:spacing w:line="600" w:lineRule="exact"/>
              <w:rPr>
                <w:rFonts w:hint="eastAsia" w:ascii="仿宋" w:hAnsi="仿宋" w:eastAsia="仿宋" w:cs="仿宋"/>
                <w:color w:val="auto"/>
                <w:kern w:val="2"/>
                <w:sz w:val="24"/>
                <w:szCs w:val="24"/>
                <w:highlight w:val="none"/>
              </w:rPr>
            </w:pPr>
          </w:p>
        </w:tc>
        <w:tc>
          <w:tcPr>
            <w:tcW w:w="1934" w:type="dxa"/>
          </w:tcPr>
          <w:p w14:paraId="13439A0D">
            <w:pPr>
              <w:pStyle w:val="23"/>
              <w:spacing w:line="600" w:lineRule="exact"/>
              <w:rPr>
                <w:rFonts w:hint="eastAsia" w:ascii="仿宋" w:hAnsi="仿宋" w:eastAsia="仿宋" w:cs="仿宋"/>
                <w:color w:val="auto"/>
                <w:kern w:val="2"/>
                <w:sz w:val="24"/>
                <w:szCs w:val="24"/>
                <w:highlight w:val="none"/>
              </w:rPr>
            </w:pPr>
          </w:p>
        </w:tc>
      </w:tr>
      <w:tr w14:paraId="1844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B63479B">
            <w:pPr>
              <w:pStyle w:val="23"/>
              <w:spacing w:line="600" w:lineRule="exact"/>
              <w:rPr>
                <w:rFonts w:hint="eastAsia" w:ascii="仿宋" w:hAnsi="仿宋" w:eastAsia="仿宋" w:cs="仿宋"/>
                <w:color w:val="auto"/>
                <w:kern w:val="2"/>
                <w:sz w:val="24"/>
                <w:szCs w:val="24"/>
                <w:highlight w:val="none"/>
              </w:rPr>
            </w:pPr>
          </w:p>
        </w:tc>
        <w:tc>
          <w:tcPr>
            <w:tcW w:w="2143" w:type="dxa"/>
          </w:tcPr>
          <w:p w14:paraId="7ABECC56">
            <w:pPr>
              <w:pStyle w:val="23"/>
              <w:spacing w:line="600" w:lineRule="exact"/>
              <w:rPr>
                <w:rFonts w:hint="eastAsia" w:ascii="仿宋" w:hAnsi="仿宋" w:eastAsia="仿宋" w:cs="仿宋"/>
                <w:color w:val="auto"/>
                <w:kern w:val="2"/>
                <w:sz w:val="24"/>
                <w:szCs w:val="24"/>
                <w:highlight w:val="none"/>
              </w:rPr>
            </w:pPr>
          </w:p>
        </w:tc>
        <w:tc>
          <w:tcPr>
            <w:tcW w:w="1834" w:type="dxa"/>
          </w:tcPr>
          <w:p w14:paraId="04B206F1">
            <w:pPr>
              <w:pStyle w:val="23"/>
              <w:spacing w:line="600" w:lineRule="exact"/>
              <w:rPr>
                <w:rFonts w:hint="eastAsia" w:ascii="仿宋" w:hAnsi="仿宋" w:eastAsia="仿宋" w:cs="仿宋"/>
                <w:color w:val="auto"/>
                <w:kern w:val="2"/>
                <w:sz w:val="24"/>
                <w:szCs w:val="24"/>
                <w:highlight w:val="none"/>
              </w:rPr>
            </w:pPr>
          </w:p>
        </w:tc>
        <w:tc>
          <w:tcPr>
            <w:tcW w:w="2181" w:type="dxa"/>
          </w:tcPr>
          <w:p w14:paraId="3CC0FD3B">
            <w:pPr>
              <w:pStyle w:val="23"/>
              <w:spacing w:line="600" w:lineRule="exact"/>
              <w:rPr>
                <w:rFonts w:hint="eastAsia" w:ascii="仿宋" w:hAnsi="仿宋" w:eastAsia="仿宋" w:cs="仿宋"/>
                <w:color w:val="auto"/>
                <w:kern w:val="2"/>
                <w:sz w:val="24"/>
                <w:szCs w:val="24"/>
                <w:highlight w:val="none"/>
              </w:rPr>
            </w:pPr>
          </w:p>
        </w:tc>
        <w:tc>
          <w:tcPr>
            <w:tcW w:w="1934" w:type="dxa"/>
          </w:tcPr>
          <w:p w14:paraId="52BF8451">
            <w:pPr>
              <w:pStyle w:val="23"/>
              <w:spacing w:line="600" w:lineRule="exact"/>
              <w:rPr>
                <w:rFonts w:hint="eastAsia" w:ascii="仿宋" w:hAnsi="仿宋" w:eastAsia="仿宋" w:cs="仿宋"/>
                <w:color w:val="auto"/>
                <w:kern w:val="2"/>
                <w:sz w:val="24"/>
                <w:szCs w:val="24"/>
                <w:highlight w:val="none"/>
              </w:rPr>
            </w:pPr>
          </w:p>
        </w:tc>
      </w:tr>
    </w:tbl>
    <w:p w14:paraId="04CD29E0">
      <w:pPr>
        <w:pStyle w:val="16"/>
        <w:rPr>
          <w:rFonts w:hint="eastAsia" w:ascii="仿宋" w:hAnsi="仿宋" w:eastAsia="仿宋" w:cs="仿宋"/>
          <w:color w:val="auto"/>
          <w:highlight w:val="none"/>
        </w:rPr>
      </w:pPr>
      <w:r>
        <w:rPr>
          <w:rFonts w:hint="eastAsia" w:ascii="仿宋" w:hAnsi="仿宋" w:eastAsia="仿宋" w:cs="仿宋"/>
          <w:color w:val="auto"/>
          <w:highlight w:val="none"/>
        </w:rPr>
        <w:t>注：</w:t>
      </w:r>
    </w:p>
    <w:p w14:paraId="4DCC238E">
      <w:pPr>
        <w:pStyle w:val="18"/>
        <w:spacing w:line="520" w:lineRule="exact"/>
        <w:ind w:firstLine="0" w:firstLineChars="0"/>
        <w:rPr>
          <w:rFonts w:hint="eastAsia" w:ascii="仿宋" w:hAnsi="仿宋" w:eastAsia="仿宋" w:cs="仿宋"/>
          <w:color w:val="auto"/>
          <w:szCs w:val="32"/>
          <w:highlight w:val="none"/>
        </w:rPr>
      </w:pPr>
      <w:r>
        <w:rPr>
          <w:rFonts w:hint="eastAsia" w:ascii="仿宋" w:hAnsi="仿宋" w:eastAsia="仿宋" w:cs="仿宋"/>
          <w:color w:val="auto"/>
          <w:sz w:val="24"/>
          <w:szCs w:val="24"/>
          <w:highlight w:val="none"/>
        </w:rPr>
        <w:t>1.说明：应对照招标文件“第二章 采购需求”中的技术需求逐条实质性响应，并作出偏离说明。</w:t>
      </w:r>
    </w:p>
    <w:p w14:paraId="2B7CECBB">
      <w:pPr>
        <w:pStyle w:val="16"/>
        <w:rPr>
          <w:rFonts w:hint="eastAsia" w:ascii="仿宋" w:hAnsi="仿宋" w:eastAsia="仿宋" w:cs="仿宋"/>
          <w:color w:val="auto"/>
          <w:highlight w:val="none"/>
        </w:rPr>
      </w:pPr>
      <w:r>
        <w:rPr>
          <w:rFonts w:hint="eastAsia" w:ascii="仿宋" w:hAnsi="仿宋" w:eastAsia="仿宋" w:cs="仿宋"/>
          <w:b w:val="0"/>
          <w:bCs w:val="0"/>
          <w:color w:val="auto"/>
          <w:highlight w:val="none"/>
        </w:rPr>
        <w:t>2.投标人应根据投标设备的性能指标，对照招标文件要求，在“偏离说明”中注明“</w:t>
      </w:r>
      <w:r>
        <w:rPr>
          <w:rFonts w:hint="eastAsia" w:ascii="仿宋" w:hAnsi="仿宋" w:eastAsia="仿宋" w:cs="仿宋"/>
          <w:color w:val="auto"/>
          <w:highlight w:val="none"/>
        </w:rPr>
        <w:t>正偏离</w:t>
      </w:r>
      <w:r>
        <w:rPr>
          <w:rFonts w:hint="eastAsia" w:ascii="仿宋" w:hAnsi="仿宋" w:eastAsia="仿宋" w:cs="仿宋"/>
          <w:b w:val="0"/>
          <w:bCs w:val="0"/>
          <w:color w:val="auto"/>
          <w:highlight w:val="none"/>
        </w:rPr>
        <w:t>”、“</w:t>
      </w:r>
      <w:r>
        <w:rPr>
          <w:rFonts w:hint="eastAsia" w:ascii="仿宋" w:hAnsi="仿宋" w:eastAsia="仿宋" w:cs="仿宋"/>
          <w:color w:val="auto"/>
          <w:highlight w:val="none"/>
        </w:rPr>
        <w:t>负偏离</w:t>
      </w:r>
      <w:r>
        <w:rPr>
          <w:rFonts w:hint="eastAsia" w:ascii="仿宋" w:hAnsi="仿宋" w:eastAsia="仿宋" w:cs="仿宋"/>
          <w:b w:val="0"/>
          <w:bCs w:val="0"/>
          <w:color w:val="auto"/>
          <w:highlight w:val="none"/>
        </w:rPr>
        <w:t>”或者“</w:t>
      </w:r>
      <w:r>
        <w:rPr>
          <w:rFonts w:hint="eastAsia" w:ascii="仿宋" w:hAnsi="仿宋" w:eastAsia="仿宋" w:cs="仿宋"/>
          <w:color w:val="auto"/>
          <w:highlight w:val="none"/>
        </w:rPr>
        <w:t>无偏离</w:t>
      </w:r>
      <w:r>
        <w:rPr>
          <w:rFonts w:hint="eastAsia" w:ascii="仿宋" w:hAnsi="仿宋" w:eastAsia="仿宋" w:cs="仿宋"/>
          <w:b w:val="0"/>
          <w:bCs w:val="0"/>
          <w:color w:val="auto"/>
          <w:highlight w:val="none"/>
        </w:rPr>
        <w:t>”。既不属于“</w:t>
      </w:r>
      <w:r>
        <w:rPr>
          <w:rFonts w:hint="eastAsia" w:ascii="仿宋" w:hAnsi="仿宋" w:eastAsia="仿宋" w:cs="仿宋"/>
          <w:color w:val="auto"/>
          <w:highlight w:val="none"/>
        </w:rPr>
        <w:t>正偏离</w:t>
      </w:r>
      <w:r>
        <w:rPr>
          <w:rFonts w:hint="eastAsia" w:ascii="仿宋" w:hAnsi="仿宋" w:eastAsia="仿宋" w:cs="仿宋"/>
          <w:b w:val="0"/>
          <w:bCs w:val="0"/>
          <w:color w:val="auto"/>
          <w:highlight w:val="none"/>
        </w:rPr>
        <w:t>”也不属于“</w:t>
      </w:r>
      <w:r>
        <w:rPr>
          <w:rFonts w:hint="eastAsia" w:ascii="仿宋" w:hAnsi="仿宋" w:eastAsia="仿宋" w:cs="仿宋"/>
          <w:color w:val="auto"/>
          <w:highlight w:val="none"/>
        </w:rPr>
        <w:t>负偏离</w:t>
      </w:r>
      <w:r>
        <w:rPr>
          <w:rFonts w:hint="eastAsia" w:ascii="仿宋" w:hAnsi="仿宋" w:eastAsia="仿宋" w:cs="仿宋"/>
          <w:b w:val="0"/>
          <w:bCs w:val="0"/>
          <w:color w:val="auto"/>
          <w:highlight w:val="none"/>
        </w:rPr>
        <w:t>”即为“</w:t>
      </w:r>
      <w:r>
        <w:rPr>
          <w:rFonts w:hint="eastAsia" w:ascii="仿宋" w:hAnsi="仿宋" w:eastAsia="仿宋" w:cs="仿宋"/>
          <w:color w:val="auto"/>
          <w:highlight w:val="none"/>
        </w:rPr>
        <w:t>无偏离</w:t>
      </w:r>
      <w:r>
        <w:rPr>
          <w:rFonts w:hint="eastAsia" w:ascii="仿宋" w:hAnsi="仿宋" w:eastAsia="仿宋" w:cs="仿宋"/>
          <w:b w:val="0"/>
          <w:bCs w:val="0"/>
          <w:color w:val="auto"/>
          <w:highlight w:val="none"/>
        </w:rPr>
        <w:t>”。</w:t>
      </w:r>
    </w:p>
    <w:p w14:paraId="72929C38">
      <w:pPr>
        <w:pStyle w:val="16"/>
        <w:rPr>
          <w:rFonts w:hint="eastAsia" w:ascii="仿宋" w:hAnsi="仿宋" w:eastAsia="仿宋" w:cs="仿宋"/>
          <w:color w:val="auto"/>
          <w:spacing w:val="20"/>
          <w:highlight w:val="none"/>
        </w:rPr>
      </w:pPr>
    </w:p>
    <w:p w14:paraId="7D800BD2">
      <w:pPr>
        <w:snapToGrid w:val="0"/>
        <w:spacing w:before="50" w:after="50"/>
        <w:rPr>
          <w:rFonts w:hint="eastAsia" w:ascii="仿宋" w:hAnsi="仿宋" w:eastAsia="仿宋" w:cs="仿宋"/>
          <w:color w:val="auto"/>
          <w:spacing w:val="20"/>
          <w:sz w:val="24"/>
          <w:highlight w:val="none"/>
          <w:u w:val="single"/>
        </w:rPr>
      </w:pPr>
      <w:r>
        <w:rPr>
          <w:rFonts w:hint="eastAsia" w:ascii="仿宋" w:hAnsi="仿宋" w:eastAsia="仿宋" w:cs="仿宋"/>
          <w:color w:val="auto"/>
          <w:sz w:val="24"/>
          <w:highlight w:val="none"/>
        </w:rPr>
        <w:t>法定代表人或者委托代理人</w:t>
      </w:r>
      <w:r>
        <w:rPr>
          <w:rFonts w:hint="eastAsia" w:ascii="仿宋" w:hAnsi="仿宋" w:eastAsia="仿宋" w:cs="仿宋"/>
          <w:color w:val="auto"/>
          <w:spacing w:val="20"/>
          <w:sz w:val="24"/>
          <w:highlight w:val="none"/>
        </w:rPr>
        <w:t>签字：</w:t>
      </w:r>
      <w:r>
        <w:rPr>
          <w:rFonts w:hint="eastAsia" w:ascii="仿宋" w:hAnsi="仿宋" w:eastAsia="仿宋" w:cs="仿宋"/>
          <w:color w:val="auto"/>
          <w:spacing w:val="20"/>
          <w:sz w:val="24"/>
          <w:highlight w:val="none"/>
          <w:u w:val="single"/>
        </w:rPr>
        <w:t xml:space="preserve">        </w:t>
      </w:r>
    </w:p>
    <w:p w14:paraId="345284AE">
      <w:pPr>
        <w:snapToGrid w:val="0"/>
        <w:spacing w:before="50" w:after="50"/>
        <w:rPr>
          <w:rFonts w:hint="eastAsia" w:ascii="仿宋" w:hAnsi="仿宋" w:eastAsia="仿宋" w:cs="仿宋"/>
          <w:color w:val="auto"/>
          <w:spacing w:val="20"/>
          <w:sz w:val="24"/>
          <w:highlight w:val="none"/>
          <w:u w:val="single"/>
        </w:rPr>
      </w:pPr>
      <w:r>
        <w:rPr>
          <w:rFonts w:hint="eastAsia" w:ascii="仿宋" w:hAnsi="仿宋" w:eastAsia="仿宋" w:cs="仿宋"/>
          <w:color w:val="auto"/>
          <w:spacing w:val="20"/>
          <w:sz w:val="24"/>
          <w:highlight w:val="none"/>
        </w:rPr>
        <w:t>投标人（盖公章）：</w:t>
      </w:r>
      <w:r>
        <w:rPr>
          <w:rFonts w:hint="eastAsia" w:ascii="仿宋" w:hAnsi="仿宋" w:eastAsia="仿宋" w:cs="仿宋"/>
          <w:color w:val="auto"/>
          <w:spacing w:val="20"/>
          <w:sz w:val="24"/>
          <w:highlight w:val="none"/>
          <w:u w:val="single"/>
        </w:rPr>
        <w:t xml:space="preserve">            </w:t>
      </w:r>
      <w:r>
        <w:rPr>
          <w:rFonts w:hint="eastAsia" w:ascii="仿宋" w:hAnsi="仿宋" w:eastAsia="仿宋" w:cs="仿宋"/>
          <w:color w:val="auto"/>
          <w:spacing w:val="20"/>
          <w:sz w:val="24"/>
          <w:highlight w:val="none"/>
        </w:rPr>
        <w:t xml:space="preserve">              日 期：</w:t>
      </w:r>
      <w:r>
        <w:rPr>
          <w:rFonts w:hint="eastAsia" w:ascii="仿宋" w:hAnsi="仿宋" w:eastAsia="仿宋" w:cs="仿宋"/>
          <w:color w:val="auto"/>
          <w:spacing w:val="20"/>
          <w:sz w:val="24"/>
          <w:highlight w:val="none"/>
          <w:u w:val="single"/>
        </w:rPr>
        <w:t xml:space="preserve">        </w:t>
      </w:r>
    </w:p>
    <w:p w14:paraId="5CB8D7C2">
      <w:pPr>
        <w:snapToGrid w:val="0"/>
        <w:spacing w:before="50" w:after="50"/>
        <w:rPr>
          <w:rFonts w:hint="eastAsia" w:ascii="仿宋" w:hAnsi="仿宋" w:eastAsia="仿宋" w:cs="仿宋"/>
          <w:color w:val="auto"/>
          <w:sz w:val="24"/>
          <w:szCs w:val="20"/>
          <w:highlight w:val="none"/>
        </w:rPr>
      </w:pPr>
    </w:p>
    <w:p w14:paraId="3A3A116E">
      <w:pPr>
        <w:snapToGrid w:val="0"/>
        <w:spacing w:before="120" w:beforeLines="50" w:after="50"/>
        <w:ind w:left="142"/>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br w:type="page"/>
      </w:r>
      <w:r>
        <w:rPr>
          <w:rFonts w:hint="eastAsia" w:ascii="仿宋" w:hAnsi="仿宋" w:eastAsia="仿宋" w:cs="仿宋"/>
          <w:b/>
          <w:color w:val="auto"/>
          <w:sz w:val="24"/>
          <w:highlight w:val="none"/>
        </w:rPr>
        <w:t>4. 项目实施人员一览表格式</w:t>
      </w:r>
    </w:p>
    <w:p w14:paraId="60BB8EA3">
      <w:pPr>
        <w:snapToGrid w:val="0"/>
        <w:spacing w:before="120" w:beforeLines="50" w:after="50"/>
        <w:ind w:left="142"/>
        <w:jc w:val="left"/>
        <w:rPr>
          <w:rFonts w:hint="eastAsia" w:ascii="仿宋" w:hAnsi="仿宋" w:eastAsia="仿宋" w:cs="仿宋"/>
          <w:b/>
          <w:color w:val="auto"/>
          <w:sz w:val="24"/>
          <w:highlight w:val="none"/>
        </w:rPr>
      </w:pPr>
    </w:p>
    <w:p w14:paraId="165BEFB7">
      <w:pPr>
        <w:snapToGrid w:val="0"/>
        <w:spacing w:before="120" w:beforeLines="50" w:after="50"/>
        <w:ind w:left="142"/>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项目实施人员一览表</w:t>
      </w:r>
    </w:p>
    <w:p w14:paraId="6007F38E">
      <w:pPr>
        <w:pStyle w:val="23"/>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所投分标：</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分标</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6D1D7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C1771A5">
            <w:pPr>
              <w:snapToGrid w:val="0"/>
              <w:spacing w:before="50" w:after="120" w:afterLines="50"/>
              <w:jc w:val="center"/>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姓名</w:t>
            </w:r>
          </w:p>
        </w:tc>
        <w:tc>
          <w:tcPr>
            <w:tcW w:w="709" w:type="dxa"/>
            <w:vAlign w:val="center"/>
          </w:tcPr>
          <w:p w14:paraId="1A6F7F5D">
            <w:pPr>
              <w:snapToGrid w:val="0"/>
              <w:spacing w:before="50" w:after="120" w:afterLines="50"/>
              <w:jc w:val="center"/>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职务</w:t>
            </w:r>
          </w:p>
        </w:tc>
        <w:tc>
          <w:tcPr>
            <w:tcW w:w="1701" w:type="dxa"/>
            <w:vAlign w:val="center"/>
          </w:tcPr>
          <w:p w14:paraId="4275E402">
            <w:pPr>
              <w:snapToGrid w:val="0"/>
              <w:spacing w:before="50" w:after="120" w:afterLines="50"/>
              <w:jc w:val="center"/>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专业技术资格（职称）或者职业资格或者执业资格证或者其他证书</w:t>
            </w:r>
          </w:p>
        </w:tc>
        <w:tc>
          <w:tcPr>
            <w:tcW w:w="1420" w:type="dxa"/>
            <w:vAlign w:val="center"/>
          </w:tcPr>
          <w:p w14:paraId="3FB8F6AB">
            <w:pPr>
              <w:snapToGrid w:val="0"/>
              <w:spacing w:before="50" w:after="120" w:afterLines="50"/>
              <w:jc w:val="center"/>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证书编号</w:t>
            </w:r>
          </w:p>
        </w:tc>
        <w:tc>
          <w:tcPr>
            <w:tcW w:w="1698" w:type="dxa"/>
            <w:vAlign w:val="center"/>
          </w:tcPr>
          <w:p w14:paraId="35DBE513">
            <w:pPr>
              <w:snapToGrid w:val="0"/>
              <w:spacing w:before="50" w:after="120" w:afterLines="50"/>
              <w:jc w:val="center"/>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参加本单位</w:t>
            </w:r>
          </w:p>
          <w:p w14:paraId="4FEFD368">
            <w:pPr>
              <w:snapToGrid w:val="0"/>
              <w:spacing w:before="50" w:after="120" w:afterLines="50"/>
              <w:jc w:val="center"/>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工作时间</w:t>
            </w:r>
          </w:p>
        </w:tc>
        <w:tc>
          <w:tcPr>
            <w:tcW w:w="1843" w:type="dxa"/>
            <w:vAlign w:val="center"/>
          </w:tcPr>
          <w:p w14:paraId="3E8E1DE4">
            <w:pPr>
              <w:snapToGrid w:val="0"/>
              <w:spacing w:before="50" w:after="120" w:afterLines="50"/>
              <w:jc w:val="center"/>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劳动合同编号</w:t>
            </w:r>
          </w:p>
        </w:tc>
      </w:tr>
      <w:tr w14:paraId="010A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E66D21C">
            <w:pPr>
              <w:snapToGrid w:val="0"/>
              <w:spacing w:before="50" w:after="120" w:afterLines="50"/>
              <w:jc w:val="center"/>
              <w:rPr>
                <w:rFonts w:hint="eastAsia" w:ascii="仿宋" w:hAnsi="仿宋" w:eastAsia="仿宋" w:cs="仿宋"/>
                <w:color w:val="auto"/>
                <w:sz w:val="24"/>
                <w:szCs w:val="20"/>
                <w:highlight w:val="none"/>
              </w:rPr>
            </w:pPr>
          </w:p>
        </w:tc>
        <w:tc>
          <w:tcPr>
            <w:tcW w:w="709" w:type="dxa"/>
            <w:vAlign w:val="center"/>
          </w:tcPr>
          <w:p w14:paraId="69974886">
            <w:pPr>
              <w:snapToGrid w:val="0"/>
              <w:spacing w:before="50" w:after="120" w:afterLines="50"/>
              <w:jc w:val="center"/>
              <w:rPr>
                <w:rFonts w:hint="eastAsia" w:ascii="仿宋" w:hAnsi="仿宋" w:eastAsia="仿宋" w:cs="仿宋"/>
                <w:color w:val="auto"/>
                <w:sz w:val="24"/>
                <w:szCs w:val="20"/>
                <w:highlight w:val="none"/>
              </w:rPr>
            </w:pPr>
          </w:p>
        </w:tc>
        <w:tc>
          <w:tcPr>
            <w:tcW w:w="1701" w:type="dxa"/>
            <w:vAlign w:val="center"/>
          </w:tcPr>
          <w:p w14:paraId="6BC61A0A">
            <w:pPr>
              <w:snapToGrid w:val="0"/>
              <w:spacing w:before="50" w:after="120" w:afterLines="50"/>
              <w:jc w:val="center"/>
              <w:rPr>
                <w:rFonts w:hint="eastAsia" w:ascii="仿宋" w:hAnsi="仿宋" w:eastAsia="仿宋" w:cs="仿宋"/>
                <w:color w:val="auto"/>
                <w:sz w:val="24"/>
                <w:szCs w:val="20"/>
                <w:highlight w:val="none"/>
              </w:rPr>
            </w:pPr>
          </w:p>
        </w:tc>
        <w:tc>
          <w:tcPr>
            <w:tcW w:w="1420" w:type="dxa"/>
            <w:vAlign w:val="center"/>
          </w:tcPr>
          <w:p w14:paraId="29E1D7E9">
            <w:pPr>
              <w:snapToGrid w:val="0"/>
              <w:spacing w:before="50" w:after="120" w:afterLines="50"/>
              <w:jc w:val="center"/>
              <w:rPr>
                <w:rFonts w:hint="eastAsia" w:ascii="仿宋" w:hAnsi="仿宋" w:eastAsia="仿宋" w:cs="仿宋"/>
                <w:color w:val="auto"/>
                <w:sz w:val="24"/>
                <w:szCs w:val="20"/>
                <w:highlight w:val="none"/>
              </w:rPr>
            </w:pPr>
          </w:p>
        </w:tc>
        <w:tc>
          <w:tcPr>
            <w:tcW w:w="1698" w:type="dxa"/>
            <w:vAlign w:val="center"/>
          </w:tcPr>
          <w:p w14:paraId="5824DD3C">
            <w:pPr>
              <w:snapToGrid w:val="0"/>
              <w:spacing w:before="50" w:after="120" w:afterLines="50"/>
              <w:jc w:val="center"/>
              <w:rPr>
                <w:rFonts w:hint="eastAsia" w:ascii="仿宋" w:hAnsi="仿宋" w:eastAsia="仿宋" w:cs="仿宋"/>
                <w:color w:val="auto"/>
                <w:sz w:val="24"/>
                <w:szCs w:val="20"/>
                <w:highlight w:val="none"/>
              </w:rPr>
            </w:pPr>
          </w:p>
        </w:tc>
        <w:tc>
          <w:tcPr>
            <w:tcW w:w="1843" w:type="dxa"/>
            <w:vAlign w:val="center"/>
          </w:tcPr>
          <w:p w14:paraId="19482D9A">
            <w:pPr>
              <w:snapToGrid w:val="0"/>
              <w:spacing w:before="50" w:after="120" w:afterLines="50"/>
              <w:jc w:val="center"/>
              <w:rPr>
                <w:rFonts w:hint="eastAsia" w:ascii="仿宋" w:hAnsi="仿宋" w:eastAsia="仿宋" w:cs="仿宋"/>
                <w:color w:val="auto"/>
                <w:sz w:val="24"/>
                <w:szCs w:val="20"/>
                <w:highlight w:val="none"/>
              </w:rPr>
            </w:pPr>
          </w:p>
        </w:tc>
      </w:tr>
      <w:tr w14:paraId="3158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DC112F0">
            <w:pPr>
              <w:snapToGrid w:val="0"/>
              <w:spacing w:before="50" w:after="120" w:afterLines="50"/>
              <w:jc w:val="center"/>
              <w:rPr>
                <w:rFonts w:hint="eastAsia" w:ascii="仿宋" w:hAnsi="仿宋" w:eastAsia="仿宋" w:cs="仿宋"/>
                <w:color w:val="auto"/>
                <w:sz w:val="24"/>
                <w:szCs w:val="20"/>
                <w:highlight w:val="none"/>
              </w:rPr>
            </w:pPr>
          </w:p>
        </w:tc>
        <w:tc>
          <w:tcPr>
            <w:tcW w:w="709" w:type="dxa"/>
            <w:vAlign w:val="center"/>
          </w:tcPr>
          <w:p w14:paraId="730069DC">
            <w:pPr>
              <w:snapToGrid w:val="0"/>
              <w:spacing w:before="50" w:after="120" w:afterLines="50"/>
              <w:jc w:val="center"/>
              <w:rPr>
                <w:rFonts w:hint="eastAsia" w:ascii="仿宋" w:hAnsi="仿宋" w:eastAsia="仿宋" w:cs="仿宋"/>
                <w:color w:val="auto"/>
                <w:sz w:val="24"/>
                <w:szCs w:val="20"/>
                <w:highlight w:val="none"/>
              </w:rPr>
            </w:pPr>
          </w:p>
        </w:tc>
        <w:tc>
          <w:tcPr>
            <w:tcW w:w="1701" w:type="dxa"/>
            <w:vAlign w:val="center"/>
          </w:tcPr>
          <w:p w14:paraId="71EA1F38">
            <w:pPr>
              <w:snapToGrid w:val="0"/>
              <w:spacing w:before="50" w:after="120" w:afterLines="50"/>
              <w:jc w:val="center"/>
              <w:rPr>
                <w:rFonts w:hint="eastAsia" w:ascii="仿宋" w:hAnsi="仿宋" w:eastAsia="仿宋" w:cs="仿宋"/>
                <w:color w:val="auto"/>
                <w:sz w:val="24"/>
                <w:szCs w:val="20"/>
                <w:highlight w:val="none"/>
              </w:rPr>
            </w:pPr>
          </w:p>
        </w:tc>
        <w:tc>
          <w:tcPr>
            <w:tcW w:w="1420" w:type="dxa"/>
            <w:vAlign w:val="center"/>
          </w:tcPr>
          <w:p w14:paraId="3DBCA2C0">
            <w:pPr>
              <w:snapToGrid w:val="0"/>
              <w:spacing w:before="50" w:after="120" w:afterLines="50"/>
              <w:jc w:val="center"/>
              <w:rPr>
                <w:rFonts w:hint="eastAsia" w:ascii="仿宋" w:hAnsi="仿宋" w:eastAsia="仿宋" w:cs="仿宋"/>
                <w:color w:val="auto"/>
                <w:sz w:val="24"/>
                <w:szCs w:val="20"/>
                <w:highlight w:val="none"/>
              </w:rPr>
            </w:pPr>
          </w:p>
        </w:tc>
        <w:tc>
          <w:tcPr>
            <w:tcW w:w="1698" w:type="dxa"/>
            <w:vAlign w:val="center"/>
          </w:tcPr>
          <w:p w14:paraId="08BC7FE3">
            <w:pPr>
              <w:snapToGrid w:val="0"/>
              <w:spacing w:before="50" w:after="120" w:afterLines="50"/>
              <w:jc w:val="center"/>
              <w:rPr>
                <w:rFonts w:hint="eastAsia" w:ascii="仿宋" w:hAnsi="仿宋" w:eastAsia="仿宋" w:cs="仿宋"/>
                <w:color w:val="auto"/>
                <w:sz w:val="24"/>
                <w:szCs w:val="20"/>
                <w:highlight w:val="none"/>
              </w:rPr>
            </w:pPr>
          </w:p>
        </w:tc>
        <w:tc>
          <w:tcPr>
            <w:tcW w:w="1843" w:type="dxa"/>
            <w:vAlign w:val="center"/>
          </w:tcPr>
          <w:p w14:paraId="4282DCAA">
            <w:pPr>
              <w:snapToGrid w:val="0"/>
              <w:spacing w:before="50" w:after="120" w:afterLines="50"/>
              <w:jc w:val="center"/>
              <w:rPr>
                <w:rFonts w:hint="eastAsia" w:ascii="仿宋" w:hAnsi="仿宋" w:eastAsia="仿宋" w:cs="仿宋"/>
                <w:color w:val="auto"/>
                <w:sz w:val="24"/>
                <w:szCs w:val="20"/>
                <w:highlight w:val="none"/>
              </w:rPr>
            </w:pPr>
          </w:p>
        </w:tc>
      </w:tr>
      <w:tr w14:paraId="28337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158E495">
            <w:pPr>
              <w:snapToGrid w:val="0"/>
              <w:spacing w:before="50" w:after="120" w:afterLines="50"/>
              <w:jc w:val="center"/>
              <w:rPr>
                <w:rFonts w:hint="eastAsia" w:ascii="仿宋" w:hAnsi="仿宋" w:eastAsia="仿宋" w:cs="仿宋"/>
                <w:color w:val="auto"/>
                <w:sz w:val="24"/>
                <w:szCs w:val="20"/>
                <w:highlight w:val="none"/>
              </w:rPr>
            </w:pPr>
          </w:p>
        </w:tc>
        <w:tc>
          <w:tcPr>
            <w:tcW w:w="709" w:type="dxa"/>
            <w:vAlign w:val="center"/>
          </w:tcPr>
          <w:p w14:paraId="6A45FEF8">
            <w:pPr>
              <w:snapToGrid w:val="0"/>
              <w:spacing w:before="50" w:after="120" w:afterLines="50"/>
              <w:jc w:val="center"/>
              <w:rPr>
                <w:rFonts w:hint="eastAsia" w:ascii="仿宋" w:hAnsi="仿宋" w:eastAsia="仿宋" w:cs="仿宋"/>
                <w:color w:val="auto"/>
                <w:sz w:val="24"/>
                <w:szCs w:val="20"/>
                <w:highlight w:val="none"/>
              </w:rPr>
            </w:pPr>
          </w:p>
        </w:tc>
        <w:tc>
          <w:tcPr>
            <w:tcW w:w="1701" w:type="dxa"/>
            <w:vAlign w:val="center"/>
          </w:tcPr>
          <w:p w14:paraId="1A535DF1">
            <w:pPr>
              <w:snapToGrid w:val="0"/>
              <w:spacing w:before="50" w:after="120" w:afterLines="50"/>
              <w:jc w:val="center"/>
              <w:rPr>
                <w:rFonts w:hint="eastAsia" w:ascii="仿宋" w:hAnsi="仿宋" w:eastAsia="仿宋" w:cs="仿宋"/>
                <w:color w:val="auto"/>
                <w:sz w:val="24"/>
                <w:szCs w:val="20"/>
                <w:highlight w:val="none"/>
              </w:rPr>
            </w:pPr>
          </w:p>
        </w:tc>
        <w:tc>
          <w:tcPr>
            <w:tcW w:w="1420" w:type="dxa"/>
            <w:vAlign w:val="center"/>
          </w:tcPr>
          <w:p w14:paraId="0B47A4F8">
            <w:pPr>
              <w:snapToGrid w:val="0"/>
              <w:spacing w:before="50" w:after="120" w:afterLines="50"/>
              <w:jc w:val="center"/>
              <w:rPr>
                <w:rFonts w:hint="eastAsia" w:ascii="仿宋" w:hAnsi="仿宋" w:eastAsia="仿宋" w:cs="仿宋"/>
                <w:color w:val="auto"/>
                <w:sz w:val="24"/>
                <w:szCs w:val="20"/>
                <w:highlight w:val="none"/>
              </w:rPr>
            </w:pPr>
          </w:p>
        </w:tc>
        <w:tc>
          <w:tcPr>
            <w:tcW w:w="1698" w:type="dxa"/>
            <w:vAlign w:val="center"/>
          </w:tcPr>
          <w:p w14:paraId="56907D55">
            <w:pPr>
              <w:snapToGrid w:val="0"/>
              <w:spacing w:before="50" w:after="120" w:afterLines="50"/>
              <w:jc w:val="center"/>
              <w:rPr>
                <w:rFonts w:hint="eastAsia" w:ascii="仿宋" w:hAnsi="仿宋" w:eastAsia="仿宋" w:cs="仿宋"/>
                <w:color w:val="auto"/>
                <w:sz w:val="24"/>
                <w:szCs w:val="20"/>
                <w:highlight w:val="none"/>
              </w:rPr>
            </w:pPr>
          </w:p>
        </w:tc>
        <w:tc>
          <w:tcPr>
            <w:tcW w:w="1843" w:type="dxa"/>
            <w:vAlign w:val="center"/>
          </w:tcPr>
          <w:p w14:paraId="00250B69">
            <w:pPr>
              <w:snapToGrid w:val="0"/>
              <w:spacing w:before="50" w:after="120" w:afterLines="50"/>
              <w:jc w:val="center"/>
              <w:rPr>
                <w:rFonts w:hint="eastAsia" w:ascii="仿宋" w:hAnsi="仿宋" w:eastAsia="仿宋" w:cs="仿宋"/>
                <w:color w:val="auto"/>
                <w:sz w:val="24"/>
                <w:szCs w:val="20"/>
                <w:highlight w:val="none"/>
              </w:rPr>
            </w:pPr>
          </w:p>
        </w:tc>
      </w:tr>
    </w:tbl>
    <w:p w14:paraId="58DCB349">
      <w:pPr>
        <w:snapToGrid w:val="0"/>
        <w:spacing w:before="50" w:after="120" w:afterLines="50"/>
        <w:jc w:val="left"/>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注：在填写时，如本表格不适合投标单位的实际情况，可根据本表格式自行制表填写。</w:t>
      </w:r>
    </w:p>
    <w:p w14:paraId="25D6E837">
      <w:pPr>
        <w:snapToGrid w:val="0"/>
        <w:spacing w:before="50" w:after="50"/>
        <w:rPr>
          <w:rFonts w:hint="eastAsia" w:ascii="仿宋" w:hAnsi="仿宋" w:eastAsia="仿宋" w:cs="仿宋"/>
          <w:color w:val="auto"/>
          <w:spacing w:val="20"/>
          <w:sz w:val="24"/>
          <w:szCs w:val="20"/>
          <w:highlight w:val="none"/>
          <w:u w:val="single"/>
        </w:rPr>
      </w:pPr>
      <w:r>
        <w:rPr>
          <w:rFonts w:hint="eastAsia" w:ascii="仿宋" w:hAnsi="仿宋" w:eastAsia="仿宋" w:cs="仿宋"/>
          <w:color w:val="auto"/>
          <w:sz w:val="24"/>
          <w:highlight w:val="none"/>
        </w:rPr>
        <w:t>法定代表人或者委托代理人</w:t>
      </w:r>
      <w:r>
        <w:rPr>
          <w:rFonts w:hint="eastAsia" w:ascii="仿宋" w:hAnsi="仿宋" w:eastAsia="仿宋" w:cs="仿宋"/>
          <w:color w:val="auto"/>
          <w:spacing w:val="20"/>
          <w:sz w:val="24"/>
          <w:highlight w:val="none"/>
        </w:rPr>
        <w:t>签字：</w:t>
      </w:r>
      <w:r>
        <w:rPr>
          <w:rFonts w:hint="eastAsia" w:ascii="仿宋" w:hAnsi="仿宋" w:eastAsia="仿宋" w:cs="仿宋"/>
          <w:color w:val="auto"/>
          <w:spacing w:val="20"/>
          <w:sz w:val="24"/>
          <w:highlight w:val="none"/>
          <w:u w:val="single"/>
        </w:rPr>
        <w:t xml:space="preserve">        </w:t>
      </w:r>
    </w:p>
    <w:p w14:paraId="409740A6">
      <w:pPr>
        <w:snapToGrid w:val="0"/>
        <w:spacing w:before="50" w:after="120" w:afterLines="50"/>
        <w:jc w:val="left"/>
        <w:rPr>
          <w:rFonts w:hint="eastAsia" w:ascii="仿宋" w:hAnsi="仿宋" w:eastAsia="仿宋" w:cs="仿宋"/>
          <w:color w:val="auto"/>
          <w:sz w:val="24"/>
          <w:szCs w:val="20"/>
          <w:highlight w:val="none"/>
        </w:rPr>
      </w:pPr>
      <w:r>
        <w:rPr>
          <w:rFonts w:hint="eastAsia" w:ascii="仿宋" w:hAnsi="仿宋" w:eastAsia="仿宋" w:cs="仿宋"/>
          <w:color w:val="auto"/>
          <w:spacing w:val="20"/>
          <w:sz w:val="24"/>
          <w:highlight w:val="none"/>
        </w:rPr>
        <w:t>投标人（盖公章）：</w:t>
      </w:r>
      <w:r>
        <w:rPr>
          <w:rFonts w:hint="eastAsia" w:ascii="仿宋" w:hAnsi="仿宋" w:eastAsia="仿宋" w:cs="仿宋"/>
          <w:color w:val="auto"/>
          <w:spacing w:val="20"/>
          <w:sz w:val="24"/>
          <w:highlight w:val="none"/>
          <w:u w:val="single"/>
        </w:rPr>
        <w:t xml:space="preserve">            </w:t>
      </w:r>
      <w:r>
        <w:rPr>
          <w:rFonts w:hint="eastAsia" w:ascii="仿宋" w:hAnsi="仿宋" w:eastAsia="仿宋" w:cs="仿宋"/>
          <w:color w:val="auto"/>
          <w:spacing w:val="20"/>
          <w:sz w:val="24"/>
          <w:highlight w:val="none"/>
        </w:rPr>
        <w:t xml:space="preserve">              日 期：</w:t>
      </w:r>
      <w:r>
        <w:rPr>
          <w:rFonts w:hint="eastAsia" w:ascii="仿宋" w:hAnsi="仿宋" w:eastAsia="仿宋" w:cs="仿宋"/>
          <w:color w:val="auto"/>
          <w:spacing w:val="20"/>
          <w:sz w:val="24"/>
          <w:highlight w:val="none"/>
          <w:u w:val="single"/>
        </w:rPr>
        <w:t xml:space="preserve">         </w:t>
      </w:r>
    </w:p>
    <w:p w14:paraId="059802C4">
      <w:pPr>
        <w:snapToGrid w:val="0"/>
        <w:spacing w:before="50" w:after="120" w:afterLines="50"/>
        <w:jc w:val="left"/>
        <w:rPr>
          <w:rFonts w:hint="eastAsia" w:ascii="仿宋" w:hAnsi="仿宋" w:eastAsia="仿宋" w:cs="仿宋"/>
          <w:color w:val="auto"/>
          <w:sz w:val="24"/>
          <w:szCs w:val="20"/>
          <w:highlight w:val="none"/>
        </w:rPr>
      </w:pPr>
    </w:p>
    <w:p w14:paraId="33AEC03E">
      <w:pPr>
        <w:snapToGrid w:val="0"/>
        <w:spacing w:before="50" w:after="50"/>
        <w:rPr>
          <w:rFonts w:hint="eastAsia" w:ascii="仿宋" w:hAnsi="仿宋" w:eastAsia="仿宋" w:cs="仿宋"/>
          <w:color w:val="auto"/>
          <w:sz w:val="24"/>
          <w:szCs w:val="20"/>
          <w:highlight w:val="none"/>
        </w:rPr>
      </w:pPr>
    </w:p>
    <w:p w14:paraId="5211D65A">
      <w:pPr>
        <w:snapToGrid w:val="0"/>
        <w:spacing w:before="50" w:after="120" w:afterLines="50"/>
        <w:jc w:val="left"/>
        <w:rPr>
          <w:rFonts w:hint="eastAsia" w:ascii="仿宋" w:hAnsi="仿宋" w:eastAsia="仿宋" w:cs="仿宋"/>
          <w:color w:val="auto"/>
          <w:sz w:val="24"/>
          <w:szCs w:val="20"/>
          <w:highlight w:val="none"/>
        </w:rPr>
      </w:pPr>
    </w:p>
    <w:p w14:paraId="11590DA5">
      <w:pPr>
        <w:snapToGrid w:val="0"/>
        <w:spacing w:before="120" w:beforeLines="50" w:after="50"/>
        <w:outlineLvl w:val="1"/>
        <w:rPr>
          <w:rFonts w:hint="eastAsia" w:ascii="仿宋" w:hAnsi="仿宋" w:eastAsia="仿宋" w:cs="仿宋"/>
          <w:b/>
          <w:bCs/>
          <w:color w:val="auto"/>
          <w:sz w:val="28"/>
          <w:szCs w:val="28"/>
          <w:highlight w:val="none"/>
        </w:rPr>
      </w:pPr>
      <w:r>
        <w:rPr>
          <w:rFonts w:hint="eastAsia" w:ascii="仿宋" w:hAnsi="仿宋" w:eastAsia="仿宋" w:cs="仿宋"/>
          <w:b/>
          <w:bCs/>
          <w:color w:val="auto"/>
          <w:sz w:val="24"/>
          <w:highlight w:val="none"/>
        </w:rPr>
        <w:br w:type="page"/>
      </w:r>
      <w:bookmarkStart w:id="156" w:name="_Toc3433"/>
      <w:bookmarkStart w:id="157" w:name="_Toc19686840"/>
      <w:r>
        <w:rPr>
          <w:rFonts w:hint="eastAsia" w:ascii="仿宋" w:hAnsi="仿宋" w:eastAsia="仿宋" w:cs="仿宋"/>
          <w:b/>
          <w:bCs/>
          <w:color w:val="auto"/>
          <w:sz w:val="28"/>
          <w:szCs w:val="28"/>
          <w:highlight w:val="none"/>
        </w:rPr>
        <w:t>六、其他文书、文件格式</w:t>
      </w:r>
      <w:bookmarkEnd w:id="156"/>
      <w:bookmarkEnd w:id="157"/>
    </w:p>
    <w:p w14:paraId="206D2957">
      <w:pPr>
        <w:snapToGrid w:val="0"/>
        <w:spacing w:before="120" w:beforeLines="50" w:after="50"/>
        <w:jc w:val="left"/>
        <w:rPr>
          <w:rFonts w:hint="eastAsia" w:ascii="仿宋" w:hAnsi="仿宋" w:eastAsia="仿宋" w:cs="仿宋"/>
          <w:b/>
          <w:color w:val="auto"/>
          <w:sz w:val="24"/>
          <w:highlight w:val="none"/>
        </w:rPr>
      </w:pPr>
    </w:p>
    <w:p w14:paraId="16D7C381">
      <w:pPr>
        <w:snapToGrid w:val="0"/>
        <w:spacing w:before="120" w:beforeLines="50" w:after="50"/>
        <w:jc w:val="left"/>
        <w:rPr>
          <w:rFonts w:hint="eastAsia" w:ascii="仿宋" w:hAnsi="仿宋" w:eastAsia="仿宋" w:cs="仿宋"/>
          <w:color w:val="auto"/>
          <w:highlight w:val="none"/>
        </w:rPr>
      </w:pPr>
      <w:r>
        <w:rPr>
          <w:rFonts w:hint="eastAsia" w:ascii="仿宋" w:hAnsi="仿宋" w:eastAsia="仿宋" w:cs="仿宋"/>
          <w:b/>
          <w:color w:val="auto"/>
          <w:sz w:val="24"/>
          <w:highlight w:val="none"/>
        </w:rPr>
        <w:t xml:space="preserve"> 中小企业声明函格式</w:t>
      </w:r>
    </w:p>
    <w:p w14:paraId="6E73D79E">
      <w:pPr>
        <w:rPr>
          <w:rFonts w:hint="eastAsia" w:ascii="仿宋" w:hAnsi="仿宋" w:eastAsia="仿宋" w:cs="仿宋"/>
          <w:color w:val="auto"/>
          <w:highlight w:val="none"/>
        </w:rPr>
      </w:pPr>
    </w:p>
    <w:p w14:paraId="6D23CB98">
      <w:pPr>
        <w:spacing w:line="588" w:lineRule="exact"/>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中小企业声明函</w:t>
      </w:r>
    </w:p>
    <w:p w14:paraId="11468886">
      <w:pPr>
        <w:spacing w:line="588" w:lineRule="exact"/>
        <w:rPr>
          <w:rFonts w:hint="eastAsia" w:ascii="仿宋" w:hAnsi="仿宋" w:eastAsia="仿宋" w:cs="仿宋"/>
          <w:b/>
          <w:color w:val="auto"/>
          <w:spacing w:val="6"/>
          <w:sz w:val="32"/>
          <w:szCs w:val="32"/>
          <w:highlight w:val="none"/>
        </w:rPr>
      </w:pPr>
    </w:p>
    <w:p w14:paraId="59F02B5C">
      <w:pPr>
        <w:spacing w:line="360" w:lineRule="auto"/>
        <w:ind w:firstLine="504"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本公司（联合体）郑重声明，根据《政府采购促进中小企业发展管理办法》（财库﹝2020﹞ 46 号）的规定，本公司（联合体）参加</w:t>
      </w:r>
      <w:r>
        <w:rPr>
          <w:rFonts w:hint="eastAsia" w:ascii="仿宋" w:hAnsi="仿宋" w:eastAsia="仿宋" w:cs="仿宋"/>
          <w:color w:val="auto"/>
          <w:spacing w:val="6"/>
          <w:sz w:val="24"/>
          <w:highlight w:val="none"/>
          <w:u w:val="single"/>
        </w:rPr>
        <w:t>（单位名称）</w:t>
      </w:r>
      <w:r>
        <w:rPr>
          <w:rFonts w:hint="eastAsia" w:ascii="仿宋" w:hAnsi="仿宋" w:eastAsia="仿宋" w:cs="仿宋"/>
          <w:color w:val="auto"/>
          <w:spacing w:val="6"/>
          <w:sz w:val="24"/>
          <w:highlight w:val="none"/>
        </w:rPr>
        <w:t>的</w:t>
      </w:r>
      <w:r>
        <w:rPr>
          <w:rFonts w:hint="eastAsia" w:ascii="仿宋" w:hAnsi="仿宋" w:eastAsia="仿宋" w:cs="仿宋"/>
          <w:color w:val="auto"/>
          <w:spacing w:val="6"/>
          <w:sz w:val="24"/>
          <w:highlight w:val="none"/>
          <w:u w:val="single"/>
        </w:rPr>
        <w:t>（项目名称）</w:t>
      </w:r>
      <w:r>
        <w:rPr>
          <w:rFonts w:hint="eastAsia" w:ascii="仿宋" w:hAnsi="仿宋" w:eastAsia="仿宋" w:cs="仿宋"/>
          <w:color w:val="auto"/>
          <w:spacing w:val="6"/>
          <w:sz w:val="24"/>
          <w:highlight w:val="none"/>
        </w:rPr>
        <w:t>采购活动，提供的货物全部由符合政策要求的中小企业制造。相关企业（含联合体中的中小企业、签订分包意向协议的中小企业）的具体情况如下：</w:t>
      </w:r>
    </w:p>
    <w:p w14:paraId="6DBC487A">
      <w:pPr>
        <w:spacing w:line="360" w:lineRule="auto"/>
        <w:ind w:firstLine="504"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1.</w:t>
      </w:r>
      <w:r>
        <w:rPr>
          <w:rFonts w:hint="eastAsia" w:ascii="仿宋" w:hAnsi="仿宋" w:eastAsia="仿宋" w:cs="仿宋"/>
          <w:color w:val="auto"/>
          <w:spacing w:val="6"/>
          <w:sz w:val="24"/>
          <w:highlight w:val="none"/>
          <w:u w:val="single"/>
        </w:rPr>
        <w:t>（标的名称）</w:t>
      </w:r>
      <w:r>
        <w:rPr>
          <w:rFonts w:hint="eastAsia" w:ascii="仿宋" w:hAnsi="仿宋" w:eastAsia="仿宋" w:cs="仿宋"/>
          <w:color w:val="auto"/>
          <w:spacing w:val="6"/>
          <w:sz w:val="24"/>
          <w:highlight w:val="none"/>
        </w:rPr>
        <w:t>，属于</w:t>
      </w:r>
      <w:r>
        <w:rPr>
          <w:rFonts w:hint="eastAsia" w:ascii="仿宋" w:hAnsi="仿宋" w:eastAsia="仿宋" w:cs="仿宋"/>
          <w:color w:val="auto"/>
          <w:spacing w:val="6"/>
          <w:sz w:val="24"/>
          <w:highlight w:val="none"/>
          <w:u w:val="single"/>
        </w:rPr>
        <w:t>（采购文件中明确的所属行业）</w:t>
      </w:r>
      <w:r>
        <w:rPr>
          <w:rFonts w:hint="eastAsia" w:ascii="仿宋" w:hAnsi="仿宋" w:eastAsia="仿宋" w:cs="仿宋"/>
          <w:color w:val="auto"/>
          <w:spacing w:val="6"/>
          <w:sz w:val="24"/>
          <w:highlight w:val="none"/>
        </w:rPr>
        <w:t>行业；承接企业为</w:t>
      </w:r>
      <w:r>
        <w:rPr>
          <w:rFonts w:hint="eastAsia" w:ascii="仿宋" w:hAnsi="仿宋" w:eastAsia="仿宋" w:cs="仿宋"/>
          <w:color w:val="auto"/>
          <w:spacing w:val="6"/>
          <w:sz w:val="24"/>
          <w:highlight w:val="none"/>
          <w:u w:val="single"/>
        </w:rPr>
        <w:t>（企业名称）</w:t>
      </w:r>
      <w:r>
        <w:rPr>
          <w:rFonts w:hint="eastAsia" w:ascii="仿宋" w:hAnsi="仿宋" w:eastAsia="仿宋" w:cs="仿宋"/>
          <w:color w:val="auto"/>
          <w:spacing w:val="6"/>
          <w:sz w:val="24"/>
          <w:highlight w:val="none"/>
        </w:rPr>
        <w:t>，从业人员</w:t>
      </w:r>
      <w:r>
        <w:rPr>
          <w:rFonts w:hint="eastAsia" w:ascii="仿宋" w:hAnsi="仿宋" w:eastAsia="仿宋" w:cs="仿宋"/>
          <w:color w:val="auto"/>
          <w:spacing w:val="6"/>
          <w:sz w:val="24"/>
          <w:highlight w:val="none"/>
          <w:u w:val="single"/>
        </w:rPr>
        <w:t xml:space="preserve">    </w:t>
      </w:r>
      <w:r>
        <w:rPr>
          <w:rFonts w:hint="eastAsia" w:ascii="仿宋" w:hAnsi="仿宋" w:eastAsia="仿宋" w:cs="仿宋"/>
          <w:color w:val="auto"/>
          <w:spacing w:val="6"/>
          <w:sz w:val="24"/>
          <w:highlight w:val="none"/>
        </w:rPr>
        <w:t>人，营业收入为</w:t>
      </w:r>
      <w:r>
        <w:rPr>
          <w:rFonts w:hint="eastAsia" w:ascii="仿宋" w:hAnsi="仿宋" w:eastAsia="仿宋" w:cs="仿宋"/>
          <w:color w:val="auto"/>
          <w:spacing w:val="6"/>
          <w:sz w:val="24"/>
          <w:highlight w:val="none"/>
          <w:u w:val="single"/>
        </w:rPr>
        <w:t xml:space="preserve">    </w:t>
      </w:r>
      <w:r>
        <w:rPr>
          <w:rFonts w:hint="eastAsia" w:ascii="仿宋" w:hAnsi="仿宋" w:eastAsia="仿宋" w:cs="仿宋"/>
          <w:color w:val="auto"/>
          <w:spacing w:val="6"/>
          <w:sz w:val="24"/>
          <w:highlight w:val="none"/>
        </w:rPr>
        <w:t>万元，资产总额为</w:t>
      </w:r>
      <w:r>
        <w:rPr>
          <w:rFonts w:hint="eastAsia" w:ascii="仿宋" w:hAnsi="仿宋" w:eastAsia="仿宋" w:cs="仿宋"/>
          <w:color w:val="auto"/>
          <w:spacing w:val="6"/>
          <w:sz w:val="24"/>
          <w:highlight w:val="none"/>
          <w:u w:val="single"/>
        </w:rPr>
        <w:t xml:space="preserve">   </w:t>
      </w:r>
      <w:r>
        <w:rPr>
          <w:rFonts w:hint="eastAsia" w:ascii="仿宋" w:hAnsi="仿宋" w:eastAsia="仿宋" w:cs="仿宋"/>
          <w:color w:val="auto"/>
          <w:spacing w:val="6"/>
          <w:sz w:val="24"/>
          <w:highlight w:val="none"/>
        </w:rPr>
        <w:t>万元，属于</w:t>
      </w:r>
      <w:r>
        <w:rPr>
          <w:rFonts w:hint="eastAsia" w:ascii="仿宋" w:hAnsi="仿宋" w:eastAsia="仿宋" w:cs="仿宋"/>
          <w:color w:val="auto"/>
          <w:spacing w:val="6"/>
          <w:sz w:val="24"/>
          <w:highlight w:val="none"/>
          <w:u w:val="single"/>
        </w:rPr>
        <w:t>（中型企业、小型企业、 微型企业）</w:t>
      </w:r>
      <w:r>
        <w:rPr>
          <w:rFonts w:hint="eastAsia" w:ascii="仿宋" w:hAnsi="仿宋" w:eastAsia="仿宋" w:cs="仿宋"/>
          <w:color w:val="auto"/>
          <w:spacing w:val="6"/>
          <w:sz w:val="24"/>
          <w:highlight w:val="none"/>
        </w:rPr>
        <w:t>；</w:t>
      </w:r>
    </w:p>
    <w:p w14:paraId="6B356B46">
      <w:pPr>
        <w:spacing w:line="360" w:lineRule="auto"/>
        <w:ind w:firstLine="504"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2.</w:t>
      </w:r>
      <w:r>
        <w:rPr>
          <w:rFonts w:hint="eastAsia" w:ascii="仿宋" w:hAnsi="仿宋" w:eastAsia="仿宋" w:cs="仿宋"/>
          <w:color w:val="auto"/>
          <w:spacing w:val="6"/>
          <w:sz w:val="24"/>
          <w:highlight w:val="none"/>
          <w:u w:val="single"/>
        </w:rPr>
        <w:t>（标的名称）</w:t>
      </w:r>
      <w:r>
        <w:rPr>
          <w:rFonts w:hint="eastAsia" w:ascii="仿宋" w:hAnsi="仿宋" w:eastAsia="仿宋" w:cs="仿宋"/>
          <w:color w:val="auto"/>
          <w:spacing w:val="6"/>
          <w:sz w:val="24"/>
          <w:highlight w:val="none"/>
        </w:rPr>
        <w:t>，属于</w:t>
      </w:r>
      <w:r>
        <w:rPr>
          <w:rFonts w:hint="eastAsia" w:ascii="仿宋" w:hAnsi="仿宋" w:eastAsia="仿宋" w:cs="仿宋"/>
          <w:color w:val="auto"/>
          <w:spacing w:val="6"/>
          <w:sz w:val="24"/>
          <w:highlight w:val="none"/>
          <w:u w:val="single"/>
        </w:rPr>
        <w:t>（采购文件中明确的所属行业）</w:t>
      </w:r>
      <w:r>
        <w:rPr>
          <w:rFonts w:hint="eastAsia" w:ascii="仿宋" w:hAnsi="仿宋" w:eastAsia="仿宋" w:cs="仿宋"/>
          <w:color w:val="auto"/>
          <w:spacing w:val="6"/>
          <w:sz w:val="24"/>
          <w:highlight w:val="none"/>
        </w:rPr>
        <w:t>行业；承接企业为</w:t>
      </w:r>
      <w:r>
        <w:rPr>
          <w:rFonts w:hint="eastAsia" w:ascii="仿宋" w:hAnsi="仿宋" w:eastAsia="仿宋" w:cs="仿宋"/>
          <w:color w:val="auto"/>
          <w:spacing w:val="6"/>
          <w:sz w:val="24"/>
          <w:highlight w:val="none"/>
          <w:u w:val="single"/>
        </w:rPr>
        <w:t>（企业名称）</w:t>
      </w:r>
      <w:r>
        <w:rPr>
          <w:rFonts w:hint="eastAsia" w:ascii="仿宋" w:hAnsi="仿宋" w:eastAsia="仿宋" w:cs="仿宋"/>
          <w:color w:val="auto"/>
          <w:spacing w:val="6"/>
          <w:sz w:val="24"/>
          <w:highlight w:val="none"/>
        </w:rPr>
        <w:t>，从业人员</w:t>
      </w:r>
      <w:r>
        <w:rPr>
          <w:rFonts w:hint="eastAsia" w:ascii="仿宋" w:hAnsi="仿宋" w:eastAsia="仿宋" w:cs="仿宋"/>
          <w:color w:val="auto"/>
          <w:spacing w:val="6"/>
          <w:sz w:val="24"/>
          <w:highlight w:val="none"/>
          <w:u w:val="single"/>
        </w:rPr>
        <w:t xml:space="preserve">   </w:t>
      </w:r>
      <w:r>
        <w:rPr>
          <w:rFonts w:hint="eastAsia" w:ascii="仿宋" w:hAnsi="仿宋" w:eastAsia="仿宋" w:cs="仿宋"/>
          <w:color w:val="auto"/>
          <w:spacing w:val="6"/>
          <w:sz w:val="24"/>
          <w:highlight w:val="none"/>
        </w:rPr>
        <w:t>人，营业收入为</w:t>
      </w:r>
      <w:r>
        <w:rPr>
          <w:rFonts w:hint="eastAsia" w:ascii="仿宋" w:hAnsi="仿宋" w:eastAsia="仿宋" w:cs="仿宋"/>
          <w:color w:val="auto"/>
          <w:spacing w:val="6"/>
          <w:sz w:val="24"/>
          <w:highlight w:val="none"/>
          <w:u w:val="single"/>
        </w:rPr>
        <w:t xml:space="preserve">   </w:t>
      </w:r>
      <w:r>
        <w:rPr>
          <w:rFonts w:hint="eastAsia" w:ascii="仿宋" w:hAnsi="仿宋" w:eastAsia="仿宋" w:cs="仿宋"/>
          <w:color w:val="auto"/>
          <w:spacing w:val="6"/>
          <w:sz w:val="24"/>
          <w:highlight w:val="none"/>
        </w:rPr>
        <w:t>万元，资产总额为</w:t>
      </w:r>
      <w:r>
        <w:rPr>
          <w:rFonts w:hint="eastAsia" w:ascii="仿宋" w:hAnsi="仿宋" w:eastAsia="仿宋" w:cs="仿宋"/>
          <w:color w:val="auto"/>
          <w:spacing w:val="6"/>
          <w:sz w:val="24"/>
          <w:highlight w:val="none"/>
          <w:u w:val="single"/>
        </w:rPr>
        <w:t xml:space="preserve">   </w:t>
      </w:r>
      <w:r>
        <w:rPr>
          <w:rFonts w:hint="eastAsia" w:ascii="仿宋" w:hAnsi="仿宋" w:eastAsia="仿宋" w:cs="仿宋"/>
          <w:color w:val="auto"/>
          <w:spacing w:val="6"/>
          <w:sz w:val="24"/>
          <w:highlight w:val="none"/>
        </w:rPr>
        <w:t>万元，属于</w:t>
      </w:r>
      <w:r>
        <w:rPr>
          <w:rFonts w:hint="eastAsia" w:ascii="仿宋" w:hAnsi="仿宋" w:eastAsia="仿宋" w:cs="仿宋"/>
          <w:color w:val="auto"/>
          <w:spacing w:val="6"/>
          <w:sz w:val="24"/>
          <w:highlight w:val="none"/>
          <w:u w:val="single"/>
        </w:rPr>
        <w:t>（中型企业、小型企业、 微型企业）</w:t>
      </w:r>
      <w:r>
        <w:rPr>
          <w:rFonts w:hint="eastAsia" w:ascii="仿宋" w:hAnsi="仿宋" w:eastAsia="仿宋" w:cs="仿宋"/>
          <w:color w:val="auto"/>
          <w:spacing w:val="6"/>
          <w:sz w:val="24"/>
          <w:highlight w:val="none"/>
        </w:rPr>
        <w:t>；</w:t>
      </w:r>
    </w:p>
    <w:p w14:paraId="7B615F7A">
      <w:pPr>
        <w:spacing w:line="360" w:lineRule="auto"/>
        <w:ind w:firstLine="504"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w:t>
      </w:r>
    </w:p>
    <w:p w14:paraId="6198BFAF">
      <w:pPr>
        <w:spacing w:line="360" w:lineRule="auto"/>
        <w:ind w:firstLine="504"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以上企业，不属于大企业的分支机构，不存在控股股东为大企业的情形，也不存在与大企 业的负责人为同一人的情形。 本企业对上述声明内容的真实性负责。如有虚假，将依法承担相应责任。</w:t>
      </w:r>
    </w:p>
    <w:p w14:paraId="3BFE79DC">
      <w:pPr>
        <w:tabs>
          <w:tab w:val="left" w:pos="4860"/>
        </w:tabs>
        <w:spacing w:line="588" w:lineRule="exact"/>
        <w:ind w:right="1560" w:firstLine="504" w:firstLineChars="200"/>
        <w:jc w:val="center"/>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 xml:space="preserve">              </w:t>
      </w:r>
    </w:p>
    <w:p w14:paraId="2C95CC3B">
      <w:pPr>
        <w:spacing w:line="588" w:lineRule="exact"/>
        <w:ind w:firstLine="504"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 xml:space="preserve">                               企业名称（盖公章）： </w:t>
      </w:r>
    </w:p>
    <w:p w14:paraId="09C8CF13">
      <w:pPr>
        <w:spacing w:line="588" w:lineRule="exact"/>
        <w:ind w:firstLine="504" w:firstLineChars="200"/>
        <w:rPr>
          <w:rFonts w:hint="eastAsia" w:ascii="仿宋" w:hAnsi="仿宋" w:eastAsia="仿宋" w:cs="仿宋"/>
          <w:color w:val="auto"/>
          <w:sz w:val="24"/>
          <w:highlight w:val="none"/>
        </w:rPr>
      </w:pPr>
      <w:r>
        <w:rPr>
          <w:rFonts w:hint="eastAsia" w:ascii="仿宋" w:hAnsi="仿宋" w:eastAsia="仿宋" w:cs="仿宋"/>
          <w:color w:val="auto"/>
          <w:spacing w:val="6"/>
          <w:sz w:val="24"/>
          <w:highlight w:val="none"/>
        </w:rPr>
        <w:t xml:space="preserve">                                          日  期：         </w:t>
      </w:r>
    </w:p>
    <w:p w14:paraId="77BCC4FF">
      <w:pPr>
        <w:rPr>
          <w:rFonts w:hint="eastAsia" w:ascii="仿宋" w:hAnsi="仿宋" w:eastAsia="仿宋" w:cs="仿宋"/>
          <w:color w:val="auto"/>
          <w:sz w:val="24"/>
          <w:highlight w:val="none"/>
        </w:rPr>
      </w:pPr>
    </w:p>
    <w:p w14:paraId="1FDE5437">
      <w:pPr>
        <w:rPr>
          <w:rFonts w:hint="eastAsia" w:ascii="仿宋" w:hAnsi="仿宋" w:eastAsia="仿宋" w:cs="仿宋"/>
          <w:color w:val="auto"/>
          <w:sz w:val="24"/>
          <w:highlight w:val="none"/>
        </w:rPr>
      </w:pPr>
    </w:p>
    <w:p w14:paraId="2F5172E9">
      <w:pPr>
        <w:pStyle w:val="23"/>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注：①从业人员、营业收入、资产总额填报上一年度数据，无上一年度数据的新成立企业可不填报。</w:t>
      </w:r>
    </w:p>
    <w:p w14:paraId="62B21F92">
      <w:pPr>
        <w:spacing w:line="360" w:lineRule="atLeast"/>
        <w:ind w:firstLine="487" w:firstLineChars="202"/>
        <w:jc w:val="left"/>
        <w:rPr>
          <w:rFonts w:hint="eastAsia" w:ascii="仿宋" w:hAnsi="仿宋" w:eastAsia="仿宋" w:cs="仿宋"/>
          <w:b/>
          <w:color w:val="auto"/>
          <w:sz w:val="24"/>
          <w:highlight w:val="none"/>
          <w:u w:val="single"/>
        </w:rPr>
      </w:pPr>
      <w:r>
        <w:rPr>
          <w:rFonts w:hint="eastAsia" w:ascii="仿宋" w:hAnsi="仿宋" w:eastAsia="仿宋" w:cs="仿宋"/>
          <w:b/>
          <w:color w:val="auto"/>
          <w:kern w:val="0"/>
          <w:sz w:val="24"/>
          <w:highlight w:val="none"/>
        </w:rPr>
        <w:t>②</w:t>
      </w:r>
      <w:r>
        <w:rPr>
          <w:rFonts w:hint="eastAsia" w:ascii="仿宋" w:hAnsi="仿宋" w:eastAsia="仿宋" w:cs="仿宋"/>
          <w:b/>
          <w:color w:val="auto"/>
          <w:sz w:val="24"/>
          <w:highlight w:val="none"/>
        </w:rPr>
        <w:t>项目所属行业依照《中小企业划型标准规定》（工信部联企业〔2011〕300号）及《国民经济行业分类》（GB/T4754-2017）的有关规定执行，本项目采购标的为广西壮族自治区直属重点国有林区森林火灾高风险区综合治理项目(森林防火监测预警设施设备类)，采购标的在《统计上大中小微型企业划分标准》中属于</w:t>
      </w:r>
      <w:r>
        <w:rPr>
          <w:rFonts w:hint="eastAsia" w:ascii="仿宋" w:hAnsi="仿宋" w:eastAsia="仿宋" w:cs="仿宋"/>
          <w:b/>
          <w:color w:val="auto"/>
          <w:sz w:val="24"/>
          <w:highlight w:val="none"/>
          <w:u w:val="single"/>
        </w:rPr>
        <w:t>“软件和信息技术服务业”。</w:t>
      </w:r>
    </w:p>
    <w:p w14:paraId="66721674">
      <w:pPr>
        <w:widowControl/>
        <w:spacing w:before="120" w:beforeLines="50" w:after="120" w:afterLines="50" w:line="400" w:lineRule="exact"/>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统计上大中小微型企业划分标准</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7"/>
        <w:gridCol w:w="1451"/>
        <w:gridCol w:w="750"/>
        <w:gridCol w:w="1191"/>
        <w:gridCol w:w="1803"/>
        <w:gridCol w:w="1511"/>
        <w:gridCol w:w="1049"/>
      </w:tblGrid>
      <w:tr w14:paraId="452EB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1847" w:type="dxa"/>
            <w:shd w:val="clear" w:color="auto" w:fill="8DB3E2"/>
            <w:vAlign w:val="center"/>
          </w:tcPr>
          <w:p w14:paraId="41D447FE">
            <w:pPr>
              <w:widowControl/>
              <w:spacing w:line="240" w:lineRule="exact"/>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行业名称</w:t>
            </w:r>
          </w:p>
        </w:tc>
        <w:tc>
          <w:tcPr>
            <w:tcW w:w="1451" w:type="dxa"/>
            <w:shd w:val="clear" w:color="auto" w:fill="8DB3E2"/>
            <w:vAlign w:val="center"/>
          </w:tcPr>
          <w:p w14:paraId="07DAABAD">
            <w:pPr>
              <w:widowControl/>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指标名称</w:t>
            </w:r>
          </w:p>
        </w:tc>
        <w:tc>
          <w:tcPr>
            <w:tcW w:w="750" w:type="dxa"/>
            <w:shd w:val="clear" w:color="auto" w:fill="8DB3E2"/>
            <w:vAlign w:val="center"/>
          </w:tcPr>
          <w:p w14:paraId="6AF8BB80">
            <w:pPr>
              <w:widowControl/>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计量</w:t>
            </w:r>
          </w:p>
          <w:p w14:paraId="633E0B6B">
            <w:pPr>
              <w:widowControl/>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单位</w:t>
            </w:r>
          </w:p>
        </w:tc>
        <w:tc>
          <w:tcPr>
            <w:tcW w:w="1191" w:type="dxa"/>
            <w:shd w:val="clear" w:color="auto" w:fill="8DB3E2"/>
            <w:vAlign w:val="center"/>
          </w:tcPr>
          <w:p w14:paraId="5E48F3B1">
            <w:pPr>
              <w:widowControl/>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大型</w:t>
            </w:r>
          </w:p>
        </w:tc>
        <w:tc>
          <w:tcPr>
            <w:tcW w:w="1803" w:type="dxa"/>
            <w:shd w:val="clear" w:color="auto" w:fill="8DB3E2"/>
            <w:vAlign w:val="center"/>
          </w:tcPr>
          <w:p w14:paraId="2FB9B5C1">
            <w:pPr>
              <w:widowControl/>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中型</w:t>
            </w:r>
          </w:p>
        </w:tc>
        <w:tc>
          <w:tcPr>
            <w:tcW w:w="1511" w:type="dxa"/>
            <w:shd w:val="clear" w:color="auto" w:fill="8DB3E2"/>
            <w:vAlign w:val="center"/>
          </w:tcPr>
          <w:p w14:paraId="027E6889">
            <w:pPr>
              <w:widowControl/>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小型</w:t>
            </w:r>
          </w:p>
        </w:tc>
        <w:tc>
          <w:tcPr>
            <w:tcW w:w="1049" w:type="dxa"/>
            <w:shd w:val="clear" w:color="auto" w:fill="8DB3E2"/>
            <w:vAlign w:val="center"/>
          </w:tcPr>
          <w:p w14:paraId="467D04D2">
            <w:pPr>
              <w:widowControl/>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微型</w:t>
            </w:r>
          </w:p>
        </w:tc>
      </w:tr>
      <w:tr w14:paraId="61DF7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Align w:val="center"/>
          </w:tcPr>
          <w:p w14:paraId="2C29630C">
            <w:pPr>
              <w:widowControl/>
              <w:spacing w:line="240" w:lineRule="exac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451" w:type="dxa"/>
            <w:vAlign w:val="center"/>
          </w:tcPr>
          <w:p w14:paraId="4AC99063">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750" w:type="dxa"/>
            <w:vAlign w:val="center"/>
          </w:tcPr>
          <w:p w14:paraId="31B4F551">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191" w:type="dxa"/>
            <w:vAlign w:val="center"/>
          </w:tcPr>
          <w:p w14:paraId="0633E59E">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03" w:type="dxa"/>
            <w:vAlign w:val="center"/>
          </w:tcPr>
          <w:p w14:paraId="0FFC92ED">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511" w:type="dxa"/>
            <w:vAlign w:val="center"/>
          </w:tcPr>
          <w:p w14:paraId="679D4E3C">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049" w:type="dxa"/>
            <w:vAlign w:val="center"/>
          </w:tcPr>
          <w:p w14:paraId="18CF4039">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0D281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55044DBD">
            <w:pPr>
              <w:widowControl/>
              <w:spacing w:line="240" w:lineRule="exac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工业 </w:t>
            </w:r>
          </w:p>
        </w:tc>
        <w:tc>
          <w:tcPr>
            <w:tcW w:w="1451" w:type="dxa"/>
            <w:vAlign w:val="center"/>
          </w:tcPr>
          <w:p w14:paraId="21272A12">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750" w:type="dxa"/>
            <w:vAlign w:val="center"/>
          </w:tcPr>
          <w:p w14:paraId="7685C948">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191" w:type="dxa"/>
            <w:vAlign w:val="center"/>
          </w:tcPr>
          <w:p w14:paraId="0587B9B5">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03" w:type="dxa"/>
            <w:vAlign w:val="center"/>
          </w:tcPr>
          <w:p w14:paraId="42EC139E">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511" w:type="dxa"/>
            <w:vAlign w:val="center"/>
          </w:tcPr>
          <w:p w14:paraId="75B97D72">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049" w:type="dxa"/>
            <w:vAlign w:val="center"/>
          </w:tcPr>
          <w:p w14:paraId="680E7194">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66A4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56B983D3">
            <w:pPr>
              <w:widowControl/>
              <w:jc w:val="left"/>
              <w:rPr>
                <w:rFonts w:hint="eastAsia" w:ascii="仿宋" w:hAnsi="仿宋" w:eastAsia="仿宋" w:cs="仿宋"/>
                <w:color w:val="auto"/>
                <w:kern w:val="0"/>
                <w:sz w:val="24"/>
                <w:highlight w:val="none"/>
              </w:rPr>
            </w:pPr>
          </w:p>
        </w:tc>
        <w:tc>
          <w:tcPr>
            <w:tcW w:w="1451" w:type="dxa"/>
            <w:vAlign w:val="center"/>
          </w:tcPr>
          <w:p w14:paraId="26030B4C">
            <w:pPr>
              <w:widowControl/>
              <w:spacing w:line="2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750" w:type="dxa"/>
            <w:vAlign w:val="center"/>
          </w:tcPr>
          <w:p w14:paraId="5DD52DB0">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191" w:type="dxa"/>
            <w:vAlign w:val="center"/>
          </w:tcPr>
          <w:p w14:paraId="564692ED">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03" w:type="dxa"/>
            <w:vAlign w:val="center"/>
          </w:tcPr>
          <w:p w14:paraId="6C7F6DB4">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511" w:type="dxa"/>
            <w:vAlign w:val="center"/>
          </w:tcPr>
          <w:p w14:paraId="6FA089E6">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049" w:type="dxa"/>
            <w:vAlign w:val="center"/>
          </w:tcPr>
          <w:p w14:paraId="7CD731F7">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06EF7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59D3CAE2">
            <w:pPr>
              <w:widowControl/>
              <w:spacing w:line="240" w:lineRule="exac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451" w:type="dxa"/>
            <w:vAlign w:val="center"/>
          </w:tcPr>
          <w:p w14:paraId="2D1B27F4">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750" w:type="dxa"/>
            <w:vAlign w:val="center"/>
          </w:tcPr>
          <w:p w14:paraId="05D88C0B">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191" w:type="dxa"/>
            <w:vAlign w:val="center"/>
          </w:tcPr>
          <w:p w14:paraId="5F8131A6">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03" w:type="dxa"/>
            <w:vAlign w:val="center"/>
          </w:tcPr>
          <w:p w14:paraId="7A5A9B39">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511" w:type="dxa"/>
            <w:vAlign w:val="center"/>
          </w:tcPr>
          <w:p w14:paraId="0101C575">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049" w:type="dxa"/>
            <w:vAlign w:val="center"/>
          </w:tcPr>
          <w:p w14:paraId="3C00D4C6">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2C76B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2CAADD0B">
            <w:pPr>
              <w:widowControl/>
              <w:jc w:val="left"/>
              <w:rPr>
                <w:rFonts w:hint="eastAsia" w:ascii="仿宋" w:hAnsi="仿宋" w:eastAsia="仿宋" w:cs="仿宋"/>
                <w:color w:val="auto"/>
                <w:kern w:val="0"/>
                <w:sz w:val="24"/>
                <w:highlight w:val="none"/>
              </w:rPr>
            </w:pPr>
          </w:p>
        </w:tc>
        <w:tc>
          <w:tcPr>
            <w:tcW w:w="1451" w:type="dxa"/>
            <w:vAlign w:val="center"/>
          </w:tcPr>
          <w:p w14:paraId="31EEB5CE">
            <w:pPr>
              <w:widowControl/>
              <w:spacing w:line="2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750" w:type="dxa"/>
            <w:vAlign w:val="center"/>
          </w:tcPr>
          <w:p w14:paraId="2DC16C44">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191" w:type="dxa"/>
            <w:vAlign w:val="center"/>
          </w:tcPr>
          <w:p w14:paraId="70632AAB">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03" w:type="dxa"/>
            <w:vAlign w:val="center"/>
          </w:tcPr>
          <w:p w14:paraId="2768C447">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511" w:type="dxa"/>
            <w:vAlign w:val="center"/>
          </w:tcPr>
          <w:p w14:paraId="793EAFD5">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049" w:type="dxa"/>
            <w:vAlign w:val="center"/>
          </w:tcPr>
          <w:p w14:paraId="74EC68A0">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14:paraId="2F25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60917EB6">
            <w:pPr>
              <w:widowControl/>
              <w:spacing w:line="240" w:lineRule="exac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451" w:type="dxa"/>
            <w:vAlign w:val="center"/>
          </w:tcPr>
          <w:p w14:paraId="48B704C0">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750" w:type="dxa"/>
            <w:vAlign w:val="center"/>
          </w:tcPr>
          <w:p w14:paraId="303E2486">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191" w:type="dxa"/>
            <w:vAlign w:val="center"/>
          </w:tcPr>
          <w:p w14:paraId="5B0BFC4C">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03" w:type="dxa"/>
            <w:vAlign w:val="center"/>
          </w:tcPr>
          <w:p w14:paraId="75DAE4B8">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511" w:type="dxa"/>
            <w:vAlign w:val="center"/>
          </w:tcPr>
          <w:p w14:paraId="6985635F">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049" w:type="dxa"/>
            <w:vAlign w:val="center"/>
          </w:tcPr>
          <w:p w14:paraId="3D422F85">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14:paraId="3D74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581F18AE">
            <w:pPr>
              <w:widowControl/>
              <w:jc w:val="left"/>
              <w:rPr>
                <w:rFonts w:hint="eastAsia" w:ascii="仿宋" w:hAnsi="仿宋" w:eastAsia="仿宋" w:cs="仿宋"/>
                <w:color w:val="auto"/>
                <w:kern w:val="0"/>
                <w:sz w:val="24"/>
                <w:highlight w:val="none"/>
              </w:rPr>
            </w:pPr>
          </w:p>
        </w:tc>
        <w:tc>
          <w:tcPr>
            <w:tcW w:w="1451" w:type="dxa"/>
            <w:vAlign w:val="center"/>
          </w:tcPr>
          <w:p w14:paraId="3C02AAD2">
            <w:pPr>
              <w:widowControl/>
              <w:spacing w:line="2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750" w:type="dxa"/>
            <w:vAlign w:val="center"/>
          </w:tcPr>
          <w:p w14:paraId="4D600B70">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191" w:type="dxa"/>
            <w:vAlign w:val="center"/>
          </w:tcPr>
          <w:p w14:paraId="78A396A9">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03" w:type="dxa"/>
            <w:vAlign w:val="center"/>
          </w:tcPr>
          <w:p w14:paraId="36D7BC78">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511" w:type="dxa"/>
            <w:vAlign w:val="center"/>
          </w:tcPr>
          <w:p w14:paraId="0D6610CD">
            <w:pPr>
              <w:widowControl/>
              <w:ind w:left="-1" w:leftChars="-1" w:hanging="1"/>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049" w:type="dxa"/>
            <w:vAlign w:val="center"/>
          </w:tcPr>
          <w:p w14:paraId="1F9F4DB5">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14:paraId="01A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499A0DC1">
            <w:pPr>
              <w:widowControl/>
              <w:spacing w:line="240" w:lineRule="exac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451" w:type="dxa"/>
            <w:vAlign w:val="center"/>
          </w:tcPr>
          <w:p w14:paraId="360E7F67">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750" w:type="dxa"/>
            <w:vAlign w:val="center"/>
          </w:tcPr>
          <w:p w14:paraId="653A6789">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191" w:type="dxa"/>
            <w:vAlign w:val="center"/>
          </w:tcPr>
          <w:p w14:paraId="0CA2D9CD">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03" w:type="dxa"/>
            <w:vAlign w:val="center"/>
          </w:tcPr>
          <w:p w14:paraId="5E8A3795">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511" w:type="dxa"/>
            <w:vAlign w:val="center"/>
          </w:tcPr>
          <w:p w14:paraId="77832C1D">
            <w:pPr>
              <w:widowControl/>
              <w:ind w:left="-1" w:leftChars="-1" w:hanging="1"/>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10≤X＜50 </w:t>
            </w:r>
          </w:p>
        </w:tc>
        <w:tc>
          <w:tcPr>
            <w:tcW w:w="1049" w:type="dxa"/>
            <w:vAlign w:val="center"/>
          </w:tcPr>
          <w:p w14:paraId="7E403E55">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22B05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12ABF10A">
            <w:pPr>
              <w:widowControl/>
              <w:jc w:val="left"/>
              <w:rPr>
                <w:rFonts w:hint="eastAsia" w:ascii="仿宋" w:hAnsi="仿宋" w:eastAsia="仿宋" w:cs="仿宋"/>
                <w:color w:val="auto"/>
                <w:kern w:val="0"/>
                <w:sz w:val="24"/>
                <w:highlight w:val="none"/>
              </w:rPr>
            </w:pPr>
          </w:p>
        </w:tc>
        <w:tc>
          <w:tcPr>
            <w:tcW w:w="1451" w:type="dxa"/>
            <w:vAlign w:val="center"/>
          </w:tcPr>
          <w:p w14:paraId="694ABE89">
            <w:pPr>
              <w:widowControl/>
              <w:spacing w:line="2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750" w:type="dxa"/>
            <w:vAlign w:val="center"/>
          </w:tcPr>
          <w:p w14:paraId="737C720F">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191" w:type="dxa"/>
            <w:vAlign w:val="center"/>
          </w:tcPr>
          <w:p w14:paraId="08309B58">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03" w:type="dxa"/>
            <w:vAlign w:val="center"/>
          </w:tcPr>
          <w:p w14:paraId="4BC4360A">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511" w:type="dxa"/>
            <w:vAlign w:val="center"/>
          </w:tcPr>
          <w:p w14:paraId="415A0AE1">
            <w:pPr>
              <w:widowControl/>
              <w:ind w:left="-1" w:leftChars="-1" w:hanging="1"/>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049" w:type="dxa"/>
            <w:vAlign w:val="center"/>
          </w:tcPr>
          <w:p w14:paraId="36602D22">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283C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6135BD7A">
            <w:pPr>
              <w:widowControl/>
              <w:spacing w:line="240" w:lineRule="exac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交通运输业 </w:t>
            </w:r>
          </w:p>
        </w:tc>
        <w:tc>
          <w:tcPr>
            <w:tcW w:w="1451" w:type="dxa"/>
            <w:vAlign w:val="center"/>
          </w:tcPr>
          <w:p w14:paraId="65B2EC0D">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750" w:type="dxa"/>
            <w:vAlign w:val="center"/>
          </w:tcPr>
          <w:p w14:paraId="1C169CCB">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191" w:type="dxa"/>
            <w:vAlign w:val="center"/>
          </w:tcPr>
          <w:p w14:paraId="2A89EB11">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03" w:type="dxa"/>
            <w:vAlign w:val="center"/>
          </w:tcPr>
          <w:p w14:paraId="080BC46B">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511" w:type="dxa"/>
            <w:vAlign w:val="center"/>
          </w:tcPr>
          <w:p w14:paraId="467AFD29">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049" w:type="dxa"/>
            <w:vAlign w:val="center"/>
          </w:tcPr>
          <w:p w14:paraId="774EE1E3">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689F3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3BAE0803">
            <w:pPr>
              <w:widowControl/>
              <w:jc w:val="left"/>
              <w:rPr>
                <w:rFonts w:hint="eastAsia" w:ascii="仿宋" w:hAnsi="仿宋" w:eastAsia="仿宋" w:cs="仿宋"/>
                <w:color w:val="auto"/>
                <w:kern w:val="0"/>
                <w:sz w:val="24"/>
                <w:highlight w:val="none"/>
              </w:rPr>
            </w:pPr>
          </w:p>
        </w:tc>
        <w:tc>
          <w:tcPr>
            <w:tcW w:w="1451" w:type="dxa"/>
            <w:vAlign w:val="center"/>
          </w:tcPr>
          <w:p w14:paraId="1E763275">
            <w:pPr>
              <w:widowControl/>
              <w:spacing w:line="2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750" w:type="dxa"/>
            <w:vAlign w:val="center"/>
          </w:tcPr>
          <w:p w14:paraId="377A8467">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191" w:type="dxa"/>
            <w:vAlign w:val="center"/>
          </w:tcPr>
          <w:p w14:paraId="72362B59">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03" w:type="dxa"/>
            <w:vAlign w:val="center"/>
          </w:tcPr>
          <w:p w14:paraId="2329DD8F">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511" w:type="dxa"/>
            <w:vAlign w:val="center"/>
          </w:tcPr>
          <w:p w14:paraId="182583E7">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049" w:type="dxa"/>
            <w:vAlign w:val="center"/>
          </w:tcPr>
          <w:p w14:paraId="7241FD4C">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14:paraId="459C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3F3EFCBF">
            <w:pPr>
              <w:widowControl/>
              <w:spacing w:line="240" w:lineRule="exac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451" w:type="dxa"/>
            <w:vAlign w:val="center"/>
          </w:tcPr>
          <w:p w14:paraId="6E72F603">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750" w:type="dxa"/>
            <w:vAlign w:val="center"/>
          </w:tcPr>
          <w:p w14:paraId="4B54CDFF">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191" w:type="dxa"/>
            <w:vAlign w:val="center"/>
          </w:tcPr>
          <w:p w14:paraId="0F6F81B0">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03" w:type="dxa"/>
            <w:vAlign w:val="center"/>
          </w:tcPr>
          <w:p w14:paraId="43CEEC71">
            <w:pPr>
              <w:widowControl/>
              <w:ind w:left="37" w:leftChars="-51" w:hanging="144" w:hangingChars="6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511" w:type="dxa"/>
            <w:vAlign w:val="center"/>
          </w:tcPr>
          <w:p w14:paraId="74518B08">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049" w:type="dxa"/>
            <w:vAlign w:val="center"/>
          </w:tcPr>
          <w:p w14:paraId="774FA5E4">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36BA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11F4A4C2">
            <w:pPr>
              <w:widowControl/>
              <w:jc w:val="left"/>
              <w:rPr>
                <w:rFonts w:hint="eastAsia" w:ascii="仿宋" w:hAnsi="仿宋" w:eastAsia="仿宋" w:cs="仿宋"/>
                <w:color w:val="auto"/>
                <w:kern w:val="0"/>
                <w:sz w:val="24"/>
                <w:highlight w:val="none"/>
              </w:rPr>
            </w:pPr>
          </w:p>
        </w:tc>
        <w:tc>
          <w:tcPr>
            <w:tcW w:w="1451" w:type="dxa"/>
            <w:vAlign w:val="center"/>
          </w:tcPr>
          <w:p w14:paraId="716164F7">
            <w:pPr>
              <w:widowControl/>
              <w:spacing w:line="2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750" w:type="dxa"/>
            <w:vAlign w:val="center"/>
          </w:tcPr>
          <w:p w14:paraId="406B444D">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191" w:type="dxa"/>
            <w:vAlign w:val="center"/>
          </w:tcPr>
          <w:p w14:paraId="6E281F74">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03" w:type="dxa"/>
            <w:vAlign w:val="center"/>
          </w:tcPr>
          <w:p w14:paraId="144B8B0C">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511" w:type="dxa"/>
            <w:vAlign w:val="center"/>
          </w:tcPr>
          <w:p w14:paraId="31220009">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049" w:type="dxa"/>
            <w:vAlign w:val="center"/>
          </w:tcPr>
          <w:p w14:paraId="00682759">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544FA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22156907">
            <w:pPr>
              <w:widowControl/>
              <w:spacing w:line="240" w:lineRule="exac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451" w:type="dxa"/>
            <w:vAlign w:val="center"/>
          </w:tcPr>
          <w:p w14:paraId="2A6AF9B3">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750" w:type="dxa"/>
            <w:vAlign w:val="center"/>
          </w:tcPr>
          <w:p w14:paraId="64FA1ECB">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191" w:type="dxa"/>
            <w:vAlign w:val="center"/>
          </w:tcPr>
          <w:p w14:paraId="6A7C389F">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03" w:type="dxa"/>
            <w:vAlign w:val="center"/>
          </w:tcPr>
          <w:p w14:paraId="3A9514A9">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511" w:type="dxa"/>
            <w:vAlign w:val="center"/>
          </w:tcPr>
          <w:p w14:paraId="04467CA0">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049" w:type="dxa"/>
            <w:vAlign w:val="center"/>
          </w:tcPr>
          <w:p w14:paraId="1F27C8D0">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6120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0DC7F099">
            <w:pPr>
              <w:widowControl/>
              <w:jc w:val="left"/>
              <w:rPr>
                <w:rFonts w:hint="eastAsia" w:ascii="仿宋" w:hAnsi="仿宋" w:eastAsia="仿宋" w:cs="仿宋"/>
                <w:color w:val="auto"/>
                <w:kern w:val="0"/>
                <w:sz w:val="24"/>
                <w:highlight w:val="none"/>
              </w:rPr>
            </w:pPr>
          </w:p>
        </w:tc>
        <w:tc>
          <w:tcPr>
            <w:tcW w:w="1451" w:type="dxa"/>
            <w:vAlign w:val="center"/>
          </w:tcPr>
          <w:p w14:paraId="4A65C4C5">
            <w:pPr>
              <w:widowControl/>
              <w:spacing w:line="2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750" w:type="dxa"/>
            <w:vAlign w:val="center"/>
          </w:tcPr>
          <w:p w14:paraId="3D3A9355">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191" w:type="dxa"/>
            <w:vAlign w:val="center"/>
          </w:tcPr>
          <w:p w14:paraId="0B32EE96">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03" w:type="dxa"/>
            <w:vAlign w:val="center"/>
          </w:tcPr>
          <w:p w14:paraId="3BF7A7A4">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511" w:type="dxa"/>
            <w:vAlign w:val="center"/>
          </w:tcPr>
          <w:p w14:paraId="26E70C6E">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049" w:type="dxa"/>
            <w:vAlign w:val="center"/>
          </w:tcPr>
          <w:p w14:paraId="08D4A73D">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2A0A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38432D40">
            <w:pPr>
              <w:widowControl/>
              <w:spacing w:line="240" w:lineRule="exac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451" w:type="dxa"/>
            <w:vAlign w:val="center"/>
          </w:tcPr>
          <w:p w14:paraId="042BB005">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750" w:type="dxa"/>
            <w:vAlign w:val="center"/>
          </w:tcPr>
          <w:p w14:paraId="1B0C5309">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191" w:type="dxa"/>
            <w:vAlign w:val="center"/>
          </w:tcPr>
          <w:p w14:paraId="42DA41FB">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03" w:type="dxa"/>
            <w:vAlign w:val="center"/>
          </w:tcPr>
          <w:p w14:paraId="4A221F7D">
            <w:pPr>
              <w:widowControl/>
              <w:ind w:left="37" w:leftChars="-51" w:hanging="144" w:hangingChars="6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511" w:type="dxa"/>
            <w:vAlign w:val="center"/>
          </w:tcPr>
          <w:p w14:paraId="1A1EC811">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049" w:type="dxa"/>
            <w:vAlign w:val="center"/>
          </w:tcPr>
          <w:p w14:paraId="29EDFCDC">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7A7D5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6615C90D">
            <w:pPr>
              <w:widowControl/>
              <w:jc w:val="left"/>
              <w:rPr>
                <w:rFonts w:hint="eastAsia" w:ascii="仿宋" w:hAnsi="仿宋" w:eastAsia="仿宋" w:cs="仿宋"/>
                <w:color w:val="auto"/>
                <w:kern w:val="0"/>
                <w:sz w:val="24"/>
                <w:highlight w:val="none"/>
              </w:rPr>
            </w:pPr>
          </w:p>
        </w:tc>
        <w:tc>
          <w:tcPr>
            <w:tcW w:w="1451" w:type="dxa"/>
            <w:vAlign w:val="center"/>
          </w:tcPr>
          <w:p w14:paraId="6CCEE33E">
            <w:pPr>
              <w:widowControl/>
              <w:spacing w:line="2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750" w:type="dxa"/>
            <w:vAlign w:val="center"/>
          </w:tcPr>
          <w:p w14:paraId="57F0B476">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191" w:type="dxa"/>
            <w:vAlign w:val="center"/>
          </w:tcPr>
          <w:p w14:paraId="48480548">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03" w:type="dxa"/>
            <w:vAlign w:val="center"/>
          </w:tcPr>
          <w:p w14:paraId="0DFF8303">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511" w:type="dxa"/>
            <w:vAlign w:val="center"/>
          </w:tcPr>
          <w:p w14:paraId="1E51B421">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049" w:type="dxa"/>
            <w:vAlign w:val="center"/>
          </w:tcPr>
          <w:p w14:paraId="3F7805A5">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4662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34D2BDE2">
            <w:pPr>
              <w:widowControl/>
              <w:spacing w:line="240" w:lineRule="exac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451" w:type="dxa"/>
            <w:vAlign w:val="center"/>
          </w:tcPr>
          <w:p w14:paraId="13CB68BC">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750" w:type="dxa"/>
            <w:vAlign w:val="center"/>
          </w:tcPr>
          <w:p w14:paraId="7D7DC1C5">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191" w:type="dxa"/>
            <w:vAlign w:val="center"/>
          </w:tcPr>
          <w:p w14:paraId="5C7F9BB9">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03" w:type="dxa"/>
            <w:vAlign w:val="center"/>
          </w:tcPr>
          <w:p w14:paraId="2685FD79">
            <w:pPr>
              <w:widowControl/>
              <w:ind w:left="37" w:leftChars="-51" w:hanging="144" w:hangingChars="6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100≤X＜300 </w:t>
            </w:r>
          </w:p>
        </w:tc>
        <w:tc>
          <w:tcPr>
            <w:tcW w:w="1511" w:type="dxa"/>
            <w:vAlign w:val="center"/>
          </w:tcPr>
          <w:p w14:paraId="7D59C8B2">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049" w:type="dxa"/>
            <w:vAlign w:val="center"/>
          </w:tcPr>
          <w:p w14:paraId="78754846">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45A5C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530B777E">
            <w:pPr>
              <w:widowControl/>
              <w:jc w:val="left"/>
              <w:rPr>
                <w:rFonts w:hint="eastAsia" w:ascii="仿宋" w:hAnsi="仿宋" w:eastAsia="仿宋" w:cs="仿宋"/>
                <w:color w:val="auto"/>
                <w:kern w:val="0"/>
                <w:sz w:val="24"/>
                <w:highlight w:val="none"/>
              </w:rPr>
            </w:pPr>
          </w:p>
        </w:tc>
        <w:tc>
          <w:tcPr>
            <w:tcW w:w="1451" w:type="dxa"/>
            <w:vAlign w:val="center"/>
          </w:tcPr>
          <w:p w14:paraId="79F3FBA1">
            <w:pPr>
              <w:widowControl/>
              <w:spacing w:line="2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750" w:type="dxa"/>
            <w:vAlign w:val="center"/>
          </w:tcPr>
          <w:p w14:paraId="20094E0B">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191" w:type="dxa"/>
            <w:vAlign w:val="center"/>
          </w:tcPr>
          <w:p w14:paraId="2003CDE5">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03" w:type="dxa"/>
            <w:vAlign w:val="center"/>
          </w:tcPr>
          <w:p w14:paraId="4CFE921F">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511" w:type="dxa"/>
            <w:vAlign w:val="center"/>
          </w:tcPr>
          <w:p w14:paraId="5D38977C">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049" w:type="dxa"/>
            <w:vAlign w:val="center"/>
          </w:tcPr>
          <w:p w14:paraId="5F186349">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26EC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050E600B">
            <w:pPr>
              <w:widowControl/>
              <w:spacing w:line="240" w:lineRule="exac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信息传输业 </w:t>
            </w:r>
          </w:p>
        </w:tc>
        <w:tc>
          <w:tcPr>
            <w:tcW w:w="1451" w:type="dxa"/>
            <w:vAlign w:val="center"/>
          </w:tcPr>
          <w:p w14:paraId="138739C6">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750" w:type="dxa"/>
            <w:vAlign w:val="center"/>
          </w:tcPr>
          <w:p w14:paraId="45C0281D">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191" w:type="dxa"/>
            <w:vAlign w:val="center"/>
          </w:tcPr>
          <w:p w14:paraId="77CFA970">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w:t>
            </w:r>
          </w:p>
        </w:tc>
        <w:tc>
          <w:tcPr>
            <w:tcW w:w="1803" w:type="dxa"/>
            <w:vAlign w:val="center"/>
          </w:tcPr>
          <w:p w14:paraId="74A423C6">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100≤×＜2000</w:t>
            </w:r>
          </w:p>
        </w:tc>
        <w:tc>
          <w:tcPr>
            <w:tcW w:w="1511" w:type="dxa"/>
            <w:vAlign w:val="center"/>
          </w:tcPr>
          <w:p w14:paraId="57FD46F5">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049" w:type="dxa"/>
            <w:vAlign w:val="center"/>
          </w:tcPr>
          <w:p w14:paraId="2A9811BA">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34B6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66C958EA">
            <w:pPr>
              <w:widowControl/>
              <w:jc w:val="left"/>
              <w:rPr>
                <w:rFonts w:hint="eastAsia" w:ascii="仿宋" w:hAnsi="仿宋" w:eastAsia="仿宋" w:cs="仿宋"/>
                <w:color w:val="auto"/>
                <w:kern w:val="0"/>
                <w:sz w:val="24"/>
                <w:highlight w:val="none"/>
              </w:rPr>
            </w:pPr>
          </w:p>
        </w:tc>
        <w:tc>
          <w:tcPr>
            <w:tcW w:w="1451" w:type="dxa"/>
            <w:vAlign w:val="center"/>
          </w:tcPr>
          <w:p w14:paraId="5564E8EA">
            <w:pPr>
              <w:widowControl/>
              <w:spacing w:line="2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750" w:type="dxa"/>
            <w:vAlign w:val="center"/>
          </w:tcPr>
          <w:p w14:paraId="1B484608">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191" w:type="dxa"/>
            <w:vAlign w:val="center"/>
          </w:tcPr>
          <w:p w14:paraId="3EB35F66">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03" w:type="dxa"/>
            <w:vAlign w:val="center"/>
          </w:tcPr>
          <w:p w14:paraId="025F9244">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511" w:type="dxa"/>
            <w:vAlign w:val="center"/>
          </w:tcPr>
          <w:p w14:paraId="277AF5C0">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049" w:type="dxa"/>
            <w:vAlign w:val="center"/>
          </w:tcPr>
          <w:p w14:paraId="33327F53">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02849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6E1FEF46">
            <w:pPr>
              <w:widowControl/>
              <w:spacing w:line="240" w:lineRule="exact"/>
              <w:jc w:val="left"/>
              <w:rPr>
                <w:rFonts w:hint="eastAsia" w:ascii="仿宋" w:hAnsi="仿宋" w:eastAsia="仿宋" w:cs="仿宋"/>
                <w:color w:val="auto"/>
                <w:spacing w:val="-12"/>
                <w:kern w:val="0"/>
                <w:sz w:val="24"/>
                <w:highlight w:val="none"/>
              </w:rPr>
            </w:pPr>
            <w:r>
              <w:rPr>
                <w:rFonts w:hint="eastAsia" w:ascii="仿宋" w:hAnsi="仿宋" w:eastAsia="仿宋" w:cs="仿宋"/>
                <w:color w:val="auto"/>
                <w:spacing w:val="-12"/>
                <w:kern w:val="0"/>
                <w:sz w:val="24"/>
                <w:highlight w:val="none"/>
              </w:rPr>
              <w:t>软件和信息技术服</w:t>
            </w:r>
            <w:r>
              <w:rPr>
                <w:rFonts w:hint="eastAsia" w:ascii="仿宋" w:hAnsi="仿宋" w:eastAsia="仿宋" w:cs="仿宋"/>
                <w:color w:val="auto"/>
                <w:kern w:val="0"/>
                <w:sz w:val="24"/>
                <w:highlight w:val="none"/>
              </w:rPr>
              <w:t>务业</w:t>
            </w:r>
          </w:p>
        </w:tc>
        <w:tc>
          <w:tcPr>
            <w:tcW w:w="1451" w:type="dxa"/>
            <w:vAlign w:val="center"/>
          </w:tcPr>
          <w:p w14:paraId="5A2B38F4">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750" w:type="dxa"/>
            <w:vAlign w:val="center"/>
          </w:tcPr>
          <w:p w14:paraId="4734D177">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191" w:type="dxa"/>
            <w:vAlign w:val="center"/>
          </w:tcPr>
          <w:p w14:paraId="5054A07D">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03" w:type="dxa"/>
            <w:vAlign w:val="center"/>
          </w:tcPr>
          <w:p w14:paraId="599DC894">
            <w:pPr>
              <w:widowControl/>
              <w:ind w:left="37" w:leftChars="-51" w:hanging="144" w:hangingChars="6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100≤X＜300 </w:t>
            </w:r>
          </w:p>
        </w:tc>
        <w:tc>
          <w:tcPr>
            <w:tcW w:w="1511" w:type="dxa"/>
            <w:vAlign w:val="center"/>
          </w:tcPr>
          <w:p w14:paraId="1524C88F">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049" w:type="dxa"/>
            <w:vAlign w:val="center"/>
          </w:tcPr>
          <w:p w14:paraId="3F2ED3EA">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CD47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341B1526">
            <w:pPr>
              <w:widowControl/>
              <w:jc w:val="left"/>
              <w:rPr>
                <w:rFonts w:hint="eastAsia" w:ascii="仿宋" w:hAnsi="仿宋" w:eastAsia="仿宋" w:cs="仿宋"/>
                <w:color w:val="auto"/>
                <w:spacing w:val="-12"/>
                <w:kern w:val="0"/>
                <w:sz w:val="24"/>
                <w:highlight w:val="none"/>
              </w:rPr>
            </w:pPr>
          </w:p>
        </w:tc>
        <w:tc>
          <w:tcPr>
            <w:tcW w:w="1451" w:type="dxa"/>
            <w:vAlign w:val="center"/>
          </w:tcPr>
          <w:p w14:paraId="0E072F1F">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750" w:type="dxa"/>
            <w:vAlign w:val="center"/>
          </w:tcPr>
          <w:p w14:paraId="44A77A59">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191" w:type="dxa"/>
            <w:vAlign w:val="center"/>
          </w:tcPr>
          <w:p w14:paraId="680D8A1D">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03" w:type="dxa"/>
            <w:vAlign w:val="center"/>
          </w:tcPr>
          <w:p w14:paraId="6A7855F2">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511" w:type="dxa"/>
            <w:vAlign w:val="center"/>
          </w:tcPr>
          <w:p w14:paraId="258615D5">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049" w:type="dxa"/>
            <w:vAlign w:val="center"/>
          </w:tcPr>
          <w:p w14:paraId="24005BF4">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3E97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3DB57BD2">
            <w:pPr>
              <w:widowControl/>
              <w:spacing w:line="240" w:lineRule="exac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451" w:type="dxa"/>
            <w:vAlign w:val="center"/>
          </w:tcPr>
          <w:p w14:paraId="765C0EE9">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750" w:type="dxa"/>
            <w:vAlign w:val="center"/>
          </w:tcPr>
          <w:p w14:paraId="44B508DD">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191" w:type="dxa"/>
            <w:vAlign w:val="center"/>
          </w:tcPr>
          <w:p w14:paraId="7021E8D0">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03" w:type="dxa"/>
            <w:vAlign w:val="center"/>
          </w:tcPr>
          <w:p w14:paraId="5FED6E4B">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511" w:type="dxa"/>
            <w:vAlign w:val="center"/>
          </w:tcPr>
          <w:p w14:paraId="32AD2177">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049" w:type="dxa"/>
            <w:vAlign w:val="center"/>
          </w:tcPr>
          <w:p w14:paraId="36E9B37D">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0EA81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57FEE42E">
            <w:pPr>
              <w:widowControl/>
              <w:jc w:val="left"/>
              <w:rPr>
                <w:rFonts w:hint="eastAsia" w:ascii="仿宋" w:hAnsi="仿宋" w:eastAsia="仿宋" w:cs="仿宋"/>
                <w:color w:val="auto"/>
                <w:kern w:val="0"/>
                <w:sz w:val="24"/>
                <w:highlight w:val="none"/>
              </w:rPr>
            </w:pPr>
          </w:p>
        </w:tc>
        <w:tc>
          <w:tcPr>
            <w:tcW w:w="1451" w:type="dxa"/>
            <w:vAlign w:val="center"/>
          </w:tcPr>
          <w:p w14:paraId="6884AC06">
            <w:pPr>
              <w:widowControl/>
              <w:spacing w:line="2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750" w:type="dxa"/>
            <w:vAlign w:val="center"/>
          </w:tcPr>
          <w:p w14:paraId="44C850EC">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191" w:type="dxa"/>
            <w:vAlign w:val="center"/>
          </w:tcPr>
          <w:p w14:paraId="53D55968">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03" w:type="dxa"/>
            <w:vAlign w:val="center"/>
          </w:tcPr>
          <w:p w14:paraId="3AD3C54C">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511" w:type="dxa"/>
            <w:vAlign w:val="center"/>
          </w:tcPr>
          <w:p w14:paraId="6944B844">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049" w:type="dxa"/>
            <w:vAlign w:val="center"/>
          </w:tcPr>
          <w:p w14:paraId="0C5E09BC">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14:paraId="4FBC3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625B5FD3">
            <w:pPr>
              <w:widowControl/>
              <w:spacing w:line="240" w:lineRule="exac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451" w:type="dxa"/>
            <w:vAlign w:val="center"/>
          </w:tcPr>
          <w:p w14:paraId="66781A5C">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750" w:type="dxa"/>
            <w:vAlign w:val="center"/>
          </w:tcPr>
          <w:p w14:paraId="28982D2A">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191" w:type="dxa"/>
            <w:vAlign w:val="center"/>
          </w:tcPr>
          <w:p w14:paraId="710973C1">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03" w:type="dxa"/>
            <w:vAlign w:val="center"/>
          </w:tcPr>
          <w:p w14:paraId="12AAA89B">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300≤×＜1000</w:t>
            </w:r>
          </w:p>
        </w:tc>
        <w:tc>
          <w:tcPr>
            <w:tcW w:w="1511" w:type="dxa"/>
            <w:vAlign w:val="center"/>
          </w:tcPr>
          <w:p w14:paraId="3812EE98">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049" w:type="dxa"/>
            <w:vAlign w:val="center"/>
          </w:tcPr>
          <w:p w14:paraId="4957FE1B">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14:paraId="50A86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029DFD10">
            <w:pPr>
              <w:widowControl/>
              <w:jc w:val="left"/>
              <w:rPr>
                <w:rFonts w:hint="eastAsia" w:ascii="仿宋" w:hAnsi="仿宋" w:eastAsia="仿宋" w:cs="仿宋"/>
                <w:color w:val="auto"/>
                <w:kern w:val="0"/>
                <w:sz w:val="24"/>
                <w:highlight w:val="none"/>
              </w:rPr>
            </w:pPr>
          </w:p>
        </w:tc>
        <w:tc>
          <w:tcPr>
            <w:tcW w:w="1451" w:type="dxa"/>
            <w:vAlign w:val="center"/>
          </w:tcPr>
          <w:p w14:paraId="02021360">
            <w:pPr>
              <w:widowControl/>
              <w:spacing w:line="2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750" w:type="dxa"/>
            <w:vAlign w:val="center"/>
          </w:tcPr>
          <w:p w14:paraId="24AE0513">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191" w:type="dxa"/>
            <w:vAlign w:val="center"/>
          </w:tcPr>
          <w:p w14:paraId="4305610C">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03" w:type="dxa"/>
            <w:vAlign w:val="center"/>
          </w:tcPr>
          <w:p w14:paraId="4068CF91">
            <w:pPr>
              <w:widowControl/>
              <w:ind w:left="37" w:leftChars="-51" w:hanging="144" w:hangingChars="6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511" w:type="dxa"/>
            <w:vAlign w:val="center"/>
          </w:tcPr>
          <w:p w14:paraId="0FEFCF16">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049" w:type="dxa"/>
            <w:vAlign w:val="center"/>
          </w:tcPr>
          <w:p w14:paraId="7DE8378F">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14:paraId="4E664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restart"/>
            <w:vAlign w:val="center"/>
          </w:tcPr>
          <w:p w14:paraId="68A2E5CE">
            <w:pPr>
              <w:widowControl/>
              <w:spacing w:line="240" w:lineRule="exac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451" w:type="dxa"/>
            <w:vAlign w:val="center"/>
          </w:tcPr>
          <w:p w14:paraId="4C570579">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750" w:type="dxa"/>
            <w:vAlign w:val="center"/>
          </w:tcPr>
          <w:p w14:paraId="4179D38A">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191" w:type="dxa"/>
            <w:vAlign w:val="center"/>
          </w:tcPr>
          <w:p w14:paraId="79B53424">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03" w:type="dxa"/>
            <w:vAlign w:val="center"/>
          </w:tcPr>
          <w:p w14:paraId="379E2F35">
            <w:pPr>
              <w:widowControl/>
              <w:ind w:left="37" w:leftChars="-51" w:hanging="144" w:hangingChars="6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100≤×＜300</w:t>
            </w:r>
          </w:p>
        </w:tc>
        <w:tc>
          <w:tcPr>
            <w:tcW w:w="1511" w:type="dxa"/>
            <w:vAlign w:val="center"/>
          </w:tcPr>
          <w:p w14:paraId="4A85CDE8">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049" w:type="dxa"/>
            <w:vAlign w:val="center"/>
          </w:tcPr>
          <w:p w14:paraId="0A392C54">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72491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Merge w:val="continue"/>
            <w:vAlign w:val="center"/>
          </w:tcPr>
          <w:p w14:paraId="45B1A645">
            <w:pPr>
              <w:widowControl/>
              <w:jc w:val="left"/>
              <w:rPr>
                <w:rFonts w:hint="eastAsia" w:ascii="仿宋" w:hAnsi="仿宋" w:eastAsia="仿宋" w:cs="仿宋"/>
                <w:color w:val="auto"/>
                <w:kern w:val="0"/>
                <w:sz w:val="24"/>
                <w:highlight w:val="none"/>
              </w:rPr>
            </w:pPr>
          </w:p>
        </w:tc>
        <w:tc>
          <w:tcPr>
            <w:tcW w:w="1451" w:type="dxa"/>
            <w:vAlign w:val="center"/>
          </w:tcPr>
          <w:p w14:paraId="4B449097">
            <w:pPr>
              <w:widowControl/>
              <w:spacing w:line="2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750" w:type="dxa"/>
            <w:vAlign w:val="center"/>
          </w:tcPr>
          <w:p w14:paraId="206BBD6F">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191" w:type="dxa"/>
            <w:vAlign w:val="center"/>
          </w:tcPr>
          <w:p w14:paraId="604F173A">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03" w:type="dxa"/>
            <w:vAlign w:val="center"/>
          </w:tcPr>
          <w:p w14:paraId="553AE5FC">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511" w:type="dxa"/>
            <w:vAlign w:val="center"/>
          </w:tcPr>
          <w:p w14:paraId="4F95CD30">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049" w:type="dxa"/>
            <w:vAlign w:val="center"/>
          </w:tcPr>
          <w:p w14:paraId="40ED7FB5">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14:paraId="5F8E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7" w:type="dxa"/>
            <w:vAlign w:val="center"/>
          </w:tcPr>
          <w:p w14:paraId="782B9849">
            <w:pPr>
              <w:widowControl/>
              <w:spacing w:line="240" w:lineRule="exac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其他未列明行业 </w:t>
            </w:r>
          </w:p>
        </w:tc>
        <w:tc>
          <w:tcPr>
            <w:tcW w:w="1451" w:type="dxa"/>
            <w:vAlign w:val="center"/>
          </w:tcPr>
          <w:p w14:paraId="3B7E2C9E">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750" w:type="dxa"/>
            <w:vAlign w:val="center"/>
          </w:tcPr>
          <w:p w14:paraId="72828C3A">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191" w:type="dxa"/>
            <w:vAlign w:val="center"/>
          </w:tcPr>
          <w:p w14:paraId="154A7D51">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03" w:type="dxa"/>
            <w:vAlign w:val="center"/>
          </w:tcPr>
          <w:p w14:paraId="65B643CC">
            <w:pPr>
              <w:widowControl/>
              <w:ind w:left="37" w:leftChars="-51" w:hanging="144" w:hangingChars="6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511" w:type="dxa"/>
            <w:vAlign w:val="center"/>
          </w:tcPr>
          <w:p w14:paraId="1C53CBDE">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049" w:type="dxa"/>
            <w:vAlign w:val="center"/>
          </w:tcPr>
          <w:p w14:paraId="55C0C68F">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14:paraId="6EE02A79">
      <w:pPr>
        <w:widowControl/>
        <w:spacing w:line="540" w:lineRule="exact"/>
        <w:rPr>
          <w:rFonts w:hint="eastAsia" w:ascii="仿宋" w:hAnsi="仿宋" w:eastAsia="仿宋" w:cs="仿宋"/>
          <w:b/>
          <w:bCs/>
          <w:color w:val="auto"/>
          <w:spacing w:val="8"/>
          <w:kern w:val="0"/>
          <w:sz w:val="24"/>
          <w:highlight w:val="none"/>
        </w:rPr>
      </w:pPr>
      <w:r>
        <w:rPr>
          <w:rFonts w:hint="eastAsia" w:ascii="仿宋" w:hAnsi="仿宋" w:eastAsia="仿宋" w:cs="仿宋"/>
          <w:b/>
          <w:bCs/>
          <w:color w:val="auto"/>
          <w:spacing w:val="8"/>
          <w:kern w:val="0"/>
          <w:sz w:val="24"/>
          <w:highlight w:val="none"/>
        </w:rPr>
        <w:t>说明：</w:t>
      </w:r>
    </w:p>
    <w:p w14:paraId="28CA58FF">
      <w:pPr>
        <w:pStyle w:val="23"/>
        <w:adjustRightInd w:val="0"/>
        <w:spacing w:line="380" w:lineRule="exact"/>
        <w:ind w:firstLine="512" w:firstLineChars="200"/>
        <w:contextualSpacing/>
        <w:rPr>
          <w:rFonts w:hint="eastAsia" w:ascii="仿宋" w:hAnsi="仿宋" w:eastAsia="仿宋" w:cs="仿宋"/>
          <w:color w:val="auto"/>
          <w:spacing w:val="8"/>
          <w:sz w:val="24"/>
          <w:szCs w:val="24"/>
          <w:highlight w:val="none"/>
          <w:u w:val="single"/>
        </w:rPr>
      </w:pPr>
      <w:r>
        <w:rPr>
          <w:rFonts w:hint="eastAsia" w:ascii="仿宋" w:hAnsi="仿宋" w:eastAsia="仿宋" w:cs="仿宋"/>
          <w:color w:val="auto"/>
          <w:spacing w:val="8"/>
          <w:sz w:val="24"/>
          <w:szCs w:val="24"/>
          <w:highlight w:val="none"/>
          <w:u w:val="single"/>
        </w:rPr>
        <w:t>1.</w:t>
      </w:r>
      <w:r>
        <w:rPr>
          <w:rFonts w:hint="eastAsia" w:ascii="仿宋" w:hAnsi="仿宋" w:eastAsia="仿宋" w:cs="仿宋"/>
          <w:b/>
          <w:bCs/>
          <w:color w:val="auto"/>
          <w:spacing w:val="8"/>
          <w:sz w:val="24"/>
          <w:szCs w:val="24"/>
          <w:highlight w:val="none"/>
          <w:u w:val="single"/>
        </w:rPr>
        <w:t>大型、中型和小型企业须同时满足所列指标的下限，否则下划一档</w:t>
      </w:r>
      <w:r>
        <w:rPr>
          <w:rFonts w:hint="eastAsia" w:ascii="仿宋" w:hAnsi="仿宋" w:eastAsia="仿宋" w:cs="仿宋"/>
          <w:color w:val="auto"/>
          <w:spacing w:val="8"/>
          <w:sz w:val="24"/>
          <w:szCs w:val="24"/>
          <w:highlight w:val="none"/>
          <w:u w:val="single"/>
        </w:rPr>
        <w:t>；微型企业只须满足所列指标中的一项即可。</w:t>
      </w:r>
    </w:p>
    <w:p w14:paraId="75C4FDFC">
      <w:pPr>
        <w:pStyle w:val="23"/>
        <w:adjustRightInd w:val="0"/>
        <w:spacing w:line="380" w:lineRule="exact"/>
        <w:ind w:firstLine="512" w:firstLineChars="200"/>
        <w:contextualSpacing/>
        <w:rPr>
          <w:rFonts w:hint="eastAsia" w:ascii="仿宋" w:hAnsi="仿宋" w:eastAsia="仿宋" w:cs="仿宋"/>
          <w:color w:val="auto"/>
          <w:spacing w:val="8"/>
          <w:sz w:val="24"/>
          <w:szCs w:val="24"/>
          <w:highlight w:val="none"/>
        </w:rPr>
      </w:pPr>
      <w:r>
        <w:rPr>
          <w:rFonts w:hint="eastAsia" w:ascii="仿宋" w:hAnsi="仿宋" w:eastAsia="仿宋" w:cs="仿宋"/>
          <w:color w:val="auto"/>
          <w:spacing w:val="8"/>
          <w:sz w:val="24"/>
          <w:szCs w:val="24"/>
          <w:highlight w:val="none"/>
        </w:rPr>
        <w:t>2.附表中各行业的范围以《国民经济行业分类》（GB/T4754-2017）为准。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150941A">
      <w:pPr>
        <w:pStyle w:val="23"/>
        <w:adjustRightInd w:val="0"/>
        <w:spacing w:line="380" w:lineRule="exact"/>
        <w:ind w:firstLine="512" w:firstLineChars="200"/>
        <w:contextualSpacing/>
        <w:rPr>
          <w:rFonts w:hint="eastAsia" w:ascii="仿宋" w:hAnsi="仿宋" w:eastAsia="仿宋" w:cs="仿宋"/>
          <w:bCs/>
          <w:color w:val="auto"/>
          <w:sz w:val="24"/>
          <w:szCs w:val="24"/>
          <w:highlight w:val="none"/>
        </w:rPr>
      </w:pPr>
      <w:r>
        <w:rPr>
          <w:rFonts w:hint="eastAsia" w:ascii="仿宋" w:hAnsi="仿宋" w:eastAsia="仿宋" w:cs="仿宋"/>
          <w:color w:val="auto"/>
          <w:spacing w:val="8"/>
          <w:sz w:val="24"/>
          <w:szCs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B4E5E1F">
      <w:pPr>
        <w:rPr>
          <w:rFonts w:hint="eastAsia" w:ascii="仿宋" w:hAnsi="仿宋" w:eastAsia="仿宋" w:cs="仿宋"/>
          <w:color w:val="auto"/>
          <w:highlight w:val="none"/>
        </w:rPr>
      </w:pPr>
    </w:p>
    <w:p w14:paraId="787D9955">
      <w:pPr>
        <w:pStyle w:val="36"/>
        <w:rPr>
          <w:rFonts w:hint="eastAsia" w:ascii="仿宋" w:hAnsi="仿宋" w:eastAsia="仿宋" w:cs="仿宋"/>
          <w:color w:val="auto"/>
          <w:highlight w:val="none"/>
        </w:rPr>
      </w:pPr>
    </w:p>
    <w:p w14:paraId="05705C6D">
      <w:pPr>
        <w:pStyle w:val="36"/>
        <w:rPr>
          <w:rFonts w:hint="eastAsia" w:ascii="仿宋" w:hAnsi="仿宋" w:eastAsia="仿宋" w:cs="仿宋"/>
          <w:color w:val="auto"/>
          <w:highlight w:val="none"/>
        </w:rPr>
      </w:pPr>
    </w:p>
    <w:p w14:paraId="42966F87">
      <w:pPr>
        <w:pStyle w:val="36"/>
        <w:rPr>
          <w:rFonts w:hint="eastAsia" w:ascii="仿宋" w:hAnsi="仿宋" w:eastAsia="仿宋" w:cs="仿宋"/>
          <w:color w:val="auto"/>
          <w:highlight w:val="none"/>
        </w:rPr>
      </w:pPr>
    </w:p>
    <w:p w14:paraId="20417526">
      <w:pPr>
        <w:pStyle w:val="36"/>
        <w:rPr>
          <w:rFonts w:hint="eastAsia" w:ascii="仿宋" w:hAnsi="仿宋" w:eastAsia="仿宋" w:cs="仿宋"/>
          <w:color w:val="auto"/>
          <w:highlight w:val="none"/>
        </w:rPr>
      </w:pPr>
    </w:p>
    <w:p w14:paraId="0A37E3E3">
      <w:pPr>
        <w:pStyle w:val="36"/>
        <w:rPr>
          <w:rFonts w:hint="eastAsia" w:ascii="仿宋" w:hAnsi="仿宋" w:eastAsia="仿宋" w:cs="仿宋"/>
          <w:color w:val="auto"/>
          <w:highlight w:val="none"/>
        </w:rPr>
      </w:pPr>
    </w:p>
    <w:p w14:paraId="1D2E2DF8">
      <w:pPr>
        <w:pStyle w:val="36"/>
        <w:rPr>
          <w:rFonts w:hint="eastAsia" w:ascii="仿宋" w:hAnsi="仿宋" w:eastAsia="仿宋" w:cs="仿宋"/>
          <w:color w:val="auto"/>
          <w:highlight w:val="none"/>
        </w:rPr>
      </w:pPr>
    </w:p>
    <w:p w14:paraId="0FA646E8">
      <w:pPr>
        <w:pStyle w:val="36"/>
        <w:rPr>
          <w:rFonts w:hint="eastAsia" w:ascii="仿宋" w:hAnsi="仿宋" w:eastAsia="仿宋" w:cs="仿宋"/>
          <w:color w:val="auto"/>
          <w:highlight w:val="none"/>
        </w:rPr>
      </w:pPr>
    </w:p>
    <w:p w14:paraId="78FAF484">
      <w:pPr>
        <w:pStyle w:val="36"/>
        <w:rPr>
          <w:rFonts w:hint="eastAsia" w:ascii="仿宋" w:hAnsi="仿宋" w:eastAsia="仿宋" w:cs="仿宋"/>
          <w:color w:val="auto"/>
          <w:highlight w:val="none"/>
        </w:rPr>
      </w:pPr>
    </w:p>
    <w:p w14:paraId="4E835BAC">
      <w:pPr>
        <w:pStyle w:val="36"/>
        <w:rPr>
          <w:rFonts w:hint="eastAsia" w:ascii="仿宋" w:hAnsi="仿宋" w:eastAsia="仿宋" w:cs="仿宋"/>
          <w:color w:val="auto"/>
          <w:highlight w:val="none"/>
        </w:rPr>
      </w:pPr>
    </w:p>
    <w:p w14:paraId="2060A8BB">
      <w:pPr>
        <w:pStyle w:val="36"/>
        <w:rPr>
          <w:rFonts w:hint="eastAsia" w:ascii="仿宋" w:hAnsi="仿宋" w:eastAsia="仿宋" w:cs="仿宋"/>
          <w:color w:val="auto"/>
          <w:highlight w:val="none"/>
        </w:rPr>
      </w:pPr>
    </w:p>
    <w:p w14:paraId="3735E035">
      <w:pPr>
        <w:pStyle w:val="36"/>
        <w:rPr>
          <w:rFonts w:hint="eastAsia" w:ascii="仿宋" w:hAnsi="仿宋" w:eastAsia="仿宋" w:cs="仿宋"/>
          <w:color w:val="auto"/>
          <w:highlight w:val="none"/>
        </w:rPr>
      </w:pPr>
    </w:p>
    <w:p w14:paraId="28E715AA">
      <w:pPr>
        <w:pStyle w:val="36"/>
        <w:rPr>
          <w:rFonts w:hint="eastAsia" w:ascii="仿宋" w:hAnsi="仿宋" w:eastAsia="仿宋" w:cs="仿宋"/>
          <w:color w:val="auto"/>
          <w:highlight w:val="none"/>
        </w:rPr>
      </w:pPr>
    </w:p>
    <w:p w14:paraId="4436EE61">
      <w:pPr>
        <w:pStyle w:val="36"/>
        <w:rPr>
          <w:rFonts w:hint="eastAsia" w:ascii="仿宋" w:hAnsi="仿宋" w:eastAsia="仿宋" w:cs="仿宋"/>
          <w:color w:val="auto"/>
          <w:highlight w:val="none"/>
        </w:rPr>
      </w:pPr>
    </w:p>
    <w:p w14:paraId="0A63CDFE">
      <w:pPr>
        <w:pStyle w:val="36"/>
        <w:rPr>
          <w:rFonts w:hint="eastAsia" w:ascii="仿宋" w:hAnsi="仿宋" w:eastAsia="仿宋" w:cs="仿宋"/>
          <w:color w:val="auto"/>
          <w:highlight w:val="none"/>
        </w:rPr>
      </w:pPr>
    </w:p>
    <w:p w14:paraId="31E23914">
      <w:pPr>
        <w:pStyle w:val="36"/>
        <w:rPr>
          <w:rFonts w:hint="eastAsia" w:ascii="仿宋" w:hAnsi="仿宋" w:eastAsia="仿宋" w:cs="仿宋"/>
          <w:color w:val="auto"/>
          <w:highlight w:val="none"/>
        </w:rPr>
      </w:pPr>
    </w:p>
    <w:p w14:paraId="4EB489C2">
      <w:pPr>
        <w:pStyle w:val="36"/>
        <w:rPr>
          <w:rFonts w:hint="eastAsia" w:ascii="仿宋" w:hAnsi="仿宋" w:eastAsia="仿宋" w:cs="仿宋"/>
          <w:color w:val="auto"/>
          <w:highlight w:val="none"/>
        </w:rPr>
      </w:pPr>
    </w:p>
    <w:p w14:paraId="7F15BAFA">
      <w:pPr>
        <w:pStyle w:val="36"/>
        <w:rPr>
          <w:rFonts w:hint="eastAsia" w:ascii="仿宋" w:hAnsi="仿宋" w:eastAsia="仿宋" w:cs="仿宋"/>
          <w:color w:val="auto"/>
          <w:highlight w:val="none"/>
        </w:rPr>
      </w:pPr>
    </w:p>
    <w:p w14:paraId="7FB31169">
      <w:pPr>
        <w:pStyle w:val="36"/>
        <w:rPr>
          <w:rFonts w:hint="eastAsia" w:ascii="仿宋" w:hAnsi="仿宋" w:eastAsia="仿宋" w:cs="仿宋"/>
          <w:color w:val="auto"/>
          <w:highlight w:val="none"/>
        </w:rPr>
      </w:pPr>
    </w:p>
    <w:p w14:paraId="13AFEE72">
      <w:pPr>
        <w:pStyle w:val="36"/>
        <w:rPr>
          <w:rFonts w:hint="eastAsia" w:ascii="仿宋" w:hAnsi="仿宋" w:eastAsia="仿宋" w:cs="仿宋"/>
          <w:color w:val="auto"/>
          <w:highlight w:val="none"/>
        </w:rPr>
      </w:pPr>
    </w:p>
    <w:p w14:paraId="5F5B4448">
      <w:pPr>
        <w:pStyle w:val="36"/>
        <w:rPr>
          <w:rFonts w:hint="eastAsia" w:ascii="仿宋" w:hAnsi="仿宋" w:eastAsia="仿宋" w:cs="仿宋"/>
          <w:color w:val="auto"/>
          <w:highlight w:val="none"/>
        </w:rPr>
      </w:pPr>
    </w:p>
    <w:p w14:paraId="4B577930">
      <w:pPr>
        <w:pStyle w:val="36"/>
        <w:rPr>
          <w:rFonts w:hint="eastAsia" w:ascii="仿宋" w:hAnsi="仿宋" w:eastAsia="仿宋" w:cs="仿宋"/>
          <w:color w:val="auto"/>
          <w:highlight w:val="none"/>
        </w:rPr>
      </w:pPr>
    </w:p>
    <w:p w14:paraId="75D10A04">
      <w:pPr>
        <w:pStyle w:val="36"/>
        <w:rPr>
          <w:rFonts w:hint="eastAsia" w:ascii="仿宋" w:hAnsi="仿宋" w:eastAsia="仿宋" w:cs="仿宋"/>
          <w:color w:val="auto"/>
          <w:highlight w:val="none"/>
        </w:rPr>
      </w:pPr>
    </w:p>
    <w:p w14:paraId="6F7A24A6">
      <w:pPr>
        <w:pStyle w:val="36"/>
        <w:rPr>
          <w:rFonts w:hint="eastAsia" w:ascii="仿宋" w:hAnsi="仿宋" w:eastAsia="仿宋" w:cs="仿宋"/>
          <w:color w:val="auto"/>
          <w:highlight w:val="none"/>
        </w:rPr>
      </w:pPr>
    </w:p>
    <w:p w14:paraId="3BDCF568">
      <w:pPr>
        <w:pStyle w:val="36"/>
        <w:rPr>
          <w:rFonts w:hint="eastAsia" w:ascii="仿宋" w:hAnsi="仿宋" w:eastAsia="仿宋" w:cs="仿宋"/>
          <w:color w:val="auto"/>
          <w:highlight w:val="none"/>
        </w:rPr>
      </w:pPr>
    </w:p>
    <w:p w14:paraId="26BF6F6C">
      <w:pPr>
        <w:pStyle w:val="36"/>
        <w:rPr>
          <w:rFonts w:hint="eastAsia" w:ascii="仿宋" w:hAnsi="仿宋" w:eastAsia="仿宋" w:cs="仿宋"/>
          <w:color w:val="auto"/>
          <w:highlight w:val="none"/>
        </w:rPr>
      </w:pPr>
    </w:p>
    <w:p w14:paraId="19225781">
      <w:pPr>
        <w:pStyle w:val="36"/>
        <w:rPr>
          <w:rFonts w:hint="eastAsia" w:ascii="仿宋" w:hAnsi="仿宋" w:eastAsia="仿宋" w:cs="仿宋"/>
          <w:color w:val="auto"/>
          <w:highlight w:val="none"/>
        </w:rPr>
      </w:pPr>
    </w:p>
    <w:p w14:paraId="5583BE76">
      <w:pPr>
        <w:pStyle w:val="36"/>
        <w:rPr>
          <w:rFonts w:hint="eastAsia" w:ascii="仿宋" w:hAnsi="仿宋" w:eastAsia="仿宋" w:cs="仿宋"/>
          <w:color w:val="auto"/>
          <w:highlight w:val="none"/>
        </w:rPr>
      </w:pPr>
    </w:p>
    <w:p w14:paraId="3A2EA376">
      <w:pPr>
        <w:pStyle w:val="36"/>
        <w:rPr>
          <w:rFonts w:hint="eastAsia" w:ascii="仿宋" w:hAnsi="仿宋" w:eastAsia="仿宋" w:cs="仿宋"/>
          <w:color w:val="auto"/>
          <w:highlight w:val="none"/>
        </w:rPr>
      </w:pPr>
    </w:p>
    <w:p w14:paraId="2A41C39B">
      <w:pPr>
        <w:pStyle w:val="36"/>
        <w:rPr>
          <w:rFonts w:hint="eastAsia" w:ascii="仿宋" w:hAnsi="仿宋" w:eastAsia="仿宋" w:cs="仿宋"/>
          <w:color w:val="auto"/>
          <w:highlight w:val="none"/>
        </w:rPr>
      </w:pPr>
    </w:p>
    <w:p w14:paraId="37F9CDB4">
      <w:pPr>
        <w:pStyle w:val="36"/>
        <w:rPr>
          <w:rFonts w:hint="eastAsia" w:ascii="仿宋" w:hAnsi="仿宋" w:eastAsia="仿宋" w:cs="仿宋"/>
          <w:color w:val="auto"/>
          <w:highlight w:val="none"/>
        </w:rPr>
      </w:pPr>
    </w:p>
    <w:p w14:paraId="0555354E">
      <w:pPr>
        <w:pStyle w:val="36"/>
        <w:rPr>
          <w:rFonts w:hint="eastAsia" w:ascii="仿宋" w:hAnsi="仿宋" w:eastAsia="仿宋" w:cs="仿宋"/>
          <w:color w:val="auto"/>
          <w:highlight w:val="none"/>
        </w:rPr>
      </w:pPr>
    </w:p>
    <w:p w14:paraId="30EAACAE">
      <w:pPr>
        <w:pStyle w:val="36"/>
        <w:rPr>
          <w:rFonts w:hint="eastAsia" w:ascii="仿宋" w:hAnsi="仿宋" w:eastAsia="仿宋" w:cs="仿宋"/>
          <w:color w:val="auto"/>
          <w:highlight w:val="none"/>
        </w:rPr>
      </w:pPr>
    </w:p>
    <w:p w14:paraId="35EF63A8">
      <w:pPr>
        <w:pStyle w:val="36"/>
        <w:rPr>
          <w:rFonts w:hint="eastAsia" w:ascii="仿宋" w:hAnsi="仿宋" w:eastAsia="仿宋" w:cs="仿宋"/>
          <w:color w:val="auto"/>
          <w:highlight w:val="none"/>
        </w:rPr>
      </w:pPr>
    </w:p>
    <w:p w14:paraId="3BCEF2B5">
      <w:pPr>
        <w:pStyle w:val="36"/>
        <w:rPr>
          <w:rFonts w:hint="eastAsia" w:ascii="仿宋" w:hAnsi="仿宋" w:eastAsia="仿宋" w:cs="仿宋"/>
          <w:color w:val="auto"/>
          <w:highlight w:val="none"/>
        </w:rPr>
      </w:pPr>
    </w:p>
    <w:p w14:paraId="0D41D8F5">
      <w:pPr>
        <w:pStyle w:val="36"/>
        <w:rPr>
          <w:rFonts w:hint="eastAsia" w:ascii="仿宋" w:hAnsi="仿宋" w:eastAsia="仿宋" w:cs="仿宋"/>
          <w:color w:val="auto"/>
          <w:highlight w:val="none"/>
        </w:rPr>
      </w:pPr>
    </w:p>
    <w:p w14:paraId="322CE242">
      <w:pPr>
        <w:pStyle w:val="36"/>
        <w:rPr>
          <w:rFonts w:hint="eastAsia" w:ascii="仿宋" w:hAnsi="仿宋" w:eastAsia="仿宋" w:cs="仿宋"/>
          <w:color w:val="auto"/>
          <w:highlight w:val="none"/>
        </w:rPr>
      </w:pPr>
    </w:p>
    <w:p w14:paraId="7EF0BABD">
      <w:pPr>
        <w:pStyle w:val="36"/>
        <w:rPr>
          <w:rFonts w:hint="eastAsia" w:ascii="仿宋" w:hAnsi="仿宋" w:eastAsia="仿宋" w:cs="仿宋"/>
          <w:color w:val="auto"/>
          <w:highlight w:val="none"/>
        </w:rPr>
      </w:pPr>
    </w:p>
    <w:p w14:paraId="7438F0C6">
      <w:pPr>
        <w:snapToGrid w:val="0"/>
        <w:spacing w:before="120" w:beforeLines="50" w:after="50"/>
        <w:ind w:left="142"/>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残疾人福利性单位声明函格式</w:t>
      </w:r>
    </w:p>
    <w:p w14:paraId="4779CF8B">
      <w:pPr>
        <w:spacing w:line="588" w:lineRule="exact"/>
        <w:jc w:val="center"/>
        <w:rPr>
          <w:rFonts w:hint="eastAsia" w:ascii="仿宋" w:hAnsi="仿宋" w:eastAsia="仿宋" w:cs="仿宋"/>
          <w:b/>
          <w:color w:val="auto"/>
          <w:spacing w:val="6"/>
          <w:sz w:val="32"/>
          <w:szCs w:val="32"/>
          <w:highlight w:val="none"/>
        </w:rPr>
      </w:pPr>
      <w:bookmarkStart w:id="158" w:name="OLE_LINK13"/>
      <w:bookmarkStart w:id="159" w:name="OLE_LINK14"/>
    </w:p>
    <w:p w14:paraId="271BEBD4">
      <w:pPr>
        <w:spacing w:line="588" w:lineRule="exact"/>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残疾人福利性单位声明函</w:t>
      </w:r>
    </w:p>
    <w:bookmarkEnd w:id="158"/>
    <w:bookmarkEnd w:id="159"/>
    <w:p w14:paraId="7532DFCE">
      <w:pPr>
        <w:spacing w:line="588" w:lineRule="exact"/>
        <w:rPr>
          <w:rFonts w:hint="eastAsia" w:ascii="仿宋" w:hAnsi="仿宋" w:eastAsia="仿宋" w:cs="仿宋"/>
          <w:b/>
          <w:color w:val="auto"/>
          <w:spacing w:val="6"/>
          <w:sz w:val="30"/>
          <w:szCs w:val="30"/>
          <w:highlight w:val="none"/>
        </w:rPr>
      </w:pPr>
    </w:p>
    <w:p w14:paraId="3BC0E017">
      <w:pPr>
        <w:spacing w:line="588" w:lineRule="exact"/>
        <w:ind w:firstLine="504"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本单位郑重声明，根据《财政部 民政部 中国残疾人联合会关于促进残疾人就业政府采购政策的通知》（财库</w:t>
      </w:r>
      <w:r>
        <w:rPr>
          <w:rFonts w:hint="eastAsia" w:ascii="仿宋" w:hAnsi="仿宋" w:eastAsia="仿宋" w:cs="仿宋"/>
          <w:color w:val="auto"/>
          <w:sz w:val="24"/>
          <w:highlight w:val="none"/>
        </w:rPr>
        <w:t>〔2017〕 141</w:t>
      </w:r>
      <w:r>
        <w:rPr>
          <w:rFonts w:hint="eastAsia" w:ascii="仿宋" w:hAnsi="仿宋" w:eastAsia="仿宋" w:cs="仿宋"/>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仿宋" w:hAnsi="仿宋" w:eastAsia="仿宋" w:cs="仿宋"/>
          <w:color w:val="auto"/>
          <w:spacing w:val="-6"/>
          <w:sz w:val="24"/>
          <w:highlight w:val="none"/>
        </w:rPr>
        <w:t>疾人福利性单位制造的货物（不包括使用非残疾人福利性单位注册商标的货物）。</w:t>
      </w:r>
    </w:p>
    <w:p w14:paraId="7161AEBD">
      <w:pPr>
        <w:spacing w:line="588" w:lineRule="exact"/>
        <w:ind w:firstLine="504"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本单位对上述声明的真实性负责。如有虚假，将依法承担相应责任。</w:t>
      </w:r>
    </w:p>
    <w:p w14:paraId="4B798770">
      <w:pPr>
        <w:spacing w:line="588" w:lineRule="exact"/>
        <w:ind w:firstLine="504" w:firstLineChars="200"/>
        <w:rPr>
          <w:rFonts w:hint="eastAsia" w:ascii="仿宋" w:hAnsi="仿宋" w:eastAsia="仿宋" w:cs="仿宋"/>
          <w:color w:val="auto"/>
          <w:spacing w:val="6"/>
          <w:sz w:val="24"/>
          <w:highlight w:val="none"/>
        </w:rPr>
      </w:pPr>
    </w:p>
    <w:p w14:paraId="104DBA6B">
      <w:pPr>
        <w:spacing w:line="588" w:lineRule="exact"/>
        <w:ind w:firstLine="504" w:firstLineChars="200"/>
        <w:rPr>
          <w:rFonts w:hint="eastAsia" w:ascii="仿宋" w:hAnsi="仿宋" w:eastAsia="仿宋" w:cs="仿宋"/>
          <w:color w:val="auto"/>
          <w:spacing w:val="6"/>
          <w:sz w:val="24"/>
          <w:highlight w:val="none"/>
        </w:rPr>
      </w:pPr>
    </w:p>
    <w:p w14:paraId="10F54F79">
      <w:pPr>
        <w:tabs>
          <w:tab w:val="left" w:pos="4860"/>
        </w:tabs>
        <w:spacing w:line="588" w:lineRule="exact"/>
        <w:ind w:right="1560" w:firstLine="504" w:firstLineChars="200"/>
        <w:jc w:val="center"/>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单位名称（盖公章）：</w:t>
      </w:r>
    </w:p>
    <w:p w14:paraId="2DF69C11">
      <w:pPr>
        <w:tabs>
          <w:tab w:val="left" w:pos="4860"/>
        </w:tabs>
        <w:spacing w:line="588" w:lineRule="exact"/>
        <w:ind w:right="1560" w:firstLine="504" w:firstLineChars="200"/>
        <w:jc w:val="center"/>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日  期：</w:t>
      </w:r>
    </w:p>
    <w:p w14:paraId="68CDFA1C">
      <w:pPr>
        <w:rPr>
          <w:rFonts w:hint="eastAsia" w:ascii="仿宋" w:hAnsi="仿宋" w:eastAsia="仿宋" w:cs="仿宋"/>
          <w:color w:val="auto"/>
          <w:sz w:val="24"/>
          <w:highlight w:val="none"/>
        </w:rPr>
      </w:pPr>
    </w:p>
    <w:p w14:paraId="4100FE61">
      <w:pPr>
        <w:rPr>
          <w:rFonts w:hint="eastAsia" w:ascii="仿宋" w:hAnsi="仿宋" w:eastAsia="仿宋" w:cs="仿宋"/>
          <w:color w:val="auto"/>
          <w:sz w:val="24"/>
          <w:highlight w:val="none"/>
        </w:rPr>
      </w:pPr>
    </w:p>
    <w:p w14:paraId="5E2BB2E4">
      <w:pPr>
        <w:rPr>
          <w:rFonts w:hint="eastAsia" w:ascii="仿宋" w:hAnsi="仿宋" w:eastAsia="仿宋" w:cs="仿宋"/>
          <w:color w:val="auto"/>
          <w:sz w:val="24"/>
          <w:highlight w:val="none"/>
        </w:rPr>
      </w:pPr>
    </w:p>
    <w:p w14:paraId="4D7AC4FF">
      <w:pPr>
        <w:spacing w:line="588" w:lineRule="exact"/>
        <w:ind w:firstLine="504" w:firstLineChars="200"/>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79E44140">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br w:type="page"/>
      </w:r>
      <w:r>
        <w:rPr>
          <w:rFonts w:hint="eastAsia" w:ascii="仿宋" w:hAnsi="仿宋" w:eastAsia="仿宋" w:cs="仿宋"/>
          <w:b/>
          <w:bCs/>
          <w:color w:val="auto"/>
          <w:sz w:val="32"/>
          <w:szCs w:val="32"/>
          <w:highlight w:val="none"/>
        </w:rPr>
        <w:t>质疑函（格式）</w:t>
      </w:r>
    </w:p>
    <w:p w14:paraId="44A8338E">
      <w:pPr>
        <w:pStyle w:val="23"/>
        <w:snapToGrid w:val="0"/>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一、质疑供应商基本信息：</w:t>
      </w:r>
    </w:p>
    <w:p w14:paraId="03CE9971">
      <w:pPr>
        <w:pStyle w:val="23"/>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质疑供应商：</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27E14923">
      <w:pPr>
        <w:pStyle w:val="23"/>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08BF8954">
      <w:pPr>
        <w:pStyle w:val="23"/>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联系人：</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3704052D">
      <w:pPr>
        <w:pStyle w:val="23"/>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授权代表：</w:t>
      </w:r>
      <w:r>
        <w:rPr>
          <w:rFonts w:hint="eastAsia" w:ascii="仿宋" w:hAnsi="仿宋" w:eastAsia="仿宋" w:cs="仿宋"/>
          <w:bCs/>
          <w:color w:val="auto"/>
          <w:sz w:val="24"/>
          <w:szCs w:val="24"/>
          <w:highlight w:val="none"/>
          <w:u w:val="single"/>
        </w:rPr>
        <w:t xml:space="preserve">                      </w:t>
      </w:r>
    </w:p>
    <w:p w14:paraId="304768E3">
      <w:pPr>
        <w:pStyle w:val="23"/>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3E8FA8A1">
      <w:pPr>
        <w:pStyle w:val="23"/>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2844EC00">
      <w:pPr>
        <w:pStyle w:val="23"/>
        <w:snapToGrid w:val="0"/>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二、质疑项目基本情况：</w:t>
      </w:r>
    </w:p>
    <w:p w14:paraId="771E88B9">
      <w:pPr>
        <w:pStyle w:val="23"/>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质疑</w:t>
      </w:r>
      <w:r>
        <w:rPr>
          <w:rFonts w:hint="eastAsia" w:ascii="仿宋" w:hAnsi="仿宋" w:eastAsia="仿宋" w:cs="仿宋"/>
          <w:color w:val="auto"/>
          <w:sz w:val="24"/>
          <w:szCs w:val="24"/>
          <w:highlight w:val="none"/>
        </w:rPr>
        <w:t>项目的名称：</w:t>
      </w:r>
      <w:r>
        <w:rPr>
          <w:rFonts w:hint="eastAsia" w:ascii="仿宋" w:hAnsi="仿宋" w:eastAsia="仿宋" w:cs="仿宋"/>
          <w:bCs/>
          <w:color w:val="auto"/>
          <w:sz w:val="24"/>
          <w:szCs w:val="24"/>
          <w:highlight w:val="none"/>
          <w:u w:val="single"/>
        </w:rPr>
        <w:t xml:space="preserve">                                     </w:t>
      </w:r>
    </w:p>
    <w:p w14:paraId="69702168">
      <w:pPr>
        <w:pStyle w:val="23"/>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质疑</w:t>
      </w:r>
      <w:r>
        <w:rPr>
          <w:rFonts w:hint="eastAsia" w:ascii="仿宋" w:hAnsi="仿宋" w:eastAsia="仿宋" w:cs="仿宋"/>
          <w:color w:val="auto"/>
          <w:sz w:val="24"/>
          <w:szCs w:val="24"/>
          <w:highlight w:val="none"/>
        </w:rPr>
        <w:t>项目的编号：</w:t>
      </w:r>
      <w:r>
        <w:rPr>
          <w:rFonts w:hint="eastAsia" w:ascii="仿宋" w:hAnsi="仿宋" w:eastAsia="仿宋" w:cs="仿宋"/>
          <w:bCs/>
          <w:color w:val="auto"/>
          <w:sz w:val="24"/>
          <w:szCs w:val="24"/>
          <w:highlight w:val="none"/>
          <w:u w:val="single"/>
        </w:rPr>
        <w:t xml:space="preserve">                                     </w:t>
      </w:r>
    </w:p>
    <w:p w14:paraId="0DBE8AE5">
      <w:pPr>
        <w:pStyle w:val="23"/>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采购人名称：</w:t>
      </w:r>
      <w:r>
        <w:rPr>
          <w:rFonts w:hint="eastAsia" w:ascii="仿宋" w:hAnsi="仿宋" w:eastAsia="仿宋" w:cs="仿宋"/>
          <w:bCs/>
          <w:color w:val="auto"/>
          <w:sz w:val="24"/>
          <w:szCs w:val="24"/>
          <w:highlight w:val="none"/>
          <w:u w:val="single"/>
        </w:rPr>
        <w:t xml:space="preserve">                                         </w:t>
      </w:r>
    </w:p>
    <w:p w14:paraId="61E32D2F">
      <w:pPr>
        <w:pStyle w:val="23"/>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质疑事项：</w:t>
      </w:r>
    </w:p>
    <w:p w14:paraId="6349548A">
      <w:pPr>
        <w:pStyle w:val="23"/>
        <w:spacing w:line="360" w:lineRule="auto"/>
        <w:ind w:left="25" w:leftChars="12" w:firstLine="352" w:firstLineChars="14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□招标文件   招标文件获取日期：</w:t>
      </w:r>
      <w:r>
        <w:rPr>
          <w:rFonts w:hint="eastAsia" w:ascii="仿宋" w:hAnsi="仿宋" w:eastAsia="仿宋" w:cs="仿宋"/>
          <w:bCs/>
          <w:color w:val="auto"/>
          <w:sz w:val="24"/>
          <w:szCs w:val="24"/>
          <w:highlight w:val="none"/>
          <w:u w:val="single"/>
        </w:rPr>
        <w:t xml:space="preserve">                                   </w:t>
      </w:r>
    </w:p>
    <w:p w14:paraId="0F3D24A0">
      <w:pPr>
        <w:pStyle w:val="23"/>
        <w:spacing w:line="360" w:lineRule="auto"/>
        <w:ind w:left="25" w:leftChars="12" w:firstLine="352" w:firstLineChars="14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□采购过程   </w:t>
      </w:r>
    </w:p>
    <w:p w14:paraId="37B2D695">
      <w:pPr>
        <w:pStyle w:val="23"/>
        <w:spacing w:line="360" w:lineRule="auto"/>
        <w:ind w:left="25" w:leftChars="12" w:firstLine="352" w:firstLineChars="147"/>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 xml:space="preserve">□中标结果   </w:t>
      </w:r>
    </w:p>
    <w:p w14:paraId="62DEDE67">
      <w:pPr>
        <w:pStyle w:val="23"/>
        <w:spacing w:line="360" w:lineRule="auto"/>
        <w:ind w:left="25" w:leftChars="12"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三、质疑事项具体内容</w:t>
      </w:r>
    </w:p>
    <w:p w14:paraId="1B07122D">
      <w:pPr>
        <w:pStyle w:val="23"/>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质疑事项1：</w:t>
      </w:r>
      <w:r>
        <w:rPr>
          <w:rFonts w:hint="eastAsia" w:ascii="仿宋" w:hAnsi="仿宋" w:eastAsia="仿宋" w:cs="仿宋"/>
          <w:bCs/>
          <w:color w:val="auto"/>
          <w:sz w:val="24"/>
          <w:szCs w:val="24"/>
          <w:highlight w:val="none"/>
          <w:u w:val="single"/>
        </w:rPr>
        <w:t xml:space="preserve">                                                                    </w:t>
      </w:r>
    </w:p>
    <w:p w14:paraId="79510C61">
      <w:pPr>
        <w:pStyle w:val="23"/>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事实依据：</w:t>
      </w:r>
      <w:r>
        <w:rPr>
          <w:rFonts w:hint="eastAsia" w:ascii="仿宋" w:hAnsi="仿宋" w:eastAsia="仿宋" w:cs="仿宋"/>
          <w:bCs/>
          <w:color w:val="auto"/>
          <w:sz w:val="24"/>
          <w:szCs w:val="24"/>
          <w:highlight w:val="none"/>
          <w:u w:val="single"/>
        </w:rPr>
        <w:t xml:space="preserve">                                                                      </w:t>
      </w:r>
    </w:p>
    <w:p w14:paraId="3554E2BF">
      <w:pPr>
        <w:pStyle w:val="23"/>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法律依据：</w:t>
      </w:r>
      <w:r>
        <w:rPr>
          <w:rFonts w:hint="eastAsia" w:ascii="仿宋" w:hAnsi="仿宋" w:eastAsia="仿宋" w:cs="仿宋"/>
          <w:color w:val="auto"/>
          <w:sz w:val="24"/>
          <w:szCs w:val="24"/>
          <w:highlight w:val="none"/>
          <w:u w:val="single"/>
        </w:rPr>
        <w:t xml:space="preserve">                                                        </w:t>
      </w:r>
      <w:r>
        <w:rPr>
          <w:rFonts w:hint="eastAsia" w:ascii="仿宋" w:hAnsi="仿宋" w:eastAsia="仿宋" w:cs="仿宋"/>
          <w:bCs/>
          <w:color w:val="auto"/>
          <w:sz w:val="24"/>
          <w:szCs w:val="24"/>
          <w:highlight w:val="none"/>
          <w:u w:val="single"/>
        </w:rPr>
        <w:t xml:space="preserve">               </w:t>
      </w:r>
    </w:p>
    <w:p w14:paraId="148B7675">
      <w:pPr>
        <w:pStyle w:val="23"/>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质疑事项2</w:t>
      </w:r>
    </w:p>
    <w:p w14:paraId="454C1B67">
      <w:pPr>
        <w:pStyle w:val="23"/>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p w14:paraId="13C42167">
      <w:pPr>
        <w:pStyle w:val="23"/>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四、与质疑事项相关的质疑请求：</w:t>
      </w:r>
    </w:p>
    <w:p w14:paraId="66421DDE">
      <w:pPr>
        <w:pStyle w:val="23"/>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请求：</w:t>
      </w:r>
      <w:r>
        <w:rPr>
          <w:rFonts w:hint="eastAsia" w:ascii="仿宋" w:hAnsi="仿宋" w:eastAsia="仿宋" w:cs="仿宋"/>
          <w:bCs/>
          <w:color w:val="auto"/>
          <w:sz w:val="24"/>
          <w:szCs w:val="24"/>
          <w:highlight w:val="none"/>
          <w:u w:val="single"/>
        </w:rPr>
        <w:t xml:space="preserve">                                                                </w:t>
      </w:r>
    </w:p>
    <w:p w14:paraId="1180C95C">
      <w:pPr>
        <w:pStyle w:val="23"/>
        <w:spacing w:line="360" w:lineRule="auto"/>
        <w:ind w:left="25" w:leftChars="12" w:firstLine="352" w:firstLineChars="147"/>
        <w:rPr>
          <w:rFonts w:hint="eastAsia" w:ascii="仿宋" w:hAnsi="仿宋" w:eastAsia="仿宋" w:cs="仿宋"/>
          <w:color w:val="auto"/>
          <w:sz w:val="24"/>
          <w:szCs w:val="24"/>
          <w:highlight w:val="none"/>
        </w:rPr>
      </w:pPr>
    </w:p>
    <w:p w14:paraId="14B97DA1">
      <w:pPr>
        <w:pStyle w:val="23"/>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签字（签章）：                                       公章：</w:t>
      </w:r>
    </w:p>
    <w:p w14:paraId="2B154D9A">
      <w:pPr>
        <w:pStyle w:val="23"/>
        <w:spacing w:line="360" w:lineRule="auto"/>
        <w:ind w:left="25" w:leftChars="12" w:firstLine="352" w:firstLineChars="147"/>
        <w:rPr>
          <w:rFonts w:hint="eastAsia" w:ascii="仿宋" w:hAnsi="仿宋" w:eastAsia="仿宋" w:cs="仿宋"/>
          <w:color w:val="auto"/>
          <w:sz w:val="24"/>
          <w:szCs w:val="24"/>
          <w:highlight w:val="none"/>
        </w:rPr>
      </w:pPr>
    </w:p>
    <w:p w14:paraId="6B4EC4B1">
      <w:pPr>
        <w:pStyle w:val="23"/>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p>
    <w:p w14:paraId="47DC9989">
      <w:pPr>
        <w:pStyle w:val="23"/>
        <w:snapToGrid w:val="0"/>
        <w:spacing w:line="360" w:lineRule="auto"/>
        <w:rPr>
          <w:rFonts w:hint="eastAsia" w:ascii="仿宋" w:hAnsi="仿宋" w:eastAsia="仿宋" w:cs="仿宋"/>
          <w:b/>
          <w:color w:val="auto"/>
          <w:sz w:val="24"/>
          <w:szCs w:val="24"/>
          <w:highlight w:val="none"/>
        </w:rPr>
      </w:pPr>
    </w:p>
    <w:p w14:paraId="74FAF183">
      <w:pPr>
        <w:pStyle w:val="23"/>
        <w:snapToGrid w:val="0"/>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说明：</w:t>
      </w:r>
    </w:p>
    <w:p w14:paraId="5A101923">
      <w:pPr>
        <w:pStyle w:val="23"/>
        <w:spacing w:line="360" w:lineRule="auto"/>
        <w:ind w:left="25" w:leftChars="12" w:firstLine="354" w:firstLineChars="147"/>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1.供应商提出质疑时，应提交质疑函和必要的证明材料</w:t>
      </w:r>
      <w:r>
        <w:rPr>
          <w:rFonts w:hint="eastAsia" w:ascii="仿宋" w:hAnsi="仿宋" w:eastAsia="仿宋" w:cs="仿宋"/>
          <w:b/>
          <w:bCs/>
          <w:color w:val="auto"/>
          <w:sz w:val="24"/>
          <w:szCs w:val="24"/>
          <w:highlight w:val="none"/>
        </w:rPr>
        <w:t>。</w:t>
      </w:r>
    </w:p>
    <w:p w14:paraId="36A138F2">
      <w:pPr>
        <w:pStyle w:val="23"/>
        <w:spacing w:line="360" w:lineRule="auto"/>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2125E99">
      <w:pPr>
        <w:pStyle w:val="23"/>
        <w:spacing w:line="360" w:lineRule="auto"/>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3.质疑函的质疑事项应具体、明确，并有必要的事实依据和法律依据。</w:t>
      </w:r>
    </w:p>
    <w:p w14:paraId="75C406BE">
      <w:pPr>
        <w:pStyle w:val="23"/>
        <w:spacing w:line="360" w:lineRule="auto"/>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4.质疑函的质疑请求应与质疑事项相关。</w:t>
      </w:r>
    </w:p>
    <w:p w14:paraId="7C43AE31">
      <w:pPr>
        <w:pStyle w:val="23"/>
        <w:spacing w:line="360" w:lineRule="auto"/>
        <w:ind w:left="25" w:leftChars="12" w:firstLine="354" w:firstLineChars="147"/>
        <w:rPr>
          <w:rFonts w:hint="eastAsia" w:ascii="仿宋" w:hAnsi="仿宋" w:eastAsia="仿宋" w:cs="仿宋"/>
          <w:b/>
          <w:color w:val="auto"/>
          <w:highlight w:val="none"/>
        </w:rPr>
      </w:pPr>
      <w:r>
        <w:rPr>
          <w:rFonts w:hint="eastAsia" w:ascii="仿宋" w:hAnsi="仿宋" w:eastAsia="仿宋" w:cs="仿宋"/>
          <w:b/>
          <w:color w:val="auto"/>
          <w:sz w:val="24"/>
          <w:szCs w:val="24"/>
          <w:highlight w:val="none"/>
        </w:rPr>
        <w:t>5.质疑供应商为法人或者其他组织的，质疑函应由法定代表人、主要负责人，或者其授权代表签字或者盖章，并加盖公章。</w:t>
      </w:r>
    </w:p>
    <w:p w14:paraId="4B7E81B7">
      <w:pPr>
        <w:pStyle w:val="23"/>
        <w:snapToGrid w:val="0"/>
        <w:rPr>
          <w:rFonts w:hint="eastAsia" w:ascii="仿宋" w:hAnsi="仿宋" w:eastAsia="仿宋" w:cs="仿宋"/>
          <w:b/>
          <w:color w:val="auto"/>
          <w:sz w:val="24"/>
          <w:szCs w:val="24"/>
          <w:highlight w:val="none"/>
        </w:rPr>
      </w:pPr>
    </w:p>
    <w:p w14:paraId="4F432352">
      <w:pPr>
        <w:spacing w:line="460" w:lineRule="exact"/>
        <w:jc w:val="center"/>
        <w:rPr>
          <w:rFonts w:hint="eastAsia" w:ascii="仿宋" w:hAnsi="仿宋" w:eastAsia="仿宋" w:cs="仿宋"/>
          <w:color w:val="auto"/>
          <w:sz w:val="44"/>
          <w:highlight w:val="none"/>
        </w:rPr>
      </w:pPr>
      <w:r>
        <w:rPr>
          <w:rFonts w:hint="eastAsia" w:ascii="仿宋" w:hAnsi="仿宋" w:eastAsia="仿宋" w:cs="仿宋"/>
          <w:color w:val="auto"/>
          <w:sz w:val="44"/>
          <w:highlight w:val="none"/>
        </w:rPr>
        <w:br w:type="page"/>
      </w:r>
    </w:p>
    <w:p w14:paraId="5DAED276">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投诉书（格式）</w:t>
      </w:r>
    </w:p>
    <w:p w14:paraId="16CCD242">
      <w:pPr>
        <w:pStyle w:val="23"/>
        <w:snapToGrid w:val="0"/>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一、投诉相关主体基本情况：</w:t>
      </w:r>
    </w:p>
    <w:p w14:paraId="4AAAFC34">
      <w:pPr>
        <w:pStyle w:val="23"/>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投标人：</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1C9A22A5">
      <w:pPr>
        <w:pStyle w:val="23"/>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602FDFEB">
      <w:pPr>
        <w:pStyle w:val="23"/>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法定代表人/主要负责人：</w:t>
      </w:r>
      <w:r>
        <w:rPr>
          <w:rFonts w:hint="eastAsia" w:ascii="仿宋" w:hAnsi="仿宋" w:eastAsia="仿宋" w:cs="仿宋"/>
          <w:bCs/>
          <w:color w:val="auto"/>
          <w:sz w:val="24"/>
          <w:szCs w:val="24"/>
          <w:highlight w:val="none"/>
          <w:u w:val="single"/>
        </w:rPr>
        <w:t xml:space="preserve">                                                         </w:t>
      </w:r>
    </w:p>
    <w:p w14:paraId="27AE1B41">
      <w:pPr>
        <w:pStyle w:val="23"/>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5D586122">
      <w:pPr>
        <w:pStyle w:val="23"/>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授权代表：</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22932AFF">
      <w:pPr>
        <w:pStyle w:val="23"/>
        <w:snapToGrid w:val="0"/>
        <w:spacing w:line="360" w:lineRule="auto"/>
        <w:ind w:firstLine="480" w:firstLineChars="200"/>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02E543B8">
      <w:pPr>
        <w:pStyle w:val="23"/>
        <w:snapToGrid w:val="0"/>
        <w:spacing w:line="360" w:lineRule="auto"/>
        <w:ind w:firstLine="480" w:firstLineChars="200"/>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被投诉人1：</w:t>
      </w:r>
    </w:p>
    <w:p w14:paraId="30639D78">
      <w:pPr>
        <w:pStyle w:val="23"/>
        <w:snapToGrid w:val="0"/>
        <w:spacing w:line="360" w:lineRule="auto"/>
        <w:ind w:firstLine="480" w:firstLineChars="200"/>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789CE434">
      <w:pPr>
        <w:pStyle w:val="23"/>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联系人：</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35EB870B">
      <w:pPr>
        <w:pStyle w:val="23"/>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被投诉人2：</w:t>
      </w:r>
    </w:p>
    <w:p w14:paraId="27A8770E">
      <w:pPr>
        <w:pStyle w:val="23"/>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p w14:paraId="04EC278F">
      <w:pPr>
        <w:pStyle w:val="23"/>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相关供应商：</w:t>
      </w:r>
      <w:r>
        <w:rPr>
          <w:rFonts w:hint="eastAsia" w:ascii="仿宋" w:hAnsi="仿宋" w:eastAsia="仿宋" w:cs="仿宋"/>
          <w:bCs/>
          <w:color w:val="auto"/>
          <w:sz w:val="24"/>
          <w:szCs w:val="24"/>
          <w:highlight w:val="none"/>
          <w:u w:val="single"/>
        </w:rPr>
        <w:t xml:space="preserve">                                                                       </w:t>
      </w:r>
    </w:p>
    <w:p w14:paraId="72B659C2">
      <w:pPr>
        <w:pStyle w:val="23"/>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p>
    <w:p w14:paraId="589E6C40">
      <w:pPr>
        <w:pStyle w:val="23"/>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联系人：</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50ABA7FE">
      <w:pPr>
        <w:pStyle w:val="23"/>
        <w:snapToGrid w:val="0"/>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二、投诉项目基本情况：</w:t>
      </w:r>
    </w:p>
    <w:p w14:paraId="6458A5D2">
      <w:pPr>
        <w:pStyle w:val="23"/>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采购</w:t>
      </w:r>
      <w:r>
        <w:rPr>
          <w:rFonts w:hint="eastAsia" w:ascii="仿宋" w:hAnsi="仿宋" w:eastAsia="仿宋" w:cs="仿宋"/>
          <w:color w:val="auto"/>
          <w:sz w:val="24"/>
          <w:szCs w:val="24"/>
          <w:highlight w:val="none"/>
        </w:rPr>
        <w:t>项目的名称：</w:t>
      </w:r>
      <w:r>
        <w:rPr>
          <w:rFonts w:hint="eastAsia" w:ascii="仿宋" w:hAnsi="仿宋" w:eastAsia="仿宋" w:cs="仿宋"/>
          <w:bCs/>
          <w:color w:val="auto"/>
          <w:sz w:val="24"/>
          <w:szCs w:val="24"/>
          <w:highlight w:val="none"/>
          <w:u w:val="single"/>
        </w:rPr>
        <w:t xml:space="preserve">                                                                   </w:t>
      </w:r>
    </w:p>
    <w:p w14:paraId="37DE4E5E">
      <w:pPr>
        <w:pStyle w:val="23"/>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采购</w:t>
      </w:r>
      <w:r>
        <w:rPr>
          <w:rFonts w:hint="eastAsia" w:ascii="仿宋" w:hAnsi="仿宋" w:eastAsia="仿宋" w:cs="仿宋"/>
          <w:color w:val="auto"/>
          <w:sz w:val="24"/>
          <w:szCs w:val="24"/>
          <w:highlight w:val="none"/>
        </w:rPr>
        <w:t>项目的编号：</w:t>
      </w:r>
      <w:r>
        <w:rPr>
          <w:rFonts w:hint="eastAsia" w:ascii="仿宋" w:hAnsi="仿宋" w:eastAsia="仿宋" w:cs="仿宋"/>
          <w:bCs/>
          <w:color w:val="auto"/>
          <w:sz w:val="24"/>
          <w:szCs w:val="24"/>
          <w:highlight w:val="none"/>
          <w:u w:val="single"/>
        </w:rPr>
        <w:t xml:space="preserve">                                          </w:t>
      </w:r>
    </w:p>
    <w:p w14:paraId="66714742">
      <w:pPr>
        <w:pStyle w:val="23"/>
        <w:spacing w:line="360" w:lineRule="auto"/>
        <w:ind w:left="25"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采购人名称：</w:t>
      </w:r>
      <w:r>
        <w:rPr>
          <w:rFonts w:hint="eastAsia" w:ascii="仿宋" w:hAnsi="仿宋" w:eastAsia="仿宋" w:cs="仿宋"/>
          <w:bCs/>
          <w:color w:val="auto"/>
          <w:sz w:val="24"/>
          <w:szCs w:val="24"/>
          <w:highlight w:val="none"/>
          <w:u w:val="single"/>
        </w:rPr>
        <w:t xml:space="preserve">                                                                        </w:t>
      </w:r>
    </w:p>
    <w:p w14:paraId="22C7AA63">
      <w:pPr>
        <w:pStyle w:val="23"/>
        <w:spacing w:line="360" w:lineRule="auto"/>
        <w:ind w:left="25"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代理机构名称：</w:t>
      </w:r>
      <w:r>
        <w:rPr>
          <w:rFonts w:hint="eastAsia" w:ascii="仿宋" w:hAnsi="仿宋" w:eastAsia="仿宋" w:cs="仿宋"/>
          <w:bCs/>
          <w:color w:val="auto"/>
          <w:sz w:val="24"/>
          <w:szCs w:val="24"/>
          <w:highlight w:val="none"/>
          <w:u w:val="single"/>
        </w:rPr>
        <w:t xml:space="preserve">                                                                      </w:t>
      </w:r>
    </w:p>
    <w:p w14:paraId="60E051A8">
      <w:pPr>
        <w:pStyle w:val="23"/>
        <w:spacing w:line="360" w:lineRule="auto"/>
        <w:ind w:left="25"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招标文件公告：</w:t>
      </w:r>
      <w:r>
        <w:rPr>
          <w:rFonts w:hint="eastAsia" w:ascii="仿宋" w:hAnsi="仿宋" w:eastAsia="仿宋" w:cs="仿宋"/>
          <w:bCs/>
          <w:color w:val="auto"/>
          <w:sz w:val="24"/>
          <w:szCs w:val="24"/>
          <w:highlight w:val="none"/>
          <w:u w:val="single"/>
        </w:rPr>
        <w:t>是/否</w:t>
      </w:r>
      <w:r>
        <w:rPr>
          <w:rFonts w:hint="eastAsia" w:ascii="仿宋" w:hAnsi="仿宋" w:eastAsia="仿宋" w:cs="仿宋"/>
          <w:bCs/>
          <w:color w:val="auto"/>
          <w:sz w:val="24"/>
          <w:szCs w:val="24"/>
          <w:highlight w:val="none"/>
        </w:rPr>
        <w:t>公告期限：</w:t>
      </w:r>
      <w:r>
        <w:rPr>
          <w:rFonts w:hint="eastAsia" w:ascii="仿宋" w:hAnsi="仿宋" w:eastAsia="仿宋" w:cs="仿宋"/>
          <w:bCs/>
          <w:color w:val="auto"/>
          <w:sz w:val="24"/>
          <w:szCs w:val="24"/>
          <w:highlight w:val="none"/>
          <w:u w:val="single"/>
        </w:rPr>
        <w:t xml:space="preserve">                                                       </w:t>
      </w:r>
    </w:p>
    <w:p w14:paraId="18A994FE">
      <w:pPr>
        <w:pStyle w:val="23"/>
        <w:spacing w:line="360" w:lineRule="auto"/>
        <w:ind w:left="25" w:leftChars="12" w:firstLine="472" w:firstLineChars="197"/>
        <w:rPr>
          <w:rFonts w:hint="eastAsia" w:ascii="仿宋" w:hAnsi="仿宋" w:eastAsia="仿宋" w:cs="仿宋"/>
          <w:b/>
          <w:color w:val="auto"/>
          <w:sz w:val="24"/>
          <w:szCs w:val="24"/>
          <w:highlight w:val="none"/>
        </w:rPr>
      </w:pPr>
      <w:r>
        <w:rPr>
          <w:rFonts w:hint="eastAsia" w:ascii="仿宋" w:hAnsi="仿宋" w:eastAsia="仿宋" w:cs="仿宋"/>
          <w:bCs/>
          <w:color w:val="auto"/>
          <w:sz w:val="24"/>
          <w:szCs w:val="24"/>
          <w:highlight w:val="none"/>
        </w:rPr>
        <w:t>采购结果公告：</w:t>
      </w:r>
      <w:r>
        <w:rPr>
          <w:rFonts w:hint="eastAsia" w:ascii="仿宋" w:hAnsi="仿宋" w:eastAsia="仿宋" w:cs="仿宋"/>
          <w:bCs/>
          <w:color w:val="auto"/>
          <w:sz w:val="24"/>
          <w:szCs w:val="24"/>
          <w:highlight w:val="none"/>
          <w:u w:val="single"/>
        </w:rPr>
        <w:t>是/否</w:t>
      </w:r>
      <w:r>
        <w:rPr>
          <w:rFonts w:hint="eastAsia" w:ascii="仿宋" w:hAnsi="仿宋" w:eastAsia="仿宋" w:cs="仿宋"/>
          <w:bCs/>
          <w:color w:val="auto"/>
          <w:sz w:val="24"/>
          <w:szCs w:val="24"/>
          <w:highlight w:val="none"/>
        </w:rPr>
        <w:t>公告期限：</w:t>
      </w:r>
      <w:r>
        <w:rPr>
          <w:rFonts w:hint="eastAsia" w:ascii="仿宋" w:hAnsi="仿宋" w:eastAsia="仿宋" w:cs="仿宋"/>
          <w:bCs/>
          <w:color w:val="auto"/>
          <w:sz w:val="24"/>
          <w:szCs w:val="24"/>
          <w:highlight w:val="none"/>
          <w:u w:val="single"/>
        </w:rPr>
        <w:t xml:space="preserve">                                                       </w:t>
      </w:r>
    </w:p>
    <w:p w14:paraId="3CC58A86">
      <w:pPr>
        <w:pStyle w:val="23"/>
        <w:spacing w:line="360" w:lineRule="auto"/>
        <w:ind w:left="25" w:leftChars="12"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三、质疑基本情况</w:t>
      </w:r>
    </w:p>
    <w:p w14:paraId="015FFDA4">
      <w:pPr>
        <w:pStyle w:val="23"/>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投诉人于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日，向</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提出质疑，质疑事项为：</w:t>
      </w:r>
      <w:r>
        <w:rPr>
          <w:rFonts w:hint="eastAsia" w:ascii="仿宋" w:hAnsi="仿宋" w:eastAsia="仿宋" w:cs="仿宋"/>
          <w:bCs/>
          <w:color w:val="auto"/>
          <w:sz w:val="24"/>
          <w:szCs w:val="24"/>
          <w:highlight w:val="none"/>
          <w:u w:val="single"/>
        </w:rPr>
        <w:t xml:space="preserve">                                                                                      </w:t>
      </w:r>
    </w:p>
    <w:p w14:paraId="5A923094">
      <w:pPr>
        <w:pStyle w:val="23"/>
        <w:spacing w:line="360" w:lineRule="auto"/>
        <w:ind w:firstLine="241"/>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 xml:space="preserve">  </w:t>
      </w:r>
      <w:r>
        <w:rPr>
          <w:rFonts w:hint="eastAsia" w:ascii="仿宋" w:hAnsi="仿宋" w:eastAsia="仿宋" w:cs="仿宋"/>
          <w:bCs/>
          <w:color w:val="auto"/>
          <w:sz w:val="24"/>
          <w:szCs w:val="24"/>
          <w:highlight w:val="none"/>
          <w:u w:val="single"/>
        </w:rPr>
        <w:t>采购人/代理机构</w:t>
      </w:r>
      <w:r>
        <w:rPr>
          <w:rFonts w:hint="eastAsia" w:ascii="仿宋" w:hAnsi="仿宋" w:eastAsia="仿宋" w:cs="仿宋"/>
          <w:bCs/>
          <w:color w:val="auto"/>
          <w:sz w:val="24"/>
          <w:szCs w:val="24"/>
          <w:highlight w:val="none"/>
        </w:rPr>
        <w:t>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r>
        <w:rPr>
          <w:rFonts w:hint="eastAsia" w:ascii="仿宋" w:hAnsi="仿宋" w:eastAsia="仿宋" w:cs="仿宋"/>
          <w:bCs/>
          <w:color w:val="auto"/>
          <w:sz w:val="24"/>
          <w:szCs w:val="24"/>
          <w:highlight w:val="none"/>
        </w:rPr>
        <w:t xml:space="preserve">就质疑事项作出了答复/没有在法定期限内作出答复。                                                                                             </w:t>
      </w:r>
    </w:p>
    <w:p w14:paraId="355E79DB">
      <w:pPr>
        <w:pStyle w:val="23"/>
        <w:spacing w:line="360" w:lineRule="auto"/>
        <w:ind w:left="25" w:leftChars="12"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四、投诉事项具体内容</w:t>
      </w:r>
    </w:p>
    <w:p w14:paraId="04758E92">
      <w:pPr>
        <w:pStyle w:val="23"/>
        <w:spacing w:line="360" w:lineRule="auto"/>
        <w:ind w:left="25"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投诉事项1：</w:t>
      </w:r>
      <w:r>
        <w:rPr>
          <w:rFonts w:hint="eastAsia" w:ascii="仿宋" w:hAnsi="仿宋" w:eastAsia="仿宋" w:cs="仿宋"/>
          <w:bCs/>
          <w:color w:val="auto"/>
          <w:sz w:val="24"/>
          <w:szCs w:val="24"/>
          <w:highlight w:val="none"/>
          <w:u w:val="single"/>
        </w:rPr>
        <w:t xml:space="preserve">                                                                           </w:t>
      </w:r>
    </w:p>
    <w:p w14:paraId="2CEB1982">
      <w:pPr>
        <w:pStyle w:val="23"/>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事实依据：</w:t>
      </w:r>
      <w:r>
        <w:rPr>
          <w:rFonts w:hint="eastAsia" w:ascii="仿宋" w:hAnsi="仿宋" w:eastAsia="仿宋" w:cs="仿宋"/>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523E58FB">
      <w:pPr>
        <w:pStyle w:val="23"/>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u w:val="single"/>
        </w:rPr>
        <w:t xml:space="preserve">                                                                                        </w:t>
      </w:r>
    </w:p>
    <w:p w14:paraId="3CE87D56">
      <w:pPr>
        <w:pStyle w:val="23"/>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法律依据：</w:t>
      </w:r>
      <w:r>
        <w:rPr>
          <w:rFonts w:hint="eastAsia" w:ascii="仿宋" w:hAnsi="仿宋" w:eastAsia="仿宋" w:cs="仿宋"/>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3E1D1227">
      <w:pPr>
        <w:pStyle w:val="23"/>
        <w:spacing w:line="360" w:lineRule="auto"/>
        <w:ind w:left="25" w:leftChars="12" w:firstLine="352" w:firstLineChars="147"/>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7C4E27B3">
      <w:pPr>
        <w:pStyle w:val="23"/>
        <w:spacing w:line="360" w:lineRule="auto"/>
        <w:ind w:left="25" w:leftChars="12" w:firstLine="472" w:firstLineChars="197"/>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t xml:space="preserve">投诉事项2  </w:t>
      </w:r>
      <w:r>
        <w:rPr>
          <w:rFonts w:hint="eastAsia" w:ascii="仿宋" w:hAnsi="仿宋" w:eastAsia="仿宋" w:cs="仿宋"/>
          <w:bCs/>
          <w:color w:val="auto"/>
          <w:sz w:val="24"/>
          <w:szCs w:val="24"/>
          <w:highlight w:val="none"/>
        </w:rPr>
        <w:t xml:space="preserve">   </w:t>
      </w:r>
    </w:p>
    <w:p w14:paraId="5D55ED72">
      <w:pPr>
        <w:pStyle w:val="23"/>
        <w:spacing w:line="360" w:lineRule="auto"/>
        <w:ind w:left="25" w:leftChars="12" w:firstLine="472" w:firstLineChars="197"/>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p w14:paraId="44830C26">
      <w:pPr>
        <w:pStyle w:val="23"/>
        <w:spacing w:line="360" w:lineRule="auto"/>
        <w:ind w:left="25" w:leftChars="12"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五、与投诉事项相关的投诉请求：</w:t>
      </w:r>
    </w:p>
    <w:p w14:paraId="7275F08F">
      <w:pPr>
        <w:pStyle w:val="23"/>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请求：</w:t>
      </w:r>
      <w:r>
        <w:rPr>
          <w:rFonts w:hint="eastAsia" w:ascii="仿宋" w:hAnsi="仿宋" w:eastAsia="仿宋" w:cs="仿宋"/>
          <w:bCs/>
          <w:color w:val="auto"/>
          <w:sz w:val="24"/>
          <w:szCs w:val="24"/>
          <w:highlight w:val="none"/>
          <w:u w:val="single"/>
        </w:rPr>
        <w:t xml:space="preserve">                                                                                 </w:t>
      </w:r>
    </w:p>
    <w:p w14:paraId="319A873A">
      <w:pPr>
        <w:pStyle w:val="23"/>
        <w:spacing w:line="360" w:lineRule="auto"/>
        <w:ind w:left="25" w:leftChars="12" w:firstLine="352" w:firstLineChars="147"/>
        <w:rPr>
          <w:rFonts w:hint="eastAsia" w:ascii="仿宋" w:hAnsi="仿宋" w:eastAsia="仿宋" w:cs="仿宋"/>
          <w:color w:val="auto"/>
          <w:sz w:val="24"/>
          <w:szCs w:val="24"/>
          <w:highlight w:val="none"/>
        </w:rPr>
      </w:pPr>
    </w:p>
    <w:p w14:paraId="1042777E">
      <w:pPr>
        <w:pStyle w:val="23"/>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签字（签章）：                                       公章：</w:t>
      </w:r>
    </w:p>
    <w:p w14:paraId="60EED1D2">
      <w:pPr>
        <w:pStyle w:val="23"/>
        <w:spacing w:line="360" w:lineRule="auto"/>
        <w:ind w:left="25" w:leftChars="12" w:firstLine="352" w:firstLineChars="147"/>
        <w:rPr>
          <w:rFonts w:hint="eastAsia" w:ascii="仿宋" w:hAnsi="仿宋" w:eastAsia="仿宋" w:cs="仿宋"/>
          <w:color w:val="auto"/>
          <w:sz w:val="24"/>
          <w:szCs w:val="24"/>
          <w:highlight w:val="none"/>
        </w:rPr>
      </w:pPr>
    </w:p>
    <w:p w14:paraId="44F45635">
      <w:pPr>
        <w:pStyle w:val="23"/>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p>
    <w:p w14:paraId="6C9BFED3">
      <w:pPr>
        <w:pStyle w:val="23"/>
        <w:spacing w:line="360" w:lineRule="auto"/>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 xml:space="preserve">                                                                                 </w:t>
      </w:r>
    </w:p>
    <w:p w14:paraId="378BE11C">
      <w:pPr>
        <w:pStyle w:val="23"/>
        <w:snapToGrid w:val="0"/>
        <w:spacing w:line="360" w:lineRule="auto"/>
        <w:rPr>
          <w:rFonts w:hint="eastAsia" w:ascii="仿宋" w:hAnsi="仿宋" w:eastAsia="仿宋" w:cs="仿宋"/>
          <w:b/>
          <w:color w:val="auto"/>
          <w:sz w:val="24"/>
          <w:szCs w:val="24"/>
          <w:highlight w:val="none"/>
        </w:rPr>
      </w:pPr>
    </w:p>
    <w:p w14:paraId="0C47BDC6">
      <w:pPr>
        <w:pStyle w:val="23"/>
        <w:snapToGrid w:val="0"/>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说明：</w:t>
      </w:r>
    </w:p>
    <w:p w14:paraId="37481D29">
      <w:pPr>
        <w:pStyle w:val="23"/>
        <w:spacing w:line="360" w:lineRule="auto"/>
        <w:ind w:left="25" w:leftChars="12" w:firstLine="354" w:firstLineChars="147"/>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1.投诉人提起投诉时，应当提交投诉书和必要的证明材料，并按照被投诉人和与投诉事项有关的供应商数量提供投诉书副本</w:t>
      </w:r>
      <w:r>
        <w:rPr>
          <w:rFonts w:hint="eastAsia" w:ascii="仿宋" w:hAnsi="仿宋" w:eastAsia="仿宋" w:cs="仿宋"/>
          <w:b/>
          <w:bCs/>
          <w:color w:val="auto"/>
          <w:sz w:val="24"/>
          <w:szCs w:val="24"/>
          <w:highlight w:val="none"/>
        </w:rPr>
        <w:t>。</w:t>
      </w:r>
    </w:p>
    <w:p w14:paraId="64938BA1">
      <w:pPr>
        <w:pStyle w:val="23"/>
        <w:spacing w:line="360" w:lineRule="auto"/>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B60823F">
      <w:pPr>
        <w:pStyle w:val="23"/>
        <w:spacing w:line="360" w:lineRule="auto"/>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3.投诉书应简要列明质疑事项，质疑函、质疑答复等作为附件材料提供。</w:t>
      </w:r>
    </w:p>
    <w:p w14:paraId="10716DCD">
      <w:pPr>
        <w:pStyle w:val="23"/>
        <w:spacing w:line="360" w:lineRule="auto"/>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4.投诉书的投诉事项应具体、明确，并有必要的事实依据和法律依据。</w:t>
      </w:r>
    </w:p>
    <w:p w14:paraId="6A8E0CD0">
      <w:pPr>
        <w:pStyle w:val="23"/>
        <w:spacing w:line="360" w:lineRule="auto"/>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5.投诉书的投诉请求应与投诉事项相关。</w:t>
      </w:r>
    </w:p>
    <w:p w14:paraId="668E825E">
      <w:pPr>
        <w:pStyle w:val="23"/>
        <w:spacing w:line="360" w:lineRule="auto"/>
        <w:ind w:left="25" w:leftChars="12" w:firstLine="354" w:firstLineChars="147"/>
        <w:rPr>
          <w:rFonts w:hint="eastAsia" w:ascii="仿宋" w:hAnsi="仿宋" w:eastAsia="仿宋" w:cs="仿宋"/>
          <w:b/>
          <w:color w:val="auto"/>
          <w:highlight w:val="none"/>
        </w:rPr>
      </w:pPr>
      <w:r>
        <w:rPr>
          <w:rFonts w:hint="eastAsia" w:ascii="仿宋" w:hAnsi="仿宋" w:eastAsia="仿宋" w:cs="仿宋"/>
          <w:b/>
          <w:color w:val="auto"/>
          <w:sz w:val="24"/>
          <w:szCs w:val="24"/>
          <w:highlight w:val="none"/>
        </w:rPr>
        <w:t>6.投诉人为法人或者其他组织的，投诉书应由法定代表人、主要负责人，或者其授权代表签字或者盖章，并加盖公章。</w:t>
      </w:r>
    </w:p>
    <w:sectPr>
      <w:pgSz w:w="11906" w:h="16838"/>
      <w:pgMar w:top="1440" w:right="1797" w:bottom="1440" w:left="1797"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_x000B__x000C_">
    <w:altName w:val="Times New Roman"/>
    <w:panose1 w:val="00000000000000000000"/>
    <w:charset w:val="00"/>
    <w:family w:val="roman"/>
    <w:pitch w:val="default"/>
    <w:sig w:usb0="00000000" w:usb1="00000000" w:usb2="00000000" w:usb3="00000000" w:csb0="00040001" w:csb1="00000000"/>
  </w:font>
  <w:font w:name="Century">
    <w:panose1 w:val="02040604050505020304"/>
    <w:charset w:val="00"/>
    <w:family w:val="roman"/>
    <w:pitch w:val="default"/>
    <w:sig w:usb0="00000287" w:usb1="00000000" w:usb2="00000000" w:usb3="00000000" w:csb0="2000009F" w:csb1="DFD7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方正大黑简体2.">
    <w:altName w:val="黑体"/>
    <w:panose1 w:val="00000000000000000000"/>
    <w:charset w:val="86"/>
    <w:family w:val="swiss"/>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Gulim">
    <w:panose1 w:val="020B0600000101010101"/>
    <w:charset w:val="81"/>
    <w:family w:val="auto"/>
    <w:pitch w:val="default"/>
    <w:sig w:usb0="B00002AF" w:usb1="69D77CFB" w:usb2="00000030" w:usb3="00000000" w:csb0="4008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2DFD6">
    <w:pPr>
      <w:pStyle w:val="2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AF3E55">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14AF3E55">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85B88">
    <w:pPr>
      <w:pStyle w:val="2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93B6A3">
                          <w:pPr>
                            <w:pStyle w:val="29"/>
                            <w:jc w:val="center"/>
                          </w:pPr>
                          <w:r>
                            <w:fldChar w:fldCharType="begin"/>
                          </w:r>
                          <w:r>
                            <w:instrText xml:space="preserve"> PAGE   \* MERGEFORMAT </w:instrText>
                          </w:r>
                          <w:r>
                            <w:fldChar w:fldCharType="separate"/>
                          </w:r>
                          <w:r>
                            <w:rPr>
                              <w:lang w:val="zh-CN"/>
                            </w:rP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893B6A3">
                    <w:pPr>
                      <w:pStyle w:val="29"/>
                      <w:jc w:val="center"/>
                    </w:pPr>
                    <w:r>
                      <w:fldChar w:fldCharType="begin"/>
                    </w:r>
                    <w:r>
                      <w:instrText xml:space="preserve"> PAGE   \* MERGEFORMAT </w:instrText>
                    </w:r>
                    <w:r>
                      <w:fldChar w:fldCharType="separate"/>
                    </w:r>
                    <w:r>
                      <w:rPr>
                        <w:lang w:val="zh-CN"/>
                      </w:rPr>
                      <w:t>34</w:t>
                    </w:r>
                    <w:r>
                      <w:fldChar w:fldCharType="end"/>
                    </w:r>
                  </w:p>
                </w:txbxContent>
              </v:textbox>
            </v:shape>
          </w:pict>
        </mc:Fallback>
      </mc:AlternateContent>
    </w:r>
  </w:p>
  <w:p w14:paraId="57BC333E">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78058">
    <w:pPr>
      <w:pStyle w:val="29"/>
      <w:framePr w:wrap="around" w:vAnchor="text" w:hAnchor="margin" w:xAlign="center" w:y="1"/>
      <w:rPr>
        <w:rStyle w:val="50"/>
      </w:rPr>
    </w:pPr>
    <w:r>
      <w:fldChar w:fldCharType="begin"/>
    </w:r>
    <w:r>
      <w:rPr>
        <w:rStyle w:val="50"/>
      </w:rPr>
      <w:instrText xml:space="preserve">PAGE  </w:instrText>
    </w:r>
    <w:r>
      <w:fldChar w:fldCharType="end"/>
    </w:r>
  </w:p>
  <w:p w14:paraId="67C38F33">
    <w:pPr>
      <w:pStyle w:val="2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B5EE8">
    <w:pPr>
      <w:pStyle w:val="29"/>
      <w:ind w:right="360"/>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D38AC">
                          <w:pPr>
                            <w:pStyle w:val="2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C7D38AC">
                    <w:pPr>
                      <w:pStyle w:val="29"/>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AAEA8">
    <w:pPr>
      <w:pStyle w:val="2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81E446">
                          <w:pPr>
                            <w:pStyle w:val="29"/>
                            <w:jc w:val="center"/>
                          </w:pPr>
                          <w:r>
                            <w:fldChar w:fldCharType="begin"/>
                          </w:r>
                          <w:r>
                            <w:instrText xml:space="preserve"> PAGE   \* MERGEFORMAT </w:instrText>
                          </w:r>
                          <w:r>
                            <w:fldChar w:fldCharType="separate"/>
                          </w:r>
                          <w:r>
                            <w:rPr>
                              <w:lang w:val="zh-CN"/>
                            </w:rP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81E446">
                    <w:pPr>
                      <w:pStyle w:val="29"/>
                      <w:jc w:val="center"/>
                    </w:pPr>
                    <w:r>
                      <w:fldChar w:fldCharType="begin"/>
                    </w:r>
                    <w:r>
                      <w:instrText xml:space="preserve"> PAGE   \* MERGEFORMAT </w:instrText>
                    </w:r>
                    <w:r>
                      <w:fldChar w:fldCharType="separate"/>
                    </w:r>
                    <w:r>
                      <w:rPr>
                        <w:lang w:val="zh-CN"/>
                      </w:rPr>
                      <w:t>81</w:t>
                    </w:r>
                    <w:r>
                      <w:fldChar w:fldCharType="end"/>
                    </w:r>
                  </w:p>
                </w:txbxContent>
              </v:textbox>
            </v:shape>
          </w:pict>
        </mc:Fallback>
      </mc:AlternateContent>
    </w:r>
  </w:p>
  <w:p w14:paraId="63FB39CC">
    <w:pPr>
      <w:pStyle w:val="2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208FA">
    <w:pPr>
      <w:pStyle w:val="29"/>
      <w:framePr w:wrap="around" w:vAnchor="text" w:hAnchor="margin" w:xAlign="center" w:y="1"/>
      <w:rPr>
        <w:rStyle w:val="50"/>
      </w:rPr>
    </w:pPr>
    <w:r>
      <w:fldChar w:fldCharType="begin"/>
    </w:r>
    <w:r>
      <w:rPr>
        <w:rStyle w:val="50"/>
      </w:rPr>
      <w:instrText xml:space="preserve">PAGE  </w:instrText>
    </w:r>
    <w:r>
      <w:fldChar w:fldCharType="end"/>
    </w:r>
  </w:p>
  <w:p w14:paraId="59FF562E">
    <w:pPr>
      <w:pStyle w:val="2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20572">
    <w:pPr>
      <w:pStyle w:val="29"/>
      <w:framePr w:wrap="around" w:vAnchor="text" w:hAnchor="margin" w:xAlign="right" w:y="1"/>
      <w:rPr>
        <w:rStyle w:val="50"/>
      </w:rPr>
    </w:pPr>
    <w:r>
      <w:fldChar w:fldCharType="begin"/>
    </w:r>
    <w:r>
      <w:rPr>
        <w:rStyle w:val="50"/>
      </w:rPr>
      <w:instrText xml:space="preserve">PAGE  </w:instrText>
    </w:r>
    <w:r>
      <w:fldChar w:fldCharType="separate"/>
    </w:r>
    <w:r>
      <w:rPr>
        <w:rStyle w:val="50"/>
      </w:rPr>
      <w:t>122</w:t>
    </w:r>
    <w:r>
      <w:fldChar w:fldCharType="end"/>
    </w:r>
  </w:p>
  <w:p w14:paraId="2A37CBA5">
    <w:pPr>
      <w:pStyle w:val="29"/>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E238F">
    <w:pPr>
      <w:pStyle w:val="3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9FED9">
    <w:pPr>
      <w:pStyle w:val="3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19"/>
      <w:lvlText w:val="%1."/>
      <w:lvlJc w:val="left"/>
      <w:pPr>
        <w:tabs>
          <w:tab w:val="left" w:pos="1200"/>
        </w:tabs>
        <w:ind w:left="1200" w:hanging="360"/>
      </w:pPr>
    </w:lvl>
  </w:abstractNum>
  <w:abstractNum w:abstractNumId="1">
    <w:nsid w:val="2885C12E"/>
    <w:multiLevelType w:val="singleLevel"/>
    <w:tmpl w:val="2885C12E"/>
    <w:lvl w:ilvl="0" w:tentative="0">
      <w:start w:val="2"/>
      <w:numFmt w:val="chineseCounting"/>
      <w:suff w:val="space"/>
      <w:lvlText w:val="第%1章"/>
      <w:lvlJc w:val="left"/>
      <w:rPr>
        <w:rFonts w:hint="eastAsia"/>
      </w:rPr>
    </w:lvl>
  </w:abstractNum>
  <w:abstractNum w:abstractNumId="2">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3">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2"/>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2NmYxZWIzN2QwMWIyYmVmYTQ0NTIwNjkwYzg0N2YifQ=="/>
  </w:docVars>
  <w:rsids>
    <w:rsidRoot w:val="00F9008B"/>
    <w:rsid w:val="0000010C"/>
    <w:rsid w:val="000004FE"/>
    <w:rsid w:val="00000FE0"/>
    <w:rsid w:val="00001068"/>
    <w:rsid w:val="0000114A"/>
    <w:rsid w:val="00001731"/>
    <w:rsid w:val="00001C2D"/>
    <w:rsid w:val="00001C55"/>
    <w:rsid w:val="00001CA8"/>
    <w:rsid w:val="00001FAE"/>
    <w:rsid w:val="00002291"/>
    <w:rsid w:val="00002DBF"/>
    <w:rsid w:val="00002EC0"/>
    <w:rsid w:val="00003224"/>
    <w:rsid w:val="000033F5"/>
    <w:rsid w:val="0000358C"/>
    <w:rsid w:val="00003BEF"/>
    <w:rsid w:val="00004130"/>
    <w:rsid w:val="0000431F"/>
    <w:rsid w:val="00004634"/>
    <w:rsid w:val="00004D8B"/>
    <w:rsid w:val="000059E2"/>
    <w:rsid w:val="000061EA"/>
    <w:rsid w:val="00006AE7"/>
    <w:rsid w:val="00006B9B"/>
    <w:rsid w:val="00006C35"/>
    <w:rsid w:val="000072B1"/>
    <w:rsid w:val="00007329"/>
    <w:rsid w:val="00007E28"/>
    <w:rsid w:val="00007E84"/>
    <w:rsid w:val="00010401"/>
    <w:rsid w:val="000105A1"/>
    <w:rsid w:val="000107AD"/>
    <w:rsid w:val="00010835"/>
    <w:rsid w:val="00011842"/>
    <w:rsid w:val="00012137"/>
    <w:rsid w:val="000121FF"/>
    <w:rsid w:val="000125B8"/>
    <w:rsid w:val="00012692"/>
    <w:rsid w:val="00013446"/>
    <w:rsid w:val="00013509"/>
    <w:rsid w:val="000135BC"/>
    <w:rsid w:val="000135DC"/>
    <w:rsid w:val="000136D6"/>
    <w:rsid w:val="00014085"/>
    <w:rsid w:val="00014DD9"/>
    <w:rsid w:val="00014EE0"/>
    <w:rsid w:val="000151E4"/>
    <w:rsid w:val="00015577"/>
    <w:rsid w:val="000156E4"/>
    <w:rsid w:val="000159A7"/>
    <w:rsid w:val="00015FB8"/>
    <w:rsid w:val="0001609F"/>
    <w:rsid w:val="0001635B"/>
    <w:rsid w:val="00016549"/>
    <w:rsid w:val="00016BF7"/>
    <w:rsid w:val="0001767E"/>
    <w:rsid w:val="0001776D"/>
    <w:rsid w:val="00017F31"/>
    <w:rsid w:val="00020607"/>
    <w:rsid w:val="00020DBE"/>
    <w:rsid w:val="0002103A"/>
    <w:rsid w:val="000217E4"/>
    <w:rsid w:val="00021852"/>
    <w:rsid w:val="00021A12"/>
    <w:rsid w:val="00022622"/>
    <w:rsid w:val="00023363"/>
    <w:rsid w:val="000235F3"/>
    <w:rsid w:val="00023644"/>
    <w:rsid w:val="00023712"/>
    <w:rsid w:val="00024E3C"/>
    <w:rsid w:val="00024EB0"/>
    <w:rsid w:val="0002646A"/>
    <w:rsid w:val="0002651D"/>
    <w:rsid w:val="00026CFD"/>
    <w:rsid w:val="00027C8B"/>
    <w:rsid w:val="00027CD9"/>
    <w:rsid w:val="00030242"/>
    <w:rsid w:val="00030B06"/>
    <w:rsid w:val="0003183A"/>
    <w:rsid w:val="00031CDC"/>
    <w:rsid w:val="0003263B"/>
    <w:rsid w:val="0003282C"/>
    <w:rsid w:val="00032F6D"/>
    <w:rsid w:val="0003304A"/>
    <w:rsid w:val="0003317E"/>
    <w:rsid w:val="00033413"/>
    <w:rsid w:val="000337F3"/>
    <w:rsid w:val="00034C27"/>
    <w:rsid w:val="00034E2A"/>
    <w:rsid w:val="0003577F"/>
    <w:rsid w:val="00036466"/>
    <w:rsid w:val="0003675E"/>
    <w:rsid w:val="00037F87"/>
    <w:rsid w:val="00037FA2"/>
    <w:rsid w:val="000400D0"/>
    <w:rsid w:val="000425AC"/>
    <w:rsid w:val="00042F4A"/>
    <w:rsid w:val="00043BE5"/>
    <w:rsid w:val="00044003"/>
    <w:rsid w:val="00044527"/>
    <w:rsid w:val="00044897"/>
    <w:rsid w:val="00044ACF"/>
    <w:rsid w:val="000454F4"/>
    <w:rsid w:val="00045D1E"/>
    <w:rsid w:val="00045E69"/>
    <w:rsid w:val="00045EF4"/>
    <w:rsid w:val="00046547"/>
    <w:rsid w:val="000466D7"/>
    <w:rsid w:val="00046753"/>
    <w:rsid w:val="00047254"/>
    <w:rsid w:val="00047E41"/>
    <w:rsid w:val="0005022B"/>
    <w:rsid w:val="00050771"/>
    <w:rsid w:val="000513F3"/>
    <w:rsid w:val="00052287"/>
    <w:rsid w:val="000522E0"/>
    <w:rsid w:val="000532F4"/>
    <w:rsid w:val="000536AE"/>
    <w:rsid w:val="00054CD5"/>
    <w:rsid w:val="00054D03"/>
    <w:rsid w:val="000550AC"/>
    <w:rsid w:val="0005584D"/>
    <w:rsid w:val="00055CC3"/>
    <w:rsid w:val="00055CEE"/>
    <w:rsid w:val="000566FA"/>
    <w:rsid w:val="00056A2B"/>
    <w:rsid w:val="00056DA8"/>
    <w:rsid w:val="00056E37"/>
    <w:rsid w:val="00056EE2"/>
    <w:rsid w:val="00056FE2"/>
    <w:rsid w:val="000570FB"/>
    <w:rsid w:val="000575B8"/>
    <w:rsid w:val="00060131"/>
    <w:rsid w:val="0006026B"/>
    <w:rsid w:val="00060293"/>
    <w:rsid w:val="00061BDA"/>
    <w:rsid w:val="000621FE"/>
    <w:rsid w:val="00062B90"/>
    <w:rsid w:val="00062C70"/>
    <w:rsid w:val="00062DD0"/>
    <w:rsid w:val="00062E6F"/>
    <w:rsid w:val="000630C7"/>
    <w:rsid w:val="0006400F"/>
    <w:rsid w:val="000645DD"/>
    <w:rsid w:val="00064D7E"/>
    <w:rsid w:val="00064F65"/>
    <w:rsid w:val="00064FD0"/>
    <w:rsid w:val="0006534A"/>
    <w:rsid w:val="00065A5D"/>
    <w:rsid w:val="00065BA2"/>
    <w:rsid w:val="000661CA"/>
    <w:rsid w:val="0006668D"/>
    <w:rsid w:val="00067002"/>
    <w:rsid w:val="00067993"/>
    <w:rsid w:val="00067B1C"/>
    <w:rsid w:val="00067CED"/>
    <w:rsid w:val="00067F66"/>
    <w:rsid w:val="0007041A"/>
    <w:rsid w:val="00070634"/>
    <w:rsid w:val="00070883"/>
    <w:rsid w:val="00070C3F"/>
    <w:rsid w:val="0007102C"/>
    <w:rsid w:val="00071D68"/>
    <w:rsid w:val="00071FCE"/>
    <w:rsid w:val="00072661"/>
    <w:rsid w:val="00072CCC"/>
    <w:rsid w:val="00073549"/>
    <w:rsid w:val="0007483E"/>
    <w:rsid w:val="000751DB"/>
    <w:rsid w:val="0007542D"/>
    <w:rsid w:val="0007578F"/>
    <w:rsid w:val="00075E43"/>
    <w:rsid w:val="00077706"/>
    <w:rsid w:val="00077878"/>
    <w:rsid w:val="000804EF"/>
    <w:rsid w:val="00080558"/>
    <w:rsid w:val="00081230"/>
    <w:rsid w:val="000814E2"/>
    <w:rsid w:val="000818C9"/>
    <w:rsid w:val="00081CBB"/>
    <w:rsid w:val="00081D42"/>
    <w:rsid w:val="000822EF"/>
    <w:rsid w:val="0008241E"/>
    <w:rsid w:val="000826F5"/>
    <w:rsid w:val="000829B1"/>
    <w:rsid w:val="00082AAB"/>
    <w:rsid w:val="0008307D"/>
    <w:rsid w:val="000831E9"/>
    <w:rsid w:val="000833BB"/>
    <w:rsid w:val="0008452D"/>
    <w:rsid w:val="0008467B"/>
    <w:rsid w:val="000850FA"/>
    <w:rsid w:val="000857A6"/>
    <w:rsid w:val="00085C12"/>
    <w:rsid w:val="00085DA0"/>
    <w:rsid w:val="00085F82"/>
    <w:rsid w:val="00086506"/>
    <w:rsid w:val="00086B6E"/>
    <w:rsid w:val="00086C64"/>
    <w:rsid w:val="0008781A"/>
    <w:rsid w:val="00090951"/>
    <w:rsid w:val="00090A61"/>
    <w:rsid w:val="000918F5"/>
    <w:rsid w:val="000919B5"/>
    <w:rsid w:val="00091C1D"/>
    <w:rsid w:val="00091E08"/>
    <w:rsid w:val="000922D8"/>
    <w:rsid w:val="000932E7"/>
    <w:rsid w:val="0009333A"/>
    <w:rsid w:val="000933C3"/>
    <w:rsid w:val="00093459"/>
    <w:rsid w:val="00093B8B"/>
    <w:rsid w:val="000951E7"/>
    <w:rsid w:val="00095B82"/>
    <w:rsid w:val="00096098"/>
    <w:rsid w:val="000969D9"/>
    <w:rsid w:val="00096F37"/>
    <w:rsid w:val="00097FE5"/>
    <w:rsid w:val="000A0354"/>
    <w:rsid w:val="000A091F"/>
    <w:rsid w:val="000A0958"/>
    <w:rsid w:val="000A0FCC"/>
    <w:rsid w:val="000A1033"/>
    <w:rsid w:val="000A2712"/>
    <w:rsid w:val="000A2877"/>
    <w:rsid w:val="000A355D"/>
    <w:rsid w:val="000A35DA"/>
    <w:rsid w:val="000A371E"/>
    <w:rsid w:val="000A3DE5"/>
    <w:rsid w:val="000A4011"/>
    <w:rsid w:val="000A45D5"/>
    <w:rsid w:val="000A490E"/>
    <w:rsid w:val="000A5B49"/>
    <w:rsid w:val="000A5FE5"/>
    <w:rsid w:val="000A7218"/>
    <w:rsid w:val="000A740A"/>
    <w:rsid w:val="000A7446"/>
    <w:rsid w:val="000A7E7F"/>
    <w:rsid w:val="000A7ECD"/>
    <w:rsid w:val="000B04DD"/>
    <w:rsid w:val="000B0F01"/>
    <w:rsid w:val="000B1346"/>
    <w:rsid w:val="000B1914"/>
    <w:rsid w:val="000B19DC"/>
    <w:rsid w:val="000B1CA2"/>
    <w:rsid w:val="000B202E"/>
    <w:rsid w:val="000B2293"/>
    <w:rsid w:val="000B24A4"/>
    <w:rsid w:val="000B255C"/>
    <w:rsid w:val="000B395E"/>
    <w:rsid w:val="000B39C3"/>
    <w:rsid w:val="000B3A00"/>
    <w:rsid w:val="000B4840"/>
    <w:rsid w:val="000B4D79"/>
    <w:rsid w:val="000B5627"/>
    <w:rsid w:val="000B5671"/>
    <w:rsid w:val="000B6BF0"/>
    <w:rsid w:val="000B6CE8"/>
    <w:rsid w:val="000B7DAF"/>
    <w:rsid w:val="000C071C"/>
    <w:rsid w:val="000C0BB4"/>
    <w:rsid w:val="000C0BEE"/>
    <w:rsid w:val="000C1CB9"/>
    <w:rsid w:val="000C2159"/>
    <w:rsid w:val="000C21BB"/>
    <w:rsid w:val="000C289B"/>
    <w:rsid w:val="000C2D9D"/>
    <w:rsid w:val="000C3F01"/>
    <w:rsid w:val="000C420D"/>
    <w:rsid w:val="000C4773"/>
    <w:rsid w:val="000C4944"/>
    <w:rsid w:val="000C4E24"/>
    <w:rsid w:val="000C5C4A"/>
    <w:rsid w:val="000C5F01"/>
    <w:rsid w:val="000C63C4"/>
    <w:rsid w:val="000C66C1"/>
    <w:rsid w:val="000C6F0B"/>
    <w:rsid w:val="000C6F32"/>
    <w:rsid w:val="000C6FEF"/>
    <w:rsid w:val="000C778C"/>
    <w:rsid w:val="000C7833"/>
    <w:rsid w:val="000C7E1B"/>
    <w:rsid w:val="000C7E73"/>
    <w:rsid w:val="000D001B"/>
    <w:rsid w:val="000D0A45"/>
    <w:rsid w:val="000D136E"/>
    <w:rsid w:val="000D14AC"/>
    <w:rsid w:val="000D15BA"/>
    <w:rsid w:val="000D15BE"/>
    <w:rsid w:val="000D2C9B"/>
    <w:rsid w:val="000D35FD"/>
    <w:rsid w:val="000D3D2D"/>
    <w:rsid w:val="000D3D99"/>
    <w:rsid w:val="000D4653"/>
    <w:rsid w:val="000D4696"/>
    <w:rsid w:val="000D4817"/>
    <w:rsid w:val="000D4FB9"/>
    <w:rsid w:val="000D54B4"/>
    <w:rsid w:val="000D584B"/>
    <w:rsid w:val="000D5F55"/>
    <w:rsid w:val="000D6372"/>
    <w:rsid w:val="000D6979"/>
    <w:rsid w:val="000D6CE7"/>
    <w:rsid w:val="000D6E38"/>
    <w:rsid w:val="000D6E63"/>
    <w:rsid w:val="000D711C"/>
    <w:rsid w:val="000D7B6E"/>
    <w:rsid w:val="000E0644"/>
    <w:rsid w:val="000E076D"/>
    <w:rsid w:val="000E087C"/>
    <w:rsid w:val="000E187C"/>
    <w:rsid w:val="000E1B28"/>
    <w:rsid w:val="000E1E8D"/>
    <w:rsid w:val="000E1EBC"/>
    <w:rsid w:val="000E2173"/>
    <w:rsid w:val="000E220B"/>
    <w:rsid w:val="000E2A50"/>
    <w:rsid w:val="000E30F2"/>
    <w:rsid w:val="000E316B"/>
    <w:rsid w:val="000E3D08"/>
    <w:rsid w:val="000E4728"/>
    <w:rsid w:val="000E4D1F"/>
    <w:rsid w:val="000E5658"/>
    <w:rsid w:val="000E5698"/>
    <w:rsid w:val="000E5723"/>
    <w:rsid w:val="000E581B"/>
    <w:rsid w:val="000E64B2"/>
    <w:rsid w:val="000E65D2"/>
    <w:rsid w:val="000E6919"/>
    <w:rsid w:val="000E6B1B"/>
    <w:rsid w:val="000E6F0C"/>
    <w:rsid w:val="000E732D"/>
    <w:rsid w:val="000F07ED"/>
    <w:rsid w:val="000F0CF2"/>
    <w:rsid w:val="000F1A32"/>
    <w:rsid w:val="000F1CC2"/>
    <w:rsid w:val="000F1D15"/>
    <w:rsid w:val="000F270A"/>
    <w:rsid w:val="000F34C8"/>
    <w:rsid w:val="000F38BC"/>
    <w:rsid w:val="000F3E2A"/>
    <w:rsid w:val="000F4D26"/>
    <w:rsid w:val="000F5639"/>
    <w:rsid w:val="000F58A4"/>
    <w:rsid w:val="000F6833"/>
    <w:rsid w:val="000F6A24"/>
    <w:rsid w:val="000F7616"/>
    <w:rsid w:val="000F7DE9"/>
    <w:rsid w:val="000F7F7A"/>
    <w:rsid w:val="001002F4"/>
    <w:rsid w:val="001011FC"/>
    <w:rsid w:val="0010165F"/>
    <w:rsid w:val="00101E7C"/>
    <w:rsid w:val="001023DC"/>
    <w:rsid w:val="00102572"/>
    <w:rsid w:val="00102946"/>
    <w:rsid w:val="00102FBF"/>
    <w:rsid w:val="0010333D"/>
    <w:rsid w:val="0010372A"/>
    <w:rsid w:val="00103F41"/>
    <w:rsid w:val="00104F34"/>
    <w:rsid w:val="001053C5"/>
    <w:rsid w:val="001055AD"/>
    <w:rsid w:val="00105C14"/>
    <w:rsid w:val="001065A3"/>
    <w:rsid w:val="00106831"/>
    <w:rsid w:val="0010691D"/>
    <w:rsid w:val="00106B33"/>
    <w:rsid w:val="00106E69"/>
    <w:rsid w:val="00110AC5"/>
    <w:rsid w:val="00110F0B"/>
    <w:rsid w:val="0011108B"/>
    <w:rsid w:val="00111136"/>
    <w:rsid w:val="00111164"/>
    <w:rsid w:val="00111761"/>
    <w:rsid w:val="00112164"/>
    <w:rsid w:val="0011241F"/>
    <w:rsid w:val="001128BF"/>
    <w:rsid w:val="00112D09"/>
    <w:rsid w:val="00112F03"/>
    <w:rsid w:val="00112F38"/>
    <w:rsid w:val="00113821"/>
    <w:rsid w:val="00114058"/>
    <w:rsid w:val="0011449E"/>
    <w:rsid w:val="001153EF"/>
    <w:rsid w:val="00115D55"/>
    <w:rsid w:val="00115E45"/>
    <w:rsid w:val="00115F85"/>
    <w:rsid w:val="0011688E"/>
    <w:rsid w:val="00116ACD"/>
    <w:rsid w:val="00117B7D"/>
    <w:rsid w:val="001205A8"/>
    <w:rsid w:val="00122A64"/>
    <w:rsid w:val="0012388A"/>
    <w:rsid w:val="0012388C"/>
    <w:rsid w:val="00123AFA"/>
    <w:rsid w:val="00123C8C"/>
    <w:rsid w:val="00123E8B"/>
    <w:rsid w:val="00124B43"/>
    <w:rsid w:val="00124DF8"/>
    <w:rsid w:val="001253EA"/>
    <w:rsid w:val="00125B99"/>
    <w:rsid w:val="00126160"/>
    <w:rsid w:val="00126DB5"/>
    <w:rsid w:val="00127178"/>
    <w:rsid w:val="00127F09"/>
    <w:rsid w:val="0013002A"/>
    <w:rsid w:val="0013085D"/>
    <w:rsid w:val="0013089C"/>
    <w:rsid w:val="00130A2D"/>
    <w:rsid w:val="00130F54"/>
    <w:rsid w:val="00131888"/>
    <w:rsid w:val="00131F17"/>
    <w:rsid w:val="0013212F"/>
    <w:rsid w:val="001323F9"/>
    <w:rsid w:val="0013251F"/>
    <w:rsid w:val="00133088"/>
    <w:rsid w:val="00133346"/>
    <w:rsid w:val="001335B1"/>
    <w:rsid w:val="00133B4E"/>
    <w:rsid w:val="001346AF"/>
    <w:rsid w:val="00134990"/>
    <w:rsid w:val="001354D1"/>
    <w:rsid w:val="00135A0A"/>
    <w:rsid w:val="00135BB9"/>
    <w:rsid w:val="0013621D"/>
    <w:rsid w:val="00136354"/>
    <w:rsid w:val="00136674"/>
    <w:rsid w:val="00136B0E"/>
    <w:rsid w:val="00136C3B"/>
    <w:rsid w:val="001376AB"/>
    <w:rsid w:val="0013777C"/>
    <w:rsid w:val="00137D5F"/>
    <w:rsid w:val="00140082"/>
    <w:rsid w:val="00140175"/>
    <w:rsid w:val="00140757"/>
    <w:rsid w:val="00140D07"/>
    <w:rsid w:val="00141A3A"/>
    <w:rsid w:val="001423FA"/>
    <w:rsid w:val="001427B5"/>
    <w:rsid w:val="001428CF"/>
    <w:rsid w:val="00142D0C"/>
    <w:rsid w:val="00142E3C"/>
    <w:rsid w:val="00143387"/>
    <w:rsid w:val="00144013"/>
    <w:rsid w:val="00145A17"/>
    <w:rsid w:val="00145BBE"/>
    <w:rsid w:val="001460B5"/>
    <w:rsid w:val="0014641F"/>
    <w:rsid w:val="001464A8"/>
    <w:rsid w:val="001467BB"/>
    <w:rsid w:val="00146CA8"/>
    <w:rsid w:val="00147884"/>
    <w:rsid w:val="00150685"/>
    <w:rsid w:val="00150827"/>
    <w:rsid w:val="00150B0D"/>
    <w:rsid w:val="00151E31"/>
    <w:rsid w:val="00151F9B"/>
    <w:rsid w:val="00152289"/>
    <w:rsid w:val="00152425"/>
    <w:rsid w:val="00152BAD"/>
    <w:rsid w:val="00152CE3"/>
    <w:rsid w:val="00153652"/>
    <w:rsid w:val="00153697"/>
    <w:rsid w:val="00153956"/>
    <w:rsid w:val="00153B95"/>
    <w:rsid w:val="00154146"/>
    <w:rsid w:val="00154190"/>
    <w:rsid w:val="001545EA"/>
    <w:rsid w:val="001549BA"/>
    <w:rsid w:val="00154BBF"/>
    <w:rsid w:val="00155099"/>
    <w:rsid w:val="00155C85"/>
    <w:rsid w:val="00156A6C"/>
    <w:rsid w:val="00156B10"/>
    <w:rsid w:val="001576FE"/>
    <w:rsid w:val="00157823"/>
    <w:rsid w:val="0015790D"/>
    <w:rsid w:val="00157C5E"/>
    <w:rsid w:val="0016015A"/>
    <w:rsid w:val="0016020E"/>
    <w:rsid w:val="00160503"/>
    <w:rsid w:val="00160D7C"/>
    <w:rsid w:val="00160E30"/>
    <w:rsid w:val="0016106D"/>
    <w:rsid w:val="001612E1"/>
    <w:rsid w:val="001614DB"/>
    <w:rsid w:val="0016194E"/>
    <w:rsid w:val="0016236C"/>
    <w:rsid w:val="00162625"/>
    <w:rsid w:val="001630A8"/>
    <w:rsid w:val="00163826"/>
    <w:rsid w:val="00163943"/>
    <w:rsid w:val="00163BA1"/>
    <w:rsid w:val="00163F22"/>
    <w:rsid w:val="0016417B"/>
    <w:rsid w:val="0016470E"/>
    <w:rsid w:val="00164E0A"/>
    <w:rsid w:val="001652D7"/>
    <w:rsid w:val="00165A5F"/>
    <w:rsid w:val="00166223"/>
    <w:rsid w:val="0016793E"/>
    <w:rsid w:val="00167D4D"/>
    <w:rsid w:val="00170635"/>
    <w:rsid w:val="0017070D"/>
    <w:rsid w:val="00170837"/>
    <w:rsid w:val="00171035"/>
    <w:rsid w:val="001713B7"/>
    <w:rsid w:val="00171ADB"/>
    <w:rsid w:val="00171E2C"/>
    <w:rsid w:val="00172029"/>
    <w:rsid w:val="001733A4"/>
    <w:rsid w:val="00173AB9"/>
    <w:rsid w:val="00173EED"/>
    <w:rsid w:val="00174368"/>
    <w:rsid w:val="001744EA"/>
    <w:rsid w:val="00174D82"/>
    <w:rsid w:val="00174E44"/>
    <w:rsid w:val="00175053"/>
    <w:rsid w:val="001753B7"/>
    <w:rsid w:val="001757E7"/>
    <w:rsid w:val="00175873"/>
    <w:rsid w:val="00175C59"/>
    <w:rsid w:val="001760BC"/>
    <w:rsid w:val="00176674"/>
    <w:rsid w:val="00176818"/>
    <w:rsid w:val="00176B82"/>
    <w:rsid w:val="00176E3B"/>
    <w:rsid w:val="00176ECB"/>
    <w:rsid w:val="0017752D"/>
    <w:rsid w:val="0017759F"/>
    <w:rsid w:val="00177832"/>
    <w:rsid w:val="00181178"/>
    <w:rsid w:val="0018119E"/>
    <w:rsid w:val="00181EEF"/>
    <w:rsid w:val="00181F3E"/>
    <w:rsid w:val="00182FE0"/>
    <w:rsid w:val="00183911"/>
    <w:rsid w:val="001845FB"/>
    <w:rsid w:val="00185DA6"/>
    <w:rsid w:val="00185F64"/>
    <w:rsid w:val="00186096"/>
    <w:rsid w:val="0018772E"/>
    <w:rsid w:val="00187A94"/>
    <w:rsid w:val="0019029E"/>
    <w:rsid w:val="001907FA"/>
    <w:rsid w:val="00190804"/>
    <w:rsid w:val="0019088F"/>
    <w:rsid w:val="00190C51"/>
    <w:rsid w:val="00193ACC"/>
    <w:rsid w:val="00193BFE"/>
    <w:rsid w:val="00195322"/>
    <w:rsid w:val="0019560E"/>
    <w:rsid w:val="001958E3"/>
    <w:rsid w:val="0019601B"/>
    <w:rsid w:val="00196048"/>
    <w:rsid w:val="00196A82"/>
    <w:rsid w:val="0019769B"/>
    <w:rsid w:val="001979F9"/>
    <w:rsid w:val="00197FFE"/>
    <w:rsid w:val="001A0D25"/>
    <w:rsid w:val="001A0E14"/>
    <w:rsid w:val="001A1570"/>
    <w:rsid w:val="001A1917"/>
    <w:rsid w:val="001A1C64"/>
    <w:rsid w:val="001A1E7F"/>
    <w:rsid w:val="001A2918"/>
    <w:rsid w:val="001A2D02"/>
    <w:rsid w:val="001A3076"/>
    <w:rsid w:val="001A31A5"/>
    <w:rsid w:val="001A389C"/>
    <w:rsid w:val="001A3B75"/>
    <w:rsid w:val="001A46FB"/>
    <w:rsid w:val="001A5944"/>
    <w:rsid w:val="001A5FB1"/>
    <w:rsid w:val="001A698A"/>
    <w:rsid w:val="001A6CCC"/>
    <w:rsid w:val="001A70C8"/>
    <w:rsid w:val="001A71C9"/>
    <w:rsid w:val="001A7429"/>
    <w:rsid w:val="001A760C"/>
    <w:rsid w:val="001A799B"/>
    <w:rsid w:val="001A7AC7"/>
    <w:rsid w:val="001A7C38"/>
    <w:rsid w:val="001B02F8"/>
    <w:rsid w:val="001B2104"/>
    <w:rsid w:val="001B2279"/>
    <w:rsid w:val="001B2729"/>
    <w:rsid w:val="001B2866"/>
    <w:rsid w:val="001B2881"/>
    <w:rsid w:val="001B2B73"/>
    <w:rsid w:val="001B3675"/>
    <w:rsid w:val="001B37C8"/>
    <w:rsid w:val="001B4B2C"/>
    <w:rsid w:val="001B4F10"/>
    <w:rsid w:val="001B5154"/>
    <w:rsid w:val="001B6E30"/>
    <w:rsid w:val="001B7C83"/>
    <w:rsid w:val="001B7F9E"/>
    <w:rsid w:val="001C0206"/>
    <w:rsid w:val="001C0246"/>
    <w:rsid w:val="001C04D4"/>
    <w:rsid w:val="001C0989"/>
    <w:rsid w:val="001C0B34"/>
    <w:rsid w:val="001C12A3"/>
    <w:rsid w:val="001C17BB"/>
    <w:rsid w:val="001C187E"/>
    <w:rsid w:val="001C1A37"/>
    <w:rsid w:val="001C1C49"/>
    <w:rsid w:val="001C286F"/>
    <w:rsid w:val="001C2B86"/>
    <w:rsid w:val="001C2F54"/>
    <w:rsid w:val="001C3308"/>
    <w:rsid w:val="001C3BBB"/>
    <w:rsid w:val="001C40D1"/>
    <w:rsid w:val="001C468A"/>
    <w:rsid w:val="001C4A38"/>
    <w:rsid w:val="001C4A9E"/>
    <w:rsid w:val="001C5001"/>
    <w:rsid w:val="001C5103"/>
    <w:rsid w:val="001C52A8"/>
    <w:rsid w:val="001C5ADF"/>
    <w:rsid w:val="001C5E8E"/>
    <w:rsid w:val="001C6120"/>
    <w:rsid w:val="001C6516"/>
    <w:rsid w:val="001C6B5C"/>
    <w:rsid w:val="001C7155"/>
    <w:rsid w:val="001C7E48"/>
    <w:rsid w:val="001D039B"/>
    <w:rsid w:val="001D1258"/>
    <w:rsid w:val="001D1AB8"/>
    <w:rsid w:val="001D286F"/>
    <w:rsid w:val="001D2C94"/>
    <w:rsid w:val="001D33D9"/>
    <w:rsid w:val="001D36F6"/>
    <w:rsid w:val="001D4303"/>
    <w:rsid w:val="001D45E5"/>
    <w:rsid w:val="001D461A"/>
    <w:rsid w:val="001D4A9D"/>
    <w:rsid w:val="001D4AAD"/>
    <w:rsid w:val="001D5AFA"/>
    <w:rsid w:val="001D784A"/>
    <w:rsid w:val="001E04A4"/>
    <w:rsid w:val="001E07C5"/>
    <w:rsid w:val="001E176D"/>
    <w:rsid w:val="001E1BCE"/>
    <w:rsid w:val="001E1E05"/>
    <w:rsid w:val="001E2086"/>
    <w:rsid w:val="001E339F"/>
    <w:rsid w:val="001E3629"/>
    <w:rsid w:val="001E3E7D"/>
    <w:rsid w:val="001E40F0"/>
    <w:rsid w:val="001E4172"/>
    <w:rsid w:val="001E5490"/>
    <w:rsid w:val="001E5730"/>
    <w:rsid w:val="001E5E2E"/>
    <w:rsid w:val="001E6352"/>
    <w:rsid w:val="001E70AD"/>
    <w:rsid w:val="001E7237"/>
    <w:rsid w:val="001E7AF6"/>
    <w:rsid w:val="001F01B8"/>
    <w:rsid w:val="001F0FC3"/>
    <w:rsid w:val="001F1188"/>
    <w:rsid w:val="001F1B8D"/>
    <w:rsid w:val="001F274F"/>
    <w:rsid w:val="001F289C"/>
    <w:rsid w:val="001F2BF9"/>
    <w:rsid w:val="001F3AF2"/>
    <w:rsid w:val="001F6008"/>
    <w:rsid w:val="001F641B"/>
    <w:rsid w:val="001F6D4D"/>
    <w:rsid w:val="0020130D"/>
    <w:rsid w:val="00201D06"/>
    <w:rsid w:val="00201E9F"/>
    <w:rsid w:val="00202F25"/>
    <w:rsid w:val="002035B3"/>
    <w:rsid w:val="00203929"/>
    <w:rsid w:val="00203CD6"/>
    <w:rsid w:val="00204460"/>
    <w:rsid w:val="002051EA"/>
    <w:rsid w:val="00205CBC"/>
    <w:rsid w:val="00206259"/>
    <w:rsid w:val="002074B7"/>
    <w:rsid w:val="0020758D"/>
    <w:rsid w:val="00207C7B"/>
    <w:rsid w:val="00211470"/>
    <w:rsid w:val="00211922"/>
    <w:rsid w:val="0021213A"/>
    <w:rsid w:val="0021265F"/>
    <w:rsid w:val="00213817"/>
    <w:rsid w:val="00214428"/>
    <w:rsid w:val="002145EB"/>
    <w:rsid w:val="00215834"/>
    <w:rsid w:val="00215CC2"/>
    <w:rsid w:val="00215ED8"/>
    <w:rsid w:val="00217700"/>
    <w:rsid w:val="002177E2"/>
    <w:rsid w:val="002205F3"/>
    <w:rsid w:val="0022085B"/>
    <w:rsid w:val="00220E53"/>
    <w:rsid w:val="0022176C"/>
    <w:rsid w:val="002225D1"/>
    <w:rsid w:val="00222D2E"/>
    <w:rsid w:val="002230FA"/>
    <w:rsid w:val="00223DF2"/>
    <w:rsid w:val="00224C0C"/>
    <w:rsid w:val="002256C2"/>
    <w:rsid w:val="002256D0"/>
    <w:rsid w:val="00225C8E"/>
    <w:rsid w:val="00226428"/>
    <w:rsid w:val="002265A9"/>
    <w:rsid w:val="002266CB"/>
    <w:rsid w:val="00227052"/>
    <w:rsid w:val="002272D5"/>
    <w:rsid w:val="0022738E"/>
    <w:rsid w:val="00227906"/>
    <w:rsid w:val="00227934"/>
    <w:rsid w:val="00227E21"/>
    <w:rsid w:val="00231D05"/>
    <w:rsid w:val="002336E2"/>
    <w:rsid w:val="00233AC2"/>
    <w:rsid w:val="00233BAF"/>
    <w:rsid w:val="00235420"/>
    <w:rsid w:val="00235700"/>
    <w:rsid w:val="0024065B"/>
    <w:rsid w:val="002409A6"/>
    <w:rsid w:val="00240C63"/>
    <w:rsid w:val="00240EA5"/>
    <w:rsid w:val="00241132"/>
    <w:rsid w:val="00241205"/>
    <w:rsid w:val="002418C5"/>
    <w:rsid w:val="0024261D"/>
    <w:rsid w:val="00242712"/>
    <w:rsid w:val="00242DFB"/>
    <w:rsid w:val="00243807"/>
    <w:rsid w:val="002440AC"/>
    <w:rsid w:val="00244365"/>
    <w:rsid w:val="0024459A"/>
    <w:rsid w:val="00244771"/>
    <w:rsid w:val="00244903"/>
    <w:rsid w:val="00244AFB"/>
    <w:rsid w:val="002453DF"/>
    <w:rsid w:val="00245A81"/>
    <w:rsid w:val="00246B86"/>
    <w:rsid w:val="00247335"/>
    <w:rsid w:val="002473EF"/>
    <w:rsid w:val="002477B9"/>
    <w:rsid w:val="00247CBE"/>
    <w:rsid w:val="00250A1F"/>
    <w:rsid w:val="00250ADA"/>
    <w:rsid w:val="00250F1D"/>
    <w:rsid w:val="00251FF1"/>
    <w:rsid w:val="002520BA"/>
    <w:rsid w:val="00252234"/>
    <w:rsid w:val="002528E3"/>
    <w:rsid w:val="00252944"/>
    <w:rsid w:val="00252D55"/>
    <w:rsid w:val="00252D82"/>
    <w:rsid w:val="00253006"/>
    <w:rsid w:val="002533F5"/>
    <w:rsid w:val="00253C60"/>
    <w:rsid w:val="00253F21"/>
    <w:rsid w:val="0025429D"/>
    <w:rsid w:val="002549E9"/>
    <w:rsid w:val="00254FF6"/>
    <w:rsid w:val="00255099"/>
    <w:rsid w:val="002555C6"/>
    <w:rsid w:val="00255E14"/>
    <w:rsid w:val="00257059"/>
    <w:rsid w:val="0025712F"/>
    <w:rsid w:val="00257395"/>
    <w:rsid w:val="00257857"/>
    <w:rsid w:val="002578DA"/>
    <w:rsid w:val="00257CBC"/>
    <w:rsid w:val="002602C2"/>
    <w:rsid w:val="002602DA"/>
    <w:rsid w:val="0026040B"/>
    <w:rsid w:val="002604F2"/>
    <w:rsid w:val="00260802"/>
    <w:rsid w:val="002609E3"/>
    <w:rsid w:val="00261223"/>
    <w:rsid w:val="002617AB"/>
    <w:rsid w:val="00261D08"/>
    <w:rsid w:val="00261DCC"/>
    <w:rsid w:val="002624D0"/>
    <w:rsid w:val="002635B9"/>
    <w:rsid w:val="00263EC7"/>
    <w:rsid w:val="0026491B"/>
    <w:rsid w:val="00264A36"/>
    <w:rsid w:val="00264B06"/>
    <w:rsid w:val="00264C1B"/>
    <w:rsid w:val="00265D10"/>
    <w:rsid w:val="00265E2E"/>
    <w:rsid w:val="002661AB"/>
    <w:rsid w:val="0026742B"/>
    <w:rsid w:val="002674FE"/>
    <w:rsid w:val="00270748"/>
    <w:rsid w:val="0027117F"/>
    <w:rsid w:val="002712DC"/>
    <w:rsid w:val="00271875"/>
    <w:rsid w:val="002718FF"/>
    <w:rsid w:val="00271955"/>
    <w:rsid w:val="00272278"/>
    <w:rsid w:val="00272432"/>
    <w:rsid w:val="00272633"/>
    <w:rsid w:val="00272E48"/>
    <w:rsid w:val="00272FBF"/>
    <w:rsid w:val="00273A10"/>
    <w:rsid w:val="00273A58"/>
    <w:rsid w:val="00274CAB"/>
    <w:rsid w:val="00274E8A"/>
    <w:rsid w:val="00275FCE"/>
    <w:rsid w:val="002766B8"/>
    <w:rsid w:val="0027680F"/>
    <w:rsid w:val="00281006"/>
    <w:rsid w:val="002815B1"/>
    <w:rsid w:val="00281C1F"/>
    <w:rsid w:val="00281EEA"/>
    <w:rsid w:val="00281F88"/>
    <w:rsid w:val="0028288D"/>
    <w:rsid w:val="002829B7"/>
    <w:rsid w:val="00282B82"/>
    <w:rsid w:val="00282C74"/>
    <w:rsid w:val="00282E5B"/>
    <w:rsid w:val="00283995"/>
    <w:rsid w:val="00283B11"/>
    <w:rsid w:val="002841A9"/>
    <w:rsid w:val="00284313"/>
    <w:rsid w:val="002848AD"/>
    <w:rsid w:val="00285154"/>
    <w:rsid w:val="00285BF2"/>
    <w:rsid w:val="00285C78"/>
    <w:rsid w:val="002863CE"/>
    <w:rsid w:val="00291492"/>
    <w:rsid w:val="00291527"/>
    <w:rsid w:val="0029199A"/>
    <w:rsid w:val="00291BBE"/>
    <w:rsid w:val="00291FEB"/>
    <w:rsid w:val="00293146"/>
    <w:rsid w:val="0029361E"/>
    <w:rsid w:val="00293D68"/>
    <w:rsid w:val="0029408A"/>
    <w:rsid w:val="00294352"/>
    <w:rsid w:val="002944A0"/>
    <w:rsid w:val="002946E4"/>
    <w:rsid w:val="0029495C"/>
    <w:rsid w:val="002957D9"/>
    <w:rsid w:val="00295B52"/>
    <w:rsid w:val="00296024"/>
    <w:rsid w:val="00296293"/>
    <w:rsid w:val="00296AF7"/>
    <w:rsid w:val="002972F9"/>
    <w:rsid w:val="002977CA"/>
    <w:rsid w:val="00297ED7"/>
    <w:rsid w:val="002A0007"/>
    <w:rsid w:val="002A03AA"/>
    <w:rsid w:val="002A056D"/>
    <w:rsid w:val="002A07FE"/>
    <w:rsid w:val="002A094D"/>
    <w:rsid w:val="002A0CAF"/>
    <w:rsid w:val="002A1565"/>
    <w:rsid w:val="002A16A9"/>
    <w:rsid w:val="002A2941"/>
    <w:rsid w:val="002A2DC4"/>
    <w:rsid w:val="002A3E69"/>
    <w:rsid w:val="002A44F9"/>
    <w:rsid w:val="002A49EF"/>
    <w:rsid w:val="002A4B8B"/>
    <w:rsid w:val="002A5107"/>
    <w:rsid w:val="002A535E"/>
    <w:rsid w:val="002A6406"/>
    <w:rsid w:val="002A6CF0"/>
    <w:rsid w:val="002A6FFC"/>
    <w:rsid w:val="002A7010"/>
    <w:rsid w:val="002A70BA"/>
    <w:rsid w:val="002A7A57"/>
    <w:rsid w:val="002A7BB2"/>
    <w:rsid w:val="002A7DCB"/>
    <w:rsid w:val="002B0685"/>
    <w:rsid w:val="002B0B53"/>
    <w:rsid w:val="002B1617"/>
    <w:rsid w:val="002B1D11"/>
    <w:rsid w:val="002B273B"/>
    <w:rsid w:val="002B29AA"/>
    <w:rsid w:val="002B2A7E"/>
    <w:rsid w:val="002B2F1B"/>
    <w:rsid w:val="002B5AFB"/>
    <w:rsid w:val="002B6320"/>
    <w:rsid w:val="002B66AC"/>
    <w:rsid w:val="002B6852"/>
    <w:rsid w:val="002B77E1"/>
    <w:rsid w:val="002C0714"/>
    <w:rsid w:val="002C0A96"/>
    <w:rsid w:val="002C1BF4"/>
    <w:rsid w:val="002C1E0D"/>
    <w:rsid w:val="002C2266"/>
    <w:rsid w:val="002C28EB"/>
    <w:rsid w:val="002C3265"/>
    <w:rsid w:val="002C3AED"/>
    <w:rsid w:val="002C3E56"/>
    <w:rsid w:val="002C3FAB"/>
    <w:rsid w:val="002C414C"/>
    <w:rsid w:val="002C4C2F"/>
    <w:rsid w:val="002C5776"/>
    <w:rsid w:val="002C5EED"/>
    <w:rsid w:val="002C66DE"/>
    <w:rsid w:val="002C7193"/>
    <w:rsid w:val="002C7699"/>
    <w:rsid w:val="002C7A49"/>
    <w:rsid w:val="002D0128"/>
    <w:rsid w:val="002D0E85"/>
    <w:rsid w:val="002D0FA7"/>
    <w:rsid w:val="002D12FB"/>
    <w:rsid w:val="002D19D1"/>
    <w:rsid w:val="002D1F35"/>
    <w:rsid w:val="002D1FA3"/>
    <w:rsid w:val="002D20CD"/>
    <w:rsid w:val="002D23C6"/>
    <w:rsid w:val="002D24F0"/>
    <w:rsid w:val="002D25EB"/>
    <w:rsid w:val="002D29F3"/>
    <w:rsid w:val="002D3126"/>
    <w:rsid w:val="002D3529"/>
    <w:rsid w:val="002D3974"/>
    <w:rsid w:val="002D3D0A"/>
    <w:rsid w:val="002D3EF0"/>
    <w:rsid w:val="002D478E"/>
    <w:rsid w:val="002D47AE"/>
    <w:rsid w:val="002D4A94"/>
    <w:rsid w:val="002D65FF"/>
    <w:rsid w:val="002D6D10"/>
    <w:rsid w:val="002D71E2"/>
    <w:rsid w:val="002D7B6A"/>
    <w:rsid w:val="002E0026"/>
    <w:rsid w:val="002E08E8"/>
    <w:rsid w:val="002E0918"/>
    <w:rsid w:val="002E0BAA"/>
    <w:rsid w:val="002E0D96"/>
    <w:rsid w:val="002E0EA5"/>
    <w:rsid w:val="002E1E19"/>
    <w:rsid w:val="002E1FAC"/>
    <w:rsid w:val="002E283F"/>
    <w:rsid w:val="002E2854"/>
    <w:rsid w:val="002E2E74"/>
    <w:rsid w:val="002E32D2"/>
    <w:rsid w:val="002E361B"/>
    <w:rsid w:val="002E37AB"/>
    <w:rsid w:val="002E3A80"/>
    <w:rsid w:val="002E41C7"/>
    <w:rsid w:val="002E51DF"/>
    <w:rsid w:val="002E57B9"/>
    <w:rsid w:val="002E6127"/>
    <w:rsid w:val="002E6885"/>
    <w:rsid w:val="002E72E4"/>
    <w:rsid w:val="002E739D"/>
    <w:rsid w:val="002E79F5"/>
    <w:rsid w:val="002F0F36"/>
    <w:rsid w:val="002F1276"/>
    <w:rsid w:val="002F1986"/>
    <w:rsid w:val="002F1E5F"/>
    <w:rsid w:val="002F2A49"/>
    <w:rsid w:val="002F3550"/>
    <w:rsid w:val="002F3B63"/>
    <w:rsid w:val="002F3C56"/>
    <w:rsid w:val="002F46B0"/>
    <w:rsid w:val="002F4B17"/>
    <w:rsid w:val="002F5150"/>
    <w:rsid w:val="002F5463"/>
    <w:rsid w:val="002F58C2"/>
    <w:rsid w:val="002F5932"/>
    <w:rsid w:val="002F5C85"/>
    <w:rsid w:val="002F603B"/>
    <w:rsid w:val="002F6201"/>
    <w:rsid w:val="002F724B"/>
    <w:rsid w:val="002F72BA"/>
    <w:rsid w:val="00300267"/>
    <w:rsid w:val="003004D2"/>
    <w:rsid w:val="00300D6B"/>
    <w:rsid w:val="00301380"/>
    <w:rsid w:val="00301E89"/>
    <w:rsid w:val="00302052"/>
    <w:rsid w:val="00302142"/>
    <w:rsid w:val="00302169"/>
    <w:rsid w:val="00302612"/>
    <w:rsid w:val="00303254"/>
    <w:rsid w:val="003044D9"/>
    <w:rsid w:val="00304D8A"/>
    <w:rsid w:val="00305216"/>
    <w:rsid w:val="0030555B"/>
    <w:rsid w:val="003061F5"/>
    <w:rsid w:val="00306A49"/>
    <w:rsid w:val="00306D27"/>
    <w:rsid w:val="00306D7B"/>
    <w:rsid w:val="0030739C"/>
    <w:rsid w:val="00310D51"/>
    <w:rsid w:val="00311B36"/>
    <w:rsid w:val="00311C92"/>
    <w:rsid w:val="00313321"/>
    <w:rsid w:val="003133AE"/>
    <w:rsid w:val="0031371B"/>
    <w:rsid w:val="00314156"/>
    <w:rsid w:val="0031535B"/>
    <w:rsid w:val="00316F76"/>
    <w:rsid w:val="003170F4"/>
    <w:rsid w:val="0032035D"/>
    <w:rsid w:val="003205E9"/>
    <w:rsid w:val="00320B28"/>
    <w:rsid w:val="0032123E"/>
    <w:rsid w:val="003216D5"/>
    <w:rsid w:val="003216FF"/>
    <w:rsid w:val="00321866"/>
    <w:rsid w:val="00321A83"/>
    <w:rsid w:val="00321C1A"/>
    <w:rsid w:val="00321F6B"/>
    <w:rsid w:val="00322389"/>
    <w:rsid w:val="00322BE5"/>
    <w:rsid w:val="00322E87"/>
    <w:rsid w:val="0032312D"/>
    <w:rsid w:val="00323AA5"/>
    <w:rsid w:val="003242E4"/>
    <w:rsid w:val="0032468D"/>
    <w:rsid w:val="00324926"/>
    <w:rsid w:val="00324B25"/>
    <w:rsid w:val="0032522F"/>
    <w:rsid w:val="003253C4"/>
    <w:rsid w:val="0032550F"/>
    <w:rsid w:val="00325992"/>
    <w:rsid w:val="00325B74"/>
    <w:rsid w:val="0032638F"/>
    <w:rsid w:val="00326B59"/>
    <w:rsid w:val="003272C6"/>
    <w:rsid w:val="00327752"/>
    <w:rsid w:val="00327C7C"/>
    <w:rsid w:val="00330009"/>
    <w:rsid w:val="003301E6"/>
    <w:rsid w:val="003310AB"/>
    <w:rsid w:val="003314D2"/>
    <w:rsid w:val="00331712"/>
    <w:rsid w:val="00331A3F"/>
    <w:rsid w:val="00332191"/>
    <w:rsid w:val="00332720"/>
    <w:rsid w:val="00332EED"/>
    <w:rsid w:val="003334A7"/>
    <w:rsid w:val="003337E8"/>
    <w:rsid w:val="00333A14"/>
    <w:rsid w:val="00333B2A"/>
    <w:rsid w:val="00333FD5"/>
    <w:rsid w:val="003350E9"/>
    <w:rsid w:val="003351BA"/>
    <w:rsid w:val="0033520F"/>
    <w:rsid w:val="0033596B"/>
    <w:rsid w:val="00335A93"/>
    <w:rsid w:val="0033650E"/>
    <w:rsid w:val="00336907"/>
    <w:rsid w:val="003369DF"/>
    <w:rsid w:val="00336C71"/>
    <w:rsid w:val="00336D96"/>
    <w:rsid w:val="00336DFC"/>
    <w:rsid w:val="00337230"/>
    <w:rsid w:val="003377D0"/>
    <w:rsid w:val="00337D75"/>
    <w:rsid w:val="00340020"/>
    <w:rsid w:val="00340AFD"/>
    <w:rsid w:val="00341162"/>
    <w:rsid w:val="00341866"/>
    <w:rsid w:val="00341DAF"/>
    <w:rsid w:val="00342181"/>
    <w:rsid w:val="00343560"/>
    <w:rsid w:val="00343A20"/>
    <w:rsid w:val="0034402B"/>
    <w:rsid w:val="0034449E"/>
    <w:rsid w:val="00344D46"/>
    <w:rsid w:val="003465A5"/>
    <w:rsid w:val="00346817"/>
    <w:rsid w:val="00347440"/>
    <w:rsid w:val="003475EA"/>
    <w:rsid w:val="00347A27"/>
    <w:rsid w:val="00347CD4"/>
    <w:rsid w:val="003507D3"/>
    <w:rsid w:val="00350A55"/>
    <w:rsid w:val="00350DF8"/>
    <w:rsid w:val="00351A8A"/>
    <w:rsid w:val="0035266A"/>
    <w:rsid w:val="0035279C"/>
    <w:rsid w:val="003535D2"/>
    <w:rsid w:val="0035384D"/>
    <w:rsid w:val="00353C0B"/>
    <w:rsid w:val="00354AE4"/>
    <w:rsid w:val="00354B0A"/>
    <w:rsid w:val="0035551B"/>
    <w:rsid w:val="003555ED"/>
    <w:rsid w:val="00355911"/>
    <w:rsid w:val="0035636B"/>
    <w:rsid w:val="00357424"/>
    <w:rsid w:val="00357BE9"/>
    <w:rsid w:val="003601A2"/>
    <w:rsid w:val="00361789"/>
    <w:rsid w:val="0036196D"/>
    <w:rsid w:val="00361A59"/>
    <w:rsid w:val="003627BD"/>
    <w:rsid w:val="00362997"/>
    <w:rsid w:val="00362C59"/>
    <w:rsid w:val="00363040"/>
    <w:rsid w:val="003630B7"/>
    <w:rsid w:val="00363786"/>
    <w:rsid w:val="003638A4"/>
    <w:rsid w:val="003639BF"/>
    <w:rsid w:val="00363E41"/>
    <w:rsid w:val="00363FD2"/>
    <w:rsid w:val="0036572E"/>
    <w:rsid w:val="003663D9"/>
    <w:rsid w:val="003666BF"/>
    <w:rsid w:val="00366707"/>
    <w:rsid w:val="00366FA9"/>
    <w:rsid w:val="00367E49"/>
    <w:rsid w:val="003700E6"/>
    <w:rsid w:val="00371C86"/>
    <w:rsid w:val="0037236C"/>
    <w:rsid w:val="003729DE"/>
    <w:rsid w:val="003735D3"/>
    <w:rsid w:val="0037386D"/>
    <w:rsid w:val="00373956"/>
    <w:rsid w:val="00374153"/>
    <w:rsid w:val="003750E0"/>
    <w:rsid w:val="00375AF1"/>
    <w:rsid w:val="00375C2F"/>
    <w:rsid w:val="00375FC5"/>
    <w:rsid w:val="003769BA"/>
    <w:rsid w:val="00377871"/>
    <w:rsid w:val="003778B2"/>
    <w:rsid w:val="00377E58"/>
    <w:rsid w:val="003805E3"/>
    <w:rsid w:val="00380618"/>
    <w:rsid w:val="0038062E"/>
    <w:rsid w:val="003807F7"/>
    <w:rsid w:val="00381610"/>
    <w:rsid w:val="00382106"/>
    <w:rsid w:val="00382657"/>
    <w:rsid w:val="00382B82"/>
    <w:rsid w:val="003844BF"/>
    <w:rsid w:val="003854D5"/>
    <w:rsid w:val="0038552A"/>
    <w:rsid w:val="003859EA"/>
    <w:rsid w:val="0038709E"/>
    <w:rsid w:val="00387D30"/>
    <w:rsid w:val="00391753"/>
    <w:rsid w:val="00391C7F"/>
    <w:rsid w:val="00392454"/>
    <w:rsid w:val="00392C85"/>
    <w:rsid w:val="00392FD8"/>
    <w:rsid w:val="00393E11"/>
    <w:rsid w:val="00394475"/>
    <w:rsid w:val="0039517A"/>
    <w:rsid w:val="00395B51"/>
    <w:rsid w:val="00396796"/>
    <w:rsid w:val="00396EC6"/>
    <w:rsid w:val="003970BA"/>
    <w:rsid w:val="0039746C"/>
    <w:rsid w:val="00397DC6"/>
    <w:rsid w:val="003A0E82"/>
    <w:rsid w:val="003A0FAC"/>
    <w:rsid w:val="003A184D"/>
    <w:rsid w:val="003A1FB7"/>
    <w:rsid w:val="003A371E"/>
    <w:rsid w:val="003A462A"/>
    <w:rsid w:val="003A595F"/>
    <w:rsid w:val="003A5EEC"/>
    <w:rsid w:val="003A79AE"/>
    <w:rsid w:val="003A7CA3"/>
    <w:rsid w:val="003B00B6"/>
    <w:rsid w:val="003B01C4"/>
    <w:rsid w:val="003B0BB0"/>
    <w:rsid w:val="003B11EE"/>
    <w:rsid w:val="003B15F8"/>
    <w:rsid w:val="003B230B"/>
    <w:rsid w:val="003B23BC"/>
    <w:rsid w:val="003B28BA"/>
    <w:rsid w:val="003B2DB5"/>
    <w:rsid w:val="003B2F05"/>
    <w:rsid w:val="003B3966"/>
    <w:rsid w:val="003B39B7"/>
    <w:rsid w:val="003B4EB0"/>
    <w:rsid w:val="003B5F6A"/>
    <w:rsid w:val="003B6B7F"/>
    <w:rsid w:val="003B7820"/>
    <w:rsid w:val="003C01A4"/>
    <w:rsid w:val="003C0219"/>
    <w:rsid w:val="003C0C12"/>
    <w:rsid w:val="003C16EE"/>
    <w:rsid w:val="003C1C87"/>
    <w:rsid w:val="003C2C85"/>
    <w:rsid w:val="003C2F61"/>
    <w:rsid w:val="003C345E"/>
    <w:rsid w:val="003C4409"/>
    <w:rsid w:val="003C4997"/>
    <w:rsid w:val="003C4DA5"/>
    <w:rsid w:val="003C5666"/>
    <w:rsid w:val="003C60CC"/>
    <w:rsid w:val="003C64F4"/>
    <w:rsid w:val="003C724B"/>
    <w:rsid w:val="003C73DB"/>
    <w:rsid w:val="003D0185"/>
    <w:rsid w:val="003D02CB"/>
    <w:rsid w:val="003D0382"/>
    <w:rsid w:val="003D069C"/>
    <w:rsid w:val="003D0B46"/>
    <w:rsid w:val="003D191E"/>
    <w:rsid w:val="003D22A5"/>
    <w:rsid w:val="003D23A4"/>
    <w:rsid w:val="003D3414"/>
    <w:rsid w:val="003D3426"/>
    <w:rsid w:val="003D3654"/>
    <w:rsid w:val="003D3721"/>
    <w:rsid w:val="003D6722"/>
    <w:rsid w:val="003D7428"/>
    <w:rsid w:val="003D77F2"/>
    <w:rsid w:val="003D78CC"/>
    <w:rsid w:val="003D7D01"/>
    <w:rsid w:val="003D7ED8"/>
    <w:rsid w:val="003E0003"/>
    <w:rsid w:val="003E0099"/>
    <w:rsid w:val="003E08C7"/>
    <w:rsid w:val="003E1A72"/>
    <w:rsid w:val="003E2880"/>
    <w:rsid w:val="003E28FB"/>
    <w:rsid w:val="003E2A00"/>
    <w:rsid w:val="003E382C"/>
    <w:rsid w:val="003E3D00"/>
    <w:rsid w:val="003E4531"/>
    <w:rsid w:val="003E4771"/>
    <w:rsid w:val="003E54A8"/>
    <w:rsid w:val="003E5833"/>
    <w:rsid w:val="003E5DA8"/>
    <w:rsid w:val="003E7109"/>
    <w:rsid w:val="003E77DC"/>
    <w:rsid w:val="003E7BC1"/>
    <w:rsid w:val="003F022C"/>
    <w:rsid w:val="003F0453"/>
    <w:rsid w:val="003F0C9F"/>
    <w:rsid w:val="003F144A"/>
    <w:rsid w:val="003F1B02"/>
    <w:rsid w:val="003F1EFE"/>
    <w:rsid w:val="003F2240"/>
    <w:rsid w:val="003F2460"/>
    <w:rsid w:val="003F2E7B"/>
    <w:rsid w:val="003F3CD5"/>
    <w:rsid w:val="003F4473"/>
    <w:rsid w:val="003F4CF5"/>
    <w:rsid w:val="003F4E31"/>
    <w:rsid w:val="003F51EE"/>
    <w:rsid w:val="003F574E"/>
    <w:rsid w:val="003F60D6"/>
    <w:rsid w:val="003F68E9"/>
    <w:rsid w:val="003F7E15"/>
    <w:rsid w:val="003F7FDA"/>
    <w:rsid w:val="004013AD"/>
    <w:rsid w:val="004021C0"/>
    <w:rsid w:val="004028CE"/>
    <w:rsid w:val="0040313D"/>
    <w:rsid w:val="004043FA"/>
    <w:rsid w:val="00404970"/>
    <w:rsid w:val="00405181"/>
    <w:rsid w:val="0040567F"/>
    <w:rsid w:val="00405873"/>
    <w:rsid w:val="00405F09"/>
    <w:rsid w:val="004066F4"/>
    <w:rsid w:val="00406A32"/>
    <w:rsid w:val="0040760B"/>
    <w:rsid w:val="00410117"/>
    <w:rsid w:val="00410C3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D45"/>
    <w:rsid w:val="00414197"/>
    <w:rsid w:val="00414D68"/>
    <w:rsid w:val="00414FD9"/>
    <w:rsid w:val="00415773"/>
    <w:rsid w:val="00415CAE"/>
    <w:rsid w:val="00415EE7"/>
    <w:rsid w:val="004160FA"/>
    <w:rsid w:val="0041669E"/>
    <w:rsid w:val="00416ACA"/>
    <w:rsid w:val="00416C56"/>
    <w:rsid w:val="00417294"/>
    <w:rsid w:val="004176B8"/>
    <w:rsid w:val="00417B99"/>
    <w:rsid w:val="00417CE0"/>
    <w:rsid w:val="004209D5"/>
    <w:rsid w:val="00420FAF"/>
    <w:rsid w:val="00421184"/>
    <w:rsid w:val="004212C1"/>
    <w:rsid w:val="004214B7"/>
    <w:rsid w:val="00421FB5"/>
    <w:rsid w:val="004226ED"/>
    <w:rsid w:val="00422AF4"/>
    <w:rsid w:val="004235F4"/>
    <w:rsid w:val="004236C9"/>
    <w:rsid w:val="00423CF3"/>
    <w:rsid w:val="00423E18"/>
    <w:rsid w:val="00424B7C"/>
    <w:rsid w:val="0042500C"/>
    <w:rsid w:val="00425514"/>
    <w:rsid w:val="004256BD"/>
    <w:rsid w:val="00425863"/>
    <w:rsid w:val="00425D02"/>
    <w:rsid w:val="00425EDC"/>
    <w:rsid w:val="00426C3E"/>
    <w:rsid w:val="004275CD"/>
    <w:rsid w:val="00427FEB"/>
    <w:rsid w:val="00427FF2"/>
    <w:rsid w:val="004305C0"/>
    <w:rsid w:val="00430B20"/>
    <w:rsid w:val="00430B6C"/>
    <w:rsid w:val="0043227C"/>
    <w:rsid w:val="004335C0"/>
    <w:rsid w:val="00435121"/>
    <w:rsid w:val="00435715"/>
    <w:rsid w:val="0043571B"/>
    <w:rsid w:val="00435EE0"/>
    <w:rsid w:val="00435F29"/>
    <w:rsid w:val="0043610C"/>
    <w:rsid w:val="004366FF"/>
    <w:rsid w:val="00437D83"/>
    <w:rsid w:val="004401DD"/>
    <w:rsid w:val="00440344"/>
    <w:rsid w:val="00441264"/>
    <w:rsid w:val="00441B0F"/>
    <w:rsid w:val="004425C6"/>
    <w:rsid w:val="00443D5D"/>
    <w:rsid w:val="00445CBA"/>
    <w:rsid w:val="004463CB"/>
    <w:rsid w:val="004466F7"/>
    <w:rsid w:val="00446858"/>
    <w:rsid w:val="00447304"/>
    <w:rsid w:val="00450127"/>
    <w:rsid w:val="0045075F"/>
    <w:rsid w:val="004516AD"/>
    <w:rsid w:val="00451E84"/>
    <w:rsid w:val="00451EA3"/>
    <w:rsid w:val="00451F01"/>
    <w:rsid w:val="004546A7"/>
    <w:rsid w:val="00454831"/>
    <w:rsid w:val="004548DF"/>
    <w:rsid w:val="00456CC0"/>
    <w:rsid w:val="00457933"/>
    <w:rsid w:val="00457C78"/>
    <w:rsid w:val="00460735"/>
    <w:rsid w:val="00460AD5"/>
    <w:rsid w:val="00460EB8"/>
    <w:rsid w:val="00461090"/>
    <w:rsid w:val="00461991"/>
    <w:rsid w:val="00461C43"/>
    <w:rsid w:val="00462125"/>
    <w:rsid w:val="00463216"/>
    <w:rsid w:val="0046334D"/>
    <w:rsid w:val="00463C95"/>
    <w:rsid w:val="00463E1C"/>
    <w:rsid w:val="00464052"/>
    <w:rsid w:val="00465153"/>
    <w:rsid w:val="00465602"/>
    <w:rsid w:val="00466AFD"/>
    <w:rsid w:val="00470696"/>
    <w:rsid w:val="00472177"/>
    <w:rsid w:val="004724C9"/>
    <w:rsid w:val="00472585"/>
    <w:rsid w:val="00474130"/>
    <w:rsid w:val="00474EDD"/>
    <w:rsid w:val="00475A6C"/>
    <w:rsid w:val="004764AF"/>
    <w:rsid w:val="00476D04"/>
    <w:rsid w:val="0047775E"/>
    <w:rsid w:val="00477AAE"/>
    <w:rsid w:val="00477AF6"/>
    <w:rsid w:val="00477B3B"/>
    <w:rsid w:val="00477BCB"/>
    <w:rsid w:val="004801A7"/>
    <w:rsid w:val="00480E47"/>
    <w:rsid w:val="00481666"/>
    <w:rsid w:val="0048181B"/>
    <w:rsid w:val="00481F2B"/>
    <w:rsid w:val="004820C5"/>
    <w:rsid w:val="00482198"/>
    <w:rsid w:val="004823D8"/>
    <w:rsid w:val="00482F20"/>
    <w:rsid w:val="00483196"/>
    <w:rsid w:val="0048340F"/>
    <w:rsid w:val="0048423C"/>
    <w:rsid w:val="00484449"/>
    <w:rsid w:val="004852CE"/>
    <w:rsid w:val="0048540C"/>
    <w:rsid w:val="00485F92"/>
    <w:rsid w:val="004860BD"/>
    <w:rsid w:val="004866E1"/>
    <w:rsid w:val="00486C72"/>
    <w:rsid w:val="00490954"/>
    <w:rsid w:val="0049277A"/>
    <w:rsid w:val="00492B38"/>
    <w:rsid w:val="00492FE4"/>
    <w:rsid w:val="00493035"/>
    <w:rsid w:val="00493321"/>
    <w:rsid w:val="004936DE"/>
    <w:rsid w:val="0049544E"/>
    <w:rsid w:val="00495670"/>
    <w:rsid w:val="0049604B"/>
    <w:rsid w:val="00496AC9"/>
    <w:rsid w:val="004A040E"/>
    <w:rsid w:val="004A042D"/>
    <w:rsid w:val="004A11E0"/>
    <w:rsid w:val="004A1FC5"/>
    <w:rsid w:val="004A2158"/>
    <w:rsid w:val="004A29A5"/>
    <w:rsid w:val="004A3225"/>
    <w:rsid w:val="004A374A"/>
    <w:rsid w:val="004A395B"/>
    <w:rsid w:val="004A3C59"/>
    <w:rsid w:val="004A3FE2"/>
    <w:rsid w:val="004A4195"/>
    <w:rsid w:val="004A480D"/>
    <w:rsid w:val="004A4D76"/>
    <w:rsid w:val="004A5851"/>
    <w:rsid w:val="004A5A91"/>
    <w:rsid w:val="004A5B0F"/>
    <w:rsid w:val="004A5CF1"/>
    <w:rsid w:val="004A66E0"/>
    <w:rsid w:val="004A7AAE"/>
    <w:rsid w:val="004A7D49"/>
    <w:rsid w:val="004A7F21"/>
    <w:rsid w:val="004B08DB"/>
    <w:rsid w:val="004B1422"/>
    <w:rsid w:val="004B24EB"/>
    <w:rsid w:val="004B29AC"/>
    <w:rsid w:val="004B3C8B"/>
    <w:rsid w:val="004B44A9"/>
    <w:rsid w:val="004B4509"/>
    <w:rsid w:val="004B452A"/>
    <w:rsid w:val="004B4871"/>
    <w:rsid w:val="004B4ADF"/>
    <w:rsid w:val="004B4C00"/>
    <w:rsid w:val="004B4E06"/>
    <w:rsid w:val="004B5493"/>
    <w:rsid w:val="004B5914"/>
    <w:rsid w:val="004B6C77"/>
    <w:rsid w:val="004B6D0A"/>
    <w:rsid w:val="004B7995"/>
    <w:rsid w:val="004C02B3"/>
    <w:rsid w:val="004C098E"/>
    <w:rsid w:val="004C0BBE"/>
    <w:rsid w:val="004C0E2F"/>
    <w:rsid w:val="004C222E"/>
    <w:rsid w:val="004C2561"/>
    <w:rsid w:val="004C2806"/>
    <w:rsid w:val="004C3ADD"/>
    <w:rsid w:val="004C428E"/>
    <w:rsid w:val="004C441A"/>
    <w:rsid w:val="004C4775"/>
    <w:rsid w:val="004C483D"/>
    <w:rsid w:val="004C48A9"/>
    <w:rsid w:val="004C4D05"/>
    <w:rsid w:val="004C590B"/>
    <w:rsid w:val="004C6017"/>
    <w:rsid w:val="004C63C7"/>
    <w:rsid w:val="004C6D39"/>
    <w:rsid w:val="004C6D98"/>
    <w:rsid w:val="004C7217"/>
    <w:rsid w:val="004C7743"/>
    <w:rsid w:val="004C77A7"/>
    <w:rsid w:val="004D039E"/>
    <w:rsid w:val="004D04A3"/>
    <w:rsid w:val="004D0C9F"/>
    <w:rsid w:val="004D15FD"/>
    <w:rsid w:val="004D1A0A"/>
    <w:rsid w:val="004D2369"/>
    <w:rsid w:val="004D2485"/>
    <w:rsid w:val="004D3A57"/>
    <w:rsid w:val="004D47FF"/>
    <w:rsid w:val="004D4D35"/>
    <w:rsid w:val="004D518F"/>
    <w:rsid w:val="004D54D7"/>
    <w:rsid w:val="004D5BB7"/>
    <w:rsid w:val="004D6053"/>
    <w:rsid w:val="004D6FA4"/>
    <w:rsid w:val="004D7C23"/>
    <w:rsid w:val="004E01C6"/>
    <w:rsid w:val="004E0212"/>
    <w:rsid w:val="004E0ADC"/>
    <w:rsid w:val="004E0FB1"/>
    <w:rsid w:val="004E1043"/>
    <w:rsid w:val="004E1DCA"/>
    <w:rsid w:val="004E21B4"/>
    <w:rsid w:val="004E252B"/>
    <w:rsid w:val="004E2861"/>
    <w:rsid w:val="004E2A85"/>
    <w:rsid w:val="004E3F72"/>
    <w:rsid w:val="004E4A78"/>
    <w:rsid w:val="004E551E"/>
    <w:rsid w:val="004E58F6"/>
    <w:rsid w:val="004E5E37"/>
    <w:rsid w:val="004E5E4C"/>
    <w:rsid w:val="004E623E"/>
    <w:rsid w:val="004E6328"/>
    <w:rsid w:val="004E6CF9"/>
    <w:rsid w:val="004E734E"/>
    <w:rsid w:val="004E7EC0"/>
    <w:rsid w:val="004E7F48"/>
    <w:rsid w:val="004F014E"/>
    <w:rsid w:val="004F023B"/>
    <w:rsid w:val="004F0BC6"/>
    <w:rsid w:val="004F1123"/>
    <w:rsid w:val="004F1715"/>
    <w:rsid w:val="004F17DA"/>
    <w:rsid w:val="004F3BD2"/>
    <w:rsid w:val="004F4372"/>
    <w:rsid w:val="004F43E0"/>
    <w:rsid w:val="004F45EB"/>
    <w:rsid w:val="004F521B"/>
    <w:rsid w:val="004F52BB"/>
    <w:rsid w:val="004F5582"/>
    <w:rsid w:val="004F59B8"/>
    <w:rsid w:val="004F62A7"/>
    <w:rsid w:val="004F62F9"/>
    <w:rsid w:val="004F63FA"/>
    <w:rsid w:val="004F66B3"/>
    <w:rsid w:val="004F7352"/>
    <w:rsid w:val="004F7889"/>
    <w:rsid w:val="0050015C"/>
    <w:rsid w:val="00500418"/>
    <w:rsid w:val="00500CCF"/>
    <w:rsid w:val="00500E62"/>
    <w:rsid w:val="005010DE"/>
    <w:rsid w:val="005011FD"/>
    <w:rsid w:val="0050164B"/>
    <w:rsid w:val="00502958"/>
    <w:rsid w:val="00502BD2"/>
    <w:rsid w:val="00502DA4"/>
    <w:rsid w:val="00503F83"/>
    <w:rsid w:val="0050421C"/>
    <w:rsid w:val="00504A9B"/>
    <w:rsid w:val="00504E9A"/>
    <w:rsid w:val="00504F83"/>
    <w:rsid w:val="005059B9"/>
    <w:rsid w:val="00505F64"/>
    <w:rsid w:val="00506DCD"/>
    <w:rsid w:val="00507325"/>
    <w:rsid w:val="00507C56"/>
    <w:rsid w:val="00507F13"/>
    <w:rsid w:val="005109D4"/>
    <w:rsid w:val="00510CF4"/>
    <w:rsid w:val="0051160A"/>
    <w:rsid w:val="005118BA"/>
    <w:rsid w:val="00512D87"/>
    <w:rsid w:val="005130DA"/>
    <w:rsid w:val="00513DDA"/>
    <w:rsid w:val="00513E19"/>
    <w:rsid w:val="005148B4"/>
    <w:rsid w:val="00514B29"/>
    <w:rsid w:val="005152B1"/>
    <w:rsid w:val="005152F0"/>
    <w:rsid w:val="00515856"/>
    <w:rsid w:val="005163E6"/>
    <w:rsid w:val="005172EC"/>
    <w:rsid w:val="0051740D"/>
    <w:rsid w:val="005178CE"/>
    <w:rsid w:val="00521CAB"/>
    <w:rsid w:val="005224EF"/>
    <w:rsid w:val="00522654"/>
    <w:rsid w:val="00522835"/>
    <w:rsid w:val="0052293D"/>
    <w:rsid w:val="00522AF4"/>
    <w:rsid w:val="00523499"/>
    <w:rsid w:val="00523BC7"/>
    <w:rsid w:val="00523C08"/>
    <w:rsid w:val="00523C10"/>
    <w:rsid w:val="00523E23"/>
    <w:rsid w:val="005245D5"/>
    <w:rsid w:val="00524889"/>
    <w:rsid w:val="0052575D"/>
    <w:rsid w:val="00525A53"/>
    <w:rsid w:val="00526569"/>
    <w:rsid w:val="00526726"/>
    <w:rsid w:val="00527256"/>
    <w:rsid w:val="00527B57"/>
    <w:rsid w:val="00527C8D"/>
    <w:rsid w:val="00527C9C"/>
    <w:rsid w:val="00530AC4"/>
    <w:rsid w:val="0053309E"/>
    <w:rsid w:val="00533169"/>
    <w:rsid w:val="00533194"/>
    <w:rsid w:val="005332C8"/>
    <w:rsid w:val="0053464E"/>
    <w:rsid w:val="005352C8"/>
    <w:rsid w:val="005354C1"/>
    <w:rsid w:val="00535F99"/>
    <w:rsid w:val="00536356"/>
    <w:rsid w:val="00536CBB"/>
    <w:rsid w:val="00536DDD"/>
    <w:rsid w:val="00537033"/>
    <w:rsid w:val="00540A37"/>
    <w:rsid w:val="00540B49"/>
    <w:rsid w:val="005418DB"/>
    <w:rsid w:val="005434EA"/>
    <w:rsid w:val="00545D55"/>
    <w:rsid w:val="005461AB"/>
    <w:rsid w:val="00546C6A"/>
    <w:rsid w:val="00546FBA"/>
    <w:rsid w:val="00547F04"/>
    <w:rsid w:val="00550924"/>
    <w:rsid w:val="00550D63"/>
    <w:rsid w:val="00550EF1"/>
    <w:rsid w:val="00551075"/>
    <w:rsid w:val="005513C8"/>
    <w:rsid w:val="0055352C"/>
    <w:rsid w:val="005538A6"/>
    <w:rsid w:val="00554F94"/>
    <w:rsid w:val="00555161"/>
    <w:rsid w:val="00555C94"/>
    <w:rsid w:val="00555DE6"/>
    <w:rsid w:val="00555EB3"/>
    <w:rsid w:val="005567F6"/>
    <w:rsid w:val="00556E29"/>
    <w:rsid w:val="00557474"/>
    <w:rsid w:val="00557DAA"/>
    <w:rsid w:val="00557DAD"/>
    <w:rsid w:val="00561138"/>
    <w:rsid w:val="00561699"/>
    <w:rsid w:val="0056194F"/>
    <w:rsid w:val="005619E1"/>
    <w:rsid w:val="00562629"/>
    <w:rsid w:val="005628FE"/>
    <w:rsid w:val="0056364B"/>
    <w:rsid w:val="00564191"/>
    <w:rsid w:val="00564557"/>
    <w:rsid w:val="0056458C"/>
    <w:rsid w:val="00564628"/>
    <w:rsid w:val="005648B9"/>
    <w:rsid w:val="00564A3C"/>
    <w:rsid w:val="00564F82"/>
    <w:rsid w:val="005653AF"/>
    <w:rsid w:val="00565501"/>
    <w:rsid w:val="00565755"/>
    <w:rsid w:val="0056601E"/>
    <w:rsid w:val="00566406"/>
    <w:rsid w:val="00566538"/>
    <w:rsid w:val="0056725A"/>
    <w:rsid w:val="0056741F"/>
    <w:rsid w:val="00567647"/>
    <w:rsid w:val="0056781B"/>
    <w:rsid w:val="00567BE2"/>
    <w:rsid w:val="00570102"/>
    <w:rsid w:val="00570505"/>
    <w:rsid w:val="005712E6"/>
    <w:rsid w:val="00572942"/>
    <w:rsid w:val="005730DB"/>
    <w:rsid w:val="00573251"/>
    <w:rsid w:val="005733A8"/>
    <w:rsid w:val="00573B5B"/>
    <w:rsid w:val="00573F55"/>
    <w:rsid w:val="0057540E"/>
    <w:rsid w:val="005757B6"/>
    <w:rsid w:val="0058000F"/>
    <w:rsid w:val="00580557"/>
    <w:rsid w:val="0058074F"/>
    <w:rsid w:val="00580A76"/>
    <w:rsid w:val="00581042"/>
    <w:rsid w:val="00581703"/>
    <w:rsid w:val="00581B15"/>
    <w:rsid w:val="005821DD"/>
    <w:rsid w:val="00583908"/>
    <w:rsid w:val="00584757"/>
    <w:rsid w:val="00584E21"/>
    <w:rsid w:val="0058608B"/>
    <w:rsid w:val="005863C1"/>
    <w:rsid w:val="0058654D"/>
    <w:rsid w:val="00586786"/>
    <w:rsid w:val="00587729"/>
    <w:rsid w:val="00587886"/>
    <w:rsid w:val="00587A66"/>
    <w:rsid w:val="00590147"/>
    <w:rsid w:val="00590BD1"/>
    <w:rsid w:val="00590D26"/>
    <w:rsid w:val="00591276"/>
    <w:rsid w:val="00591490"/>
    <w:rsid w:val="0059151A"/>
    <w:rsid w:val="005916C9"/>
    <w:rsid w:val="00591C7E"/>
    <w:rsid w:val="00591DCF"/>
    <w:rsid w:val="005929B4"/>
    <w:rsid w:val="00592A3C"/>
    <w:rsid w:val="0059367F"/>
    <w:rsid w:val="00593720"/>
    <w:rsid w:val="00593909"/>
    <w:rsid w:val="00593A71"/>
    <w:rsid w:val="005941E1"/>
    <w:rsid w:val="005943E2"/>
    <w:rsid w:val="00594B8A"/>
    <w:rsid w:val="00595009"/>
    <w:rsid w:val="005954B7"/>
    <w:rsid w:val="00595A05"/>
    <w:rsid w:val="00595F17"/>
    <w:rsid w:val="00595F3D"/>
    <w:rsid w:val="00595F89"/>
    <w:rsid w:val="00596873"/>
    <w:rsid w:val="00596BB3"/>
    <w:rsid w:val="00596BD4"/>
    <w:rsid w:val="00596FA8"/>
    <w:rsid w:val="005971A7"/>
    <w:rsid w:val="00597310"/>
    <w:rsid w:val="005977AB"/>
    <w:rsid w:val="005A01C5"/>
    <w:rsid w:val="005A0532"/>
    <w:rsid w:val="005A07E7"/>
    <w:rsid w:val="005A0A57"/>
    <w:rsid w:val="005A0B9F"/>
    <w:rsid w:val="005A0DBB"/>
    <w:rsid w:val="005A0EBD"/>
    <w:rsid w:val="005A1270"/>
    <w:rsid w:val="005A1295"/>
    <w:rsid w:val="005A1FBF"/>
    <w:rsid w:val="005A29B1"/>
    <w:rsid w:val="005A2EBF"/>
    <w:rsid w:val="005A380B"/>
    <w:rsid w:val="005A4890"/>
    <w:rsid w:val="005A49D4"/>
    <w:rsid w:val="005A4D7C"/>
    <w:rsid w:val="005A51C9"/>
    <w:rsid w:val="005A5DC0"/>
    <w:rsid w:val="005A6B6D"/>
    <w:rsid w:val="005A6ED5"/>
    <w:rsid w:val="005A6F0E"/>
    <w:rsid w:val="005A6F57"/>
    <w:rsid w:val="005A7235"/>
    <w:rsid w:val="005A795B"/>
    <w:rsid w:val="005A7BAF"/>
    <w:rsid w:val="005B0652"/>
    <w:rsid w:val="005B1213"/>
    <w:rsid w:val="005B1B55"/>
    <w:rsid w:val="005B1DBD"/>
    <w:rsid w:val="005B26B0"/>
    <w:rsid w:val="005B3EBD"/>
    <w:rsid w:val="005B48E8"/>
    <w:rsid w:val="005B56D9"/>
    <w:rsid w:val="005B5BA3"/>
    <w:rsid w:val="005B5E62"/>
    <w:rsid w:val="005B7E97"/>
    <w:rsid w:val="005B7F46"/>
    <w:rsid w:val="005C09A7"/>
    <w:rsid w:val="005C102D"/>
    <w:rsid w:val="005C132C"/>
    <w:rsid w:val="005C17FB"/>
    <w:rsid w:val="005C1833"/>
    <w:rsid w:val="005C1838"/>
    <w:rsid w:val="005C18C2"/>
    <w:rsid w:val="005C2063"/>
    <w:rsid w:val="005C244F"/>
    <w:rsid w:val="005C2767"/>
    <w:rsid w:val="005C2922"/>
    <w:rsid w:val="005C2F60"/>
    <w:rsid w:val="005C323D"/>
    <w:rsid w:val="005C3772"/>
    <w:rsid w:val="005C39C3"/>
    <w:rsid w:val="005C4229"/>
    <w:rsid w:val="005C4580"/>
    <w:rsid w:val="005C5065"/>
    <w:rsid w:val="005C52F3"/>
    <w:rsid w:val="005C564C"/>
    <w:rsid w:val="005C6234"/>
    <w:rsid w:val="005C6605"/>
    <w:rsid w:val="005C71A0"/>
    <w:rsid w:val="005C7802"/>
    <w:rsid w:val="005C7B50"/>
    <w:rsid w:val="005D029E"/>
    <w:rsid w:val="005D0427"/>
    <w:rsid w:val="005D0776"/>
    <w:rsid w:val="005D07AE"/>
    <w:rsid w:val="005D0C83"/>
    <w:rsid w:val="005D113B"/>
    <w:rsid w:val="005D1732"/>
    <w:rsid w:val="005D2D9A"/>
    <w:rsid w:val="005D3A6E"/>
    <w:rsid w:val="005D3B21"/>
    <w:rsid w:val="005D4019"/>
    <w:rsid w:val="005D41DC"/>
    <w:rsid w:val="005D460F"/>
    <w:rsid w:val="005D4DC5"/>
    <w:rsid w:val="005D5C22"/>
    <w:rsid w:val="005D5E6C"/>
    <w:rsid w:val="005D63A9"/>
    <w:rsid w:val="005D65D5"/>
    <w:rsid w:val="005D6C56"/>
    <w:rsid w:val="005D6F49"/>
    <w:rsid w:val="005D7E8A"/>
    <w:rsid w:val="005E06FA"/>
    <w:rsid w:val="005E11A5"/>
    <w:rsid w:val="005E13D4"/>
    <w:rsid w:val="005E1435"/>
    <w:rsid w:val="005E21F3"/>
    <w:rsid w:val="005E235C"/>
    <w:rsid w:val="005E3078"/>
    <w:rsid w:val="005E34C0"/>
    <w:rsid w:val="005E45F3"/>
    <w:rsid w:val="005E49CA"/>
    <w:rsid w:val="005E5427"/>
    <w:rsid w:val="005E5428"/>
    <w:rsid w:val="005E5A7C"/>
    <w:rsid w:val="005E5C33"/>
    <w:rsid w:val="005E6976"/>
    <w:rsid w:val="005E703B"/>
    <w:rsid w:val="005E721A"/>
    <w:rsid w:val="005E74EC"/>
    <w:rsid w:val="005E7AB6"/>
    <w:rsid w:val="005E7B1E"/>
    <w:rsid w:val="005E7CBC"/>
    <w:rsid w:val="005F0A62"/>
    <w:rsid w:val="005F0FA8"/>
    <w:rsid w:val="005F1C5D"/>
    <w:rsid w:val="005F2317"/>
    <w:rsid w:val="005F2550"/>
    <w:rsid w:val="005F2B2D"/>
    <w:rsid w:val="005F2FD5"/>
    <w:rsid w:val="005F340A"/>
    <w:rsid w:val="005F3AE8"/>
    <w:rsid w:val="005F3B09"/>
    <w:rsid w:val="005F3B47"/>
    <w:rsid w:val="005F47C1"/>
    <w:rsid w:val="005F4926"/>
    <w:rsid w:val="005F4B6F"/>
    <w:rsid w:val="005F5009"/>
    <w:rsid w:val="005F5054"/>
    <w:rsid w:val="005F530F"/>
    <w:rsid w:val="005F65D9"/>
    <w:rsid w:val="005F6768"/>
    <w:rsid w:val="005F69CF"/>
    <w:rsid w:val="005F6E39"/>
    <w:rsid w:val="005F6E58"/>
    <w:rsid w:val="005F704C"/>
    <w:rsid w:val="005F7A22"/>
    <w:rsid w:val="005F7B9D"/>
    <w:rsid w:val="00600501"/>
    <w:rsid w:val="00600B0C"/>
    <w:rsid w:val="00602DFA"/>
    <w:rsid w:val="006031D1"/>
    <w:rsid w:val="006033BF"/>
    <w:rsid w:val="00603702"/>
    <w:rsid w:val="00603B4B"/>
    <w:rsid w:val="00603F20"/>
    <w:rsid w:val="00604F37"/>
    <w:rsid w:val="0060508A"/>
    <w:rsid w:val="006055AF"/>
    <w:rsid w:val="006058C6"/>
    <w:rsid w:val="00605942"/>
    <w:rsid w:val="00605C9F"/>
    <w:rsid w:val="006068E8"/>
    <w:rsid w:val="00606ADB"/>
    <w:rsid w:val="006072DE"/>
    <w:rsid w:val="006075F4"/>
    <w:rsid w:val="006078A8"/>
    <w:rsid w:val="00607BAD"/>
    <w:rsid w:val="00607EC7"/>
    <w:rsid w:val="0061048A"/>
    <w:rsid w:val="00610AE7"/>
    <w:rsid w:val="00611178"/>
    <w:rsid w:val="0061148D"/>
    <w:rsid w:val="00611D01"/>
    <w:rsid w:val="006122EC"/>
    <w:rsid w:val="006124B3"/>
    <w:rsid w:val="00612611"/>
    <w:rsid w:val="0061279A"/>
    <w:rsid w:val="00613009"/>
    <w:rsid w:val="006132EA"/>
    <w:rsid w:val="00613CA5"/>
    <w:rsid w:val="0061401C"/>
    <w:rsid w:val="0061420B"/>
    <w:rsid w:val="00614D33"/>
    <w:rsid w:val="0061537D"/>
    <w:rsid w:val="0061537F"/>
    <w:rsid w:val="006156D7"/>
    <w:rsid w:val="00615DEA"/>
    <w:rsid w:val="00616A60"/>
    <w:rsid w:val="00616EE6"/>
    <w:rsid w:val="006171FB"/>
    <w:rsid w:val="00617A2A"/>
    <w:rsid w:val="006207F4"/>
    <w:rsid w:val="00620C67"/>
    <w:rsid w:val="00621646"/>
    <w:rsid w:val="00621803"/>
    <w:rsid w:val="006220F1"/>
    <w:rsid w:val="00623E46"/>
    <w:rsid w:val="00624604"/>
    <w:rsid w:val="00624D2C"/>
    <w:rsid w:val="00624F7F"/>
    <w:rsid w:val="00625145"/>
    <w:rsid w:val="00626768"/>
    <w:rsid w:val="00627402"/>
    <w:rsid w:val="00630480"/>
    <w:rsid w:val="0063058E"/>
    <w:rsid w:val="006305F8"/>
    <w:rsid w:val="00631DA7"/>
    <w:rsid w:val="006327BB"/>
    <w:rsid w:val="00632B9C"/>
    <w:rsid w:val="00632F18"/>
    <w:rsid w:val="006332D7"/>
    <w:rsid w:val="0063333D"/>
    <w:rsid w:val="00634225"/>
    <w:rsid w:val="00635003"/>
    <w:rsid w:val="006351CE"/>
    <w:rsid w:val="006352FD"/>
    <w:rsid w:val="00635B15"/>
    <w:rsid w:val="00636037"/>
    <w:rsid w:val="006362E1"/>
    <w:rsid w:val="006367DA"/>
    <w:rsid w:val="006370E1"/>
    <w:rsid w:val="006375B2"/>
    <w:rsid w:val="006375BB"/>
    <w:rsid w:val="006409EE"/>
    <w:rsid w:val="00640BF7"/>
    <w:rsid w:val="00640FFF"/>
    <w:rsid w:val="00641761"/>
    <w:rsid w:val="00642587"/>
    <w:rsid w:val="006425FC"/>
    <w:rsid w:val="00642631"/>
    <w:rsid w:val="00642DF5"/>
    <w:rsid w:val="0064304A"/>
    <w:rsid w:val="0064380B"/>
    <w:rsid w:val="00643A4F"/>
    <w:rsid w:val="00643FF5"/>
    <w:rsid w:val="006441FD"/>
    <w:rsid w:val="00644E5A"/>
    <w:rsid w:val="00644F2C"/>
    <w:rsid w:val="00645141"/>
    <w:rsid w:val="00645AEE"/>
    <w:rsid w:val="00646428"/>
    <w:rsid w:val="0064707F"/>
    <w:rsid w:val="006471E8"/>
    <w:rsid w:val="00647E90"/>
    <w:rsid w:val="00647FA3"/>
    <w:rsid w:val="006500F7"/>
    <w:rsid w:val="00650769"/>
    <w:rsid w:val="006516B7"/>
    <w:rsid w:val="006518E4"/>
    <w:rsid w:val="00651FB8"/>
    <w:rsid w:val="00652BA0"/>
    <w:rsid w:val="00653045"/>
    <w:rsid w:val="00653A25"/>
    <w:rsid w:val="00653D93"/>
    <w:rsid w:val="00653FDA"/>
    <w:rsid w:val="006541A0"/>
    <w:rsid w:val="00654E99"/>
    <w:rsid w:val="00655104"/>
    <w:rsid w:val="0065548F"/>
    <w:rsid w:val="00655633"/>
    <w:rsid w:val="006559BB"/>
    <w:rsid w:val="00655D93"/>
    <w:rsid w:val="00655E86"/>
    <w:rsid w:val="00656614"/>
    <w:rsid w:val="00656C4D"/>
    <w:rsid w:val="006577CD"/>
    <w:rsid w:val="00657CCC"/>
    <w:rsid w:val="00660162"/>
    <w:rsid w:val="0066036D"/>
    <w:rsid w:val="006604FA"/>
    <w:rsid w:val="00660879"/>
    <w:rsid w:val="00661639"/>
    <w:rsid w:val="00661655"/>
    <w:rsid w:val="00661709"/>
    <w:rsid w:val="0066174D"/>
    <w:rsid w:val="00661E36"/>
    <w:rsid w:val="006631D3"/>
    <w:rsid w:val="00663D0F"/>
    <w:rsid w:val="00664525"/>
    <w:rsid w:val="0066465B"/>
    <w:rsid w:val="00664C81"/>
    <w:rsid w:val="0066521A"/>
    <w:rsid w:val="0066540C"/>
    <w:rsid w:val="00665EAE"/>
    <w:rsid w:val="006661EA"/>
    <w:rsid w:val="00666909"/>
    <w:rsid w:val="00666EBC"/>
    <w:rsid w:val="00667189"/>
    <w:rsid w:val="0066749E"/>
    <w:rsid w:val="00667CCB"/>
    <w:rsid w:val="00667EFD"/>
    <w:rsid w:val="00670475"/>
    <w:rsid w:val="00670B8C"/>
    <w:rsid w:val="00670C4A"/>
    <w:rsid w:val="00671F3E"/>
    <w:rsid w:val="00672482"/>
    <w:rsid w:val="00672A18"/>
    <w:rsid w:val="006735D0"/>
    <w:rsid w:val="006739E9"/>
    <w:rsid w:val="00674D52"/>
    <w:rsid w:val="00674F93"/>
    <w:rsid w:val="0067546F"/>
    <w:rsid w:val="00676CE4"/>
    <w:rsid w:val="00676EC2"/>
    <w:rsid w:val="00676FA5"/>
    <w:rsid w:val="006771A4"/>
    <w:rsid w:val="006771AD"/>
    <w:rsid w:val="006774A8"/>
    <w:rsid w:val="00677572"/>
    <w:rsid w:val="00681229"/>
    <w:rsid w:val="0068185E"/>
    <w:rsid w:val="00681BE5"/>
    <w:rsid w:val="00681E30"/>
    <w:rsid w:val="0068379B"/>
    <w:rsid w:val="00683D98"/>
    <w:rsid w:val="00683D99"/>
    <w:rsid w:val="00684079"/>
    <w:rsid w:val="0068629B"/>
    <w:rsid w:val="00686C12"/>
    <w:rsid w:val="00686D75"/>
    <w:rsid w:val="0068736A"/>
    <w:rsid w:val="00687D17"/>
    <w:rsid w:val="00690024"/>
    <w:rsid w:val="006903A4"/>
    <w:rsid w:val="00690CAA"/>
    <w:rsid w:val="00690EFB"/>
    <w:rsid w:val="0069137B"/>
    <w:rsid w:val="006913EC"/>
    <w:rsid w:val="006914B7"/>
    <w:rsid w:val="00691742"/>
    <w:rsid w:val="00691DEE"/>
    <w:rsid w:val="00692242"/>
    <w:rsid w:val="0069236E"/>
    <w:rsid w:val="00692704"/>
    <w:rsid w:val="00692E67"/>
    <w:rsid w:val="00693ACF"/>
    <w:rsid w:val="00693EE5"/>
    <w:rsid w:val="006944C5"/>
    <w:rsid w:val="00694B8D"/>
    <w:rsid w:val="0069561C"/>
    <w:rsid w:val="00695634"/>
    <w:rsid w:val="0069600D"/>
    <w:rsid w:val="006963AE"/>
    <w:rsid w:val="00697053"/>
    <w:rsid w:val="006A066A"/>
    <w:rsid w:val="006A06CA"/>
    <w:rsid w:val="006A083E"/>
    <w:rsid w:val="006A0FFD"/>
    <w:rsid w:val="006A1170"/>
    <w:rsid w:val="006A14A3"/>
    <w:rsid w:val="006A159D"/>
    <w:rsid w:val="006A18BF"/>
    <w:rsid w:val="006A1F58"/>
    <w:rsid w:val="006A242E"/>
    <w:rsid w:val="006A26AB"/>
    <w:rsid w:val="006A298D"/>
    <w:rsid w:val="006A2F80"/>
    <w:rsid w:val="006A3FD6"/>
    <w:rsid w:val="006A4076"/>
    <w:rsid w:val="006A436F"/>
    <w:rsid w:val="006A4E5B"/>
    <w:rsid w:val="006A5356"/>
    <w:rsid w:val="006A59D8"/>
    <w:rsid w:val="006A6B7B"/>
    <w:rsid w:val="006A78F8"/>
    <w:rsid w:val="006A7C26"/>
    <w:rsid w:val="006A7E27"/>
    <w:rsid w:val="006B010E"/>
    <w:rsid w:val="006B091F"/>
    <w:rsid w:val="006B0CAF"/>
    <w:rsid w:val="006B0ED0"/>
    <w:rsid w:val="006B0EED"/>
    <w:rsid w:val="006B147E"/>
    <w:rsid w:val="006B1DF6"/>
    <w:rsid w:val="006B233F"/>
    <w:rsid w:val="006B275E"/>
    <w:rsid w:val="006B28EA"/>
    <w:rsid w:val="006B2DA3"/>
    <w:rsid w:val="006B2FBB"/>
    <w:rsid w:val="006B378A"/>
    <w:rsid w:val="006B3BD5"/>
    <w:rsid w:val="006B4185"/>
    <w:rsid w:val="006B4224"/>
    <w:rsid w:val="006B4493"/>
    <w:rsid w:val="006B4B62"/>
    <w:rsid w:val="006B53DC"/>
    <w:rsid w:val="006B5423"/>
    <w:rsid w:val="006B5855"/>
    <w:rsid w:val="006B5AB2"/>
    <w:rsid w:val="006B5C67"/>
    <w:rsid w:val="006B6B5D"/>
    <w:rsid w:val="006B6C0D"/>
    <w:rsid w:val="006C1818"/>
    <w:rsid w:val="006C1F8B"/>
    <w:rsid w:val="006C2721"/>
    <w:rsid w:val="006C3868"/>
    <w:rsid w:val="006C38FF"/>
    <w:rsid w:val="006C3E6E"/>
    <w:rsid w:val="006C3EEA"/>
    <w:rsid w:val="006C3F92"/>
    <w:rsid w:val="006C43A6"/>
    <w:rsid w:val="006C4A4A"/>
    <w:rsid w:val="006C53EB"/>
    <w:rsid w:val="006C5D29"/>
    <w:rsid w:val="006C650D"/>
    <w:rsid w:val="006C69A5"/>
    <w:rsid w:val="006C7740"/>
    <w:rsid w:val="006D0389"/>
    <w:rsid w:val="006D0848"/>
    <w:rsid w:val="006D0BA5"/>
    <w:rsid w:val="006D0C15"/>
    <w:rsid w:val="006D0D8B"/>
    <w:rsid w:val="006D0FBF"/>
    <w:rsid w:val="006D10DC"/>
    <w:rsid w:val="006D1586"/>
    <w:rsid w:val="006D19C1"/>
    <w:rsid w:val="006D2827"/>
    <w:rsid w:val="006D2848"/>
    <w:rsid w:val="006D2B19"/>
    <w:rsid w:val="006D2EC9"/>
    <w:rsid w:val="006D3A05"/>
    <w:rsid w:val="006D3B62"/>
    <w:rsid w:val="006D3FDF"/>
    <w:rsid w:val="006D4527"/>
    <w:rsid w:val="006D4B05"/>
    <w:rsid w:val="006D4F86"/>
    <w:rsid w:val="006D5F98"/>
    <w:rsid w:val="006D6665"/>
    <w:rsid w:val="006D7098"/>
    <w:rsid w:val="006D740E"/>
    <w:rsid w:val="006D7F72"/>
    <w:rsid w:val="006E00B7"/>
    <w:rsid w:val="006E0E5B"/>
    <w:rsid w:val="006E3023"/>
    <w:rsid w:val="006E3369"/>
    <w:rsid w:val="006E3D12"/>
    <w:rsid w:val="006E449C"/>
    <w:rsid w:val="006E4726"/>
    <w:rsid w:val="006E4E72"/>
    <w:rsid w:val="006E50D0"/>
    <w:rsid w:val="006E663E"/>
    <w:rsid w:val="006E6EDF"/>
    <w:rsid w:val="006E7BA5"/>
    <w:rsid w:val="006F01E8"/>
    <w:rsid w:val="006F02D7"/>
    <w:rsid w:val="006F0EBB"/>
    <w:rsid w:val="006F1E96"/>
    <w:rsid w:val="006F2D24"/>
    <w:rsid w:val="006F37F7"/>
    <w:rsid w:val="006F3909"/>
    <w:rsid w:val="006F4036"/>
    <w:rsid w:val="006F428E"/>
    <w:rsid w:val="006F48E1"/>
    <w:rsid w:val="006F5160"/>
    <w:rsid w:val="006F5374"/>
    <w:rsid w:val="006F60DF"/>
    <w:rsid w:val="006F68C1"/>
    <w:rsid w:val="006F6CE2"/>
    <w:rsid w:val="006F6E10"/>
    <w:rsid w:val="007014F8"/>
    <w:rsid w:val="0070150D"/>
    <w:rsid w:val="007016D2"/>
    <w:rsid w:val="007018D8"/>
    <w:rsid w:val="007029E8"/>
    <w:rsid w:val="00703107"/>
    <w:rsid w:val="00703138"/>
    <w:rsid w:val="00703277"/>
    <w:rsid w:val="0070356D"/>
    <w:rsid w:val="00703981"/>
    <w:rsid w:val="00703D7E"/>
    <w:rsid w:val="0070495F"/>
    <w:rsid w:val="00704B6E"/>
    <w:rsid w:val="00704F73"/>
    <w:rsid w:val="0070508D"/>
    <w:rsid w:val="0070542E"/>
    <w:rsid w:val="007060D4"/>
    <w:rsid w:val="007061EA"/>
    <w:rsid w:val="0070624C"/>
    <w:rsid w:val="00706451"/>
    <w:rsid w:val="00707E0F"/>
    <w:rsid w:val="0071068A"/>
    <w:rsid w:val="00710E19"/>
    <w:rsid w:val="00710E52"/>
    <w:rsid w:val="0071154B"/>
    <w:rsid w:val="0071174F"/>
    <w:rsid w:val="0071196A"/>
    <w:rsid w:val="007131CF"/>
    <w:rsid w:val="007133C0"/>
    <w:rsid w:val="00713613"/>
    <w:rsid w:val="007137C6"/>
    <w:rsid w:val="007138FC"/>
    <w:rsid w:val="0071393D"/>
    <w:rsid w:val="00713E79"/>
    <w:rsid w:val="00714245"/>
    <w:rsid w:val="00715441"/>
    <w:rsid w:val="00715739"/>
    <w:rsid w:val="0071576C"/>
    <w:rsid w:val="00715C94"/>
    <w:rsid w:val="00716A09"/>
    <w:rsid w:val="007170DB"/>
    <w:rsid w:val="00717880"/>
    <w:rsid w:val="00717CA8"/>
    <w:rsid w:val="007205E7"/>
    <w:rsid w:val="007209C4"/>
    <w:rsid w:val="00721E9E"/>
    <w:rsid w:val="007227FE"/>
    <w:rsid w:val="007233C3"/>
    <w:rsid w:val="007237F3"/>
    <w:rsid w:val="00723C95"/>
    <w:rsid w:val="007244E7"/>
    <w:rsid w:val="0072505F"/>
    <w:rsid w:val="00725B00"/>
    <w:rsid w:val="0072680C"/>
    <w:rsid w:val="00726B3D"/>
    <w:rsid w:val="00726C64"/>
    <w:rsid w:val="007310B7"/>
    <w:rsid w:val="00731237"/>
    <w:rsid w:val="0073207E"/>
    <w:rsid w:val="00732664"/>
    <w:rsid w:val="00732BA7"/>
    <w:rsid w:val="007333EA"/>
    <w:rsid w:val="00733601"/>
    <w:rsid w:val="00733A57"/>
    <w:rsid w:val="00733F36"/>
    <w:rsid w:val="007340CE"/>
    <w:rsid w:val="00734781"/>
    <w:rsid w:val="007349FC"/>
    <w:rsid w:val="00734B6F"/>
    <w:rsid w:val="00735293"/>
    <w:rsid w:val="00735376"/>
    <w:rsid w:val="007363EA"/>
    <w:rsid w:val="00736A02"/>
    <w:rsid w:val="00736E06"/>
    <w:rsid w:val="00736E37"/>
    <w:rsid w:val="00737286"/>
    <w:rsid w:val="007373DB"/>
    <w:rsid w:val="00737F27"/>
    <w:rsid w:val="00737FD3"/>
    <w:rsid w:val="007407DB"/>
    <w:rsid w:val="00740BFC"/>
    <w:rsid w:val="00740F76"/>
    <w:rsid w:val="00741037"/>
    <w:rsid w:val="007422B3"/>
    <w:rsid w:val="007424BF"/>
    <w:rsid w:val="007435F1"/>
    <w:rsid w:val="00743DDD"/>
    <w:rsid w:val="00744625"/>
    <w:rsid w:val="007446BB"/>
    <w:rsid w:val="00745882"/>
    <w:rsid w:val="00745A04"/>
    <w:rsid w:val="00745A0F"/>
    <w:rsid w:val="00745DFD"/>
    <w:rsid w:val="00746197"/>
    <w:rsid w:val="0074689C"/>
    <w:rsid w:val="00746B3F"/>
    <w:rsid w:val="00747117"/>
    <w:rsid w:val="007479C2"/>
    <w:rsid w:val="00747B0D"/>
    <w:rsid w:val="00751452"/>
    <w:rsid w:val="007521A5"/>
    <w:rsid w:val="00753959"/>
    <w:rsid w:val="00753DD6"/>
    <w:rsid w:val="00754A4A"/>
    <w:rsid w:val="007567A8"/>
    <w:rsid w:val="00756D6A"/>
    <w:rsid w:val="0076043F"/>
    <w:rsid w:val="00760F66"/>
    <w:rsid w:val="007611F8"/>
    <w:rsid w:val="00761200"/>
    <w:rsid w:val="00761931"/>
    <w:rsid w:val="00761BD1"/>
    <w:rsid w:val="007627BA"/>
    <w:rsid w:val="0076291E"/>
    <w:rsid w:val="00762D81"/>
    <w:rsid w:val="0076317B"/>
    <w:rsid w:val="007643D5"/>
    <w:rsid w:val="00765366"/>
    <w:rsid w:val="00765914"/>
    <w:rsid w:val="0076614D"/>
    <w:rsid w:val="0076624C"/>
    <w:rsid w:val="0076627D"/>
    <w:rsid w:val="00766304"/>
    <w:rsid w:val="00767A28"/>
    <w:rsid w:val="00767DD2"/>
    <w:rsid w:val="0077082B"/>
    <w:rsid w:val="00770E60"/>
    <w:rsid w:val="00771C8F"/>
    <w:rsid w:val="0077266E"/>
    <w:rsid w:val="0077292E"/>
    <w:rsid w:val="007737D8"/>
    <w:rsid w:val="0077391C"/>
    <w:rsid w:val="00773D24"/>
    <w:rsid w:val="00774576"/>
    <w:rsid w:val="007745DA"/>
    <w:rsid w:val="0077508A"/>
    <w:rsid w:val="00775567"/>
    <w:rsid w:val="00775E0D"/>
    <w:rsid w:val="00776343"/>
    <w:rsid w:val="00776416"/>
    <w:rsid w:val="00776C7B"/>
    <w:rsid w:val="00776CEF"/>
    <w:rsid w:val="00777E7E"/>
    <w:rsid w:val="007804DD"/>
    <w:rsid w:val="00780F3B"/>
    <w:rsid w:val="007816EE"/>
    <w:rsid w:val="00782071"/>
    <w:rsid w:val="00782946"/>
    <w:rsid w:val="00782ECD"/>
    <w:rsid w:val="0078363B"/>
    <w:rsid w:val="00783CCF"/>
    <w:rsid w:val="00783F5B"/>
    <w:rsid w:val="00784609"/>
    <w:rsid w:val="00784720"/>
    <w:rsid w:val="0078481D"/>
    <w:rsid w:val="007859FC"/>
    <w:rsid w:val="00785F4C"/>
    <w:rsid w:val="0078609C"/>
    <w:rsid w:val="00786355"/>
    <w:rsid w:val="00787370"/>
    <w:rsid w:val="007874AE"/>
    <w:rsid w:val="0078750B"/>
    <w:rsid w:val="00787F5E"/>
    <w:rsid w:val="0079024D"/>
    <w:rsid w:val="007911B8"/>
    <w:rsid w:val="00791DAE"/>
    <w:rsid w:val="007930E8"/>
    <w:rsid w:val="00793A57"/>
    <w:rsid w:val="00793A9C"/>
    <w:rsid w:val="00793F28"/>
    <w:rsid w:val="007944D2"/>
    <w:rsid w:val="00794B19"/>
    <w:rsid w:val="00795B8D"/>
    <w:rsid w:val="00795F0E"/>
    <w:rsid w:val="00797D8F"/>
    <w:rsid w:val="007A0C00"/>
    <w:rsid w:val="007A0E15"/>
    <w:rsid w:val="007A176E"/>
    <w:rsid w:val="007A19BF"/>
    <w:rsid w:val="007A2A69"/>
    <w:rsid w:val="007A2CF1"/>
    <w:rsid w:val="007A384E"/>
    <w:rsid w:val="007A41B5"/>
    <w:rsid w:val="007A4486"/>
    <w:rsid w:val="007A4682"/>
    <w:rsid w:val="007A5879"/>
    <w:rsid w:val="007A58A8"/>
    <w:rsid w:val="007A5BDC"/>
    <w:rsid w:val="007A629D"/>
    <w:rsid w:val="007A6610"/>
    <w:rsid w:val="007A6DD3"/>
    <w:rsid w:val="007A6FF3"/>
    <w:rsid w:val="007A71DC"/>
    <w:rsid w:val="007A7A04"/>
    <w:rsid w:val="007B04FF"/>
    <w:rsid w:val="007B0976"/>
    <w:rsid w:val="007B0CAC"/>
    <w:rsid w:val="007B15F3"/>
    <w:rsid w:val="007B1701"/>
    <w:rsid w:val="007B1C32"/>
    <w:rsid w:val="007B1DBB"/>
    <w:rsid w:val="007B2319"/>
    <w:rsid w:val="007B2FBF"/>
    <w:rsid w:val="007B3E13"/>
    <w:rsid w:val="007B4046"/>
    <w:rsid w:val="007B4300"/>
    <w:rsid w:val="007B565C"/>
    <w:rsid w:val="007B595F"/>
    <w:rsid w:val="007B5D75"/>
    <w:rsid w:val="007B6D5E"/>
    <w:rsid w:val="007B7115"/>
    <w:rsid w:val="007B736B"/>
    <w:rsid w:val="007C0853"/>
    <w:rsid w:val="007C0C90"/>
    <w:rsid w:val="007C0E07"/>
    <w:rsid w:val="007C0E86"/>
    <w:rsid w:val="007C249E"/>
    <w:rsid w:val="007C26CF"/>
    <w:rsid w:val="007C271B"/>
    <w:rsid w:val="007C2C14"/>
    <w:rsid w:val="007C3A55"/>
    <w:rsid w:val="007C4166"/>
    <w:rsid w:val="007C44E1"/>
    <w:rsid w:val="007C48DD"/>
    <w:rsid w:val="007C4A05"/>
    <w:rsid w:val="007C5711"/>
    <w:rsid w:val="007C57B9"/>
    <w:rsid w:val="007C6325"/>
    <w:rsid w:val="007C73A3"/>
    <w:rsid w:val="007C7975"/>
    <w:rsid w:val="007C7EF5"/>
    <w:rsid w:val="007D06AC"/>
    <w:rsid w:val="007D0741"/>
    <w:rsid w:val="007D0A53"/>
    <w:rsid w:val="007D0FFC"/>
    <w:rsid w:val="007D1013"/>
    <w:rsid w:val="007D19EC"/>
    <w:rsid w:val="007D2608"/>
    <w:rsid w:val="007D30C3"/>
    <w:rsid w:val="007D35AC"/>
    <w:rsid w:val="007D36B1"/>
    <w:rsid w:val="007D36D7"/>
    <w:rsid w:val="007D3BA1"/>
    <w:rsid w:val="007D3EC8"/>
    <w:rsid w:val="007D40AC"/>
    <w:rsid w:val="007D4317"/>
    <w:rsid w:val="007D4C12"/>
    <w:rsid w:val="007D57E0"/>
    <w:rsid w:val="007D5962"/>
    <w:rsid w:val="007D63B2"/>
    <w:rsid w:val="007D651D"/>
    <w:rsid w:val="007D71B7"/>
    <w:rsid w:val="007D7C66"/>
    <w:rsid w:val="007D7CF3"/>
    <w:rsid w:val="007E0274"/>
    <w:rsid w:val="007E02A7"/>
    <w:rsid w:val="007E0415"/>
    <w:rsid w:val="007E0991"/>
    <w:rsid w:val="007E0B2C"/>
    <w:rsid w:val="007E107F"/>
    <w:rsid w:val="007E2FD7"/>
    <w:rsid w:val="007E310B"/>
    <w:rsid w:val="007E38DA"/>
    <w:rsid w:val="007E3D65"/>
    <w:rsid w:val="007E3EE2"/>
    <w:rsid w:val="007E47E7"/>
    <w:rsid w:val="007E4A98"/>
    <w:rsid w:val="007E4EB6"/>
    <w:rsid w:val="007E5DD7"/>
    <w:rsid w:val="007E7139"/>
    <w:rsid w:val="007E7366"/>
    <w:rsid w:val="007E7EA1"/>
    <w:rsid w:val="007E7EA4"/>
    <w:rsid w:val="007F03CE"/>
    <w:rsid w:val="007F04D3"/>
    <w:rsid w:val="007F137D"/>
    <w:rsid w:val="007F2D8D"/>
    <w:rsid w:val="007F2EBF"/>
    <w:rsid w:val="007F3044"/>
    <w:rsid w:val="007F3249"/>
    <w:rsid w:val="007F4657"/>
    <w:rsid w:val="007F5609"/>
    <w:rsid w:val="007F5625"/>
    <w:rsid w:val="007F568A"/>
    <w:rsid w:val="007F59F7"/>
    <w:rsid w:val="007F5E21"/>
    <w:rsid w:val="007F6413"/>
    <w:rsid w:val="007F676E"/>
    <w:rsid w:val="007F6B11"/>
    <w:rsid w:val="007F6C6F"/>
    <w:rsid w:val="007F6E2B"/>
    <w:rsid w:val="007F7D12"/>
    <w:rsid w:val="007F7F02"/>
    <w:rsid w:val="00800258"/>
    <w:rsid w:val="00800C97"/>
    <w:rsid w:val="0080220F"/>
    <w:rsid w:val="00802735"/>
    <w:rsid w:val="008028C2"/>
    <w:rsid w:val="00802DDB"/>
    <w:rsid w:val="008037D8"/>
    <w:rsid w:val="00803B7E"/>
    <w:rsid w:val="00803DA6"/>
    <w:rsid w:val="008040D9"/>
    <w:rsid w:val="0080436E"/>
    <w:rsid w:val="00804937"/>
    <w:rsid w:val="00804E1E"/>
    <w:rsid w:val="00804E43"/>
    <w:rsid w:val="008050F5"/>
    <w:rsid w:val="0080519C"/>
    <w:rsid w:val="00810BC2"/>
    <w:rsid w:val="00811683"/>
    <w:rsid w:val="00811AFF"/>
    <w:rsid w:val="00812373"/>
    <w:rsid w:val="00813F3A"/>
    <w:rsid w:val="008140E8"/>
    <w:rsid w:val="00814941"/>
    <w:rsid w:val="00814A65"/>
    <w:rsid w:val="00814BD9"/>
    <w:rsid w:val="008158AC"/>
    <w:rsid w:val="00816805"/>
    <w:rsid w:val="00816BE8"/>
    <w:rsid w:val="00816CD5"/>
    <w:rsid w:val="00816DBD"/>
    <w:rsid w:val="00816FE2"/>
    <w:rsid w:val="00817062"/>
    <w:rsid w:val="00817991"/>
    <w:rsid w:val="00817F58"/>
    <w:rsid w:val="008203C5"/>
    <w:rsid w:val="00820B84"/>
    <w:rsid w:val="0082199B"/>
    <w:rsid w:val="00821C2A"/>
    <w:rsid w:val="008227B7"/>
    <w:rsid w:val="008243A8"/>
    <w:rsid w:val="00824925"/>
    <w:rsid w:val="00824C8B"/>
    <w:rsid w:val="008252E8"/>
    <w:rsid w:val="00825BA8"/>
    <w:rsid w:val="00825C14"/>
    <w:rsid w:val="0082641D"/>
    <w:rsid w:val="008267CA"/>
    <w:rsid w:val="0082722B"/>
    <w:rsid w:val="00827C1B"/>
    <w:rsid w:val="0083016B"/>
    <w:rsid w:val="008301F1"/>
    <w:rsid w:val="00830C0E"/>
    <w:rsid w:val="008313E0"/>
    <w:rsid w:val="008317EC"/>
    <w:rsid w:val="0083195D"/>
    <w:rsid w:val="00831B7B"/>
    <w:rsid w:val="00831D90"/>
    <w:rsid w:val="008324F3"/>
    <w:rsid w:val="00832691"/>
    <w:rsid w:val="0083296B"/>
    <w:rsid w:val="00833547"/>
    <w:rsid w:val="00833852"/>
    <w:rsid w:val="00833AB9"/>
    <w:rsid w:val="00834820"/>
    <w:rsid w:val="00834C82"/>
    <w:rsid w:val="00834DB6"/>
    <w:rsid w:val="00834F56"/>
    <w:rsid w:val="00834F93"/>
    <w:rsid w:val="00840C4A"/>
    <w:rsid w:val="008411B9"/>
    <w:rsid w:val="0084122F"/>
    <w:rsid w:val="00841573"/>
    <w:rsid w:val="00841D08"/>
    <w:rsid w:val="00842D43"/>
    <w:rsid w:val="0084323E"/>
    <w:rsid w:val="00843D50"/>
    <w:rsid w:val="0084464E"/>
    <w:rsid w:val="00844776"/>
    <w:rsid w:val="008458BF"/>
    <w:rsid w:val="00846262"/>
    <w:rsid w:val="00846370"/>
    <w:rsid w:val="008463E8"/>
    <w:rsid w:val="00847665"/>
    <w:rsid w:val="00847BC5"/>
    <w:rsid w:val="00847F11"/>
    <w:rsid w:val="00850010"/>
    <w:rsid w:val="008503F4"/>
    <w:rsid w:val="008504A0"/>
    <w:rsid w:val="00850AC1"/>
    <w:rsid w:val="00850C2A"/>
    <w:rsid w:val="00850DFA"/>
    <w:rsid w:val="008511C6"/>
    <w:rsid w:val="00851331"/>
    <w:rsid w:val="008516D1"/>
    <w:rsid w:val="00852003"/>
    <w:rsid w:val="0085212C"/>
    <w:rsid w:val="00852F9E"/>
    <w:rsid w:val="00854053"/>
    <w:rsid w:val="008543AC"/>
    <w:rsid w:val="008548B8"/>
    <w:rsid w:val="00854965"/>
    <w:rsid w:val="008554D1"/>
    <w:rsid w:val="008558E0"/>
    <w:rsid w:val="00857AF7"/>
    <w:rsid w:val="00860109"/>
    <w:rsid w:val="008601BD"/>
    <w:rsid w:val="00860359"/>
    <w:rsid w:val="00860E43"/>
    <w:rsid w:val="00861252"/>
    <w:rsid w:val="0086171A"/>
    <w:rsid w:val="0086226C"/>
    <w:rsid w:val="00863C07"/>
    <w:rsid w:val="008644A4"/>
    <w:rsid w:val="00864A6C"/>
    <w:rsid w:val="00864BB1"/>
    <w:rsid w:val="00864DF7"/>
    <w:rsid w:val="00865278"/>
    <w:rsid w:val="008654F9"/>
    <w:rsid w:val="008658C0"/>
    <w:rsid w:val="00866388"/>
    <w:rsid w:val="00866FE3"/>
    <w:rsid w:val="0086722D"/>
    <w:rsid w:val="00867D56"/>
    <w:rsid w:val="00870646"/>
    <w:rsid w:val="00870BAA"/>
    <w:rsid w:val="00870D91"/>
    <w:rsid w:val="008716D1"/>
    <w:rsid w:val="008716ED"/>
    <w:rsid w:val="008718AD"/>
    <w:rsid w:val="0087193F"/>
    <w:rsid w:val="008724E6"/>
    <w:rsid w:val="008728C8"/>
    <w:rsid w:val="00873205"/>
    <w:rsid w:val="008735E8"/>
    <w:rsid w:val="0087377E"/>
    <w:rsid w:val="00874594"/>
    <w:rsid w:val="00874776"/>
    <w:rsid w:val="0087487C"/>
    <w:rsid w:val="00874A07"/>
    <w:rsid w:val="00874B75"/>
    <w:rsid w:val="00875007"/>
    <w:rsid w:val="008750DB"/>
    <w:rsid w:val="008751B4"/>
    <w:rsid w:val="0087527F"/>
    <w:rsid w:val="008754B5"/>
    <w:rsid w:val="00875AF3"/>
    <w:rsid w:val="008765E9"/>
    <w:rsid w:val="00876605"/>
    <w:rsid w:val="00876B13"/>
    <w:rsid w:val="00880017"/>
    <w:rsid w:val="0088027C"/>
    <w:rsid w:val="00880305"/>
    <w:rsid w:val="0088088A"/>
    <w:rsid w:val="00880A3F"/>
    <w:rsid w:val="00880EE2"/>
    <w:rsid w:val="00881732"/>
    <w:rsid w:val="008818A2"/>
    <w:rsid w:val="00881FF9"/>
    <w:rsid w:val="0088213D"/>
    <w:rsid w:val="008821C6"/>
    <w:rsid w:val="0088243D"/>
    <w:rsid w:val="0088251A"/>
    <w:rsid w:val="00882D28"/>
    <w:rsid w:val="00883A67"/>
    <w:rsid w:val="008848E9"/>
    <w:rsid w:val="00884FD8"/>
    <w:rsid w:val="00885244"/>
    <w:rsid w:val="008857C7"/>
    <w:rsid w:val="008858B3"/>
    <w:rsid w:val="00885BF6"/>
    <w:rsid w:val="008866CF"/>
    <w:rsid w:val="00886782"/>
    <w:rsid w:val="008869A1"/>
    <w:rsid w:val="00886B3F"/>
    <w:rsid w:val="0089015D"/>
    <w:rsid w:val="0089021A"/>
    <w:rsid w:val="0089022E"/>
    <w:rsid w:val="00890475"/>
    <w:rsid w:val="00890A7C"/>
    <w:rsid w:val="00890D11"/>
    <w:rsid w:val="008910EE"/>
    <w:rsid w:val="00891A26"/>
    <w:rsid w:val="008923F8"/>
    <w:rsid w:val="008928F1"/>
    <w:rsid w:val="00892BBF"/>
    <w:rsid w:val="00892DB5"/>
    <w:rsid w:val="008942BD"/>
    <w:rsid w:val="0089478A"/>
    <w:rsid w:val="0089480A"/>
    <w:rsid w:val="00894FE5"/>
    <w:rsid w:val="00895658"/>
    <w:rsid w:val="008956DA"/>
    <w:rsid w:val="00895BA9"/>
    <w:rsid w:val="00895D79"/>
    <w:rsid w:val="0089601B"/>
    <w:rsid w:val="0089655D"/>
    <w:rsid w:val="00896784"/>
    <w:rsid w:val="00897824"/>
    <w:rsid w:val="00897BCB"/>
    <w:rsid w:val="00897C07"/>
    <w:rsid w:val="00897DBA"/>
    <w:rsid w:val="008A02FA"/>
    <w:rsid w:val="008A06A8"/>
    <w:rsid w:val="008A1AAC"/>
    <w:rsid w:val="008A20CA"/>
    <w:rsid w:val="008A239B"/>
    <w:rsid w:val="008A2956"/>
    <w:rsid w:val="008A2EA1"/>
    <w:rsid w:val="008A2EF6"/>
    <w:rsid w:val="008A3480"/>
    <w:rsid w:val="008A4F3C"/>
    <w:rsid w:val="008A51AD"/>
    <w:rsid w:val="008A53BA"/>
    <w:rsid w:val="008A551D"/>
    <w:rsid w:val="008A56BA"/>
    <w:rsid w:val="008A570A"/>
    <w:rsid w:val="008A58E4"/>
    <w:rsid w:val="008A58E7"/>
    <w:rsid w:val="008A5C1D"/>
    <w:rsid w:val="008A615A"/>
    <w:rsid w:val="008A650C"/>
    <w:rsid w:val="008A6A36"/>
    <w:rsid w:val="008A6CB9"/>
    <w:rsid w:val="008A6DC1"/>
    <w:rsid w:val="008A7100"/>
    <w:rsid w:val="008A7139"/>
    <w:rsid w:val="008A776D"/>
    <w:rsid w:val="008A7C74"/>
    <w:rsid w:val="008B04C0"/>
    <w:rsid w:val="008B09E1"/>
    <w:rsid w:val="008B0A83"/>
    <w:rsid w:val="008B0E93"/>
    <w:rsid w:val="008B198D"/>
    <w:rsid w:val="008B23A8"/>
    <w:rsid w:val="008B29A4"/>
    <w:rsid w:val="008B2BB4"/>
    <w:rsid w:val="008B2C30"/>
    <w:rsid w:val="008B3C2B"/>
    <w:rsid w:val="008B4679"/>
    <w:rsid w:val="008B4D00"/>
    <w:rsid w:val="008B4D13"/>
    <w:rsid w:val="008B4E78"/>
    <w:rsid w:val="008B4FE2"/>
    <w:rsid w:val="008B61A1"/>
    <w:rsid w:val="008B66EE"/>
    <w:rsid w:val="008B6793"/>
    <w:rsid w:val="008B6E87"/>
    <w:rsid w:val="008B75C2"/>
    <w:rsid w:val="008B787A"/>
    <w:rsid w:val="008C0A89"/>
    <w:rsid w:val="008C0E71"/>
    <w:rsid w:val="008C1852"/>
    <w:rsid w:val="008C2CFF"/>
    <w:rsid w:val="008C2E1E"/>
    <w:rsid w:val="008C2E22"/>
    <w:rsid w:val="008C2ED2"/>
    <w:rsid w:val="008C3D4D"/>
    <w:rsid w:val="008C4026"/>
    <w:rsid w:val="008C417E"/>
    <w:rsid w:val="008C5B51"/>
    <w:rsid w:val="008C5F0A"/>
    <w:rsid w:val="008C6105"/>
    <w:rsid w:val="008C6124"/>
    <w:rsid w:val="008C6334"/>
    <w:rsid w:val="008C66BD"/>
    <w:rsid w:val="008C6968"/>
    <w:rsid w:val="008C742A"/>
    <w:rsid w:val="008C74C7"/>
    <w:rsid w:val="008C7714"/>
    <w:rsid w:val="008C7F4F"/>
    <w:rsid w:val="008D00F3"/>
    <w:rsid w:val="008D0F27"/>
    <w:rsid w:val="008D11F0"/>
    <w:rsid w:val="008D15A2"/>
    <w:rsid w:val="008D18CD"/>
    <w:rsid w:val="008D1F86"/>
    <w:rsid w:val="008D20E0"/>
    <w:rsid w:val="008D2B6E"/>
    <w:rsid w:val="008D335C"/>
    <w:rsid w:val="008D35B7"/>
    <w:rsid w:val="008D4007"/>
    <w:rsid w:val="008D436A"/>
    <w:rsid w:val="008D4C72"/>
    <w:rsid w:val="008D5368"/>
    <w:rsid w:val="008D561B"/>
    <w:rsid w:val="008D582B"/>
    <w:rsid w:val="008D5CF9"/>
    <w:rsid w:val="008D5D0A"/>
    <w:rsid w:val="008D6794"/>
    <w:rsid w:val="008D7F65"/>
    <w:rsid w:val="008E0178"/>
    <w:rsid w:val="008E02F8"/>
    <w:rsid w:val="008E12AF"/>
    <w:rsid w:val="008E1DC9"/>
    <w:rsid w:val="008E211C"/>
    <w:rsid w:val="008E2BB3"/>
    <w:rsid w:val="008E2BC5"/>
    <w:rsid w:val="008E2C79"/>
    <w:rsid w:val="008E3176"/>
    <w:rsid w:val="008E3564"/>
    <w:rsid w:val="008E3A0B"/>
    <w:rsid w:val="008E3A90"/>
    <w:rsid w:val="008E3AAB"/>
    <w:rsid w:val="008E4043"/>
    <w:rsid w:val="008E4520"/>
    <w:rsid w:val="008E54E8"/>
    <w:rsid w:val="008E5740"/>
    <w:rsid w:val="008E5868"/>
    <w:rsid w:val="008E5DC8"/>
    <w:rsid w:val="008E6465"/>
    <w:rsid w:val="008E6C57"/>
    <w:rsid w:val="008E7082"/>
    <w:rsid w:val="008E72AF"/>
    <w:rsid w:val="008F0952"/>
    <w:rsid w:val="008F1154"/>
    <w:rsid w:val="008F1B84"/>
    <w:rsid w:val="008F1B9D"/>
    <w:rsid w:val="008F1DB6"/>
    <w:rsid w:val="008F39C0"/>
    <w:rsid w:val="008F57CD"/>
    <w:rsid w:val="008F5960"/>
    <w:rsid w:val="008F5CD0"/>
    <w:rsid w:val="008F629A"/>
    <w:rsid w:val="008F6A9B"/>
    <w:rsid w:val="008F6F03"/>
    <w:rsid w:val="008F7603"/>
    <w:rsid w:val="008F769D"/>
    <w:rsid w:val="008F76DC"/>
    <w:rsid w:val="008F7D2F"/>
    <w:rsid w:val="009013C5"/>
    <w:rsid w:val="0090147B"/>
    <w:rsid w:val="00901649"/>
    <w:rsid w:val="009018A8"/>
    <w:rsid w:val="00901CBA"/>
    <w:rsid w:val="00901DC6"/>
    <w:rsid w:val="009021DC"/>
    <w:rsid w:val="00903026"/>
    <w:rsid w:val="0090357B"/>
    <w:rsid w:val="00903832"/>
    <w:rsid w:val="009044BE"/>
    <w:rsid w:val="009048EB"/>
    <w:rsid w:val="00904913"/>
    <w:rsid w:val="009050B3"/>
    <w:rsid w:val="00905945"/>
    <w:rsid w:val="00905FEB"/>
    <w:rsid w:val="00906252"/>
    <w:rsid w:val="0090672E"/>
    <w:rsid w:val="00906A4F"/>
    <w:rsid w:val="00906BD6"/>
    <w:rsid w:val="00907074"/>
    <w:rsid w:val="009073C7"/>
    <w:rsid w:val="009078BA"/>
    <w:rsid w:val="009079C7"/>
    <w:rsid w:val="009079F7"/>
    <w:rsid w:val="00907B44"/>
    <w:rsid w:val="00907C33"/>
    <w:rsid w:val="009108D2"/>
    <w:rsid w:val="00910C20"/>
    <w:rsid w:val="00910FE1"/>
    <w:rsid w:val="0091106A"/>
    <w:rsid w:val="00911D1C"/>
    <w:rsid w:val="00912F38"/>
    <w:rsid w:val="00913C58"/>
    <w:rsid w:val="009140B4"/>
    <w:rsid w:val="00914174"/>
    <w:rsid w:val="0091428A"/>
    <w:rsid w:val="00914733"/>
    <w:rsid w:val="00914AA5"/>
    <w:rsid w:val="009162DD"/>
    <w:rsid w:val="009163E7"/>
    <w:rsid w:val="0091671A"/>
    <w:rsid w:val="009169F6"/>
    <w:rsid w:val="0091711E"/>
    <w:rsid w:val="0091719D"/>
    <w:rsid w:val="00917903"/>
    <w:rsid w:val="00920189"/>
    <w:rsid w:val="00920997"/>
    <w:rsid w:val="00920B1E"/>
    <w:rsid w:val="00920DD5"/>
    <w:rsid w:val="00921161"/>
    <w:rsid w:val="00922492"/>
    <w:rsid w:val="009224EB"/>
    <w:rsid w:val="0092272F"/>
    <w:rsid w:val="00922BE2"/>
    <w:rsid w:val="00922EDE"/>
    <w:rsid w:val="009237D9"/>
    <w:rsid w:val="0092406C"/>
    <w:rsid w:val="00924096"/>
    <w:rsid w:val="009243BC"/>
    <w:rsid w:val="009244D5"/>
    <w:rsid w:val="009252F1"/>
    <w:rsid w:val="00925588"/>
    <w:rsid w:val="00925AF5"/>
    <w:rsid w:val="00926268"/>
    <w:rsid w:val="009264A2"/>
    <w:rsid w:val="0092715D"/>
    <w:rsid w:val="00930632"/>
    <w:rsid w:val="009310BC"/>
    <w:rsid w:val="00931D3F"/>
    <w:rsid w:val="009324C4"/>
    <w:rsid w:val="00932671"/>
    <w:rsid w:val="00932A7A"/>
    <w:rsid w:val="009330BF"/>
    <w:rsid w:val="00933817"/>
    <w:rsid w:val="00934510"/>
    <w:rsid w:val="0093476C"/>
    <w:rsid w:val="00935A1E"/>
    <w:rsid w:val="00935AA3"/>
    <w:rsid w:val="00935B7C"/>
    <w:rsid w:val="00935E3A"/>
    <w:rsid w:val="00936005"/>
    <w:rsid w:val="0093607C"/>
    <w:rsid w:val="00940008"/>
    <w:rsid w:val="00940FFA"/>
    <w:rsid w:val="00941503"/>
    <w:rsid w:val="0094187D"/>
    <w:rsid w:val="009423ED"/>
    <w:rsid w:val="00942C90"/>
    <w:rsid w:val="00942F29"/>
    <w:rsid w:val="00942FB6"/>
    <w:rsid w:val="009434EB"/>
    <w:rsid w:val="00943EA6"/>
    <w:rsid w:val="009448F2"/>
    <w:rsid w:val="0094524B"/>
    <w:rsid w:val="009456E3"/>
    <w:rsid w:val="00945759"/>
    <w:rsid w:val="009466E9"/>
    <w:rsid w:val="00946CB3"/>
    <w:rsid w:val="00946D20"/>
    <w:rsid w:val="00946E51"/>
    <w:rsid w:val="009473F4"/>
    <w:rsid w:val="0094767D"/>
    <w:rsid w:val="00950231"/>
    <w:rsid w:val="00950794"/>
    <w:rsid w:val="009507AA"/>
    <w:rsid w:val="009509EF"/>
    <w:rsid w:val="009515CA"/>
    <w:rsid w:val="00951691"/>
    <w:rsid w:val="00951FCE"/>
    <w:rsid w:val="009521CC"/>
    <w:rsid w:val="0095226C"/>
    <w:rsid w:val="00952C05"/>
    <w:rsid w:val="00952D52"/>
    <w:rsid w:val="009540B7"/>
    <w:rsid w:val="009543D0"/>
    <w:rsid w:val="00954AF9"/>
    <w:rsid w:val="00954DAE"/>
    <w:rsid w:val="00955410"/>
    <w:rsid w:val="009558EE"/>
    <w:rsid w:val="009559D5"/>
    <w:rsid w:val="00955C17"/>
    <w:rsid w:val="00955FFA"/>
    <w:rsid w:val="00956170"/>
    <w:rsid w:val="00956BA1"/>
    <w:rsid w:val="00956D42"/>
    <w:rsid w:val="00956F0F"/>
    <w:rsid w:val="0095727F"/>
    <w:rsid w:val="009572AF"/>
    <w:rsid w:val="00957E41"/>
    <w:rsid w:val="0096023A"/>
    <w:rsid w:val="009607AB"/>
    <w:rsid w:val="009615DB"/>
    <w:rsid w:val="00962683"/>
    <w:rsid w:val="00962E23"/>
    <w:rsid w:val="0096487C"/>
    <w:rsid w:val="00964BC2"/>
    <w:rsid w:val="00964D4A"/>
    <w:rsid w:val="00964EAE"/>
    <w:rsid w:val="00965023"/>
    <w:rsid w:val="009650B7"/>
    <w:rsid w:val="0096515D"/>
    <w:rsid w:val="00965841"/>
    <w:rsid w:val="009658B8"/>
    <w:rsid w:val="00966623"/>
    <w:rsid w:val="009678DB"/>
    <w:rsid w:val="00970728"/>
    <w:rsid w:val="009707C9"/>
    <w:rsid w:val="00971E0B"/>
    <w:rsid w:val="00972101"/>
    <w:rsid w:val="00972FB5"/>
    <w:rsid w:val="009736FE"/>
    <w:rsid w:val="00973B96"/>
    <w:rsid w:val="00973E3C"/>
    <w:rsid w:val="00974763"/>
    <w:rsid w:val="009757CA"/>
    <w:rsid w:val="00976E76"/>
    <w:rsid w:val="00977A14"/>
    <w:rsid w:val="00977E9B"/>
    <w:rsid w:val="009807BF"/>
    <w:rsid w:val="009809CE"/>
    <w:rsid w:val="0098131F"/>
    <w:rsid w:val="00981479"/>
    <w:rsid w:val="00981F74"/>
    <w:rsid w:val="00982119"/>
    <w:rsid w:val="009829B3"/>
    <w:rsid w:val="00982C31"/>
    <w:rsid w:val="00982D45"/>
    <w:rsid w:val="00983165"/>
    <w:rsid w:val="00983343"/>
    <w:rsid w:val="009833C4"/>
    <w:rsid w:val="009834E0"/>
    <w:rsid w:val="009838FF"/>
    <w:rsid w:val="00984149"/>
    <w:rsid w:val="00984788"/>
    <w:rsid w:val="00984909"/>
    <w:rsid w:val="00984FF3"/>
    <w:rsid w:val="00984FF9"/>
    <w:rsid w:val="009850C5"/>
    <w:rsid w:val="00986326"/>
    <w:rsid w:val="00986849"/>
    <w:rsid w:val="00986BB7"/>
    <w:rsid w:val="00986D4B"/>
    <w:rsid w:val="00986F6D"/>
    <w:rsid w:val="0098727C"/>
    <w:rsid w:val="00987708"/>
    <w:rsid w:val="00987DF0"/>
    <w:rsid w:val="00987E2E"/>
    <w:rsid w:val="0099008B"/>
    <w:rsid w:val="0099177B"/>
    <w:rsid w:val="00991B8C"/>
    <w:rsid w:val="0099367E"/>
    <w:rsid w:val="00993FE4"/>
    <w:rsid w:val="0099425E"/>
    <w:rsid w:val="00994CDC"/>
    <w:rsid w:val="009969CD"/>
    <w:rsid w:val="0099770A"/>
    <w:rsid w:val="00997769"/>
    <w:rsid w:val="00997A2E"/>
    <w:rsid w:val="009A048E"/>
    <w:rsid w:val="009A119F"/>
    <w:rsid w:val="009A1609"/>
    <w:rsid w:val="009A16A3"/>
    <w:rsid w:val="009A1A7E"/>
    <w:rsid w:val="009A3480"/>
    <w:rsid w:val="009A3DB8"/>
    <w:rsid w:val="009A43B3"/>
    <w:rsid w:val="009A464D"/>
    <w:rsid w:val="009A496F"/>
    <w:rsid w:val="009A4B78"/>
    <w:rsid w:val="009A4D73"/>
    <w:rsid w:val="009A4E41"/>
    <w:rsid w:val="009A5297"/>
    <w:rsid w:val="009A5851"/>
    <w:rsid w:val="009A5D40"/>
    <w:rsid w:val="009A5E10"/>
    <w:rsid w:val="009A6665"/>
    <w:rsid w:val="009A743F"/>
    <w:rsid w:val="009A74F7"/>
    <w:rsid w:val="009B00F2"/>
    <w:rsid w:val="009B0FB2"/>
    <w:rsid w:val="009B1113"/>
    <w:rsid w:val="009B1C34"/>
    <w:rsid w:val="009B1D22"/>
    <w:rsid w:val="009B1E86"/>
    <w:rsid w:val="009B27C4"/>
    <w:rsid w:val="009B2D92"/>
    <w:rsid w:val="009B31DE"/>
    <w:rsid w:val="009B3250"/>
    <w:rsid w:val="009B42D2"/>
    <w:rsid w:val="009B4A06"/>
    <w:rsid w:val="009B60EA"/>
    <w:rsid w:val="009B70C8"/>
    <w:rsid w:val="009B737C"/>
    <w:rsid w:val="009B742E"/>
    <w:rsid w:val="009C0AC6"/>
    <w:rsid w:val="009C11B2"/>
    <w:rsid w:val="009C1456"/>
    <w:rsid w:val="009C164F"/>
    <w:rsid w:val="009C1C30"/>
    <w:rsid w:val="009C22DD"/>
    <w:rsid w:val="009C29D5"/>
    <w:rsid w:val="009C30A0"/>
    <w:rsid w:val="009C359E"/>
    <w:rsid w:val="009C37FE"/>
    <w:rsid w:val="009C4082"/>
    <w:rsid w:val="009C4A38"/>
    <w:rsid w:val="009C4A72"/>
    <w:rsid w:val="009C4AD8"/>
    <w:rsid w:val="009C4D3D"/>
    <w:rsid w:val="009C55E2"/>
    <w:rsid w:val="009C5A4E"/>
    <w:rsid w:val="009C5EE5"/>
    <w:rsid w:val="009C61E3"/>
    <w:rsid w:val="009C6B56"/>
    <w:rsid w:val="009C7DB8"/>
    <w:rsid w:val="009C7FF0"/>
    <w:rsid w:val="009D010D"/>
    <w:rsid w:val="009D0244"/>
    <w:rsid w:val="009D0F71"/>
    <w:rsid w:val="009D111C"/>
    <w:rsid w:val="009D17A0"/>
    <w:rsid w:val="009D1F7A"/>
    <w:rsid w:val="009D2873"/>
    <w:rsid w:val="009D2942"/>
    <w:rsid w:val="009D3A1A"/>
    <w:rsid w:val="009D426A"/>
    <w:rsid w:val="009D5BDB"/>
    <w:rsid w:val="009D6B03"/>
    <w:rsid w:val="009D6B3D"/>
    <w:rsid w:val="009D7422"/>
    <w:rsid w:val="009D78E7"/>
    <w:rsid w:val="009E0742"/>
    <w:rsid w:val="009E1291"/>
    <w:rsid w:val="009E12BC"/>
    <w:rsid w:val="009E224D"/>
    <w:rsid w:val="009E26D5"/>
    <w:rsid w:val="009E2A07"/>
    <w:rsid w:val="009E3398"/>
    <w:rsid w:val="009E3577"/>
    <w:rsid w:val="009E3D2B"/>
    <w:rsid w:val="009E3E84"/>
    <w:rsid w:val="009E4097"/>
    <w:rsid w:val="009E4664"/>
    <w:rsid w:val="009E4D8E"/>
    <w:rsid w:val="009E4E90"/>
    <w:rsid w:val="009E4EB7"/>
    <w:rsid w:val="009E57C1"/>
    <w:rsid w:val="009E624A"/>
    <w:rsid w:val="009E6B32"/>
    <w:rsid w:val="009E70F3"/>
    <w:rsid w:val="009E7E98"/>
    <w:rsid w:val="009F00EE"/>
    <w:rsid w:val="009F0827"/>
    <w:rsid w:val="009F0BED"/>
    <w:rsid w:val="009F1673"/>
    <w:rsid w:val="009F3255"/>
    <w:rsid w:val="009F34AA"/>
    <w:rsid w:val="009F3DCE"/>
    <w:rsid w:val="009F44FF"/>
    <w:rsid w:val="009F46E8"/>
    <w:rsid w:val="009F472D"/>
    <w:rsid w:val="009F4CF0"/>
    <w:rsid w:val="009F4E88"/>
    <w:rsid w:val="009F50D1"/>
    <w:rsid w:val="009F573B"/>
    <w:rsid w:val="009F5918"/>
    <w:rsid w:val="009F596D"/>
    <w:rsid w:val="009F6A91"/>
    <w:rsid w:val="009F71A6"/>
    <w:rsid w:val="009F71AA"/>
    <w:rsid w:val="009F754A"/>
    <w:rsid w:val="009F791F"/>
    <w:rsid w:val="009F7F86"/>
    <w:rsid w:val="00A0034D"/>
    <w:rsid w:val="00A00BFB"/>
    <w:rsid w:val="00A00DCF"/>
    <w:rsid w:val="00A0126C"/>
    <w:rsid w:val="00A012DA"/>
    <w:rsid w:val="00A0187E"/>
    <w:rsid w:val="00A026F0"/>
    <w:rsid w:val="00A02F2D"/>
    <w:rsid w:val="00A02F61"/>
    <w:rsid w:val="00A03E0E"/>
    <w:rsid w:val="00A040D1"/>
    <w:rsid w:val="00A04A0A"/>
    <w:rsid w:val="00A050A8"/>
    <w:rsid w:val="00A056A3"/>
    <w:rsid w:val="00A05B51"/>
    <w:rsid w:val="00A06286"/>
    <w:rsid w:val="00A06318"/>
    <w:rsid w:val="00A063BC"/>
    <w:rsid w:val="00A068E1"/>
    <w:rsid w:val="00A06A80"/>
    <w:rsid w:val="00A06D8A"/>
    <w:rsid w:val="00A0711F"/>
    <w:rsid w:val="00A07B0B"/>
    <w:rsid w:val="00A102A0"/>
    <w:rsid w:val="00A10860"/>
    <w:rsid w:val="00A114FA"/>
    <w:rsid w:val="00A11AF3"/>
    <w:rsid w:val="00A12C09"/>
    <w:rsid w:val="00A13084"/>
    <w:rsid w:val="00A1327F"/>
    <w:rsid w:val="00A13817"/>
    <w:rsid w:val="00A138D3"/>
    <w:rsid w:val="00A13E0F"/>
    <w:rsid w:val="00A144B7"/>
    <w:rsid w:val="00A149B4"/>
    <w:rsid w:val="00A15F4F"/>
    <w:rsid w:val="00A160AB"/>
    <w:rsid w:val="00A16745"/>
    <w:rsid w:val="00A16747"/>
    <w:rsid w:val="00A17E93"/>
    <w:rsid w:val="00A20013"/>
    <w:rsid w:val="00A20582"/>
    <w:rsid w:val="00A20C65"/>
    <w:rsid w:val="00A21767"/>
    <w:rsid w:val="00A21FD5"/>
    <w:rsid w:val="00A22751"/>
    <w:rsid w:val="00A22940"/>
    <w:rsid w:val="00A23102"/>
    <w:rsid w:val="00A2343F"/>
    <w:rsid w:val="00A23505"/>
    <w:rsid w:val="00A2428B"/>
    <w:rsid w:val="00A247E5"/>
    <w:rsid w:val="00A248BD"/>
    <w:rsid w:val="00A24D81"/>
    <w:rsid w:val="00A24EA5"/>
    <w:rsid w:val="00A25173"/>
    <w:rsid w:val="00A252F0"/>
    <w:rsid w:val="00A259F2"/>
    <w:rsid w:val="00A26463"/>
    <w:rsid w:val="00A2660E"/>
    <w:rsid w:val="00A26916"/>
    <w:rsid w:val="00A26B47"/>
    <w:rsid w:val="00A26FF1"/>
    <w:rsid w:val="00A27806"/>
    <w:rsid w:val="00A3068C"/>
    <w:rsid w:val="00A3127F"/>
    <w:rsid w:val="00A31922"/>
    <w:rsid w:val="00A31BCC"/>
    <w:rsid w:val="00A31C70"/>
    <w:rsid w:val="00A325BB"/>
    <w:rsid w:val="00A3297A"/>
    <w:rsid w:val="00A32A58"/>
    <w:rsid w:val="00A32EEC"/>
    <w:rsid w:val="00A336C5"/>
    <w:rsid w:val="00A3510A"/>
    <w:rsid w:val="00A3515F"/>
    <w:rsid w:val="00A35751"/>
    <w:rsid w:val="00A3577F"/>
    <w:rsid w:val="00A35BBC"/>
    <w:rsid w:val="00A35DAB"/>
    <w:rsid w:val="00A36724"/>
    <w:rsid w:val="00A367AF"/>
    <w:rsid w:val="00A36C13"/>
    <w:rsid w:val="00A377C2"/>
    <w:rsid w:val="00A37A31"/>
    <w:rsid w:val="00A40B1F"/>
    <w:rsid w:val="00A40B4D"/>
    <w:rsid w:val="00A411E2"/>
    <w:rsid w:val="00A41373"/>
    <w:rsid w:val="00A41638"/>
    <w:rsid w:val="00A41B15"/>
    <w:rsid w:val="00A4224E"/>
    <w:rsid w:val="00A4229F"/>
    <w:rsid w:val="00A428A9"/>
    <w:rsid w:val="00A42ACA"/>
    <w:rsid w:val="00A43AAB"/>
    <w:rsid w:val="00A43AFE"/>
    <w:rsid w:val="00A447E3"/>
    <w:rsid w:val="00A44AAD"/>
    <w:rsid w:val="00A44D3B"/>
    <w:rsid w:val="00A45280"/>
    <w:rsid w:val="00A45BF7"/>
    <w:rsid w:val="00A463B5"/>
    <w:rsid w:val="00A463BA"/>
    <w:rsid w:val="00A46675"/>
    <w:rsid w:val="00A471A3"/>
    <w:rsid w:val="00A47597"/>
    <w:rsid w:val="00A47E44"/>
    <w:rsid w:val="00A47F91"/>
    <w:rsid w:val="00A507D7"/>
    <w:rsid w:val="00A50A5C"/>
    <w:rsid w:val="00A50BE2"/>
    <w:rsid w:val="00A50CC6"/>
    <w:rsid w:val="00A50E40"/>
    <w:rsid w:val="00A51462"/>
    <w:rsid w:val="00A51946"/>
    <w:rsid w:val="00A51FF7"/>
    <w:rsid w:val="00A52079"/>
    <w:rsid w:val="00A52143"/>
    <w:rsid w:val="00A521E9"/>
    <w:rsid w:val="00A5298E"/>
    <w:rsid w:val="00A52B3E"/>
    <w:rsid w:val="00A5313B"/>
    <w:rsid w:val="00A5320E"/>
    <w:rsid w:val="00A53F7B"/>
    <w:rsid w:val="00A54090"/>
    <w:rsid w:val="00A54282"/>
    <w:rsid w:val="00A549D3"/>
    <w:rsid w:val="00A54DF0"/>
    <w:rsid w:val="00A57E98"/>
    <w:rsid w:val="00A60849"/>
    <w:rsid w:val="00A6105B"/>
    <w:rsid w:val="00A61355"/>
    <w:rsid w:val="00A61668"/>
    <w:rsid w:val="00A621D3"/>
    <w:rsid w:val="00A628F8"/>
    <w:rsid w:val="00A62B7A"/>
    <w:rsid w:val="00A632EA"/>
    <w:rsid w:val="00A634BE"/>
    <w:rsid w:val="00A63AD7"/>
    <w:rsid w:val="00A63BFD"/>
    <w:rsid w:val="00A6491F"/>
    <w:rsid w:val="00A64C72"/>
    <w:rsid w:val="00A64D1A"/>
    <w:rsid w:val="00A65320"/>
    <w:rsid w:val="00A65BA5"/>
    <w:rsid w:val="00A66354"/>
    <w:rsid w:val="00A66E37"/>
    <w:rsid w:val="00A66ECF"/>
    <w:rsid w:val="00A67E38"/>
    <w:rsid w:val="00A703E4"/>
    <w:rsid w:val="00A704C9"/>
    <w:rsid w:val="00A70DC6"/>
    <w:rsid w:val="00A71080"/>
    <w:rsid w:val="00A71986"/>
    <w:rsid w:val="00A71E73"/>
    <w:rsid w:val="00A72740"/>
    <w:rsid w:val="00A73A64"/>
    <w:rsid w:val="00A742AD"/>
    <w:rsid w:val="00A746D7"/>
    <w:rsid w:val="00A74AB2"/>
    <w:rsid w:val="00A75A27"/>
    <w:rsid w:val="00A75A46"/>
    <w:rsid w:val="00A75B36"/>
    <w:rsid w:val="00A7663A"/>
    <w:rsid w:val="00A7696B"/>
    <w:rsid w:val="00A769D4"/>
    <w:rsid w:val="00A804C7"/>
    <w:rsid w:val="00A80857"/>
    <w:rsid w:val="00A80A39"/>
    <w:rsid w:val="00A80DF0"/>
    <w:rsid w:val="00A80E64"/>
    <w:rsid w:val="00A81A16"/>
    <w:rsid w:val="00A823A7"/>
    <w:rsid w:val="00A825C8"/>
    <w:rsid w:val="00A82742"/>
    <w:rsid w:val="00A83984"/>
    <w:rsid w:val="00A83A1E"/>
    <w:rsid w:val="00A84198"/>
    <w:rsid w:val="00A841AB"/>
    <w:rsid w:val="00A84FFD"/>
    <w:rsid w:val="00A86104"/>
    <w:rsid w:val="00A8655A"/>
    <w:rsid w:val="00A87203"/>
    <w:rsid w:val="00A87744"/>
    <w:rsid w:val="00A87AE6"/>
    <w:rsid w:val="00A87B09"/>
    <w:rsid w:val="00A87C22"/>
    <w:rsid w:val="00A90590"/>
    <w:rsid w:val="00A90A97"/>
    <w:rsid w:val="00A90CB4"/>
    <w:rsid w:val="00A910DA"/>
    <w:rsid w:val="00A920E1"/>
    <w:rsid w:val="00A933AE"/>
    <w:rsid w:val="00A93863"/>
    <w:rsid w:val="00A9415E"/>
    <w:rsid w:val="00A9423F"/>
    <w:rsid w:val="00A94EBD"/>
    <w:rsid w:val="00A9510D"/>
    <w:rsid w:val="00A956AC"/>
    <w:rsid w:val="00A95D2A"/>
    <w:rsid w:val="00A96214"/>
    <w:rsid w:val="00A967E8"/>
    <w:rsid w:val="00A97F4B"/>
    <w:rsid w:val="00AA04C5"/>
    <w:rsid w:val="00AA10B1"/>
    <w:rsid w:val="00AA2803"/>
    <w:rsid w:val="00AA2BF2"/>
    <w:rsid w:val="00AA2D68"/>
    <w:rsid w:val="00AA2D6F"/>
    <w:rsid w:val="00AA3987"/>
    <w:rsid w:val="00AA3B68"/>
    <w:rsid w:val="00AA3E79"/>
    <w:rsid w:val="00AA4FB4"/>
    <w:rsid w:val="00AA5C0B"/>
    <w:rsid w:val="00AA5E3B"/>
    <w:rsid w:val="00AA63AD"/>
    <w:rsid w:val="00AA65B4"/>
    <w:rsid w:val="00AA745E"/>
    <w:rsid w:val="00AB04AB"/>
    <w:rsid w:val="00AB0733"/>
    <w:rsid w:val="00AB09D2"/>
    <w:rsid w:val="00AB0B64"/>
    <w:rsid w:val="00AB0C30"/>
    <w:rsid w:val="00AB176B"/>
    <w:rsid w:val="00AB37E6"/>
    <w:rsid w:val="00AB3DBA"/>
    <w:rsid w:val="00AB431C"/>
    <w:rsid w:val="00AB470E"/>
    <w:rsid w:val="00AB5A7E"/>
    <w:rsid w:val="00AB7538"/>
    <w:rsid w:val="00AB77F3"/>
    <w:rsid w:val="00AC0256"/>
    <w:rsid w:val="00AC0AAD"/>
    <w:rsid w:val="00AC1231"/>
    <w:rsid w:val="00AC1992"/>
    <w:rsid w:val="00AC1E14"/>
    <w:rsid w:val="00AC2CFA"/>
    <w:rsid w:val="00AC3263"/>
    <w:rsid w:val="00AC3E12"/>
    <w:rsid w:val="00AC406E"/>
    <w:rsid w:val="00AC430C"/>
    <w:rsid w:val="00AC4A6B"/>
    <w:rsid w:val="00AC4F23"/>
    <w:rsid w:val="00AC5C19"/>
    <w:rsid w:val="00AC60F0"/>
    <w:rsid w:val="00AC6657"/>
    <w:rsid w:val="00AC6D7A"/>
    <w:rsid w:val="00AC7363"/>
    <w:rsid w:val="00AC7401"/>
    <w:rsid w:val="00AC7901"/>
    <w:rsid w:val="00AC79F3"/>
    <w:rsid w:val="00AC7FDD"/>
    <w:rsid w:val="00AD0949"/>
    <w:rsid w:val="00AD0F1D"/>
    <w:rsid w:val="00AD1179"/>
    <w:rsid w:val="00AD1359"/>
    <w:rsid w:val="00AD19F0"/>
    <w:rsid w:val="00AD1FCE"/>
    <w:rsid w:val="00AD26E1"/>
    <w:rsid w:val="00AD29CC"/>
    <w:rsid w:val="00AD3268"/>
    <w:rsid w:val="00AD3DE2"/>
    <w:rsid w:val="00AD4261"/>
    <w:rsid w:val="00AD46F5"/>
    <w:rsid w:val="00AD51A3"/>
    <w:rsid w:val="00AD598B"/>
    <w:rsid w:val="00AD7154"/>
    <w:rsid w:val="00AD797D"/>
    <w:rsid w:val="00AD7E02"/>
    <w:rsid w:val="00AE0483"/>
    <w:rsid w:val="00AE08DD"/>
    <w:rsid w:val="00AE13BD"/>
    <w:rsid w:val="00AE1AF9"/>
    <w:rsid w:val="00AE1E60"/>
    <w:rsid w:val="00AE2068"/>
    <w:rsid w:val="00AE2258"/>
    <w:rsid w:val="00AE277E"/>
    <w:rsid w:val="00AE2A36"/>
    <w:rsid w:val="00AE2BC6"/>
    <w:rsid w:val="00AE3251"/>
    <w:rsid w:val="00AE3FE0"/>
    <w:rsid w:val="00AE5058"/>
    <w:rsid w:val="00AE51CD"/>
    <w:rsid w:val="00AE5471"/>
    <w:rsid w:val="00AE54AA"/>
    <w:rsid w:val="00AE60E4"/>
    <w:rsid w:val="00AE6872"/>
    <w:rsid w:val="00AE6C58"/>
    <w:rsid w:val="00AE72C4"/>
    <w:rsid w:val="00AE7F05"/>
    <w:rsid w:val="00AE7F38"/>
    <w:rsid w:val="00AF054D"/>
    <w:rsid w:val="00AF0939"/>
    <w:rsid w:val="00AF24E7"/>
    <w:rsid w:val="00AF272B"/>
    <w:rsid w:val="00AF291B"/>
    <w:rsid w:val="00AF2DAA"/>
    <w:rsid w:val="00AF2EBD"/>
    <w:rsid w:val="00AF33AE"/>
    <w:rsid w:val="00AF44B1"/>
    <w:rsid w:val="00AF5800"/>
    <w:rsid w:val="00AF6986"/>
    <w:rsid w:val="00AF69FE"/>
    <w:rsid w:val="00AF6D1B"/>
    <w:rsid w:val="00AF73ED"/>
    <w:rsid w:val="00AF7D69"/>
    <w:rsid w:val="00AF7ED2"/>
    <w:rsid w:val="00B004D8"/>
    <w:rsid w:val="00B00830"/>
    <w:rsid w:val="00B00CC5"/>
    <w:rsid w:val="00B016D2"/>
    <w:rsid w:val="00B02091"/>
    <w:rsid w:val="00B02B43"/>
    <w:rsid w:val="00B03D36"/>
    <w:rsid w:val="00B04540"/>
    <w:rsid w:val="00B05116"/>
    <w:rsid w:val="00B051A7"/>
    <w:rsid w:val="00B05F1A"/>
    <w:rsid w:val="00B07B33"/>
    <w:rsid w:val="00B07FA2"/>
    <w:rsid w:val="00B100CF"/>
    <w:rsid w:val="00B10E82"/>
    <w:rsid w:val="00B111A6"/>
    <w:rsid w:val="00B115E5"/>
    <w:rsid w:val="00B118EE"/>
    <w:rsid w:val="00B11B03"/>
    <w:rsid w:val="00B11C5B"/>
    <w:rsid w:val="00B121CD"/>
    <w:rsid w:val="00B12343"/>
    <w:rsid w:val="00B12529"/>
    <w:rsid w:val="00B128C5"/>
    <w:rsid w:val="00B12B11"/>
    <w:rsid w:val="00B12C94"/>
    <w:rsid w:val="00B135AB"/>
    <w:rsid w:val="00B137BF"/>
    <w:rsid w:val="00B13A1B"/>
    <w:rsid w:val="00B13A76"/>
    <w:rsid w:val="00B142D9"/>
    <w:rsid w:val="00B14BC4"/>
    <w:rsid w:val="00B158A3"/>
    <w:rsid w:val="00B15B25"/>
    <w:rsid w:val="00B15C36"/>
    <w:rsid w:val="00B15EA0"/>
    <w:rsid w:val="00B16CBD"/>
    <w:rsid w:val="00B17A4E"/>
    <w:rsid w:val="00B17B30"/>
    <w:rsid w:val="00B17C2F"/>
    <w:rsid w:val="00B2153E"/>
    <w:rsid w:val="00B21FA7"/>
    <w:rsid w:val="00B22022"/>
    <w:rsid w:val="00B225E4"/>
    <w:rsid w:val="00B23F7A"/>
    <w:rsid w:val="00B240B1"/>
    <w:rsid w:val="00B24208"/>
    <w:rsid w:val="00B24728"/>
    <w:rsid w:val="00B248A9"/>
    <w:rsid w:val="00B24D28"/>
    <w:rsid w:val="00B24F1C"/>
    <w:rsid w:val="00B25D76"/>
    <w:rsid w:val="00B27032"/>
    <w:rsid w:val="00B30003"/>
    <w:rsid w:val="00B31201"/>
    <w:rsid w:val="00B31B4B"/>
    <w:rsid w:val="00B31E36"/>
    <w:rsid w:val="00B32E26"/>
    <w:rsid w:val="00B338B7"/>
    <w:rsid w:val="00B34061"/>
    <w:rsid w:val="00B34376"/>
    <w:rsid w:val="00B3440A"/>
    <w:rsid w:val="00B34441"/>
    <w:rsid w:val="00B35534"/>
    <w:rsid w:val="00B35A87"/>
    <w:rsid w:val="00B35AFD"/>
    <w:rsid w:val="00B35F9A"/>
    <w:rsid w:val="00B36236"/>
    <w:rsid w:val="00B3662E"/>
    <w:rsid w:val="00B366D2"/>
    <w:rsid w:val="00B366FA"/>
    <w:rsid w:val="00B36E86"/>
    <w:rsid w:val="00B379BA"/>
    <w:rsid w:val="00B412FD"/>
    <w:rsid w:val="00B422BE"/>
    <w:rsid w:val="00B4241D"/>
    <w:rsid w:val="00B426BB"/>
    <w:rsid w:val="00B42EB9"/>
    <w:rsid w:val="00B441FE"/>
    <w:rsid w:val="00B44821"/>
    <w:rsid w:val="00B44AD3"/>
    <w:rsid w:val="00B45152"/>
    <w:rsid w:val="00B45E54"/>
    <w:rsid w:val="00B464E4"/>
    <w:rsid w:val="00B4689A"/>
    <w:rsid w:val="00B46D5F"/>
    <w:rsid w:val="00B46E7B"/>
    <w:rsid w:val="00B47DC5"/>
    <w:rsid w:val="00B505B3"/>
    <w:rsid w:val="00B50882"/>
    <w:rsid w:val="00B50A74"/>
    <w:rsid w:val="00B520A0"/>
    <w:rsid w:val="00B5257E"/>
    <w:rsid w:val="00B525CE"/>
    <w:rsid w:val="00B52CFD"/>
    <w:rsid w:val="00B545A8"/>
    <w:rsid w:val="00B56527"/>
    <w:rsid w:val="00B576DA"/>
    <w:rsid w:val="00B57710"/>
    <w:rsid w:val="00B601C9"/>
    <w:rsid w:val="00B60D04"/>
    <w:rsid w:val="00B61EE8"/>
    <w:rsid w:val="00B633A3"/>
    <w:rsid w:val="00B63533"/>
    <w:rsid w:val="00B63BDB"/>
    <w:rsid w:val="00B64A0E"/>
    <w:rsid w:val="00B64DDF"/>
    <w:rsid w:val="00B6601E"/>
    <w:rsid w:val="00B663AA"/>
    <w:rsid w:val="00B66DD5"/>
    <w:rsid w:val="00B67722"/>
    <w:rsid w:val="00B67B97"/>
    <w:rsid w:val="00B67F01"/>
    <w:rsid w:val="00B711AB"/>
    <w:rsid w:val="00B714F0"/>
    <w:rsid w:val="00B71A40"/>
    <w:rsid w:val="00B71C8C"/>
    <w:rsid w:val="00B71CB4"/>
    <w:rsid w:val="00B71FD7"/>
    <w:rsid w:val="00B725E7"/>
    <w:rsid w:val="00B72C07"/>
    <w:rsid w:val="00B72DF7"/>
    <w:rsid w:val="00B72F42"/>
    <w:rsid w:val="00B73E44"/>
    <w:rsid w:val="00B74290"/>
    <w:rsid w:val="00B74510"/>
    <w:rsid w:val="00B74BD4"/>
    <w:rsid w:val="00B74BF7"/>
    <w:rsid w:val="00B76185"/>
    <w:rsid w:val="00B76BCD"/>
    <w:rsid w:val="00B779E6"/>
    <w:rsid w:val="00B804E2"/>
    <w:rsid w:val="00B811B2"/>
    <w:rsid w:val="00B8276E"/>
    <w:rsid w:val="00B83A62"/>
    <w:rsid w:val="00B83B59"/>
    <w:rsid w:val="00B84252"/>
    <w:rsid w:val="00B845B2"/>
    <w:rsid w:val="00B8468F"/>
    <w:rsid w:val="00B84FC6"/>
    <w:rsid w:val="00B857F5"/>
    <w:rsid w:val="00B86D6C"/>
    <w:rsid w:val="00B86F47"/>
    <w:rsid w:val="00B874B4"/>
    <w:rsid w:val="00B8787A"/>
    <w:rsid w:val="00B87887"/>
    <w:rsid w:val="00B90123"/>
    <w:rsid w:val="00B90196"/>
    <w:rsid w:val="00B911C1"/>
    <w:rsid w:val="00B922C3"/>
    <w:rsid w:val="00B9272E"/>
    <w:rsid w:val="00B927A7"/>
    <w:rsid w:val="00B92B9E"/>
    <w:rsid w:val="00B93315"/>
    <w:rsid w:val="00B93519"/>
    <w:rsid w:val="00B9372A"/>
    <w:rsid w:val="00B9425C"/>
    <w:rsid w:val="00B94AAF"/>
    <w:rsid w:val="00B953FF"/>
    <w:rsid w:val="00B9622D"/>
    <w:rsid w:val="00B96263"/>
    <w:rsid w:val="00B968A5"/>
    <w:rsid w:val="00B972CD"/>
    <w:rsid w:val="00B97D02"/>
    <w:rsid w:val="00BA0304"/>
    <w:rsid w:val="00BA0557"/>
    <w:rsid w:val="00BA3038"/>
    <w:rsid w:val="00BA370A"/>
    <w:rsid w:val="00BA48BC"/>
    <w:rsid w:val="00BA4A29"/>
    <w:rsid w:val="00BA4BE7"/>
    <w:rsid w:val="00BA5F20"/>
    <w:rsid w:val="00BA68D9"/>
    <w:rsid w:val="00BA7172"/>
    <w:rsid w:val="00BA7B01"/>
    <w:rsid w:val="00BB02D7"/>
    <w:rsid w:val="00BB0D9F"/>
    <w:rsid w:val="00BB0DEE"/>
    <w:rsid w:val="00BB1031"/>
    <w:rsid w:val="00BB1B33"/>
    <w:rsid w:val="00BB2480"/>
    <w:rsid w:val="00BB2C4E"/>
    <w:rsid w:val="00BB2E29"/>
    <w:rsid w:val="00BB2F74"/>
    <w:rsid w:val="00BB3206"/>
    <w:rsid w:val="00BB32C2"/>
    <w:rsid w:val="00BB3B0D"/>
    <w:rsid w:val="00BB524C"/>
    <w:rsid w:val="00BB5DAB"/>
    <w:rsid w:val="00BB6195"/>
    <w:rsid w:val="00BB61A3"/>
    <w:rsid w:val="00BB707E"/>
    <w:rsid w:val="00BB7568"/>
    <w:rsid w:val="00BC007C"/>
    <w:rsid w:val="00BC0986"/>
    <w:rsid w:val="00BC0AB2"/>
    <w:rsid w:val="00BC1308"/>
    <w:rsid w:val="00BC1BF4"/>
    <w:rsid w:val="00BC2600"/>
    <w:rsid w:val="00BC2F24"/>
    <w:rsid w:val="00BC33BE"/>
    <w:rsid w:val="00BC3A47"/>
    <w:rsid w:val="00BC3EEB"/>
    <w:rsid w:val="00BC4780"/>
    <w:rsid w:val="00BC52C8"/>
    <w:rsid w:val="00BC5485"/>
    <w:rsid w:val="00BC549C"/>
    <w:rsid w:val="00BC570E"/>
    <w:rsid w:val="00BC5A6C"/>
    <w:rsid w:val="00BC5AF6"/>
    <w:rsid w:val="00BC5B4B"/>
    <w:rsid w:val="00BC5EDB"/>
    <w:rsid w:val="00BC69A2"/>
    <w:rsid w:val="00BC6ED6"/>
    <w:rsid w:val="00BC6F03"/>
    <w:rsid w:val="00BC6FA1"/>
    <w:rsid w:val="00BC7487"/>
    <w:rsid w:val="00BD0570"/>
    <w:rsid w:val="00BD0853"/>
    <w:rsid w:val="00BD112D"/>
    <w:rsid w:val="00BD214E"/>
    <w:rsid w:val="00BD2395"/>
    <w:rsid w:val="00BD25B8"/>
    <w:rsid w:val="00BD2842"/>
    <w:rsid w:val="00BD3120"/>
    <w:rsid w:val="00BD3354"/>
    <w:rsid w:val="00BD384E"/>
    <w:rsid w:val="00BD3E76"/>
    <w:rsid w:val="00BD3EE2"/>
    <w:rsid w:val="00BD3FCF"/>
    <w:rsid w:val="00BD42D2"/>
    <w:rsid w:val="00BD47D7"/>
    <w:rsid w:val="00BD4EFB"/>
    <w:rsid w:val="00BD5076"/>
    <w:rsid w:val="00BD5551"/>
    <w:rsid w:val="00BD6D43"/>
    <w:rsid w:val="00BD7090"/>
    <w:rsid w:val="00BD7490"/>
    <w:rsid w:val="00BD767F"/>
    <w:rsid w:val="00BE09C3"/>
    <w:rsid w:val="00BE0C27"/>
    <w:rsid w:val="00BE15BB"/>
    <w:rsid w:val="00BE198F"/>
    <w:rsid w:val="00BE5964"/>
    <w:rsid w:val="00BE660B"/>
    <w:rsid w:val="00BE6AFE"/>
    <w:rsid w:val="00BE6BBE"/>
    <w:rsid w:val="00BE7021"/>
    <w:rsid w:val="00BE7300"/>
    <w:rsid w:val="00BE784F"/>
    <w:rsid w:val="00BF0238"/>
    <w:rsid w:val="00BF0717"/>
    <w:rsid w:val="00BF1750"/>
    <w:rsid w:val="00BF178E"/>
    <w:rsid w:val="00BF189F"/>
    <w:rsid w:val="00BF1B44"/>
    <w:rsid w:val="00BF1F01"/>
    <w:rsid w:val="00BF23CC"/>
    <w:rsid w:val="00BF243F"/>
    <w:rsid w:val="00BF4C2B"/>
    <w:rsid w:val="00BF507A"/>
    <w:rsid w:val="00BF53F1"/>
    <w:rsid w:val="00BF5717"/>
    <w:rsid w:val="00BF5B9D"/>
    <w:rsid w:val="00BF5FA3"/>
    <w:rsid w:val="00BF62F2"/>
    <w:rsid w:val="00BF63A5"/>
    <w:rsid w:val="00BF72A7"/>
    <w:rsid w:val="00BF7558"/>
    <w:rsid w:val="00C0111E"/>
    <w:rsid w:val="00C02676"/>
    <w:rsid w:val="00C029AB"/>
    <w:rsid w:val="00C02C81"/>
    <w:rsid w:val="00C03BD5"/>
    <w:rsid w:val="00C03C8B"/>
    <w:rsid w:val="00C03F3C"/>
    <w:rsid w:val="00C049BE"/>
    <w:rsid w:val="00C04A71"/>
    <w:rsid w:val="00C04DF0"/>
    <w:rsid w:val="00C05A4C"/>
    <w:rsid w:val="00C05A67"/>
    <w:rsid w:val="00C11113"/>
    <w:rsid w:val="00C11687"/>
    <w:rsid w:val="00C11E28"/>
    <w:rsid w:val="00C1225B"/>
    <w:rsid w:val="00C122F9"/>
    <w:rsid w:val="00C1253A"/>
    <w:rsid w:val="00C128C9"/>
    <w:rsid w:val="00C12CF3"/>
    <w:rsid w:val="00C12F88"/>
    <w:rsid w:val="00C131A8"/>
    <w:rsid w:val="00C1322D"/>
    <w:rsid w:val="00C135A3"/>
    <w:rsid w:val="00C1477A"/>
    <w:rsid w:val="00C14A62"/>
    <w:rsid w:val="00C158EB"/>
    <w:rsid w:val="00C159B1"/>
    <w:rsid w:val="00C161F5"/>
    <w:rsid w:val="00C16C92"/>
    <w:rsid w:val="00C1706B"/>
    <w:rsid w:val="00C17DB7"/>
    <w:rsid w:val="00C17E48"/>
    <w:rsid w:val="00C17F0B"/>
    <w:rsid w:val="00C201E7"/>
    <w:rsid w:val="00C20AA2"/>
    <w:rsid w:val="00C20B91"/>
    <w:rsid w:val="00C21155"/>
    <w:rsid w:val="00C2146C"/>
    <w:rsid w:val="00C214D7"/>
    <w:rsid w:val="00C21561"/>
    <w:rsid w:val="00C217EE"/>
    <w:rsid w:val="00C22784"/>
    <w:rsid w:val="00C23A4C"/>
    <w:rsid w:val="00C2419D"/>
    <w:rsid w:val="00C243A4"/>
    <w:rsid w:val="00C24416"/>
    <w:rsid w:val="00C248DB"/>
    <w:rsid w:val="00C26170"/>
    <w:rsid w:val="00C26B5A"/>
    <w:rsid w:val="00C26D52"/>
    <w:rsid w:val="00C27906"/>
    <w:rsid w:val="00C303E4"/>
    <w:rsid w:val="00C30775"/>
    <w:rsid w:val="00C30B8D"/>
    <w:rsid w:val="00C3134E"/>
    <w:rsid w:val="00C315D8"/>
    <w:rsid w:val="00C31C4A"/>
    <w:rsid w:val="00C31D2D"/>
    <w:rsid w:val="00C32639"/>
    <w:rsid w:val="00C32808"/>
    <w:rsid w:val="00C32AD2"/>
    <w:rsid w:val="00C33114"/>
    <w:rsid w:val="00C34193"/>
    <w:rsid w:val="00C347FD"/>
    <w:rsid w:val="00C34DAE"/>
    <w:rsid w:val="00C34E1E"/>
    <w:rsid w:val="00C34E5A"/>
    <w:rsid w:val="00C36219"/>
    <w:rsid w:val="00C3698E"/>
    <w:rsid w:val="00C36CCA"/>
    <w:rsid w:val="00C36E1C"/>
    <w:rsid w:val="00C36F42"/>
    <w:rsid w:val="00C3718A"/>
    <w:rsid w:val="00C379C5"/>
    <w:rsid w:val="00C37EEE"/>
    <w:rsid w:val="00C40453"/>
    <w:rsid w:val="00C40E71"/>
    <w:rsid w:val="00C41879"/>
    <w:rsid w:val="00C41A7C"/>
    <w:rsid w:val="00C42CEF"/>
    <w:rsid w:val="00C42D55"/>
    <w:rsid w:val="00C43080"/>
    <w:rsid w:val="00C4370E"/>
    <w:rsid w:val="00C43823"/>
    <w:rsid w:val="00C4384B"/>
    <w:rsid w:val="00C4393C"/>
    <w:rsid w:val="00C44068"/>
    <w:rsid w:val="00C442AE"/>
    <w:rsid w:val="00C4518B"/>
    <w:rsid w:val="00C45780"/>
    <w:rsid w:val="00C458D6"/>
    <w:rsid w:val="00C4655A"/>
    <w:rsid w:val="00C466BF"/>
    <w:rsid w:val="00C47385"/>
    <w:rsid w:val="00C47555"/>
    <w:rsid w:val="00C476AC"/>
    <w:rsid w:val="00C47E67"/>
    <w:rsid w:val="00C47FD9"/>
    <w:rsid w:val="00C50C1A"/>
    <w:rsid w:val="00C50E1E"/>
    <w:rsid w:val="00C51508"/>
    <w:rsid w:val="00C51D73"/>
    <w:rsid w:val="00C52A05"/>
    <w:rsid w:val="00C52E97"/>
    <w:rsid w:val="00C52EAF"/>
    <w:rsid w:val="00C53189"/>
    <w:rsid w:val="00C534E5"/>
    <w:rsid w:val="00C534F4"/>
    <w:rsid w:val="00C5375B"/>
    <w:rsid w:val="00C53B15"/>
    <w:rsid w:val="00C53DA9"/>
    <w:rsid w:val="00C53EF7"/>
    <w:rsid w:val="00C54280"/>
    <w:rsid w:val="00C54929"/>
    <w:rsid w:val="00C556B1"/>
    <w:rsid w:val="00C55A05"/>
    <w:rsid w:val="00C56101"/>
    <w:rsid w:val="00C565F2"/>
    <w:rsid w:val="00C567E3"/>
    <w:rsid w:val="00C56C45"/>
    <w:rsid w:val="00C573CC"/>
    <w:rsid w:val="00C57B81"/>
    <w:rsid w:val="00C57FB9"/>
    <w:rsid w:val="00C6077B"/>
    <w:rsid w:val="00C60950"/>
    <w:rsid w:val="00C60DD1"/>
    <w:rsid w:val="00C61565"/>
    <w:rsid w:val="00C61574"/>
    <w:rsid w:val="00C615B4"/>
    <w:rsid w:val="00C61763"/>
    <w:rsid w:val="00C61ACF"/>
    <w:rsid w:val="00C6211D"/>
    <w:rsid w:val="00C62B32"/>
    <w:rsid w:val="00C63DED"/>
    <w:rsid w:val="00C63E88"/>
    <w:rsid w:val="00C64F97"/>
    <w:rsid w:val="00C65585"/>
    <w:rsid w:val="00C656EB"/>
    <w:rsid w:val="00C65DF4"/>
    <w:rsid w:val="00C67B49"/>
    <w:rsid w:val="00C711F5"/>
    <w:rsid w:val="00C713A1"/>
    <w:rsid w:val="00C71828"/>
    <w:rsid w:val="00C72105"/>
    <w:rsid w:val="00C74520"/>
    <w:rsid w:val="00C74954"/>
    <w:rsid w:val="00C76028"/>
    <w:rsid w:val="00C76184"/>
    <w:rsid w:val="00C7673D"/>
    <w:rsid w:val="00C76A80"/>
    <w:rsid w:val="00C76C27"/>
    <w:rsid w:val="00C76F07"/>
    <w:rsid w:val="00C77EF6"/>
    <w:rsid w:val="00C80B4B"/>
    <w:rsid w:val="00C80D63"/>
    <w:rsid w:val="00C812D5"/>
    <w:rsid w:val="00C81BEA"/>
    <w:rsid w:val="00C81DF5"/>
    <w:rsid w:val="00C82188"/>
    <w:rsid w:val="00C8242B"/>
    <w:rsid w:val="00C82A50"/>
    <w:rsid w:val="00C83240"/>
    <w:rsid w:val="00C83381"/>
    <w:rsid w:val="00C83607"/>
    <w:rsid w:val="00C83768"/>
    <w:rsid w:val="00C83B18"/>
    <w:rsid w:val="00C840C3"/>
    <w:rsid w:val="00C841B4"/>
    <w:rsid w:val="00C84266"/>
    <w:rsid w:val="00C849E0"/>
    <w:rsid w:val="00C84B74"/>
    <w:rsid w:val="00C8512A"/>
    <w:rsid w:val="00C85970"/>
    <w:rsid w:val="00C85E9B"/>
    <w:rsid w:val="00C874C8"/>
    <w:rsid w:val="00C90165"/>
    <w:rsid w:val="00C90733"/>
    <w:rsid w:val="00C921C4"/>
    <w:rsid w:val="00C9235F"/>
    <w:rsid w:val="00C9257F"/>
    <w:rsid w:val="00C9319C"/>
    <w:rsid w:val="00C934F6"/>
    <w:rsid w:val="00C93874"/>
    <w:rsid w:val="00C93A4C"/>
    <w:rsid w:val="00C944EB"/>
    <w:rsid w:val="00C94FD2"/>
    <w:rsid w:val="00C95341"/>
    <w:rsid w:val="00C95B76"/>
    <w:rsid w:val="00C964C3"/>
    <w:rsid w:val="00C96635"/>
    <w:rsid w:val="00C966B7"/>
    <w:rsid w:val="00C969DB"/>
    <w:rsid w:val="00C97A4A"/>
    <w:rsid w:val="00C97DC9"/>
    <w:rsid w:val="00C97EE3"/>
    <w:rsid w:val="00CA042A"/>
    <w:rsid w:val="00CA12BA"/>
    <w:rsid w:val="00CA165C"/>
    <w:rsid w:val="00CA1C0D"/>
    <w:rsid w:val="00CA1DAE"/>
    <w:rsid w:val="00CA2267"/>
    <w:rsid w:val="00CA38AD"/>
    <w:rsid w:val="00CA3EEE"/>
    <w:rsid w:val="00CA5098"/>
    <w:rsid w:val="00CA5503"/>
    <w:rsid w:val="00CA613C"/>
    <w:rsid w:val="00CA66C3"/>
    <w:rsid w:val="00CA6CAD"/>
    <w:rsid w:val="00CA70A8"/>
    <w:rsid w:val="00CA70D0"/>
    <w:rsid w:val="00CA74A4"/>
    <w:rsid w:val="00CA7683"/>
    <w:rsid w:val="00CA7EA1"/>
    <w:rsid w:val="00CA7EEB"/>
    <w:rsid w:val="00CB009B"/>
    <w:rsid w:val="00CB0231"/>
    <w:rsid w:val="00CB0838"/>
    <w:rsid w:val="00CB1AFD"/>
    <w:rsid w:val="00CB1EB3"/>
    <w:rsid w:val="00CB2126"/>
    <w:rsid w:val="00CB24AD"/>
    <w:rsid w:val="00CB2C59"/>
    <w:rsid w:val="00CB2D9C"/>
    <w:rsid w:val="00CB34AB"/>
    <w:rsid w:val="00CB3529"/>
    <w:rsid w:val="00CB38A9"/>
    <w:rsid w:val="00CB4728"/>
    <w:rsid w:val="00CB59E7"/>
    <w:rsid w:val="00CB5D27"/>
    <w:rsid w:val="00CB5E4A"/>
    <w:rsid w:val="00CB6FCA"/>
    <w:rsid w:val="00CB724D"/>
    <w:rsid w:val="00CB73EA"/>
    <w:rsid w:val="00CB7D4E"/>
    <w:rsid w:val="00CC002B"/>
    <w:rsid w:val="00CC07E5"/>
    <w:rsid w:val="00CC09F0"/>
    <w:rsid w:val="00CC0C11"/>
    <w:rsid w:val="00CC1F52"/>
    <w:rsid w:val="00CC233F"/>
    <w:rsid w:val="00CC27FD"/>
    <w:rsid w:val="00CC31E8"/>
    <w:rsid w:val="00CC3AB9"/>
    <w:rsid w:val="00CC3C9E"/>
    <w:rsid w:val="00CC45E0"/>
    <w:rsid w:val="00CC4BBE"/>
    <w:rsid w:val="00CC4BC3"/>
    <w:rsid w:val="00CC50C7"/>
    <w:rsid w:val="00CC55AC"/>
    <w:rsid w:val="00CC5859"/>
    <w:rsid w:val="00CC6D1C"/>
    <w:rsid w:val="00CC71DD"/>
    <w:rsid w:val="00CC71F3"/>
    <w:rsid w:val="00CC72C0"/>
    <w:rsid w:val="00CC757D"/>
    <w:rsid w:val="00CC7C74"/>
    <w:rsid w:val="00CD00DB"/>
    <w:rsid w:val="00CD0119"/>
    <w:rsid w:val="00CD07FD"/>
    <w:rsid w:val="00CD0866"/>
    <w:rsid w:val="00CD1169"/>
    <w:rsid w:val="00CD16C7"/>
    <w:rsid w:val="00CD1A40"/>
    <w:rsid w:val="00CD1B33"/>
    <w:rsid w:val="00CD25F3"/>
    <w:rsid w:val="00CD27FF"/>
    <w:rsid w:val="00CD305C"/>
    <w:rsid w:val="00CD3A6D"/>
    <w:rsid w:val="00CD3E5A"/>
    <w:rsid w:val="00CD3E63"/>
    <w:rsid w:val="00CD40A3"/>
    <w:rsid w:val="00CD4CD3"/>
    <w:rsid w:val="00CD589F"/>
    <w:rsid w:val="00CD60C9"/>
    <w:rsid w:val="00CD6345"/>
    <w:rsid w:val="00CD6BBB"/>
    <w:rsid w:val="00CD7482"/>
    <w:rsid w:val="00CE07C1"/>
    <w:rsid w:val="00CE1567"/>
    <w:rsid w:val="00CE186F"/>
    <w:rsid w:val="00CE20E3"/>
    <w:rsid w:val="00CE273A"/>
    <w:rsid w:val="00CE321C"/>
    <w:rsid w:val="00CE32E8"/>
    <w:rsid w:val="00CE3700"/>
    <w:rsid w:val="00CE3B69"/>
    <w:rsid w:val="00CE4559"/>
    <w:rsid w:val="00CE5118"/>
    <w:rsid w:val="00CE5487"/>
    <w:rsid w:val="00CE59B5"/>
    <w:rsid w:val="00CE59DB"/>
    <w:rsid w:val="00CE5D3A"/>
    <w:rsid w:val="00CE67D8"/>
    <w:rsid w:val="00CE7381"/>
    <w:rsid w:val="00CE7447"/>
    <w:rsid w:val="00CE74CE"/>
    <w:rsid w:val="00CF0829"/>
    <w:rsid w:val="00CF0E74"/>
    <w:rsid w:val="00CF1833"/>
    <w:rsid w:val="00CF1AEA"/>
    <w:rsid w:val="00CF2091"/>
    <w:rsid w:val="00CF21F6"/>
    <w:rsid w:val="00CF2278"/>
    <w:rsid w:val="00CF2C62"/>
    <w:rsid w:val="00CF2F66"/>
    <w:rsid w:val="00CF337B"/>
    <w:rsid w:val="00CF3FE7"/>
    <w:rsid w:val="00CF4416"/>
    <w:rsid w:val="00CF5762"/>
    <w:rsid w:val="00CF65B4"/>
    <w:rsid w:val="00CF69B0"/>
    <w:rsid w:val="00CF6C05"/>
    <w:rsid w:val="00CF6E7F"/>
    <w:rsid w:val="00CF7485"/>
    <w:rsid w:val="00CF7E56"/>
    <w:rsid w:val="00D01744"/>
    <w:rsid w:val="00D01C03"/>
    <w:rsid w:val="00D025CE"/>
    <w:rsid w:val="00D02A0F"/>
    <w:rsid w:val="00D02CA6"/>
    <w:rsid w:val="00D02DF3"/>
    <w:rsid w:val="00D03181"/>
    <w:rsid w:val="00D037DC"/>
    <w:rsid w:val="00D0383B"/>
    <w:rsid w:val="00D03A8A"/>
    <w:rsid w:val="00D03DA5"/>
    <w:rsid w:val="00D03F27"/>
    <w:rsid w:val="00D043EE"/>
    <w:rsid w:val="00D0470D"/>
    <w:rsid w:val="00D05249"/>
    <w:rsid w:val="00D055CA"/>
    <w:rsid w:val="00D059FC"/>
    <w:rsid w:val="00D05DEF"/>
    <w:rsid w:val="00D06861"/>
    <w:rsid w:val="00D0688A"/>
    <w:rsid w:val="00D06F22"/>
    <w:rsid w:val="00D07A9C"/>
    <w:rsid w:val="00D10076"/>
    <w:rsid w:val="00D1033B"/>
    <w:rsid w:val="00D10477"/>
    <w:rsid w:val="00D107E2"/>
    <w:rsid w:val="00D11D76"/>
    <w:rsid w:val="00D121F5"/>
    <w:rsid w:val="00D126E4"/>
    <w:rsid w:val="00D131BF"/>
    <w:rsid w:val="00D13A90"/>
    <w:rsid w:val="00D140E6"/>
    <w:rsid w:val="00D158EF"/>
    <w:rsid w:val="00D15C14"/>
    <w:rsid w:val="00D15E74"/>
    <w:rsid w:val="00D15FAA"/>
    <w:rsid w:val="00D16CE6"/>
    <w:rsid w:val="00D16ECB"/>
    <w:rsid w:val="00D16EEE"/>
    <w:rsid w:val="00D17167"/>
    <w:rsid w:val="00D17BA5"/>
    <w:rsid w:val="00D2058D"/>
    <w:rsid w:val="00D2176E"/>
    <w:rsid w:val="00D2182A"/>
    <w:rsid w:val="00D2193D"/>
    <w:rsid w:val="00D22105"/>
    <w:rsid w:val="00D2211C"/>
    <w:rsid w:val="00D22B55"/>
    <w:rsid w:val="00D23055"/>
    <w:rsid w:val="00D230AD"/>
    <w:rsid w:val="00D2320E"/>
    <w:rsid w:val="00D251AB"/>
    <w:rsid w:val="00D25AC6"/>
    <w:rsid w:val="00D261D3"/>
    <w:rsid w:val="00D26A9A"/>
    <w:rsid w:val="00D319DF"/>
    <w:rsid w:val="00D31C02"/>
    <w:rsid w:val="00D3225E"/>
    <w:rsid w:val="00D324BC"/>
    <w:rsid w:val="00D33565"/>
    <w:rsid w:val="00D33762"/>
    <w:rsid w:val="00D34BD1"/>
    <w:rsid w:val="00D35177"/>
    <w:rsid w:val="00D356E1"/>
    <w:rsid w:val="00D40609"/>
    <w:rsid w:val="00D40983"/>
    <w:rsid w:val="00D41188"/>
    <w:rsid w:val="00D417D3"/>
    <w:rsid w:val="00D418D5"/>
    <w:rsid w:val="00D41DB1"/>
    <w:rsid w:val="00D4276D"/>
    <w:rsid w:val="00D42798"/>
    <w:rsid w:val="00D42970"/>
    <w:rsid w:val="00D43AED"/>
    <w:rsid w:val="00D44916"/>
    <w:rsid w:val="00D45CA4"/>
    <w:rsid w:val="00D45EA7"/>
    <w:rsid w:val="00D45F22"/>
    <w:rsid w:val="00D47178"/>
    <w:rsid w:val="00D4752E"/>
    <w:rsid w:val="00D47842"/>
    <w:rsid w:val="00D47BEF"/>
    <w:rsid w:val="00D50826"/>
    <w:rsid w:val="00D51675"/>
    <w:rsid w:val="00D51F73"/>
    <w:rsid w:val="00D52827"/>
    <w:rsid w:val="00D529BE"/>
    <w:rsid w:val="00D52CF6"/>
    <w:rsid w:val="00D53D3E"/>
    <w:rsid w:val="00D547E0"/>
    <w:rsid w:val="00D54992"/>
    <w:rsid w:val="00D55291"/>
    <w:rsid w:val="00D55C48"/>
    <w:rsid w:val="00D55E47"/>
    <w:rsid w:val="00D56997"/>
    <w:rsid w:val="00D570E6"/>
    <w:rsid w:val="00D5730F"/>
    <w:rsid w:val="00D5774F"/>
    <w:rsid w:val="00D60809"/>
    <w:rsid w:val="00D60D7F"/>
    <w:rsid w:val="00D61C9C"/>
    <w:rsid w:val="00D62111"/>
    <w:rsid w:val="00D62229"/>
    <w:rsid w:val="00D625B8"/>
    <w:rsid w:val="00D626F8"/>
    <w:rsid w:val="00D636DC"/>
    <w:rsid w:val="00D63F4C"/>
    <w:rsid w:val="00D64613"/>
    <w:rsid w:val="00D64702"/>
    <w:rsid w:val="00D66BFD"/>
    <w:rsid w:val="00D66C91"/>
    <w:rsid w:val="00D674EE"/>
    <w:rsid w:val="00D67535"/>
    <w:rsid w:val="00D67BC9"/>
    <w:rsid w:val="00D67DBC"/>
    <w:rsid w:val="00D704D9"/>
    <w:rsid w:val="00D70BD2"/>
    <w:rsid w:val="00D713F2"/>
    <w:rsid w:val="00D72705"/>
    <w:rsid w:val="00D738BF"/>
    <w:rsid w:val="00D73B93"/>
    <w:rsid w:val="00D73C95"/>
    <w:rsid w:val="00D745C1"/>
    <w:rsid w:val="00D756F6"/>
    <w:rsid w:val="00D75731"/>
    <w:rsid w:val="00D75B45"/>
    <w:rsid w:val="00D75B5C"/>
    <w:rsid w:val="00D75F8C"/>
    <w:rsid w:val="00D76050"/>
    <w:rsid w:val="00D76309"/>
    <w:rsid w:val="00D76423"/>
    <w:rsid w:val="00D767BF"/>
    <w:rsid w:val="00D77278"/>
    <w:rsid w:val="00D775B5"/>
    <w:rsid w:val="00D77961"/>
    <w:rsid w:val="00D77B20"/>
    <w:rsid w:val="00D77B3B"/>
    <w:rsid w:val="00D8007C"/>
    <w:rsid w:val="00D8079F"/>
    <w:rsid w:val="00D8103B"/>
    <w:rsid w:val="00D8111B"/>
    <w:rsid w:val="00D81242"/>
    <w:rsid w:val="00D812D2"/>
    <w:rsid w:val="00D82D02"/>
    <w:rsid w:val="00D82D0F"/>
    <w:rsid w:val="00D83A5A"/>
    <w:rsid w:val="00D84157"/>
    <w:rsid w:val="00D84BD7"/>
    <w:rsid w:val="00D84DCA"/>
    <w:rsid w:val="00D85114"/>
    <w:rsid w:val="00D857BC"/>
    <w:rsid w:val="00D85CC6"/>
    <w:rsid w:val="00D86A92"/>
    <w:rsid w:val="00D871B6"/>
    <w:rsid w:val="00D875E1"/>
    <w:rsid w:val="00D90275"/>
    <w:rsid w:val="00D902F5"/>
    <w:rsid w:val="00D9075D"/>
    <w:rsid w:val="00D90959"/>
    <w:rsid w:val="00D91410"/>
    <w:rsid w:val="00D91438"/>
    <w:rsid w:val="00D91594"/>
    <w:rsid w:val="00D91ABE"/>
    <w:rsid w:val="00D91DFB"/>
    <w:rsid w:val="00D921DA"/>
    <w:rsid w:val="00D92C2F"/>
    <w:rsid w:val="00D92F7F"/>
    <w:rsid w:val="00D9459D"/>
    <w:rsid w:val="00D94730"/>
    <w:rsid w:val="00D94858"/>
    <w:rsid w:val="00D94972"/>
    <w:rsid w:val="00D954A1"/>
    <w:rsid w:val="00D95519"/>
    <w:rsid w:val="00D95744"/>
    <w:rsid w:val="00D958FC"/>
    <w:rsid w:val="00D959AE"/>
    <w:rsid w:val="00D95DC2"/>
    <w:rsid w:val="00D96678"/>
    <w:rsid w:val="00D96C73"/>
    <w:rsid w:val="00D96D46"/>
    <w:rsid w:val="00D97C27"/>
    <w:rsid w:val="00D97EA9"/>
    <w:rsid w:val="00DA032C"/>
    <w:rsid w:val="00DA0526"/>
    <w:rsid w:val="00DA0639"/>
    <w:rsid w:val="00DA0CF7"/>
    <w:rsid w:val="00DA0E96"/>
    <w:rsid w:val="00DA1203"/>
    <w:rsid w:val="00DA18DA"/>
    <w:rsid w:val="00DA1F0C"/>
    <w:rsid w:val="00DA3565"/>
    <w:rsid w:val="00DA3A5B"/>
    <w:rsid w:val="00DA3D0B"/>
    <w:rsid w:val="00DA3F51"/>
    <w:rsid w:val="00DA45DB"/>
    <w:rsid w:val="00DA48D9"/>
    <w:rsid w:val="00DA49F8"/>
    <w:rsid w:val="00DA4AAE"/>
    <w:rsid w:val="00DA5572"/>
    <w:rsid w:val="00DA6A15"/>
    <w:rsid w:val="00DA6CC2"/>
    <w:rsid w:val="00DA7029"/>
    <w:rsid w:val="00DA77A0"/>
    <w:rsid w:val="00DB09A2"/>
    <w:rsid w:val="00DB103D"/>
    <w:rsid w:val="00DB1448"/>
    <w:rsid w:val="00DB1998"/>
    <w:rsid w:val="00DB1FC4"/>
    <w:rsid w:val="00DB21F0"/>
    <w:rsid w:val="00DB2C5F"/>
    <w:rsid w:val="00DB3A58"/>
    <w:rsid w:val="00DB3BDF"/>
    <w:rsid w:val="00DB3C58"/>
    <w:rsid w:val="00DB3D46"/>
    <w:rsid w:val="00DB401C"/>
    <w:rsid w:val="00DB46C8"/>
    <w:rsid w:val="00DB540E"/>
    <w:rsid w:val="00DB5A63"/>
    <w:rsid w:val="00DB6166"/>
    <w:rsid w:val="00DB656B"/>
    <w:rsid w:val="00DB691E"/>
    <w:rsid w:val="00DB75A3"/>
    <w:rsid w:val="00DC0574"/>
    <w:rsid w:val="00DC0C65"/>
    <w:rsid w:val="00DC16BF"/>
    <w:rsid w:val="00DC16E1"/>
    <w:rsid w:val="00DC16FC"/>
    <w:rsid w:val="00DC1881"/>
    <w:rsid w:val="00DC1ED7"/>
    <w:rsid w:val="00DC3A6F"/>
    <w:rsid w:val="00DC3D1C"/>
    <w:rsid w:val="00DC43E1"/>
    <w:rsid w:val="00DC5199"/>
    <w:rsid w:val="00DC5A32"/>
    <w:rsid w:val="00DC5E4E"/>
    <w:rsid w:val="00DC651B"/>
    <w:rsid w:val="00DC662F"/>
    <w:rsid w:val="00DC6E78"/>
    <w:rsid w:val="00DC729A"/>
    <w:rsid w:val="00DC73B1"/>
    <w:rsid w:val="00DC7519"/>
    <w:rsid w:val="00DC7630"/>
    <w:rsid w:val="00DC7EB5"/>
    <w:rsid w:val="00DD04AC"/>
    <w:rsid w:val="00DD04DD"/>
    <w:rsid w:val="00DD0891"/>
    <w:rsid w:val="00DD0B35"/>
    <w:rsid w:val="00DD0C4D"/>
    <w:rsid w:val="00DD0F9F"/>
    <w:rsid w:val="00DD11A7"/>
    <w:rsid w:val="00DD1298"/>
    <w:rsid w:val="00DD2300"/>
    <w:rsid w:val="00DD2309"/>
    <w:rsid w:val="00DD28B3"/>
    <w:rsid w:val="00DD2DE3"/>
    <w:rsid w:val="00DD2DE8"/>
    <w:rsid w:val="00DD316F"/>
    <w:rsid w:val="00DD357C"/>
    <w:rsid w:val="00DD37CA"/>
    <w:rsid w:val="00DD3D55"/>
    <w:rsid w:val="00DD3DF7"/>
    <w:rsid w:val="00DD4AE2"/>
    <w:rsid w:val="00DD4BFA"/>
    <w:rsid w:val="00DD51F8"/>
    <w:rsid w:val="00DD6388"/>
    <w:rsid w:val="00DD6C53"/>
    <w:rsid w:val="00DD7198"/>
    <w:rsid w:val="00DD7CB6"/>
    <w:rsid w:val="00DE0077"/>
    <w:rsid w:val="00DE0137"/>
    <w:rsid w:val="00DE01BA"/>
    <w:rsid w:val="00DE0DCF"/>
    <w:rsid w:val="00DE137B"/>
    <w:rsid w:val="00DE19D9"/>
    <w:rsid w:val="00DE1DA7"/>
    <w:rsid w:val="00DE1DC6"/>
    <w:rsid w:val="00DE1F77"/>
    <w:rsid w:val="00DE21C6"/>
    <w:rsid w:val="00DE22AA"/>
    <w:rsid w:val="00DE288F"/>
    <w:rsid w:val="00DE2D49"/>
    <w:rsid w:val="00DE3E66"/>
    <w:rsid w:val="00DE3F75"/>
    <w:rsid w:val="00DE41FC"/>
    <w:rsid w:val="00DE45F5"/>
    <w:rsid w:val="00DE4AAD"/>
    <w:rsid w:val="00DE4C0C"/>
    <w:rsid w:val="00DE4FC8"/>
    <w:rsid w:val="00DE53B5"/>
    <w:rsid w:val="00DE5A50"/>
    <w:rsid w:val="00DE60C5"/>
    <w:rsid w:val="00DE7323"/>
    <w:rsid w:val="00DE75F0"/>
    <w:rsid w:val="00DE77CB"/>
    <w:rsid w:val="00DE7EBA"/>
    <w:rsid w:val="00DF04BD"/>
    <w:rsid w:val="00DF068D"/>
    <w:rsid w:val="00DF0D3A"/>
    <w:rsid w:val="00DF1A9A"/>
    <w:rsid w:val="00DF1C2D"/>
    <w:rsid w:val="00DF1F8A"/>
    <w:rsid w:val="00DF248E"/>
    <w:rsid w:val="00DF3577"/>
    <w:rsid w:val="00DF4063"/>
    <w:rsid w:val="00DF5F13"/>
    <w:rsid w:val="00DF63DD"/>
    <w:rsid w:val="00DF6B62"/>
    <w:rsid w:val="00DF7BD0"/>
    <w:rsid w:val="00DF7BDF"/>
    <w:rsid w:val="00E00303"/>
    <w:rsid w:val="00E00A62"/>
    <w:rsid w:val="00E010A0"/>
    <w:rsid w:val="00E0125E"/>
    <w:rsid w:val="00E01668"/>
    <w:rsid w:val="00E0173A"/>
    <w:rsid w:val="00E01849"/>
    <w:rsid w:val="00E020D1"/>
    <w:rsid w:val="00E02B64"/>
    <w:rsid w:val="00E02EAD"/>
    <w:rsid w:val="00E03D3F"/>
    <w:rsid w:val="00E03DED"/>
    <w:rsid w:val="00E0437C"/>
    <w:rsid w:val="00E0452C"/>
    <w:rsid w:val="00E04D61"/>
    <w:rsid w:val="00E0504C"/>
    <w:rsid w:val="00E05074"/>
    <w:rsid w:val="00E05489"/>
    <w:rsid w:val="00E05741"/>
    <w:rsid w:val="00E05F7F"/>
    <w:rsid w:val="00E06549"/>
    <w:rsid w:val="00E06930"/>
    <w:rsid w:val="00E06971"/>
    <w:rsid w:val="00E105B3"/>
    <w:rsid w:val="00E10846"/>
    <w:rsid w:val="00E108F4"/>
    <w:rsid w:val="00E10D4E"/>
    <w:rsid w:val="00E1100C"/>
    <w:rsid w:val="00E11489"/>
    <w:rsid w:val="00E11711"/>
    <w:rsid w:val="00E11E63"/>
    <w:rsid w:val="00E12696"/>
    <w:rsid w:val="00E1310D"/>
    <w:rsid w:val="00E13359"/>
    <w:rsid w:val="00E138BF"/>
    <w:rsid w:val="00E14EFA"/>
    <w:rsid w:val="00E151B9"/>
    <w:rsid w:val="00E158C4"/>
    <w:rsid w:val="00E161E6"/>
    <w:rsid w:val="00E167C9"/>
    <w:rsid w:val="00E1698C"/>
    <w:rsid w:val="00E16BDB"/>
    <w:rsid w:val="00E172BE"/>
    <w:rsid w:val="00E17CF7"/>
    <w:rsid w:val="00E205D6"/>
    <w:rsid w:val="00E216EC"/>
    <w:rsid w:val="00E2189A"/>
    <w:rsid w:val="00E22B5A"/>
    <w:rsid w:val="00E22B68"/>
    <w:rsid w:val="00E231C9"/>
    <w:rsid w:val="00E23EBF"/>
    <w:rsid w:val="00E23FD5"/>
    <w:rsid w:val="00E24669"/>
    <w:rsid w:val="00E24C48"/>
    <w:rsid w:val="00E25981"/>
    <w:rsid w:val="00E26141"/>
    <w:rsid w:val="00E266F5"/>
    <w:rsid w:val="00E270D3"/>
    <w:rsid w:val="00E27FC7"/>
    <w:rsid w:val="00E30700"/>
    <w:rsid w:val="00E31360"/>
    <w:rsid w:val="00E31D28"/>
    <w:rsid w:val="00E325FF"/>
    <w:rsid w:val="00E32CB8"/>
    <w:rsid w:val="00E3440F"/>
    <w:rsid w:val="00E34F3A"/>
    <w:rsid w:val="00E35F99"/>
    <w:rsid w:val="00E35F9A"/>
    <w:rsid w:val="00E3637F"/>
    <w:rsid w:val="00E364B6"/>
    <w:rsid w:val="00E36723"/>
    <w:rsid w:val="00E3713C"/>
    <w:rsid w:val="00E3767B"/>
    <w:rsid w:val="00E37E1C"/>
    <w:rsid w:val="00E40126"/>
    <w:rsid w:val="00E40CBF"/>
    <w:rsid w:val="00E40E7D"/>
    <w:rsid w:val="00E40EE4"/>
    <w:rsid w:val="00E413C6"/>
    <w:rsid w:val="00E420D5"/>
    <w:rsid w:val="00E42517"/>
    <w:rsid w:val="00E42D55"/>
    <w:rsid w:val="00E42FFE"/>
    <w:rsid w:val="00E4316E"/>
    <w:rsid w:val="00E435AB"/>
    <w:rsid w:val="00E44275"/>
    <w:rsid w:val="00E44705"/>
    <w:rsid w:val="00E44777"/>
    <w:rsid w:val="00E4535F"/>
    <w:rsid w:val="00E466BC"/>
    <w:rsid w:val="00E4686A"/>
    <w:rsid w:val="00E479FD"/>
    <w:rsid w:val="00E504D6"/>
    <w:rsid w:val="00E50B6F"/>
    <w:rsid w:val="00E50EBE"/>
    <w:rsid w:val="00E50F69"/>
    <w:rsid w:val="00E50FC6"/>
    <w:rsid w:val="00E52372"/>
    <w:rsid w:val="00E52786"/>
    <w:rsid w:val="00E52F05"/>
    <w:rsid w:val="00E540CA"/>
    <w:rsid w:val="00E55B28"/>
    <w:rsid w:val="00E56D4A"/>
    <w:rsid w:val="00E57119"/>
    <w:rsid w:val="00E5719E"/>
    <w:rsid w:val="00E57D7B"/>
    <w:rsid w:val="00E57F4B"/>
    <w:rsid w:val="00E602E5"/>
    <w:rsid w:val="00E602F8"/>
    <w:rsid w:val="00E6085B"/>
    <w:rsid w:val="00E60FBA"/>
    <w:rsid w:val="00E60FBF"/>
    <w:rsid w:val="00E611AE"/>
    <w:rsid w:val="00E616F9"/>
    <w:rsid w:val="00E61852"/>
    <w:rsid w:val="00E61A0C"/>
    <w:rsid w:val="00E61D22"/>
    <w:rsid w:val="00E61D96"/>
    <w:rsid w:val="00E61E4B"/>
    <w:rsid w:val="00E63DA2"/>
    <w:rsid w:val="00E642AF"/>
    <w:rsid w:val="00E644C6"/>
    <w:rsid w:val="00E64555"/>
    <w:rsid w:val="00E64595"/>
    <w:rsid w:val="00E646BB"/>
    <w:rsid w:val="00E64D24"/>
    <w:rsid w:val="00E653A6"/>
    <w:rsid w:val="00E6549C"/>
    <w:rsid w:val="00E654B9"/>
    <w:rsid w:val="00E6589D"/>
    <w:rsid w:val="00E65E8C"/>
    <w:rsid w:val="00E665E7"/>
    <w:rsid w:val="00E66C96"/>
    <w:rsid w:val="00E70130"/>
    <w:rsid w:val="00E71063"/>
    <w:rsid w:val="00E715FC"/>
    <w:rsid w:val="00E71A45"/>
    <w:rsid w:val="00E71C21"/>
    <w:rsid w:val="00E72F23"/>
    <w:rsid w:val="00E730FC"/>
    <w:rsid w:val="00E7385A"/>
    <w:rsid w:val="00E73CE6"/>
    <w:rsid w:val="00E74780"/>
    <w:rsid w:val="00E74956"/>
    <w:rsid w:val="00E752F7"/>
    <w:rsid w:val="00E75848"/>
    <w:rsid w:val="00E759D4"/>
    <w:rsid w:val="00E76A3C"/>
    <w:rsid w:val="00E76F9B"/>
    <w:rsid w:val="00E771FC"/>
    <w:rsid w:val="00E773E5"/>
    <w:rsid w:val="00E77BDD"/>
    <w:rsid w:val="00E806D3"/>
    <w:rsid w:val="00E81047"/>
    <w:rsid w:val="00E81C34"/>
    <w:rsid w:val="00E81D83"/>
    <w:rsid w:val="00E821BB"/>
    <w:rsid w:val="00E822E9"/>
    <w:rsid w:val="00E826FE"/>
    <w:rsid w:val="00E8275E"/>
    <w:rsid w:val="00E827AF"/>
    <w:rsid w:val="00E82DE9"/>
    <w:rsid w:val="00E83253"/>
    <w:rsid w:val="00E844AB"/>
    <w:rsid w:val="00E84C97"/>
    <w:rsid w:val="00E84EE5"/>
    <w:rsid w:val="00E85005"/>
    <w:rsid w:val="00E85296"/>
    <w:rsid w:val="00E8533B"/>
    <w:rsid w:val="00E85E4E"/>
    <w:rsid w:val="00E86327"/>
    <w:rsid w:val="00E86DF0"/>
    <w:rsid w:val="00E87BD2"/>
    <w:rsid w:val="00E87CDC"/>
    <w:rsid w:val="00E90B33"/>
    <w:rsid w:val="00E911E0"/>
    <w:rsid w:val="00E93407"/>
    <w:rsid w:val="00E940A8"/>
    <w:rsid w:val="00E947E8"/>
    <w:rsid w:val="00E94B0F"/>
    <w:rsid w:val="00E9503F"/>
    <w:rsid w:val="00E96E68"/>
    <w:rsid w:val="00E97EA1"/>
    <w:rsid w:val="00EA0BBE"/>
    <w:rsid w:val="00EA1FBC"/>
    <w:rsid w:val="00EA20A1"/>
    <w:rsid w:val="00EA212B"/>
    <w:rsid w:val="00EA2D44"/>
    <w:rsid w:val="00EA3A1D"/>
    <w:rsid w:val="00EA3CD7"/>
    <w:rsid w:val="00EA3E2D"/>
    <w:rsid w:val="00EA3F02"/>
    <w:rsid w:val="00EA429D"/>
    <w:rsid w:val="00EA43AF"/>
    <w:rsid w:val="00EA4676"/>
    <w:rsid w:val="00EA4C7C"/>
    <w:rsid w:val="00EA4D4C"/>
    <w:rsid w:val="00EA554F"/>
    <w:rsid w:val="00EA6250"/>
    <w:rsid w:val="00EA66A4"/>
    <w:rsid w:val="00EA6819"/>
    <w:rsid w:val="00EA6A1E"/>
    <w:rsid w:val="00EA75BD"/>
    <w:rsid w:val="00EA7C47"/>
    <w:rsid w:val="00EB0F0F"/>
    <w:rsid w:val="00EB12A5"/>
    <w:rsid w:val="00EB24D8"/>
    <w:rsid w:val="00EB277B"/>
    <w:rsid w:val="00EB2F20"/>
    <w:rsid w:val="00EB2F35"/>
    <w:rsid w:val="00EB31DB"/>
    <w:rsid w:val="00EB3422"/>
    <w:rsid w:val="00EB3A31"/>
    <w:rsid w:val="00EB4EAF"/>
    <w:rsid w:val="00EB548E"/>
    <w:rsid w:val="00EB5C41"/>
    <w:rsid w:val="00EB5F5A"/>
    <w:rsid w:val="00EB657E"/>
    <w:rsid w:val="00EB695E"/>
    <w:rsid w:val="00EB69D1"/>
    <w:rsid w:val="00EB69D4"/>
    <w:rsid w:val="00EB6FE9"/>
    <w:rsid w:val="00EB72FF"/>
    <w:rsid w:val="00EB756F"/>
    <w:rsid w:val="00EB79C8"/>
    <w:rsid w:val="00EB7E78"/>
    <w:rsid w:val="00EC0301"/>
    <w:rsid w:val="00EC09C6"/>
    <w:rsid w:val="00EC0EA5"/>
    <w:rsid w:val="00EC1056"/>
    <w:rsid w:val="00EC1470"/>
    <w:rsid w:val="00EC222E"/>
    <w:rsid w:val="00EC2716"/>
    <w:rsid w:val="00EC2DBB"/>
    <w:rsid w:val="00EC358E"/>
    <w:rsid w:val="00EC3FD2"/>
    <w:rsid w:val="00EC4095"/>
    <w:rsid w:val="00EC43B5"/>
    <w:rsid w:val="00EC4537"/>
    <w:rsid w:val="00EC4960"/>
    <w:rsid w:val="00EC4AE3"/>
    <w:rsid w:val="00EC54EE"/>
    <w:rsid w:val="00EC59B2"/>
    <w:rsid w:val="00EC5A3B"/>
    <w:rsid w:val="00EC786C"/>
    <w:rsid w:val="00EC7ADD"/>
    <w:rsid w:val="00ED04FE"/>
    <w:rsid w:val="00ED0DD0"/>
    <w:rsid w:val="00ED1989"/>
    <w:rsid w:val="00ED28F2"/>
    <w:rsid w:val="00ED3145"/>
    <w:rsid w:val="00ED3309"/>
    <w:rsid w:val="00ED356E"/>
    <w:rsid w:val="00ED3BDA"/>
    <w:rsid w:val="00ED47CA"/>
    <w:rsid w:val="00ED5A3B"/>
    <w:rsid w:val="00ED5C30"/>
    <w:rsid w:val="00ED5E02"/>
    <w:rsid w:val="00ED5EED"/>
    <w:rsid w:val="00ED612A"/>
    <w:rsid w:val="00ED6B1C"/>
    <w:rsid w:val="00ED6CF7"/>
    <w:rsid w:val="00ED6F33"/>
    <w:rsid w:val="00ED7716"/>
    <w:rsid w:val="00ED7737"/>
    <w:rsid w:val="00ED7747"/>
    <w:rsid w:val="00ED7CF4"/>
    <w:rsid w:val="00EE1B0E"/>
    <w:rsid w:val="00EE22FB"/>
    <w:rsid w:val="00EE2407"/>
    <w:rsid w:val="00EE26AE"/>
    <w:rsid w:val="00EE29C8"/>
    <w:rsid w:val="00EE2A54"/>
    <w:rsid w:val="00EE2FC2"/>
    <w:rsid w:val="00EE3B88"/>
    <w:rsid w:val="00EE4B75"/>
    <w:rsid w:val="00EE4DBD"/>
    <w:rsid w:val="00EE6AC6"/>
    <w:rsid w:val="00EE6E26"/>
    <w:rsid w:val="00EE784F"/>
    <w:rsid w:val="00EE7A1D"/>
    <w:rsid w:val="00EF0500"/>
    <w:rsid w:val="00EF1002"/>
    <w:rsid w:val="00EF143F"/>
    <w:rsid w:val="00EF1D3B"/>
    <w:rsid w:val="00EF23D8"/>
    <w:rsid w:val="00EF2A5A"/>
    <w:rsid w:val="00EF2A87"/>
    <w:rsid w:val="00EF3A74"/>
    <w:rsid w:val="00EF3AE9"/>
    <w:rsid w:val="00EF3EA5"/>
    <w:rsid w:val="00EF49FB"/>
    <w:rsid w:val="00EF55D6"/>
    <w:rsid w:val="00EF644D"/>
    <w:rsid w:val="00EF6D29"/>
    <w:rsid w:val="00EF7138"/>
    <w:rsid w:val="00EF7E0B"/>
    <w:rsid w:val="00F00881"/>
    <w:rsid w:val="00F00917"/>
    <w:rsid w:val="00F010BB"/>
    <w:rsid w:val="00F012C1"/>
    <w:rsid w:val="00F0175F"/>
    <w:rsid w:val="00F03280"/>
    <w:rsid w:val="00F0362A"/>
    <w:rsid w:val="00F0385C"/>
    <w:rsid w:val="00F03ABE"/>
    <w:rsid w:val="00F04345"/>
    <w:rsid w:val="00F047A4"/>
    <w:rsid w:val="00F04F52"/>
    <w:rsid w:val="00F0510F"/>
    <w:rsid w:val="00F0563F"/>
    <w:rsid w:val="00F064EF"/>
    <w:rsid w:val="00F06558"/>
    <w:rsid w:val="00F06F42"/>
    <w:rsid w:val="00F07122"/>
    <w:rsid w:val="00F074C9"/>
    <w:rsid w:val="00F07C82"/>
    <w:rsid w:val="00F07F5E"/>
    <w:rsid w:val="00F1001E"/>
    <w:rsid w:val="00F106BB"/>
    <w:rsid w:val="00F11027"/>
    <w:rsid w:val="00F111BA"/>
    <w:rsid w:val="00F116DD"/>
    <w:rsid w:val="00F11D9F"/>
    <w:rsid w:val="00F11E31"/>
    <w:rsid w:val="00F13AA1"/>
    <w:rsid w:val="00F13F2A"/>
    <w:rsid w:val="00F15097"/>
    <w:rsid w:val="00F15671"/>
    <w:rsid w:val="00F16695"/>
    <w:rsid w:val="00F202E3"/>
    <w:rsid w:val="00F20C6E"/>
    <w:rsid w:val="00F20D6C"/>
    <w:rsid w:val="00F2255F"/>
    <w:rsid w:val="00F225CF"/>
    <w:rsid w:val="00F22882"/>
    <w:rsid w:val="00F22985"/>
    <w:rsid w:val="00F22AEF"/>
    <w:rsid w:val="00F22F7A"/>
    <w:rsid w:val="00F2343C"/>
    <w:rsid w:val="00F23CFC"/>
    <w:rsid w:val="00F24076"/>
    <w:rsid w:val="00F240CB"/>
    <w:rsid w:val="00F2492F"/>
    <w:rsid w:val="00F2500D"/>
    <w:rsid w:val="00F2596D"/>
    <w:rsid w:val="00F25CAA"/>
    <w:rsid w:val="00F26AD6"/>
    <w:rsid w:val="00F2711C"/>
    <w:rsid w:val="00F277E8"/>
    <w:rsid w:val="00F27B04"/>
    <w:rsid w:val="00F27E3D"/>
    <w:rsid w:val="00F301D0"/>
    <w:rsid w:val="00F3069F"/>
    <w:rsid w:val="00F30C3F"/>
    <w:rsid w:val="00F30C60"/>
    <w:rsid w:val="00F30F38"/>
    <w:rsid w:val="00F311D1"/>
    <w:rsid w:val="00F3158A"/>
    <w:rsid w:val="00F318DB"/>
    <w:rsid w:val="00F3199C"/>
    <w:rsid w:val="00F31F7D"/>
    <w:rsid w:val="00F32AFF"/>
    <w:rsid w:val="00F33825"/>
    <w:rsid w:val="00F33A8B"/>
    <w:rsid w:val="00F33D3B"/>
    <w:rsid w:val="00F34A96"/>
    <w:rsid w:val="00F34EBF"/>
    <w:rsid w:val="00F34F05"/>
    <w:rsid w:val="00F356D5"/>
    <w:rsid w:val="00F361AE"/>
    <w:rsid w:val="00F36240"/>
    <w:rsid w:val="00F363EB"/>
    <w:rsid w:val="00F365DE"/>
    <w:rsid w:val="00F367CF"/>
    <w:rsid w:val="00F36D37"/>
    <w:rsid w:val="00F3719A"/>
    <w:rsid w:val="00F379BF"/>
    <w:rsid w:val="00F37EA7"/>
    <w:rsid w:val="00F40805"/>
    <w:rsid w:val="00F40C5E"/>
    <w:rsid w:val="00F40E3E"/>
    <w:rsid w:val="00F4163A"/>
    <w:rsid w:val="00F41873"/>
    <w:rsid w:val="00F419C3"/>
    <w:rsid w:val="00F41D91"/>
    <w:rsid w:val="00F41E2B"/>
    <w:rsid w:val="00F423BE"/>
    <w:rsid w:val="00F424A5"/>
    <w:rsid w:val="00F425EF"/>
    <w:rsid w:val="00F428AC"/>
    <w:rsid w:val="00F42EE3"/>
    <w:rsid w:val="00F43149"/>
    <w:rsid w:val="00F43660"/>
    <w:rsid w:val="00F44542"/>
    <w:rsid w:val="00F448DD"/>
    <w:rsid w:val="00F44D6A"/>
    <w:rsid w:val="00F44DB8"/>
    <w:rsid w:val="00F45760"/>
    <w:rsid w:val="00F45925"/>
    <w:rsid w:val="00F46BA6"/>
    <w:rsid w:val="00F46C97"/>
    <w:rsid w:val="00F4703E"/>
    <w:rsid w:val="00F50781"/>
    <w:rsid w:val="00F50CA3"/>
    <w:rsid w:val="00F517ED"/>
    <w:rsid w:val="00F51F3F"/>
    <w:rsid w:val="00F528B5"/>
    <w:rsid w:val="00F528E7"/>
    <w:rsid w:val="00F52C8A"/>
    <w:rsid w:val="00F5352D"/>
    <w:rsid w:val="00F53615"/>
    <w:rsid w:val="00F53A91"/>
    <w:rsid w:val="00F54783"/>
    <w:rsid w:val="00F547E9"/>
    <w:rsid w:val="00F5494E"/>
    <w:rsid w:val="00F54ABE"/>
    <w:rsid w:val="00F55804"/>
    <w:rsid w:val="00F55F1A"/>
    <w:rsid w:val="00F56310"/>
    <w:rsid w:val="00F5684C"/>
    <w:rsid w:val="00F57210"/>
    <w:rsid w:val="00F577FC"/>
    <w:rsid w:val="00F602F0"/>
    <w:rsid w:val="00F60C90"/>
    <w:rsid w:val="00F619EE"/>
    <w:rsid w:val="00F61CF5"/>
    <w:rsid w:val="00F61FF9"/>
    <w:rsid w:val="00F62069"/>
    <w:rsid w:val="00F62159"/>
    <w:rsid w:val="00F62A7C"/>
    <w:rsid w:val="00F62B93"/>
    <w:rsid w:val="00F633E5"/>
    <w:rsid w:val="00F63C89"/>
    <w:rsid w:val="00F647EC"/>
    <w:rsid w:val="00F64C50"/>
    <w:rsid w:val="00F64FAB"/>
    <w:rsid w:val="00F65CEA"/>
    <w:rsid w:val="00F65F15"/>
    <w:rsid w:val="00F66443"/>
    <w:rsid w:val="00F675EA"/>
    <w:rsid w:val="00F7074A"/>
    <w:rsid w:val="00F70AD6"/>
    <w:rsid w:val="00F71687"/>
    <w:rsid w:val="00F71708"/>
    <w:rsid w:val="00F717C1"/>
    <w:rsid w:val="00F71CDB"/>
    <w:rsid w:val="00F725D3"/>
    <w:rsid w:val="00F7281E"/>
    <w:rsid w:val="00F72C1A"/>
    <w:rsid w:val="00F72C3D"/>
    <w:rsid w:val="00F737AB"/>
    <w:rsid w:val="00F74216"/>
    <w:rsid w:val="00F74F0F"/>
    <w:rsid w:val="00F75731"/>
    <w:rsid w:val="00F75841"/>
    <w:rsid w:val="00F76333"/>
    <w:rsid w:val="00F77100"/>
    <w:rsid w:val="00F8090F"/>
    <w:rsid w:val="00F8139A"/>
    <w:rsid w:val="00F82AAE"/>
    <w:rsid w:val="00F834BE"/>
    <w:rsid w:val="00F838A9"/>
    <w:rsid w:val="00F849E3"/>
    <w:rsid w:val="00F84B4E"/>
    <w:rsid w:val="00F84C44"/>
    <w:rsid w:val="00F851B7"/>
    <w:rsid w:val="00F8566C"/>
    <w:rsid w:val="00F858D4"/>
    <w:rsid w:val="00F85C65"/>
    <w:rsid w:val="00F860EB"/>
    <w:rsid w:val="00F868B6"/>
    <w:rsid w:val="00F86968"/>
    <w:rsid w:val="00F86E42"/>
    <w:rsid w:val="00F876E6"/>
    <w:rsid w:val="00F87825"/>
    <w:rsid w:val="00F87838"/>
    <w:rsid w:val="00F879E8"/>
    <w:rsid w:val="00F87FCE"/>
    <w:rsid w:val="00F9008B"/>
    <w:rsid w:val="00F91669"/>
    <w:rsid w:val="00F916DE"/>
    <w:rsid w:val="00F9184F"/>
    <w:rsid w:val="00F91943"/>
    <w:rsid w:val="00F92A66"/>
    <w:rsid w:val="00F931CF"/>
    <w:rsid w:val="00F93A31"/>
    <w:rsid w:val="00F93D6E"/>
    <w:rsid w:val="00F9423D"/>
    <w:rsid w:val="00F94609"/>
    <w:rsid w:val="00F94818"/>
    <w:rsid w:val="00F95182"/>
    <w:rsid w:val="00F957D2"/>
    <w:rsid w:val="00F95D94"/>
    <w:rsid w:val="00F96F86"/>
    <w:rsid w:val="00FA02B8"/>
    <w:rsid w:val="00FA0980"/>
    <w:rsid w:val="00FA1028"/>
    <w:rsid w:val="00FA157E"/>
    <w:rsid w:val="00FA181F"/>
    <w:rsid w:val="00FA1C1F"/>
    <w:rsid w:val="00FA1E82"/>
    <w:rsid w:val="00FA2137"/>
    <w:rsid w:val="00FA272D"/>
    <w:rsid w:val="00FA338D"/>
    <w:rsid w:val="00FA34A2"/>
    <w:rsid w:val="00FA3742"/>
    <w:rsid w:val="00FA3837"/>
    <w:rsid w:val="00FA39FC"/>
    <w:rsid w:val="00FA44B4"/>
    <w:rsid w:val="00FA4538"/>
    <w:rsid w:val="00FA4998"/>
    <w:rsid w:val="00FA4DC2"/>
    <w:rsid w:val="00FA67E3"/>
    <w:rsid w:val="00FA7157"/>
    <w:rsid w:val="00FA73A6"/>
    <w:rsid w:val="00FA7698"/>
    <w:rsid w:val="00FA78C2"/>
    <w:rsid w:val="00FA7A2D"/>
    <w:rsid w:val="00FA7B4F"/>
    <w:rsid w:val="00FA7DA6"/>
    <w:rsid w:val="00FB06E7"/>
    <w:rsid w:val="00FB0822"/>
    <w:rsid w:val="00FB1093"/>
    <w:rsid w:val="00FB13A0"/>
    <w:rsid w:val="00FB227E"/>
    <w:rsid w:val="00FB267D"/>
    <w:rsid w:val="00FB2A18"/>
    <w:rsid w:val="00FB2BF4"/>
    <w:rsid w:val="00FB2C8D"/>
    <w:rsid w:val="00FB2DC6"/>
    <w:rsid w:val="00FB5E81"/>
    <w:rsid w:val="00FB6E6C"/>
    <w:rsid w:val="00FB71B0"/>
    <w:rsid w:val="00FB7401"/>
    <w:rsid w:val="00FB7ABA"/>
    <w:rsid w:val="00FB7C21"/>
    <w:rsid w:val="00FB7C46"/>
    <w:rsid w:val="00FC04E0"/>
    <w:rsid w:val="00FC0D98"/>
    <w:rsid w:val="00FC1042"/>
    <w:rsid w:val="00FC11C6"/>
    <w:rsid w:val="00FC17D8"/>
    <w:rsid w:val="00FC279A"/>
    <w:rsid w:val="00FC324D"/>
    <w:rsid w:val="00FC39A1"/>
    <w:rsid w:val="00FC3BC3"/>
    <w:rsid w:val="00FC3E47"/>
    <w:rsid w:val="00FC4B53"/>
    <w:rsid w:val="00FC4BAE"/>
    <w:rsid w:val="00FC5160"/>
    <w:rsid w:val="00FC5A36"/>
    <w:rsid w:val="00FC69CF"/>
    <w:rsid w:val="00FC6B0B"/>
    <w:rsid w:val="00FC713B"/>
    <w:rsid w:val="00FC7862"/>
    <w:rsid w:val="00FC79D5"/>
    <w:rsid w:val="00FC7B35"/>
    <w:rsid w:val="00FC7B53"/>
    <w:rsid w:val="00FD0177"/>
    <w:rsid w:val="00FD0AE7"/>
    <w:rsid w:val="00FD0B44"/>
    <w:rsid w:val="00FD0F70"/>
    <w:rsid w:val="00FD2315"/>
    <w:rsid w:val="00FD29A7"/>
    <w:rsid w:val="00FD2B15"/>
    <w:rsid w:val="00FD3092"/>
    <w:rsid w:val="00FD412E"/>
    <w:rsid w:val="00FD420F"/>
    <w:rsid w:val="00FD4F2F"/>
    <w:rsid w:val="00FD51F7"/>
    <w:rsid w:val="00FD5258"/>
    <w:rsid w:val="00FD5602"/>
    <w:rsid w:val="00FD5661"/>
    <w:rsid w:val="00FD5A2A"/>
    <w:rsid w:val="00FD5AE2"/>
    <w:rsid w:val="00FD62B4"/>
    <w:rsid w:val="00FD7142"/>
    <w:rsid w:val="00FD750F"/>
    <w:rsid w:val="00FE011C"/>
    <w:rsid w:val="00FE07DC"/>
    <w:rsid w:val="00FE1116"/>
    <w:rsid w:val="00FE2075"/>
    <w:rsid w:val="00FE2080"/>
    <w:rsid w:val="00FE27B9"/>
    <w:rsid w:val="00FE2E37"/>
    <w:rsid w:val="00FE3640"/>
    <w:rsid w:val="00FE3780"/>
    <w:rsid w:val="00FE3954"/>
    <w:rsid w:val="00FE3CF7"/>
    <w:rsid w:val="00FE4071"/>
    <w:rsid w:val="00FE42E3"/>
    <w:rsid w:val="00FE4ECD"/>
    <w:rsid w:val="00FE52B7"/>
    <w:rsid w:val="00FE53C5"/>
    <w:rsid w:val="00FE56A8"/>
    <w:rsid w:val="00FE5807"/>
    <w:rsid w:val="00FE5C39"/>
    <w:rsid w:val="00FE5C57"/>
    <w:rsid w:val="00FE624E"/>
    <w:rsid w:val="00FE6415"/>
    <w:rsid w:val="00FE69E7"/>
    <w:rsid w:val="00FE6BB8"/>
    <w:rsid w:val="00FE6E76"/>
    <w:rsid w:val="00FF027B"/>
    <w:rsid w:val="00FF1174"/>
    <w:rsid w:val="00FF165A"/>
    <w:rsid w:val="00FF1B72"/>
    <w:rsid w:val="00FF1CF1"/>
    <w:rsid w:val="00FF1F4C"/>
    <w:rsid w:val="00FF35DC"/>
    <w:rsid w:val="00FF3A6A"/>
    <w:rsid w:val="00FF3C7A"/>
    <w:rsid w:val="00FF3E09"/>
    <w:rsid w:val="00FF411C"/>
    <w:rsid w:val="00FF44C6"/>
    <w:rsid w:val="00FF4B2E"/>
    <w:rsid w:val="00FF4E4B"/>
    <w:rsid w:val="00FF4E4E"/>
    <w:rsid w:val="00FF5049"/>
    <w:rsid w:val="00FF5D1F"/>
    <w:rsid w:val="00FF5F95"/>
    <w:rsid w:val="00FF6126"/>
    <w:rsid w:val="00FF61F5"/>
    <w:rsid w:val="00FF62AA"/>
    <w:rsid w:val="00FF64D7"/>
    <w:rsid w:val="00FF6B6C"/>
    <w:rsid w:val="00FF6DD4"/>
    <w:rsid w:val="01215887"/>
    <w:rsid w:val="01707173"/>
    <w:rsid w:val="018E4D38"/>
    <w:rsid w:val="01967DCC"/>
    <w:rsid w:val="01AA2C10"/>
    <w:rsid w:val="01B82438"/>
    <w:rsid w:val="020C2601"/>
    <w:rsid w:val="02172DE1"/>
    <w:rsid w:val="0259327F"/>
    <w:rsid w:val="0281282A"/>
    <w:rsid w:val="02BB7746"/>
    <w:rsid w:val="02DA3AFA"/>
    <w:rsid w:val="03062D2F"/>
    <w:rsid w:val="030A5459"/>
    <w:rsid w:val="03243B6C"/>
    <w:rsid w:val="034528E1"/>
    <w:rsid w:val="03525FC7"/>
    <w:rsid w:val="03611BE2"/>
    <w:rsid w:val="037738D8"/>
    <w:rsid w:val="03852232"/>
    <w:rsid w:val="03CC7B39"/>
    <w:rsid w:val="03F60FF6"/>
    <w:rsid w:val="041D1A15"/>
    <w:rsid w:val="0433152A"/>
    <w:rsid w:val="043A3F0B"/>
    <w:rsid w:val="044B67F8"/>
    <w:rsid w:val="044D605D"/>
    <w:rsid w:val="04520646"/>
    <w:rsid w:val="04532746"/>
    <w:rsid w:val="04B256DC"/>
    <w:rsid w:val="04E470A0"/>
    <w:rsid w:val="05055571"/>
    <w:rsid w:val="052970AB"/>
    <w:rsid w:val="05355B4E"/>
    <w:rsid w:val="0571482D"/>
    <w:rsid w:val="05855369"/>
    <w:rsid w:val="058B052E"/>
    <w:rsid w:val="05B5453A"/>
    <w:rsid w:val="060B7A81"/>
    <w:rsid w:val="062B2FD8"/>
    <w:rsid w:val="065A6EF1"/>
    <w:rsid w:val="071F4143"/>
    <w:rsid w:val="072639A0"/>
    <w:rsid w:val="075F0692"/>
    <w:rsid w:val="0770385C"/>
    <w:rsid w:val="07CF0779"/>
    <w:rsid w:val="08146D2C"/>
    <w:rsid w:val="08155F7F"/>
    <w:rsid w:val="08CD654D"/>
    <w:rsid w:val="08F53B23"/>
    <w:rsid w:val="0906033A"/>
    <w:rsid w:val="093E16AA"/>
    <w:rsid w:val="09593A7F"/>
    <w:rsid w:val="097E74FF"/>
    <w:rsid w:val="09965A78"/>
    <w:rsid w:val="09972B94"/>
    <w:rsid w:val="09B32F9A"/>
    <w:rsid w:val="09B63701"/>
    <w:rsid w:val="09C87DDE"/>
    <w:rsid w:val="09F2225F"/>
    <w:rsid w:val="0A070656"/>
    <w:rsid w:val="0A393C99"/>
    <w:rsid w:val="0A4F4723"/>
    <w:rsid w:val="0A913ED8"/>
    <w:rsid w:val="0A9B6453"/>
    <w:rsid w:val="0AE0316E"/>
    <w:rsid w:val="0AE918B4"/>
    <w:rsid w:val="0AED018F"/>
    <w:rsid w:val="0B1B2AAC"/>
    <w:rsid w:val="0B24171E"/>
    <w:rsid w:val="0B281945"/>
    <w:rsid w:val="0B4A1AC8"/>
    <w:rsid w:val="0C466B45"/>
    <w:rsid w:val="0C9544EA"/>
    <w:rsid w:val="0CFF0F1B"/>
    <w:rsid w:val="0D4B3E1C"/>
    <w:rsid w:val="0D584403"/>
    <w:rsid w:val="0D940E03"/>
    <w:rsid w:val="0DA637EC"/>
    <w:rsid w:val="0DE4246E"/>
    <w:rsid w:val="0DEE7765"/>
    <w:rsid w:val="0E4B0FAE"/>
    <w:rsid w:val="0E5B4A55"/>
    <w:rsid w:val="0E5E057A"/>
    <w:rsid w:val="0E7435D1"/>
    <w:rsid w:val="0EA62F1C"/>
    <w:rsid w:val="0ECF1C88"/>
    <w:rsid w:val="0F3645E2"/>
    <w:rsid w:val="0F3C0579"/>
    <w:rsid w:val="0F6A55E4"/>
    <w:rsid w:val="0F9D2C6D"/>
    <w:rsid w:val="0FA32D6B"/>
    <w:rsid w:val="0FCB70DB"/>
    <w:rsid w:val="0FE8038D"/>
    <w:rsid w:val="101C0A97"/>
    <w:rsid w:val="10303AE2"/>
    <w:rsid w:val="10576A59"/>
    <w:rsid w:val="10A7557B"/>
    <w:rsid w:val="10B916F7"/>
    <w:rsid w:val="10F67974"/>
    <w:rsid w:val="110A68BF"/>
    <w:rsid w:val="116E0C95"/>
    <w:rsid w:val="11851C0B"/>
    <w:rsid w:val="118E0AC0"/>
    <w:rsid w:val="11D16BFE"/>
    <w:rsid w:val="11FE6899"/>
    <w:rsid w:val="122074F8"/>
    <w:rsid w:val="123A56EA"/>
    <w:rsid w:val="12543AB7"/>
    <w:rsid w:val="12685FCD"/>
    <w:rsid w:val="128A506F"/>
    <w:rsid w:val="128E689D"/>
    <w:rsid w:val="12B737C7"/>
    <w:rsid w:val="12CF4A48"/>
    <w:rsid w:val="12DF59EB"/>
    <w:rsid w:val="133402D5"/>
    <w:rsid w:val="13363E91"/>
    <w:rsid w:val="13624189"/>
    <w:rsid w:val="13721A9E"/>
    <w:rsid w:val="138228A6"/>
    <w:rsid w:val="1399374C"/>
    <w:rsid w:val="13B16CE7"/>
    <w:rsid w:val="13E609ED"/>
    <w:rsid w:val="145C6C53"/>
    <w:rsid w:val="145D29CB"/>
    <w:rsid w:val="146F2C7A"/>
    <w:rsid w:val="149E4992"/>
    <w:rsid w:val="14E031E9"/>
    <w:rsid w:val="15023C9F"/>
    <w:rsid w:val="150919B4"/>
    <w:rsid w:val="153118E1"/>
    <w:rsid w:val="153500FF"/>
    <w:rsid w:val="15360315"/>
    <w:rsid w:val="155F4183"/>
    <w:rsid w:val="15C90318"/>
    <w:rsid w:val="15E77D09"/>
    <w:rsid w:val="160D1B99"/>
    <w:rsid w:val="161A6DC6"/>
    <w:rsid w:val="16237FE8"/>
    <w:rsid w:val="16417098"/>
    <w:rsid w:val="166C6E51"/>
    <w:rsid w:val="16AB5C70"/>
    <w:rsid w:val="16AF63C0"/>
    <w:rsid w:val="170E5D26"/>
    <w:rsid w:val="171B67B1"/>
    <w:rsid w:val="171E6EA4"/>
    <w:rsid w:val="173B1D7C"/>
    <w:rsid w:val="17535984"/>
    <w:rsid w:val="179D1A5D"/>
    <w:rsid w:val="18126A4F"/>
    <w:rsid w:val="18231C93"/>
    <w:rsid w:val="18A84B5D"/>
    <w:rsid w:val="191F64A1"/>
    <w:rsid w:val="19335752"/>
    <w:rsid w:val="19496CB4"/>
    <w:rsid w:val="19564671"/>
    <w:rsid w:val="19ED1AA3"/>
    <w:rsid w:val="1A315A3C"/>
    <w:rsid w:val="1A442DE9"/>
    <w:rsid w:val="1A7D54DA"/>
    <w:rsid w:val="1AC01896"/>
    <w:rsid w:val="1AC3444F"/>
    <w:rsid w:val="1B173059"/>
    <w:rsid w:val="1B1F1DF1"/>
    <w:rsid w:val="1B242D71"/>
    <w:rsid w:val="1B3962D4"/>
    <w:rsid w:val="1B4367C2"/>
    <w:rsid w:val="1B586397"/>
    <w:rsid w:val="1B764B37"/>
    <w:rsid w:val="1C3958C8"/>
    <w:rsid w:val="1C5A39DD"/>
    <w:rsid w:val="1C730FDE"/>
    <w:rsid w:val="1CBC740E"/>
    <w:rsid w:val="1CBE6F69"/>
    <w:rsid w:val="1CF27234"/>
    <w:rsid w:val="1D0B577E"/>
    <w:rsid w:val="1D321E13"/>
    <w:rsid w:val="1D6378E1"/>
    <w:rsid w:val="1D6E46DE"/>
    <w:rsid w:val="1DC87107"/>
    <w:rsid w:val="1DC95AC2"/>
    <w:rsid w:val="1DD61EA7"/>
    <w:rsid w:val="1E0A51D4"/>
    <w:rsid w:val="1E171E3D"/>
    <w:rsid w:val="1E6C7FAA"/>
    <w:rsid w:val="1E96253F"/>
    <w:rsid w:val="1E96748E"/>
    <w:rsid w:val="1EAF710D"/>
    <w:rsid w:val="1F4849CA"/>
    <w:rsid w:val="1F712565"/>
    <w:rsid w:val="1F873477"/>
    <w:rsid w:val="1FE35328"/>
    <w:rsid w:val="203314F9"/>
    <w:rsid w:val="205225ED"/>
    <w:rsid w:val="2077106F"/>
    <w:rsid w:val="20F150E2"/>
    <w:rsid w:val="211859BB"/>
    <w:rsid w:val="213827F6"/>
    <w:rsid w:val="21455F84"/>
    <w:rsid w:val="21B52099"/>
    <w:rsid w:val="21DF40A1"/>
    <w:rsid w:val="22406B0E"/>
    <w:rsid w:val="224C382B"/>
    <w:rsid w:val="226F4835"/>
    <w:rsid w:val="227710FC"/>
    <w:rsid w:val="22E81FEA"/>
    <w:rsid w:val="236D0172"/>
    <w:rsid w:val="245641AD"/>
    <w:rsid w:val="2472207C"/>
    <w:rsid w:val="24960E99"/>
    <w:rsid w:val="24977600"/>
    <w:rsid w:val="24B831E2"/>
    <w:rsid w:val="24B93C4E"/>
    <w:rsid w:val="254D69F5"/>
    <w:rsid w:val="255D420C"/>
    <w:rsid w:val="255D6379"/>
    <w:rsid w:val="25AF63B4"/>
    <w:rsid w:val="25F22272"/>
    <w:rsid w:val="25F50CB6"/>
    <w:rsid w:val="26265741"/>
    <w:rsid w:val="26296678"/>
    <w:rsid w:val="26396DF4"/>
    <w:rsid w:val="263D68CE"/>
    <w:rsid w:val="26655E3B"/>
    <w:rsid w:val="268F110A"/>
    <w:rsid w:val="26A50560"/>
    <w:rsid w:val="26A83F7A"/>
    <w:rsid w:val="26E8692D"/>
    <w:rsid w:val="27027B2E"/>
    <w:rsid w:val="270F55EE"/>
    <w:rsid w:val="272F1A96"/>
    <w:rsid w:val="27383550"/>
    <w:rsid w:val="27391076"/>
    <w:rsid w:val="27A6405B"/>
    <w:rsid w:val="27F52753"/>
    <w:rsid w:val="28327F9F"/>
    <w:rsid w:val="286064C5"/>
    <w:rsid w:val="28630125"/>
    <w:rsid w:val="28771E56"/>
    <w:rsid w:val="28BC4B2A"/>
    <w:rsid w:val="294C7420"/>
    <w:rsid w:val="296C5815"/>
    <w:rsid w:val="297B0CF7"/>
    <w:rsid w:val="29802595"/>
    <w:rsid w:val="29992D8A"/>
    <w:rsid w:val="29BE1E57"/>
    <w:rsid w:val="29C025AF"/>
    <w:rsid w:val="2A222295"/>
    <w:rsid w:val="2A282777"/>
    <w:rsid w:val="2AAF71B2"/>
    <w:rsid w:val="2AB156AC"/>
    <w:rsid w:val="2AC74C33"/>
    <w:rsid w:val="2B1F1333"/>
    <w:rsid w:val="2B2E4FD9"/>
    <w:rsid w:val="2B40670F"/>
    <w:rsid w:val="2B74267D"/>
    <w:rsid w:val="2B7762E5"/>
    <w:rsid w:val="2B822DA1"/>
    <w:rsid w:val="2B9875DB"/>
    <w:rsid w:val="2BBF6348"/>
    <w:rsid w:val="2BF37351"/>
    <w:rsid w:val="2C5F50DB"/>
    <w:rsid w:val="2C7F752B"/>
    <w:rsid w:val="2C8E59C0"/>
    <w:rsid w:val="2CA5584C"/>
    <w:rsid w:val="2CD51F93"/>
    <w:rsid w:val="2D067BB2"/>
    <w:rsid w:val="2D287FA5"/>
    <w:rsid w:val="2D7352E2"/>
    <w:rsid w:val="2DCC054E"/>
    <w:rsid w:val="2DD04D71"/>
    <w:rsid w:val="2E156399"/>
    <w:rsid w:val="2E307C0F"/>
    <w:rsid w:val="2E452600"/>
    <w:rsid w:val="2E5B2405"/>
    <w:rsid w:val="2E722A0C"/>
    <w:rsid w:val="2E9115A6"/>
    <w:rsid w:val="2EDD2DD9"/>
    <w:rsid w:val="2F327185"/>
    <w:rsid w:val="2F435721"/>
    <w:rsid w:val="2F723467"/>
    <w:rsid w:val="2F7B603B"/>
    <w:rsid w:val="2F8C1051"/>
    <w:rsid w:val="2FDD6094"/>
    <w:rsid w:val="30B17099"/>
    <w:rsid w:val="30B8300C"/>
    <w:rsid w:val="30C45E54"/>
    <w:rsid w:val="318C0943"/>
    <w:rsid w:val="31E14D5F"/>
    <w:rsid w:val="31E33000"/>
    <w:rsid w:val="31F34F38"/>
    <w:rsid w:val="321F0A02"/>
    <w:rsid w:val="32537490"/>
    <w:rsid w:val="329B0E37"/>
    <w:rsid w:val="32A0292F"/>
    <w:rsid w:val="32A02B99"/>
    <w:rsid w:val="32AD15E8"/>
    <w:rsid w:val="32B819E9"/>
    <w:rsid w:val="32E97BBD"/>
    <w:rsid w:val="330D31FE"/>
    <w:rsid w:val="336876DC"/>
    <w:rsid w:val="33CA19D4"/>
    <w:rsid w:val="33D414D0"/>
    <w:rsid w:val="33F475E6"/>
    <w:rsid w:val="3428494C"/>
    <w:rsid w:val="34721B74"/>
    <w:rsid w:val="34D643A8"/>
    <w:rsid w:val="352A1BB8"/>
    <w:rsid w:val="355559C0"/>
    <w:rsid w:val="355A2295"/>
    <w:rsid w:val="355E0577"/>
    <w:rsid w:val="356563C2"/>
    <w:rsid w:val="357E2A76"/>
    <w:rsid w:val="35BF6BEA"/>
    <w:rsid w:val="35CD358A"/>
    <w:rsid w:val="36366780"/>
    <w:rsid w:val="3648340A"/>
    <w:rsid w:val="364D069A"/>
    <w:rsid w:val="3656754F"/>
    <w:rsid w:val="36A8750D"/>
    <w:rsid w:val="36AB6689"/>
    <w:rsid w:val="36AF6C55"/>
    <w:rsid w:val="36C335E9"/>
    <w:rsid w:val="370C2303"/>
    <w:rsid w:val="3725594C"/>
    <w:rsid w:val="373D0D4D"/>
    <w:rsid w:val="375D1BA5"/>
    <w:rsid w:val="385F359C"/>
    <w:rsid w:val="386B146C"/>
    <w:rsid w:val="3894785C"/>
    <w:rsid w:val="38B64824"/>
    <w:rsid w:val="38E946AA"/>
    <w:rsid w:val="39AD22B2"/>
    <w:rsid w:val="3A092B2A"/>
    <w:rsid w:val="3A1D1343"/>
    <w:rsid w:val="3A9F72D6"/>
    <w:rsid w:val="3AEB639B"/>
    <w:rsid w:val="3B303E4A"/>
    <w:rsid w:val="3B921ACD"/>
    <w:rsid w:val="3BA80B19"/>
    <w:rsid w:val="3BB2681F"/>
    <w:rsid w:val="3C4240EC"/>
    <w:rsid w:val="3C610E2D"/>
    <w:rsid w:val="3CD9294C"/>
    <w:rsid w:val="3D0165CC"/>
    <w:rsid w:val="3D305117"/>
    <w:rsid w:val="3D545E80"/>
    <w:rsid w:val="3D711B40"/>
    <w:rsid w:val="3E013CEF"/>
    <w:rsid w:val="3E2379E4"/>
    <w:rsid w:val="3E686071"/>
    <w:rsid w:val="3E800AA6"/>
    <w:rsid w:val="3E9643B5"/>
    <w:rsid w:val="3EEC21D9"/>
    <w:rsid w:val="3EF21DDE"/>
    <w:rsid w:val="3F3A1FEB"/>
    <w:rsid w:val="3F885303"/>
    <w:rsid w:val="3F9B6377"/>
    <w:rsid w:val="3F9E1FE6"/>
    <w:rsid w:val="3FEC1741"/>
    <w:rsid w:val="3FEF3190"/>
    <w:rsid w:val="4005737C"/>
    <w:rsid w:val="408B33B9"/>
    <w:rsid w:val="408C7144"/>
    <w:rsid w:val="40A67243"/>
    <w:rsid w:val="40C83591"/>
    <w:rsid w:val="41511A2C"/>
    <w:rsid w:val="41551C9F"/>
    <w:rsid w:val="41FA04A5"/>
    <w:rsid w:val="41FC0750"/>
    <w:rsid w:val="420F0CB2"/>
    <w:rsid w:val="42253D73"/>
    <w:rsid w:val="4247150E"/>
    <w:rsid w:val="42855706"/>
    <w:rsid w:val="428A5065"/>
    <w:rsid w:val="429A26EA"/>
    <w:rsid w:val="42A96C58"/>
    <w:rsid w:val="42B3380F"/>
    <w:rsid w:val="42D34CBC"/>
    <w:rsid w:val="42EB5AA1"/>
    <w:rsid w:val="430B2345"/>
    <w:rsid w:val="434A043B"/>
    <w:rsid w:val="43A15FDA"/>
    <w:rsid w:val="43D907C3"/>
    <w:rsid w:val="43E7124C"/>
    <w:rsid w:val="44E4602A"/>
    <w:rsid w:val="44EB19A7"/>
    <w:rsid w:val="45026868"/>
    <w:rsid w:val="451C7863"/>
    <w:rsid w:val="455665C4"/>
    <w:rsid w:val="45BD01E3"/>
    <w:rsid w:val="45FE3E7F"/>
    <w:rsid w:val="463B1B6D"/>
    <w:rsid w:val="466B3583"/>
    <w:rsid w:val="46C43AB9"/>
    <w:rsid w:val="46DB13AA"/>
    <w:rsid w:val="46DF3663"/>
    <w:rsid w:val="47092B28"/>
    <w:rsid w:val="474C0E73"/>
    <w:rsid w:val="47EE7A30"/>
    <w:rsid w:val="47F773A6"/>
    <w:rsid w:val="48171365"/>
    <w:rsid w:val="482079BC"/>
    <w:rsid w:val="49160EA4"/>
    <w:rsid w:val="492F45C0"/>
    <w:rsid w:val="49307AFB"/>
    <w:rsid w:val="494315A2"/>
    <w:rsid w:val="4952061E"/>
    <w:rsid w:val="49834775"/>
    <w:rsid w:val="499274AC"/>
    <w:rsid w:val="49AE44DB"/>
    <w:rsid w:val="49CC7DFC"/>
    <w:rsid w:val="49D237D1"/>
    <w:rsid w:val="4A073626"/>
    <w:rsid w:val="4A421E6C"/>
    <w:rsid w:val="4A69125A"/>
    <w:rsid w:val="4A750971"/>
    <w:rsid w:val="4A7D70C0"/>
    <w:rsid w:val="4AAF0DC3"/>
    <w:rsid w:val="4AB03E57"/>
    <w:rsid w:val="4AC936DD"/>
    <w:rsid w:val="4AF62C56"/>
    <w:rsid w:val="4B35377F"/>
    <w:rsid w:val="4B757A55"/>
    <w:rsid w:val="4B9C55AC"/>
    <w:rsid w:val="4BF87323"/>
    <w:rsid w:val="4C2C2DD4"/>
    <w:rsid w:val="4CB54AD7"/>
    <w:rsid w:val="4CD57A25"/>
    <w:rsid w:val="4CD753A7"/>
    <w:rsid w:val="4CD9644C"/>
    <w:rsid w:val="4D782049"/>
    <w:rsid w:val="4DAD3AA0"/>
    <w:rsid w:val="4EAC5711"/>
    <w:rsid w:val="4EEA0D24"/>
    <w:rsid w:val="4F131ACB"/>
    <w:rsid w:val="4F2E3613"/>
    <w:rsid w:val="4F560A37"/>
    <w:rsid w:val="4F5A1A06"/>
    <w:rsid w:val="4F947805"/>
    <w:rsid w:val="4FC774A1"/>
    <w:rsid w:val="4FE85264"/>
    <w:rsid w:val="500B30A7"/>
    <w:rsid w:val="504D6604"/>
    <w:rsid w:val="5064685C"/>
    <w:rsid w:val="509E1DC6"/>
    <w:rsid w:val="50D63442"/>
    <w:rsid w:val="50E954F3"/>
    <w:rsid w:val="51764273"/>
    <w:rsid w:val="51AC6A88"/>
    <w:rsid w:val="51B2004B"/>
    <w:rsid w:val="51C2225E"/>
    <w:rsid w:val="51F5246C"/>
    <w:rsid w:val="523227C6"/>
    <w:rsid w:val="5294522F"/>
    <w:rsid w:val="52C33C07"/>
    <w:rsid w:val="5313276D"/>
    <w:rsid w:val="53231A63"/>
    <w:rsid w:val="534275B7"/>
    <w:rsid w:val="536F4F48"/>
    <w:rsid w:val="53831784"/>
    <w:rsid w:val="53BB451C"/>
    <w:rsid w:val="53E22192"/>
    <w:rsid w:val="542013F6"/>
    <w:rsid w:val="543717C4"/>
    <w:rsid w:val="544B25B0"/>
    <w:rsid w:val="54556AEA"/>
    <w:rsid w:val="54761FC9"/>
    <w:rsid w:val="549332C4"/>
    <w:rsid w:val="551745DE"/>
    <w:rsid w:val="551834A3"/>
    <w:rsid w:val="55622629"/>
    <w:rsid w:val="558D41B7"/>
    <w:rsid w:val="55AE6607"/>
    <w:rsid w:val="55C678A8"/>
    <w:rsid w:val="55F8151E"/>
    <w:rsid w:val="56462CE4"/>
    <w:rsid w:val="56544AC4"/>
    <w:rsid w:val="56930E92"/>
    <w:rsid w:val="56A847DE"/>
    <w:rsid w:val="57323186"/>
    <w:rsid w:val="57566F57"/>
    <w:rsid w:val="57A31560"/>
    <w:rsid w:val="5812172F"/>
    <w:rsid w:val="584656E4"/>
    <w:rsid w:val="58D04714"/>
    <w:rsid w:val="58E83F0D"/>
    <w:rsid w:val="58E93FEB"/>
    <w:rsid w:val="59302DEF"/>
    <w:rsid w:val="59417793"/>
    <w:rsid w:val="594D2066"/>
    <w:rsid w:val="59517564"/>
    <w:rsid w:val="5959136A"/>
    <w:rsid w:val="595E6596"/>
    <w:rsid w:val="59831277"/>
    <w:rsid w:val="599975EB"/>
    <w:rsid w:val="59DC5D4D"/>
    <w:rsid w:val="59EE41DA"/>
    <w:rsid w:val="59F0369A"/>
    <w:rsid w:val="59F2304A"/>
    <w:rsid w:val="5A094754"/>
    <w:rsid w:val="5A1D2B77"/>
    <w:rsid w:val="5A3A2DDD"/>
    <w:rsid w:val="5A3B2434"/>
    <w:rsid w:val="5A5929D3"/>
    <w:rsid w:val="5AC94957"/>
    <w:rsid w:val="5ACB37B8"/>
    <w:rsid w:val="5B7E4BA8"/>
    <w:rsid w:val="5B9D66E2"/>
    <w:rsid w:val="5BF14D25"/>
    <w:rsid w:val="5C011962"/>
    <w:rsid w:val="5C076A71"/>
    <w:rsid w:val="5C145B79"/>
    <w:rsid w:val="5C1D6F38"/>
    <w:rsid w:val="5C224259"/>
    <w:rsid w:val="5C5B1206"/>
    <w:rsid w:val="5C797243"/>
    <w:rsid w:val="5C7D45BE"/>
    <w:rsid w:val="5CC55C32"/>
    <w:rsid w:val="5CD5091E"/>
    <w:rsid w:val="5D3D2656"/>
    <w:rsid w:val="5D5453EF"/>
    <w:rsid w:val="5D6357C4"/>
    <w:rsid w:val="5D8218AA"/>
    <w:rsid w:val="5D8647AD"/>
    <w:rsid w:val="5D8A3362"/>
    <w:rsid w:val="5DA344DD"/>
    <w:rsid w:val="5DA90B04"/>
    <w:rsid w:val="5E0C2083"/>
    <w:rsid w:val="5E443921"/>
    <w:rsid w:val="5E4F3D45"/>
    <w:rsid w:val="5E546A07"/>
    <w:rsid w:val="5ED276AF"/>
    <w:rsid w:val="5EDD7408"/>
    <w:rsid w:val="5EE2793A"/>
    <w:rsid w:val="5FAB2828"/>
    <w:rsid w:val="5FBC5DC5"/>
    <w:rsid w:val="5FF43AC6"/>
    <w:rsid w:val="600D6620"/>
    <w:rsid w:val="607A16AB"/>
    <w:rsid w:val="61766234"/>
    <w:rsid w:val="617E5F02"/>
    <w:rsid w:val="61AB4343"/>
    <w:rsid w:val="61C477E9"/>
    <w:rsid w:val="61C53F19"/>
    <w:rsid w:val="61EB345B"/>
    <w:rsid w:val="621517BC"/>
    <w:rsid w:val="62505591"/>
    <w:rsid w:val="626B0651"/>
    <w:rsid w:val="62B8336A"/>
    <w:rsid w:val="63761DA5"/>
    <w:rsid w:val="63903DDC"/>
    <w:rsid w:val="64441196"/>
    <w:rsid w:val="644D483D"/>
    <w:rsid w:val="64805613"/>
    <w:rsid w:val="64944735"/>
    <w:rsid w:val="64BC7686"/>
    <w:rsid w:val="64C01EB3"/>
    <w:rsid w:val="64E46815"/>
    <w:rsid w:val="65091B75"/>
    <w:rsid w:val="651174FE"/>
    <w:rsid w:val="65530EB7"/>
    <w:rsid w:val="65654B0E"/>
    <w:rsid w:val="65D21A26"/>
    <w:rsid w:val="660404C6"/>
    <w:rsid w:val="664C0953"/>
    <w:rsid w:val="66587449"/>
    <w:rsid w:val="666F296C"/>
    <w:rsid w:val="667C005C"/>
    <w:rsid w:val="669416B3"/>
    <w:rsid w:val="66DA3B55"/>
    <w:rsid w:val="66EF2BC6"/>
    <w:rsid w:val="673D70A6"/>
    <w:rsid w:val="67BF2CC9"/>
    <w:rsid w:val="67F769EE"/>
    <w:rsid w:val="6817628E"/>
    <w:rsid w:val="68831A0A"/>
    <w:rsid w:val="688B3163"/>
    <w:rsid w:val="68C771DD"/>
    <w:rsid w:val="68D777CC"/>
    <w:rsid w:val="68E32D78"/>
    <w:rsid w:val="69331CA3"/>
    <w:rsid w:val="693D1361"/>
    <w:rsid w:val="69F2613A"/>
    <w:rsid w:val="6A176A44"/>
    <w:rsid w:val="6A300502"/>
    <w:rsid w:val="6A3C13E7"/>
    <w:rsid w:val="6A4E798D"/>
    <w:rsid w:val="6B241A17"/>
    <w:rsid w:val="6B2620B9"/>
    <w:rsid w:val="6B6D3E9E"/>
    <w:rsid w:val="6B7B0C7B"/>
    <w:rsid w:val="6B9321FA"/>
    <w:rsid w:val="6BDB75D3"/>
    <w:rsid w:val="6C3333B0"/>
    <w:rsid w:val="6C3F520E"/>
    <w:rsid w:val="6C5F0009"/>
    <w:rsid w:val="6C735A5D"/>
    <w:rsid w:val="6CEF0FDA"/>
    <w:rsid w:val="6D0A6E35"/>
    <w:rsid w:val="6D6F091A"/>
    <w:rsid w:val="6D765805"/>
    <w:rsid w:val="6D7B7E78"/>
    <w:rsid w:val="6DE424ED"/>
    <w:rsid w:val="6DF429DE"/>
    <w:rsid w:val="6E1E61DE"/>
    <w:rsid w:val="6E310051"/>
    <w:rsid w:val="6E33426E"/>
    <w:rsid w:val="6E493BC1"/>
    <w:rsid w:val="6E4E4516"/>
    <w:rsid w:val="6E914282"/>
    <w:rsid w:val="6E9B6646"/>
    <w:rsid w:val="6E9C0F6F"/>
    <w:rsid w:val="6EE94D5F"/>
    <w:rsid w:val="6F0C3C11"/>
    <w:rsid w:val="6F216BEC"/>
    <w:rsid w:val="6F2179F2"/>
    <w:rsid w:val="6F984159"/>
    <w:rsid w:val="6FA26FEF"/>
    <w:rsid w:val="6FA41084"/>
    <w:rsid w:val="6FBF57B0"/>
    <w:rsid w:val="6FFD3FBC"/>
    <w:rsid w:val="701D01BA"/>
    <w:rsid w:val="70E13D8A"/>
    <w:rsid w:val="70E57DF2"/>
    <w:rsid w:val="70FC435B"/>
    <w:rsid w:val="71001DED"/>
    <w:rsid w:val="712933D1"/>
    <w:rsid w:val="71761D0F"/>
    <w:rsid w:val="71800F02"/>
    <w:rsid w:val="71871D0E"/>
    <w:rsid w:val="7193241E"/>
    <w:rsid w:val="71AD7318"/>
    <w:rsid w:val="71B66B18"/>
    <w:rsid w:val="720C498A"/>
    <w:rsid w:val="722B43B6"/>
    <w:rsid w:val="726D70E7"/>
    <w:rsid w:val="726F3BCB"/>
    <w:rsid w:val="72BD63E0"/>
    <w:rsid w:val="73094144"/>
    <w:rsid w:val="733C304D"/>
    <w:rsid w:val="738F5872"/>
    <w:rsid w:val="739F7BD6"/>
    <w:rsid w:val="73ED71BD"/>
    <w:rsid w:val="74740A13"/>
    <w:rsid w:val="74F33BDF"/>
    <w:rsid w:val="75131C47"/>
    <w:rsid w:val="7516364C"/>
    <w:rsid w:val="751B1A66"/>
    <w:rsid w:val="75343D19"/>
    <w:rsid w:val="753F1F61"/>
    <w:rsid w:val="756845CD"/>
    <w:rsid w:val="756C48D4"/>
    <w:rsid w:val="758D5DE2"/>
    <w:rsid w:val="75F86521"/>
    <w:rsid w:val="76095E80"/>
    <w:rsid w:val="76367664"/>
    <w:rsid w:val="76530D55"/>
    <w:rsid w:val="7669527F"/>
    <w:rsid w:val="76740E7C"/>
    <w:rsid w:val="77164857"/>
    <w:rsid w:val="77785EA7"/>
    <w:rsid w:val="7822544F"/>
    <w:rsid w:val="782B3690"/>
    <w:rsid w:val="788408CF"/>
    <w:rsid w:val="78F24F15"/>
    <w:rsid w:val="790435FC"/>
    <w:rsid w:val="7907662E"/>
    <w:rsid w:val="791967BF"/>
    <w:rsid w:val="794C7D62"/>
    <w:rsid w:val="795544A3"/>
    <w:rsid w:val="79801673"/>
    <w:rsid w:val="79AA5BE6"/>
    <w:rsid w:val="79BE2A00"/>
    <w:rsid w:val="79CE40EA"/>
    <w:rsid w:val="7A24303D"/>
    <w:rsid w:val="7A6E3FDB"/>
    <w:rsid w:val="7AE2097E"/>
    <w:rsid w:val="7B044ED5"/>
    <w:rsid w:val="7B0C77A9"/>
    <w:rsid w:val="7B147480"/>
    <w:rsid w:val="7B17080A"/>
    <w:rsid w:val="7B5242F5"/>
    <w:rsid w:val="7B5B4C0A"/>
    <w:rsid w:val="7B963516"/>
    <w:rsid w:val="7BF13432"/>
    <w:rsid w:val="7BFC5A6F"/>
    <w:rsid w:val="7C9C4E59"/>
    <w:rsid w:val="7CD16869"/>
    <w:rsid w:val="7CE0572A"/>
    <w:rsid w:val="7CEF1130"/>
    <w:rsid w:val="7CF229CE"/>
    <w:rsid w:val="7D185A8B"/>
    <w:rsid w:val="7D3C21D7"/>
    <w:rsid w:val="7D9E03F1"/>
    <w:rsid w:val="7E4B4A8C"/>
    <w:rsid w:val="7E864C47"/>
    <w:rsid w:val="7EA41933"/>
    <w:rsid w:val="7F19226E"/>
    <w:rsid w:val="7F1E3F4E"/>
    <w:rsid w:val="7F416BF2"/>
    <w:rsid w:val="7F8821E2"/>
    <w:rsid w:val="7FD05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99"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8"/>
    <w:qFormat/>
    <w:uiPriority w:val="0"/>
    <w:pPr>
      <w:keepNext/>
      <w:keepLines/>
      <w:spacing w:before="260" w:after="260" w:line="416" w:lineRule="auto"/>
      <w:outlineLvl w:val="2"/>
    </w:pPr>
    <w:rPr>
      <w:b/>
      <w:bCs/>
      <w:kern w:val="0"/>
      <w:sz w:val="32"/>
      <w:szCs w:val="32"/>
    </w:rPr>
  </w:style>
  <w:style w:type="paragraph" w:styleId="5">
    <w:name w:val="heading 4"/>
    <w:basedOn w:val="1"/>
    <w:next w:val="1"/>
    <w:qFormat/>
    <w:uiPriority w:val="9"/>
    <w:pPr>
      <w:keepNext/>
      <w:keepLines/>
      <w:spacing w:before="280" w:after="290" w:line="376" w:lineRule="auto"/>
      <w:outlineLvl w:val="3"/>
    </w:pPr>
    <w:rPr>
      <w:rFonts w:ascii="Cambria" w:hAnsi="Cambria"/>
      <w:b/>
      <w:bCs/>
      <w:sz w:val="28"/>
      <w:szCs w:val="28"/>
    </w:rPr>
  </w:style>
  <w:style w:type="paragraph" w:styleId="6">
    <w:name w:val="heading 5"/>
    <w:basedOn w:val="1"/>
    <w:next w:val="7"/>
    <w:link w:val="59"/>
    <w:qFormat/>
    <w:uiPriority w:val="0"/>
    <w:pPr>
      <w:keepNext/>
      <w:keepLines/>
      <w:numPr>
        <w:ilvl w:val="4"/>
        <w:numId w:val="1"/>
      </w:numPr>
      <w:spacing w:before="280" w:after="290" w:line="376" w:lineRule="auto"/>
      <w:outlineLvl w:val="4"/>
    </w:pPr>
    <w:rPr>
      <w:b/>
      <w:sz w:val="28"/>
    </w:rPr>
  </w:style>
  <w:style w:type="paragraph" w:styleId="8">
    <w:name w:val="heading 6"/>
    <w:basedOn w:val="1"/>
    <w:next w:val="1"/>
    <w:link w:val="60"/>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61"/>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62"/>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annotation text"/>
    <w:basedOn w:val="1"/>
    <w:link w:val="64"/>
    <w:unhideWhenUsed/>
    <w:qFormat/>
    <w:uiPriority w:val="0"/>
    <w:pPr>
      <w:jc w:val="left"/>
    </w:pPr>
  </w:style>
  <w:style w:type="paragraph" w:styleId="16">
    <w:name w:val="Body Text 3"/>
    <w:basedOn w:val="1"/>
    <w:link w:val="65"/>
    <w:qFormat/>
    <w:uiPriority w:val="0"/>
    <w:pPr>
      <w:spacing w:line="500" w:lineRule="exact"/>
    </w:pPr>
    <w:rPr>
      <w:b/>
      <w:bCs/>
      <w:kern w:val="0"/>
      <w:sz w:val="24"/>
    </w:rPr>
  </w:style>
  <w:style w:type="paragraph" w:styleId="17">
    <w:name w:val="Body Text"/>
    <w:basedOn w:val="1"/>
    <w:link w:val="66"/>
    <w:qFormat/>
    <w:uiPriority w:val="99"/>
    <w:pPr>
      <w:spacing w:line="380" w:lineRule="exact"/>
    </w:pPr>
    <w:rPr>
      <w:kern w:val="0"/>
      <w:sz w:val="24"/>
    </w:rPr>
  </w:style>
  <w:style w:type="paragraph" w:styleId="18">
    <w:name w:val="Body Text Indent"/>
    <w:basedOn w:val="1"/>
    <w:link w:val="67"/>
    <w:qFormat/>
    <w:uiPriority w:val="0"/>
    <w:pPr>
      <w:ind w:firstLine="830" w:firstLineChars="352"/>
    </w:pPr>
    <w:rPr>
      <w:rFonts w:ascii="仿宋_GB2312" w:eastAsia="仿宋_GB2312"/>
      <w:kern w:val="0"/>
      <w:sz w:val="32"/>
      <w:szCs w:val="20"/>
    </w:rPr>
  </w:style>
  <w:style w:type="paragraph" w:styleId="19">
    <w:name w:val="List Number 3"/>
    <w:basedOn w:val="1"/>
    <w:qFormat/>
    <w:uiPriority w:val="0"/>
    <w:pPr>
      <w:numPr>
        <w:ilvl w:val="0"/>
        <w:numId w:val="2"/>
      </w:numPr>
    </w:pPr>
  </w:style>
  <w:style w:type="paragraph" w:styleId="20">
    <w:name w:val="List 2"/>
    <w:basedOn w:val="1"/>
    <w:qFormat/>
    <w:uiPriority w:val="0"/>
    <w:pPr>
      <w:ind w:left="100" w:leftChars="200" w:hanging="200" w:hangingChars="200"/>
    </w:pPr>
    <w:rPr>
      <w:sz w:val="28"/>
    </w:rPr>
  </w:style>
  <w:style w:type="paragraph" w:styleId="21">
    <w:name w:val="toc 5"/>
    <w:basedOn w:val="1"/>
    <w:next w:val="1"/>
    <w:unhideWhenUsed/>
    <w:qFormat/>
    <w:uiPriority w:val="39"/>
    <w:pPr>
      <w:ind w:left="1680" w:leftChars="800"/>
    </w:pPr>
    <w:rPr>
      <w:rFonts w:ascii="Calibri" w:hAnsi="Calibri"/>
      <w:szCs w:val="22"/>
    </w:rPr>
  </w:style>
  <w:style w:type="paragraph" w:styleId="22">
    <w:name w:val="toc 3"/>
    <w:basedOn w:val="1"/>
    <w:next w:val="1"/>
    <w:unhideWhenUsed/>
    <w:qFormat/>
    <w:uiPriority w:val="39"/>
    <w:pPr>
      <w:ind w:left="840" w:leftChars="400"/>
    </w:pPr>
    <w:rPr>
      <w:rFonts w:ascii="Calibri" w:hAnsi="Calibri"/>
      <w:szCs w:val="22"/>
    </w:rPr>
  </w:style>
  <w:style w:type="paragraph" w:styleId="23">
    <w:name w:val="Plain Text"/>
    <w:basedOn w:val="1"/>
    <w:next w:val="1"/>
    <w:link w:val="68"/>
    <w:qFormat/>
    <w:uiPriority w:val="0"/>
    <w:rPr>
      <w:rFonts w:ascii="宋体" w:hAnsi="Courier New"/>
      <w:kern w:val="0"/>
      <w:sz w:val="20"/>
      <w:szCs w:val="21"/>
    </w:rPr>
  </w:style>
  <w:style w:type="paragraph" w:styleId="24">
    <w:name w:val="toc 8"/>
    <w:basedOn w:val="1"/>
    <w:next w:val="1"/>
    <w:unhideWhenUsed/>
    <w:qFormat/>
    <w:uiPriority w:val="39"/>
    <w:pPr>
      <w:ind w:left="2940" w:leftChars="1400"/>
    </w:pPr>
    <w:rPr>
      <w:rFonts w:ascii="Calibri" w:hAnsi="Calibri"/>
      <w:szCs w:val="22"/>
    </w:rPr>
  </w:style>
  <w:style w:type="paragraph" w:styleId="25">
    <w:name w:val="Date"/>
    <w:basedOn w:val="1"/>
    <w:next w:val="1"/>
    <w:link w:val="69"/>
    <w:qFormat/>
    <w:uiPriority w:val="0"/>
    <w:pPr>
      <w:ind w:left="100" w:leftChars="2500"/>
    </w:pPr>
    <w:rPr>
      <w:rFonts w:ascii="宋体" w:hAnsi="Courier New"/>
      <w:kern w:val="0"/>
      <w:sz w:val="20"/>
      <w:szCs w:val="21"/>
    </w:rPr>
  </w:style>
  <w:style w:type="paragraph" w:styleId="26">
    <w:name w:val="Body Text Indent 2"/>
    <w:basedOn w:val="1"/>
    <w:link w:val="70"/>
    <w:qFormat/>
    <w:uiPriority w:val="0"/>
    <w:pPr>
      <w:ind w:firstLine="630"/>
    </w:pPr>
    <w:rPr>
      <w:kern w:val="0"/>
      <w:sz w:val="32"/>
      <w:szCs w:val="20"/>
    </w:rPr>
  </w:style>
  <w:style w:type="paragraph" w:styleId="27">
    <w:name w:val="endnote text"/>
    <w:basedOn w:val="1"/>
    <w:link w:val="71"/>
    <w:unhideWhenUsed/>
    <w:qFormat/>
    <w:uiPriority w:val="99"/>
    <w:pPr>
      <w:snapToGrid w:val="0"/>
      <w:jc w:val="left"/>
    </w:pPr>
  </w:style>
  <w:style w:type="paragraph" w:styleId="28">
    <w:name w:val="Balloon Text"/>
    <w:basedOn w:val="1"/>
    <w:link w:val="72"/>
    <w:semiHidden/>
    <w:qFormat/>
    <w:uiPriority w:val="0"/>
    <w:rPr>
      <w:kern w:val="0"/>
      <w:sz w:val="18"/>
      <w:szCs w:val="18"/>
    </w:rPr>
  </w:style>
  <w:style w:type="paragraph" w:styleId="29">
    <w:name w:val="footer"/>
    <w:basedOn w:val="1"/>
    <w:link w:val="73"/>
    <w:unhideWhenUsed/>
    <w:qFormat/>
    <w:uiPriority w:val="99"/>
    <w:pPr>
      <w:tabs>
        <w:tab w:val="center" w:pos="4153"/>
        <w:tab w:val="right" w:pos="8306"/>
      </w:tabs>
      <w:snapToGrid w:val="0"/>
      <w:jc w:val="left"/>
    </w:pPr>
    <w:rPr>
      <w:kern w:val="0"/>
      <w:sz w:val="18"/>
      <w:szCs w:val="18"/>
    </w:rPr>
  </w:style>
  <w:style w:type="paragraph" w:styleId="30">
    <w:name w:val="header"/>
    <w:basedOn w:val="1"/>
    <w:link w:val="74"/>
    <w:unhideWhenUsed/>
    <w:qFormat/>
    <w:uiPriority w:val="99"/>
    <w:pPr>
      <w:pBdr>
        <w:bottom w:val="single" w:color="auto" w:sz="6" w:space="1"/>
      </w:pBdr>
      <w:tabs>
        <w:tab w:val="center" w:pos="0"/>
        <w:tab w:val="left" w:pos="8306"/>
      </w:tabs>
      <w:snapToGrid w:val="0"/>
      <w:jc w:val="center"/>
    </w:pPr>
    <w:rPr>
      <w:sz w:val="18"/>
      <w:szCs w:val="18"/>
    </w:rPr>
  </w:style>
  <w:style w:type="paragraph" w:styleId="31">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2">
    <w:name w:val="toc 4"/>
    <w:basedOn w:val="1"/>
    <w:next w:val="1"/>
    <w:unhideWhenUsed/>
    <w:qFormat/>
    <w:uiPriority w:val="39"/>
    <w:pPr>
      <w:ind w:left="1260" w:leftChars="600"/>
    </w:pPr>
    <w:rPr>
      <w:rFonts w:ascii="Calibri" w:hAnsi="Calibri"/>
      <w:szCs w:val="22"/>
    </w:rPr>
  </w:style>
  <w:style w:type="paragraph" w:styleId="33">
    <w:name w:val="List"/>
    <w:basedOn w:val="1"/>
    <w:qFormat/>
    <w:uiPriority w:val="0"/>
    <w:pPr>
      <w:ind w:left="200" w:hanging="200" w:hangingChars="200"/>
    </w:pPr>
    <w:rPr>
      <w:sz w:val="28"/>
    </w:rPr>
  </w:style>
  <w:style w:type="paragraph" w:styleId="34">
    <w:name w:val="footnote text"/>
    <w:basedOn w:val="1"/>
    <w:link w:val="75"/>
    <w:unhideWhenUsed/>
    <w:qFormat/>
    <w:uiPriority w:val="99"/>
    <w:pPr>
      <w:snapToGrid w:val="0"/>
      <w:jc w:val="left"/>
    </w:pPr>
    <w:rPr>
      <w:sz w:val="18"/>
      <w:szCs w:val="18"/>
    </w:rPr>
  </w:style>
  <w:style w:type="paragraph" w:styleId="35">
    <w:name w:val="toc 6"/>
    <w:basedOn w:val="1"/>
    <w:next w:val="1"/>
    <w:unhideWhenUsed/>
    <w:qFormat/>
    <w:uiPriority w:val="39"/>
    <w:pPr>
      <w:ind w:left="2100" w:leftChars="1000"/>
    </w:pPr>
    <w:rPr>
      <w:rFonts w:ascii="Calibri" w:hAnsi="Calibri"/>
      <w:szCs w:val="22"/>
    </w:rPr>
  </w:style>
  <w:style w:type="paragraph" w:styleId="36">
    <w:name w:val="Body Text Indent 3"/>
    <w:basedOn w:val="1"/>
    <w:link w:val="76"/>
    <w:qFormat/>
    <w:uiPriority w:val="0"/>
    <w:pPr>
      <w:spacing w:after="120"/>
      <w:ind w:left="420" w:leftChars="200"/>
    </w:pPr>
    <w:rPr>
      <w:kern w:val="0"/>
      <w:sz w:val="16"/>
      <w:szCs w:val="16"/>
    </w:rPr>
  </w:style>
  <w:style w:type="paragraph" w:styleId="37">
    <w:name w:val="toc 2"/>
    <w:basedOn w:val="1"/>
    <w:next w:val="1"/>
    <w:unhideWhenUsed/>
    <w:qFormat/>
    <w:uiPriority w:val="39"/>
    <w:pPr>
      <w:ind w:left="420" w:leftChars="200"/>
    </w:pPr>
  </w:style>
  <w:style w:type="paragraph" w:styleId="38">
    <w:name w:val="toc 9"/>
    <w:basedOn w:val="1"/>
    <w:next w:val="1"/>
    <w:unhideWhenUsed/>
    <w:qFormat/>
    <w:uiPriority w:val="39"/>
    <w:pPr>
      <w:ind w:left="3360" w:leftChars="1600"/>
    </w:pPr>
    <w:rPr>
      <w:rFonts w:ascii="Calibri" w:hAnsi="Calibri"/>
      <w:szCs w:val="22"/>
    </w:rPr>
  </w:style>
  <w:style w:type="paragraph" w:styleId="39">
    <w:name w:val="Body Text 2"/>
    <w:basedOn w:val="1"/>
    <w:link w:val="77"/>
    <w:qFormat/>
    <w:uiPriority w:val="0"/>
    <w:pPr>
      <w:spacing w:after="120" w:line="480" w:lineRule="auto"/>
    </w:pPr>
    <w:rPr>
      <w:kern w:val="0"/>
      <w:sz w:val="20"/>
    </w:rPr>
  </w:style>
  <w:style w:type="paragraph" w:styleId="40">
    <w:name w:val="Normal (Web)"/>
    <w:basedOn w:val="1"/>
    <w:qFormat/>
    <w:uiPriority w:val="99"/>
    <w:pPr>
      <w:widowControl/>
      <w:spacing w:before="100" w:beforeAutospacing="1" w:after="100" w:afterAutospacing="1"/>
      <w:jc w:val="left"/>
    </w:pPr>
    <w:rPr>
      <w:rFonts w:ascii="宋体" w:hAnsi="宋体"/>
      <w:kern w:val="0"/>
      <w:sz w:val="24"/>
    </w:rPr>
  </w:style>
  <w:style w:type="paragraph" w:styleId="41">
    <w:name w:val="index 1"/>
    <w:basedOn w:val="1"/>
    <w:next w:val="1"/>
    <w:semiHidden/>
    <w:qFormat/>
    <w:uiPriority w:val="0"/>
    <w:pPr>
      <w:spacing w:line="400" w:lineRule="exact"/>
      <w:ind w:firstLine="420" w:firstLineChars="200"/>
    </w:pPr>
    <w:rPr>
      <w:rFonts w:ascii="宋体" w:hAnsi="Courier New"/>
      <w:b/>
      <w:szCs w:val="20"/>
    </w:rPr>
  </w:style>
  <w:style w:type="paragraph" w:styleId="42">
    <w:name w:val="Title"/>
    <w:basedOn w:val="1"/>
    <w:next w:val="1"/>
    <w:link w:val="78"/>
    <w:qFormat/>
    <w:uiPriority w:val="10"/>
    <w:pPr>
      <w:spacing w:before="240" w:after="60"/>
      <w:jc w:val="center"/>
      <w:outlineLvl w:val="0"/>
    </w:pPr>
    <w:rPr>
      <w:rFonts w:ascii="Cambria" w:hAnsi="Cambria"/>
      <w:b/>
      <w:bCs/>
      <w:sz w:val="32"/>
      <w:szCs w:val="32"/>
    </w:rPr>
  </w:style>
  <w:style w:type="paragraph" w:styleId="43">
    <w:name w:val="annotation subject"/>
    <w:basedOn w:val="15"/>
    <w:next w:val="15"/>
    <w:link w:val="79"/>
    <w:unhideWhenUsed/>
    <w:qFormat/>
    <w:uiPriority w:val="99"/>
    <w:rPr>
      <w:b/>
      <w:bCs/>
    </w:rPr>
  </w:style>
  <w:style w:type="paragraph" w:styleId="44">
    <w:name w:val="Body Text First Indent"/>
    <w:basedOn w:val="17"/>
    <w:next w:val="35"/>
    <w:qFormat/>
    <w:uiPriority w:val="99"/>
    <w:pPr>
      <w:ind w:firstLine="420" w:firstLineChars="100"/>
    </w:p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rPr>
  </w:style>
  <w:style w:type="character" w:styleId="49">
    <w:name w:val="endnote reference"/>
    <w:unhideWhenUsed/>
    <w:qFormat/>
    <w:uiPriority w:val="99"/>
    <w:rPr>
      <w:vertAlign w:val="superscript"/>
    </w:rPr>
  </w:style>
  <w:style w:type="character" w:styleId="50">
    <w:name w:val="page number"/>
    <w:qFormat/>
    <w:uiPriority w:val="0"/>
  </w:style>
  <w:style w:type="character" w:styleId="51">
    <w:name w:val="FollowedHyperlink"/>
    <w:qFormat/>
    <w:uiPriority w:val="0"/>
    <w:rPr>
      <w:color w:val="800080"/>
      <w:u w:val="single"/>
    </w:rPr>
  </w:style>
  <w:style w:type="character" w:styleId="52">
    <w:name w:val="Emphasis"/>
    <w:basedOn w:val="47"/>
    <w:qFormat/>
    <w:uiPriority w:val="20"/>
    <w:rPr>
      <w:i/>
    </w:rPr>
  </w:style>
  <w:style w:type="character" w:styleId="53">
    <w:name w:val="Hyperlink"/>
    <w:qFormat/>
    <w:uiPriority w:val="99"/>
    <w:rPr>
      <w:color w:val="0000FF"/>
      <w:u w:val="single"/>
    </w:rPr>
  </w:style>
  <w:style w:type="character" w:styleId="54">
    <w:name w:val="annotation reference"/>
    <w:unhideWhenUsed/>
    <w:qFormat/>
    <w:uiPriority w:val="0"/>
    <w:rPr>
      <w:sz w:val="21"/>
      <w:szCs w:val="21"/>
    </w:rPr>
  </w:style>
  <w:style w:type="character" w:styleId="55">
    <w:name w:val="footnote reference"/>
    <w:unhideWhenUsed/>
    <w:qFormat/>
    <w:uiPriority w:val="99"/>
    <w:rPr>
      <w:vertAlign w:val="superscript"/>
    </w:rPr>
  </w:style>
  <w:style w:type="character" w:customStyle="1" w:styleId="56">
    <w:name w:val="标题 1 字符1"/>
    <w:link w:val="2"/>
    <w:qFormat/>
    <w:uiPriority w:val="0"/>
    <w:rPr>
      <w:rFonts w:ascii="Times New Roman" w:hAnsi="Times New Roman" w:eastAsia="宋体" w:cs="Times New Roman"/>
      <w:b/>
      <w:bCs/>
      <w:kern w:val="44"/>
      <w:sz w:val="44"/>
      <w:szCs w:val="44"/>
    </w:rPr>
  </w:style>
  <w:style w:type="character" w:customStyle="1" w:styleId="57">
    <w:name w:val="标题 2 字符"/>
    <w:link w:val="3"/>
    <w:qFormat/>
    <w:uiPriority w:val="0"/>
    <w:rPr>
      <w:rFonts w:ascii="Arial" w:hAnsi="Arial" w:eastAsia="黑体" w:cs="Times New Roman"/>
      <w:b/>
      <w:bCs/>
      <w:sz w:val="32"/>
      <w:szCs w:val="32"/>
    </w:rPr>
  </w:style>
  <w:style w:type="character" w:customStyle="1" w:styleId="58">
    <w:name w:val="标题 3 字符"/>
    <w:link w:val="4"/>
    <w:qFormat/>
    <w:uiPriority w:val="0"/>
    <w:rPr>
      <w:rFonts w:ascii="Times New Roman" w:hAnsi="Times New Roman" w:eastAsia="宋体" w:cs="Times New Roman"/>
      <w:b/>
      <w:bCs/>
      <w:sz w:val="32"/>
      <w:szCs w:val="32"/>
    </w:rPr>
  </w:style>
  <w:style w:type="character" w:customStyle="1" w:styleId="59">
    <w:name w:val="标题 5 字符"/>
    <w:link w:val="6"/>
    <w:qFormat/>
    <w:uiPriority w:val="0"/>
    <w:rPr>
      <w:b/>
      <w:kern w:val="2"/>
      <w:sz w:val="28"/>
      <w:szCs w:val="24"/>
    </w:rPr>
  </w:style>
  <w:style w:type="character" w:customStyle="1" w:styleId="60">
    <w:name w:val="标题 6 字符"/>
    <w:link w:val="8"/>
    <w:qFormat/>
    <w:uiPriority w:val="0"/>
    <w:rPr>
      <w:rFonts w:ascii="Arial" w:hAnsi="Arial" w:eastAsia="黑体"/>
      <w:b/>
      <w:kern w:val="2"/>
      <w:sz w:val="24"/>
      <w:szCs w:val="24"/>
    </w:rPr>
  </w:style>
  <w:style w:type="character" w:customStyle="1" w:styleId="61">
    <w:name w:val="标题 7 字符"/>
    <w:link w:val="9"/>
    <w:qFormat/>
    <w:uiPriority w:val="0"/>
    <w:rPr>
      <w:rFonts w:ascii="Times New Roman" w:hAnsi="Times New Roman"/>
      <w:b/>
      <w:kern w:val="2"/>
      <w:sz w:val="24"/>
      <w:szCs w:val="24"/>
    </w:rPr>
  </w:style>
  <w:style w:type="character" w:customStyle="1" w:styleId="62">
    <w:name w:val="标题 8 字符"/>
    <w:link w:val="10"/>
    <w:qFormat/>
    <w:uiPriority w:val="0"/>
    <w:rPr>
      <w:rFonts w:ascii="Arial" w:hAnsi="Arial" w:eastAsia="黑体"/>
      <w:kern w:val="2"/>
      <w:sz w:val="24"/>
      <w:szCs w:val="24"/>
    </w:rPr>
  </w:style>
  <w:style w:type="character" w:customStyle="1" w:styleId="63">
    <w:name w:val="标题 9 字符"/>
    <w:link w:val="11"/>
    <w:qFormat/>
    <w:uiPriority w:val="0"/>
    <w:rPr>
      <w:rFonts w:ascii="Arial" w:hAnsi="Arial" w:eastAsia="黑体"/>
      <w:kern w:val="2"/>
      <w:sz w:val="21"/>
      <w:szCs w:val="24"/>
    </w:rPr>
  </w:style>
  <w:style w:type="character" w:customStyle="1" w:styleId="64">
    <w:name w:val="批注文字 字符2"/>
    <w:link w:val="15"/>
    <w:qFormat/>
    <w:uiPriority w:val="0"/>
    <w:rPr>
      <w:rFonts w:ascii="Times New Roman" w:hAnsi="Times New Roman"/>
      <w:kern w:val="2"/>
      <w:sz w:val="21"/>
      <w:szCs w:val="24"/>
    </w:rPr>
  </w:style>
  <w:style w:type="character" w:customStyle="1" w:styleId="65">
    <w:name w:val="正文文本 3 字符"/>
    <w:link w:val="16"/>
    <w:qFormat/>
    <w:uiPriority w:val="0"/>
    <w:rPr>
      <w:rFonts w:ascii="Times New Roman" w:hAnsi="Times New Roman" w:eastAsia="宋体" w:cs="Times New Roman"/>
      <w:b/>
      <w:bCs/>
      <w:sz w:val="24"/>
      <w:szCs w:val="24"/>
    </w:rPr>
  </w:style>
  <w:style w:type="character" w:customStyle="1" w:styleId="66">
    <w:name w:val="正文文本 字符"/>
    <w:link w:val="17"/>
    <w:qFormat/>
    <w:uiPriority w:val="99"/>
    <w:rPr>
      <w:rFonts w:ascii="Times New Roman" w:hAnsi="Times New Roman" w:eastAsia="宋体" w:cs="Times New Roman"/>
      <w:sz w:val="24"/>
      <w:szCs w:val="24"/>
    </w:rPr>
  </w:style>
  <w:style w:type="character" w:customStyle="1" w:styleId="67">
    <w:name w:val="正文文本缩进 字符1"/>
    <w:link w:val="18"/>
    <w:qFormat/>
    <w:uiPriority w:val="0"/>
    <w:rPr>
      <w:rFonts w:ascii="仿宋_GB2312" w:hAnsi="Times New Roman" w:eastAsia="仿宋_GB2312" w:cs="Times New Roman"/>
      <w:sz w:val="32"/>
      <w:szCs w:val="20"/>
    </w:rPr>
  </w:style>
  <w:style w:type="character" w:customStyle="1" w:styleId="68">
    <w:name w:val="纯文本 字符2"/>
    <w:link w:val="23"/>
    <w:qFormat/>
    <w:uiPriority w:val="0"/>
    <w:rPr>
      <w:rFonts w:ascii="宋体" w:hAnsi="Courier New" w:eastAsia="宋体" w:cs="Courier New"/>
      <w:szCs w:val="21"/>
    </w:rPr>
  </w:style>
  <w:style w:type="character" w:customStyle="1" w:styleId="69">
    <w:name w:val="日期 字符"/>
    <w:link w:val="25"/>
    <w:qFormat/>
    <w:uiPriority w:val="0"/>
    <w:rPr>
      <w:rFonts w:ascii="宋体" w:hAnsi="Courier New" w:eastAsia="宋体" w:cs="Courier New"/>
      <w:szCs w:val="21"/>
    </w:rPr>
  </w:style>
  <w:style w:type="character" w:customStyle="1" w:styleId="70">
    <w:name w:val="正文文本缩进 2 字符"/>
    <w:link w:val="26"/>
    <w:qFormat/>
    <w:uiPriority w:val="0"/>
    <w:rPr>
      <w:rFonts w:ascii="Times New Roman" w:hAnsi="Times New Roman" w:eastAsia="宋体" w:cs="Times New Roman"/>
      <w:sz w:val="32"/>
      <w:szCs w:val="20"/>
    </w:rPr>
  </w:style>
  <w:style w:type="character" w:customStyle="1" w:styleId="71">
    <w:name w:val="尾注文本 字符"/>
    <w:link w:val="27"/>
    <w:semiHidden/>
    <w:qFormat/>
    <w:uiPriority w:val="99"/>
    <w:rPr>
      <w:rFonts w:ascii="Times New Roman" w:hAnsi="Times New Roman"/>
      <w:kern w:val="2"/>
      <w:sz w:val="21"/>
      <w:szCs w:val="24"/>
    </w:rPr>
  </w:style>
  <w:style w:type="character" w:customStyle="1" w:styleId="72">
    <w:name w:val="批注框文本 字符"/>
    <w:link w:val="28"/>
    <w:semiHidden/>
    <w:qFormat/>
    <w:uiPriority w:val="0"/>
    <w:rPr>
      <w:rFonts w:ascii="Times New Roman" w:hAnsi="Times New Roman" w:eastAsia="宋体" w:cs="Times New Roman"/>
      <w:sz w:val="18"/>
      <w:szCs w:val="18"/>
    </w:rPr>
  </w:style>
  <w:style w:type="character" w:customStyle="1" w:styleId="73">
    <w:name w:val="页脚 字符"/>
    <w:link w:val="29"/>
    <w:qFormat/>
    <w:uiPriority w:val="99"/>
    <w:rPr>
      <w:sz w:val="18"/>
      <w:szCs w:val="18"/>
    </w:rPr>
  </w:style>
  <w:style w:type="character" w:customStyle="1" w:styleId="74">
    <w:name w:val="页眉 字符"/>
    <w:link w:val="30"/>
    <w:qFormat/>
    <w:uiPriority w:val="99"/>
    <w:rPr>
      <w:rFonts w:ascii="Times New Roman" w:hAnsi="Times New Roman"/>
      <w:kern w:val="2"/>
      <w:sz w:val="18"/>
      <w:szCs w:val="18"/>
    </w:rPr>
  </w:style>
  <w:style w:type="character" w:customStyle="1" w:styleId="75">
    <w:name w:val="脚注文本 字符"/>
    <w:link w:val="34"/>
    <w:semiHidden/>
    <w:qFormat/>
    <w:uiPriority w:val="99"/>
    <w:rPr>
      <w:rFonts w:ascii="Times New Roman" w:hAnsi="Times New Roman"/>
      <w:kern w:val="2"/>
      <w:sz w:val="18"/>
      <w:szCs w:val="18"/>
    </w:rPr>
  </w:style>
  <w:style w:type="character" w:customStyle="1" w:styleId="76">
    <w:name w:val="正文文本缩进 3 字符"/>
    <w:link w:val="36"/>
    <w:qFormat/>
    <w:uiPriority w:val="0"/>
    <w:rPr>
      <w:rFonts w:ascii="Times New Roman" w:hAnsi="Times New Roman" w:eastAsia="宋体" w:cs="Times New Roman"/>
      <w:sz w:val="16"/>
      <w:szCs w:val="16"/>
    </w:rPr>
  </w:style>
  <w:style w:type="character" w:customStyle="1" w:styleId="77">
    <w:name w:val="正文文本 2 字符"/>
    <w:link w:val="39"/>
    <w:qFormat/>
    <w:uiPriority w:val="0"/>
    <w:rPr>
      <w:rFonts w:ascii="Times New Roman" w:hAnsi="Times New Roman" w:eastAsia="宋体" w:cs="Times New Roman"/>
      <w:szCs w:val="24"/>
    </w:rPr>
  </w:style>
  <w:style w:type="character" w:customStyle="1" w:styleId="78">
    <w:name w:val="标题 字符"/>
    <w:link w:val="42"/>
    <w:qFormat/>
    <w:uiPriority w:val="10"/>
    <w:rPr>
      <w:rFonts w:ascii="Cambria" w:hAnsi="Cambria" w:cs="Times New Roman"/>
      <w:b/>
      <w:bCs/>
      <w:kern w:val="2"/>
      <w:sz w:val="32"/>
      <w:szCs w:val="32"/>
    </w:rPr>
  </w:style>
  <w:style w:type="character" w:customStyle="1" w:styleId="79">
    <w:name w:val="批注主题 字符"/>
    <w:link w:val="43"/>
    <w:semiHidden/>
    <w:qFormat/>
    <w:uiPriority w:val="99"/>
    <w:rPr>
      <w:rFonts w:ascii="Times New Roman" w:hAnsi="Times New Roman"/>
      <w:b/>
      <w:bCs/>
      <w:kern w:val="2"/>
      <w:sz w:val="21"/>
      <w:szCs w:val="24"/>
    </w:rPr>
  </w:style>
  <w:style w:type="character" w:customStyle="1" w:styleId="80">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81">
    <w:name w:val="批注文字 Char1"/>
    <w:semiHidden/>
    <w:qFormat/>
    <w:locked/>
    <w:uiPriority w:val="0"/>
    <w:rPr>
      <w:rFonts w:ascii="Times New Roman" w:hAnsi="Times New Roman"/>
      <w:kern w:val="2"/>
      <w:sz w:val="21"/>
      <w:szCs w:val="24"/>
    </w:rPr>
  </w:style>
  <w:style w:type="character" w:customStyle="1" w:styleId="82">
    <w:name w:val="批注文字 字符1"/>
    <w:qFormat/>
    <w:uiPriority w:val="0"/>
    <w:rPr>
      <w:rFonts w:ascii="Times New Roman" w:hAnsi="Times New Roman"/>
      <w:kern w:val="2"/>
      <w:sz w:val="21"/>
      <w:szCs w:val="24"/>
    </w:rPr>
  </w:style>
  <w:style w:type="character" w:customStyle="1" w:styleId="83">
    <w:name w:val="纯文本 字符"/>
    <w:qFormat/>
    <w:uiPriority w:val="0"/>
    <w:rPr>
      <w:rFonts w:ascii="宋体" w:hAnsi="Courier New" w:eastAsia="宋体" w:cs="Courier New"/>
      <w:szCs w:val="21"/>
    </w:rPr>
  </w:style>
  <w:style w:type="character" w:customStyle="1" w:styleId="84">
    <w:name w:val="批注文字 字符"/>
    <w:qFormat/>
    <w:uiPriority w:val="0"/>
    <w:rPr>
      <w:rFonts w:ascii="Times New Roman" w:hAnsi="Times New Roman"/>
      <w:kern w:val="2"/>
      <w:sz w:val="21"/>
      <w:szCs w:val="24"/>
    </w:rPr>
  </w:style>
  <w:style w:type="character" w:customStyle="1" w:styleId="85">
    <w:name w:val="纯文本 Char"/>
    <w:qFormat/>
    <w:uiPriority w:val="99"/>
    <w:rPr>
      <w:rFonts w:ascii="宋体" w:hAnsi="Courier New" w:eastAsia="宋体"/>
      <w:kern w:val="2"/>
      <w:sz w:val="21"/>
      <w:lang w:val="en-US" w:eastAsia="zh-CN" w:bidi="ar-SA"/>
    </w:rPr>
  </w:style>
  <w:style w:type="character" w:customStyle="1" w:styleId="86">
    <w:name w:val="标题 1 字符"/>
    <w:qFormat/>
    <w:uiPriority w:val="9"/>
    <w:rPr>
      <w:rFonts w:ascii="Times New Roman" w:hAnsi="Times New Roman" w:eastAsia="宋体" w:cs="Times New Roman"/>
      <w:b/>
      <w:bCs/>
      <w:kern w:val="44"/>
      <w:sz w:val="44"/>
      <w:szCs w:val="44"/>
    </w:rPr>
  </w:style>
  <w:style w:type="character" w:customStyle="1" w:styleId="87">
    <w:name w:val="textcontents"/>
    <w:qFormat/>
    <w:uiPriority w:val="0"/>
  </w:style>
  <w:style w:type="character" w:customStyle="1" w:styleId="88">
    <w:name w:val="正文文本缩进 字符"/>
    <w:qFormat/>
    <w:uiPriority w:val="0"/>
    <w:rPr>
      <w:rFonts w:ascii="仿宋_GB2312" w:hAnsi="Times New Roman" w:eastAsia="仿宋_GB2312" w:cs="Times New Roman"/>
      <w:sz w:val="32"/>
      <w:szCs w:val="20"/>
    </w:rPr>
  </w:style>
  <w:style w:type="character" w:customStyle="1" w:styleId="89">
    <w:name w:val="headline-content4"/>
    <w:qFormat/>
    <w:uiPriority w:val="0"/>
  </w:style>
  <w:style w:type="character" w:customStyle="1" w:styleId="90">
    <w:name w:val="apple-style-span"/>
    <w:qFormat/>
    <w:uiPriority w:val="0"/>
  </w:style>
  <w:style w:type="character" w:customStyle="1" w:styleId="91">
    <w:name w:val="case31"/>
    <w:qFormat/>
    <w:uiPriority w:val="0"/>
    <w:rPr>
      <w:rFonts w:hint="default" w:ascii="_x000B__x000C_" w:hAnsi="_x000B__x000C_"/>
      <w:sz w:val="21"/>
      <w:szCs w:val="21"/>
    </w:rPr>
  </w:style>
  <w:style w:type="character" w:customStyle="1" w:styleId="92">
    <w:name w:val="纯文本 字符1"/>
    <w:qFormat/>
    <w:uiPriority w:val="0"/>
    <w:rPr>
      <w:rFonts w:ascii="宋体" w:hAnsi="Courier New"/>
    </w:rPr>
  </w:style>
  <w:style w:type="character" w:customStyle="1" w:styleId="93">
    <w:name w:val="普通文字 Char Char2"/>
    <w:qFormat/>
    <w:uiPriority w:val="0"/>
    <w:rPr>
      <w:rFonts w:ascii="宋体" w:hAnsi="Courier New" w:eastAsia="宋体"/>
      <w:kern w:val="2"/>
      <w:sz w:val="21"/>
      <w:lang w:val="en-US" w:eastAsia="zh-CN" w:bidi="ar-SA"/>
    </w:rPr>
  </w:style>
  <w:style w:type="paragraph" w:customStyle="1" w:styleId="94">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styleId="95">
    <w:name w:val="List Paragraph"/>
    <w:basedOn w:val="1"/>
    <w:qFormat/>
    <w:uiPriority w:val="34"/>
    <w:pPr>
      <w:ind w:firstLine="420" w:firstLineChars="200"/>
    </w:pPr>
  </w:style>
  <w:style w:type="paragraph" w:customStyle="1" w:styleId="96">
    <w:name w:val="正文段"/>
    <w:basedOn w:val="1"/>
    <w:qFormat/>
    <w:uiPriority w:val="0"/>
    <w:pPr>
      <w:widowControl/>
      <w:snapToGrid w:val="0"/>
      <w:spacing w:after="50" w:afterLines="50"/>
      <w:ind w:firstLine="200" w:firstLineChars="200"/>
    </w:pPr>
    <w:rPr>
      <w:kern w:val="0"/>
      <w:sz w:val="24"/>
      <w:szCs w:val="20"/>
    </w:rPr>
  </w:style>
  <w:style w:type="paragraph" w:customStyle="1" w:styleId="97">
    <w:name w:val="表格文字"/>
    <w:basedOn w:val="1"/>
    <w:qFormat/>
    <w:uiPriority w:val="99"/>
    <w:pPr>
      <w:spacing w:before="25" w:after="25"/>
      <w:jc w:val="left"/>
    </w:pPr>
    <w:rPr>
      <w:bCs/>
      <w:spacing w:val="10"/>
      <w:kern w:val="0"/>
      <w:sz w:val="24"/>
    </w:rPr>
  </w:style>
  <w:style w:type="paragraph" w:customStyle="1" w:styleId="98">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99">
    <w:name w:val="样式 首行缩进:  2 字符"/>
    <w:basedOn w:val="1"/>
    <w:qFormat/>
    <w:uiPriority w:val="0"/>
    <w:pPr>
      <w:spacing w:line="400" w:lineRule="exact"/>
      <w:ind w:firstLine="200" w:firstLineChars="200"/>
    </w:pPr>
    <w:rPr>
      <w:rFonts w:cs="宋体"/>
      <w:sz w:val="24"/>
    </w:rPr>
  </w:style>
  <w:style w:type="paragraph" w:customStyle="1" w:styleId="100">
    <w:name w:val="列出段落1"/>
    <w:basedOn w:val="1"/>
    <w:qFormat/>
    <w:uiPriority w:val="0"/>
    <w:pPr>
      <w:widowControl/>
      <w:ind w:firstLine="420" w:firstLineChars="200"/>
      <w:jc w:val="left"/>
    </w:pPr>
    <w:rPr>
      <w:rFonts w:ascii="宋体" w:hAnsi="宋体" w:cs="宋体"/>
      <w:szCs w:val="21"/>
    </w:rPr>
  </w:style>
  <w:style w:type="paragraph" w:customStyle="1" w:styleId="101">
    <w:name w:val="Char1"/>
    <w:basedOn w:val="1"/>
    <w:qFormat/>
    <w:uiPriority w:val="0"/>
    <w:rPr>
      <w:szCs w:val="21"/>
    </w:rPr>
  </w:style>
  <w:style w:type="paragraph" w:customStyle="1" w:styleId="102">
    <w:name w:val="纯文本1"/>
    <w:basedOn w:val="1"/>
    <w:qFormat/>
    <w:uiPriority w:val="0"/>
    <w:rPr>
      <w:rFonts w:ascii="宋体" w:hAnsi="Courier New" w:cs="Century"/>
      <w:szCs w:val="21"/>
    </w:rPr>
  </w:style>
  <w:style w:type="paragraph" w:customStyle="1" w:styleId="103">
    <w:name w:val="p0"/>
    <w:basedOn w:val="1"/>
    <w:qFormat/>
    <w:uiPriority w:val="0"/>
    <w:pPr>
      <w:widowControl/>
    </w:pPr>
    <w:rPr>
      <w:kern w:val="0"/>
      <w:szCs w:val="21"/>
    </w:rPr>
  </w:style>
  <w:style w:type="paragraph" w:customStyle="1" w:styleId="104">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05">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06">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07">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08">
    <w:name w:val="_标题2"/>
    <w:basedOn w:val="3"/>
    <w:next w:val="1"/>
    <w:qFormat/>
    <w:uiPriority w:val="0"/>
    <w:pPr>
      <w:tabs>
        <w:tab w:val="left" w:pos="0"/>
      </w:tabs>
      <w:spacing w:beforeLines="50" w:afterLines="50" w:line="360" w:lineRule="auto"/>
      <w:ind w:left="425" w:hanging="425"/>
    </w:pPr>
    <w:rPr>
      <w:rFonts w:ascii="宋体" w:hAnsi="Cambria" w:eastAsia="仿宋_GB2312"/>
      <w:color w:val="000000"/>
      <w:sz w:val="24"/>
      <w:szCs w:val="28"/>
    </w:rPr>
  </w:style>
  <w:style w:type="paragraph" w:customStyle="1" w:styleId="109">
    <w:name w:val="默认段落字体 Para Char Char Char Char Char Char Char Char Char1 Char Char Char Char"/>
    <w:basedOn w:val="1"/>
    <w:qFormat/>
    <w:uiPriority w:val="0"/>
    <w:rPr>
      <w:rFonts w:ascii="Tahoma" w:hAnsi="Tahoma"/>
      <w:sz w:val="24"/>
      <w:szCs w:val="20"/>
    </w:rPr>
  </w:style>
  <w:style w:type="paragraph" w:customStyle="1" w:styleId="110">
    <w:name w:val="表格"/>
    <w:basedOn w:val="1"/>
    <w:qFormat/>
    <w:uiPriority w:val="0"/>
    <w:pPr>
      <w:spacing w:line="400" w:lineRule="exact"/>
    </w:pPr>
    <w:rPr>
      <w:sz w:val="24"/>
    </w:rPr>
  </w:style>
  <w:style w:type="paragraph" w:customStyle="1" w:styleId="111">
    <w:name w:val="标4"/>
    <w:basedOn w:val="1"/>
    <w:qFormat/>
    <w:uiPriority w:val="0"/>
    <w:pPr>
      <w:adjustRightInd w:val="0"/>
      <w:spacing w:before="240" w:after="360" w:line="240" w:lineRule="exact"/>
      <w:outlineLvl w:val="3"/>
    </w:pPr>
    <w:rPr>
      <w:rFonts w:ascii="Arial" w:hAnsi="Arial" w:cs="Arial"/>
      <w:b/>
      <w:bCs/>
      <w:kern w:val="24"/>
    </w:rPr>
  </w:style>
  <w:style w:type="paragraph" w:customStyle="1" w:styleId="112">
    <w:name w:val="正文首行缩进两字符"/>
    <w:basedOn w:val="1"/>
    <w:qFormat/>
    <w:uiPriority w:val="0"/>
    <w:pPr>
      <w:spacing w:line="360" w:lineRule="auto"/>
      <w:ind w:firstLine="200" w:firstLineChars="200"/>
    </w:pPr>
  </w:style>
  <w:style w:type="paragraph" w:customStyle="1" w:styleId="113">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14">
    <w:name w:val="*正文"/>
    <w:basedOn w:val="1"/>
    <w:qFormat/>
    <w:uiPriority w:val="0"/>
    <w:pPr>
      <w:widowControl/>
      <w:spacing w:line="360" w:lineRule="auto"/>
      <w:ind w:firstLine="200" w:firstLineChars="200"/>
    </w:pPr>
    <w:rPr>
      <w:rFonts w:ascii="宋体" w:hAnsi="宋体" w:eastAsia="仿宋"/>
      <w:sz w:val="24"/>
    </w:rPr>
  </w:style>
  <w:style w:type="paragraph" w:customStyle="1" w:styleId="115">
    <w:name w:val="11111"/>
    <w:basedOn w:val="1"/>
    <w:next w:val="1"/>
    <w:qFormat/>
    <w:uiPriority w:val="0"/>
    <w:pPr>
      <w:spacing w:line="360" w:lineRule="auto"/>
      <w:ind w:firstLine="200" w:firstLineChars="200"/>
    </w:pPr>
    <w:rPr>
      <w:rFonts w:ascii="宋体" w:hAnsi="宋体" w:cs="宋体"/>
      <w:sz w:val="24"/>
    </w:rPr>
  </w:style>
  <w:style w:type="paragraph" w:customStyle="1" w:styleId="116">
    <w:name w:val="_Style 113"/>
    <w:unhideWhenUsed/>
    <w:qFormat/>
    <w:uiPriority w:val="99"/>
    <w:rPr>
      <w:rFonts w:ascii="Times New Roman" w:hAnsi="Times New Roman" w:eastAsia="宋体" w:cs="Times New Roman"/>
      <w:kern w:val="2"/>
      <w:sz w:val="21"/>
      <w:szCs w:val="24"/>
      <w:lang w:val="en-US" w:eastAsia="zh-CN" w:bidi="ar-SA"/>
    </w:rPr>
  </w:style>
  <w:style w:type="paragraph" w:customStyle="1" w:styleId="117">
    <w:name w:val="msolistparagraph"/>
    <w:basedOn w:val="1"/>
    <w:qFormat/>
    <w:uiPriority w:val="0"/>
    <w:pPr>
      <w:ind w:firstLine="420" w:firstLineChars="200"/>
    </w:pPr>
    <w:rPr>
      <w:rFonts w:hint="eastAsia" w:ascii="等线" w:hAnsi="等线" w:eastAsia="等线"/>
      <w:szCs w:val="22"/>
    </w:rPr>
  </w:style>
  <w:style w:type="paragraph" w:customStyle="1" w:styleId="118">
    <w:name w:val="Table Text"/>
    <w:basedOn w:val="1"/>
    <w:semiHidden/>
    <w:qFormat/>
    <w:uiPriority w:val="0"/>
    <w:rPr>
      <w:rFonts w:ascii="宋体" w:hAnsi="宋体" w:cs="宋体"/>
      <w:sz w:val="20"/>
      <w:szCs w:val="20"/>
      <w:lang w:eastAsia="en-US"/>
    </w:rPr>
  </w:style>
  <w:style w:type="table" w:customStyle="1" w:styleId="119">
    <w:name w:val="Table Normal"/>
    <w:semiHidden/>
    <w:unhideWhenUsed/>
    <w:qFormat/>
    <w:uiPriority w:val="0"/>
    <w:tblPr>
      <w:tblCellMar>
        <w:top w:w="0" w:type="dxa"/>
        <w:left w:w="0" w:type="dxa"/>
        <w:bottom w:w="0" w:type="dxa"/>
        <w:right w:w="0" w:type="dxa"/>
      </w:tblCellMar>
    </w:tblPr>
  </w:style>
  <w:style w:type="paragraph" w:customStyle="1" w:styleId="120">
    <w:name w:val="表格文字_file_423_file_2952_file_3082"/>
    <w:basedOn w:val="121"/>
    <w:qFormat/>
    <w:uiPriority w:val="99"/>
    <w:pPr>
      <w:spacing w:before="25" w:after="25"/>
      <w:jc w:val="left"/>
    </w:pPr>
    <w:rPr>
      <w:bCs/>
      <w:spacing w:val="10"/>
      <w:kern w:val="0"/>
      <w:sz w:val="24"/>
    </w:rPr>
  </w:style>
  <w:style w:type="paragraph" w:customStyle="1" w:styleId="121">
    <w:name w:val="Normal_file_423_file_2952_file_3082"/>
    <w:next w:val="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2">
    <w:name w:val="font21"/>
    <w:basedOn w:val="4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160</Pages>
  <Words>6376</Words>
  <Characters>7625</Characters>
  <Lines>4229</Lines>
  <Paragraphs>3431</Paragraphs>
  <TotalTime>8</TotalTime>
  <ScaleCrop>false</ScaleCrop>
  <LinksUpToDate>false</LinksUpToDate>
  <CharactersWithSpaces>7824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2024-07-09T09:30:00Z</dcterms:created>
  <dc:creator>番茄花园</dc:creator>
  <cp:lastModifiedBy>晴天漫步</cp:lastModifiedBy>
  <cp:lastPrinted>2026-03-06T06:47:00Z</cp:lastPrinted>
  <dcterms:modified xsi:type="dcterms:W3CDTF">2026-03-27T09:44:20Z</dcterms:modified>
  <dc:title>公开招标采购文件范本</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57F5E8DA039A4C419BEC613781F6956A_13</vt:lpwstr>
  </property>
  <property fmtid="{D5CDD505-2E9C-101B-9397-08002B2CF9AE}" pid="4" name="KSOTemplateDocerSaveRecord">
    <vt:lpwstr>eyJoZGlkIjoiYzNjNWMwNzQ0YjlhYWVjZjM0YzMzMWJkYzEyOTBhMzUiLCJ1c2VySWQiOiIzNjAzNzMxMzgifQ==</vt:lpwstr>
  </property>
</Properties>
</file>