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B77661">
      <w:pPr>
        <w:spacing w:line="360" w:lineRule="auto"/>
        <w:jc w:val="center"/>
        <w:rPr>
          <w:rStyle w:val="84"/>
          <w:rFonts w:ascii="宋体" w:hAnsi="宋体"/>
        </w:rPr>
      </w:pPr>
    </w:p>
    <w:p w14:paraId="04777B30">
      <w:pPr>
        <w:spacing w:line="360" w:lineRule="auto"/>
        <w:jc w:val="center"/>
        <w:rPr>
          <w:rFonts w:ascii="宋体" w:hAnsi="宋体" w:cs="宋体"/>
          <w:b/>
          <w:bCs/>
          <w:sz w:val="52"/>
          <w:szCs w:val="52"/>
        </w:rPr>
      </w:pPr>
    </w:p>
    <w:p w14:paraId="780C00CF">
      <w:pPr>
        <w:spacing w:line="360" w:lineRule="auto"/>
        <w:jc w:val="center"/>
        <w:rPr>
          <w:rFonts w:ascii="宋体" w:hAnsi="宋体" w:cs="方正小标宋简体"/>
          <w:sz w:val="52"/>
          <w:szCs w:val="52"/>
        </w:rPr>
      </w:pPr>
      <w:r>
        <w:rPr>
          <w:rFonts w:hint="eastAsia" w:ascii="宋体" w:hAnsi="宋体" w:cs="宋体"/>
          <w:b/>
          <w:bCs/>
          <w:sz w:val="52"/>
          <w:szCs w:val="52"/>
        </w:rPr>
        <w:t>广西嘉华建设项目管理咨询有限公司</w:t>
      </w:r>
    </w:p>
    <w:p w14:paraId="342F7A9B">
      <w:pPr>
        <w:spacing w:line="360" w:lineRule="auto"/>
        <w:jc w:val="center"/>
        <w:rPr>
          <w:rFonts w:ascii="宋体" w:hAnsi="宋体" w:cs="方正小标宋简体"/>
          <w:b/>
          <w:sz w:val="44"/>
          <w:szCs w:val="44"/>
        </w:rPr>
      </w:pPr>
    </w:p>
    <w:p w14:paraId="00CFC642">
      <w:pPr>
        <w:snapToGrid w:val="0"/>
        <w:spacing w:before="120" w:beforeLines="50" w:line="360" w:lineRule="auto"/>
        <w:jc w:val="center"/>
        <w:rPr>
          <w:rFonts w:ascii="宋体" w:hAnsi="宋体"/>
          <w:sz w:val="120"/>
          <w:szCs w:val="120"/>
        </w:rPr>
      </w:pPr>
      <w:r>
        <w:rPr>
          <w:rFonts w:hint="eastAsia" w:ascii="宋体" w:hAnsi="宋体"/>
          <w:sz w:val="72"/>
          <w:szCs w:val="72"/>
        </w:rPr>
        <w:t>竞争性磋商文件</w:t>
      </w:r>
    </w:p>
    <w:p w14:paraId="5A8E7F1E">
      <w:pPr>
        <w:snapToGrid w:val="0"/>
        <w:spacing w:before="120" w:beforeLines="50" w:line="360" w:lineRule="auto"/>
        <w:jc w:val="center"/>
        <w:rPr>
          <w:rFonts w:ascii="宋体" w:hAnsi="宋体"/>
          <w:b/>
          <w:sz w:val="30"/>
          <w:szCs w:val="72"/>
        </w:rPr>
      </w:pPr>
    </w:p>
    <w:p w14:paraId="71943CE5">
      <w:pPr>
        <w:snapToGrid w:val="0"/>
        <w:spacing w:before="120" w:beforeLines="50" w:line="360" w:lineRule="auto"/>
        <w:jc w:val="center"/>
        <w:rPr>
          <w:rFonts w:ascii="宋体" w:hAnsi="宋体"/>
          <w:b/>
          <w:sz w:val="30"/>
          <w:szCs w:val="72"/>
        </w:rPr>
      </w:pPr>
    </w:p>
    <w:p w14:paraId="293CF9B5">
      <w:pPr>
        <w:snapToGrid w:val="0"/>
        <w:spacing w:before="120" w:beforeLines="50" w:line="360" w:lineRule="auto"/>
        <w:jc w:val="center"/>
        <w:rPr>
          <w:rFonts w:ascii="宋体" w:hAnsi="宋体"/>
          <w:b/>
          <w:sz w:val="30"/>
          <w:szCs w:val="72"/>
        </w:rPr>
      </w:pPr>
    </w:p>
    <w:p w14:paraId="0A9CC3B5">
      <w:pPr>
        <w:pStyle w:val="18"/>
        <w:snapToGrid w:val="0"/>
        <w:spacing w:line="360" w:lineRule="auto"/>
        <w:jc w:val="center"/>
        <w:rPr>
          <w:rFonts w:hAnsi="宋体"/>
          <w:b/>
          <w:bCs/>
          <w:w w:val="95"/>
          <w:sz w:val="30"/>
          <w:szCs w:val="30"/>
        </w:rPr>
      </w:pPr>
      <w:r>
        <w:rPr>
          <w:rFonts w:hint="eastAsia" w:hAnsi="宋体"/>
          <w:b/>
          <w:bCs/>
          <w:w w:val="95"/>
          <w:sz w:val="30"/>
          <w:szCs w:val="30"/>
        </w:rPr>
        <w:t>项目名称：</w:t>
      </w:r>
      <w:r>
        <w:rPr>
          <w:rFonts w:hint="eastAsia" w:hAnsi="宋体" w:cs="微软雅黑"/>
          <w:b/>
          <w:bCs/>
          <w:w w:val="95"/>
          <w:sz w:val="30"/>
          <w:szCs w:val="30"/>
        </w:rPr>
        <w:t>数字化教学资源建设及师范生教学能力AI测评系统采购</w:t>
      </w:r>
    </w:p>
    <w:p w14:paraId="17AD7A7A">
      <w:pPr>
        <w:pStyle w:val="18"/>
        <w:snapToGrid w:val="0"/>
        <w:spacing w:line="360" w:lineRule="auto"/>
        <w:ind w:firstLine="673" w:firstLineChars="235"/>
        <w:jc w:val="center"/>
        <w:rPr>
          <w:rFonts w:hint="eastAsia" w:hAnsi="宋体" w:eastAsia="宋体"/>
          <w:b/>
          <w:bCs/>
          <w:w w:val="95"/>
          <w:sz w:val="30"/>
          <w:szCs w:val="30"/>
          <w:lang w:eastAsia="zh-CN"/>
        </w:rPr>
      </w:pPr>
      <w:r>
        <w:rPr>
          <w:rFonts w:hint="eastAsia" w:hAnsi="宋体"/>
          <w:b/>
          <w:bCs/>
          <w:w w:val="95"/>
          <w:sz w:val="30"/>
          <w:szCs w:val="30"/>
        </w:rPr>
        <w:t>项目编号：</w:t>
      </w:r>
      <w:r>
        <w:rPr>
          <w:rFonts w:hint="eastAsia" w:hAnsi="宋体"/>
          <w:b/>
          <w:bCs/>
          <w:w w:val="95"/>
          <w:sz w:val="30"/>
          <w:szCs w:val="30"/>
          <w:lang w:eastAsia="zh-CN"/>
        </w:rPr>
        <w:t>GXZC2026-C3-000589-GXJH</w:t>
      </w:r>
    </w:p>
    <w:p w14:paraId="0295E867">
      <w:pPr>
        <w:pStyle w:val="18"/>
        <w:snapToGrid w:val="0"/>
        <w:spacing w:line="360" w:lineRule="auto"/>
        <w:ind w:firstLine="673" w:firstLineChars="235"/>
        <w:rPr>
          <w:rFonts w:hAnsi="宋体"/>
          <w:b/>
          <w:bCs/>
          <w:w w:val="95"/>
          <w:sz w:val="30"/>
          <w:szCs w:val="30"/>
        </w:rPr>
      </w:pPr>
    </w:p>
    <w:p w14:paraId="1ED21419">
      <w:pPr>
        <w:pStyle w:val="18"/>
        <w:snapToGrid w:val="0"/>
        <w:spacing w:line="360" w:lineRule="auto"/>
        <w:ind w:firstLine="673" w:firstLineChars="235"/>
        <w:rPr>
          <w:rFonts w:hAnsi="宋体"/>
          <w:b/>
          <w:bCs/>
          <w:w w:val="95"/>
          <w:sz w:val="30"/>
          <w:szCs w:val="30"/>
        </w:rPr>
      </w:pPr>
    </w:p>
    <w:p w14:paraId="657C470A">
      <w:pPr>
        <w:pStyle w:val="18"/>
        <w:snapToGrid w:val="0"/>
        <w:spacing w:line="360" w:lineRule="auto"/>
        <w:ind w:firstLine="673" w:firstLineChars="235"/>
        <w:rPr>
          <w:rFonts w:hAnsi="宋体"/>
          <w:b/>
          <w:bCs/>
          <w:w w:val="95"/>
          <w:sz w:val="30"/>
          <w:szCs w:val="30"/>
        </w:rPr>
      </w:pPr>
    </w:p>
    <w:p w14:paraId="71255CFB">
      <w:pPr>
        <w:pStyle w:val="18"/>
        <w:snapToGrid w:val="0"/>
        <w:spacing w:line="360" w:lineRule="auto"/>
        <w:ind w:firstLine="673" w:firstLineChars="235"/>
        <w:rPr>
          <w:rFonts w:hAnsi="宋体"/>
          <w:b/>
          <w:bCs/>
          <w:w w:val="95"/>
          <w:sz w:val="30"/>
          <w:szCs w:val="30"/>
        </w:rPr>
      </w:pPr>
    </w:p>
    <w:p w14:paraId="12B58A3B">
      <w:pPr>
        <w:pStyle w:val="18"/>
        <w:snapToGrid w:val="0"/>
        <w:spacing w:line="360" w:lineRule="auto"/>
        <w:ind w:firstLine="673" w:firstLineChars="235"/>
        <w:rPr>
          <w:rFonts w:hAnsi="宋体"/>
          <w:b/>
          <w:bCs/>
          <w:w w:val="95"/>
          <w:sz w:val="30"/>
          <w:szCs w:val="30"/>
        </w:rPr>
      </w:pPr>
      <w:r>
        <w:rPr>
          <w:rFonts w:hint="eastAsia" w:hAnsi="宋体"/>
          <w:b/>
          <w:bCs/>
          <w:w w:val="95"/>
          <w:sz w:val="30"/>
          <w:szCs w:val="30"/>
        </w:rPr>
        <w:t>采购人： 广西师范大学</w:t>
      </w:r>
    </w:p>
    <w:p w14:paraId="0CB3598D">
      <w:pPr>
        <w:pStyle w:val="18"/>
        <w:snapToGrid w:val="0"/>
        <w:spacing w:line="360" w:lineRule="auto"/>
        <w:ind w:firstLine="572" w:firstLineChars="200"/>
        <w:rPr>
          <w:rFonts w:hAnsi="宋体"/>
          <w:b/>
          <w:bCs/>
          <w:w w:val="95"/>
          <w:sz w:val="30"/>
          <w:szCs w:val="30"/>
        </w:rPr>
      </w:pPr>
      <w:r>
        <w:rPr>
          <w:rFonts w:hint="eastAsia" w:hAnsi="宋体"/>
          <w:b/>
          <w:bCs/>
          <w:w w:val="95"/>
          <w:sz w:val="30"/>
          <w:szCs w:val="30"/>
        </w:rPr>
        <w:t>采购代理机构：广西</w:t>
      </w:r>
      <w:r>
        <w:rPr>
          <w:rFonts w:hint="eastAsia" w:hAnsi="宋体" w:cs="微软雅黑"/>
          <w:b/>
          <w:bCs/>
          <w:w w:val="95"/>
          <w:sz w:val="30"/>
          <w:szCs w:val="30"/>
        </w:rPr>
        <w:t>嘉华建设</w:t>
      </w:r>
      <w:r>
        <w:rPr>
          <w:rFonts w:hint="eastAsia" w:hAnsi="宋体" w:cs="___WRD_EMBED_SUB_47"/>
          <w:b/>
          <w:bCs/>
          <w:w w:val="95"/>
          <w:sz w:val="30"/>
          <w:szCs w:val="30"/>
        </w:rPr>
        <w:t>项目管理咨询有限公司</w:t>
      </w:r>
    </w:p>
    <w:p w14:paraId="7827722E">
      <w:pPr>
        <w:pStyle w:val="18"/>
        <w:snapToGrid w:val="0"/>
        <w:spacing w:line="360" w:lineRule="auto"/>
        <w:jc w:val="center"/>
        <w:rPr>
          <w:rFonts w:hAnsi="宋体"/>
          <w:b/>
          <w:bCs/>
          <w:w w:val="95"/>
          <w:sz w:val="30"/>
          <w:szCs w:val="30"/>
        </w:rPr>
      </w:pPr>
    </w:p>
    <w:p w14:paraId="10695E4F">
      <w:pPr>
        <w:pStyle w:val="18"/>
        <w:snapToGrid w:val="0"/>
        <w:spacing w:line="360" w:lineRule="auto"/>
        <w:jc w:val="center"/>
        <w:rPr>
          <w:rFonts w:hAnsi="宋体"/>
          <w:b/>
          <w:sz w:val="44"/>
          <w:szCs w:val="44"/>
        </w:rPr>
      </w:pPr>
      <w:r>
        <w:rPr>
          <w:rFonts w:hint="eastAsia" w:hAnsi="宋体"/>
          <w:b/>
          <w:bCs/>
          <w:w w:val="95"/>
          <w:sz w:val="30"/>
          <w:szCs w:val="30"/>
        </w:rPr>
        <w:t>202</w:t>
      </w:r>
      <w:r>
        <w:rPr>
          <w:rFonts w:hAnsi="宋体"/>
          <w:b/>
          <w:bCs/>
          <w:w w:val="95"/>
          <w:sz w:val="30"/>
          <w:szCs w:val="30"/>
        </w:rPr>
        <w:t>6</w:t>
      </w:r>
      <w:r>
        <w:rPr>
          <w:rFonts w:hint="eastAsia" w:hAnsi="宋体"/>
          <w:b/>
          <w:bCs/>
          <w:w w:val="95"/>
          <w:sz w:val="30"/>
          <w:szCs w:val="30"/>
        </w:rPr>
        <w:t>年</w:t>
      </w:r>
      <w:r>
        <w:rPr>
          <w:rFonts w:hAnsi="宋体"/>
          <w:b/>
          <w:bCs/>
          <w:w w:val="95"/>
          <w:sz w:val="30"/>
          <w:szCs w:val="30"/>
        </w:rPr>
        <w:t>3</w:t>
      </w:r>
      <w:r>
        <w:rPr>
          <w:rFonts w:hint="eastAsia" w:hAnsi="宋体"/>
          <w:b/>
          <w:bCs/>
          <w:w w:val="95"/>
          <w:sz w:val="30"/>
          <w:szCs w:val="30"/>
        </w:rPr>
        <w:t>月</w:t>
      </w:r>
    </w:p>
    <w:p w14:paraId="693FA78E">
      <w:pPr>
        <w:spacing w:line="360" w:lineRule="auto"/>
        <w:jc w:val="center"/>
        <w:rPr>
          <w:rFonts w:ascii="宋体" w:hAnsi="宋体"/>
          <w:b/>
          <w:sz w:val="44"/>
          <w:szCs w:val="44"/>
        </w:rPr>
      </w:pPr>
      <w:r>
        <w:rPr>
          <w:rFonts w:ascii="宋体" w:hAnsi="宋体"/>
          <w:b/>
          <w:sz w:val="44"/>
          <w:szCs w:val="44"/>
        </w:rPr>
        <w:br w:type="page"/>
      </w:r>
      <w:r>
        <w:rPr>
          <w:rFonts w:hint="eastAsia" w:ascii="宋体" w:hAnsi="宋体"/>
          <w:b/>
          <w:sz w:val="44"/>
          <w:szCs w:val="44"/>
        </w:rPr>
        <w:t>目  录</w:t>
      </w:r>
    </w:p>
    <w:p w14:paraId="17EB276D">
      <w:pPr>
        <w:spacing w:line="400" w:lineRule="exact"/>
        <w:rPr>
          <w:rFonts w:ascii="宋体" w:hAnsi="宋体"/>
          <w:b/>
          <w:sz w:val="44"/>
          <w:szCs w:val="44"/>
        </w:rPr>
      </w:pPr>
    </w:p>
    <w:p w14:paraId="4D39A6B9">
      <w:pPr>
        <w:tabs>
          <w:tab w:val="right" w:leader="dot" w:pos="8869"/>
        </w:tabs>
        <w:snapToGrid w:val="0"/>
        <w:spacing w:line="460" w:lineRule="exact"/>
        <w:rPr>
          <w:rFonts w:ascii="宋体" w:hAnsi="宋体"/>
          <w:b/>
          <w:sz w:val="24"/>
        </w:rPr>
      </w:pPr>
      <w:r>
        <w:rPr>
          <w:rStyle w:val="34"/>
          <w:rFonts w:hint="eastAsia" w:ascii="宋体" w:hAnsi="宋体"/>
          <w:b/>
          <w:color w:val="auto"/>
          <w:sz w:val="24"/>
          <w:u w:val="none"/>
        </w:rPr>
        <w:t>第一章</w:t>
      </w:r>
      <w:r>
        <w:rPr>
          <w:rStyle w:val="34"/>
          <w:rFonts w:ascii="宋体" w:hAnsi="宋体"/>
          <w:b/>
          <w:color w:val="auto"/>
          <w:sz w:val="24"/>
          <w:u w:val="none"/>
        </w:rPr>
        <w:t xml:space="preserve"> </w:t>
      </w:r>
      <w:r>
        <w:rPr>
          <w:rStyle w:val="34"/>
          <w:rFonts w:hint="eastAsia" w:ascii="宋体" w:hAnsi="宋体"/>
          <w:b/>
          <w:color w:val="auto"/>
          <w:sz w:val="24"/>
          <w:u w:val="none"/>
        </w:rPr>
        <w:t>竞争性磋商公告</w:t>
      </w:r>
      <w:r>
        <w:rPr>
          <w:rFonts w:ascii="宋体" w:hAnsi="宋体"/>
          <w:b/>
          <w:sz w:val="24"/>
        </w:rPr>
        <w:tab/>
      </w:r>
      <w:r>
        <w:rPr>
          <w:rFonts w:ascii="宋体" w:hAnsi="宋体"/>
          <w:b/>
          <w:sz w:val="24"/>
        </w:rPr>
        <w:t>2</w:t>
      </w:r>
    </w:p>
    <w:p w14:paraId="208A95E3">
      <w:pPr>
        <w:pStyle w:val="79"/>
        <w:tabs>
          <w:tab w:val="right" w:leader="dot" w:pos="8869"/>
        </w:tabs>
        <w:snapToGrid w:val="0"/>
        <w:spacing w:line="460" w:lineRule="exact"/>
        <w:rPr>
          <w:rFonts w:ascii="宋体" w:hAnsi="宋体"/>
          <w:b/>
          <w:sz w:val="24"/>
        </w:rPr>
      </w:pPr>
      <w:r>
        <w:rPr>
          <w:rStyle w:val="34"/>
          <w:rFonts w:hint="eastAsia" w:ascii="宋体" w:hAnsi="宋体"/>
          <w:b/>
          <w:color w:val="auto"/>
          <w:sz w:val="24"/>
          <w:u w:val="none"/>
        </w:rPr>
        <w:t>第二章</w:t>
      </w:r>
      <w:r>
        <w:rPr>
          <w:rStyle w:val="34"/>
          <w:rFonts w:ascii="宋体" w:hAnsi="宋体"/>
          <w:b/>
          <w:color w:val="auto"/>
          <w:sz w:val="24"/>
          <w:u w:val="none"/>
        </w:rPr>
        <w:t xml:space="preserve"> </w:t>
      </w:r>
      <w:r>
        <w:rPr>
          <w:rStyle w:val="34"/>
          <w:rFonts w:hint="eastAsia" w:ascii="宋体" w:hAnsi="宋体"/>
          <w:b/>
          <w:color w:val="auto"/>
          <w:sz w:val="24"/>
          <w:u w:val="none"/>
        </w:rPr>
        <w:t>供应商须知</w:t>
      </w:r>
      <w:r>
        <w:rPr>
          <w:rFonts w:ascii="宋体" w:hAnsi="宋体"/>
          <w:b/>
          <w:sz w:val="24"/>
        </w:rPr>
        <w:tab/>
      </w:r>
      <w:r>
        <w:rPr>
          <w:rFonts w:ascii="宋体" w:hAnsi="宋体"/>
          <w:b/>
          <w:sz w:val="24"/>
        </w:rPr>
        <w:t>6</w:t>
      </w:r>
    </w:p>
    <w:p w14:paraId="320067A8">
      <w:pPr>
        <w:pStyle w:val="79"/>
        <w:tabs>
          <w:tab w:val="right" w:leader="dot" w:pos="8869"/>
        </w:tabs>
        <w:snapToGrid w:val="0"/>
        <w:spacing w:line="460" w:lineRule="exact"/>
        <w:rPr>
          <w:rFonts w:hint="eastAsia" w:ascii="宋体" w:hAnsi="宋体" w:eastAsia="宋体"/>
          <w:b/>
          <w:sz w:val="24"/>
          <w:lang w:eastAsia="zh-CN"/>
        </w:rPr>
      </w:pPr>
      <w:r>
        <w:rPr>
          <w:rStyle w:val="34"/>
          <w:rFonts w:hint="eastAsia" w:ascii="宋体" w:hAnsi="宋体"/>
          <w:b/>
          <w:color w:val="auto"/>
          <w:sz w:val="24"/>
          <w:u w:val="none"/>
        </w:rPr>
        <w:t>第三章</w:t>
      </w:r>
      <w:r>
        <w:rPr>
          <w:rStyle w:val="34"/>
          <w:rFonts w:ascii="宋体" w:hAnsi="宋体"/>
          <w:b/>
          <w:color w:val="auto"/>
          <w:sz w:val="24"/>
          <w:u w:val="none"/>
        </w:rPr>
        <w:t xml:space="preserve"> </w:t>
      </w:r>
      <w:r>
        <w:rPr>
          <w:rStyle w:val="34"/>
          <w:rFonts w:hint="eastAsia" w:ascii="宋体" w:hAnsi="宋体"/>
          <w:b/>
          <w:color w:val="auto"/>
          <w:sz w:val="24"/>
          <w:u w:val="none"/>
        </w:rPr>
        <w:t>采购需求</w:t>
      </w:r>
      <w:r>
        <w:rPr>
          <w:rFonts w:ascii="宋体" w:hAnsi="宋体"/>
          <w:b/>
          <w:sz w:val="24"/>
        </w:rPr>
        <w:tab/>
      </w:r>
      <w:r>
        <w:rPr>
          <w:rFonts w:ascii="宋体" w:hAnsi="宋体"/>
          <w:b/>
          <w:sz w:val="24"/>
        </w:rPr>
        <w:t>2</w:t>
      </w:r>
      <w:r>
        <w:rPr>
          <w:rFonts w:hint="eastAsia" w:ascii="宋体" w:hAnsi="宋体"/>
          <w:b/>
          <w:sz w:val="24"/>
          <w:lang w:val="en-US" w:eastAsia="zh-CN"/>
        </w:rPr>
        <w:t>8</w:t>
      </w:r>
    </w:p>
    <w:p w14:paraId="6D47EF14">
      <w:pPr>
        <w:pStyle w:val="79"/>
        <w:tabs>
          <w:tab w:val="right" w:leader="dot" w:pos="8869"/>
        </w:tabs>
        <w:snapToGrid w:val="0"/>
        <w:spacing w:line="460" w:lineRule="exact"/>
        <w:rPr>
          <w:rFonts w:hint="eastAsia" w:ascii="宋体" w:hAnsi="宋体" w:eastAsia="宋体"/>
          <w:b/>
          <w:sz w:val="24"/>
          <w:lang w:eastAsia="zh-CN"/>
        </w:rPr>
      </w:pPr>
      <w:r>
        <w:rPr>
          <w:rStyle w:val="34"/>
          <w:rFonts w:hint="eastAsia" w:ascii="宋体" w:hAnsi="宋体"/>
          <w:b/>
          <w:color w:val="auto"/>
          <w:sz w:val="24"/>
          <w:u w:val="none"/>
        </w:rPr>
        <w:t>第四章</w:t>
      </w:r>
      <w:r>
        <w:rPr>
          <w:rStyle w:val="34"/>
          <w:rFonts w:ascii="宋体" w:hAnsi="宋体"/>
          <w:b/>
          <w:color w:val="auto"/>
          <w:sz w:val="24"/>
          <w:u w:val="none"/>
        </w:rPr>
        <w:t xml:space="preserve"> </w:t>
      </w:r>
      <w:r>
        <w:rPr>
          <w:rStyle w:val="34"/>
          <w:rFonts w:hint="eastAsia" w:ascii="宋体" w:hAnsi="宋体"/>
          <w:b/>
          <w:color w:val="auto"/>
          <w:sz w:val="24"/>
          <w:u w:val="none"/>
        </w:rPr>
        <w:t>评审程序、评审</w:t>
      </w:r>
      <w:bookmarkStart w:id="0" w:name="_Hlt115339271"/>
      <w:bookmarkStart w:id="1" w:name="_Hlt115339272"/>
      <w:r>
        <w:rPr>
          <w:rStyle w:val="34"/>
          <w:rFonts w:hint="eastAsia" w:ascii="宋体" w:hAnsi="宋体"/>
          <w:b/>
          <w:color w:val="auto"/>
          <w:sz w:val="24"/>
          <w:u w:val="none"/>
        </w:rPr>
        <w:t>方</w:t>
      </w:r>
      <w:bookmarkEnd w:id="0"/>
      <w:bookmarkEnd w:id="1"/>
      <w:r>
        <w:rPr>
          <w:rStyle w:val="34"/>
          <w:rFonts w:hint="eastAsia" w:ascii="宋体" w:hAnsi="宋体"/>
          <w:b/>
          <w:color w:val="auto"/>
          <w:sz w:val="24"/>
          <w:u w:val="none"/>
        </w:rPr>
        <w:t>法和评审标准</w:t>
      </w:r>
      <w:bookmarkStart w:id="2" w:name="_Hlt115276853"/>
      <w:r>
        <w:rPr>
          <w:rFonts w:ascii="宋体" w:hAnsi="宋体"/>
          <w:b/>
          <w:sz w:val="24"/>
        </w:rPr>
        <w:tab/>
      </w:r>
      <w:bookmarkEnd w:id="2"/>
      <w:r>
        <w:rPr>
          <w:rFonts w:ascii="宋体" w:hAnsi="宋体"/>
          <w:b/>
          <w:sz w:val="24"/>
        </w:rPr>
        <w:t>6</w:t>
      </w:r>
      <w:r>
        <w:rPr>
          <w:rFonts w:hint="eastAsia" w:ascii="宋体" w:hAnsi="宋体"/>
          <w:b/>
          <w:sz w:val="24"/>
          <w:lang w:val="en-US" w:eastAsia="zh-CN"/>
        </w:rPr>
        <w:t>5</w:t>
      </w:r>
    </w:p>
    <w:p w14:paraId="492603D5">
      <w:pPr>
        <w:pStyle w:val="79"/>
        <w:tabs>
          <w:tab w:val="right" w:leader="dot" w:pos="8869"/>
        </w:tabs>
        <w:snapToGrid w:val="0"/>
        <w:spacing w:line="460" w:lineRule="exact"/>
        <w:rPr>
          <w:rFonts w:hint="eastAsia" w:ascii="宋体" w:hAnsi="宋体" w:eastAsia="宋体"/>
          <w:b/>
          <w:sz w:val="24"/>
          <w:lang w:eastAsia="zh-CN"/>
        </w:rPr>
      </w:pPr>
      <w:r>
        <w:rPr>
          <w:rStyle w:val="34"/>
          <w:rFonts w:hint="eastAsia" w:ascii="宋体" w:hAnsi="宋体"/>
          <w:b/>
          <w:color w:val="auto"/>
          <w:sz w:val="24"/>
          <w:u w:val="none"/>
        </w:rPr>
        <w:t>第五章</w:t>
      </w:r>
      <w:r>
        <w:rPr>
          <w:rStyle w:val="34"/>
          <w:rFonts w:ascii="宋体" w:hAnsi="宋体"/>
          <w:b/>
          <w:color w:val="auto"/>
          <w:sz w:val="24"/>
          <w:u w:val="none"/>
        </w:rPr>
        <w:t xml:space="preserve"> </w:t>
      </w:r>
      <w:r>
        <w:rPr>
          <w:rStyle w:val="34"/>
          <w:rFonts w:hint="eastAsia" w:ascii="宋体" w:hAnsi="宋体"/>
          <w:b/>
          <w:color w:val="auto"/>
          <w:sz w:val="24"/>
          <w:u w:val="none"/>
        </w:rPr>
        <w:t>响应文件格式</w:t>
      </w:r>
      <w:r>
        <w:rPr>
          <w:rFonts w:ascii="宋体" w:hAnsi="宋体"/>
          <w:b/>
          <w:sz w:val="24"/>
        </w:rPr>
        <w:tab/>
      </w:r>
      <w:r>
        <w:rPr>
          <w:rFonts w:ascii="宋体" w:hAnsi="宋体"/>
          <w:b/>
          <w:sz w:val="24"/>
        </w:rPr>
        <w:t>7</w:t>
      </w:r>
      <w:r>
        <w:rPr>
          <w:rFonts w:hint="eastAsia" w:ascii="宋体" w:hAnsi="宋体"/>
          <w:b/>
          <w:sz w:val="24"/>
          <w:lang w:val="en-US" w:eastAsia="zh-CN"/>
        </w:rPr>
        <w:t>4</w:t>
      </w:r>
    </w:p>
    <w:p w14:paraId="7DE3EB02">
      <w:pPr>
        <w:pStyle w:val="79"/>
        <w:tabs>
          <w:tab w:val="right" w:leader="dot" w:pos="8869"/>
        </w:tabs>
        <w:snapToGrid w:val="0"/>
        <w:spacing w:after="120" w:line="460" w:lineRule="exact"/>
        <w:rPr>
          <w:rFonts w:hint="default" w:ascii="宋体" w:hAnsi="宋体" w:eastAsia="宋体"/>
          <w:b/>
          <w:sz w:val="24"/>
          <w:lang w:val="en-US" w:eastAsia="zh-CN"/>
        </w:rPr>
      </w:pPr>
      <w:r>
        <w:rPr>
          <w:rStyle w:val="34"/>
          <w:rFonts w:hint="eastAsia" w:ascii="宋体" w:hAnsi="宋体"/>
          <w:b/>
          <w:color w:val="auto"/>
          <w:sz w:val="24"/>
          <w:u w:val="none"/>
        </w:rPr>
        <w:t>第六章</w:t>
      </w:r>
      <w:r>
        <w:rPr>
          <w:rStyle w:val="34"/>
          <w:rFonts w:ascii="宋体" w:hAnsi="宋体"/>
          <w:b/>
          <w:color w:val="auto"/>
          <w:sz w:val="24"/>
          <w:u w:val="none"/>
        </w:rPr>
        <w:t xml:space="preserve"> </w:t>
      </w:r>
      <w:r>
        <w:rPr>
          <w:rStyle w:val="34"/>
          <w:rFonts w:hint="eastAsia" w:ascii="宋体" w:hAnsi="宋体"/>
          <w:b/>
          <w:color w:val="auto"/>
          <w:sz w:val="24"/>
          <w:u w:val="none"/>
        </w:rPr>
        <w:t>合同文本</w:t>
      </w:r>
      <w:r>
        <w:rPr>
          <w:rFonts w:ascii="宋体" w:hAnsi="宋体"/>
          <w:b/>
          <w:sz w:val="24"/>
        </w:rPr>
        <w:tab/>
      </w:r>
      <w:r>
        <w:rPr>
          <w:rFonts w:hint="eastAsia" w:ascii="宋体" w:hAnsi="宋体"/>
          <w:b/>
          <w:sz w:val="24"/>
          <w:lang w:val="en-US" w:eastAsia="zh-CN"/>
        </w:rPr>
        <w:t>101</w:t>
      </w:r>
    </w:p>
    <w:p w14:paraId="7720A67C">
      <w:pPr>
        <w:pStyle w:val="24"/>
        <w:snapToGrid w:val="0"/>
        <w:spacing w:line="500" w:lineRule="atLeast"/>
        <w:rPr>
          <w:rFonts w:ascii="宋体" w:hAnsi="宋体"/>
          <w:b/>
          <w:sz w:val="24"/>
        </w:rPr>
      </w:pPr>
    </w:p>
    <w:p w14:paraId="3CE3927E">
      <w:pPr>
        <w:spacing w:line="400" w:lineRule="exact"/>
        <w:rPr>
          <w:rFonts w:ascii="宋体" w:hAnsi="宋体"/>
          <w:b/>
          <w:sz w:val="32"/>
          <w:szCs w:val="32"/>
        </w:rPr>
        <w:sectPr>
          <w:headerReference r:id="rId4" w:type="first"/>
          <w:headerReference r:id="rId3" w:type="default"/>
          <w:footerReference r:id="rId5" w:type="default"/>
          <w:pgSz w:w="11906" w:h="16838"/>
          <w:pgMar w:top="1440" w:right="1440" w:bottom="1440" w:left="1587" w:header="851" w:footer="992" w:gutter="0"/>
          <w:pgNumType w:start="0"/>
          <w:cols w:space="720" w:num="1"/>
          <w:titlePg/>
          <w:docGrid w:linePitch="312" w:charSpace="0"/>
        </w:sectPr>
      </w:pPr>
    </w:p>
    <w:p w14:paraId="703E752B">
      <w:pPr>
        <w:pStyle w:val="3"/>
        <w:spacing w:line="240" w:lineRule="auto"/>
        <w:jc w:val="center"/>
        <w:rPr>
          <w:rFonts w:ascii="宋体" w:hAnsi="宋体"/>
        </w:rPr>
      </w:pPr>
      <w:bookmarkStart w:id="3" w:name="_Toc74322605"/>
      <w:r>
        <w:rPr>
          <w:rFonts w:hint="eastAsia" w:ascii="宋体" w:hAnsi="宋体"/>
        </w:rPr>
        <w:t>第一章 竞争性磋商公告</w:t>
      </w:r>
      <w:bookmarkEnd w:id="3"/>
    </w:p>
    <w:p w14:paraId="336C3BEA">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szCs w:val="21"/>
        </w:rPr>
      </w:pPr>
      <w:bookmarkStart w:id="4" w:name="_Hlk37430271"/>
      <w:r>
        <w:rPr>
          <w:rFonts w:hint="eastAsia" w:ascii="宋体" w:hAnsi="宋体"/>
          <w:szCs w:val="21"/>
        </w:rPr>
        <w:t>项目概况</w:t>
      </w:r>
    </w:p>
    <w:p w14:paraId="79E7AC6B">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szCs w:val="21"/>
        </w:rPr>
      </w:pPr>
      <w:r>
        <w:rPr>
          <w:rFonts w:hint="eastAsia" w:ascii="宋体" w:hAnsi="宋体"/>
          <w:szCs w:val="21"/>
        </w:rPr>
        <w:t>数字化教学资源建设及师范生教学能力AI测评系统采购的</w:t>
      </w:r>
      <w:r>
        <w:rPr>
          <w:rFonts w:hint="eastAsia" w:ascii="宋体" w:hAnsi="宋体"/>
        </w:rPr>
        <w:t>潜</w:t>
      </w:r>
      <w:r>
        <w:rPr>
          <w:rFonts w:hint="eastAsia" w:ascii="宋体" w:hAnsi="宋体"/>
          <w:szCs w:val="21"/>
        </w:rPr>
        <w:t>在供应商应在广西政府采购云平台（</w:t>
      </w:r>
      <w:r>
        <w:rPr>
          <w:rFonts w:hint="eastAsia" w:ascii="宋体" w:hAnsi="宋体"/>
          <w:bCs/>
          <w:szCs w:val="21"/>
        </w:rPr>
        <w:t>https://www.gcy.zfcg.gxzf.gov.cn/</w:t>
      </w:r>
      <w:r>
        <w:rPr>
          <w:rFonts w:hint="eastAsia" w:ascii="宋体" w:hAnsi="宋体"/>
          <w:szCs w:val="21"/>
        </w:rPr>
        <w:t>）</w:t>
      </w:r>
      <w:r>
        <w:fldChar w:fldCharType="begin"/>
      </w:r>
      <w:r>
        <w:instrText xml:space="preserve"> HYPERLINK "http://www.zcygov.cn）获取（下载）竞争性磋商文件，并于2023年" </w:instrText>
      </w:r>
      <w:r>
        <w:fldChar w:fldCharType="separate"/>
      </w:r>
      <w:r>
        <w:rPr>
          <w:rFonts w:hint="eastAsia" w:ascii="宋体" w:hAnsi="宋体"/>
          <w:szCs w:val="21"/>
        </w:rPr>
        <w:t>获取（下载）竞争性磋商文件，并于202</w:t>
      </w:r>
      <w:r>
        <w:rPr>
          <w:rFonts w:ascii="宋体" w:hAnsi="宋体"/>
          <w:szCs w:val="21"/>
        </w:rPr>
        <w:t>6</w:t>
      </w:r>
      <w:r>
        <w:rPr>
          <w:rFonts w:hint="eastAsia" w:ascii="宋体" w:hAnsi="宋体"/>
          <w:szCs w:val="21"/>
        </w:rPr>
        <w:t>年</w:t>
      </w:r>
      <w:r>
        <w:rPr>
          <w:rFonts w:hint="eastAsia" w:ascii="宋体" w:hAnsi="宋体"/>
          <w:szCs w:val="21"/>
        </w:rPr>
        <w:fldChar w:fldCharType="end"/>
      </w:r>
      <w:r>
        <w:rPr>
          <w:rFonts w:hint="eastAsia" w:ascii="宋体" w:hAnsi="宋体"/>
          <w:lang w:val="en-US" w:eastAsia="zh-CN"/>
        </w:rPr>
        <w:t>04</w:t>
      </w:r>
      <w:r>
        <w:rPr>
          <w:rFonts w:ascii="宋体" w:hAnsi="宋体"/>
        </w:rPr>
        <w:t>月</w:t>
      </w:r>
      <w:r>
        <w:rPr>
          <w:rFonts w:hint="eastAsia" w:ascii="宋体" w:hAnsi="宋体"/>
          <w:lang w:val="en-US" w:eastAsia="zh-CN"/>
        </w:rPr>
        <w:t>09</w:t>
      </w:r>
      <w:bookmarkStart w:id="105" w:name="_GoBack"/>
      <w:bookmarkEnd w:id="105"/>
      <w:r>
        <w:rPr>
          <w:rFonts w:ascii="宋体" w:hAnsi="宋体"/>
        </w:rPr>
        <w:t>日</w:t>
      </w:r>
      <w:r>
        <w:rPr>
          <w:rFonts w:hint="eastAsia" w:ascii="宋体" w:hAnsi="宋体"/>
        </w:rPr>
        <w:t>9时30分（北京时间）前提交（上传）响应文件。</w:t>
      </w:r>
    </w:p>
    <w:p w14:paraId="15ADA0F1">
      <w:pPr>
        <w:spacing w:line="360" w:lineRule="exact"/>
        <w:ind w:firstLine="424" w:firstLineChars="176"/>
        <w:rPr>
          <w:rFonts w:ascii="宋体" w:hAnsi="宋体"/>
          <w:szCs w:val="21"/>
        </w:rPr>
      </w:pPr>
      <w:bookmarkStart w:id="5" w:name="_Toc71366166"/>
      <w:bookmarkStart w:id="6" w:name="_Toc35393629"/>
      <w:bookmarkStart w:id="7" w:name="_Toc28359089"/>
      <w:bookmarkStart w:id="8" w:name="_Toc28359012"/>
      <w:bookmarkStart w:id="9" w:name="_Toc35393798"/>
      <w:bookmarkStart w:id="10" w:name="_Toc44229878"/>
      <w:r>
        <w:rPr>
          <w:rFonts w:hint="eastAsia" w:ascii="宋体" w:hAnsi="宋体"/>
          <w:b/>
          <w:sz w:val="24"/>
        </w:rPr>
        <w:t>一、项目基本情况</w:t>
      </w:r>
      <w:bookmarkEnd w:id="5"/>
      <w:bookmarkEnd w:id="6"/>
      <w:bookmarkEnd w:id="7"/>
      <w:bookmarkEnd w:id="8"/>
      <w:bookmarkEnd w:id="9"/>
      <w:bookmarkEnd w:id="10"/>
    </w:p>
    <w:p w14:paraId="4927F33A">
      <w:pPr>
        <w:spacing w:line="360" w:lineRule="exact"/>
        <w:ind w:firstLine="420" w:firstLineChars="200"/>
        <w:rPr>
          <w:rFonts w:hint="eastAsia" w:ascii="宋体" w:hAnsi="宋体"/>
          <w:szCs w:val="21"/>
          <w:lang w:eastAsia="zh-CN"/>
        </w:rPr>
      </w:pPr>
      <w:r>
        <w:rPr>
          <w:rFonts w:hint="eastAsia" w:ascii="宋体" w:hAnsi="宋体"/>
          <w:szCs w:val="21"/>
        </w:rPr>
        <w:t>项目编号：</w:t>
      </w:r>
      <w:r>
        <w:rPr>
          <w:rFonts w:hint="eastAsia" w:ascii="宋体" w:hAnsi="宋体"/>
          <w:szCs w:val="21"/>
          <w:lang w:eastAsia="zh-CN"/>
        </w:rPr>
        <w:t>GXZC2026-C3-000589-GXJH</w:t>
      </w:r>
    </w:p>
    <w:p w14:paraId="1D76B071">
      <w:pPr>
        <w:spacing w:line="360" w:lineRule="exact"/>
        <w:ind w:firstLine="420" w:firstLineChars="200"/>
        <w:rPr>
          <w:rFonts w:hint="eastAsia" w:ascii="宋体" w:hAnsi="宋体" w:eastAsia="宋体"/>
          <w:szCs w:val="21"/>
          <w:lang w:val="en-US" w:eastAsia="zh-CN"/>
        </w:rPr>
      </w:pPr>
      <w:r>
        <w:rPr>
          <w:rFonts w:hint="eastAsia" w:ascii="宋体" w:hAnsi="宋体"/>
          <w:szCs w:val="21"/>
        </w:rPr>
        <w:t>采购计划编号：广西政采[2026]4035号-001</w:t>
      </w:r>
      <w:r>
        <w:rPr>
          <w:rFonts w:hint="eastAsia" w:ascii="宋体" w:hAnsi="宋体"/>
          <w:szCs w:val="21"/>
          <w:lang w:val="en-US" w:eastAsia="zh-CN"/>
        </w:rPr>
        <w:t>、广西政采[2026]4035号-002</w:t>
      </w:r>
    </w:p>
    <w:p w14:paraId="5DE904D6">
      <w:pPr>
        <w:spacing w:line="360" w:lineRule="exact"/>
        <w:ind w:firstLine="420" w:firstLineChars="200"/>
        <w:rPr>
          <w:rFonts w:hint="eastAsia" w:ascii="宋体" w:hAnsi="宋体"/>
          <w:szCs w:val="21"/>
        </w:rPr>
      </w:pPr>
      <w:r>
        <w:rPr>
          <w:rFonts w:hint="eastAsia" w:ascii="宋体" w:hAnsi="宋体"/>
          <w:szCs w:val="21"/>
        </w:rPr>
        <w:t>项目名称：数字化教学资源建设及师范生教学能力AI测评系统采购</w:t>
      </w:r>
    </w:p>
    <w:p w14:paraId="0CF6ECD5">
      <w:pPr>
        <w:spacing w:line="360" w:lineRule="exact"/>
        <w:ind w:firstLine="420" w:firstLineChars="200"/>
        <w:rPr>
          <w:rFonts w:ascii="宋体" w:hAnsi="宋体"/>
          <w:szCs w:val="21"/>
        </w:rPr>
      </w:pPr>
      <w:r>
        <w:rPr>
          <w:rFonts w:hint="eastAsia" w:ascii="宋体" w:hAnsi="宋体"/>
          <w:szCs w:val="21"/>
        </w:rPr>
        <w:t>采购方式：竞争性磋商</w:t>
      </w:r>
    </w:p>
    <w:p w14:paraId="57D7870F">
      <w:pPr>
        <w:spacing w:line="360" w:lineRule="exact"/>
        <w:ind w:firstLine="420" w:firstLineChars="200"/>
        <w:rPr>
          <w:rFonts w:ascii="宋体" w:hAnsi="宋体"/>
          <w:szCs w:val="21"/>
        </w:rPr>
      </w:pPr>
      <w:r>
        <w:rPr>
          <w:rFonts w:hint="eastAsia" w:ascii="宋体" w:hAnsi="宋体"/>
          <w:szCs w:val="21"/>
        </w:rPr>
        <w:t>预算金额：</w:t>
      </w:r>
      <w:r>
        <w:rPr>
          <w:rFonts w:ascii="宋体" w:hAnsi="宋体"/>
          <w:szCs w:val="21"/>
        </w:rPr>
        <w:t>2650000.00</w:t>
      </w:r>
    </w:p>
    <w:p w14:paraId="48FA592F">
      <w:pPr>
        <w:spacing w:line="360" w:lineRule="exact"/>
        <w:ind w:firstLine="420" w:firstLineChars="200"/>
        <w:rPr>
          <w:rFonts w:ascii="宋体" w:hAnsi="宋体"/>
          <w:szCs w:val="21"/>
        </w:rPr>
      </w:pPr>
      <w:r>
        <w:rPr>
          <w:rFonts w:hint="eastAsia" w:ascii="宋体" w:hAnsi="宋体"/>
          <w:szCs w:val="21"/>
        </w:rPr>
        <w:t>最高限价（如有）：无</w:t>
      </w:r>
    </w:p>
    <w:p w14:paraId="70862395">
      <w:pPr>
        <w:widowControl/>
        <w:spacing w:before="32" w:after="32"/>
        <w:jc w:val="left"/>
        <w:rPr>
          <w:rFonts w:ascii="宋体" w:hAnsi="宋体"/>
          <w:szCs w:val="21"/>
        </w:rPr>
      </w:pPr>
      <w:r>
        <w:rPr>
          <w:rFonts w:hint="eastAsia" w:ascii="宋体" w:hAnsi="宋体"/>
          <w:szCs w:val="21"/>
        </w:rPr>
        <w:t>采购需求：</w:t>
      </w:r>
      <w:bookmarkStart w:id="11" w:name="_Toc35393630"/>
      <w:bookmarkStart w:id="12" w:name="_Toc71366167"/>
      <w:bookmarkStart w:id="13" w:name="_Toc35393799"/>
      <w:bookmarkStart w:id="14" w:name="_Toc44229879"/>
      <w:bookmarkStart w:id="15" w:name="_Toc28359090"/>
      <w:bookmarkStart w:id="16" w:name="_Toc28359013"/>
    </w:p>
    <w:p w14:paraId="6884EB62">
      <w:pPr>
        <w:widowControl/>
        <w:spacing w:before="32" w:after="32"/>
        <w:jc w:val="left"/>
        <w:rPr>
          <w:rFonts w:ascii="宋体" w:hAnsi="宋体" w:cs="宋体"/>
          <w:kern w:val="0"/>
          <w:szCs w:val="21"/>
        </w:rPr>
      </w:pPr>
      <w:r>
        <w:rPr>
          <w:rFonts w:ascii="宋体" w:hAnsi="宋体" w:cs="宋体"/>
          <w:kern w:val="0"/>
          <w:szCs w:val="21"/>
        </w:rPr>
        <w:t>标项一</w:t>
      </w:r>
      <w:r>
        <w:rPr>
          <w:rFonts w:ascii="宋体" w:hAnsi="宋体" w:cs="宋体"/>
          <w:kern w:val="0"/>
          <w:szCs w:val="21"/>
        </w:rPr>
        <w:br w:type="textWrapping"/>
      </w:r>
      <w:r>
        <w:rPr>
          <w:rFonts w:ascii="宋体" w:hAnsi="宋体" w:cs="宋体"/>
          <w:kern w:val="0"/>
          <w:szCs w:val="21"/>
        </w:rPr>
        <w:t>标项名称:</w:t>
      </w:r>
      <w:r>
        <w:rPr>
          <w:rFonts w:hint="eastAsia" w:ascii="宋体" w:hAnsi="宋体"/>
          <w:szCs w:val="21"/>
        </w:rPr>
        <w:t xml:space="preserve"> 数字化教学资源建设</w:t>
      </w:r>
      <w:r>
        <w:rPr>
          <w:rFonts w:hint="eastAsia" w:ascii="宋体" w:hAnsi="宋体" w:cs="Arial"/>
          <w:kern w:val="0"/>
          <w:szCs w:val="21"/>
        </w:rPr>
        <w:t>服务</w:t>
      </w:r>
      <w:r>
        <w:rPr>
          <w:rFonts w:ascii="宋体" w:hAnsi="宋体" w:cs="宋体"/>
          <w:kern w:val="0"/>
          <w:szCs w:val="21"/>
        </w:rPr>
        <w:br w:type="textWrapping"/>
      </w:r>
      <w:r>
        <w:rPr>
          <w:rFonts w:ascii="宋体" w:hAnsi="宋体" w:cs="宋体"/>
          <w:kern w:val="0"/>
          <w:szCs w:val="21"/>
        </w:rPr>
        <w:t>数量:1</w:t>
      </w:r>
      <w:r>
        <w:rPr>
          <w:rFonts w:ascii="宋体" w:hAnsi="宋体" w:cs="宋体"/>
          <w:kern w:val="0"/>
          <w:szCs w:val="21"/>
        </w:rPr>
        <w:br w:type="textWrapping"/>
      </w:r>
      <w:r>
        <w:rPr>
          <w:rFonts w:ascii="宋体" w:hAnsi="宋体" w:cs="宋体"/>
          <w:kern w:val="0"/>
          <w:szCs w:val="21"/>
        </w:rPr>
        <w:t>预算金额（元）:1600000.00</w:t>
      </w:r>
      <w:r>
        <w:rPr>
          <w:rFonts w:ascii="宋体" w:hAnsi="宋体" w:cs="宋体"/>
          <w:kern w:val="0"/>
          <w:szCs w:val="21"/>
        </w:rPr>
        <w:br w:type="textWrapping"/>
      </w:r>
      <w:r>
        <w:rPr>
          <w:rFonts w:ascii="宋体" w:hAnsi="宋体" w:cs="宋体"/>
          <w:kern w:val="0"/>
          <w:szCs w:val="21"/>
        </w:rPr>
        <w:t>简要规格描述或项目基本概况介绍、用途：</w:t>
      </w:r>
      <w:r>
        <w:rPr>
          <w:rFonts w:hint="eastAsia" w:ascii="宋体" w:hAnsi="宋体" w:cs="宋体"/>
          <w:kern w:val="0"/>
          <w:szCs w:val="21"/>
        </w:rPr>
        <w:t>在线课程建设服务1</w:t>
      </w:r>
      <w:r>
        <w:rPr>
          <w:rFonts w:ascii="宋体" w:hAnsi="宋体" w:cs="宋体"/>
          <w:kern w:val="0"/>
          <w:szCs w:val="21"/>
        </w:rPr>
        <w:t>6</w:t>
      </w:r>
      <w:r>
        <w:rPr>
          <w:rFonts w:hint="eastAsia" w:ascii="宋体" w:hAnsi="宋体" w:cs="宋体"/>
          <w:kern w:val="0"/>
          <w:szCs w:val="21"/>
        </w:rPr>
        <w:t>门、智慧课程建设服务4门</w:t>
      </w:r>
      <w:r>
        <w:rPr>
          <w:rFonts w:ascii="宋体" w:hAnsi="宋体" w:cs="宋体"/>
          <w:kern w:val="0"/>
          <w:szCs w:val="21"/>
        </w:rPr>
        <w:t>。</w:t>
      </w:r>
    </w:p>
    <w:p w14:paraId="59A13C07">
      <w:pPr>
        <w:widowControl/>
        <w:spacing w:before="32" w:after="32"/>
        <w:jc w:val="left"/>
        <w:rPr>
          <w:rFonts w:ascii="宋体" w:hAnsi="宋体" w:cs="宋体"/>
          <w:kern w:val="0"/>
          <w:szCs w:val="21"/>
        </w:rPr>
      </w:pPr>
      <w:r>
        <w:rPr>
          <w:rFonts w:ascii="宋体" w:hAnsi="宋体" w:cs="宋体"/>
          <w:kern w:val="0"/>
          <w:szCs w:val="21"/>
        </w:rPr>
        <w:t>最高限价（如有）：1600000.00</w:t>
      </w:r>
    </w:p>
    <w:p w14:paraId="31BA1580">
      <w:pPr>
        <w:widowControl/>
        <w:spacing w:before="32" w:after="32"/>
        <w:jc w:val="left"/>
        <w:rPr>
          <w:rFonts w:ascii="宋体" w:hAnsi="宋体" w:cs="宋体"/>
          <w:kern w:val="0"/>
          <w:szCs w:val="21"/>
        </w:rPr>
      </w:pPr>
      <w:r>
        <w:rPr>
          <w:rFonts w:hint="eastAsia" w:ascii="宋体" w:hAnsi="宋体" w:cs="宋体"/>
          <w:kern w:val="0"/>
          <w:szCs w:val="21"/>
        </w:rPr>
        <w:t>质保期：自交付验收通过之日起3年。</w:t>
      </w:r>
    </w:p>
    <w:p w14:paraId="40A465CB">
      <w:pPr>
        <w:widowControl/>
        <w:spacing w:before="32" w:after="32"/>
        <w:jc w:val="left"/>
        <w:rPr>
          <w:rFonts w:ascii="宋体" w:hAnsi="宋体" w:cs="宋体"/>
          <w:kern w:val="0"/>
          <w:szCs w:val="21"/>
        </w:rPr>
      </w:pPr>
      <w:r>
        <w:rPr>
          <w:rFonts w:ascii="宋体" w:hAnsi="宋体" w:cs="宋体"/>
          <w:kern w:val="0"/>
          <w:szCs w:val="21"/>
        </w:rPr>
        <w:t>本标项（否）接受联合体投标</w:t>
      </w:r>
      <w:r>
        <w:rPr>
          <w:rFonts w:ascii="宋体" w:hAnsi="宋体" w:cs="宋体"/>
          <w:kern w:val="0"/>
          <w:szCs w:val="21"/>
        </w:rPr>
        <w:br w:type="textWrapping"/>
      </w:r>
      <w:r>
        <w:rPr>
          <w:rFonts w:ascii="宋体" w:hAnsi="宋体" w:cs="宋体"/>
          <w:kern w:val="0"/>
          <w:szCs w:val="21"/>
        </w:rPr>
        <w:t>备注：</w:t>
      </w:r>
    </w:p>
    <w:p w14:paraId="424D31CC">
      <w:pPr>
        <w:widowControl/>
        <w:spacing w:before="32" w:after="32"/>
        <w:jc w:val="left"/>
        <w:rPr>
          <w:rFonts w:ascii="宋体" w:hAnsi="宋体" w:cs="宋体"/>
          <w:kern w:val="0"/>
          <w:szCs w:val="21"/>
        </w:rPr>
      </w:pPr>
      <w:r>
        <w:rPr>
          <w:rFonts w:ascii="宋体" w:hAnsi="宋体" w:cs="宋体"/>
          <w:kern w:val="0"/>
          <w:szCs w:val="21"/>
        </w:rPr>
        <w:t>标项二</w:t>
      </w:r>
      <w:r>
        <w:rPr>
          <w:rFonts w:ascii="宋体" w:hAnsi="宋体" w:cs="宋体"/>
          <w:kern w:val="0"/>
          <w:szCs w:val="21"/>
        </w:rPr>
        <w:br w:type="textWrapping"/>
      </w:r>
      <w:r>
        <w:rPr>
          <w:rFonts w:ascii="宋体" w:hAnsi="宋体" w:cs="宋体"/>
          <w:kern w:val="0"/>
          <w:szCs w:val="21"/>
        </w:rPr>
        <w:t>标项名称:</w:t>
      </w:r>
      <w:r>
        <w:rPr>
          <w:rFonts w:hint="eastAsia" w:ascii="宋体" w:hAnsi="宋体" w:cs="Arial"/>
          <w:kern w:val="0"/>
          <w:szCs w:val="21"/>
        </w:rPr>
        <w:t xml:space="preserve"> </w:t>
      </w:r>
      <w:r>
        <w:rPr>
          <w:rFonts w:hint="eastAsia" w:ascii="宋体" w:hAnsi="宋体" w:cs="Arial"/>
          <w:kern w:val="0"/>
          <w:szCs w:val="21"/>
          <w:lang w:val="en-US" w:eastAsia="zh-CN"/>
        </w:rPr>
        <w:t>师</w:t>
      </w:r>
      <w:r>
        <w:rPr>
          <w:rFonts w:hint="eastAsia" w:ascii="宋体" w:hAnsi="宋体" w:cs="Arial"/>
          <w:kern w:val="0"/>
          <w:szCs w:val="21"/>
        </w:rPr>
        <w:t>范生教学能力AI测评系统</w:t>
      </w:r>
      <w:r>
        <w:rPr>
          <w:rFonts w:ascii="宋体" w:hAnsi="宋体" w:cs="宋体"/>
          <w:kern w:val="0"/>
          <w:szCs w:val="21"/>
        </w:rPr>
        <w:br w:type="textWrapping"/>
      </w:r>
      <w:r>
        <w:rPr>
          <w:rFonts w:ascii="宋体" w:hAnsi="宋体" w:cs="宋体"/>
          <w:kern w:val="0"/>
          <w:szCs w:val="21"/>
        </w:rPr>
        <w:t>数量:1</w:t>
      </w:r>
      <w:r>
        <w:rPr>
          <w:rFonts w:ascii="宋体" w:hAnsi="宋体" w:cs="宋体"/>
          <w:kern w:val="0"/>
          <w:szCs w:val="21"/>
        </w:rPr>
        <w:br w:type="textWrapping"/>
      </w:r>
      <w:r>
        <w:rPr>
          <w:rFonts w:ascii="宋体" w:hAnsi="宋体" w:cs="宋体"/>
          <w:kern w:val="0"/>
          <w:szCs w:val="21"/>
        </w:rPr>
        <w:t>预算金额（元）:1050000.00</w:t>
      </w:r>
      <w:r>
        <w:rPr>
          <w:rFonts w:ascii="宋体" w:hAnsi="宋体" w:cs="宋体"/>
          <w:kern w:val="0"/>
          <w:szCs w:val="21"/>
        </w:rPr>
        <w:br w:type="textWrapping"/>
      </w:r>
      <w:r>
        <w:rPr>
          <w:rFonts w:ascii="宋体" w:hAnsi="宋体" w:cs="宋体"/>
          <w:kern w:val="0"/>
          <w:szCs w:val="21"/>
        </w:rPr>
        <w:t>简要规格描述或项目基本概况介绍、用途：</w:t>
      </w:r>
      <w:r>
        <w:rPr>
          <w:rFonts w:hint="eastAsia" w:ascii="宋体" w:hAnsi="宋体" w:cs="宋体"/>
          <w:kern w:val="0"/>
          <w:szCs w:val="21"/>
        </w:rPr>
        <w:t>AI测评运行管理服务平台（云端平台）1套、AI师范生教学能力测评系统（终端子系统）8套</w:t>
      </w:r>
      <w:r>
        <w:rPr>
          <w:rFonts w:ascii="宋体" w:hAnsi="宋体" w:cs="宋体"/>
          <w:kern w:val="0"/>
          <w:szCs w:val="21"/>
        </w:rPr>
        <w:t>。</w:t>
      </w:r>
    </w:p>
    <w:p w14:paraId="2242654F">
      <w:pPr>
        <w:widowControl/>
        <w:spacing w:before="32" w:after="32"/>
        <w:jc w:val="left"/>
        <w:rPr>
          <w:rFonts w:ascii="宋体" w:hAnsi="宋体" w:cs="宋体"/>
          <w:kern w:val="0"/>
          <w:szCs w:val="21"/>
        </w:rPr>
      </w:pPr>
      <w:r>
        <w:rPr>
          <w:rFonts w:ascii="宋体" w:hAnsi="宋体" w:cs="宋体"/>
          <w:kern w:val="0"/>
          <w:szCs w:val="21"/>
        </w:rPr>
        <w:t>最高限价（如有）：1050000.00</w:t>
      </w:r>
    </w:p>
    <w:p w14:paraId="0BF7A4F1">
      <w:pPr>
        <w:widowControl/>
        <w:spacing w:before="32" w:after="32"/>
        <w:jc w:val="left"/>
        <w:rPr>
          <w:rFonts w:ascii="宋体" w:hAnsi="宋体" w:cs="宋体"/>
          <w:kern w:val="0"/>
          <w:szCs w:val="21"/>
        </w:rPr>
      </w:pPr>
      <w:r>
        <w:rPr>
          <w:rFonts w:hint="eastAsia" w:ascii="宋体" w:hAnsi="宋体" w:cs="宋体"/>
          <w:kern w:val="0"/>
          <w:szCs w:val="21"/>
        </w:rPr>
        <w:t>质保期：自交付验收通过之日起3年。</w:t>
      </w:r>
    </w:p>
    <w:p w14:paraId="12303EC2">
      <w:pPr>
        <w:widowControl/>
        <w:spacing w:before="32" w:after="32"/>
        <w:jc w:val="left"/>
        <w:rPr>
          <w:rFonts w:ascii="宋体" w:hAnsi="宋体" w:cs="宋体"/>
          <w:kern w:val="0"/>
          <w:szCs w:val="21"/>
        </w:rPr>
      </w:pPr>
      <w:r>
        <w:rPr>
          <w:rFonts w:ascii="宋体" w:hAnsi="宋体" w:cs="宋体"/>
          <w:kern w:val="0"/>
          <w:szCs w:val="21"/>
        </w:rPr>
        <w:t>本标项（否）接受联合体投标</w:t>
      </w:r>
      <w:r>
        <w:rPr>
          <w:rFonts w:ascii="宋体" w:hAnsi="宋体" w:cs="宋体"/>
          <w:kern w:val="0"/>
          <w:szCs w:val="21"/>
        </w:rPr>
        <w:br w:type="textWrapping"/>
      </w:r>
      <w:r>
        <w:rPr>
          <w:rFonts w:ascii="宋体" w:hAnsi="宋体" w:cs="宋体"/>
          <w:kern w:val="0"/>
          <w:szCs w:val="21"/>
        </w:rPr>
        <w:t>备注：</w:t>
      </w:r>
    </w:p>
    <w:p w14:paraId="19C07C37">
      <w:pPr>
        <w:spacing w:line="360" w:lineRule="exact"/>
        <w:ind w:firstLine="482" w:firstLineChars="200"/>
        <w:rPr>
          <w:rFonts w:ascii="宋体" w:hAnsi="宋体"/>
          <w:b/>
          <w:sz w:val="24"/>
        </w:rPr>
      </w:pPr>
      <w:r>
        <w:rPr>
          <w:rFonts w:hint="eastAsia" w:ascii="宋体" w:hAnsi="宋体"/>
          <w:b/>
          <w:sz w:val="24"/>
        </w:rPr>
        <w:t>二、申请人的资格条件：</w:t>
      </w:r>
      <w:bookmarkEnd w:id="11"/>
      <w:bookmarkEnd w:id="12"/>
      <w:bookmarkEnd w:id="13"/>
      <w:bookmarkEnd w:id="14"/>
      <w:bookmarkEnd w:id="15"/>
      <w:bookmarkEnd w:id="16"/>
    </w:p>
    <w:p w14:paraId="4EB03BDB">
      <w:pPr>
        <w:spacing w:line="360" w:lineRule="exact"/>
        <w:ind w:firstLine="420" w:firstLineChars="200"/>
        <w:rPr>
          <w:rFonts w:ascii="宋体" w:hAnsi="宋体"/>
          <w:szCs w:val="21"/>
        </w:rPr>
      </w:pPr>
      <w:bookmarkStart w:id="17" w:name="_Toc28359014"/>
      <w:bookmarkStart w:id="18" w:name="_Toc35393631"/>
      <w:bookmarkStart w:id="19" w:name="_Toc44229880"/>
      <w:bookmarkStart w:id="20" w:name="_Toc35393800"/>
      <w:bookmarkStart w:id="21" w:name="_Toc28359091"/>
      <w:r>
        <w:rPr>
          <w:rFonts w:hint="eastAsia" w:ascii="宋体" w:hAnsi="宋体"/>
          <w:szCs w:val="21"/>
        </w:rPr>
        <w:t>1.满足《中华人民共和国政府采购法》第二十二条规定；</w:t>
      </w:r>
    </w:p>
    <w:p w14:paraId="1C3CA3FE">
      <w:pPr>
        <w:spacing w:line="360" w:lineRule="exact"/>
        <w:ind w:firstLine="420" w:firstLineChars="200"/>
        <w:rPr>
          <w:rFonts w:ascii="宋体" w:hAnsi="宋体"/>
          <w:szCs w:val="21"/>
        </w:rPr>
      </w:pPr>
      <w:r>
        <w:rPr>
          <w:rFonts w:ascii="宋体" w:hAnsi="宋体"/>
          <w:szCs w:val="21"/>
        </w:rPr>
        <w:t>2</w:t>
      </w:r>
      <w:r>
        <w:rPr>
          <w:rFonts w:hint="eastAsia" w:ascii="宋体" w:hAnsi="宋体"/>
          <w:szCs w:val="21"/>
        </w:rPr>
        <w:t>.落实政府采购政策需满足的资格要求：分标1：本项目标项一专门面向中小企业采购;分标2：本项目标项二专门面向小微企业采购</w:t>
      </w:r>
    </w:p>
    <w:p w14:paraId="2B7F731D">
      <w:pPr>
        <w:spacing w:line="360" w:lineRule="exact"/>
        <w:ind w:firstLine="420" w:firstLineChars="200"/>
        <w:rPr>
          <w:rFonts w:ascii="宋体" w:hAnsi="宋体"/>
          <w:szCs w:val="21"/>
        </w:rPr>
      </w:pPr>
      <w:r>
        <w:rPr>
          <w:rFonts w:hint="eastAsia" w:ascii="宋体" w:hAnsi="宋体"/>
          <w:szCs w:val="21"/>
        </w:rPr>
        <w:t>3.本项目的特定资格要求：</w:t>
      </w:r>
      <w:bookmarkStart w:id="22" w:name="_Toc71366168"/>
      <w:r>
        <w:rPr>
          <w:rFonts w:hint="eastAsia" w:ascii="宋体" w:hAnsi="宋体"/>
          <w:szCs w:val="21"/>
        </w:rPr>
        <w:t>无。</w:t>
      </w:r>
    </w:p>
    <w:p w14:paraId="5D3920BD">
      <w:pPr>
        <w:spacing w:line="360" w:lineRule="exact"/>
        <w:ind w:firstLine="424" w:firstLineChars="176"/>
        <w:rPr>
          <w:rFonts w:ascii="宋体" w:hAnsi="宋体"/>
          <w:szCs w:val="21"/>
          <w:u w:val="single"/>
        </w:rPr>
      </w:pPr>
      <w:r>
        <w:rPr>
          <w:rFonts w:hint="eastAsia" w:ascii="宋体" w:hAnsi="宋体"/>
          <w:b/>
          <w:sz w:val="24"/>
        </w:rPr>
        <w:t>三、获取竞争性磋商文件</w:t>
      </w:r>
      <w:bookmarkEnd w:id="17"/>
      <w:bookmarkEnd w:id="18"/>
      <w:bookmarkEnd w:id="19"/>
      <w:bookmarkEnd w:id="20"/>
      <w:bookmarkEnd w:id="21"/>
      <w:bookmarkEnd w:id="22"/>
    </w:p>
    <w:p w14:paraId="39AB4766">
      <w:pPr>
        <w:spacing w:line="360" w:lineRule="exact"/>
        <w:ind w:firstLine="420" w:firstLineChars="200"/>
        <w:rPr>
          <w:rFonts w:ascii="宋体" w:hAnsi="宋体" w:cs="宋体"/>
          <w:bCs/>
          <w:kern w:val="0"/>
          <w:szCs w:val="21"/>
        </w:rPr>
      </w:pPr>
      <w:bookmarkStart w:id="23" w:name="_Toc35393801"/>
      <w:bookmarkStart w:id="24" w:name="_Toc28359015"/>
      <w:bookmarkStart w:id="25" w:name="_Toc35393632"/>
      <w:bookmarkStart w:id="26" w:name="_Toc44229881"/>
      <w:bookmarkStart w:id="27" w:name="_Toc28359092"/>
      <w:r>
        <w:rPr>
          <w:rFonts w:hint="eastAsia" w:ascii="宋体" w:hAnsi="宋体" w:cs="宋体"/>
          <w:bCs/>
          <w:kern w:val="0"/>
          <w:szCs w:val="21"/>
        </w:rPr>
        <w:t>时间：</w:t>
      </w:r>
      <w:r>
        <w:rPr>
          <w:rFonts w:hint="eastAsia" w:ascii="宋体" w:hAnsi="宋体"/>
          <w:bCs/>
          <w:szCs w:val="21"/>
        </w:rPr>
        <w:t>202</w:t>
      </w:r>
      <w:r>
        <w:rPr>
          <w:rFonts w:ascii="宋体" w:hAnsi="宋体"/>
          <w:bCs/>
          <w:szCs w:val="21"/>
        </w:rPr>
        <w:t>6</w:t>
      </w:r>
      <w:r>
        <w:rPr>
          <w:rFonts w:hint="eastAsia" w:ascii="宋体" w:hAnsi="宋体"/>
          <w:bCs/>
          <w:szCs w:val="21"/>
        </w:rPr>
        <w:t>年</w:t>
      </w:r>
      <w:r>
        <w:rPr>
          <w:rFonts w:hint="eastAsia" w:ascii="宋体" w:hAnsi="宋体"/>
          <w:bCs/>
          <w:szCs w:val="21"/>
          <w:lang w:val="en-US" w:eastAsia="zh-CN"/>
        </w:rPr>
        <w:t>3</w:t>
      </w:r>
      <w:r>
        <w:rPr>
          <w:rFonts w:hint="eastAsia" w:ascii="宋体" w:hAnsi="宋体"/>
          <w:bCs/>
          <w:szCs w:val="21"/>
        </w:rPr>
        <w:t>月</w:t>
      </w:r>
      <w:r>
        <w:rPr>
          <w:rFonts w:hint="eastAsia" w:ascii="宋体" w:hAnsi="宋体"/>
          <w:bCs/>
          <w:szCs w:val="21"/>
          <w:lang w:val="en-US" w:eastAsia="zh-CN"/>
        </w:rPr>
        <w:t>25</w:t>
      </w:r>
      <w:r>
        <w:rPr>
          <w:rFonts w:hint="eastAsia" w:ascii="宋体" w:hAnsi="宋体"/>
          <w:bCs/>
          <w:szCs w:val="21"/>
        </w:rPr>
        <w:t>日</w:t>
      </w:r>
      <w:r>
        <w:rPr>
          <w:rFonts w:hint="eastAsia" w:ascii="宋体" w:hAnsi="宋体" w:cs="宋体"/>
          <w:bCs/>
          <w:kern w:val="0"/>
          <w:szCs w:val="21"/>
        </w:rPr>
        <w:t>至</w:t>
      </w:r>
      <w:r>
        <w:rPr>
          <w:rFonts w:hint="eastAsia" w:ascii="宋体" w:hAnsi="宋体"/>
          <w:bCs/>
          <w:szCs w:val="21"/>
        </w:rPr>
        <w:t>202</w:t>
      </w:r>
      <w:r>
        <w:rPr>
          <w:rFonts w:ascii="宋体" w:hAnsi="宋体"/>
          <w:bCs/>
          <w:szCs w:val="21"/>
        </w:rPr>
        <w:t>6</w:t>
      </w:r>
      <w:r>
        <w:rPr>
          <w:rFonts w:hint="eastAsia" w:ascii="宋体" w:hAnsi="宋体"/>
          <w:bCs/>
          <w:szCs w:val="21"/>
        </w:rPr>
        <w:t>年</w:t>
      </w:r>
      <w:r>
        <w:rPr>
          <w:rFonts w:hint="eastAsia" w:ascii="宋体" w:hAnsi="宋体"/>
          <w:bCs/>
          <w:szCs w:val="21"/>
          <w:lang w:val="en-US" w:eastAsia="zh-CN"/>
        </w:rPr>
        <w:t>4</w:t>
      </w:r>
      <w:r>
        <w:rPr>
          <w:rFonts w:hint="eastAsia" w:ascii="宋体" w:hAnsi="宋体"/>
          <w:bCs/>
          <w:szCs w:val="21"/>
        </w:rPr>
        <w:t>月</w:t>
      </w:r>
      <w:r>
        <w:rPr>
          <w:rFonts w:hint="eastAsia" w:ascii="宋体" w:hAnsi="宋体"/>
          <w:bCs/>
          <w:szCs w:val="21"/>
          <w:lang w:val="en-US" w:eastAsia="zh-CN"/>
        </w:rPr>
        <w:t>1</w:t>
      </w:r>
      <w:r>
        <w:rPr>
          <w:rFonts w:hint="eastAsia" w:ascii="宋体" w:hAnsi="宋体"/>
          <w:bCs/>
          <w:szCs w:val="21"/>
        </w:rPr>
        <w:t>日</w:t>
      </w:r>
      <w:r>
        <w:rPr>
          <w:rFonts w:hint="eastAsia" w:ascii="宋体" w:hAnsi="宋体" w:cs="宋体"/>
          <w:bCs/>
          <w:kern w:val="0"/>
          <w:szCs w:val="21"/>
        </w:rPr>
        <w:t>，每天上午</w:t>
      </w:r>
      <w:r>
        <w:rPr>
          <w:rFonts w:hint="eastAsia" w:ascii="宋体" w:hAnsi="宋体" w:cs="宋体"/>
          <w:szCs w:val="21"/>
        </w:rPr>
        <w:t>9:00至11:59，下午12:00至23:59</w:t>
      </w:r>
      <w:r>
        <w:rPr>
          <w:rFonts w:hint="eastAsia" w:ascii="宋体" w:hAnsi="宋体" w:cs="宋体"/>
          <w:bCs/>
          <w:kern w:val="0"/>
          <w:szCs w:val="21"/>
        </w:rPr>
        <w:t>（北京时间，</w:t>
      </w:r>
      <w:r>
        <w:rPr>
          <w:rFonts w:ascii="宋体" w:hAnsi="宋体" w:cs="宋体"/>
          <w:bCs/>
          <w:kern w:val="0"/>
          <w:szCs w:val="21"/>
        </w:rPr>
        <w:t>法定节假日</w:t>
      </w:r>
      <w:r>
        <w:rPr>
          <w:rFonts w:hint="eastAsia" w:ascii="宋体" w:hAnsi="宋体" w:cs="宋体"/>
          <w:bCs/>
          <w:kern w:val="0"/>
          <w:szCs w:val="21"/>
        </w:rPr>
        <w:t>除外）。</w:t>
      </w:r>
    </w:p>
    <w:p w14:paraId="371275BB">
      <w:pPr>
        <w:spacing w:line="360" w:lineRule="exact"/>
        <w:ind w:firstLine="420" w:firstLineChars="200"/>
        <w:rPr>
          <w:rFonts w:ascii="宋体" w:hAnsi="宋体" w:cs="宋体"/>
          <w:bCs/>
          <w:kern w:val="0"/>
          <w:szCs w:val="21"/>
        </w:rPr>
      </w:pPr>
      <w:r>
        <w:rPr>
          <w:rFonts w:hint="eastAsia" w:ascii="宋体" w:hAnsi="宋体" w:cs="宋体"/>
          <w:bCs/>
          <w:kern w:val="0"/>
          <w:szCs w:val="21"/>
        </w:rPr>
        <w:t>地点：</w:t>
      </w:r>
      <w:r>
        <w:rPr>
          <w:rFonts w:hint="eastAsia" w:ascii="宋体" w:hAnsi="宋体"/>
          <w:szCs w:val="21"/>
        </w:rPr>
        <w:t>广西政府采购云平台（</w:t>
      </w:r>
      <w:r>
        <w:rPr>
          <w:rFonts w:hint="eastAsia" w:ascii="宋体" w:hAnsi="宋体"/>
          <w:bCs/>
          <w:szCs w:val="21"/>
        </w:rPr>
        <w:t>https://www.gcy.zfcg.gxzf.gov.cn/</w:t>
      </w:r>
      <w:r>
        <w:rPr>
          <w:rFonts w:hint="eastAsia" w:ascii="宋体" w:hAnsi="宋体"/>
          <w:szCs w:val="21"/>
        </w:rPr>
        <w:t>）</w:t>
      </w:r>
      <w:r>
        <w:rPr>
          <w:rFonts w:hint="eastAsia" w:ascii="宋体" w:hAnsi="宋体" w:cs="宋体"/>
          <w:bCs/>
          <w:kern w:val="0"/>
          <w:szCs w:val="21"/>
        </w:rPr>
        <w:t>。</w:t>
      </w:r>
    </w:p>
    <w:p w14:paraId="4AAB7BDD">
      <w:pPr>
        <w:spacing w:line="360" w:lineRule="exact"/>
        <w:ind w:firstLine="420" w:firstLineChars="200"/>
        <w:rPr>
          <w:rFonts w:ascii="宋体" w:hAnsi="宋体" w:cs="宋体"/>
          <w:bCs/>
          <w:kern w:val="0"/>
          <w:szCs w:val="21"/>
        </w:rPr>
      </w:pPr>
      <w:r>
        <w:rPr>
          <w:rFonts w:hint="eastAsia" w:ascii="宋体" w:hAnsi="宋体" w:cs="宋体"/>
          <w:bCs/>
          <w:kern w:val="0"/>
          <w:szCs w:val="21"/>
        </w:rPr>
        <w:t>方式：网上下载。本项目不提供纸质文件，潜在供应商需在</w:t>
      </w:r>
      <w:r>
        <w:rPr>
          <w:rFonts w:hint="eastAsia" w:ascii="宋体" w:hAnsi="宋体"/>
          <w:szCs w:val="21"/>
        </w:rPr>
        <w:t>广西政府采购云平台（</w:t>
      </w:r>
      <w:r>
        <w:rPr>
          <w:rFonts w:hint="eastAsia" w:ascii="宋体" w:hAnsi="宋体"/>
          <w:bCs/>
          <w:szCs w:val="21"/>
        </w:rPr>
        <w:t>https://www.gcy.zfcg.gxzf.gov.cn/</w:t>
      </w:r>
      <w:r>
        <w:rPr>
          <w:rFonts w:hint="eastAsia" w:ascii="宋体" w:hAnsi="宋体"/>
          <w:szCs w:val="21"/>
        </w:rPr>
        <w:t>）</w:t>
      </w:r>
      <w:r>
        <w:rPr>
          <w:rFonts w:ascii="宋体" w:hAnsi="宋体" w:cs="宋体"/>
          <w:bCs/>
          <w:kern w:val="0"/>
          <w:szCs w:val="21"/>
        </w:rPr>
        <w:t>-</w:t>
      </w:r>
      <w:r>
        <w:rPr>
          <w:rFonts w:hint="eastAsia" w:ascii="宋体" w:hAnsi="宋体" w:cs="宋体"/>
          <w:bCs/>
          <w:kern w:val="0"/>
          <w:szCs w:val="21"/>
        </w:rPr>
        <w:t>进入“项目采购”应用，在获取采购文件菜单中选择项目，获取竞争性磋商文件。</w:t>
      </w:r>
      <w:r>
        <w:rPr>
          <w:rFonts w:hint="eastAsia" w:ascii="宋体" w:hAnsi="宋体"/>
          <w:szCs w:val="21"/>
        </w:rPr>
        <w:t>电子</w:t>
      </w:r>
      <w:r>
        <w:rPr>
          <w:rFonts w:hint="eastAsia" w:ascii="宋体" w:hAnsi="宋体"/>
        </w:rPr>
        <w:t>响应文件</w:t>
      </w:r>
      <w:r>
        <w:rPr>
          <w:rFonts w:hint="eastAsia" w:ascii="宋体" w:hAnsi="宋体"/>
          <w:szCs w:val="21"/>
        </w:rPr>
        <w:t>制作需要基于广西政府采购云平台获取的磋商文件编制，</w:t>
      </w:r>
      <w:r>
        <w:rPr>
          <w:rFonts w:hint="eastAsia" w:ascii="宋体" w:hAnsi="宋体" w:cs="宋体"/>
          <w:bCs/>
          <w:kern w:val="0"/>
          <w:szCs w:val="21"/>
        </w:rPr>
        <w:t>通过其他方式获取磋商文件的，将有可能导致供应商无法在</w:t>
      </w:r>
      <w:r>
        <w:rPr>
          <w:rFonts w:hint="eastAsia" w:ascii="宋体" w:hAnsi="宋体"/>
          <w:szCs w:val="21"/>
        </w:rPr>
        <w:t>广西政府采购云平台</w:t>
      </w:r>
      <w:r>
        <w:rPr>
          <w:rFonts w:hint="eastAsia" w:ascii="宋体" w:hAnsi="宋体" w:cs="宋体"/>
          <w:bCs/>
          <w:kern w:val="0"/>
          <w:szCs w:val="21"/>
        </w:rPr>
        <w:t>编制及上传响应文件。</w:t>
      </w:r>
    </w:p>
    <w:p w14:paraId="21860160">
      <w:pPr>
        <w:spacing w:line="360" w:lineRule="exact"/>
        <w:ind w:firstLine="420" w:firstLineChars="200"/>
        <w:rPr>
          <w:rFonts w:ascii="宋体" w:hAnsi="宋体" w:cs="宋体"/>
          <w:szCs w:val="21"/>
        </w:rPr>
      </w:pPr>
      <w:r>
        <w:rPr>
          <w:rFonts w:hint="eastAsia" w:ascii="宋体" w:hAnsi="宋体" w:cs="宋体"/>
          <w:bCs/>
          <w:kern w:val="0"/>
          <w:szCs w:val="21"/>
        </w:rPr>
        <w:t>售价：</w:t>
      </w:r>
      <w:r>
        <w:rPr>
          <w:rFonts w:hint="eastAsia" w:ascii="宋体" w:hAnsi="宋体" w:cs="宋体"/>
          <w:szCs w:val="21"/>
          <w:u w:val="single"/>
        </w:rPr>
        <w:t>0</w:t>
      </w:r>
      <w:r>
        <w:rPr>
          <w:rFonts w:hint="eastAsia" w:ascii="宋体" w:hAnsi="宋体" w:cs="宋体"/>
          <w:szCs w:val="21"/>
        </w:rPr>
        <w:t>元</w:t>
      </w:r>
    </w:p>
    <w:p w14:paraId="6B69B5DA">
      <w:pPr>
        <w:spacing w:line="360" w:lineRule="exact"/>
        <w:ind w:firstLine="361" w:firstLineChars="150"/>
        <w:rPr>
          <w:rFonts w:ascii="宋体" w:hAnsi="宋体"/>
          <w:b/>
          <w:sz w:val="24"/>
        </w:rPr>
      </w:pPr>
      <w:bookmarkStart w:id="28" w:name="_Toc71366169"/>
      <w:r>
        <w:rPr>
          <w:rFonts w:hint="eastAsia" w:ascii="宋体" w:hAnsi="宋体"/>
          <w:b/>
          <w:sz w:val="24"/>
        </w:rPr>
        <w:t>四、响应文件提交</w:t>
      </w:r>
      <w:bookmarkEnd w:id="23"/>
      <w:bookmarkEnd w:id="24"/>
      <w:bookmarkEnd w:id="25"/>
      <w:bookmarkEnd w:id="26"/>
      <w:bookmarkEnd w:id="27"/>
      <w:bookmarkEnd w:id="28"/>
    </w:p>
    <w:p w14:paraId="68647EFF">
      <w:pPr>
        <w:spacing w:line="360" w:lineRule="exact"/>
        <w:ind w:firstLine="420" w:firstLineChars="200"/>
        <w:rPr>
          <w:rFonts w:ascii="宋体" w:hAnsi="宋体" w:cs="宋体"/>
          <w:bCs/>
          <w:kern w:val="0"/>
          <w:szCs w:val="21"/>
        </w:rPr>
      </w:pPr>
      <w:bookmarkStart w:id="29" w:name="_Toc28359093"/>
      <w:bookmarkStart w:id="30" w:name="_Toc35393633"/>
      <w:bookmarkStart w:id="31" w:name="_Toc35393802"/>
      <w:bookmarkStart w:id="32" w:name="_Toc44229882"/>
      <w:bookmarkStart w:id="33" w:name="_Toc28359016"/>
      <w:r>
        <w:rPr>
          <w:rFonts w:hint="eastAsia" w:ascii="宋体" w:hAnsi="宋体" w:cs="宋体"/>
          <w:bCs/>
          <w:kern w:val="0"/>
          <w:szCs w:val="21"/>
        </w:rPr>
        <w:t>1.截止时间：</w:t>
      </w:r>
      <w:r>
        <w:rPr>
          <w:rFonts w:hint="eastAsia" w:ascii="宋体" w:hAnsi="宋体"/>
          <w:szCs w:val="21"/>
        </w:rPr>
        <w:t>2026年</w:t>
      </w:r>
      <w:r>
        <w:rPr>
          <w:rFonts w:hint="eastAsia" w:ascii="宋体" w:hAnsi="宋体"/>
          <w:szCs w:val="21"/>
          <w:lang w:val="en-US" w:eastAsia="zh-CN"/>
        </w:rPr>
        <w:t>4月9日</w:t>
      </w:r>
      <w:r>
        <w:rPr>
          <w:rFonts w:hint="eastAsia" w:ascii="宋体" w:hAnsi="宋体"/>
          <w:bCs/>
          <w:szCs w:val="21"/>
        </w:rPr>
        <w:t>9时30分</w:t>
      </w:r>
      <w:r>
        <w:rPr>
          <w:rFonts w:hint="eastAsia" w:ascii="宋体" w:hAnsi="宋体" w:cs="宋体"/>
          <w:bCs/>
          <w:kern w:val="0"/>
          <w:szCs w:val="21"/>
        </w:rPr>
        <w:t>（北京时间）</w:t>
      </w:r>
    </w:p>
    <w:p w14:paraId="76A1BAA1">
      <w:pPr>
        <w:spacing w:line="360" w:lineRule="exact"/>
        <w:ind w:firstLine="420" w:firstLineChars="200"/>
        <w:rPr>
          <w:rFonts w:ascii="宋体" w:hAnsi="宋体" w:cs="宋体"/>
          <w:bCs/>
          <w:kern w:val="0"/>
          <w:szCs w:val="21"/>
        </w:rPr>
      </w:pPr>
      <w:r>
        <w:rPr>
          <w:rFonts w:hint="eastAsia" w:ascii="宋体" w:hAnsi="宋体" w:cs="宋体"/>
          <w:bCs/>
          <w:kern w:val="0"/>
          <w:szCs w:val="21"/>
        </w:rPr>
        <w:t>2.地点：</w:t>
      </w:r>
      <w:r>
        <w:rPr>
          <w:rFonts w:hint="eastAsia" w:ascii="宋体" w:hAnsi="宋体"/>
          <w:szCs w:val="21"/>
        </w:rPr>
        <w:t>广西政府采购云平台（</w:t>
      </w:r>
      <w:r>
        <w:rPr>
          <w:rFonts w:hint="eastAsia" w:ascii="宋体" w:hAnsi="宋体"/>
          <w:bCs/>
          <w:szCs w:val="21"/>
        </w:rPr>
        <w:t>https://www.gcy.zfcg.gxzf.gov.cn/</w:t>
      </w:r>
      <w:r>
        <w:rPr>
          <w:rFonts w:hint="eastAsia" w:ascii="宋体" w:hAnsi="宋体"/>
          <w:szCs w:val="21"/>
        </w:rPr>
        <w:t>）</w:t>
      </w:r>
    </w:p>
    <w:p w14:paraId="210D418E">
      <w:pPr>
        <w:spacing w:line="360" w:lineRule="exact"/>
        <w:ind w:firstLine="361" w:firstLineChars="150"/>
        <w:rPr>
          <w:rFonts w:ascii="宋体" w:hAnsi="宋体"/>
          <w:b/>
          <w:sz w:val="24"/>
        </w:rPr>
      </w:pPr>
      <w:bookmarkStart w:id="34" w:name="_Toc71366170"/>
      <w:r>
        <w:rPr>
          <w:rFonts w:hint="eastAsia" w:ascii="宋体" w:hAnsi="宋体"/>
          <w:b/>
          <w:sz w:val="24"/>
        </w:rPr>
        <w:t>五、开启</w:t>
      </w:r>
      <w:bookmarkEnd w:id="29"/>
      <w:bookmarkEnd w:id="30"/>
      <w:bookmarkEnd w:id="31"/>
      <w:bookmarkEnd w:id="32"/>
      <w:bookmarkEnd w:id="33"/>
      <w:bookmarkEnd w:id="34"/>
    </w:p>
    <w:p w14:paraId="07E307EE">
      <w:pPr>
        <w:spacing w:line="360" w:lineRule="exact"/>
        <w:ind w:firstLine="420" w:firstLineChars="200"/>
        <w:rPr>
          <w:rFonts w:ascii="宋体" w:hAnsi="宋体"/>
          <w:bCs/>
          <w:szCs w:val="21"/>
          <w:u w:val="single"/>
        </w:rPr>
      </w:pPr>
      <w:r>
        <w:rPr>
          <w:rFonts w:hint="eastAsia" w:ascii="宋体" w:hAnsi="宋体"/>
          <w:szCs w:val="21"/>
        </w:rPr>
        <w:t>1</w:t>
      </w:r>
      <w:r>
        <w:rPr>
          <w:rFonts w:ascii="宋体" w:hAnsi="宋体"/>
          <w:szCs w:val="21"/>
        </w:rPr>
        <w:t>.</w:t>
      </w:r>
      <w:r>
        <w:rPr>
          <w:rFonts w:hint="eastAsia" w:ascii="宋体" w:hAnsi="宋体"/>
          <w:szCs w:val="21"/>
        </w:rPr>
        <w:t>时间：2026年</w:t>
      </w:r>
      <w:r>
        <w:rPr>
          <w:rFonts w:hint="eastAsia" w:ascii="宋体" w:hAnsi="宋体"/>
          <w:szCs w:val="21"/>
          <w:lang w:val="en-US" w:eastAsia="zh-CN"/>
        </w:rPr>
        <w:t>4月9日</w:t>
      </w:r>
      <w:r>
        <w:rPr>
          <w:rFonts w:hint="eastAsia" w:ascii="宋体" w:hAnsi="宋体"/>
          <w:bCs/>
          <w:szCs w:val="21"/>
        </w:rPr>
        <w:t>9时30分（北京时间）</w:t>
      </w:r>
    </w:p>
    <w:p w14:paraId="24342EDA">
      <w:pPr>
        <w:spacing w:line="360" w:lineRule="exact"/>
        <w:ind w:firstLine="420" w:firstLineChars="200"/>
        <w:rPr>
          <w:rFonts w:ascii="宋体" w:hAnsi="宋体"/>
          <w:bCs/>
          <w:szCs w:val="21"/>
          <w:u w:val="single"/>
        </w:rPr>
      </w:pPr>
      <w:r>
        <w:rPr>
          <w:rFonts w:hint="eastAsia" w:ascii="宋体" w:hAnsi="宋体"/>
          <w:szCs w:val="21"/>
        </w:rPr>
        <w:t>2</w:t>
      </w:r>
      <w:r>
        <w:rPr>
          <w:rFonts w:ascii="宋体" w:hAnsi="宋体"/>
          <w:szCs w:val="21"/>
        </w:rPr>
        <w:t>.</w:t>
      </w:r>
      <w:r>
        <w:rPr>
          <w:rFonts w:hint="eastAsia" w:ascii="宋体" w:hAnsi="宋体"/>
          <w:szCs w:val="21"/>
        </w:rPr>
        <w:t>地点：广西政府采购云平台（</w:t>
      </w:r>
      <w:r>
        <w:rPr>
          <w:rFonts w:hint="eastAsia" w:ascii="宋体" w:hAnsi="宋体"/>
          <w:bCs/>
          <w:szCs w:val="21"/>
        </w:rPr>
        <w:t>https://www.gcy.zfcg.gxzf.gov.cn/</w:t>
      </w:r>
      <w:r>
        <w:rPr>
          <w:rFonts w:hint="eastAsia" w:ascii="宋体" w:hAnsi="宋体"/>
          <w:szCs w:val="21"/>
        </w:rPr>
        <w:t>）</w:t>
      </w:r>
    </w:p>
    <w:p w14:paraId="3FD57844">
      <w:pPr>
        <w:spacing w:line="360" w:lineRule="exact"/>
        <w:ind w:firstLine="361" w:firstLineChars="150"/>
        <w:rPr>
          <w:rFonts w:ascii="宋体" w:hAnsi="宋体"/>
          <w:b/>
          <w:sz w:val="24"/>
        </w:rPr>
      </w:pPr>
      <w:bookmarkStart w:id="35" w:name="_Toc35393634"/>
      <w:bookmarkStart w:id="36" w:name="_Toc35393803"/>
      <w:bookmarkStart w:id="37" w:name="_Toc44229883"/>
      <w:bookmarkStart w:id="38" w:name="_Toc28359094"/>
      <w:bookmarkStart w:id="39" w:name="_Toc28359017"/>
      <w:bookmarkStart w:id="40" w:name="_Toc71366171"/>
      <w:r>
        <w:rPr>
          <w:rFonts w:hint="eastAsia" w:ascii="宋体" w:hAnsi="宋体"/>
          <w:b/>
          <w:sz w:val="24"/>
        </w:rPr>
        <w:t>六、公告期限</w:t>
      </w:r>
      <w:bookmarkEnd w:id="35"/>
      <w:bookmarkEnd w:id="36"/>
      <w:bookmarkEnd w:id="37"/>
      <w:bookmarkEnd w:id="38"/>
      <w:bookmarkEnd w:id="39"/>
      <w:bookmarkEnd w:id="40"/>
    </w:p>
    <w:p w14:paraId="5EF3EBC1">
      <w:pPr>
        <w:spacing w:line="360" w:lineRule="exact"/>
        <w:ind w:firstLine="420" w:firstLineChars="200"/>
        <w:rPr>
          <w:rFonts w:ascii="宋体" w:hAnsi="宋体" w:cs="宋体"/>
          <w:kern w:val="0"/>
          <w:szCs w:val="21"/>
        </w:rPr>
      </w:pPr>
      <w:r>
        <w:rPr>
          <w:rFonts w:hint="eastAsia" w:ascii="宋体" w:hAnsi="宋体" w:cs="宋体"/>
          <w:kern w:val="0"/>
          <w:szCs w:val="21"/>
        </w:rPr>
        <w:t>自本公告发布之日起5个工作日。</w:t>
      </w:r>
    </w:p>
    <w:p w14:paraId="53D272C3">
      <w:pPr>
        <w:spacing w:line="360" w:lineRule="exact"/>
        <w:ind w:firstLine="361" w:firstLineChars="150"/>
        <w:rPr>
          <w:rFonts w:ascii="宋体" w:hAnsi="宋体"/>
          <w:b/>
          <w:sz w:val="24"/>
        </w:rPr>
      </w:pPr>
      <w:bookmarkStart w:id="41" w:name="_Toc35393635"/>
      <w:bookmarkStart w:id="42" w:name="_Toc35393804"/>
      <w:bookmarkStart w:id="43" w:name="_Toc71366172"/>
      <w:bookmarkStart w:id="44" w:name="_Toc44229884"/>
      <w:r>
        <w:rPr>
          <w:rFonts w:hint="eastAsia" w:ascii="宋体" w:hAnsi="宋体"/>
          <w:b/>
          <w:sz w:val="24"/>
        </w:rPr>
        <w:t>七、其他补充事宜</w:t>
      </w:r>
      <w:bookmarkEnd w:id="41"/>
      <w:bookmarkEnd w:id="42"/>
      <w:bookmarkEnd w:id="43"/>
      <w:bookmarkEnd w:id="44"/>
    </w:p>
    <w:p w14:paraId="644571BA">
      <w:pPr>
        <w:spacing w:line="360" w:lineRule="exact"/>
        <w:ind w:firstLine="420" w:firstLineChars="200"/>
        <w:rPr>
          <w:rFonts w:ascii="宋体" w:hAnsi="宋体" w:cs="宋体"/>
          <w:kern w:val="0"/>
          <w:szCs w:val="21"/>
        </w:rPr>
      </w:pPr>
      <w:r>
        <w:rPr>
          <w:rFonts w:hint="eastAsia" w:ascii="宋体" w:hAnsi="宋体" w:cs="宋体"/>
          <w:kern w:val="0"/>
          <w:szCs w:val="21"/>
        </w:rPr>
        <w:t>1.磋商保证金：</w:t>
      </w:r>
      <w:r>
        <w:rPr>
          <w:rFonts w:hint="eastAsia" w:ascii="宋体" w:hAnsi="宋体" w:cs="宋体"/>
          <w:color w:val="000000"/>
          <w:kern w:val="0"/>
          <w:szCs w:val="21"/>
        </w:rPr>
        <w:t>本项目竞标保证金按各分标采购项目预算金额的</w:t>
      </w:r>
      <w:r>
        <w:rPr>
          <w:rFonts w:hint="eastAsia" w:ascii="宋体" w:hAnsi="宋体" w:cs="宋体"/>
          <w:color w:val="000000"/>
          <w:kern w:val="0"/>
          <w:szCs w:val="21"/>
          <w:u w:val="single"/>
        </w:rPr>
        <w:t xml:space="preserve"> 1 </w:t>
      </w:r>
      <w:r>
        <w:rPr>
          <w:rFonts w:hint="eastAsia" w:ascii="宋体" w:hAnsi="宋体" w:cs="宋体"/>
          <w:color w:val="000000"/>
          <w:kern w:val="0"/>
          <w:szCs w:val="21"/>
        </w:rPr>
        <w:t>% 金额：</w:t>
      </w:r>
    </w:p>
    <w:p w14:paraId="694C98F2">
      <w:pPr>
        <w:spacing w:line="360" w:lineRule="exact"/>
        <w:ind w:firstLine="420" w:firstLineChars="200"/>
        <w:rPr>
          <w:rFonts w:ascii="宋体" w:hAnsi="宋体" w:cs="宋体"/>
          <w:kern w:val="0"/>
          <w:szCs w:val="21"/>
        </w:rPr>
      </w:pPr>
      <w:r>
        <w:rPr>
          <w:rFonts w:hint="eastAsia" w:ascii="宋体" w:hAnsi="宋体" w:cs="宋体"/>
          <w:kern w:val="0"/>
          <w:szCs w:val="21"/>
        </w:rPr>
        <w:t>磋商保证金：</w:t>
      </w:r>
      <w:r>
        <w:rPr>
          <w:rFonts w:hint="eastAsia" w:ascii="宋体" w:hAnsi="宋体" w:cs="宋体"/>
          <w:b/>
          <w:kern w:val="0"/>
          <w:szCs w:val="21"/>
        </w:rPr>
        <w:t>标项一人民币壹万陆仟元整（¥16000.00）</w:t>
      </w:r>
      <w:r>
        <w:rPr>
          <w:rFonts w:hint="eastAsia" w:ascii="宋体" w:hAnsi="宋体"/>
          <w:b/>
          <w:szCs w:val="21"/>
        </w:rPr>
        <w:t>；</w:t>
      </w:r>
      <w:r>
        <w:rPr>
          <w:rFonts w:hint="eastAsia" w:ascii="宋体" w:hAnsi="宋体" w:cs="宋体"/>
          <w:b/>
          <w:kern w:val="0"/>
          <w:szCs w:val="21"/>
        </w:rPr>
        <w:t>标项二人民币壹万零伍佰元整（¥10500.00）</w:t>
      </w:r>
      <w:r>
        <w:rPr>
          <w:rFonts w:hint="eastAsia" w:ascii="宋体" w:hAnsi="宋体" w:cs="宋体"/>
          <w:kern w:val="0"/>
          <w:szCs w:val="21"/>
        </w:rPr>
        <w:t>（须足额交纳）。</w:t>
      </w:r>
    </w:p>
    <w:p w14:paraId="3C33EBB5">
      <w:pPr>
        <w:spacing w:line="360" w:lineRule="exact"/>
        <w:ind w:firstLine="420" w:firstLineChars="200"/>
        <w:rPr>
          <w:rFonts w:ascii="宋体" w:hAnsi="宋体" w:cs="宋体"/>
          <w:color w:val="000000"/>
          <w:kern w:val="0"/>
          <w:szCs w:val="21"/>
        </w:rPr>
      </w:pPr>
      <w:r>
        <w:rPr>
          <w:rFonts w:hint="eastAsia" w:ascii="宋体" w:hAnsi="宋体" w:cs="宋体"/>
          <w:color w:val="000000"/>
          <w:kern w:val="0"/>
          <w:szCs w:val="21"/>
        </w:rPr>
        <w:t>缴纳截止时间：2026年</w:t>
      </w:r>
      <w:r>
        <w:rPr>
          <w:rFonts w:hint="eastAsia" w:ascii="宋体" w:hAnsi="宋体" w:cs="宋体"/>
          <w:color w:val="000000"/>
          <w:kern w:val="0"/>
          <w:szCs w:val="21"/>
          <w:lang w:val="en-US" w:eastAsia="zh-CN"/>
        </w:rPr>
        <w:t>4月9日</w:t>
      </w:r>
      <w:r>
        <w:rPr>
          <w:rFonts w:ascii="宋体" w:hAnsi="宋体" w:cs="宋体"/>
          <w:color w:val="000000"/>
          <w:kern w:val="0"/>
          <w:szCs w:val="21"/>
        </w:rPr>
        <w:t>9</w:t>
      </w:r>
      <w:r>
        <w:rPr>
          <w:rFonts w:hint="eastAsia" w:ascii="宋体" w:hAnsi="宋体" w:cs="宋体"/>
          <w:color w:val="000000"/>
          <w:kern w:val="0"/>
          <w:szCs w:val="21"/>
        </w:rPr>
        <w:t>:</w:t>
      </w:r>
      <w:r>
        <w:rPr>
          <w:rFonts w:ascii="宋体" w:hAnsi="宋体" w:cs="宋体"/>
          <w:color w:val="000000"/>
          <w:kern w:val="0"/>
          <w:szCs w:val="21"/>
        </w:rPr>
        <w:t>3</w:t>
      </w:r>
      <w:r>
        <w:rPr>
          <w:rFonts w:hint="eastAsia" w:ascii="宋体" w:hAnsi="宋体" w:cs="宋体"/>
          <w:color w:val="000000"/>
          <w:kern w:val="0"/>
          <w:szCs w:val="21"/>
        </w:rPr>
        <w:t>0(本项目提交报价文件截止时间），以竞标保证金账户实际收款时间为准。</w:t>
      </w:r>
    </w:p>
    <w:p w14:paraId="2A236971">
      <w:pPr>
        <w:spacing w:line="360" w:lineRule="exact"/>
        <w:ind w:firstLine="420" w:firstLineChars="200"/>
        <w:rPr>
          <w:rFonts w:ascii="宋体" w:hAnsi="宋体" w:cs="宋体"/>
          <w:color w:val="000000"/>
          <w:kern w:val="0"/>
          <w:szCs w:val="21"/>
        </w:rPr>
      </w:pPr>
      <w:r>
        <w:rPr>
          <w:rFonts w:hint="eastAsia" w:ascii="宋体" w:hAnsi="宋体" w:cs="宋体"/>
          <w:color w:val="000000"/>
          <w:kern w:val="0"/>
          <w:szCs w:val="21"/>
        </w:rPr>
        <w:t>缴纳方式：银行转账、电汇或网上支付、保函等方式提交。</w:t>
      </w:r>
    </w:p>
    <w:p w14:paraId="7F5A7803">
      <w:pPr>
        <w:spacing w:line="360" w:lineRule="exact"/>
        <w:ind w:firstLine="420" w:firstLineChars="200"/>
        <w:rPr>
          <w:rFonts w:ascii="宋体" w:hAnsi="宋体" w:cs="宋体"/>
          <w:color w:val="000000"/>
          <w:kern w:val="0"/>
          <w:szCs w:val="21"/>
        </w:rPr>
      </w:pPr>
      <w:r>
        <w:rPr>
          <w:rFonts w:hint="eastAsia" w:ascii="宋体" w:hAnsi="宋体" w:cs="宋体"/>
          <w:color w:val="000000"/>
          <w:kern w:val="0"/>
          <w:szCs w:val="21"/>
        </w:rPr>
        <w:t>（1）采用电汇、转账形式的供应商应于磋商截止时间前将竞标保证金从供应商账户一次性足额缴纳至本项目对应的专用账号，转账时备注转账时建议备注：“项目编号+项目名称+竞标保证金”</w:t>
      </w:r>
    </w:p>
    <w:p w14:paraId="1B458B2F">
      <w:pPr>
        <w:spacing w:line="360" w:lineRule="exact"/>
        <w:ind w:firstLine="420" w:firstLineChars="200"/>
        <w:rPr>
          <w:rFonts w:ascii="宋体" w:hAnsi="宋体" w:cs="宋体"/>
          <w:color w:val="000000"/>
          <w:kern w:val="0"/>
          <w:szCs w:val="21"/>
        </w:rPr>
      </w:pPr>
      <w:r>
        <w:rPr>
          <w:rFonts w:hint="eastAsia" w:ascii="宋体" w:hAnsi="宋体" w:cs="宋体"/>
          <w:color w:val="000000"/>
          <w:kern w:val="0"/>
          <w:szCs w:val="21"/>
        </w:rPr>
        <w:t>（2）缴纳竞标保证金账户信息：开户名称：广西嘉华建设项目管理咨询有限公司临桂分公司;开户银行：中国农业银行股份有限公司桂林榕山支行;银行账号：20222401040005706</w:t>
      </w:r>
    </w:p>
    <w:p w14:paraId="7AD13982">
      <w:pPr>
        <w:spacing w:line="360" w:lineRule="exact"/>
        <w:ind w:firstLine="420" w:firstLineChars="200"/>
        <w:rPr>
          <w:rFonts w:ascii="宋体" w:hAnsi="宋体" w:cs="宋体"/>
          <w:kern w:val="0"/>
          <w:szCs w:val="21"/>
        </w:rPr>
      </w:pPr>
      <w:r>
        <w:rPr>
          <w:rFonts w:ascii="宋体" w:hAnsi="宋体" w:cs="宋体"/>
          <w:kern w:val="0"/>
          <w:szCs w:val="21"/>
        </w:rPr>
        <w:t>2.</w:t>
      </w:r>
      <w:r>
        <w:rPr>
          <w:rFonts w:hint="eastAsia" w:ascii="宋体" w:hAnsi="宋体" w:cs="宋体"/>
          <w:kern w:val="0"/>
          <w:szCs w:val="21"/>
        </w:rPr>
        <w:t>网上查询地址</w:t>
      </w:r>
    </w:p>
    <w:p w14:paraId="047FD4B0">
      <w:pPr>
        <w:spacing w:line="360" w:lineRule="exact"/>
        <w:ind w:firstLine="420" w:firstLineChars="200"/>
        <w:rPr>
          <w:rFonts w:ascii="宋体" w:hAnsi="宋体" w:cs="宋体"/>
          <w:kern w:val="0"/>
          <w:szCs w:val="21"/>
        </w:rPr>
      </w:pPr>
      <w:r>
        <w:rPr>
          <w:rFonts w:hint="eastAsia" w:ascii="宋体" w:hAnsi="宋体" w:cs="宋体"/>
          <w:kern w:val="0"/>
          <w:szCs w:val="21"/>
        </w:rPr>
        <w:t>www.ccgp.gov.cn（中国政府采购网）、zfcg.gxzf.gov.cn（广西壮族自治区政府采购网）。</w:t>
      </w:r>
    </w:p>
    <w:p w14:paraId="26409B9D">
      <w:pPr>
        <w:spacing w:line="360" w:lineRule="exact"/>
        <w:ind w:firstLine="424" w:firstLineChars="202"/>
        <w:rPr>
          <w:rFonts w:ascii="宋体" w:hAnsi="宋体" w:cs="宋体"/>
          <w:i/>
          <w:kern w:val="0"/>
          <w:szCs w:val="21"/>
        </w:rPr>
      </w:pPr>
      <w:bookmarkStart w:id="45" w:name="_Hlk37429674"/>
      <w:bookmarkStart w:id="46" w:name="_Toc35393805"/>
      <w:bookmarkStart w:id="47" w:name="_Toc44229885"/>
      <w:bookmarkStart w:id="48" w:name="_Toc28359018"/>
      <w:bookmarkStart w:id="49" w:name="_Toc28359095"/>
      <w:bookmarkStart w:id="50" w:name="_Toc35393636"/>
      <w:r>
        <w:rPr>
          <w:rFonts w:ascii="宋体" w:hAnsi="宋体"/>
          <w:szCs w:val="21"/>
        </w:rPr>
        <w:t>3.</w:t>
      </w:r>
      <w:r>
        <w:rPr>
          <w:rFonts w:hint="eastAsia" w:ascii="宋体" w:hAnsi="宋体" w:cs="宋体"/>
          <w:kern w:val="0"/>
          <w:szCs w:val="21"/>
        </w:rPr>
        <w:t>本项目需要落实的政府采购政策</w:t>
      </w:r>
    </w:p>
    <w:bookmarkEnd w:id="45"/>
    <w:p w14:paraId="165FD3D7">
      <w:pPr>
        <w:spacing w:line="360" w:lineRule="exact"/>
        <w:ind w:firstLine="420" w:firstLineChars="200"/>
        <w:rPr>
          <w:rFonts w:ascii="宋体" w:hAnsi="宋体" w:cs="宋体"/>
          <w:kern w:val="0"/>
          <w:szCs w:val="21"/>
        </w:rPr>
      </w:pPr>
      <w:r>
        <w:rPr>
          <w:rFonts w:hint="eastAsia" w:ascii="宋体" w:hAnsi="宋体" w:cs="宋体"/>
          <w:kern w:val="0"/>
          <w:szCs w:val="21"/>
        </w:rPr>
        <w:t>（1）政府采购促进中小企业发展</w:t>
      </w:r>
      <w:r>
        <w:rPr>
          <w:rFonts w:hint="eastAsia" w:ascii="宋体" w:hAnsi="宋体" w:cs="宋体"/>
          <w:b/>
          <w:kern w:val="0"/>
          <w:szCs w:val="21"/>
        </w:rPr>
        <w:t>（</w:t>
      </w:r>
      <w:bookmarkStart w:id="51" w:name="OLE_LINK1"/>
      <w:r>
        <w:rPr>
          <w:rFonts w:hint="eastAsia" w:ascii="宋体" w:hAnsi="宋体" w:cs="宋体"/>
          <w:b/>
          <w:kern w:val="0"/>
          <w:szCs w:val="21"/>
        </w:rPr>
        <w:t>本项目标项一专门面向中小企业采购、标项二专门面向小微企业采购</w:t>
      </w:r>
      <w:bookmarkEnd w:id="51"/>
      <w:r>
        <w:rPr>
          <w:rFonts w:hint="eastAsia" w:ascii="宋体" w:hAnsi="宋体" w:cs="宋体"/>
          <w:b/>
          <w:kern w:val="0"/>
          <w:szCs w:val="21"/>
        </w:rPr>
        <w:t>）。</w:t>
      </w:r>
    </w:p>
    <w:p w14:paraId="7AAE9007">
      <w:pPr>
        <w:spacing w:line="360" w:lineRule="exact"/>
        <w:ind w:firstLine="420" w:firstLineChars="200"/>
        <w:rPr>
          <w:rFonts w:ascii="宋体" w:hAnsi="宋体" w:cs="宋体"/>
          <w:kern w:val="0"/>
          <w:szCs w:val="21"/>
        </w:rPr>
      </w:pPr>
      <w:r>
        <w:rPr>
          <w:rFonts w:hint="eastAsia" w:ascii="宋体" w:hAnsi="宋体" w:cs="宋体"/>
          <w:kern w:val="0"/>
          <w:szCs w:val="21"/>
        </w:rPr>
        <w:t>（2）政府采购支持采用本国产品的政策。</w:t>
      </w:r>
    </w:p>
    <w:p w14:paraId="3CAB089F">
      <w:pPr>
        <w:spacing w:line="360" w:lineRule="exact"/>
        <w:ind w:firstLine="420" w:firstLineChars="200"/>
        <w:rPr>
          <w:rFonts w:ascii="宋体" w:hAnsi="宋体" w:cs="宋体"/>
          <w:kern w:val="0"/>
          <w:szCs w:val="21"/>
        </w:rPr>
      </w:pPr>
      <w:r>
        <w:rPr>
          <w:rFonts w:hint="eastAsia" w:ascii="宋体" w:hAnsi="宋体" w:cs="宋体"/>
          <w:kern w:val="0"/>
          <w:szCs w:val="21"/>
        </w:rPr>
        <w:t>（3）强制采购节能产品；优先采购节能产品、环境标志产品。</w:t>
      </w:r>
    </w:p>
    <w:p w14:paraId="147D20C5">
      <w:pPr>
        <w:spacing w:line="360" w:lineRule="exact"/>
        <w:ind w:firstLine="420" w:firstLineChars="200"/>
        <w:rPr>
          <w:rFonts w:ascii="宋体" w:hAnsi="宋体" w:cs="宋体"/>
          <w:kern w:val="0"/>
          <w:szCs w:val="21"/>
        </w:rPr>
      </w:pPr>
      <w:r>
        <w:rPr>
          <w:rFonts w:hint="eastAsia" w:ascii="宋体" w:hAnsi="宋体" w:cs="宋体"/>
          <w:kern w:val="0"/>
          <w:szCs w:val="21"/>
        </w:rPr>
        <w:t>（4）政府采购促进残疾人就业政策。</w:t>
      </w:r>
    </w:p>
    <w:p w14:paraId="5D0E3143">
      <w:pPr>
        <w:spacing w:line="360" w:lineRule="exact"/>
        <w:ind w:firstLine="420" w:firstLineChars="200"/>
        <w:rPr>
          <w:rFonts w:ascii="宋体" w:hAnsi="宋体" w:cs="宋体"/>
          <w:kern w:val="0"/>
          <w:szCs w:val="21"/>
        </w:rPr>
      </w:pPr>
      <w:r>
        <w:rPr>
          <w:rFonts w:hint="eastAsia" w:ascii="宋体" w:hAnsi="宋体" w:cs="宋体"/>
          <w:kern w:val="0"/>
          <w:szCs w:val="21"/>
        </w:rPr>
        <w:t>（5）政府采购支持监狱企业发展。</w:t>
      </w:r>
    </w:p>
    <w:p w14:paraId="232C321D">
      <w:pPr>
        <w:spacing w:line="360" w:lineRule="exact"/>
        <w:ind w:firstLine="420" w:firstLineChars="200"/>
        <w:rPr>
          <w:rFonts w:ascii="宋体" w:hAnsi="宋体" w:cs="宋体"/>
          <w:kern w:val="0"/>
          <w:szCs w:val="21"/>
        </w:rPr>
      </w:pPr>
      <w:r>
        <w:rPr>
          <w:rFonts w:hint="eastAsia" w:ascii="宋体" w:hAnsi="宋体" w:cs="宋体"/>
          <w:kern w:val="0"/>
          <w:szCs w:val="21"/>
        </w:rPr>
        <w:t>（6）政府采购扶持不发达地区和少数民族地区政策。</w:t>
      </w:r>
    </w:p>
    <w:p w14:paraId="6D41F6CF">
      <w:pPr>
        <w:spacing w:line="360" w:lineRule="exact"/>
        <w:ind w:firstLine="420" w:firstLineChars="200"/>
        <w:rPr>
          <w:rFonts w:ascii="宋体" w:hAnsi="宋体" w:cs="宋体"/>
          <w:kern w:val="0"/>
          <w:szCs w:val="21"/>
        </w:rPr>
      </w:pPr>
      <w:r>
        <w:rPr>
          <w:rFonts w:ascii="宋体" w:hAnsi="宋体" w:cs="宋体"/>
          <w:kern w:val="0"/>
          <w:szCs w:val="21"/>
        </w:rPr>
        <w:t>4.</w:t>
      </w:r>
      <w:r>
        <w:rPr>
          <w:rFonts w:hint="eastAsia" w:ascii="宋体" w:hAnsi="宋体" w:cs="宋体"/>
          <w:kern w:val="0"/>
          <w:szCs w:val="21"/>
        </w:rPr>
        <w:t>资格条件特别说明</w:t>
      </w:r>
    </w:p>
    <w:p w14:paraId="2B5675B0">
      <w:pPr>
        <w:spacing w:line="360" w:lineRule="exact"/>
        <w:rPr>
          <w:rFonts w:ascii="宋体" w:hAnsi="宋体" w:cs="宋体"/>
          <w:kern w:val="0"/>
          <w:szCs w:val="21"/>
        </w:rPr>
      </w:pPr>
      <w:r>
        <w:rPr>
          <w:rFonts w:hint="eastAsia" w:ascii="宋体" w:hAnsi="宋体" w:cs="宋体"/>
          <w:kern w:val="0"/>
          <w:szCs w:val="21"/>
        </w:rPr>
        <w:t xml:space="preserve">    （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F23C347">
      <w:pPr>
        <w:spacing w:line="360" w:lineRule="exact"/>
        <w:ind w:firstLine="420" w:firstLineChars="200"/>
        <w:rPr>
          <w:rFonts w:ascii="宋体" w:hAnsi="宋体" w:cs="宋体"/>
          <w:kern w:val="0"/>
          <w:szCs w:val="21"/>
        </w:rPr>
      </w:pPr>
      <w:r>
        <w:rPr>
          <w:rFonts w:hint="eastAsia" w:ascii="宋体" w:hAnsi="宋体" w:cs="宋体"/>
          <w:kern w:val="0"/>
          <w:szCs w:val="21"/>
        </w:rPr>
        <w:t>（2）对在“信用中国”网站(www.creditchina.gov.cn)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6A36E905">
      <w:pPr>
        <w:spacing w:line="360" w:lineRule="exact"/>
        <w:ind w:firstLine="420" w:firstLineChars="200"/>
        <w:rPr>
          <w:rFonts w:ascii="宋体" w:hAnsi="宋体" w:cs="宋体"/>
          <w:kern w:val="0"/>
          <w:szCs w:val="21"/>
        </w:rPr>
      </w:pPr>
      <w:r>
        <w:rPr>
          <w:rFonts w:ascii="宋体" w:hAnsi="宋体" w:cs="宋体"/>
          <w:kern w:val="0"/>
          <w:szCs w:val="21"/>
        </w:rPr>
        <w:t>5.</w:t>
      </w:r>
      <w:r>
        <w:rPr>
          <w:rFonts w:hint="eastAsia" w:ascii="宋体" w:hAnsi="宋体" w:cs="宋体"/>
          <w:kern w:val="0"/>
          <w:szCs w:val="21"/>
        </w:rPr>
        <w:t>供应商竞标注意事项</w:t>
      </w:r>
    </w:p>
    <w:p w14:paraId="52B0521A">
      <w:pPr>
        <w:widowControl/>
        <w:wordWrap w:val="0"/>
        <w:spacing w:line="380" w:lineRule="exact"/>
        <w:ind w:firstLine="420" w:firstLineChars="200"/>
        <w:jc w:val="left"/>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）本项目为全流程电子化采购项目，通过广西政府采购云平台（</w:t>
      </w:r>
      <w:r>
        <w:rPr>
          <w:rFonts w:hint="eastAsia" w:ascii="宋体" w:hAnsi="宋体"/>
          <w:bCs/>
          <w:szCs w:val="21"/>
        </w:rPr>
        <w:t>https://www.gcy.zfcg.gxzf.gov.cn/</w:t>
      </w:r>
      <w:r>
        <w:rPr>
          <w:rFonts w:hint="eastAsia" w:ascii="宋体" w:hAnsi="宋体"/>
          <w:szCs w:val="21"/>
        </w:rPr>
        <w:t>）实行在线电子竞标，并按照本项目竞争性磋商文件和广西政府采购云平台的要求编制、加密后在提交响应文件截止时间前通过网络上传至广西政府采购云平台（加密的电子响应文件是指</w:t>
      </w:r>
      <w:r>
        <w:rPr>
          <w:rFonts w:hint="eastAsia" w:ascii="宋体" w:hAnsi="宋体"/>
        </w:rPr>
        <w:t>后缀名为“</w:t>
      </w:r>
      <w:r>
        <w:rPr>
          <w:rFonts w:ascii="宋体" w:hAnsi="宋体"/>
        </w:rPr>
        <w:t>jmbs</w:t>
      </w:r>
      <w:r>
        <w:rPr>
          <w:rFonts w:hint="eastAsia" w:ascii="宋体" w:hAnsi="宋体"/>
        </w:rPr>
        <w:t>”的文件</w:t>
      </w:r>
      <w:r>
        <w:rPr>
          <w:rFonts w:hint="eastAsia" w:ascii="宋体" w:hAnsi="宋体"/>
          <w:szCs w:val="21"/>
        </w:rPr>
        <w:t>），</w:t>
      </w:r>
      <w:r>
        <w:rPr>
          <w:rFonts w:hint="eastAsia" w:ascii="宋体" w:hAnsi="宋体"/>
          <w:b/>
          <w:szCs w:val="21"/>
        </w:rPr>
        <w:t>供应商在广西政府采购云平台提交电子响应文件时，请填写参加远程采购活动经办人联系方式。</w:t>
      </w:r>
      <w:r>
        <w:rPr>
          <w:rFonts w:hint="eastAsia" w:ascii="宋体" w:hAnsi="宋体"/>
          <w:szCs w:val="21"/>
        </w:rPr>
        <w:t>供应商登录广西政府采购云平台，依次进入“服务中心</w:t>
      </w:r>
      <w:r>
        <w:rPr>
          <w:rFonts w:ascii="宋体" w:hAnsi="宋体"/>
          <w:szCs w:val="21"/>
        </w:rPr>
        <w:t>-</w:t>
      </w:r>
      <w:r>
        <w:rPr>
          <w:rFonts w:hint="eastAsia" w:ascii="宋体" w:hAnsi="宋体"/>
          <w:szCs w:val="21"/>
        </w:rPr>
        <w:t>项目采购</w:t>
      </w:r>
      <w:r>
        <w:rPr>
          <w:rFonts w:ascii="宋体" w:hAnsi="宋体"/>
          <w:szCs w:val="21"/>
        </w:rPr>
        <w:t>-</w:t>
      </w:r>
      <w:r>
        <w:rPr>
          <w:rFonts w:hint="eastAsia" w:ascii="宋体" w:hAnsi="宋体"/>
          <w:szCs w:val="21"/>
        </w:rPr>
        <w:t>操作流程</w:t>
      </w:r>
      <w:r>
        <w:rPr>
          <w:rFonts w:ascii="宋体" w:hAnsi="宋体"/>
          <w:szCs w:val="21"/>
        </w:rPr>
        <w:t>-</w:t>
      </w:r>
      <w:r>
        <w:rPr>
          <w:rFonts w:hint="eastAsia" w:ascii="宋体" w:hAnsi="宋体"/>
          <w:szCs w:val="21"/>
        </w:rPr>
        <w:t>电子招投标</w:t>
      </w:r>
      <w:r>
        <w:rPr>
          <w:rFonts w:ascii="宋体" w:hAnsi="宋体"/>
          <w:szCs w:val="21"/>
        </w:rPr>
        <w:t>-</w:t>
      </w:r>
      <w:r>
        <w:rPr>
          <w:rFonts w:hint="eastAsia" w:ascii="宋体" w:hAnsi="宋体"/>
        </w:rPr>
        <w:t>政府采购项目电子交易管理操作指南</w:t>
      </w:r>
      <w:r>
        <w:rPr>
          <w:rFonts w:ascii="宋体" w:hAnsi="宋体"/>
        </w:rPr>
        <w:t>-</w:t>
      </w:r>
      <w:r>
        <w:rPr>
          <w:rFonts w:hint="eastAsia" w:ascii="宋体" w:hAnsi="宋体"/>
        </w:rPr>
        <w:t>供应商</w:t>
      </w:r>
      <w:r>
        <w:rPr>
          <w:rFonts w:hint="eastAsia" w:ascii="宋体" w:hAnsi="宋体"/>
          <w:szCs w:val="21"/>
        </w:rPr>
        <w:t>”查看电子竞标具体操作流程。</w:t>
      </w:r>
    </w:p>
    <w:p w14:paraId="505211A3">
      <w:pPr>
        <w:widowControl/>
        <w:wordWrap w:val="0"/>
        <w:spacing w:line="380" w:lineRule="exact"/>
        <w:ind w:firstLine="420" w:firstLineChars="200"/>
        <w:jc w:val="left"/>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）未进行网上注册并办理数字证书（</w:t>
      </w:r>
      <w:r>
        <w:rPr>
          <w:rFonts w:ascii="宋体" w:hAnsi="宋体"/>
          <w:szCs w:val="21"/>
        </w:rPr>
        <w:t>CA</w:t>
      </w:r>
      <w:r>
        <w:rPr>
          <w:rFonts w:hint="eastAsia" w:ascii="宋体" w:hAnsi="宋体"/>
          <w:szCs w:val="21"/>
        </w:rPr>
        <w:t>认证）的供应商将无法参与本项目政府采购活动，供应商应当在提交响应文件截止时间前，完成电子交易平台上的</w:t>
      </w:r>
      <w:r>
        <w:rPr>
          <w:rFonts w:ascii="宋体" w:hAnsi="宋体"/>
          <w:szCs w:val="21"/>
        </w:rPr>
        <w:t>CA</w:t>
      </w:r>
      <w:r>
        <w:rPr>
          <w:rFonts w:hint="eastAsia" w:ascii="宋体" w:hAnsi="宋体"/>
          <w:szCs w:val="21"/>
        </w:rPr>
        <w:t>数字证书办理及响应文件的提交（供应商可登录“广西政府采购网”，依次进入“办事服务</w:t>
      </w:r>
      <w:r>
        <w:rPr>
          <w:rFonts w:ascii="宋体" w:hAnsi="宋体"/>
          <w:szCs w:val="21"/>
        </w:rPr>
        <w:t>-</w:t>
      </w:r>
      <w:r>
        <w:rPr>
          <w:rFonts w:hint="eastAsia" w:ascii="宋体" w:hAnsi="宋体"/>
          <w:szCs w:val="21"/>
        </w:rPr>
        <w:t>下载专区”或者登录广西政府采购云平台</w:t>
      </w:r>
      <w:r>
        <w:rPr>
          <w:rFonts w:hint="eastAsia" w:ascii="宋体" w:hAnsi="宋体" w:cs="宋体"/>
          <w:kern w:val="0"/>
          <w:szCs w:val="21"/>
        </w:rPr>
        <w:t>，</w:t>
      </w:r>
      <w:r>
        <w:rPr>
          <w:rFonts w:hint="eastAsia" w:ascii="宋体" w:hAnsi="宋体"/>
          <w:szCs w:val="21"/>
        </w:rPr>
        <w:t>依次进入“服务中心</w:t>
      </w:r>
      <w:r>
        <w:rPr>
          <w:rFonts w:ascii="宋体" w:hAnsi="宋体"/>
          <w:szCs w:val="21"/>
        </w:rPr>
        <w:t>-</w:t>
      </w:r>
      <w:r>
        <w:rPr>
          <w:rFonts w:hint="eastAsia" w:ascii="宋体" w:hAnsi="宋体"/>
          <w:szCs w:val="21"/>
        </w:rPr>
        <w:t>入驻与配置”中查看</w:t>
      </w:r>
      <w:r>
        <w:rPr>
          <w:rFonts w:ascii="宋体" w:hAnsi="宋体"/>
          <w:szCs w:val="21"/>
        </w:rPr>
        <w:t>CA</w:t>
      </w:r>
      <w:r>
        <w:rPr>
          <w:rFonts w:hint="eastAsia" w:ascii="宋体" w:hAnsi="宋体"/>
          <w:szCs w:val="21"/>
        </w:rPr>
        <w:t>数字证书办理操作流程。</w:t>
      </w:r>
      <w:r>
        <w:rPr>
          <w:rFonts w:hint="eastAsia" w:ascii="宋体" w:hAnsi="宋体" w:cs="宋体"/>
          <w:bCs/>
          <w:kern w:val="0"/>
          <w:szCs w:val="21"/>
        </w:rPr>
        <w:t>如在操作过程中遇到问题或者需要技术支持，请致电客服热线：</w:t>
      </w:r>
      <w:r>
        <w:rPr>
          <w:rFonts w:ascii="宋体" w:hAnsi="宋体" w:cs="宋体"/>
          <w:bCs/>
          <w:kern w:val="0"/>
          <w:szCs w:val="21"/>
        </w:rPr>
        <w:t>95763</w:t>
      </w:r>
      <w:r>
        <w:rPr>
          <w:rFonts w:hint="eastAsia" w:ascii="宋体" w:hAnsi="宋体" w:cs="宋体"/>
          <w:bCs/>
          <w:kern w:val="0"/>
          <w:szCs w:val="21"/>
        </w:rPr>
        <w:t>、0771-3381253</w:t>
      </w:r>
      <w:r>
        <w:rPr>
          <w:rFonts w:hint="eastAsia" w:ascii="宋体" w:hAnsi="宋体"/>
          <w:szCs w:val="21"/>
        </w:rPr>
        <w:t>）。</w:t>
      </w:r>
    </w:p>
    <w:p w14:paraId="318A149A">
      <w:pPr>
        <w:wordWrap w:val="0"/>
        <w:snapToGrid w:val="0"/>
        <w:spacing w:line="380" w:lineRule="exact"/>
        <w:ind w:firstLine="420" w:firstLineChars="200"/>
        <w:rPr>
          <w:rFonts w:ascii="宋体" w:hAnsi="宋体" w:cs="宋体"/>
          <w:kern w:val="0"/>
          <w:szCs w:val="21"/>
        </w:rPr>
      </w:pPr>
      <w:r>
        <w:rPr>
          <w:rFonts w:hint="eastAsia" w:ascii="宋体" w:hAnsi="宋体" w:cs="宋体"/>
          <w:kern w:val="0"/>
          <w:szCs w:val="21"/>
        </w:rPr>
        <w:t>（</w:t>
      </w:r>
      <w:r>
        <w:rPr>
          <w:rFonts w:ascii="宋体" w:hAnsi="宋体" w:cs="宋体"/>
          <w:kern w:val="0"/>
          <w:szCs w:val="21"/>
        </w:rPr>
        <w:t>3</w:t>
      </w:r>
      <w:r>
        <w:rPr>
          <w:rFonts w:hint="eastAsia" w:ascii="宋体" w:hAnsi="宋体" w:cs="宋体"/>
          <w:kern w:val="0"/>
          <w:szCs w:val="21"/>
        </w:rPr>
        <w:t>）</w:t>
      </w:r>
      <w:r>
        <w:rPr>
          <w:rFonts w:ascii="宋体" w:hAnsi="宋体" w:cs="宋体"/>
          <w:kern w:val="0"/>
          <w:szCs w:val="21"/>
        </w:rPr>
        <w:t>CA</w:t>
      </w:r>
      <w:r>
        <w:rPr>
          <w:rFonts w:hint="eastAsia" w:ascii="宋体" w:hAnsi="宋体" w:cs="宋体"/>
          <w:kern w:val="0"/>
          <w:szCs w:val="21"/>
        </w:rPr>
        <w:t>证书在线解密：首次响应文件开启时，需携带制作响应文件时用来加密的有效数字证书（</w:t>
      </w:r>
      <w:r>
        <w:rPr>
          <w:rFonts w:ascii="宋体" w:hAnsi="宋体" w:cs="宋体"/>
          <w:kern w:val="0"/>
          <w:szCs w:val="21"/>
        </w:rPr>
        <w:t>CA</w:t>
      </w:r>
      <w:r>
        <w:rPr>
          <w:rFonts w:hint="eastAsia" w:ascii="宋体" w:hAnsi="宋体" w:cs="宋体"/>
          <w:kern w:val="0"/>
          <w:szCs w:val="21"/>
        </w:rPr>
        <w:t>认证）登录</w:t>
      </w:r>
      <w:r>
        <w:rPr>
          <w:rFonts w:hint="eastAsia" w:ascii="宋体" w:hAnsi="宋体"/>
          <w:szCs w:val="21"/>
        </w:rPr>
        <w:t>广西政府采购云平台</w:t>
      </w:r>
      <w:r>
        <w:rPr>
          <w:rFonts w:hint="eastAsia" w:ascii="宋体" w:hAnsi="宋体" w:cs="宋体"/>
          <w:kern w:val="0"/>
          <w:szCs w:val="21"/>
        </w:rPr>
        <w:t>电子开标大厅现场按规定时间对加密的响应文件进行解密，否则后果自负。</w:t>
      </w:r>
    </w:p>
    <w:p w14:paraId="42A84628">
      <w:pPr>
        <w:widowControl/>
        <w:wordWrap w:val="0"/>
        <w:spacing w:line="380" w:lineRule="exact"/>
        <w:ind w:firstLine="420" w:firstLineChars="200"/>
        <w:jc w:val="left"/>
        <w:rPr>
          <w:rFonts w:ascii="宋体" w:hAnsi="宋体"/>
          <w:bCs/>
          <w:szCs w:val="21"/>
        </w:rPr>
      </w:pPr>
      <w:r>
        <w:rPr>
          <w:rFonts w:hint="eastAsia" w:ascii="宋体" w:hAnsi="宋体"/>
          <w:szCs w:val="21"/>
        </w:rPr>
        <w:t>注：</w:t>
      </w:r>
      <w:r>
        <w:rPr>
          <w:rFonts w:ascii="宋体" w:hAnsi="宋体"/>
          <w:szCs w:val="21"/>
        </w:rPr>
        <w:t>1</w:t>
      </w:r>
      <w:r>
        <w:rPr>
          <w:rFonts w:hint="eastAsia" w:ascii="宋体" w:hAnsi="宋体"/>
          <w:szCs w:val="21"/>
        </w:rPr>
        <w:t>）为确保网上操作合法、有效和安全，请供应商确保在电子竞标过程中能够对相关数据电文进行加密和使用电子签章，妥善保管</w:t>
      </w:r>
      <w:r>
        <w:rPr>
          <w:rFonts w:ascii="宋体" w:hAnsi="宋体"/>
          <w:szCs w:val="21"/>
        </w:rPr>
        <w:t>CA</w:t>
      </w:r>
      <w:r>
        <w:rPr>
          <w:rFonts w:hint="eastAsia" w:ascii="宋体" w:hAnsi="宋体"/>
          <w:szCs w:val="21"/>
        </w:rPr>
        <w:t>数字证书并使用有效的</w:t>
      </w:r>
      <w:r>
        <w:rPr>
          <w:rFonts w:ascii="宋体" w:hAnsi="宋体"/>
          <w:szCs w:val="21"/>
        </w:rPr>
        <w:t>CA</w:t>
      </w:r>
      <w:r>
        <w:rPr>
          <w:rFonts w:hint="eastAsia" w:ascii="宋体" w:hAnsi="宋体"/>
          <w:szCs w:val="21"/>
        </w:rPr>
        <w:t>数字证书参与整个采购活动。</w:t>
      </w:r>
      <w:r>
        <w:rPr>
          <w:rFonts w:ascii="宋体" w:hAnsi="宋体"/>
          <w:szCs w:val="21"/>
        </w:rPr>
        <w:t>2</w:t>
      </w:r>
      <w:r>
        <w:rPr>
          <w:rFonts w:hint="eastAsia" w:ascii="宋体" w:hAnsi="宋体"/>
          <w:szCs w:val="21"/>
        </w:rPr>
        <w:t>）</w:t>
      </w:r>
      <w:r>
        <w:rPr>
          <w:rFonts w:hint="eastAsia" w:ascii="宋体" w:hAnsi="宋体"/>
          <w:bCs/>
          <w:szCs w:val="21"/>
        </w:rPr>
        <w:t>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止未完成提交（上传）的，视为撤回响应文件。提交响应文件截止时间以后提交（上传）的响应文件，</w:t>
      </w:r>
      <w:r>
        <w:rPr>
          <w:rFonts w:hint="eastAsia" w:ascii="宋体" w:hAnsi="宋体"/>
          <w:szCs w:val="21"/>
        </w:rPr>
        <w:t>广西政府采购云平台</w:t>
      </w:r>
      <w:r>
        <w:rPr>
          <w:rFonts w:hint="eastAsia" w:ascii="宋体" w:hAnsi="宋体"/>
          <w:bCs/>
          <w:szCs w:val="21"/>
        </w:rPr>
        <w:t>将予以拒收。</w:t>
      </w:r>
    </w:p>
    <w:p w14:paraId="61BB73C6">
      <w:pPr>
        <w:wordWrap w:val="0"/>
        <w:spacing w:line="360" w:lineRule="exact"/>
        <w:ind w:firstLine="420" w:firstLineChars="200"/>
        <w:rPr>
          <w:rFonts w:ascii="宋体" w:hAnsi="宋体" w:cs="宋体"/>
          <w:kern w:val="0"/>
          <w:szCs w:val="21"/>
        </w:rPr>
      </w:pPr>
      <w:r>
        <w:rPr>
          <w:rFonts w:hint="eastAsia" w:ascii="宋体" w:hAnsi="宋体" w:cs="宋体"/>
          <w:kern w:val="0"/>
          <w:szCs w:val="21"/>
        </w:rPr>
        <w:t>（</w:t>
      </w:r>
      <w:r>
        <w:rPr>
          <w:rFonts w:ascii="宋体" w:hAnsi="宋体" w:cs="宋体"/>
          <w:kern w:val="0"/>
          <w:szCs w:val="21"/>
        </w:rPr>
        <w:t>4</w:t>
      </w:r>
      <w:r>
        <w:rPr>
          <w:rFonts w:hint="eastAsia" w:ascii="宋体" w:hAnsi="宋体" w:cs="宋体"/>
          <w:kern w:val="0"/>
          <w:szCs w:val="21"/>
        </w:rPr>
        <w:t>）供应商需要在具备有摄像头及语音功能且互联网网络状况良好的电脑登录</w:t>
      </w:r>
      <w:r>
        <w:rPr>
          <w:rFonts w:hint="eastAsia" w:ascii="宋体" w:hAnsi="宋体"/>
          <w:bCs/>
          <w:szCs w:val="21"/>
        </w:rPr>
        <w:t>广西政府采购云平台</w:t>
      </w:r>
      <w:r>
        <w:rPr>
          <w:rFonts w:hint="eastAsia" w:ascii="宋体" w:hAnsi="宋体" w:cs="宋体"/>
          <w:kern w:val="0"/>
          <w:szCs w:val="21"/>
        </w:rPr>
        <w:t>远程开标大厅参与本次磋商，否则后果自负。</w:t>
      </w:r>
    </w:p>
    <w:p w14:paraId="613928A7">
      <w:pPr>
        <w:spacing w:line="360" w:lineRule="exact"/>
        <w:ind w:firstLine="420" w:firstLineChars="200"/>
        <w:rPr>
          <w:rFonts w:ascii="宋体" w:hAnsi="宋体" w:cs="宋体"/>
          <w:kern w:val="0"/>
          <w:szCs w:val="21"/>
        </w:rPr>
      </w:pPr>
      <w:r>
        <w:rPr>
          <w:rFonts w:hint="eastAsia" w:ascii="宋体" w:hAnsi="宋体" w:cs="宋体"/>
          <w:kern w:val="0"/>
          <w:szCs w:val="21"/>
        </w:rPr>
        <w:t>6.</w:t>
      </w:r>
      <w:r>
        <w:rPr>
          <w:rFonts w:hint="eastAsia" w:ascii="宋体" w:hAnsi="宋体" w:cs="宋体"/>
        </w:rPr>
        <w:t>本项目代理服务费</w:t>
      </w:r>
      <w:r>
        <w:rPr>
          <w:rFonts w:ascii="宋体" w:hAnsi="宋体" w:cs="宋体"/>
          <w:kern w:val="0"/>
          <w:szCs w:val="21"/>
        </w:rPr>
        <w:t>按签订的采购代理协议</w:t>
      </w:r>
      <w:r>
        <w:rPr>
          <w:rFonts w:hint="eastAsia" w:ascii="宋体" w:hAnsi="宋体" w:cs="宋体"/>
        </w:rPr>
        <w:t>由成交供应商</w:t>
      </w:r>
      <w:r>
        <w:rPr>
          <w:rFonts w:hint="eastAsia" w:ascii="宋体" w:hAnsi="宋体" w:cs="宋体"/>
          <w:kern w:val="0"/>
          <w:szCs w:val="21"/>
        </w:rPr>
        <w:t>在成交</w:t>
      </w:r>
      <w:r>
        <w:rPr>
          <w:rFonts w:ascii="宋体" w:hAnsi="宋体" w:cs="宋体"/>
          <w:kern w:val="0"/>
          <w:szCs w:val="21"/>
        </w:rPr>
        <w:t>公告发布之日起5个工作日内</w:t>
      </w:r>
      <w:r>
        <w:rPr>
          <w:rFonts w:hint="eastAsia" w:ascii="宋体" w:hAnsi="宋体" w:cs="宋体"/>
        </w:rPr>
        <w:t>一次性向采购代理机构支付。代理服务费标准：按成交金额为计费额，</w:t>
      </w:r>
      <w:r>
        <w:rPr>
          <w:rFonts w:hint="eastAsia" w:ascii="宋体" w:hAnsi="宋体"/>
        </w:rPr>
        <w:t>以费率</w:t>
      </w:r>
      <w:r>
        <w:rPr>
          <w:rFonts w:ascii="宋体" w:hAnsi="宋体"/>
        </w:rPr>
        <w:t>1.5%</w:t>
      </w:r>
      <w:r>
        <w:rPr>
          <w:rFonts w:hint="eastAsia" w:ascii="宋体" w:hAnsi="宋体"/>
        </w:rPr>
        <w:t>为基数下浮</w:t>
      </w:r>
      <w:r>
        <w:rPr>
          <w:rFonts w:ascii="宋体" w:hAnsi="宋体"/>
        </w:rPr>
        <w:t>60%</w:t>
      </w:r>
      <w:r>
        <w:rPr>
          <w:rFonts w:hint="eastAsia" w:ascii="宋体" w:hAnsi="宋体"/>
        </w:rPr>
        <w:t>计算【计算公式即：成交金额×</w:t>
      </w:r>
      <w:r>
        <w:rPr>
          <w:rFonts w:ascii="宋体" w:hAnsi="宋体"/>
        </w:rPr>
        <w:t>1.5%</w:t>
      </w:r>
      <w:r>
        <w:rPr>
          <w:rFonts w:hint="eastAsia" w:ascii="宋体" w:hAnsi="宋体"/>
        </w:rPr>
        <w:t>×（</w:t>
      </w:r>
      <w:r>
        <w:rPr>
          <w:rFonts w:ascii="宋体" w:hAnsi="宋体"/>
        </w:rPr>
        <w:t>1-60%</w:t>
      </w:r>
      <w:r>
        <w:rPr>
          <w:rFonts w:hint="eastAsia" w:ascii="宋体" w:hAnsi="宋体"/>
        </w:rPr>
        <w:t>）】。</w:t>
      </w:r>
    </w:p>
    <w:p w14:paraId="5714CD4B">
      <w:pPr>
        <w:spacing w:line="360" w:lineRule="exact"/>
        <w:ind w:firstLine="361" w:firstLineChars="150"/>
        <w:rPr>
          <w:rFonts w:ascii="宋体" w:hAnsi="宋体"/>
          <w:sz w:val="24"/>
        </w:rPr>
      </w:pPr>
      <w:r>
        <w:rPr>
          <w:rFonts w:hint="eastAsia" w:ascii="宋体" w:hAnsi="宋体"/>
          <w:b/>
          <w:sz w:val="24"/>
        </w:rPr>
        <w:t>八、凡对本次采购提出询问，请按</w:t>
      </w:r>
      <w:r>
        <w:rPr>
          <w:rFonts w:ascii="宋体" w:hAnsi="宋体"/>
          <w:b/>
          <w:sz w:val="24"/>
        </w:rPr>
        <w:t>以下方式</w:t>
      </w:r>
      <w:r>
        <w:rPr>
          <w:rFonts w:hint="eastAsia" w:ascii="宋体" w:hAnsi="宋体"/>
          <w:b/>
          <w:sz w:val="24"/>
        </w:rPr>
        <w:t>联系。</w:t>
      </w:r>
      <w:bookmarkEnd w:id="46"/>
      <w:bookmarkEnd w:id="47"/>
      <w:bookmarkEnd w:id="48"/>
      <w:bookmarkEnd w:id="49"/>
      <w:bookmarkEnd w:id="50"/>
    </w:p>
    <w:p w14:paraId="0BF101DE">
      <w:pPr>
        <w:spacing w:line="360" w:lineRule="exact"/>
        <w:ind w:firstLine="420" w:firstLineChars="200"/>
        <w:rPr>
          <w:rFonts w:ascii="宋体" w:hAnsi="宋体" w:cs="宋体"/>
          <w:kern w:val="0"/>
          <w:szCs w:val="21"/>
        </w:rPr>
      </w:pPr>
      <w:bookmarkStart w:id="52" w:name="_Toc28359096"/>
      <w:bookmarkStart w:id="53" w:name="_Toc35393637"/>
      <w:bookmarkStart w:id="54" w:name="_Toc35393806"/>
      <w:bookmarkStart w:id="55" w:name="_Toc28359019"/>
      <w:r>
        <w:rPr>
          <w:rFonts w:hint="eastAsia" w:ascii="宋体" w:hAnsi="宋体" w:cs="宋体"/>
          <w:kern w:val="0"/>
          <w:szCs w:val="21"/>
        </w:rPr>
        <w:t>1.采购人信息</w:t>
      </w:r>
      <w:bookmarkEnd w:id="52"/>
      <w:bookmarkEnd w:id="53"/>
      <w:bookmarkEnd w:id="54"/>
      <w:bookmarkEnd w:id="55"/>
    </w:p>
    <w:bookmarkEnd w:id="4"/>
    <w:p w14:paraId="52E9C044">
      <w:pPr>
        <w:widowControl/>
        <w:wordWrap w:val="0"/>
        <w:spacing w:line="380" w:lineRule="exact"/>
        <w:ind w:firstLine="420" w:firstLineChars="200"/>
        <w:jc w:val="left"/>
        <w:rPr>
          <w:rFonts w:hint="eastAsia" w:ascii="宋体" w:hAnsi="宋体"/>
          <w:bCs/>
          <w:szCs w:val="21"/>
        </w:rPr>
      </w:pPr>
      <w:r>
        <w:rPr>
          <w:rFonts w:hint="eastAsia" w:ascii="宋体" w:hAnsi="宋体"/>
          <w:bCs/>
          <w:szCs w:val="21"/>
        </w:rPr>
        <w:t>名    称：广西师范大学</w:t>
      </w:r>
    </w:p>
    <w:p w14:paraId="13555AEC">
      <w:pPr>
        <w:widowControl/>
        <w:wordWrap w:val="0"/>
        <w:spacing w:line="380" w:lineRule="exact"/>
        <w:ind w:firstLine="420" w:firstLineChars="200"/>
        <w:jc w:val="left"/>
        <w:rPr>
          <w:rFonts w:hint="eastAsia" w:ascii="宋体" w:hAnsi="宋体"/>
          <w:bCs/>
          <w:szCs w:val="21"/>
        </w:rPr>
      </w:pPr>
      <w:r>
        <w:rPr>
          <w:rFonts w:hint="eastAsia" w:ascii="宋体" w:hAnsi="宋体"/>
          <w:bCs/>
          <w:szCs w:val="21"/>
        </w:rPr>
        <w:t>地址：广西桂林市雁山区雁中路1号</w:t>
      </w:r>
    </w:p>
    <w:p w14:paraId="6323D0F1">
      <w:pPr>
        <w:widowControl/>
        <w:wordWrap w:val="0"/>
        <w:spacing w:line="380" w:lineRule="exact"/>
        <w:ind w:firstLine="420" w:firstLineChars="200"/>
        <w:jc w:val="left"/>
        <w:rPr>
          <w:rFonts w:hint="eastAsia" w:ascii="宋体" w:hAnsi="宋体"/>
          <w:bCs/>
          <w:szCs w:val="21"/>
        </w:rPr>
      </w:pPr>
      <w:r>
        <w:rPr>
          <w:rFonts w:hint="eastAsia" w:ascii="宋体" w:hAnsi="宋体"/>
          <w:bCs/>
          <w:szCs w:val="21"/>
        </w:rPr>
        <w:t>项目联系人：程</w:t>
      </w:r>
      <w:r>
        <w:rPr>
          <w:rFonts w:hint="eastAsia" w:ascii="宋体" w:hAnsi="宋体"/>
          <w:bCs/>
          <w:szCs w:val="21"/>
          <w:lang w:val="en-US" w:eastAsia="zh-CN"/>
        </w:rPr>
        <w:t>晨</w:t>
      </w:r>
      <w:r>
        <w:rPr>
          <w:rFonts w:hint="eastAsia" w:ascii="宋体" w:hAnsi="宋体"/>
          <w:bCs/>
          <w:szCs w:val="21"/>
        </w:rPr>
        <w:t xml:space="preserve">    </w:t>
      </w:r>
    </w:p>
    <w:p w14:paraId="2D5D0681">
      <w:pPr>
        <w:widowControl/>
        <w:wordWrap w:val="0"/>
        <w:spacing w:line="380" w:lineRule="exact"/>
        <w:ind w:firstLine="420" w:firstLineChars="200"/>
        <w:jc w:val="left"/>
        <w:rPr>
          <w:rFonts w:hint="eastAsia" w:ascii="宋体" w:hAnsi="宋体"/>
          <w:bCs/>
          <w:szCs w:val="21"/>
        </w:rPr>
      </w:pPr>
      <w:r>
        <w:rPr>
          <w:rFonts w:hint="eastAsia" w:ascii="宋体" w:hAnsi="宋体"/>
          <w:bCs/>
          <w:szCs w:val="21"/>
        </w:rPr>
        <w:t>项目联系方式：0773-3696563</w:t>
      </w:r>
    </w:p>
    <w:p w14:paraId="2BB942C4">
      <w:pPr>
        <w:widowControl/>
        <w:wordWrap w:val="0"/>
        <w:spacing w:line="380" w:lineRule="exact"/>
        <w:ind w:firstLine="420" w:firstLineChars="200"/>
        <w:jc w:val="left"/>
        <w:rPr>
          <w:rFonts w:hint="eastAsia" w:ascii="宋体" w:hAnsi="宋体"/>
          <w:bCs/>
          <w:szCs w:val="21"/>
        </w:rPr>
      </w:pPr>
      <w:bookmarkStart w:id="56" w:name="_Toc35393638"/>
      <w:bookmarkStart w:id="57" w:name="_Toc28359097"/>
      <w:bookmarkStart w:id="58" w:name="_Toc28359020"/>
      <w:bookmarkStart w:id="59" w:name="_Toc35393807"/>
      <w:r>
        <w:rPr>
          <w:rFonts w:hint="eastAsia" w:ascii="宋体" w:hAnsi="宋体"/>
          <w:bCs/>
          <w:szCs w:val="21"/>
        </w:rPr>
        <w:t>2.采购代理机构信息</w:t>
      </w:r>
      <w:bookmarkEnd w:id="56"/>
      <w:bookmarkEnd w:id="57"/>
      <w:bookmarkEnd w:id="58"/>
      <w:bookmarkEnd w:id="59"/>
    </w:p>
    <w:p w14:paraId="31BC4F27">
      <w:pPr>
        <w:widowControl/>
        <w:wordWrap w:val="0"/>
        <w:spacing w:line="380" w:lineRule="exact"/>
        <w:ind w:firstLine="420" w:firstLineChars="200"/>
        <w:jc w:val="left"/>
        <w:rPr>
          <w:rFonts w:hint="eastAsia" w:ascii="宋体" w:hAnsi="宋体"/>
          <w:bCs/>
          <w:szCs w:val="21"/>
        </w:rPr>
      </w:pPr>
      <w:r>
        <w:rPr>
          <w:rFonts w:hint="eastAsia" w:ascii="宋体" w:hAnsi="宋体"/>
          <w:bCs/>
          <w:szCs w:val="21"/>
        </w:rPr>
        <w:t>名称：广西嘉华建设项目管理咨询有限公司</w:t>
      </w:r>
    </w:p>
    <w:p w14:paraId="0EB90BBD">
      <w:pPr>
        <w:widowControl/>
        <w:wordWrap w:val="0"/>
        <w:spacing w:line="380" w:lineRule="exact"/>
        <w:ind w:firstLine="420" w:firstLineChars="200"/>
        <w:jc w:val="left"/>
        <w:rPr>
          <w:rFonts w:hint="eastAsia" w:ascii="宋体" w:hAnsi="宋体"/>
          <w:bCs/>
          <w:szCs w:val="21"/>
        </w:rPr>
      </w:pPr>
      <w:r>
        <w:rPr>
          <w:rFonts w:hint="eastAsia" w:ascii="宋体" w:hAnsi="宋体"/>
          <w:bCs/>
          <w:szCs w:val="21"/>
        </w:rPr>
        <w:t>地址：广西桂林市临桂区青莲路建设大厦南楼十五楼</w:t>
      </w:r>
    </w:p>
    <w:p w14:paraId="00FE70F4">
      <w:pPr>
        <w:widowControl/>
        <w:wordWrap w:val="0"/>
        <w:spacing w:line="380" w:lineRule="exact"/>
        <w:ind w:firstLine="420" w:firstLineChars="200"/>
        <w:jc w:val="left"/>
        <w:rPr>
          <w:rFonts w:hint="eastAsia" w:ascii="宋体" w:hAnsi="宋体"/>
          <w:bCs/>
          <w:szCs w:val="21"/>
        </w:rPr>
      </w:pPr>
      <w:r>
        <w:rPr>
          <w:rFonts w:hint="eastAsia" w:ascii="宋体" w:hAnsi="宋体"/>
          <w:bCs/>
          <w:szCs w:val="21"/>
        </w:rPr>
        <w:t>联系方式：</w:t>
      </w:r>
      <w:bookmarkStart w:id="60" w:name="_Toc35393639"/>
      <w:bookmarkStart w:id="61" w:name="_Toc35393808"/>
      <w:bookmarkStart w:id="62" w:name="_Toc28359021"/>
      <w:bookmarkStart w:id="63" w:name="_Toc28359098"/>
      <w:r>
        <w:rPr>
          <w:rFonts w:hint="eastAsia" w:ascii="宋体" w:hAnsi="宋体"/>
          <w:bCs/>
          <w:szCs w:val="21"/>
        </w:rPr>
        <w:t>0773-2829198</w:t>
      </w:r>
    </w:p>
    <w:bookmarkEnd w:id="60"/>
    <w:bookmarkEnd w:id="61"/>
    <w:bookmarkEnd w:id="62"/>
    <w:bookmarkEnd w:id="63"/>
    <w:p w14:paraId="4D0E0C17">
      <w:pPr>
        <w:widowControl/>
        <w:wordWrap w:val="0"/>
        <w:spacing w:line="380" w:lineRule="exact"/>
        <w:ind w:firstLine="420" w:firstLineChars="200"/>
        <w:jc w:val="left"/>
        <w:rPr>
          <w:rFonts w:hint="eastAsia" w:ascii="宋体" w:hAnsi="宋体"/>
          <w:bCs/>
          <w:szCs w:val="21"/>
        </w:rPr>
      </w:pPr>
      <w:r>
        <w:rPr>
          <w:rFonts w:hint="eastAsia" w:ascii="宋体" w:hAnsi="宋体"/>
          <w:bCs/>
          <w:szCs w:val="21"/>
        </w:rPr>
        <w:t xml:space="preserve">项目联系人：蔡翔、余鑫龙、唐琴、秦彬、李奕良 </w:t>
      </w:r>
    </w:p>
    <w:p w14:paraId="5D2C32BF">
      <w:pPr>
        <w:widowControl/>
        <w:wordWrap w:val="0"/>
        <w:spacing w:line="380" w:lineRule="exact"/>
        <w:ind w:firstLine="420" w:firstLineChars="200"/>
        <w:jc w:val="left"/>
        <w:rPr>
          <w:rFonts w:hint="eastAsia" w:ascii="宋体" w:hAnsi="宋体"/>
          <w:bCs/>
          <w:szCs w:val="21"/>
        </w:rPr>
      </w:pPr>
      <w:r>
        <w:rPr>
          <w:rFonts w:hint="eastAsia" w:ascii="宋体" w:hAnsi="宋体"/>
          <w:bCs/>
          <w:szCs w:val="21"/>
        </w:rPr>
        <w:t>项目联系方式：0773-2829198</w:t>
      </w:r>
    </w:p>
    <w:p w14:paraId="735C1C38">
      <w:pPr>
        <w:spacing w:line="360" w:lineRule="exact"/>
        <w:ind w:firstLine="420" w:firstLineChars="200"/>
        <w:rPr>
          <w:rFonts w:ascii="宋体" w:hAnsi="宋体" w:cs="宋体"/>
          <w:szCs w:val="21"/>
        </w:rPr>
      </w:pPr>
    </w:p>
    <w:p w14:paraId="768C35D4">
      <w:pPr>
        <w:pStyle w:val="3"/>
        <w:spacing w:line="240" w:lineRule="auto"/>
        <w:jc w:val="center"/>
        <w:rPr>
          <w:rFonts w:ascii="宋体" w:hAnsi="宋体"/>
        </w:rPr>
      </w:pPr>
      <w:bookmarkStart w:id="64" w:name="_Toc74322606"/>
      <w:r>
        <w:rPr>
          <w:rFonts w:ascii="宋体" w:hAnsi="宋体"/>
        </w:rPr>
        <w:br w:type="page"/>
      </w:r>
      <w:r>
        <w:rPr>
          <w:rFonts w:hint="eastAsia" w:ascii="宋体" w:hAnsi="宋体"/>
        </w:rPr>
        <w:t>第二章 供应商须知</w:t>
      </w:r>
      <w:bookmarkEnd w:id="64"/>
    </w:p>
    <w:p w14:paraId="11F696BD">
      <w:pPr>
        <w:spacing w:line="400" w:lineRule="exact"/>
        <w:jc w:val="center"/>
        <w:rPr>
          <w:rFonts w:ascii="宋体" w:hAnsi="宋体"/>
          <w:b/>
          <w:sz w:val="32"/>
          <w:szCs w:val="32"/>
        </w:rPr>
      </w:pPr>
      <w:r>
        <w:rPr>
          <w:rFonts w:hint="eastAsia" w:ascii="宋体" w:hAnsi="宋体"/>
          <w:b/>
          <w:sz w:val="32"/>
          <w:szCs w:val="32"/>
        </w:rPr>
        <w:t>供应商须知前附表</w:t>
      </w:r>
    </w:p>
    <w:p w14:paraId="029F3AE1">
      <w:pPr>
        <w:spacing w:line="400" w:lineRule="exact"/>
        <w:jc w:val="center"/>
        <w:rPr>
          <w:rFonts w:ascii="宋体" w:hAnsi="宋体"/>
          <w:b/>
          <w:sz w:val="32"/>
          <w:szCs w:val="32"/>
        </w:rPr>
      </w:pPr>
    </w:p>
    <w:tbl>
      <w:tblPr>
        <w:tblStyle w:val="2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4F47E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14:paraId="37420BAE">
            <w:pPr>
              <w:spacing w:line="360" w:lineRule="auto"/>
              <w:jc w:val="center"/>
              <w:rPr>
                <w:rFonts w:ascii="宋体" w:hAnsi="宋体" w:cs="宋体"/>
                <w:b/>
                <w:szCs w:val="21"/>
              </w:rPr>
            </w:pPr>
            <w:r>
              <w:rPr>
                <w:rFonts w:hint="eastAsia" w:ascii="宋体" w:hAnsi="宋体" w:cs="宋体"/>
                <w:b/>
                <w:szCs w:val="21"/>
              </w:rPr>
              <w:t>条款号</w:t>
            </w:r>
          </w:p>
        </w:tc>
        <w:tc>
          <w:tcPr>
            <w:tcW w:w="7912" w:type="dxa"/>
          </w:tcPr>
          <w:p w14:paraId="5AEF9C0B">
            <w:pPr>
              <w:spacing w:line="360" w:lineRule="auto"/>
              <w:jc w:val="center"/>
              <w:rPr>
                <w:rFonts w:ascii="宋体" w:hAnsi="宋体" w:cs="宋体"/>
                <w:b/>
                <w:szCs w:val="21"/>
              </w:rPr>
            </w:pPr>
            <w:r>
              <w:rPr>
                <w:rFonts w:hint="eastAsia" w:ascii="宋体" w:hAnsi="宋体" w:cs="宋体"/>
                <w:b/>
                <w:szCs w:val="21"/>
              </w:rPr>
              <w:t>内    容</w:t>
            </w:r>
          </w:p>
        </w:tc>
      </w:tr>
      <w:tr w14:paraId="1F3AC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83B2D9F">
            <w:pPr>
              <w:spacing w:line="360" w:lineRule="auto"/>
              <w:jc w:val="center"/>
              <w:rPr>
                <w:rFonts w:ascii="宋体" w:hAnsi="宋体" w:cs="宋体"/>
                <w:szCs w:val="21"/>
              </w:rPr>
            </w:pPr>
            <w:r>
              <w:rPr>
                <w:rFonts w:hint="eastAsia" w:ascii="宋体" w:hAnsi="宋体" w:cs="宋体"/>
                <w:szCs w:val="21"/>
              </w:rPr>
              <w:t>3</w:t>
            </w:r>
          </w:p>
        </w:tc>
        <w:tc>
          <w:tcPr>
            <w:tcW w:w="7912" w:type="dxa"/>
            <w:vAlign w:val="center"/>
          </w:tcPr>
          <w:p w14:paraId="7AC37668">
            <w:pPr>
              <w:spacing w:line="360" w:lineRule="auto"/>
              <w:rPr>
                <w:rFonts w:ascii="宋体" w:hAnsi="宋体"/>
                <w:szCs w:val="21"/>
              </w:rPr>
            </w:pPr>
            <w:r>
              <w:rPr>
                <w:rFonts w:hint="eastAsia" w:ascii="宋体" w:hAnsi="宋体" w:cs="宋体"/>
                <w:bCs/>
                <w:szCs w:val="21"/>
              </w:rPr>
              <w:t>1.供应商的资格条件</w:t>
            </w:r>
            <w:r>
              <w:rPr>
                <w:rFonts w:hint="eastAsia" w:ascii="宋体" w:hAnsi="宋体" w:cs="宋体"/>
                <w:szCs w:val="21"/>
              </w:rPr>
              <w:t>：详见竞争性磋商公告</w:t>
            </w:r>
            <w:r>
              <w:rPr>
                <w:rFonts w:hint="eastAsia" w:ascii="宋体" w:hAnsi="宋体"/>
                <w:szCs w:val="21"/>
              </w:rPr>
              <w:t>。</w:t>
            </w:r>
          </w:p>
          <w:p w14:paraId="2266D37E">
            <w:pPr>
              <w:spacing w:line="360" w:lineRule="auto"/>
              <w:rPr>
                <w:rFonts w:ascii="宋体" w:hAnsi="宋体" w:cs="宋体"/>
                <w:szCs w:val="21"/>
              </w:rPr>
            </w:pPr>
            <w:r>
              <w:rPr>
                <w:rFonts w:hint="eastAsia" w:ascii="宋体" w:hAnsi="宋体" w:cs="宋体"/>
                <w:szCs w:val="21"/>
              </w:rPr>
              <w:t>2.</w:t>
            </w:r>
            <w:r>
              <w:rPr>
                <w:rFonts w:hint="eastAsia" w:ascii="宋体" w:hAnsi="宋体" w:cs="宋体"/>
                <w:bCs/>
                <w:szCs w:val="21"/>
              </w:rPr>
              <w:t>供应商</w:t>
            </w:r>
            <w:r>
              <w:rPr>
                <w:rFonts w:hint="eastAsia" w:ascii="宋体" w:hAnsi="宋体" w:cs="宋体"/>
                <w:szCs w:val="21"/>
              </w:rPr>
              <w:t>出现下列情形之一的，不得参加政府采购活动：</w:t>
            </w:r>
          </w:p>
          <w:p w14:paraId="1F54D79F">
            <w:pPr>
              <w:spacing w:line="360" w:lineRule="auto"/>
              <w:rPr>
                <w:rFonts w:ascii="宋体" w:hAnsi="宋体" w:cs="宋体"/>
                <w:szCs w:val="21"/>
              </w:rPr>
            </w:pPr>
            <w:r>
              <w:rPr>
                <w:rFonts w:hint="eastAsia" w:ascii="宋体" w:hAnsi="宋体" w:cs="宋体"/>
                <w:szCs w:val="21"/>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869DDAA">
            <w:pPr>
              <w:spacing w:line="360" w:lineRule="auto"/>
              <w:rPr>
                <w:rFonts w:ascii="宋体" w:hAnsi="宋体" w:cs="宋体"/>
                <w:szCs w:val="21"/>
              </w:rPr>
            </w:pPr>
            <w:r>
              <w:rPr>
                <w:rFonts w:hint="eastAsia" w:ascii="宋体" w:hAnsi="宋体" w:cs="宋体"/>
                <w:szCs w:val="21"/>
              </w:rPr>
              <w:t>2.2对在“信用中国”网站（</w:t>
            </w:r>
            <w:r>
              <w:rPr>
                <w:rFonts w:ascii="宋体" w:hAnsi="宋体" w:cs="宋体"/>
                <w:szCs w:val="21"/>
              </w:rPr>
              <w:t>http://www.creditchina.gov.cn</w:t>
            </w:r>
            <w:r>
              <w:rPr>
                <w:rFonts w:hint="eastAsia" w:ascii="宋体" w:hAnsi="宋体" w:cs="宋体"/>
                <w:szCs w:val="21"/>
              </w:rPr>
              <w:t>）、中国政府采购网（</w:t>
            </w:r>
            <w:r>
              <w:rPr>
                <w:rFonts w:ascii="宋体" w:hAnsi="宋体" w:cs="宋体"/>
                <w:szCs w:val="21"/>
              </w:rPr>
              <w:t>http://www.ccgp.gov.cn</w:t>
            </w:r>
            <w:r>
              <w:rPr>
                <w:rFonts w:hint="eastAsia" w:ascii="宋体" w:hAnsi="宋体" w:cs="宋体"/>
                <w:szCs w:val="21"/>
              </w:rPr>
              <w:t>）被列入失信被执行人、重大税收违法失信主体、政府采购严重违法失信行为记录名单及其他不符合《中华人民共和国政府采购法》第二十二条规定条件的供应商，不得参与政府采购活动。</w:t>
            </w:r>
          </w:p>
        </w:tc>
      </w:tr>
      <w:tr w14:paraId="23EBE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0FF6C4C">
            <w:pPr>
              <w:spacing w:line="360" w:lineRule="auto"/>
              <w:jc w:val="center"/>
              <w:rPr>
                <w:rFonts w:ascii="宋体" w:hAnsi="宋体" w:cs="宋体"/>
                <w:szCs w:val="21"/>
              </w:rPr>
            </w:pPr>
            <w:r>
              <w:rPr>
                <w:rFonts w:hint="eastAsia" w:ascii="宋体" w:hAnsi="宋体" w:cs="宋体"/>
                <w:szCs w:val="21"/>
              </w:rPr>
              <w:t>5.1</w:t>
            </w:r>
          </w:p>
        </w:tc>
        <w:tc>
          <w:tcPr>
            <w:tcW w:w="7912" w:type="dxa"/>
            <w:vAlign w:val="center"/>
          </w:tcPr>
          <w:p w14:paraId="0FDE8606">
            <w:pPr>
              <w:spacing w:line="360" w:lineRule="auto"/>
              <w:rPr>
                <w:rFonts w:ascii="宋体" w:hAnsi="宋体" w:cs="宋体"/>
                <w:szCs w:val="21"/>
              </w:rPr>
            </w:pPr>
            <w:r>
              <w:rPr>
                <w:rFonts w:hint="eastAsia" w:ascii="宋体" w:hAnsi="宋体" w:cs="宋体"/>
                <w:szCs w:val="21"/>
              </w:rPr>
              <w:t>是否接受联合体竞标: 详见竞争性磋商公告。</w:t>
            </w:r>
          </w:p>
        </w:tc>
      </w:tr>
      <w:tr w14:paraId="15CA6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A0E4F18">
            <w:pPr>
              <w:spacing w:line="360" w:lineRule="auto"/>
              <w:jc w:val="center"/>
              <w:rPr>
                <w:rFonts w:ascii="宋体" w:hAnsi="宋体" w:cs="宋体"/>
                <w:szCs w:val="21"/>
              </w:rPr>
            </w:pPr>
            <w:r>
              <w:rPr>
                <w:rFonts w:hint="eastAsia" w:ascii="宋体" w:hAnsi="宋体" w:cs="宋体"/>
                <w:szCs w:val="21"/>
              </w:rPr>
              <w:t>5</w:t>
            </w:r>
            <w:r>
              <w:rPr>
                <w:rFonts w:ascii="宋体" w:hAnsi="宋体" w:cs="宋体"/>
                <w:szCs w:val="21"/>
              </w:rPr>
              <w:t>.2</w:t>
            </w:r>
          </w:p>
        </w:tc>
        <w:tc>
          <w:tcPr>
            <w:tcW w:w="7912" w:type="dxa"/>
            <w:vAlign w:val="center"/>
          </w:tcPr>
          <w:p w14:paraId="160B7CB8">
            <w:pPr>
              <w:spacing w:line="360" w:lineRule="auto"/>
              <w:rPr>
                <w:rFonts w:ascii="宋体" w:hAnsi="宋体" w:cs="宋体"/>
                <w:szCs w:val="21"/>
              </w:rPr>
            </w:pPr>
            <w:r>
              <w:rPr>
                <w:rFonts w:hint="eastAsia" w:ascii="宋体" w:hAnsi="宋体"/>
                <w:szCs w:val="21"/>
              </w:rPr>
              <w:t>如接受联合体竞标，联合体竞标要求如下：</w:t>
            </w:r>
            <w:r>
              <w:rPr>
                <w:rFonts w:hint="eastAsia" w:ascii="宋体" w:hAnsi="宋体" w:cs="宋体"/>
                <w:szCs w:val="21"/>
              </w:rPr>
              <w:t>无。</w:t>
            </w:r>
          </w:p>
        </w:tc>
      </w:tr>
      <w:tr w14:paraId="1E1B9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5B12B24">
            <w:pPr>
              <w:spacing w:line="360" w:lineRule="auto"/>
              <w:jc w:val="center"/>
              <w:rPr>
                <w:rFonts w:ascii="宋体" w:hAnsi="宋体" w:cs="宋体"/>
                <w:szCs w:val="21"/>
              </w:rPr>
            </w:pPr>
            <w:r>
              <w:rPr>
                <w:rFonts w:hint="eastAsia" w:ascii="宋体" w:hAnsi="宋体" w:cs="宋体"/>
                <w:szCs w:val="21"/>
              </w:rPr>
              <w:t>6.</w:t>
            </w:r>
            <w:r>
              <w:rPr>
                <w:rFonts w:ascii="宋体" w:hAnsi="宋体" w:cs="宋体"/>
                <w:szCs w:val="21"/>
              </w:rPr>
              <w:t>2</w:t>
            </w:r>
          </w:p>
        </w:tc>
        <w:tc>
          <w:tcPr>
            <w:tcW w:w="7912" w:type="dxa"/>
            <w:vAlign w:val="center"/>
          </w:tcPr>
          <w:p w14:paraId="56E16328">
            <w:pPr>
              <w:pStyle w:val="12"/>
              <w:spacing w:line="360" w:lineRule="auto"/>
              <w:rPr>
                <w:rFonts w:ascii="宋体" w:hAnsi="宋体"/>
                <w:szCs w:val="21"/>
              </w:rPr>
            </w:pPr>
            <w:r>
              <w:rPr>
                <w:rFonts w:ascii="Segoe UI Symbol" w:hAnsi="Segoe UI Symbol" w:cs="Segoe UI Symbol"/>
                <w:szCs w:val="21"/>
              </w:rPr>
              <w:t>☑</w:t>
            </w:r>
            <w:r>
              <w:rPr>
                <w:rFonts w:hint="eastAsia" w:ascii="宋体" w:hAnsi="宋体"/>
                <w:szCs w:val="21"/>
              </w:rPr>
              <w:t>不允许分包</w:t>
            </w:r>
          </w:p>
          <w:p w14:paraId="082F3E64">
            <w:pPr>
              <w:pStyle w:val="12"/>
              <w:spacing w:line="360" w:lineRule="auto"/>
              <w:rPr>
                <w:rFonts w:ascii="宋体" w:hAnsi="宋体"/>
                <w:szCs w:val="21"/>
              </w:rPr>
            </w:pPr>
            <w:r>
              <w:rPr>
                <w:rFonts w:hint="eastAsia" w:ascii="宋体" w:hAnsi="宋体"/>
                <w:szCs w:val="21"/>
              </w:rPr>
              <w:t>□允许分包</w:t>
            </w:r>
          </w:p>
        </w:tc>
      </w:tr>
      <w:tr w14:paraId="3E407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96C860E">
            <w:pPr>
              <w:spacing w:line="360" w:lineRule="auto"/>
              <w:jc w:val="center"/>
              <w:rPr>
                <w:rFonts w:ascii="宋体" w:hAnsi="宋体" w:cs="宋体"/>
                <w:szCs w:val="21"/>
              </w:rPr>
            </w:pPr>
            <w:r>
              <w:rPr>
                <w:rFonts w:hint="eastAsia" w:ascii="宋体" w:hAnsi="宋体" w:cs="宋体"/>
                <w:szCs w:val="21"/>
              </w:rPr>
              <w:t>12.1.</w:t>
            </w:r>
            <w:r>
              <w:rPr>
                <w:rFonts w:ascii="宋体" w:hAnsi="宋体" w:cs="宋体"/>
                <w:szCs w:val="21"/>
              </w:rPr>
              <w:t>1</w:t>
            </w:r>
          </w:p>
        </w:tc>
        <w:tc>
          <w:tcPr>
            <w:tcW w:w="7912" w:type="dxa"/>
            <w:vAlign w:val="center"/>
          </w:tcPr>
          <w:p w14:paraId="37A5C307">
            <w:pPr>
              <w:snapToGrid w:val="0"/>
              <w:spacing w:line="360" w:lineRule="auto"/>
              <w:jc w:val="left"/>
              <w:rPr>
                <w:rFonts w:ascii="宋体" w:hAnsi="宋体" w:cs="宋体"/>
                <w:b/>
                <w:szCs w:val="21"/>
              </w:rPr>
            </w:pPr>
            <w:r>
              <w:rPr>
                <w:rFonts w:hint="eastAsia" w:ascii="宋体" w:hAnsi="宋体" w:cs="宋体"/>
                <w:b/>
                <w:szCs w:val="21"/>
              </w:rPr>
              <w:t>资格证明文件</w:t>
            </w:r>
          </w:p>
          <w:p w14:paraId="250AD398">
            <w:pPr>
              <w:pStyle w:val="12"/>
              <w:spacing w:line="360" w:lineRule="auto"/>
              <w:rPr>
                <w:rFonts w:ascii="宋体" w:hAnsi="宋体"/>
                <w:szCs w:val="21"/>
              </w:rPr>
            </w:pPr>
            <w:r>
              <w:rPr>
                <w:rFonts w:hint="eastAsia" w:ascii="宋体" w:hAnsi="宋体" w:cs="宋体"/>
                <w:szCs w:val="21"/>
              </w:rPr>
              <w:t>1.供应商为法人或者其他组织的提供其营业执照等证明文件（如营业执照或者事业单位法人证书或者执业许可证或者登记证书等），供应商为自然人的提供其身份证复印件；（</w:t>
            </w:r>
            <w:r>
              <w:rPr>
                <w:rFonts w:hint="eastAsia" w:ascii="宋体" w:hAnsi="宋体" w:cs="宋体"/>
                <w:b/>
                <w:szCs w:val="21"/>
              </w:rPr>
              <w:t>必须提供，否则响应文件按无效响应处理</w:t>
            </w:r>
            <w:r>
              <w:rPr>
                <w:rFonts w:hint="eastAsia" w:ascii="宋体" w:hAnsi="宋体" w:cs="宋体"/>
                <w:szCs w:val="21"/>
              </w:rPr>
              <w:t>）</w:t>
            </w:r>
          </w:p>
          <w:p w14:paraId="6A2CD041">
            <w:pPr>
              <w:spacing w:line="360" w:lineRule="auto"/>
              <w:contextualSpacing/>
              <w:jc w:val="left"/>
              <w:rPr>
                <w:rFonts w:ascii="宋体" w:hAnsi="宋体" w:cs="宋体"/>
                <w:szCs w:val="21"/>
              </w:rPr>
            </w:pPr>
            <w:r>
              <w:rPr>
                <w:rFonts w:hint="eastAsia" w:ascii="宋体" w:hAnsi="宋体" w:cs="宋体"/>
                <w:szCs w:val="21"/>
              </w:rPr>
              <w:t>2.供应商依法缴纳税收的相关材料（</w:t>
            </w:r>
            <w:r>
              <w:rPr>
                <w:rFonts w:ascii="宋体" w:hAnsi="宋体" w:cs="宋体"/>
                <w:szCs w:val="21"/>
                <w:u w:val="single"/>
              </w:rPr>
              <w:t>2025年</w:t>
            </w:r>
            <w:r>
              <w:rPr>
                <w:rFonts w:hint="eastAsia" w:ascii="宋体" w:hAnsi="宋体" w:cs="宋体"/>
                <w:szCs w:val="21"/>
                <w:u w:val="single"/>
              </w:rPr>
              <w:t>9</w:t>
            </w:r>
            <w:r>
              <w:rPr>
                <w:rFonts w:ascii="宋体" w:hAnsi="宋体" w:cs="宋体"/>
                <w:szCs w:val="21"/>
                <w:u w:val="single"/>
              </w:rPr>
              <w:t>月以来任意</w:t>
            </w:r>
            <w:r>
              <w:rPr>
                <w:rFonts w:hint="eastAsia" w:ascii="宋体" w:hAnsi="宋体" w:cs="宋体"/>
                <w:szCs w:val="21"/>
                <w:u w:val="single"/>
              </w:rPr>
              <w:t>1</w:t>
            </w:r>
            <w:r>
              <w:rPr>
                <w:rFonts w:hint="eastAsia" w:ascii="宋体" w:hAnsi="宋体" w:cs="宋体"/>
                <w:szCs w:val="21"/>
              </w:rPr>
              <w:t>个月的依法缴纳税收的凭据复印件；</w:t>
            </w:r>
            <w:r>
              <w:rPr>
                <w:rFonts w:hint="eastAsia" w:ascii="宋体" w:hAnsi="宋体"/>
              </w:rPr>
              <w:t>依法免税的，必须提供相应文件证明其依法免税。</w:t>
            </w:r>
            <w:r>
              <w:rPr>
                <w:rFonts w:hint="eastAsia" w:ascii="宋体" w:hAnsi="宋体" w:cs="宋体"/>
                <w:szCs w:val="21"/>
              </w:rPr>
              <w:t>从</w:t>
            </w:r>
            <w:r>
              <w:rPr>
                <w:rFonts w:ascii="宋体" w:hAnsi="宋体"/>
                <w:szCs w:val="21"/>
              </w:rPr>
              <w:t>成立</w:t>
            </w:r>
            <w:r>
              <w:rPr>
                <w:rFonts w:hint="eastAsia" w:ascii="宋体" w:hAnsi="宋体"/>
                <w:szCs w:val="21"/>
              </w:rPr>
              <w:t>之日起</w:t>
            </w:r>
            <w:r>
              <w:rPr>
                <w:rFonts w:hint="eastAsia" w:ascii="宋体" w:hAnsi="宋体" w:cs="宋体"/>
                <w:szCs w:val="21"/>
              </w:rPr>
              <w:t>到响应文件提交截止时间止不足要求月数的，只需提供从</w:t>
            </w:r>
            <w:r>
              <w:rPr>
                <w:rFonts w:ascii="宋体" w:hAnsi="宋体"/>
                <w:szCs w:val="21"/>
              </w:rPr>
              <w:t>成立</w:t>
            </w:r>
            <w:r>
              <w:rPr>
                <w:rFonts w:hint="eastAsia" w:ascii="宋体" w:hAnsi="宋体"/>
                <w:szCs w:val="21"/>
              </w:rPr>
              <w:t>之日起</w:t>
            </w:r>
            <w:r>
              <w:rPr>
                <w:rFonts w:hint="eastAsia" w:ascii="宋体" w:hAnsi="宋体" w:cs="宋体"/>
                <w:szCs w:val="21"/>
              </w:rPr>
              <w:t>的依法缴纳税收</w:t>
            </w:r>
            <w:r>
              <w:rPr>
                <w:rFonts w:hint="eastAsia" w:ascii="宋体" w:hAnsi="宋体"/>
              </w:rPr>
              <w:t>相应证明文件</w:t>
            </w:r>
            <w:r>
              <w:rPr>
                <w:rFonts w:hint="eastAsia" w:ascii="宋体" w:hAnsi="宋体" w:cs="宋体"/>
                <w:szCs w:val="21"/>
              </w:rPr>
              <w:t>）；（</w:t>
            </w:r>
            <w:r>
              <w:rPr>
                <w:rFonts w:hint="eastAsia" w:ascii="宋体" w:hAnsi="宋体" w:cs="宋体"/>
                <w:b/>
                <w:szCs w:val="21"/>
              </w:rPr>
              <w:t>必须提供，否则响应文件按无效响应处理</w:t>
            </w:r>
            <w:r>
              <w:rPr>
                <w:rFonts w:hint="eastAsia" w:ascii="宋体" w:hAnsi="宋体" w:cs="宋体"/>
                <w:szCs w:val="21"/>
              </w:rPr>
              <w:t>）</w:t>
            </w:r>
          </w:p>
          <w:p w14:paraId="0D725420">
            <w:pPr>
              <w:spacing w:line="360" w:lineRule="auto"/>
              <w:contextualSpacing/>
              <w:jc w:val="left"/>
              <w:rPr>
                <w:rFonts w:ascii="宋体" w:hAnsi="宋体" w:cs="宋体"/>
                <w:szCs w:val="21"/>
              </w:rPr>
            </w:pPr>
            <w:r>
              <w:rPr>
                <w:rFonts w:hint="eastAsia" w:ascii="宋体" w:hAnsi="宋体" w:cs="宋体"/>
                <w:szCs w:val="21"/>
              </w:rPr>
              <w:t>3.供应商依法缴纳社会保障资金的相关材料[</w:t>
            </w:r>
            <w:r>
              <w:rPr>
                <w:rFonts w:ascii="宋体" w:hAnsi="宋体" w:cs="宋体"/>
                <w:szCs w:val="21"/>
                <w:u w:val="single"/>
              </w:rPr>
              <w:t>2025年</w:t>
            </w:r>
            <w:r>
              <w:rPr>
                <w:rFonts w:hint="eastAsia" w:ascii="宋体" w:hAnsi="宋体" w:cs="宋体"/>
                <w:szCs w:val="21"/>
                <w:u w:val="single"/>
              </w:rPr>
              <w:t>9</w:t>
            </w:r>
            <w:r>
              <w:rPr>
                <w:rFonts w:ascii="宋体" w:hAnsi="宋体" w:cs="宋体"/>
                <w:szCs w:val="21"/>
                <w:u w:val="single"/>
              </w:rPr>
              <w:t>月以来任意</w:t>
            </w:r>
            <w:r>
              <w:rPr>
                <w:rFonts w:hint="eastAsia" w:ascii="宋体" w:hAnsi="宋体" w:cs="宋体"/>
                <w:szCs w:val="21"/>
                <w:u w:val="single"/>
              </w:rPr>
              <w:t>1</w:t>
            </w:r>
            <w:r>
              <w:rPr>
                <w:rFonts w:hint="eastAsia" w:ascii="宋体" w:hAnsi="宋体" w:cs="宋体"/>
                <w:szCs w:val="21"/>
              </w:rPr>
              <w:t>个月的依法缴纳社会保障资金的缴费凭证（专用收据或者社会保险缴纳清单）复印件；</w:t>
            </w:r>
            <w:r>
              <w:rPr>
                <w:rFonts w:hint="eastAsia" w:ascii="宋体" w:hAnsi="宋体"/>
              </w:rPr>
              <w:t>依法不需要缴纳社会保障资金的，必须提供相应文件证明不需要缴纳社会保障资金。</w:t>
            </w:r>
            <w:r>
              <w:rPr>
                <w:rFonts w:hint="eastAsia" w:ascii="宋体" w:hAnsi="宋体" w:cs="宋体"/>
                <w:szCs w:val="21"/>
              </w:rPr>
              <w:t>从</w:t>
            </w:r>
            <w:r>
              <w:rPr>
                <w:rFonts w:ascii="宋体" w:hAnsi="宋体"/>
                <w:szCs w:val="21"/>
              </w:rPr>
              <w:t>成立</w:t>
            </w:r>
            <w:r>
              <w:rPr>
                <w:rFonts w:hint="eastAsia" w:ascii="宋体" w:hAnsi="宋体"/>
                <w:szCs w:val="21"/>
              </w:rPr>
              <w:t>之日起</w:t>
            </w:r>
            <w:r>
              <w:rPr>
                <w:rFonts w:hint="eastAsia" w:ascii="宋体" w:hAnsi="宋体" w:cs="宋体"/>
                <w:szCs w:val="21"/>
              </w:rPr>
              <w:t>到响应文件提交截止时间止不足要求月数的只需提供从</w:t>
            </w:r>
            <w:r>
              <w:rPr>
                <w:rFonts w:ascii="宋体" w:hAnsi="宋体"/>
                <w:szCs w:val="21"/>
              </w:rPr>
              <w:t>成立</w:t>
            </w:r>
            <w:r>
              <w:rPr>
                <w:rFonts w:hint="eastAsia" w:ascii="宋体" w:hAnsi="宋体"/>
                <w:szCs w:val="21"/>
              </w:rPr>
              <w:t>之日起</w:t>
            </w:r>
            <w:r>
              <w:rPr>
                <w:rFonts w:hint="eastAsia" w:ascii="宋体" w:hAnsi="宋体" w:cs="宋体"/>
                <w:szCs w:val="21"/>
              </w:rPr>
              <w:t>的依法缴纳社会保障资金的</w:t>
            </w:r>
            <w:r>
              <w:rPr>
                <w:rFonts w:hint="eastAsia" w:ascii="宋体" w:hAnsi="宋体"/>
              </w:rPr>
              <w:t>相应证明文件</w:t>
            </w:r>
            <w:r>
              <w:rPr>
                <w:rFonts w:hint="eastAsia" w:ascii="宋体" w:hAnsi="宋体" w:cs="宋体"/>
                <w:szCs w:val="21"/>
              </w:rPr>
              <w:t>]；（</w:t>
            </w:r>
            <w:r>
              <w:rPr>
                <w:rFonts w:hint="eastAsia" w:ascii="宋体" w:hAnsi="宋体" w:cs="宋体"/>
                <w:b/>
                <w:szCs w:val="21"/>
              </w:rPr>
              <w:t>必须提供，否则响应文件按无效响应处理</w:t>
            </w:r>
            <w:r>
              <w:rPr>
                <w:rFonts w:hint="eastAsia" w:ascii="宋体" w:hAnsi="宋体" w:cs="宋体"/>
                <w:szCs w:val="21"/>
              </w:rPr>
              <w:t>）</w:t>
            </w:r>
          </w:p>
          <w:p w14:paraId="1BDE3EB7">
            <w:pPr>
              <w:spacing w:line="360" w:lineRule="auto"/>
              <w:contextualSpacing/>
              <w:jc w:val="left"/>
              <w:rPr>
                <w:rFonts w:ascii="宋体" w:hAnsi="宋体" w:cs="宋体"/>
                <w:b/>
                <w:szCs w:val="21"/>
              </w:rPr>
            </w:pPr>
            <w:r>
              <w:rPr>
                <w:rFonts w:hint="eastAsia" w:ascii="宋体" w:hAnsi="宋体" w:cs="宋体"/>
                <w:szCs w:val="21"/>
              </w:rPr>
              <w:t>4.供应商</w:t>
            </w:r>
            <w:r>
              <w:rPr>
                <w:rFonts w:hint="eastAsia" w:ascii="宋体" w:hAnsi="宋体"/>
                <w:szCs w:val="21"/>
              </w:rPr>
              <w:t>财务状况报告（</w:t>
            </w:r>
            <w:r>
              <w:rPr>
                <w:rFonts w:ascii="宋体" w:hAnsi="宋体" w:cs="宋体"/>
                <w:szCs w:val="21"/>
                <w:u w:val="single"/>
              </w:rPr>
              <w:t>202</w:t>
            </w:r>
            <w:r>
              <w:rPr>
                <w:rFonts w:hint="eastAsia" w:ascii="宋体" w:hAnsi="宋体" w:cs="宋体"/>
                <w:szCs w:val="21"/>
                <w:u w:val="single"/>
              </w:rPr>
              <w:t>4</w:t>
            </w:r>
            <w:r>
              <w:rPr>
                <w:rFonts w:hint="eastAsia" w:ascii="宋体" w:hAnsi="宋体"/>
                <w:szCs w:val="21"/>
              </w:rPr>
              <w:t>年以来任意年度内的财务报表复印件，或者2025年以来银行出具的资信证明，或者中国人民银行征信中心出具的信用报告（企业竞标的提供企业信用报告，自然人竞标的提供个人信用报告）；供应商属于</w:t>
            </w:r>
            <w:r>
              <w:rPr>
                <w:rFonts w:hint="eastAsia" w:ascii="宋体" w:hAnsi="宋体"/>
              </w:rPr>
              <w:t>成立时间</w:t>
            </w:r>
            <w:r>
              <w:rPr>
                <w:rFonts w:hint="eastAsia" w:ascii="宋体" w:hAnsi="宋体"/>
                <w:kern w:val="0"/>
              </w:rPr>
              <w:t>在规定年度之后</w:t>
            </w:r>
            <w:r>
              <w:rPr>
                <w:rFonts w:hint="eastAsia" w:ascii="宋体" w:hAnsi="宋体"/>
              </w:rPr>
              <w:t>的</w:t>
            </w:r>
            <w:r>
              <w:rPr>
                <w:rFonts w:hint="eastAsia" w:ascii="宋体" w:hAnsi="宋体"/>
                <w:szCs w:val="21"/>
              </w:rPr>
              <w:t>法人或其他组织</w:t>
            </w:r>
            <w:r>
              <w:rPr>
                <w:rFonts w:hint="eastAsia" w:ascii="宋体" w:hAnsi="宋体"/>
              </w:rPr>
              <w:t>，需提供成立之日起至响应文件提交截止时间前的月报表</w:t>
            </w:r>
            <w:r>
              <w:rPr>
                <w:rFonts w:hint="eastAsia" w:ascii="宋体" w:hAnsi="宋体"/>
                <w:szCs w:val="21"/>
              </w:rPr>
              <w:t>或银行出具的资信证明或者中国人民银行征信中心出具的企业信用报告；资信证明应在有效期内，未注明有效期的，银行出具时间至响应文件提交截止时间不超过一年）</w:t>
            </w:r>
            <w:r>
              <w:rPr>
                <w:rFonts w:hint="eastAsia" w:ascii="宋体" w:hAnsi="宋体" w:cs="宋体"/>
                <w:szCs w:val="21"/>
              </w:rPr>
              <w:t>；</w:t>
            </w:r>
            <w:r>
              <w:rPr>
                <w:rFonts w:hint="eastAsia" w:ascii="宋体" w:hAnsi="宋体" w:cs="宋体"/>
                <w:bCs/>
                <w:szCs w:val="21"/>
              </w:rPr>
              <w:t>（</w:t>
            </w:r>
            <w:r>
              <w:rPr>
                <w:rFonts w:hint="eastAsia" w:ascii="宋体" w:hAnsi="宋体"/>
                <w:b/>
                <w:szCs w:val="21"/>
              </w:rPr>
              <w:t>必须提供</w:t>
            </w:r>
            <w:r>
              <w:rPr>
                <w:rFonts w:hint="eastAsia" w:ascii="宋体" w:hAnsi="宋体" w:cs="宋体"/>
                <w:b/>
                <w:szCs w:val="21"/>
              </w:rPr>
              <w:t>，否则响应文件按无效响应处理</w:t>
            </w:r>
            <w:r>
              <w:rPr>
                <w:rFonts w:hint="eastAsia" w:ascii="宋体" w:hAnsi="宋体" w:cs="宋体"/>
                <w:bCs/>
                <w:szCs w:val="21"/>
              </w:rPr>
              <w:t>）</w:t>
            </w:r>
          </w:p>
          <w:p w14:paraId="6B7BEA8C">
            <w:pPr>
              <w:snapToGrid w:val="0"/>
              <w:spacing w:line="360" w:lineRule="auto"/>
              <w:jc w:val="left"/>
              <w:rPr>
                <w:rFonts w:ascii="宋体" w:hAnsi="宋体" w:cs="宋体"/>
                <w:szCs w:val="21"/>
              </w:rPr>
            </w:pPr>
            <w:r>
              <w:rPr>
                <w:rFonts w:hint="eastAsia" w:ascii="宋体" w:hAnsi="宋体" w:cs="宋体"/>
                <w:szCs w:val="21"/>
              </w:rPr>
              <w:t>5.供应商直接控股、管理关系信息表（格式后附）；（</w:t>
            </w:r>
            <w:r>
              <w:rPr>
                <w:rFonts w:hint="eastAsia" w:ascii="宋体" w:hAnsi="宋体" w:cs="宋体"/>
                <w:b/>
                <w:szCs w:val="21"/>
              </w:rPr>
              <w:t>必须提供，否则响应文件按无效响应处理</w:t>
            </w:r>
            <w:r>
              <w:rPr>
                <w:rFonts w:hint="eastAsia" w:ascii="宋体" w:hAnsi="宋体" w:cs="宋体"/>
                <w:szCs w:val="21"/>
              </w:rPr>
              <w:t>）</w:t>
            </w:r>
          </w:p>
          <w:p w14:paraId="4D1E7FE1">
            <w:pPr>
              <w:snapToGrid w:val="0"/>
              <w:spacing w:line="360" w:lineRule="auto"/>
              <w:jc w:val="left"/>
              <w:rPr>
                <w:rFonts w:ascii="宋体" w:hAnsi="宋体" w:cs="宋体"/>
                <w:szCs w:val="21"/>
              </w:rPr>
            </w:pPr>
            <w:r>
              <w:rPr>
                <w:rFonts w:hint="eastAsia" w:ascii="宋体" w:hAnsi="宋体" w:cs="宋体"/>
                <w:szCs w:val="21"/>
              </w:rPr>
              <w:t>6.竞标声明（格式后附）；（</w:t>
            </w:r>
            <w:r>
              <w:rPr>
                <w:rFonts w:hint="eastAsia" w:ascii="宋体" w:hAnsi="宋体" w:cs="宋体"/>
                <w:b/>
                <w:szCs w:val="21"/>
              </w:rPr>
              <w:t>必须提供，否则响应文件按无效响应处理</w:t>
            </w:r>
            <w:r>
              <w:rPr>
                <w:rFonts w:hint="eastAsia" w:ascii="宋体" w:hAnsi="宋体" w:cs="宋体"/>
                <w:szCs w:val="21"/>
              </w:rPr>
              <w:t>）</w:t>
            </w:r>
          </w:p>
          <w:p w14:paraId="527848C5">
            <w:pPr>
              <w:snapToGrid w:val="0"/>
              <w:spacing w:line="360" w:lineRule="auto"/>
              <w:jc w:val="left"/>
              <w:rPr>
                <w:rFonts w:ascii="宋体" w:hAnsi="宋体" w:cs="宋体"/>
                <w:szCs w:val="21"/>
              </w:rPr>
            </w:pPr>
            <w:r>
              <w:rPr>
                <w:rFonts w:ascii="宋体" w:hAnsi="宋体" w:cs="宋体"/>
                <w:szCs w:val="21"/>
              </w:rPr>
              <w:t>7</w:t>
            </w:r>
            <w:r>
              <w:rPr>
                <w:rFonts w:hint="eastAsia" w:ascii="宋体" w:hAnsi="宋体" w:cs="宋体"/>
                <w:szCs w:val="21"/>
              </w:rPr>
              <w:t>.联合体竞标协议书（格式后附）；（</w:t>
            </w:r>
            <w:r>
              <w:rPr>
                <w:rFonts w:hint="eastAsia" w:ascii="宋体" w:hAnsi="宋体" w:cs="宋体"/>
                <w:b/>
                <w:szCs w:val="21"/>
              </w:rPr>
              <w:t>联合体竞标时必须提供，否则响应文件按无效响应处理</w:t>
            </w:r>
            <w:r>
              <w:rPr>
                <w:rFonts w:hint="eastAsia" w:ascii="宋体" w:hAnsi="宋体" w:cs="宋体"/>
                <w:szCs w:val="21"/>
              </w:rPr>
              <w:t>）</w:t>
            </w:r>
          </w:p>
          <w:p w14:paraId="04B95657">
            <w:pPr>
              <w:snapToGrid w:val="0"/>
              <w:spacing w:line="360" w:lineRule="auto"/>
              <w:jc w:val="left"/>
              <w:rPr>
                <w:rFonts w:ascii="宋体" w:hAnsi="宋体" w:cs="宋体"/>
                <w:szCs w:val="21"/>
              </w:rPr>
            </w:pPr>
            <w:r>
              <w:rPr>
                <w:rFonts w:hint="eastAsia" w:ascii="宋体" w:hAnsi="宋体" w:cs="宋体"/>
                <w:kern w:val="0"/>
                <w:szCs w:val="21"/>
              </w:rPr>
              <w:t>8</w:t>
            </w:r>
            <w:r>
              <w:rPr>
                <w:rFonts w:hint="eastAsia" w:ascii="宋体" w:hAnsi="宋体" w:cs="宋体"/>
                <w:szCs w:val="21"/>
              </w:rPr>
              <w:t>.供应商属于中小企业的相关证明材料（格式后附）</w:t>
            </w:r>
            <w:r>
              <w:rPr>
                <w:rFonts w:hint="eastAsia" w:ascii="宋体" w:hAnsi="宋体" w:cs="宋体"/>
                <w:b/>
                <w:bCs/>
                <w:szCs w:val="21"/>
              </w:rPr>
              <w:t>（</w:t>
            </w:r>
            <w:r>
              <w:rPr>
                <w:rFonts w:hint="eastAsia" w:ascii="宋体" w:hAnsi="宋体" w:cs="宋体"/>
                <w:b/>
                <w:szCs w:val="21"/>
              </w:rPr>
              <w:t>必须提供，否则响应文件按无效响应处理</w:t>
            </w:r>
            <w:r>
              <w:rPr>
                <w:rFonts w:hint="eastAsia" w:ascii="宋体" w:hAnsi="宋体" w:cs="宋体"/>
                <w:b/>
                <w:bCs/>
                <w:szCs w:val="21"/>
              </w:rPr>
              <w:t>）</w:t>
            </w:r>
            <w:r>
              <w:rPr>
                <w:rFonts w:hint="eastAsia" w:ascii="宋体" w:hAnsi="宋体" w:cs="宋体"/>
                <w:szCs w:val="21"/>
              </w:rPr>
              <w:t>；</w:t>
            </w:r>
          </w:p>
          <w:p w14:paraId="2C544F12">
            <w:pPr>
              <w:snapToGrid w:val="0"/>
              <w:spacing w:line="360" w:lineRule="auto"/>
              <w:jc w:val="left"/>
              <w:rPr>
                <w:rFonts w:ascii="宋体" w:hAnsi="宋体" w:cs="宋体"/>
                <w:szCs w:val="21"/>
              </w:rPr>
            </w:pPr>
            <w:r>
              <w:rPr>
                <w:rFonts w:hint="eastAsia" w:ascii="宋体" w:hAnsi="宋体" w:cs="宋体"/>
                <w:b/>
                <w:kern w:val="0"/>
                <w:szCs w:val="21"/>
              </w:rPr>
              <w:t>本项目标项一专门面向中小企业采购、标项二专门面向小微企业采购</w:t>
            </w:r>
            <w:r>
              <w:rPr>
                <w:rFonts w:hint="eastAsia" w:ascii="宋体" w:hAnsi="宋体" w:cs="宋体"/>
                <w:szCs w:val="21"/>
              </w:rPr>
              <w:t>,供应商可根据自身情况，相应提供以下任一证明材料：</w:t>
            </w:r>
          </w:p>
          <w:p w14:paraId="5E60DF53">
            <w:pPr>
              <w:snapToGrid w:val="0"/>
              <w:spacing w:line="360" w:lineRule="auto"/>
              <w:jc w:val="left"/>
              <w:rPr>
                <w:rFonts w:ascii="宋体" w:hAnsi="宋体" w:cs="宋体"/>
                <w:szCs w:val="21"/>
              </w:rPr>
            </w:pPr>
            <w:r>
              <w:rPr>
                <w:rFonts w:hint="eastAsia" w:ascii="宋体" w:hAnsi="宋体" w:cs="宋体"/>
                <w:szCs w:val="21"/>
              </w:rPr>
              <w:t>①供应商如为符合政策要求的中小企业且承接本项目全部服务的，提供《中小企业声明函》（并对声明的真实性负责）。</w:t>
            </w:r>
          </w:p>
          <w:p w14:paraId="054BEF7F">
            <w:pPr>
              <w:snapToGrid w:val="0"/>
              <w:spacing w:line="360" w:lineRule="auto"/>
              <w:jc w:val="left"/>
              <w:rPr>
                <w:rFonts w:ascii="宋体" w:hAnsi="宋体" w:cs="宋体"/>
                <w:szCs w:val="21"/>
              </w:rPr>
            </w:pPr>
            <w:r>
              <w:rPr>
                <w:rFonts w:hint="eastAsia" w:ascii="宋体" w:hAnsi="宋体" w:cs="宋体"/>
                <w:szCs w:val="21"/>
              </w:rPr>
              <w:t>②供应商如属于监狱企业且承接本项目全部服务的，提供由省级以上监狱管理局、戒毒管理局(含新疆生产建设兵团)出具的属于监狱企业的证明文件。</w:t>
            </w:r>
          </w:p>
          <w:p w14:paraId="35E2F13E">
            <w:pPr>
              <w:snapToGrid w:val="0"/>
              <w:spacing w:line="360" w:lineRule="auto"/>
              <w:jc w:val="left"/>
              <w:rPr>
                <w:rFonts w:ascii="宋体" w:hAnsi="宋体" w:cs="宋体"/>
                <w:szCs w:val="21"/>
              </w:rPr>
            </w:pPr>
            <w:r>
              <w:rPr>
                <w:rFonts w:hint="eastAsia" w:ascii="宋体" w:hAnsi="宋体" w:cs="宋体"/>
                <w:szCs w:val="21"/>
              </w:rPr>
              <w:t>③供应商如属于符合条件的残疾人福利性单位且承接本项目全部服务的，提供《残疾人福利性单位声明函》（并对声明的真实性负责）。</w:t>
            </w:r>
          </w:p>
          <w:p w14:paraId="70DCB8BA">
            <w:pPr>
              <w:snapToGrid w:val="0"/>
              <w:spacing w:line="360" w:lineRule="auto"/>
              <w:jc w:val="left"/>
              <w:rPr>
                <w:rFonts w:ascii="宋体" w:hAnsi="宋体" w:cs="宋体"/>
                <w:szCs w:val="21"/>
              </w:rPr>
            </w:pPr>
            <w:r>
              <w:rPr>
                <w:rFonts w:hint="eastAsia" w:ascii="宋体" w:hAnsi="宋体" w:cs="宋体"/>
                <w:szCs w:val="21"/>
              </w:rPr>
              <w:t>9.除磋商文件规定必须提供以外，供应商认为需要提供的其他证明材料；</w:t>
            </w:r>
          </w:p>
          <w:p w14:paraId="013B474B">
            <w:pPr>
              <w:snapToGrid w:val="0"/>
              <w:spacing w:line="360" w:lineRule="auto"/>
              <w:jc w:val="left"/>
              <w:rPr>
                <w:rFonts w:ascii="宋体" w:hAnsi="宋体" w:cs="宋体"/>
                <w:b/>
                <w:szCs w:val="21"/>
              </w:rPr>
            </w:pPr>
            <w:r>
              <w:rPr>
                <w:rFonts w:hint="eastAsia" w:ascii="宋体" w:hAnsi="宋体" w:cs="宋体"/>
                <w:b/>
                <w:szCs w:val="21"/>
              </w:rPr>
              <w:t>注：</w:t>
            </w:r>
          </w:p>
          <w:p w14:paraId="519B5739">
            <w:pPr>
              <w:snapToGrid w:val="0"/>
              <w:spacing w:line="360" w:lineRule="auto"/>
              <w:ind w:left="-2" w:leftChars="-10" w:hanging="19" w:hangingChars="9"/>
              <w:jc w:val="left"/>
              <w:rPr>
                <w:rFonts w:ascii="宋体" w:hAnsi="宋体"/>
                <w:b/>
              </w:rPr>
            </w:pPr>
            <w:r>
              <w:rPr>
                <w:rFonts w:hint="eastAsia" w:ascii="宋体" w:hAnsi="宋体" w:cs="宋体"/>
                <w:b/>
                <w:szCs w:val="21"/>
              </w:rPr>
              <w:t>1.以上标明“必须提供”的材料属于复印件的，必须加盖供应商</w:t>
            </w:r>
            <w:r>
              <w:rPr>
                <w:rFonts w:hint="eastAsia" w:ascii="宋体" w:hAnsi="宋体"/>
                <w:b/>
              </w:rPr>
              <w:t>电子签章，</w:t>
            </w:r>
            <w:r>
              <w:rPr>
                <w:rFonts w:hint="eastAsia" w:ascii="宋体" w:hAnsi="宋体" w:cs="Courier New"/>
                <w:b/>
                <w:szCs w:val="21"/>
              </w:rPr>
              <w:t>必须提供的材料在第五章“响应文件格式”中有要求法定代表人或委托代理人签字的，必须由法定代表人或委托代理人签字</w:t>
            </w:r>
            <w:r>
              <w:rPr>
                <w:rFonts w:hint="eastAsia" w:ascii="宋体" w:hAnsi="宋体"/>
                <w:b/>
                <w:bCs/>
                <w:szCs w:val="21"/>
              </w:rPr>
              <w:t>（或者电子签名），</w:t>
            </w:r>
            <w:r>
              <w:rPr>
                <w:rFonts w:hint="eastAsia" w:ascii="宋体" w:hAnsi="宋体" w:cs="宋体"/>
                <w:b/>
                <w:szCs w:val="21"/>
              </w:rPr>
              <w:t>否则响应文件按无效处理。</w:t>
            </w:r>
          </w:p>
          <w:p w14:paraId="5124E4E1">
            <w:pPr>
              <w:pStyle w:val="12"/>
              <w:spacing w:line="360" w:lineRule="auto"/>
              <w:ind w:left="-2" w:leftChars="-10" w:hanging="19" w:hangingChars="9"/>
              <w:rPr>
                <w:rFonts w:ascii="宋体" w:hAnsi="宋体" w:cs="宋体"/>
                <w:b/>
                <w:szCs w:val="21"/>
              </w:rPr>
            </w:pPr>
            <w:r>
              <w:rPr>
                <w:rFonts w:ascii="宋体" w:hAnsi="宋体"/>
                <w:b/>
                <w:bCs/>
                <w:szCs w:val="21"/>
              </w:rPr>
              <w:t>2</w:t>
            </w:r>
            <w:r>
              <w:rPr>
                <w:rFonts w:hint="eastAsia" w:ascii="宋体" w:hAnsi="宋体"/>
                <w:b/>
                <w:bCs/>
                <w:szCs w:val="21"/>
              </w:rPr>
              <w:t>.分公司参加竞标的，应当取得总公司授权。</w:t>
            </w:r>
          </w:p>
        </w:tc>
      </w:tr>
      <w:tr w14:paraId="17D94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8FB34F6">
            <w:pPr>
              <w:spacing w:line="360" w:lineRule="auto"/>
              <w:jc w:val="center"/>
              <w:rPr>
                <w:rFonts w:ascii="宋体" w:hAnsi="宋体" w:cs="宋体"/>
                <w:szCs w:val="21"/>
              </w:rPr>
            </w:pPr>
            <w:r>
              <w:rPr>
                <w:rFonts w:hint="eastAsia" w:ascii="宋体" w:hAnsi="宋体" w:cs="宋体"/>
                <w:szCs w:val="21"/>
              </w:rPr>
              <w:t>12.1.2</w:t>
            </w:r>
          </w:p>
        </w:tc>
        <w:tc>
          <w:tcPr>
            <w:tcW w:w="7912" w:type="dxa"/>
            <w:vAlign w:val="center"/>
          </w:tcPr>
          <w:p w14:paraId="0A306FAD">
            <w:pPr>
              <w:spacing w:line="360" w:lineRule="auto"/>
              <w:rPr>
                <w:rFonts w:ascii="宋体" w:hAnsi="宋体" w:cs="宋体"/>
                <w:b/>
                <w:szCs w:val="21"/>
              </w:rPr>
            </w:pPr>
            <w:r>
              <w:rPr>
                <w:rFonts w:hint="eastAsia" w:ascii="宋体" w:hAnsi="宋体" w:cs="宋体"/>
                <w:b/>
                <w:szCs w:val="21"/>
              </w:rPr>
              <w:t>报价文件</w:t>
            </w:r>
          </w:p>
          <w:p w14:paraId="18E77075">
            <w:pPr>
              <w:spacing w:line="360" w:lineRule="auto"/>
              <w:rPr>
                <w:rFonts w:ascii="宋体" w:hAnsi="宋体" w:cs="宋体"/>
                <w:szCs w:val="21"/>
              </w:rPr>
            </w:pPr>
            <w:r>
              <w:rPr>
                <w:rFonts w:hint="eastAsia" w:ascii="宋体" w:hAnsi="宋体" w:cs="宋体"/>
                <w:szCs w:val="21"/>
              </w:rPr>
              <w:t>1.竞标报价表（格式后附）；（</w:t>
            </w:r>
            <w:r>
              <w:rPr>
                <w:rFonts w:hint="eastAsia" w:ascii="宋体" w:hAnsi="宋体" w:cs="宋体"/>
                <w:b/>
                <w:szCs w:val="21"/>
              </w:rPr>
              <w:t>必须提供，否则响应文件按无效响应处理</w:t>
            </w:r>
            <w:r>
              <w:rPr>
                <w:rFonts w:hint="eastAsia" w:ascii="宋体" w:hAnsi="宋体" w:cs="宋体"/>
                <w:szCs w:val="21"/>
              </w:rPr>
              <w:t>）</w:t>
            </w:r>
          </w:p>
          <w:p w14:paraId="5098F00A">
            <w:pPr>
              <w:spacing w:line="360" w:lineRule="auto"/>
              <w:rPr>
                <w:rFonts w:ascii="宋体" w:hAnsi="宋体" w:cs="宋体"/>
                <w:szCs w:val="21"/>
              </w:rPr>
            </w:pPr>
            <w:r>
              <w:rPr>
                <w:rFonts w:hint="eastAsia" w:ascii="宋体" w:hAnsi="宋体" w:cs="宋体"/>
                <w:szCs w:val="21"/>
              </w:rPr>
              <w:t>2.供应商认为需要提供的其他有关资料。</w:t>
            </w:r>
          </w:p>
          <w:p w14:paraId="5890967D">
            <w:pPr>
              <w:spacing w:line="360" w:lineRule="auto"/>
              <w:rPr>
                <w:rFonts w:ascii="宋体" w:hAnsi="宋体" w:cs="宋体"/>
                <w:szCs w:val="21"/>
              </w:rPr>
            </w:pPr>
            <w:r>
              <w:rPr>
                <w:rFonts w:hint="eastAsia" w:ascii="宋体" w:hAnsi="宋体" w:cs="Courier New"/>
                <w:b/>
                <w:szCs w:val="21"/>
              </w:rPr>
              <w:t>注：以上标明“必须提供”的材料必须加盖供应商电子签章，必须提供的材料在第五章“响应文件格式”中有要求法定代表人或委托代理人签字的，必须由法定代表人或委托代理人签字（或者电子签名），否则响应文件按无效处理。</w:t>
            </w:r>
          </w:p>
        </w:tc>
      </w:tr>
      <w:tr w14:paraId="48F63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35A736F">
            <w:pPr>
              <w:spacing w:line="360" w:lineRule="auto"/>
              <w:jc w:val="center"/>
              <w:rPr>
                <w:rFonts w:ascii="宋体" w:hAnsi="宋体" w:cs="宋体"/>
                <w:szCs w:val="21"/>
              </w:rPr>
            </w:pPr>
            <w:r>
              <w:rPr>
                <w:rFonts w:hint="eastAsia" w:ascii="宋体" w:hAnsi="宋体" w:cs="宋体"/>
                <w:szCs w:val="21"/>
              </w:rPr>
              <w:t>12.</w:t>
            </w:r>
            <w:r>
              <w:rPr>
                <w:rFonts w:ascii="宋体" w:hAnsi="宋体" w:cs="宋体"/>
                <w:szCs w:val="21"/>
              </w:rPr>
              <w:t>1</w:t>
            </w:r>
            <w:r>
              <w:rPr>
                <w:rFonts w:hint="eastAsia" w:ascii="宋体" w:hAnsi="宋体" w:cs="宋体"/>
                <w:szCs w:val="21"/>
              </w:rPr>
              <w:t>.3</w:t>
            </w:r>
          </w:p>
        </w:tc>
        <w:tc>
          <w:tcPr>
            <w:tcW w:w="7912" w:type="dxa"/>
            <w:vAlign w:val="center"/>
          </w:tcPr>
          <w:p w14:paraId="6C27EF8F">
            <w:pPr>
              <w:spacing w:line="360" w:lineRule="auto"/>
              <w:rPr>
                <w:rFonts w:ascii="宋体" w:hAnsi="宋体" w:cs="宋体"/>
                <w:b/>
                <w:bCs/>
                <w:szCs w:val="21"/>
              </w:rPr>
            </w:pPr>
            <w:r>
              <w:rPr>
                <w:rFonts w:hint="eastAsia" w:ascii="宋体" w:hAnsi="宋体" w:cs="宋体"/>
                <w:b/>
                <w:bCs/>
                <w:szCs w:val="21"/>
              </w:rPr>
              <w:t>商务技术文件</w:t>
            </w:r>
          </w:p>
          <w:p w14:paraId="193938DC">
            <w:pPr>
              <w:spacing w:line="360" w:lineRule="auto"/>
              <w:rPr>
                <w:rFonts w:ascii="宋体" w:hAnsi="宋体" w:cs="宋体"/>
                <w:szCs w:val="21"/>
              </w:rPr>
            </w:pPr>
            <w:r>
              <w:rPr>
                <w:rFonts w:hint="eastAsia" w:ascii="宋体" w:hAnsi="宋体" w:cs="宋体"/>
                <w:szCs w:val="21"/>
              </w:rPr>
              <w:t>1.无串通竞标行为的承诺函（格式后附）；</w:t>
            </w:r>
            <w:r>
              <w:rPr>
                <w:rFonts w:hint="eastAsia" w:ascii="宋体" w:hAnsi="宋体" w:cs="宋体"/>
                <w:b/>
                <w:bCs/>
                <w:szCs w:val="21"/>
              </w:rPr>
              <w:t>（必须提供，否则响应文件按无效响应处理）</w:t>
            </w:r>
          </w:p>
          <w:p w14:paraId="15EBB46D">
            <w:pPr>
              <w:snapToGrid w:val="0"/>
              <w:spacing w:line="360" w:lineRule="auto"/>
              <w:jc w:val="left"/>
              <w:rPr>
                <w:rFonts w:ascii="宋体" w:hAnsi="宋体" w:cs="宋体"/>
                <w:szCs w:val="21"/>
              </w:rPr>
            </w:pPr>
            <w:r>
              <w:rPr>
                <w:rFonts w:hint="eastAsia" w:ascii="宋体" w:hAnsi="宋体" w:cs="宋体"/>
                <w:szCs w:val="21"/>
              </w:rPr>
              <w:t>2.法定代表人身份证明书及法定代表人有效身份证正反面复印件（格式后附）；</w:t>
            </w:r>
            <w:r>
              <w:rPr>
                <w:rFonts w:hint="eastAsia" w:ascii="宋体" w:hAnsi="宋体" w:cs="宋体"/>
                <w:b/>
                <w:bCs/>
                <w:szCs w:val="21"/>
              </w:rPr>
              <w:t>（除自然人竞标外必须提供，否则响应文件按无效响应处理）</w:t>
            </w:r>
          </w:p>
          <w:p w14:paraId="7DEB1E58">
            <w:pPr>
              <w:spacing w:line="360" w:lineRule="auto"/>
              <w:rPr>
                <w:rFonts w:ascii="宋体" w:hAnsi="宋体" w:cs="宋体"/>
                <w:b/>
                <w:szCs w:val="21"/>
              </w:rPr>
            </w:pPr>
            <w:r>
              <w:rPr>
                <w:rFonts w:hint="eastAsia" w:ascii="宋体" w:hAnsi="宋体" w:cs="宋体"/>
                <w:szCs w:val="21"/>
              </w:rPr>
              <w:t>3.授权委托书及委托代理人有效身份证正反面复印件（格式后附）；</w:t>
            </w:r>
            <w:r>
              <w:rPr>
                <w:rFonts w:hint="eastAsia" w:ascii="宋体" w:hAnsi="宋体" w:cs="宋体"/>
                <w:b/>
                <w:bCs/>
                <w:szCs w:val="21"/>
              </w:rPr>
              <w:t>（委托时必须提供，否则响应文件按无效响应处理）</w:t>
            </w:r>
          </w:p>
          <w:p w14:paraId="0105FEAE">
            <w:pPr>
              <w:spacing w:line="360" w:lineRule="auto"/>
              <w:rPr>
                <w:rFonts w:ascii="宋体" w:hAnsi="宋体" w:cs="宋体"/>
                <w:szCs w:val="21"/>
              </w:rPr>
            </w:pPr>
            <w:r>
              <w:rPr>
                <w:rFonts w:hint="eastAsia" w:ascii="宋体" w:hAnsi="宋体" w:cs="宋体"/>
                <w:szCs w:val="21"/>
              </w:rPr>
              <w:t>4.磋商保证金提交凭证；</w:t>
            </w:r>
            <w:r>
              <w:rPr>
                <w:rFonts w:hint="eastAsia" w:ascii="宋体" w:hAnsi="宋体" w:cs="宋体"/>
                <w:b/>
                <w:bCs/>
                <w:szCs w:val="21"/>
              </w:rPr>
              <w:t>（</w:t>
            </w:r>
            <w:r>
              <w:rPr>
                <w:rFonts w:hint="eastAsia" w:ascii="宋体" w:hAnsi="宋体"/>
                <w:b/>
                <w:bCs/>
              </w:rPr>
              <w:t>如要求提交磋商保证金的则必须提供</w:t>
            </w:r>
            <w:r>
              <w:rPr>
                <w:rFonts w:hint="eastAsia" w:ascii="宋体" w:hAnsi="宋体" w:cs="宋体"/>
                <w:b/>
                <w:bCs/>
                <w:szCs w:val="21"/>
              </w:rPr>
              <w:t>，否则响应文件按无效响应处理）</w:t>
            </w:r>
          </w:p>
          <w:p w14:paraId="5B46B26A">
            <w:pPr>
              <w:spacing w:line="360" w:lineRule="auto"/>
              <w:rPr>
                <w:rFonts w:ascii="宋体" w:hAnsi="宋体" w:cs="宋体"/>
                <w:szCs w:val="21"/>
              </w:rPr>
            </w:pPr>
            <w:r>
              <w:rPr>
                <w:rFonts w:hint="eastAsia" w:ascii="宋体" w:hAnsi="宋体" w:cs="宋体"/>
                <w:szCs w:val="21"/>
              </w:rPr>
              <w:t>5.商务要求响应承诺书（格式后附）；</w:t>
            </w:r>
            <w:r>
              <w:rPr>
                <w:rFonts w:hint="eastAsia" w:ascii="宋体" w:hAnsi="宋体" w:cs="宋体"/>
                <w:b/>
                <w:bCs/>
                <w:szCs w:val="21"/>
              </w:rPr>
              <w:t>（必须提供，否则响应文件按无效响应处理）</w:t>
            </w:r>
          </w:p>
          <w:p w14:paraId="1CDA36FC">
            <w:pPr>
              <w:spacing w:line="360" w:lineRule="auto"/>
              <w:rPr>
                <w:rFonts w:ascii="宋体" w:hAnsi="宋体" w:cs="宋体"/>
                <w:szCs w:val="21"/>
              </w:rPr>
            </w:pPr>
            <w:r>
              <w:rPr>
                <w:rFonts w:hint="eastAsia" w:ascii="宋体" w:hAnsi="宋体" w:cs="宋体"/>
                <w:szCs w:val="21"/>
              </w:rPr>
              <w:t>6.技术（服务）要求响应表（格式后附）；</w:t>
            </w:r>
            <w:r>
              <w:rPr>
                <w:rFonts w:hint="eastAsia" w:ascii="宋体" w:hAnsi="宋体" w:cs="宋体"/>
                <w:b/>
                <w:szCs w:val="21"/>
              </w:rPr>
              <w:t>（必须提供，否则响应文件按无效响应处理）</w:t>
            </w:r>
          </w:p>
          <w:p w14:paraId="7235C697">
            <w:pPr>
              <w:spacing w:line="360" w:lineRule="auto"/>
              <w:rPr>
                <w:rFonts w:ascii="宋体" w:hAnsi="宋体" w:cs="宋体"/>
                <w:szCs w:val="21"/>
              </w:rPr>
            </w:pPr>
            <w:r>
              <w:rPr>
                <w:rFonts w:ascii="宋体" w:hAnsi="宋体" w:cs="宋体"/>
                <w:szCs w:val="21"/>
              </w:rPr>
              <w:t>7</w:t>
            </w:r>
            <w:r>
              <w:rPr>
                <w:rFonts w:hint="eastAsia" w:ascii="宋体" w:hAnsi="宋体" w:cs="宋体"/>
                <w:szCs w:val="21"/>
              </w:rPr>
              <w:t>.</w:t>
            </w:r>
            <w:r>
              <w:rPr>
                <w:rFonts w:hint="eastAsia" w:ascii="宋体" w:hAnsi="宋体"/>
                <w:bCs/>
                <w:kern w:val="0"/>
                <w:szCs w:val="21"/>
              </w:rPr>
              <w:t>项目实施方案</w:t>
            </w:r>
            <w:r>
              <w:rPr>
                <w:rFonts w:hint="eastAsia" w:ascii="宋体" w:hAnsi="宋体" w:cs="宋体"/>
                <w:szCs w:val="21"/>
              </w:rPr>
              <w:t>；（格式后附）（如有，请提供）</w:t>
            </w:r>
          </w:p>
          <w:p w14:paraId="2A4433B3">
            <w:pPr>
              <w:spacing w:line="360" w:lineRule="auto"/>
              <w:rPr>
                <w:rFonts w:ascii="宋体" w:hAnsi="宋体" w:cs="宋体"/>
                <w:szCs w:val="21"/>
              </w:rPr>
            </w:pPr>
            <w:r>
              <w:rPr>
                <w:rFonts w:ascii="宋体" w:hAnsi="宋体" w:cs="宋体"/>
                <w:szCs w:val="21"/>
              </w:rPr>
              <w:t>8.</w:t>
            </w:r>
            <w:r>
              <w:rPr>
                <w:rFonts w:hint="eastAsia" w:ascii="宋体" w:hAnsi="宋体" w:cs="宋体"/>
                <w:szCs w:val="21"/>
              </w:rPr>
              <w:t>售后服务</w:t>
            </w:r>
            <w:r>
              <w:rPr>
                <w:rFonts w:hint="eastAsia" w:ascii="宋体" w:hAnsi="宋体"/>
                <w:szCs w:val="21"/>
              </w:rPr>
              <w:t>方案（包含但不限于：①服务范围及内容、服务方式、服务流程、出现故障和处理时间、突发情况时的应对措施；②培训目标、培训方式、培训内容、培训对象、培训资料等）</w:t>
            </w:r>
            <w:r>
              <w:rPr>
                <w:rFonts w:hint="eastAsia" w:ascii="宋体" w:hAnsi="宋体" w:cs="宋体"/>
                <w:szCs w:val="21"/>
              </w:rPr>
              <w:t>（格式后附）（如有，请提供）</w:t>
            </w:r>
          </w:p>
          <w:p w14:paraId="77868E19">
            <w:pPr>
              <w:spacing w:line="360" w:lineRule="auto"/>
              <w:rPr>
                <w:rFonts w:ascii="宋体" w:hAnsi="宋体" w:cs="宋体"/>
                <w:szCs w:val="21"/>
              </w:rPr>
            </w:pPr>
            <w:r>
              <w:rPr>
                <w:rFonts w:hint="eastAsia" w:ascii="宋体" w:hAnsi="宋体" w:cs="宋体"/>
                <w:szCs w:val="21"/>
              </w:rPr>
              <w:t>9.对应采购需求的技术（服务）要求、商务要求提供的其他文件资料</w:t>
            </w:r>
            <w:r>
              <w:rPr>
                <w:rFonts w:hint="eastAsia" w:ascii="宋体" w:hAnsi="宋体"/>
                <w:szCs w:val="21"/>
              </w:rPr>
              <w:t>（格式自拟）</w:t>
            </w:r>
            <w:r>
              <w:rPr>
                <w:rFonts w:hint="eastAsia" w:ascii="宋体" w:hAnsi="宋体" w:cs="宋体"/>
                <w:szCs w:val="21"/>
              </w:rPr>
              <w:t>；</w:t>
            </w:r>
          </w:p>
          <w:p w14:paraId="31E720C5">
            <w:pPr>
              <w:spacing w:line="360" w:lineRule="auto"/>
              <w:rPr>
                <w:rFonts w:ascii="宋体" w:hAnsi="宋体" w:cs="宋体"/>
                <w:szCs w:val="21"/>
              </w:rPr>
            </w:pPr>
            <w:r>
              <w:rPr>
                <w:rFonts w:hint="eastAsia" w:ascii="宋体" w:hAnsi="宋体" w:cs="宋体"/>
                <w:szCs w:val="21"/>
              </w:rPr>
              <w:t>10.供应商认为需要提供的其他有关资料。</w:t>
            </w:r>
          </w:p>
          <w:p w14:paraId="4DF57A90">
            <w:pPr>
              <w:snapToGrid w:val="0"/>
              <w:spacing w:line="360" w:lineRule="auto"/>
              <w:jc w:val="left"/>
              <w:rPr>
                <w:rFonts w:ascii="宋体" w:hAnsi="宋体" w:cs="宋体"/>
                <w:b/>
                <w:szCs w:val="21"/>
              </w:rPr>
            </w:pPr>
            <w:r>
              <w:rPr>
                <w:rFonts w:hint="eastAsia" w:ascii="宋体" w:hAnsi="宋体" w:cs="宋体"/>
                <w:b/>
                <w:szCs w:val="21"/>
              </w:rPr>
              <w:t>注：以上标明“必须提供”的材料必须加盖供应商</w:t>
            </w:r>
            <w:r>
              <w:rPr>
                <w:rFonts w:hint="eastAsia" w:ascii="宋体" w:hAnsi="宋体"/>
                <w:b/>
              </w:rPr>
              <w:t>电子签章</w:t>
            </w:r>
            <w:r>
              <w:rPr>
                <w:rFonts w:hint="eastAsia" w:ascii="宋体" w:hAnsi="宋体" w:cs="宋体"/>
                <w:b/>
                <w:szCs w:val="21"/>
              </w:rPr>
              <w:t>，</w:t>
            </w:r>
            <w:r>
              <w:rPr>
                <w:rFonts w:hint="eastAsia" w:ascii="宋体" w:hAnsi="宋体" w:cs="Courier New"/>
                <w:b/>
                <w:szCs w:val="21"/>
              </w:rPr>
              <w:t>必须提供的材料在第五章“响应文件格式”中有要求法定代表人或委托代理人签字的，必须由法定代表人或委托代理人签字</w:t>
            </w:r>
            <w:r>
              <w:rPr>
                <w:rFonts w:hint="eastAsia" w:ascii="宋体" w:hAnsi="宋体"/>
                <w:b/>
                <w:bCs/>
                <w:szCs w:val="21"/>
              </w:rPr>
              <w:t>（或者电子签名），</w:t>
            </w:r>
            <w:r>
              <w:rPr>
                <w:rFonts w:hint="eastAsia" w:ascii="宋体" w:hAnsi="宋体" w:cs="宋体"/>
                <w:b/>
                <w:szCs w:val="21"/>
              </w:rPr>
              <w:t>否则响应文件按无效处理。</w:t>
            </w:r>
          </w:p>
        </w:tc>
      </w:tr>
      <w:tr w14:paraId="43A2B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6AB8423">
            <w:pPr>
              <w:spacing w:line="360" w:lineRule="auto"/>
              <w:jc w:val="center"/>
              <w:rPr>
                <w:rFonts w:ascii="宋体" w:hAnsi="宋体" w:cs="宋体"/>
                <w:szCs w:val="21"/>
              </w:rPr>
            </w:pPr>
            <w:r>
              <w:rPr>
                <w:rFonts w:hint="eastAsia" w:ascii="宋体" w:hAnsi="宋体" w:cs="宋体"/>
                <w:szCs w:val="21"/>
              </w:rPr>
              <w:t>15.2</w:t>
            </w:r>
          </w:p>
        </w:tc>
        <w:tc>
          <w:tcPr>
            <w:tcW w:w="7912" w:type="dxa"/>
            <w:vAlign w:val="center"/>
          </w:tcPr>
          <w:p w14:paraId="60430ABA">
            <w:pPr>
              <w:spacing w:line="360" w:lineRule="auto"/>
              <w:contextualSpacing/>
              <w:jc w:val="left"/>
              <w:rPr>
                <w:rFonts w:ascii="宋体" w:hAnsi="宋体"/>
                <w:b/>
                <w:szCs w:val="21"/>
              </w:rPr>
            </w:pPr>
            <w:r>
              <w:rPr>
                <w:rFonts w:hint="eastAsia" w:ascii="宋体" w:hAnsi="宋体"/>
                <w:szCs w:val="21"/>
              </w:rPr>
              <w:t>磋商报价是履行合同的最终价格，</w:t>
            </w:r>
            <w:r>
              <w:rPr>
                <w:rFonts w:hint="eastAsia" w:ascii="宋体" w:hAnsi="宋体" w:cs="宋体"/>
                <w:szCs w:val="21"/>
              </w:rPr>
              <w:t>供应商磋商报价应</w:t>
            </w:r>
            <w:r>
              <w:rPr>
                <w:rFonts w:hint="eastAsia" w:ascii="宋体" w:hAnsi="宋体"/>
                <w:szCs w:val="21"/>
              </w:rPr>
              <w:t>包含其承诺的提供本次采购范围的所有内容产生的成本、税金、利润、项目验收、</w:t>
            </w:r>
            <w:r>
              <w:rPr>
                <w:rFonts w:hint="eastAsia" w:ascii="宋体" w:hAnsi="宋体"/>
              </w:rPr>
              <w:t>检验、售后服务、培训、维护、升级</w:t>
            </w:r>
            <w:r>
              <w:rPr>
                <w:rFonts w:hint="eastAsia" w:ascii="宋体" w:hAnsi="宋体"/>
                <w:szCs w:val="21"/>
              </w:rPr>
              <w:t>等费用</w:t>
            </w:r>
            <w:r>
              <w:rPr>
                <w:rFonts w:hint="eastAsia" w:ascii="宋体" w:hAnsi="宋体" w:cs="宋体"/>
                <w:szCs w:val="21"/>
              </w:rPr>
              <w:t>，对于本文件中未列明，而供应商认为必须的费用也需列入报价。在合同实施时，采购人将不予支付成交供应商没有列入的项目费用，并认为此项目的费用已包括在磋商报价中。</w:t>
            </w:r>
          </w:p>
        </w:tc>
      </w:tr>
      <w:tr w14:paraId="1B5B8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649D30F">
            <w:pPr>
              <w:spacing w:line="360" w:lineRule="auto"/>
              <w:jc w:val="center"/>
              <w:rPr>
                <w:rFonts w:ascii="宋体" w:hAnsi="宋体" w:cs="宋体"/>
                <w:szCs w:val="21"/>
              </w:rPr>
            </w:pPr>
            <w:r>
              <w:rPr>
                <w:rFonts w:hint="eastAsia" w:ascii="宋体" w:hAnsi="宋体" w:cs="宋体"/>
                <w:szCs w:val="21"/>
              </w:rPr>
              <w:t>16.</w:t>
            </w:r>
            <w:r>
              <w:rPr>
                <w:rFonts w:ascii="宋体" w:hAnsi="宋体" w:cs="宋体"/>
                <w:szCs w:val="21"/>
              </w:rPr>
              <w:t>2</w:t>
            </w:r>
          </w:p>
        </w:tc>
        <w:tc>
          <w:tcPr>
            <w:tcW w:w="7912" w:type="dxa"/>
            <w:vAlign w:val="center"/>
          </w:tcPr>
          <w:p w14:paraId="47282977">
            <w:pPr>
              <w:pStyle w:val="11"/>
              <w:widowControl w:val="0"/>
              <w:tabs>
                <w:tab w:val="clear" w:pos="454"/>
              </w:tabs>
              <w:snapToGrid w:val="0"/>
              <w:spacing w:afterLines="0" w:line="360" w:lineRule="auto"/>
              <w:ind w:left="283" w:hanging="283" w:hangingChars="135"/>
              <w:rPr>
                <w:rFonts w:ascii="宋体" w:hAnsi="宋体" w:cs="宋体"/>
                <w:kern w:val="2"/>
                <w:sz w:val="21"/>
                <w:szCs w:val="21"/>
              </w:rPr>
            </w:pPr>
            <w:r>
              <w:rPr>
                <w:rFonts w:hint="eastAsia" w:ascii="宋体" w:hAnsi="宋体" w:cs="宋体"/>
                <w:kern w:val="2"/>
                <w:sz w:val="21"/>
                <w:szCs w:val="21"/>
              </w:rPr>
              <w:t>竞标有效期：自首次响应文件提交截止之日起</w:t>
            </w:r>
            <w:r>
              <w:rPr>
                <w:rFonts w:ascii="宋体" w:hAnsi="宋体" w:cs="宋体"/>
                <w:kern w:val="2"/>
                <w:sz w:val="21"/>
                <w:szCs w:val="21"/>
                <w:u w:val="single"/>
              </w:rPr>
              <w:t>90</w:t>
            </w:r>
            <w:r>
              <w:rPr>
                <w:rFonts w:hint="eastAsia" w:ascii="宋体" w:hAnsi="宋体" w:cs="宋体"/>
                <w:kern w:val="2"/>
                <w:sz w:val="21"/>
                <w:szCs w:val="21"/>
              </w:rPr>
              <w:t>日。</w:t>
            </w:r>
          </w:p>
        </w:tc>
      </w:tr>
      <w:tr w14:paraId="73255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AF2AA14">
            <w:pPr>
              <w:spacing w:line="360" w:lineRule="auto"/>
              <w:jc w:val="center"/>
              <w:rPr>
                <w:rFonts w:ascii="宋体" w:hAnsi="宋体" w:cs="宋体"/>
                <w:szCs w:val="21"/>
              </w:rPr>
            </w:pPr>
            <w:r>
              <w:rPr>
                <w:rFonts w:hint="eastAsia" w:ascii="宋体" w:hAnsi="宋体" w:cs="宋体"/>
                <w:szCs w:val="21"/>
              </w:rPr>
              <w:t>17.1</w:t>
            </w:r>
          </w:p>
        </w:tc>
        <w:tc>
          <w:tcPr>
            <w:tcW w:w="7912" w:type="dxa"/>
            <w:vAlign w:val="center"/>
          </w:tcPr>
          <w:p w14:paraId="7E883DA7">
            <w:pPr>
              <w:autoSpaceDE w:val="0"/>
              <w:autoSpaceDN w:val="0"/>
              <w:snapToGrid w:val="0"/>
              <w:spacing w:line="360" w:lineRule="auto"/>
              <w:textAlignment w:val="bottom"/>
              <w:rPr>
                <w:rFonts w:ascii="宋体" w:hAnsi="宋体"/>
                <w:szCs w:val="21"/>
              </w:rPr>
            </w:pPr>
            <w:r>
              <w:rPr>
                <w:rFonts w:hint="eastAsia" w:ascii="宋体" w:hAnsi="宋体"/>
                <w:szCs w:val="21"/>
              </w:rPr>
              <w:t>□本项目不收取磋商保证金。</w:t>
            </w:r>
          </w:p>
          <w:p w14:paraId="2B60F881">
            <w:pPr>
              <w:snapToGrid w:val="0"/>
              <w:spacing w:line="360" w:lineRule="auto"/>
              <w:rPr>
                <w:rFonts w:ascii="宋体" w:hAnsi="宋体"/>
                <w:szCs w:val="21"/>
              </w:rPr>
            </w:pPr>
            <w:r>
              <w:rPr>
                <w:rFonts w:ascii="Segoe UI Symbol" w:hAnsi="Segoe UI Symbol" w:cs="Segoe UI Symbol"/>
                <w:szCs w:val="21"/>
              </w:rPr>
              <w:t>☑</w:t>
            </w:r>
            <w:r>
              <w:rPr>
                <w:rFonts w:hint="eastAsia" w:ascii="宋体" w:hAnsi="宋体"/>
                <w:szCs w:val="21"/>
              </w:rPr>
              <w:t>本项目收取磋商保证金，具体规定如下：</w:t>
            </w:r>
            <w:r>
              <w:rPr>
                <w:rFonts w:hint="eastAsia" w:ascii="宋体" w:hAnsi="宋体" w:cs="宋体"/>
                <w:color w:val="000000"/>
                <w:kern w:val="0"/>
                <w:szCs w:val="21"/>
              </w:rPr>
              <w:t>本项目竞标保证金按各分标采购项目预算金额的</w:t>
            </w:r>
            <w:r>
              <w:rPr>
                <w:rFonts w:hint="eastAsia" w:ascii="宋体" w:hAnsi="宋体" w:cs="宋体"/>
                <w:color w:val="000000"/>
                <w:kern w:val="0"/>
                <w:szCs w:val="21"/>
                <w:u w:val="single"/>
              </w:rPr>
              <w:t xml:space="preserve"> 1 </w:t>
            </w:r>
            <w:r>
              <w:rPr>
                <w:rFonts w:hint="eastAsia" w:ascii="宋体" w:hAnsi="宋体" w:cs="宋体"/>
                <w:color w:val="000000"/>
                <w:kern w:val="0"/>
                <w:szCs w:val="21"/>
              </w:rPr>
              <w:t>% 金额</w:t>
            </w:r>
          </w:p>
          <w:p w14:paraId="1A78DA35">
            <w:pPr>
              <w:autoSpaceDE w:val="0"/>
              <w:autoSpaceDN w:val="0"/>
              <w:snapToGrid w:val="0"/>
              <w:spacing w:line="360" w:lineRule="auto"/>
              <w:textAlignment w:val="bottom"/>
              <w:rPr>
                <w:rFonts w:ascii="宋体" w:hAnsi="宋体"/>
                <w:szCs w:val="21"/>
              </w:rPr>
            </w:pPr>
            <w:r>
              <w:rPr>
                <w:rFonts w:hint="eastAsia" w:ascii="宋体" w:hAnsi="宋体"/>
                <w:szCs w:val="21"/>
              </w:rPr>
              <w:t>磋商保证金</w:t>
            </w:r>
            <w:r>
              <w:rPr>
                <w:rFonts w:hint="eastAsia" w:ascii="宋体" w:hAnsi="宋体" w:cs="宋体"/>
                <w:b/>
                <w:kern w:val="0"/>
                <w:szCs w:val="21"/>
              </w:rPr>
              <w:t>标项一人民币壹万陆仟元整（¥16000.00）</w:t>
            </w:r>
            <w:r>
              <w:rPr>
                <w:rFonts w:hint="eastAsia" w:ascii="宋体" w:hAnsi="宋体"/>
                <w:b/>
                <w:szCs w:val="21"/>
              </w:rPr>
              <w:t>；</w:t>
            </w:r>
            <w:r>
              <w:rPr>
                <w:rFonts w:hint="eastAsia" w:ascii="宋体" w:hAnsi="宋体" w:cs="宋体"/>
                <w:b/>
                <w:kern w:val="0"/>
                <w:szCs w:val="21"/>
              </w:rPr>
              <w:t>标项二人民币壹万零伍佰元整（¥10500.00）</w:t>
            </w:r>
            <w:r>
              <w:rPr>
                <w:rFonts w:hint="eastAsia" w:ascii="宋体" w:hAnsi="宋体"/>
                <w:szCs w:val="21"/>
              </w:rPr>
              <w:t>。</w:t>
            </w:r>
          </w:p>
          <w:p w14:paraId="3CC04A23">
            <w:pPr>
              <w:autoSpaceDE w:val="0"/>
              <w:autoSpaceDN w:val="0"/>
              <w:snapToGrid w:val="0"/>
              <w:spacing w:line="360" w:lineRule="auto"/>
              <w:textAlignment w:val="bottom"/>
              <w:rPr>
                <w:rFonts w:ascii="宋体" w:hAnsi="宋体"/>
                <w:b/>
                <w:bCs/>
                <w:szCs w:val="21"/>
              </w:rPr>
            </w:pPr>
            <w:r>
              <w:rPr>
                <w:rFonts w:hint="eastAsia" w:ascii="宋体" w:hAnsi="宋体"/>
                <w:szCs w:val="21"/>
              </w:rPr>
              <w:t>磋商保证金的交纳方式：银行转账、支票、汇票、本票或者金融、担保机构出具的保函（包含电子保函），禁止采用现钞方式。采用银行转账方式的，在响应文件提交截止时间前交至指定账户并且到账</w:t>
            </w:r>
            <w:r>
              <w:rPr>
                <w:rFonts w:hint="eastAsia" w:ascii="宋体" w:hAnsi="宋体"/>
                <w:b/>
                <w:kern w:val="0"/>
                <w:szCs w:val="21"/>
              </w:rPr>
              <w:t>（开户名称：广西嘉华建设项目管理咨询有限公司临桂分公司；开户银行：中国农业银行股份有限公司桂林榕山支行；银行账号：</w:t>
            </w:r>
            <w:r>
              <w:rPr>
                <w:rFonts w:ascii="宋体" w:hAnsi="宋体"/>
                <w:b/>
                <w:kern w:val="0"/>
                <w:szCs w:val="21"/>
              </w:rPr>
              <w:t>20222401040005706</w:t>
            </w:r>
            <w:r>
              <w:rPr>
                <w:rFonts w:hint="eastAsia" w:ascii="宋体" w:hAnsi="宋体"/>
                <w:b/>
                <w:kern w:val="0"/>
                <w:szCs w:val="21"/>
              </w:rPr>
              <w:t>）</w:t>
            </w:r>
            <w:r>
              <w:rPr>
                <w:rFonts w:hint="eastAsia" w:ascii="宋体" w:hAnsi="宋体"/>
                <w:szCs w:val="21"/>
              </w:rPr>
              <w:t>；采用支票、汇票、本票或者保函（包含电子保函）等方式的，在响应文件提交截止时间前，供应商必须提交单独密封的支票、汇票、本票或者保函原件。</w:t>
            </w:r>
            <w:r>
              <w:rPr>
                <w:rFonts w:hint="eastAsia" w:ascii="宋体" w:hAnsi="宋体"/>
                <w:b/>
                <w:bCs/>
                <w:szCs w:val="21"/>
              </w:rPr>
              <w:t>否则视为无效磋商保证金。</w:t>
            </w:r>
          </w:p>
          <w:p w14:paraId="6969A203">
            <w:pPr>
              <w:autoSpaceDE w:val="0"/>
              <w:autoSpaceDN w:val="0"/>
              <w:snapToGrid w:val="0"/>
              <w:spacing w:line="360" w:lineRule="auto"/>
              <w:textAlignment w:val="bottom"/>
              <w:rPr>
                <w:rFonts w:ascii="宋体" w:hAnsi="宋体"/>
                <w:szCs w:val="21"/>
              </w:rPr>
            </w:pPr>
            <w:r>
              <w:rPr>
                <w:rFonts w:hint="eastAsia" w:ascii="宋体" w:hAnsi="宋体"/>
                <w:szCs w:val="21"/>
              </w:rPr>
              <w:t>相关要求：</w:t>
            </w:r>
          </w:p>
          <w:p w14:paraId="0B456EDF">
            <w:pPr>
              <w:autoSpaceDE w:val="0"/>
              <w:autoSpaceDN w:val="0"/>
              <w:snapToGrid w:val="0"/>
              <w:spacing w:line="360" w:lineRule="auto"/>
              <w:textAlignment w:val="bottom"/>
              <w:rPr>
                <w:rFonts w:ascii="宋体" w:hAnsi="宋体"/>
                <w:b/>
                <w:bCs/>
                <w:szCs w:val="21"/>
              </w:rPr>
            </w:pPr>
            <w:r>
              <w:rPr>
                <w:rFonts w:hint="eastAsia" w:ascii="宋体" w:hAnsi="宋体"/>
                <w:szCs w:val="21"/>
              </w:rPr>
              <w:t>1.磋商保证金采用银行转账交纳方式的，在响应文件提交截止时间前交至指定账户并且到账，供应商应将银行转账底单的复印件作为磋商保证金提交凭证，放置于商务技术文件中，</w:t>
            </w:r>
            <w:r>
              <w:rPr>
                <w:rFonts w:hint="eastAsia" w:ascii="宋体" w:hAnsi="宋体"/>
                <w:b/>
                <w:bCs/>
                <w:szCs w:val="21"/>
              </w:rPr>
              <w:t>否则响应文件按无效处理。</w:t>
            </w:r>
          </w:p>
          <w:p w14:paraId="07473C3A">
            <w:pPr>
              <w:autoSpaceDE w:val="0"/>
              <w:autoSpaceDN w:val="0"/>
              <w:snapToGrid w:val="0"/>
              <w:spacing w:line="360" w:lineRule="auto"/>
              <w:textAlignment w:val="bottom"/>
              <w:rPr>
                <w:rFonts w:ascii="宋体" w:hAnsi="宋体"/>
                <w:szCs w:val="21"/>
              </w:rPr>
            </w:pPr>
            <w:r>
              <w:rPr>
                <w:rFonts w:hint="eastAsia" w:ascii="宋体" w:hAnsi="宋体"/>
                <w:szCs w:val="21"/>
              </w:rPr>
              <w:t>2.磋商保证金采用支票、汇票、本票或者金融、担保机构出具的保函（包含电子保函）交纳方式的，供应商应将支票、汇票、本票或者金融、担保机构出具的保函（包含电子保函）的复印件作为磋商保证金提交凭证，放置于商务技术文件中，否则响应文件按无效处理。供应商必须在响应文件提交截止时间前采用现场或邮寄方式</w:t>
            </w:r>
            <w:r>
              <w:rPr>
                <w:rFonts w:hint="eastAsia" w:ascii="宋体" w:hAnsi="宋体"/>
              </w:rPr>
              <w:t>【现场提交地址：广西嘉华建设项目管理咨询有限公司开标大厅（广西桂林市临桂区青莲路建设大厦南楼十五楼）；邮寄地址：广西嘉华建设项目管理咨询有限公司（广西桂林市临桂区青莲路建设大厦南楼十五楼），收件人：秦工，联系方式：</w:t>
            </w:r>
            <w:r>
              <w:rPr>
                <w:rFonts w:ascii="宋体" w:hAnsi="宋体"/>
              </w:rPr>
              <w:t>0773-2829198</w:t>
            </w:r>
            <w:r>
              <w:rPr>
                <w:rFonts w:hint="eastAsia" w:ascii="宋体" w:hAnsi="宋体"/>
              </w:rPr>
              <w:t>）】</w:t>
            </w:r>
            <w:r>
              <w:rPr>
                <w:rFonts w:hint="eastAsia" w:ascii="宋体" w:hAnsi="宋体"/>
                <w:szCs w:val="21"/>
              </w:rPr>
              <w:t>将单独密封的支票、汇票、本票或者金融、担保机构出具的保函原件提交给采购人或者采购代理机构，由采购人或者采购代理机构向供应商出具回执（邮寄方式的除外），并妥善保管。</w:t>
            </w:r>
          </w:p>
          <w:p w14:paraId="2D3D872A">
            <w:pPr>
              <w:autoSpaceDE w:val="0"/>
              <w:autoSpaceDN w:val="0"/>
              <w:snapToGrid w:val="0"/>
              <w:spacing w:line="360" w:lineRule="auto"/>
              <w:textAlignment w:val="bottom"/>
              <w:rPr>
                <w:rFonts w:ascii="宋体" w:hAnsi="宋体"/>
                <w:szCs w:val="21"/>
              </w:rPr>
            </w:pPr>
            <w:r>
              <w:rPr>
                <w:rFonts w:hint="eastAsia" w:ascii="宋体" w:hAnsi="宋体"/>
                <w:szCs w:val="21"/>
              </w:rPr>
              <w:t>3.供应商为联合体的，可以由联合体中的一方或者多方共同交纳磋商保证金，其交纳的保证金对联合体各方均具有约束力。</w:t>
            </w:r>
          </w:p>
          <w:p w14:paraId="71D5F724">
            <w:pPr>
              <w:autoSpaceDE w:val="0"/>
              <w:autoSpaceDN w:val="0"/>
              <w:snapToGrid w:val="0"/>
              <w:spacing w:line="360" w:lineRule="auto"/>
              <w:textAlignment w:val="bottom"/>
              <w:rPr>
                <w:rFonts w:hint="eastAsia" w:ascii="宋体" w:hAnsi="宋体"/>
                <w:b/>
                <w:bCs/>
                <w:szCs w:val="21"/>
              </w:rPr>
            </w:pPr>
            <w:r>
              <w:rPr>
                <w:rFonts w:hint="eastAsia" w:ascii="宋体" w:hAnsi="宋体"/>
                <w:b/>
                <w:bCs/>
                <w:szCs w:val="21"/>
              </w:rPr>
              <w:t>备注：</w:t>
            </w:r>
          </w:p>
          <w:p w14:paraId="5B2EC34F">
            <w:pPr>
              <w:autoSpaceDE w:val="0"/>
              <w:autoSpaceDN w:val="0"/>
              <w:snapToGrid w:val="0"/>
              <w:spacing w:line="360" w:lineRule="auto"/>
              <w:textAlignment w:val="bottom"/>
              <w:rPr>
                <w:rFonts w:hint="eastAsia" w:ascii="宋体" w:hAnsi="宋体"/>
                <w:b/>
                <w:bCs/>
                <w:szCs w:val="21"/>
              </w:rPr>
            </w:pPr>
            <w:r>
              <w:rPr>
                <w:rFonts w:hint="eastAsia" w:ascii="宋体" w:hAnsi="宋体"/>
                <w:b/>
                <w:bCs/>
                <w:szCs w:val="21"/>
              </w:rPr>
              <w:t>1.磋商保证金在响应文件提交截止时间后提交的，或者不按规定交纳方式交纳的，或者未足额交纳的（包含保函、电子保函额度不足的），视为无效磋商保证金。</w:t>
            </w:r>
          </w:p>
          <w:p w14:paraId="2A864DF0">
            <w:pPr>
              <w:autoSpaceDE w:val="0"/>
              <w:autoSpaceDN w:val="0"/>
              <w:snapToGrid w:val="0"/>
              <w:spacing w:line="360" w:lineRule="auto"/>
              <w:textAlignment w:val="bottom"/>
              <w:rPr>
                <w:rFonts w:hint="eastAsia" w:ascii="宋体" w:hAnsi="宋体"/>
                <w:b/>
                <w:bCs/>
                <w:szCs w:val="21"/>
              </w:rPr>
            </w:pPr>
            <w:r>
              <w:rPr>
                <w:rFonts w:hint="eastAsia" w:ascii="宋体" w:hAnsi="宋体"/>
                <w:b/>
                <w:bCs/>
                <w:szCs w:val="21"/>
              </w:rPr>
              <w:t>2.供应商采用现钞方式或者从个人账户（自然人竞标除外）转出的磋商保证金，视为无效磋商保证金。</w:t>
            </w:r>
          </w:p>
          <w:p w14:paraId="419EEF9A">
            <w:pPr>
              <w:autoSpaceDE w:val="0"/>
              <w:autoSpaceDN w:val="0"/>
              <w:snapToGrid w:val="0"/>
              <w:spacing w:line="360" w:lineRule="auto"/>
              <w:textAlignment w:val="bottom"/>
              <w:rPr>
                <w:rFonts w:hint="eastAsia" w:ascii="宋体" w:hAnsi="宋体"/>
                <w:b/>
                <w:bCs/>
                <w:szCs w:val="21"/>
              </w:rPr>
            </w:pPr>
            <w:r>
              <w:rPr>
                <w:rFonts w:hint="eastAsia" w:ascii="宋体" w:hAnsi="宋体"/>
                <w:b/>
                <w:bCs/>
                <w:szCs w:val="21"/>
              </w:rPr>
              <w:t>3.支票、汇票或者本票出现无效或者背书情形的，视为无效磋商保证金。</w:t>
            </w:r>
          </w:p>
          <w:p w14:paraId="7580D26D">
            <w:pPr>
              <w:autoSpaceDE w:val="0"/>
              <w:autoSpaceDN w:val="0"/>
              <w:snapToGrid w:val="0"/>
              <w:spacing w:line="360" w:lineRule="auto"/>
              <w:textAlignment w:val="bottom"/>
              <w:rPr>
                <w:rFonts w:hint="eastAsia" w:ascii="宋体" w:hAnsi="宋体"/>
                <w:b/>
                <w:bCs/>
                <w:szCs w:val="21"/>
              </w:rPr>
            </w:pPr>
            <w:r>
              <w:rPr>
                <w:rFonts w:hint="eastAsia" w:ascii="宋体" w:hAnsi="宋体"/>
                <w:b/>
                <w:bCs/>
                <w:szCs w:val="21"/>
              </w:rPr>
              <w:t>4.保函（包含电子保函）有效期低于竞标有效期的，视为无效磋商保证金。</w:t>
            </w:r>
          </w:p>
          <w:p w14:paraId="3679C5D9">
            <w:pPr>
              <w:autoSpaceDE w:val="0"/>
              <w:autoSpaceDN w:val="0"/>
              <w:snapToGrid w:val="0"/>
              <w:spacing w:line="360" w:lineRule="auto"/>
              <w:textAlignment w:val="bottom"/>
            </w:pPr>
            <w:r>
              <w:rPr>
                <w:rFonts w:hint="eastAsia" w:ascii="宋体" w:hAnsi="宋体"/>
                <w:b/>
                <w:bCs/>
                <w:szCs w:val="21"/>
              </w:rPr>
              <w:t>5.竞标保证金采用银行、保险机构出具的保函为有条件保函的，视为无效竞标保证金。</w:t>
            </w:r>
          </w:p>
        </w:tc>
      </w:tr>
      <w:tr w14:paraId="29B61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F914C92">
            <w:pPr>
              <w:spacing w:line="360" w:lineRule="auto"/>
              <w:jc w:val="center"/>
              <w:rPr>
                <w:rFonts w:ascii="宋体" w:hAnsi="宋体" w:cs="宋体"/>
                <w:szCs w:val="21"/>
              </w:rPr>
            </w:pPr>
            <w:r>
              <w:rPr>
                <w:rFonts w:ascii="宋体" w:hAnsi="宋体" w:cs="宋体"/>
                <w:szCs w:val="21"/>
              </w:rPr>
              <w:t>19</w:t>
            </w:r>
          </w:p>
        </w:tc>
        <w:tc>
          <w:tcPr>
            <w:tcW w:w="7912" w:type="dxa"/>
            <w:vAlign w:val="center"/>
          </w:tcPr>
          <w:p w14:paraId="673D2277">
            <w:pPr>
              <w:spacing w:line="360" w:lineRule="auto"/>
              <w:rPr>
                <w:rFonts w:ascii="宋体" w:hAnsi="宋体" w:cs="宋体"/>
                <w:szCs w:val="21"/>
              </w:rPr>
            </w:pPr>
            <w:r>
              <w:rPr>
                <w:rFonts w:hint="eastAsia" w:ascii="宋体" w:hAnsi="宋体"/>
                <w:szCs w:val="21"/>
              </w:rPr>
              <w:t>本项目不接受</w:t>
            </w:r>
            <w:r>
              <w:rPr>
                <w:rFonts w:hint="eastAsia" w:ascii="宋体" w:hAnsi="宋体"/>
              </w:rPr>
              <w:t>电子</w:t>
            </w:r>
            <w:r>
              <w:rPr>
                <w:rFonts w:hint="eastAsia" w:ascii="宋体" w:hAnsi="宋体"/>
                <w:szCs w:val="21"/>
              </w:rPr>
              <w:t>备份响应文件。</w:t>
            </w:r>
          </w:p>
        </w:tc>
      </w:tr>
      <w:tr w14:paraId="33730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67A9AF1">
            <w:pPr>
              <w:spacing w:line="360" w:lineRule="auto"/>
              <w:jc w:val="center"/>
              <w:rPr>
                <w:rFonts w:ascii="宋体" w:hAnsi="宋体" w:cs="宋体"/>
                <w:szCs w:val="21"/>
              </w:rPr>
            </w:pPr>
            <w:r>
              <w:rPr>
                <w:rFonts w:hint="eastAsia" w:ascii="宋体" w:hAnsi="宋体" w:cs="宋体"/>
                <w:szCs w:val="21"/>
              </w:rPr>
              <w:t>20.1</w:t>
            </w:r>
          </w:p>
        </w:tc>
        <w:tc>
          <w:tcPr>
            <w:tcW w:w="7912" w:type="dxa"/>
            <w:vAlign w:val="center"/>
          </w:tcPr>
          <w:p w14:paraId="46C33F04">
            <w:pPr>
              <w:spacing w:line="360" w:lineRule="auto"/>
              <w:contextualSpacing/>
              <w:jc w:val="left"/>
              <w:rPr>
                <w:rFonts w:ascii="宋体" w:hAnsi="宋体" w:cs="宋体"/>
                <w:szCs w:val="21"/>
                <w:u w:val="single"/>
              </w:rPr>
            </w:pPr>
            <w:r>
              <w:rPr>
                <w:rFonts w:hint="eastAsia" w:ascii="宋体" w:hAnsi="宋体" w:cs="宋体"/>
                <w:szCs w:val="21"/>
              </w:rPr>
              <w:t>响应文件提交截止时间：详见竞争性磋商公告。</w:t>
            </w:r>
          </w:p>
          <w:p w14:paraId="16880F91">
            <w:pPr>
              <w:spacing w:line="360" w:lineRule="auto"/>
              <w:contextualSpacing/>
              <w:jc w:val="left"/>
              <w:rPr>
                <w:rFonts w:ascii="宋体" w:hAnsi="宋体" w:cs="宋体"/>
                <w:szCs w:val="21"/>
              </w:rPr>
            </w:pPr>
            <w:r>
              <w:rPr>
                <w:rFonts w:hint="eastAsia" w:ascii="宋体" w:hAnsi="宋体" w:cs="宋体"/>
                <w:szCs w:val="21"/>
              </w:rPr>
              <w:t>响应文件提交地点：详见竞争性磋商公告。</w:t>
            </w:r>
          </w:p>
        </w:tc>
      </w:tr>
      <w:tr w14:paraId="7ACCB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1E1F872">
            <w:pPr>
              <w:spacing w:line="360" w:lineRule="auto"/>
              <w:jc w:val="center"/>
              <w:rPr>
                <w:rFonts w:ascii="宋体" w:hAnsi="宋体" w:cs="宋体"/>
                <w:szCs w:val="21"/>
              </w:rPr>
            </w:pPr>
            <w:r>
              <w:rPr>
                <w:rFonts w:hint="eastAsia" w:ascii="宋体" w:hAnsi="宋体" w:cs="宋体"/>
                <w:szCs w:val="21"/>
              </w:rPr>
              <w:t>24.1</w:t>
            </w:r>
          </w:p>
        </w:tc>
        <w:tc>
          <w:tcPr>
            <w:tcW w:w="7912" w:type="dxa"/>
            <w:vAlign w:val="center"/>
          </w:tcPr>
          <w:p w14:paraId="63253E8D">
            <w:pPr>
              <w:snapToGrid w:val="0"/>
              <w:spacing w:line="360" w:lineRule="auto"/>
              <w:jc w:val="left"/>
              <w:rPr>
                <w:rFonts w:ascii="宋体" w:hAnsi="宋体" w:cs="宋体"/>
                <w:szCs w:val="21"/>
                <w:u w:val="single"/>
              </w:rPr>
            </w:pPr>
            <w:r>
              <w:rPr>
                <w:rFonts w:hint="eastAsia" w:ascii="宋体" w:hAnsi="宋体" w:cs="宋体"/>
                <w:szCs w:val="21"/>
              </w:rPr>
              <w:t>磋商小组的人数：</w:t>
            </w:r>
            <w:r>
              <w:rPr>
                <w:rFonts w:ascii="宋体" w:hAnsi="宋体" w:cs="宋体"/>
                <w:szCs w:val="21"/>
                <w:u w:val="single"/>
              </w:rPr>
              <w:t>3</w:t>
            </w:r>
            <w:r>
              <w:rPr>
                <w:rFonts w:hint="eastAsia" w:ascii="宋体" w:hAnsi="宋体" w:cs="宋体"/>
                <w:szCs w:val="21"/>
              </w:rPr>
              <w:t>人。</w:t>
            </w:r>
          </w:p>
        </w:tc>
      </w:tr>
      <w:tr w14:paraId="32F2B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066D9B3">
            <w:pPr>
              <w:spacing w:line="360" w:lineRule="auto"/>
              <w:jc w:val="center"/>
              <w:rPr>
                <w:rFonts w:ascii="宋体" w:hAnsi="宋体" w:cs="宋体"/>
                <w:szCs w:val="21"/>
              </w:rPr>
            </w:pPr>
            <w:r>
              <w:rPr>
                <w:rFonts w:hint="eastAsia" w:ascii="宋体" w:hAnsi="宋体" w:cs="宋体"/>
                <w:szCs w:val="21"/>
              </w:rPr>
              <w:t>2</w:t>
            </w:r>
            <w:r>
              <w:rPr>
                <w:rFonts w:ascii="宋体" w:hAnsi="宋体" w:cs="宋体"/>
                <w:szCs w:val="21"/>
              </w:rPr>
              <w:t>5</w:t>
            </w:r>
          </w:p>
        </w:tc>
        <w:tc>
          <w:tcPr>
            <w:tcW w:w="7912" w:type="dxa"/>
            <w:vAlign w:val="center"/>
          </w:tcPr>
          <w:p w14:paraId="7BC6C41D">
            <w:pPr>
              <w:snapToGrid w:val="0"/>
              <w:spacing w:line="360" w:lineRule="auto"/>
              <w:jc w:val="left"/>
              <w:rPr>
                <w:rFonts w:ascii="宋体" w:hAnsi="宋体" w:cs="宋体"/>
                <w:szCs w:val="21"/>
              </w:rPr>
            </w:pPr>
            <w:r>
              <w:rPr>
                <w:rFonts w:hint="eastAsia" w:ascii="宋体" w:hAnsi="宋体" w:cs="宋体"/>
                <w:szCs w:val="21"/>
              </w:rPr>
              <w:t>首次响应文件开启时间详见“竞争性磋商公告”。</w:t>
            </w:r>
          </w:p>
          <w:p w14:paraId="536B8FF2">
            <w:pPr>
              <w:snapToGrid w:val="0"/>
              <w:spacing w:line="360" w:lineRule="auto"/>
              <w:jc w:val="left"/>
              <w:rPr>
                <w:rFonts w:ascii="宋体" w:hAnsi="宋体" w:cs="宋体"/>
                <w:szCs w:val="21"/>
              </w:rPr>
            </w:pPr>
            <w:r>
              <w:rPr>
                <w:rFonts w:hint="eastAsia" w:ascii="宋体" w:hAnsi="宋体" w:cs="宋体"/>
                <w:szCs w:val="21"/>
              </w:rPr>
              <w:t>首次响应文件解密时间：</w:t>
            </w:r>
            <w:r>
              <w:rPr>
                <w:rFonts w:ascii="宋体" w:hAnsi="宋体"/>
                <w:u w:val="single"/>
              </w:rPr>
              <w:t>30</w:t>
            </w:r>
            <w:r>
              <w:rPr>
                <w:rFonts w:hint="eastAsia" w:ascii="宋体" w:hAnsi="宋体"/>
              </w:rPr>
              <w:t>分钟。</w:t>
            </w:r>
          </w:p>
        </w:tc>
      </w:tr>
      <w:tr w14:paraId="4E31F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Align w:val="center"/>
          </w:tcPr>
          <w:p w14:paraId="70D332B4">
            <w:pPr>
              <w:spacing w:line="360" w:lineRule="auto"/>
              <w:jc w:val="center"/>
              <w:rPr>
                <w:rFonts w:ascii="宋体" w:hAnsi="宋体" w:cs="宋体"/>
                <w:szCs w:val="21"/>
              </w:rPr>
            </w:pPr>
            <w:r>
              <w:rPr>
                <w:rFonts w:hint="eastAsia" w:ascii="宋体" w:hAnsi="宋体" w:cs="宋体"/>
                <w:szCs w:val="21"/>
              </w:rPr>
              <w:t>2</w:t>
            </w:r>
            <w:r>
              <w:rPr>
                <w:rFonts w:ascii="宋体" w:hAnsi="宋体" w:cs="宋体"/>
                <w:szCs w:val="21"/>
              </w:rPr>
              <w:t>6.3</w:t>
            </w:r>
          </w:p>
        </w:tc>
        <w:tc>
          <w:tcPr>
            <w:tcW w:w="7912" w:type="dxa"/>
            <w:vAlign w:val="center"/>
          </w:tcPr>
          <w:p w14:paraId="56B9F41B">
            <w:pPr>
              <w:snapToGrid w:val="0"/>
              <w:spacing w:line="360" w:lineRule="auto"/>
              <w:rPr>
                <w:rFonts w:ascii="宋体" w:hAnsi="宋体" w:cs="宋体"/>
                <w:szCs w:val="21"/>
              </w:rPr>
            </w:pPr>
            <w:r>
              <w:rPr>
                <w:rFonts w:hint="eastAsia" w:ascii="宋体" w:hAnsi="宋体" w:cs="宋体"/>
                <w:szCs w:val="21"/>
              </w:rPr>
              <w:t>商务要求评审中允许负偏离的条款数为:</w:t>
            </w:r>
            <w:r>
              <w:rPr>
                <w:rFonts w:hint="eastAsia" w:ascii="宋体" w:hAnsi="宋体" w:cs="宋体"/>
                <w:szCs w:val="21"/>
                <w:u w:val="single"/>
              </w:rPr>
              <w:t xml:space="preserve"> </w:t>
            </w:r>
            <w:r>
              <w:rPr>
                <w:rFonts w:ascii="宋体" w:hAnsi="宋体" w:cs="宋体"/>
                <w:szCs w:val="21"/>
                <w:u w:val="single"/>
              </w:rPr>
              <w:t>0</w:t>
            </w:r>
            <w:r>
              <w:rPr>
                <w:rFonts w:hint="eastAsia" w:ascii="宋体" w:hAnsi="宋体" w:cs="宋体"/>
                <w:szCs w:val="21"/>
                <w:u w:val="single"/>
              </w:rPr>
              <w:t xml:space="preserve"> </w:t>
            </w:r>
            <w:r>
              <w:rPr>
                <w:rFonts w:hint="eastAsia" w:ascii="宋体" w:hAnsi="宋体" w:cs="宋体"/>
                <w:szCs w:val="21"/>
              </w:rPr>
              <w:t>项。</w:t>
            </w:r>
          </w:p>
          <w:p w14:paraId="6DDD2DA7">
            <w:pPr>
              <w:snapToGrid w:val="0"/>
              <w:spacing w:line="360" w:lineRule="auto"/>
              <w:rPr>
                <w:rFonts w:ascii="宋体" w:hAnsi="宋体" w:cs="宋体"/>
                <w:szCs w:val="21"/>
              </w:rPr>
            </w:pPr>
            <w:r>
              <w:rPr>
                <w:rFonts w:hint="eastAsia" w:ascii="宋体" w:hAnsi="宋体" w:cs="宋体"/>
                <w:szCs w:val="21"/>
              </w:rPr>
              <w:t>技术（服务）要求评审中允许负偏离的条款数为:</w:t>
            </w:r>
            <w:r>
              <w:rPr>
                <w:rFonts w:hint="eastAsia" w:ascii="宋体" w:hAnsi="宋体" w:cs="宋体"/>
                <w:szCs w:val="21"/>
                <w:u w:val="single"/>
              </w:rPr>
              <w:t>详见采购</w:t>
            </w:r>
            <w:r>
              <w:rPr>
                <w:rFonts w:ascii="宋体" w:hAnsi="宋体" w:cs="宋体"/>
                <w:szCs w:val="21"/>
                <w:u w:val="single"/>
              </w:rPr>
              <w:t>需求</w:t>
            </w:r>
            <w:r>
              <w:rPr>
                <w:rFonts w:hint="eastAsia" w:ascii="宋体" w:hAnsi="宋体" w:cs="宋体"/>
                <w:szCs w:val="21"/>
              </w:rPr>
              <w:t>。</w:t>
            </w:r>
          </w:p>
        </w:tc>
      </w:tr>
      <w:tr w14:paraId="0AC944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8A9A832">
            <w:pPr>
              <w:spacing w:line="360" w:lineRule="auto"/>
              <w:jc w:val="center"/>
              <w:rPr>
                <w:rFonts w:ascii="宋体" w:hAnsi="宋体" w:cs="宋体"/>
                <w:szCs w:val="21"/>
              </w:rPr>
            </w:pPr>
            <w:r>
              <w:rPr>
                <w:rFonts w:ascii="宋体" w:hAnsi="宋体" w:cs="宋体"/>
                <w:szCs w:val="21"/>
              </w:rPr>
              <w:t>28.1</w:t>
            </w:r>
          </w:p>
        </w:tc>
        <w:tc>
          <w:tcPr>
            <w:tcW w:w="7912" w:type="dxa"/>
            <w:vAlign w:val="center"/>
          </w:tcPr>
          <w:p w14:paraId="6F2EFEC8">
            <w:pPr>
              <w:autoSpaceDE w:val="0"/>
              <w:autoSpaceDN w:val="0"/>
              <w:snapToGrid w:val="0"/>
              <w:spacing w:line="360" w:lineRule="auto"/>
              <w:textAlignment w:val="bottom"/>
              <w:rPr>
                <w:rFonts w:ascii="宋体" w:hAnsi="宋体"/>
                <w:szCs w:val="21"/>
              </w:rPr>
            </w:pPr>
            <w:r>
              <w:rPr>
                <w:rFonts w:hint="eastAsia" w:ascii="宋体" w:hAnsi="宋体"/>
                <w:szCs w:val="21"/>
              </w:rPr>
              <w:t>□本项目不收取履约保证金。</w:t>
            </w:r>
          </w:p>
          <w:p w14:paraId="6278A300">
            <w:pPr>
              <w:snapToGrid w:val="0"/>
              <w:spacing w:line="360" w:lineRule="auto"/>
              <w:rPr>
                <w:rFonts w:ascii="宋体" w:hAnsi="宋体" w:cs="宋体"/>
                <w:szCs w:val="21"/>
              </w:rPr>
            </w:pPr>
            <w:r>
              <w:rPr>
                <w:rFonts w:ascii="Segoe UI Symbol" w:hAnsi="Segoe UI Symbol" w:cs="Segoe UI Symbol"/>
                <w:szCs w:val="21"/>
              </w:rPr>
              <w:t>☑</w:t>
            </w:r>
            <w:r>
              <w:rPr>
                <w:rFonts w:hint="eastAsia" w:ascii="宋体" w:hAnsi="宋体"/>
                <w:szCs w:val="21"/>
              </w:rPr>
              <w:t>本</w:t>
            </w:r>
            <w:r>
              <w:rPr>
                <w:rFonts w:hint="eastAsia" w:ascii="宋体" w:hAnsi="宋体" w:cs="宋体"/>
                <w:szCs w:val="21"/>
              </w:rPr>
              <w:t>项目收取履约保证金，具体规定如下：</w:t>
            </w:r>
          </w:p>
          <w:p w14:paraId="192535DC">
            <w:pPr>
              <w:snapToGrid w:val="0"/>
              <w:spacing w:line="360" w:lineRule="auto"/>
              <w:rPr>
                <w:rFonts w:ascii="宋体" w:hAnsi="宋体" w:cs="宋体"/>
                <w:szCs w:val="21"/>
              </w:rPr>
            </w:pPr>
            <w:r>
              <w:rPr>
                <w:rFonts w:hint="eastAsia" w:ascii="宋体" w:hAnsi="宋体" w:cs="宋体"/>
                <w:szCs w:val="21"/>
              </w:rPr>
              <w:t>履约保证金金额：履约保证金按成交金额的5%，如成交供应商为中小企业的，履约保证金按成交金额的2%。</w:t>
            </w:r>
          </w:p>
          <w:p w14:paraId="286A0C03">
            <w:pPr>
              <w:snapToGrid w:val="0"/>
              <w:spacing w:line="360" w:lineRule="auto"/>
              <w:rPr>
                <w:rFonts w:ascii="宋体" w:hAnsi="宋体" w:cs="宋体"/>
                <w:szCs w:val="21"/>
              </w:rPr>
            </w:pPr>
            <w:r>
              <w:rPr>
                <w:rFonts w:hint="eastAsia" w:ascii="宋体" w:hAnsi="宋体" w:cs="宋体"/>
                <w:szCs w:val="21"/>
              </w:rPr>
              <w:t>履约保证金递交方式及时限：供应商必须在成交通知书发出后25日内且必须在签订合同前以银行转账、支票、汇票、本票或者金融、担保机构出具的保函（包含电子保函）等非现金方式向采购人交纳履约保证金，否则，不予签订合同。</w:t>
            </w:r>
          </w:p>
          <w:p w14:paraId="4EA6B56D">
            <w:pPr>
              <w:snapToGrid w:val="0"/>
              <w:spacing w:line="360" w:lineRule="auto"/>
              <w:rPr>
                <w:rFonts w:ascii="宋体" w:hAnsi="宋体" w:cs="宋体"/>
                <w:szCs w:val="21"/>
              </w:rPr>
            </w:pPr>
            <w:r>
              <w:rPr>
                <w:rFonts w:hint="eastAsia" w:ascii="宋体" w:hAnsi="宋体" w:cs="宋体"/>
                <w:szCs w:val="21"/>
              </w:rPr>
              <w:t>履约保证金退付方式、时间及条件：</w:t>
            </w:r>
          </w:p>
          <w:p w14:paraId="234CB25C">
            <w:pPr>
              <w:snapToGrid w:val="0"/>
              <w:spacing w:line="360" w:lineRule="auto"/>
              <w:rPr>
                <w:rFonts w:ascii="宋体" w:hAnsi="宋体" w:cs="宋体"/>
                <w:szCs w:val="21"/>
              </w:rPr>
            </w:pPr>
            <w:r>
              <w:rPr>
                <w:rFonts w:hint="eastAsia" w:ascii="宋体" w:hAnsi="宋体" w:cs="宋体"/>
                <w:szCs w:val="21"/>
              </w:rPr>
              <w:t>（1）履约保证金在成交供应商按合同约定履行合同后，由成交供应商凭《广西壮族自治区政府采购项目合同验收书》（详见附件1）向采购人申请办理履约保证金退还手续，采购人在收到合格材料后5个工作日内以银行转账方式如数退还（不计利息）。</w:t>
            </w:r>
          </w:p>
          <w:p w14:paraId="59761CCA">
            <w:pPr>
              <w:snapToGrid w:val="0"/>
              <w:spacing w:line="360" w:lineRule="auto"/>
              <w:rPr>
                <w:rFonts w:ascii="宋体" w:hAnsi="宋体" w:cs="宋体"/>
                <w:szCs w:val="21"/>
              </w:rPr>
            </w:pPr>
            <w:r>
              <w:rPr>
                <w:rFonts w:hint="eastAsia" w:ascii="宋体" w:hAnsi="宋体" w:cs="宋体"/>
                <w:szCs w:val="21"/>
              </w:rPr>
              <w:t>（2）在履约保证金退还日期前，若成交供应商的开户名称、开户银行、账号有变动的，请以书面形式通知履约保证金收取单位，否则由此产生的后果由成交供应商自负。</w:t>
            </w:r>
          </w:p>
          <w:p w14:paraId="53DFF8D7">
            <w:pPr>
              <w:snapToGrid w:val="0"/>
              <w:spacing w:line="360" w:lineRule="auto"/>
              <w:rPr>
                <w:rFonts w:ascii="宋体" w:hAnsi="宋体" w:cs="宋体"/>
                <w:szCs w:val="21"/>
              </w:rPr>
            </w:pPr>
            <w:r>
              <w:rPr>
                <w:rFonts w:hint="eastAsia" w:ascii="宋体" w:hAnsi="宋体" w:cs="宋体"/>
                <w:szCs w:val="21"/>
              </w:rPr>
              <w:t>（3）成交供应商在签订合同后存在违约情形的，履约保证金不予退还。履约保证金不足以赔偿损失的，按实际损失赔偿。</w:t>
            </w:r>
          </w:p>
          <w:p w14:paraId="4A90B4C3">
            <w:pPr>
              <w:snapToGrid w:val="0"/>
              <w:spacing w:line="360" w:lineRule="auto"/>
              <w:rPr>
                <w:rFonts w:ascii="宋体" w:hAnsi="宋体" w:cs="宋体"/>
                <w:szCs w:val="21"/>
              </w:rPr>
            </w:pPr>
            <w:r>
              <w:rPr>
                <w:rFonts w:hint="eastAsia" w:ascii="宋体" w:hAnsi="宋体" w:cs="宋体"/>
                <w:szCs w:val="21"/>
              </w:rPr>
              <w:t>履约保证金指定账户：</w:t>
            </w:r>
          </w:p>
          <w:p w14:paraId="4B12FBCE">
            <w:pPr>
              <w:snapToGrid w:val="0"/>
              <w:spacing w:line="360" w:lineRule="auto"/>
              <w:rPr>
                <w:rFonts w:ascii="宋体" w:hAnsi="宋体" w:cs="宋体"/>
                <w:szCs w:val="21"/>
              </w:rPr>
            </w:pPr>
            <w:r>
              <w:rPr>
                <w:rFonts w:hint="eastAsia" w:ascii="宋体" w:hAnsi="宋体" w:cs="宋体"/>
                <w:szCs w:val="21"/>
              </w:rPr>
              <w:t>开户名称：广西师范大学</w:t>
            </w:r>
          </w:p>
          <w:p w14:paraId="77708427">
            <w:pPr>
              <w:snapToGrid w:val="0"/>
              <w:spacing w:line="360" w:lineRule="auto"/>
              <w:rPr>
                <w:rFonts w:ascii="宋体" w:hAnsi="宋体" w:cs="宋体"/>
                <w:szCs w:val="21"/>
              </w:rPr>
            </w:pPr>
            <w:r>
              <w:rPr>
                <w:rFonts w:hint="eastAsia" w:ascii="宋体" w:hAnsi="宋体" w:cs="宋体"/>
                <w:szCs w:val="21"/>
              </w:rPr>
              <w:t>开户银行：中国工商银行股份有限公司桂林市高新科技支行</w:t>
            </w:r>
          </w:p>
          <w:p w14:paraId="0812B4D4">
            <w:pPr>
              <w:snapToGrid w:val="0"/>
              <w:spacing w:line="360" w:lineRule="auto"/>
              <w:rPr>
                <w:rFonts w:ascii="宋体" w:hAnsi="宋体" w:cs="宋体"/>
                <w:szCs w:val="21"/>
              </w:rPr>
            </w:pPr>
            <w:r>
              <w:rPr>
                <w:rFonts w:hint="eastAsia" w:ascii="宋体" w:hAnsi="宋体" w:cs="宋体"/>
                <w:szCs w:val="21"/>
              </w:rPr>
              <w:t>账号：2103215109264004618</w:t>
            </w:r>
          </w:p>
          <w:p w14:paraId="0552D28A">
            <w:pPr>
              <w:autoSpaceDE w:val="0"/>
              <w:autoSpaceDN w:val="0"/>
              <w:snapToGrid w:val="0"/>
              <w:spacing w:line="360" w:lineRule="auto"/>
              <w:textAlignment w:val="bottom"/>
              <w:rPr>
                <w:rFonts w:hint="eastAsia" w:ascii="宋体" w:hAnsi="宋体"/>
                <w:b/>
                <w:bCs/>
                <w:szCs w:val="21"/>
              </w:rPr>
            </w:pPr>
            <w:r>
              <w:rPr>
                <w:rFonts w:hint="eastAsia" w:ascii="宋体" w:hAnsi="宋体"/>
                <w:b/>
                <w:bCs/>
                <w:szCs w:val="21"/>
              </w:rPr>
              <w:t>备注：</w:t>
            </w:r>
          </w:p>
          <w:p w14:paraId="273B727A">
            <w:pPr>
              <w:autoSpaceDE w:val="0"/>
              <w:autoSpaceDN w:val="0"/>
              <w:snapToGrid w:val="0"/>
              <w:spacing w:line="360" w:lineRule="auto"/>
              <w:textAlignment w:val="bottom"/>
              <w:rPr>
                <w:rFonts w:ascii="宋体" w:hAnsi="宋体" w:cs="宋体"/>
                <w:szCs w:val="21"/>
              </w:rPr>
            </w:pPr>
            <w:r>
              <w:rPr>
                <w:rFonts w:hint="eastAsia" w:ascii="宋体" w:hAnsi="宋体"/>
                <w:b/>
                <w:bCs/>
                <w:szCs w:val="21"/>
              </w:rPr>
              <w:t>履约保证金不足额缴纳的（包含保函、电子保函额度不足的），或者不按规定提交方式提交的，或者保函（包含电子保函）有效期低于合同履行期限（即合同中规定的当事人履行自己的义务，如交付标的物、价款或者报酬，履行劳务、完成工作的时间界限）的，不予签订合同。</w:t>
            </w:r>
          </w:p>
        </w:tc>
      </w:tr>
      <w:tr w14:paraId="08C5E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E368792">
            <w:pPr>
              <w:spacing w:line="360" w:lineRule="auto"/>
              <w:jc w:val="center"/>
              <w:rPr>
                <w:rFonts w:ascii="宋体" w:hAnsi="宋体" w:cs="宋体"/>
                <w:szCs w:val="21"/>
              </w:rPr>
            </w:pPr>
            <w:r>
              <w:rPr>
                <w:rFonts w:ascii="宋体" w:hAnsi="宋体" w:cs="宋体"/>
                <w:szCs w:val="21"/>
              </w:rPr>
              <w:t>29.1</w:t>
            </w:r>
          </w:p>
        </w:tc>
        <w:tc>
          <w:tcPr>
            <w:tcW w:w="7912" w:type="dxa"/>
            <w:vAlign w:val="center"/>
          </w:tcPr>
          <w:p w14:paraId="4CE2C437">
            <w:pPr>
              <w:autoSpaceDE w:val="0"/>
              <w:autoSpaceDN w:val="0"/>
              <w:snapToGrid w:val="0"/>
              <w:spacing w:line="360" w:lineRule="auto"/>
              <w:textAlignment w:val="bottom"/>
              <w:rPr>
                <w:rFonts w:ascii="宋体" w:hAnsi="宋体"/>
                <w:szCs w:val="21"/>
              </w:rPr>
            </w:pPr>
            <w:r>
              <w:rPr>
                <w:rFonts w:hint="eastAsia" w:ascii="宋体" w:hAnsi="宋体"/>
                <w:szCs w:val="21"/>
              </w:rPr>
              <w:t xml:space="preserve">签订合同携带的证明材料： </w:t>
            </w:r>
          </w:p>
          <w:p w14:paraId="2E38D45B">
            <w:pPr>
              <w:autoSpaceDE w:val="0"/>
              <w:autoSpaceDN w:val="0"/>
              <w:snapToGrid w:val="0"/>
              <w:spacing w:line="360" w:lineRule="auto"/>
              <w:textAlignment w:val="bottom"/>
              <w:rPr>
                <w:rFonts w:ascii="宋体" w:hAnsi="宋体"/>
                <w:szCs w:val="21"/>
              </w:rPr>
            </w:pPr>
            <w:r>
              <w:rPr>
                <w:rFonts w:hint="eastAsia" w:ascii="宋体" w:hAnsi="宋体"/>
                <w:szCs w:val="21"/>
              </w:rPr>
              <w:t>委托代理人负责签订合同的，须携带授权委托书及委托代理人身份证原件等其他资格证件。</w:t>
            </w:r>
          </w:p>
          <w:p w14:paraId="5FDF3487">
            <w:pPr>
              <w:snapToGrid w:val="0"/>
              <w:spacing w:line="360" w:lineRule="auto"/>
              <w:rPr>
                <w:rFonts w:ascii="宋体" w:hAnsi="宋体" w:cs="宋体"/>
                <w:szCs w:val="21"/>
              </w:rPr>
            </w:pPr>
            <w:r>
              <w:rPr>
                <w:rFonts w:hint="eastAsia" w:ascii="宋体" w:hAnsi="宋体"/>
                <w:szCs w:val="21"/>
              </w:rPr>
              <w:t>法定代表人负责签订合同的，须携带法定代表人</w:t>
            </w:r>
            <w:r>
              <w:rPr>
                <w:rFonts w:ascii="宋体" w:hAnsi="宋体"/>
                <w:szCs w:val="21"/>
              </w:rPr>
              <w:t>身份证明原件</w:t>
            </w:r>
            <w:r>
              <w:rPr>
                <w:rFonts w:hint="eastAsia" w:ascii="宋体" w:hAnsi="宋体"/>
                <w:szCs w:val="21"/>
              </w:rPr>
              <w:t>及</w:t>
            </w:r>
            <w:r>
              <w:rPr>
                <w:rFonts w:ascii="宋体" w:hAnsi="宋体"/>
                <w:szCs w:val="21"/>
              </w:rPr>
              <w:t>身份证原件</w:t>
            </w:r>
            <w:r>
              <w:rPr>
                <w:rFonts w:hint="eastAsia" w:ascii="宋体" w:hAnsi="宋体"/>
                <w:szCs w:val="21"/>
              </w:rPr>
              <w:t>等其他证明材料。</w:t>
            </w:r>
          </w:p>
        </w:tc>
      </w:tr>
      <w:tr w14:paraId="5661A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10D9D95">
            <w:pPr>
              <w:spacing w:line="360" w:lineRule="auto"/>
              <w:jc w:val="center"/>
              <w:rPr>
                <w:rFonts w:ascii="宋体" w:hAnsi="宋体" w:cs="宋体"/>
                <w:szCs w:val="21"/>
              </w:rPr>
            </w:pPr>
            <w:r>
              <w:rPr>
                <w:rFonts w:hint="eastAsia" w:ascii="宋体" w:hAnsi="宋体" w:cs="宋体"/>
                <w:szCs w:val="21"/>
              </w:rPr>
              <w:t>3</w:t>
            </w:r>
            <w:r>
              <w:rPr>
                <w:rFonts w:ascii="宋体" w:hAnsi="宋体" w:cs="宋体"/>
                <w:szCs w:val="21"/>
              </w:rPr>
              <w:t>1.2</w:t>
            </w:r>
          </w:p>
        </w:tc>
        <w:tc>
          <w:tcPr>
            <w:tcW w:w="7912" w:type="dxa"/>
            <w:vAlign w:val="center"/>
          </w:tcPr>
          <w:p w14:paraId="20574224">
            <w:pPr>
              <w:snapToGrid w:val="0"/>
              <w:spacing w:line="360" w:lineRule="auto"/>
              <w:rPr>
                <w:rFonts w:ascii="宋体" w:hAnsi="宋体" w:cs="宋体"/>
                <w:szCs w:val="21"/>
              </w:rPr>
            </w:pPr>
            <w:r>
              <w:rPr>
                <w:rFonts w:hint="eastAsia" w:ascii="宋体" w:hAnsi="宋体" w:cs="宋体"/>
                <w:szCs w:val="21"/>
              </w:rPr>
              <w:t>接收质疑函方式：以书面形式。</w:t>
            </w:r>
          </w:p>
          <w:p w14:paraId="0FBA1876">
            <w:pPr>
              <w:autoSpaceDE w:val="0"/>
              <w:autoSpaceDN w:val="0"/>
              <w:snapToGrid w:val="0"/>
              <w:spacing w:line="360" w:lineRule="auto"/>
              <w:textAlignment w:val="bottom"/>
              <w:rPr>
                <w:rFonts w:ascii="宋体" w:hAnsi="宋体" w:cs="宋体"/>
              </w:rPr>
            </w:pPr>
            <w:r>
              <w:rPr>
                <w:rFonts w:hint="eastAsia" w:ascii="宋体" w:hAnsi="宋体" w:cs="宋体"/>
              </w:rPr>
              <w:t>质疑联系部门：</w:t>
            </w:r>
            <w:r>
              <w:rPr>
                <w:rFonts w:hint="eastAsia" w:ascii="宋体" w:hAnsi="宋体" w:cs="宋体"/>
                <w:szCs w:val="21"/>
              </w:rPr>
              <w:t>广西嘉华建设项目管理咨询有限公司，联系人：秦工，联系电话：</w:t>
            </w:r>
            <w:r>
              <w:rPr>
                <w:rFonts w:ascii="宋体" w:hAnsi="宋体" w:cs="宋体"/>
                <w:szCs w:val="21"/>
              </w:rPr>
              <w:t>0773-2829198</w:t>
            </w:r>
            <w:r>
              <w:rPr>
                <w:rFonts w:hint="eastAsia" w:ascii="宋体" w:hAnsi="宋体" w:cs="宋体"/>
                <w:szCs w:val="21"/>
              </w:rPr>
              <w:t>。通讯地址：广西桂林市临桂区青莲路建设大厦南楼十五楼</w:t>
            </w:r>
          </w:p>
          <w:p w14:paraId="75EEF2EB">
            <w:pPr>
              <w:autoSpaceDE w:val="0"/>
              <w:autoSpaceDN w:val="0"/>
              <w:snapToGrid w:val="0"/>
              <w:spacing w:line="360" w:lineRule="auto"/>
              <w:textAlignment w:val="bottom"/>
              <w:rPr>
                <w:rFonts w:ascii="宋体" w:hAnsi="宋体"/>
                <w:szCs w:val="21"/>
              </w:rPr>
            </w:pPr>
            <w:r>
              <w:rPr>
                <w:rFonts w:hint="eastAsia" w:ascii="宋体" w:hAnsi="宋体" w:cs="宋体"/>
              </w:rPr>
              <w:t>业务时间：上午9时00分到12时00分，下午1时00分到5时00分，双休日和法定节假日不办理业务。</w:t>
            </w:r>
          </w:p>
        </w:tc>
      </w:tr>
      <w:tr w14:paraId="70B77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B7700C4">
            <w:pPr>
              <w:spacing w:line="360" w:lineRule="auto"/>
              <w:jc w:val="center"/>
              <w:rPr>
                <w:rFonts w:ascii="宋体" w:hAnsi="宋体" w:cs="宋体"/>
                <w:szCs w:val="21"/>
              </w:rPr>
            </w:pPr>
            <w:r>
              <w:rPr>
                <w:rFonts w:hint="eastAsia" w:ascii="宋体" w:hAnsi="宋体" w:cs="宋体"/>
                <w:szCs w:val="21"/>
              </w:rPr>
              <w:t>32</w:t>
            </w:r>
          </w:p>
        </w:tc>
        <w:tc>
          <w:tcPr>
            <w:tcW w:w="7912" w:type="dxa"/>
            <w:vAlign w:val="center"/>
          </w:tcPr>
          <w:p w14:paraId="7D4611BF">
            <w:pPr>
              <w:pStyle w:val="18"/>
              <w:snapToGrid w:val="0"/>
              <w:spacing w:line="360" w:lineRule="auto"/>
              <w:rPr>
                <w:rFonts w:hAnsi="宋体" w:cs="宋体"/>
                <w:sz w:val="21"/>
              </w:rPr>
            </w:pPr>
            <w:r>
              <w:rPr>
                <w:rFonts w:hint="eastAsia" w:hAnsi="宋体" w:cs="宋体"/>
                <w:sz w:val="21"/>
              </w:rPr>
              <w:t>1.采购代理费支付方式：</w:t>
            </w:r>
          </w:p>
          <w:p w14:paraId="6135A81B">
            <w:pPr>
              <w:pStyle w:val="18"/>
              <w:snapToGrid w:val="0"/>
              <w:spacing w:line="360" w:lineRule="auto"/>
              <w:rPr>
                <w:rFonts w:hAnsi="宋体" w:cs="宋体"/>
                <w:sz w:val="21"/>
              </w:rPr>
            </w:pPr>
            <w:r>
              <w:rPr>
                <w:rFonts w:ascii="Segoe UI Symbol" w:hAnsi="Segoe UI Symbol" w:cs="Segoe UI Symbol"/>
              </w:rPr>
              <w:t>☑</w:t>
            </w:r>
            <w:r>
              <w:rPr>
                <w:rFonts w:hint="eastAsia" w:hAnsi="宋体"/>
                <w:sz w:val="21"/>
              </w:rPr>
              <w:t>本项目代理服务费</w:t>
            </w:r>
            <w:r>
              <w:rPr>
                <w:rFonts w:hint="eastAsia" w:hAnsi="宋体" w:cs="宋体"/>
                <w:sz w:val="21"/>
              </w:rPr>
              <w:t>按签订的采购代理协议</w:t>
            </w:r>
            <w:r>
              <w:rPr>
                <w:rFonts w:hint="eastAsia" w:hAnsi="宋体"/>
                <w:sz w:val="21"/>
              </w:rPr>
              <w:t>由成交供应商</w:t>
            </w:r>
            <w:r>
              <w:rPr>
                <w:rFonts w:hint="eastAsia" w:hAnsi="宋体" w:cs="宋体"/>
                <w:sz w:val="21"/>
              </w:rPr>
              <w:t>在成交公告发布之日起5个工作日内</w:t>
            </w:r>
            <w:r>
              <w:rPr>
                <w:rFonts w:hint="eastAsia" w:hAnsi="宋体"/>
                <w:sz w:val="21"/>
              </w:rPr>
              <w:t>，一次性向采购代理机构支付。</w:t>
            </w:r>
          </w:p>
          <w:p w14:paraId="6C483F51">
            <w:pPr>
              <w:pStyle w:val="18"/>
              <w:snapToGrid w:val="0"/>
              <w:spacing w:line="360" w:lineRule="auto"/>
              <w:rPr>
                <w:rFonts w:hAnsi="宋体" w:cs="宋体"/>
                <w:sz w:val="21"/>
              </w:rPr>
            </w:pPr>
            <w:r>
              <w:rPr>
                <w:rFonts w:hint="eastAsia" w:hAnsi="宋体" w:cs="宋体"/>
                <w:sz w:val="21"/>
              </w:rPr>
              <w:t>2.采购代理费收取标准：</w:t>
            </w:r>
          </w:p>
          <w:p w14:paraId="757A17D6">
            <w:pPr>
              <w:pStyle w:val="18"/>
              <w:snapToGrid w:val="0"/>
              <w:spacing w:line="360" w:lineRule="auto"/>
              <w:rPr>
                <w:rFonts w:hAnsi="宋体" w:cs="宋体"/>
                <w:sz w:val="21"/>
              </w:rPr>
            </w:pPr>
            <w:r>
              <w:rPr>
                <w:rFonts w:ascii="Segoe UI Symbol" w:hAnsi="Segoe UI Symbol" w:cs="Segoe UI Symbol"/>
                <w:sz w:val="21"/>
              </w:rPr>
              <w:t>☑</w:t>
            </w:r>
            <w:r>
              <w:rPr>
                <w:rFonts w:hint="eastAsia" w:hAnsi="宋体"/>
                <w:sz w:val="21"/>
              </w:rPr>
              <w:t>按成交金额为计费额，以费率</w:t>
            </w:r>
            <w:r>
              <w:rPr>
                <w:rFonts w:hAnsi="宋体"/>
                <w:sz w:val="21"/>
              </w:rPr>
              <w:t>1.5%</w:t>
            </w:r>
            <w:r>
              <w:rPr>
                <w:rFonts w:hint="eastAsia" w:hAnsi="宋体"/>
                <w:sz w:val="21"/>
              </w:rPr>
              <w:t>为基数下浮</w:t>
            </w:r>
            <w:r>
              <w:rPr>
                <w:rFonts w:hAnsi="宋体"/>
                <w:sz w:val="21"/>
              </w:rPr>
              <w:t>60%</w:t>
            </w:r>
            <w:r>
              <w:rPr>
                <w:rFonts w:hint="eastAsia" w:hAnsi="宋体"/>
                <w:sz w:val="21"/>
              </w:rPr>
              <w:t>计算【计算公式即：成交金额×</w:t>
            </w:r>
            <w:r>
              <w:rPr>
                <w:rFonts w:hAnsi="宋体"/>
                <w:sz w:val="21"/>
              </w:rPr>
              <w:t>1.5%</w:t>
            </w:r>
            <w:r>
              <w:rPr>
                <w:rFonts w:hint="eastAsia" w:hAnsi="宋体"/>
                <w:sz w:val="21"/>
              </w:rPr>
              <w:t>×（</w:t>
            </w:r>
            <w:r>
              <w:rPr>
                <w:rFonts w:hAnsi="宋体"/>
                <w:sz w:val="21"/>
              </w:rPr>
              <w:t>1-60%</w:t>
            </w:r>
            <w:r>
              <w:rPr>
                <w:rFonts w:hint="eastAsia" w:hAnsi="宋体"/>
                <w:sz w:val="21"/>
              </w:rPr>
              <w:t>）】</w:t>
            </w:r>
            <w:r>
              <w:rPr>
                <w:rFonts w:hint="eastAsia" w:hAnsi="宋体" w:cs="宋体"/>
                <w:sz w:val="21"/>
              </w:rPr>
              <w:t>。</w:t>
            </w:r>
          </w:p>
          <w:p w14:paraId="7496974A">
            <w:pPr>
              <w:pStyle w:val="18"/>
              <w:snapToGrid w:val="0"/>
              <w:spacing w:line="360" w:lineRule="auto"/>
              <w:rPr>
                <w:rFonts w:hAnsi="宋体" w:cs="宋体"/>
                <w:sz w:val="21"/>
                <w:u w:val="single"/>
              </w:rPr>
            </w:pPr>
            <w:r>
              <w:rPr>
                <w:rFonts w:hint="eastAsia" w:hAnsi="宋体" w:cs="宋体"/>
                <w:sz w:val="21"/>
              </w:rPr>
              <w:t>□固定采购代理收费</w:t>
            </w:r>
            <w:r>
              <w:rPr>
                <w:rFonts w:hint="eastAsia" w:hAnsi="宋体" w:cs="宋体"/>
                <w:sz w:val="21"/>
                <w:u w:val="single"/>
              </w:rPr>
              <w:t xml:space="preserve">     \         </w:t>
            </w:r>
            <w:r>
              <w:rPr>
                <w:rFonts w:hint="eastAsia" w:hAnsi="宋体" w:cs="宋体"/>
                <w:sz w:val="21"/>
              </w:rPr>
              <w:t>。</w:t>
            </w:r>
          </w:p>
          <w:p w14:paraId="799FB34C">
            <w:pPr>
              <w:pStyle w:val="18"/>
              <w:snapToGrid w:val="0"/>
              <w:spacing w:line="360" w:lineRule="auto"/>
              <w:rPr>
                <w:rFonts w:hAnsi="宋体" w:cs="宋体"/>
                <w:sz w:val="21"/>
              </w:rPr>
            </w:pPr>
            <w:r>
              <w:rPr>
                <w:rFonts w:hint="eastAsia" w:hAnsi="宋体" w:cs="宋体"/>
                <w:sz w:val="21"/>
              </w:rPr>
              <w:t>3.采购代理费收取银行账户</w:t>
            </w:r>
          </w:p>
          <w:p w14:paraId="6C040E8B">
            <w:pPr>
              <w:pStyle w:val="18"/>
              <w:snapToGrid w:val="0"/>
              <w:spacing w:line="360" w:lineRule="auto"/>
              <w:rPr>
                <w:rFonts w:hint="eastAsia" w:hAnsi="宋体" w:cs="宋体"/>
                <w:sz w:val="21"/>
              </w:rPr>
            </w:pPr>
            <w:r>
              <w:rPr>
                <w:rFonts w:hint="eastAsia" w:hAnsi="宋体" w:cs="宋体"/>
                <w:sz w:val="21"/>
              </w:rPr>
              <w:t>开户名称：广西嘉华建设项目管理咨询有限公司临桂分公司</w:t>
            </w:r>
          </w:p>
          <w:p w14:paraId="54237642">
            <w:pPr>
              <w:pStyle w:val="18"/>
              <w:snapToGrid w:val="0"/>
              <w:spacing w:line="360" w:lineRule="auto"/>
              <w:rPr>
                <w:rFonts w:hint="eastAsia" w:hAnsi="宋体" w:cs="宋体"/>
                <w:sz w:val="21"/>
              </w:rPr>
            </w:pPr>
            <w:r>
              <w:rPr>
                <w:rFonts w:hint="eastAsia" w:hAnsi="宋体" w:cs="宋体"/>
                <w:sz w:val="21"/>
              </w:rPr>
              <w:t>开户银行：中国农业银行股份有限公司桂林榕山支行</w:t>
            </w:r>
          </w:p>
          <w:p w14:paraId="7516A7D2">
            <w:pPr>
              <w:pStyle w:val="18"/>
              <w:snapToGrid w:val="0"/>
              <w:spacing w:line="360" w:lineRule="auto"/>
              <w:rPr>
                <w:rFonts w:hAnsi="宋体" w:cs="宋体"/>
                <w:sz w:val="21"/>
              </w:rPr>
            </w:pPr>
            <w:r>
              <w:rPr>
                <w:rFonts w:hint="eastAsia" w:hAnsi="宋体" w:cs="宋体"/>
                <w:sz w:val="21"/>
              </w:rPr>
              <w:t>银行账号：20222401040005706</w:t>
            </w:r>
          </w:p>
        </w:tc>
      </w:tr>
      <w:tr w14:paraId="61D08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9725A9E">
            <w:pPr>
              <w:spacing w:line="360" w:lineRule="auto"/>
              <w:jc w:val="center"/>
              <w:rPr>
                <w:rFonts w:ascii="宋体" w:hAnsi="宋体" w:cs="宋体"/>
                <w:szCs w:val="21"/>
              </w:rPr>
            </w:pPr>
            <w:r>
              <w:rPr>
                <w:rFonts w:hint="eastAsia" w:ascii="宋体" w:hAnsi="宋体" w:cs="宋体"/>
                <w:szCs w:val="21"/>
              </w:rPr>
              <w:t>3</w:t>
            </w:r>
            <w:r>
              <w:rPr>
                <w:rFonts w:ascii="宋体" w:hAnsi="宋体" w:cs="宋体"/>
                <w:szCs w:val="21"/>
              </w:rPr>
              <w:t>3.1</w:t>
            </w:r>
          </w:p>
        </w:tc>
        <w:tc>
          <w:tcPr>
            <w:tcW w:w="7912" w:type="dxa"/>
            <w:vAlign w:val="center"/>
          </w:tcPr>
          <w:p w14:paraId="228C341B">
            <w:pPr>
              <w:pStyle w:val="18"/>
              <w:snapToGrid w:val="0"/>
              <w:spacing w:line="360" w:lineRule="auto"/>
              <w:rPr>
                <w:rFonts w:hAnsi="宋体" w:cs="宋体"/>
                <w:kern w:val="2"/>
                <w:sz w:val="21"/>
              </w:rPr>
            </w:pPr>
            <w:r>
              <w:rPr>
                <w:rFonts w:hint="eastAsia" w:hAnsi="宋体"/>
                <w:sz w:val="21"/>
              </w:rPr>
              <w:t>解释：</w:t>
            </w:r>
            <w:r>
              <w:rPr>
                <w:rFonts w:hAnsi="宋体"/>
                <w:sz w:val="21"/>
              </w:rPr>
              <w:t>构成本</w:t>
            </w:r>
            <w:r>
              <w:rPr>
                <w:rFonts w:hint="eastAsia" w:hAnsi="宋体"/>
                <w:sz w:val="21"/>
              </w:rPr>
              <w:t>磋商文件</w:t>
            </w:r>
            <w:r>
              <w:rPr>
                <w:rFonts w:hAnsi="宋体"/>
                <w:sz w:val="21"/>
              </w:rPr>
              <w:t>的各个组成文件应互为解释，互为说明；除</w:t>
            </w:r>
            <w:r>
              <w:rPr>
                <w:rFonts w:hint="eastAsia" w:hAnsi="宋体"/>
                <w:sz w:val="21"/>
              </w:rPr>
              <w:t>磋商文件</w:t>
            </w:r>
            <w:r>
              <w:rPr>
                <w:rFonts w:hAnsi="宋体"/>
                <w:sz w:val="21"/>
              </w:rPr>
              <w:t>中有特别规定外，仅适用于</w:t>
            </w:r>
            <w:r>
              <w:rPr>
                <w:rFonts w:hint="eastAsia" w:hAnsi="宋体"/>
                <w:sz w:val="21"/>
              </w:rPr>
              <w:t>竞标</w:t>
            </w:r>
            <w:r>
              <w:rPr>
                <w:rFonts w:hAnsi="宋体"/>
                <w:sz w:val="21"/>
              </w:rPr>
              <w:t>阶段的规定，按</w:t>
            </w:r>
            <w:r>
              <w:rPr>
                <w:rFonts w:hint="eastAsia" w:hAnsi="宋体"/>
                <w:sz w:val="21"/>
              </w:rPr>
              <w:t>更正公告（澄清公告）</w:t>
            </w:r>
            <w:r>
              <w:rPr>
                <w:rFonts w:hAnsi="宋体"/>
                <w:sz w:val="21"/>
              </w:rPr>
              <w:t>、</w:t>
            </w:r>
            <w:r>
              <w:rPr>
                <w:rFonts w:hint="eastAsia" w:hAnsi="宋体"/>
                <w:sz w:val="21"/>
              </w:rPr>
              <w:t>竞争性磋商</w:t>
            </w:r>
            <w:r>
              <w:rPr>
                <w:rFonts w:hAnsi="宋体"/>
                <w:sz w:val="21"/>
              </w:rPr>
              <w:t>公告、</w:t>
            </w:r>
            <w:r>
              <w:rPr>
                <w:rFonts w:hint="eastAsia" w:hAnsi="宋体"/>
                <w:sz w:val="21"/>
              </w:rPr>
              <w:t>供应商</w:t>
            </w:r>
            <w:r>
              <w:rPr>
                <w:rFonts w:hAnsi="宋体"/>
                <w:sz w:val="21"/>
              </w:rPr>
              <w:t>须知</w:t>
            </w:r>
            <w:r>
              <w:rPr>
                <w:rFonts w:hint="eastAsia" w:hAnsi="宋体"/>
                <w:sz w:val="21"/>
              </w:rPr>
              <w:t>、采购需求</w:t>
            </w:r>
            <w:r>
              <w:rPr>
                <w:rFonts w:hAnsi="宋体"/>
                <w:sz w:val="21"/>
              </w:rPr>
              <w:t>、</w:t>
            </w:r>
            <w:r>
              <w:rPr>
                <w:rFonts w:hint="eastAsia" w:hAnsi="宋体"/>
                <w:sz w:val="21"/>
              </w:rPr>
              <w:t>评审程序、评审方法和评审标准</w:t>
            </w:r>
            <w:r>
              <w:rPr>
                <w:rFonts w:hAnsi="宋体"/>
                <w:sz w:val="21"/>
              </w:rPr>
              <w:t>、</w:t>
            </w:r>
            <w:r>
              <w:rPr>
                <w:rFonts w:hint="eastAsia" w:hAnsi="宋体"/>
                <w:sz w:val="21"/>
              </w:rPr>
              <w:t>响应</w:t>
            </w:r>
            <w:r>
              <w:rPr>
                <w:rFonts w:hAnsi="宋体"/>
                <w:sz w:val="21"/>
              </w:rPr>
              <w:t>文件格式</w:t>
            </w:r>
            <w:r>
              <w:rPr>
                <w:rFonts w:hint="eastAsia" w:hAnsi="宋体"/>
                <w:sz w:val="21"/>
              </w:rPr>
              <w:t>、合同文本</w:t>
            </w:r>
            <w:r>
              <w:rPr>
                <w:rFonts w:hAnsi="宋体"/>
                <w:sz w:val="21"/>
              </w:rPr>
              <w:t>的先后顺序解释；同一组成文件中就同一事项的规定或者约定不一致的，以编排顺序在后者为准；同一组成文件不同版本之间有不一致的，以形成时间在后者为准；</w:t>
            </w:r>
            <w:r>
              <w:rPr>
                <w:rFonts w:hint="eastAsia" w:hAnsi="宋体"/>
                <w:sz w:val="21"/>
              </w:rPr>
              <w:t>更正公告（澄清公告）</w:t>
            </w:r>
            <w:r>
              <w:rPr>
                <w:rFonts w:hAnsi="宋体"/>
                <w:sz w:val="21"/>
              </w:rPr>
              <w:t>与同步更新的</w:t>
            </w:r>
            <w:r>
              <w:rPr>
                <w:rFonts w:hint="eastAsia" w:hAnsi="宋体"/>
                <w:sz w:val="21"/>
              </w:rPr>
              <w:t>磋商文件</w:t>
            </w:r>
            <w:r>
              <w:rPr>
                <w:rFonts w:hAnsi="宋体"/>
                <w:sz w:val="21"/>
              </w:rPr>
              <w:t>不一致时以</w:t>
            </w:r>
            <w:r>
              <w:rPr>
                <w:rFonts w:hint="eastAsia" w:hAnsi="宋体"/>
                <w:sz w:val="21"/>
              </w:rPr>
              <w:t>更正公告（澄清公告）</w:t>
            </w:r>
            <w:r>
              <w:rPr>
                <w:rFonts w:hAnsi="宋体"/>
                <w:sz w:val="21"/>
              </w:rPr>
              <w:t>为准。按本款前述规定仍不能形成结论的，由</w:t>
            </w:r>
            <w:r>
              <w:rPr>
                <w:rFonts w:hint="eastAsia" w:hAnsi="宋体"/>
                <w:sz w:val="21"/>
              </w:rPr>
              <w:t>采购</w:t>
            </w:r>
            <w:r>
              <w:rPr>
                <w:rFonts w:hAnsi="宋体"/>
                <w:sz w:val="21"/>
              </w:rPr>
              <w:t>人</w:t>
            </w:r>
            <w:r>
              <w:rPr>
                <w:rFonts w:hint="eastAsia" w:hAnsi="宋体"/>
                <w:sz w:val="21"/>
              </w:rPr>
              <w:t>或者采购代理机构</w:t>
            </w:r>
            <w:r>
              <w:rPr>
                <w:rFonts w:hAnsi="宋体"/>
                <w:sz w:val="21"/>
              </w:rPr>
              <w:t>负责解释。</w:t>
            </w:r>
          </w:p>
        </w:tc>
      </w:tr>
      <w:tr w14:paraId="17431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F9D0922">
            <w:pPr>
              <w:spacing w:line="360" w:lineRule="auto"/>
              <w:jc w:val="center"/>
              <w:rPr>
                <w:rFonts w:ascii="宋体" w:hAnsi="宋体" w:cs="宋体"/>
                <w:szCs w:val="21"/>
              </w:rPr>
            </w:pPr>
            <w:r>
              <w:rPr>
                <w:rFonts w:hint="eastAsia" w:ascii="宋体" w:hAnsi="宋体" w:cs="宋体"/>
                <w:szCs w:val="21"/>
              </w:rPr>
              <w:t>3</w:t>
            </w:r>
            <w:r>
              <w:rPr>
                <w:rFonts w:ascii="宋体" w:hAnsi="宋体" w:cs="宋体"/>
                <w:szCs w:val="21"/>
              </w:rPr>
              <w:t>3.2</w:t>
            </w:r>
          </w:p>
        </w:tc>
        <w:tc>
          <w:tcPr>
            <w:tcW w:w="7912" w:type="dxa"/>
            <w:vAlign w:val="center"/>
          </w:tcPr>
          <w:p w14:paraId="0C70F835">
            <w:pPr>
              <w:pStyle w:val="18"/>
              <w:snapToGrid w:val="0"/>
              <w:spacing w:line="360" w:lineRule="auto"/>
              <w:rPr>
                <w:rFonts w:hAnsi="宋体" w:cs="宋体"/>
                <w:sz w:val="21"/>
              </w:rPr>
            </w:pPr>
            <w:r>
              <w:rPr>
                <w:rFonts w:hint="eastAsia" w:hAnsi="宋体" w:cs="宋体"/>
                <w:sz w:val="21"/>
              </w:rPr>
              <w:t>1.本磋商文件中描述供应商的“公章”是指根据我国对公章的管理规定，用供应商法定主体行为名称制作的印章，除本磋商文件有特殊规定外，供应商的其他形式印章均不能代替公章。</w:t>
            </w:r>
          </w:p>
          <w:p w14:paraId="57594B16">
            <w:pPr>
              <w:pStyle w:val="18"/>
              <w:snapToGrid w:val="0"/>
              <w:spacing w:line="360" w:lineRule="auto"/>
              <w:rPr>
                <w:rFonts w:hAnsi="宋体" w:cs="宋体"/>
                <w:sz w:val="21"/>
              </w:rPr>
            </w:pPr>
            <w:r>
              <w:rPr>
                <w:rFonts w:hint="eastAsia" w:hAnsi="宋体" w:cs="宋体"/>
                <w:bCs/>
                <w:sz w:val="21"/>
              </w:rPr>
              <w:t>2</w:t>
            </w:r>
            <w:r>
              <w:rPr>
                <w:rFonts w:hint="eastAsia" w:hAnsi="宋体" w:cs="宋体"/>
                <w:sz w:val="21"/>
              </w:rPr>
              <w:t>.本磋商文件所称的“电子签章”、“电子签名”，是指经广西政府采购云平台认可的CA认证的电子签名数据为表现形式的印章，可用于签署电子响应文件，电子印章与实物印章具有同等法律效力，不因其采用电子化表现形式而否定其法律效力。</w:t>
            </w:r>
          </w:p>
          <w:p w14:paraId="267ECD99">
            <w:pPr>
              <w:pStyle w:val="18"/>
              <w:snapToGrid w:val="0"/>
              <w:spacing w:line="360" w:lineRule="auto"/>
              <w:rPr>
                <w:rFonts w:hAnsi="宋体" w:cs="宋体"/>
                <w:bCs/>
                <w:sz w:val="21"/>
              </w:rPr>
            </w:pPr>
            <w:r>
              <w:rPr>
                <w:rFonts w:hAnsi="宋体" w:cs="宋体"/>
                <w:sz w:val="21"/>
              </w:rPr>
              <w:t>3</w:t>
            </w:r>
            <w:r>
              <w:rPr>
                <w:rFonts w:hint="eastAsia" w:hAnsi="宋体" w:cs="宋体"/>
                <w:sz w:val="21"/>
              </w:rPr>
              <w:t>.供应商为其他组织或者自然人时，本磋商文件规定的法定代表人指负责人或者自然人。本磋商文件所称负责人是指参加竞标的其他组织</w:t>
            </w:r>
            <w:r>
              <w:rPr>
                <w:rFonts w:hint="eastAsia" w:hAnsi="宋体" w:cs="宋体"/>
                <w:bCs/>
                <w:sz w:val="21"/>
              </w:rPr>
              <w:t>营业执照或者执业许可证等证照上</w:t>
            </w:r>
            <w:r>
              <w:rPr>
                <w:rFonts w:hint="eastAsia" w:hAnsi="宋体" w:cs="宋体"/>
                <w:sz w:val="21"/>
              </w:rPr>
              <w:t>的负责人，本磋商文件所称自然人指参与竞标的自然人本人，</w:t>
            </w:r>
            <w:r>
              <w:rPr>
                <w:rFonts w:hint="eastAsia" w:hAnsi="宋体" w:cs="宋体"/>
                <w:bCs/>
                <w:sz w:val="21"/>
              </w:rPr>
              <w:t>且应具备独立承担民事责任能力，自然人应当为年满18岁以上成年人（十六周岁以上的未成年人，以自己的劳动收入为主要生活来源的，视为完全民事行为能力人）。</w:t>
            </w:r>
          </w:p>
          <w:p w14:paraId="6AC5CF62">
            <w:pPr>
              <w:pStyle w:val="18"/>
              <w:snapToGrid w:val="0"/>
              <w:spacing w:line="360" w:lineRule="auto"/>
              <w:rPr>
                <w:rFonts w:hAnsi="宋体" w:cs="宋体"/>
                <w:sz w:val="21"/>
              </w:rPr>
            </w:pPr>
            <w:r>
              <w:rPr>
                <w:rFonts w:hAnsi="宋体" w:cs="宋体"/>
                <w:sz w:val="21"/>
              </w:rPr>
              <w:t>4.</w:t>
            </w:r>
            <w:r>
              <w:rPr>
                <w:rFonts w:hint="eastAsia" w:hAnsi="宋体" w:cs="宋体"/>
                <w:sz w:val="21"/>
              </w:rPr>
              <w:t>本磋商文件中描述供应商的“签字”是指供应商的法定代表人或者委托代理人亲自在文件规定签署处亲笔写上个人的名字的行为。</w:t>
            </w:r>
          </w:p>
          <w:p w14:paraId="673019A0">
            <w:pPr>
              <w:pStyle w:val="18"/>
              <w:snapToGrid w:val="0"/>
              <w:spacing w:line="360" w:lineRule="auto"/>
              <w:rPr>
                <w:rFonts w:hAnsi="宋体" w:cs="宋体"/>
                <w:sz w:val="21"/>
              </w:rPr>
            </w:pPr>
            <w:r>
              <w:rPr>
                <w:rFonts w:hAnsi="宋体" w:cs="宋体"/>
                <w:sz w:val="21"/>
              </w:rPr>
              <w:t>5.</w:t>
            </w:r>
            <w:r>
              <w:rPr>
                <w:rFonts w:hint="eastAsia" w:hAnsi="宋体" w:cs="宋体"/>
                <w:sz w:val="21"/>
              </w:rPr>
              <w:t>本磋商文件所称的“以上”“以下”“以内”“届满”，包括本数；所称的“不满”“超过”“以外”，不包括本数。</w:t>
            </w:r>
          </w:p>
        </w:tc>
      </w:tr>
      <w:tr w14:paraId="78095A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B3D2F05">
            <w:pPr>
              <w:spacing w:line="440" w:lineRule="exact"/>
              <w:jc w:val="center"/>
              <w:rPr>
                <w:rFonts w:ascii="宋体" w:hAnsi="宋体" w:cs="宋体"/>
                <w:szCs w:val="21"/>
              </w:rPr>
            </w:pPr>
            <w:r>
              <w:rPr>
                <w:rFonts w:hint="eastAsia" w:ascii="宋体" w:hAnsi="宋体" w:cs="宋体"/>
                <w:szCs w:val="21"/>
              </w:rPr>
              <w:t>34</w:t>
            </w:r>
          </w:p>
        </w:tc>
        <w:tc>
          <w:tcPr>
            <w:tcW w:w="7912" w:type="dxa"/>
            <w:vAlign w:val="center"/>
          </w:tcPr>
          <w:p w14:paraId="39EDF325">
            <w:pPr>
              <w:spacing w:line="360" w:lineRule="auto"/>
              <w:jc w:val="left"/>
              <w:rPr>
                <w:rFonts w:ascii="宋体" w:hAnsi="宋体" w:cs="宋体"/>
                <w:szCs w:val="21"/>
              </w:rPr>
            </w:pPr>
            <w:r>
              <w:rPr>
                <w:rFonts w:hint="eastAsia" w:ascii="宋体" w:hAnsi="宋体" w:cs="宋体"/>
                <w:szCs w:val="21"/>
              </w:rPr>
              <w:t>监督部门</w:t>
            </w:r>
          </w:p>
          <w:p w14:paraId="4FD380E8">
            <w:pPr>
              <w:spacing w:line="360" w:lineRule="auto"/>
              <w:jc w:val="left"/>
              <w:rPr>
                <w:rFonts w:ascii="宋体" w:hAnsi="宋体" w:cs="宋体"/>
                <w:szCs w:val="21"/>
              </w:rPr>
            </w:pPr>
            <w:r>
              <w:rPr>
                <w:rFonts w:hint="eastAsia" w:ascii="宋体" w:hAnsi="宋体" w:cs="宋体"/>
                <w:szCs w:val="21"/>
              </w:rPr>
              <w:t>名称：广西壮族自治区财政厅政府采购监督管理处</w:t>
            </w:r>
          </w:p>
          <w:p w14:paraId="612BB70B">
            <w:pPr>
              <w:spacing w:line="360" w:lineRule="auto"/>
              <w:jc w:val="left"/>
              <w:rPr>
                <w:rFonts w:hAnsi="宋体" w:cs="宋体"/>
              </w:rPr>
            </w:pPr>
            <w:r>
              <w:rPr>
                <w:rFonts w:hint="eastAsia" w:ascii="宋体" w:hAnsi="宋体" w:cs="宋体"/>
                <w:szCs w:val="21"/>
              </w:rPr>
              <w:t>电话：0771-5331544</w:t>
            </w:r>
          </w:p>
        </w:tc>
      </w:tr>
      <w:tr w14:paraId="5DD27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61673FC">
            <w:pPr>
              <w:spacing w:line="400" w:lineRule="exact"/>
              <w:jc w:val="center"/>
              <w:rPr>
                <w:rFonts w:ascii="宋体" w:hAnsi="宋体" w:cs="宋体"/>
                <w:szCs w:val="21"/>
              </w:rPr>
            </w:pPr>
            <w:r>
              <w:rPr>
                <w:rFonts w:hint="eastAsia" w:ascii="宋体" w:hAnsi="宋体" w:cs="宋体"/>
                <w:color w:val="000000"/>
                <w:szCs w:val="21"/>
              </w:rPr>
              <w:t>特别说明</w:t>
            </w:r>
          </w:p>
        </w:tc>
        <w:tc>
          <w:tcPr>
            <w:tcW w:w="7912" w:type="dxa"/>
            <w:vAlign w:val="center"/>
          </w:tcPr>
          <w:p w14:paraId="27A95F44">
            <w:pPr>
              <w:pStyle w:val="18"/>
              <w:snapToGrid w:val="0"/>
              <w:spacing w:line="400" w:lineRule="exact"/>
              <w:rPr>
                <w:rFonts w:hAnsi="宋体" w:cs="宋体"/>
                <w:color w:val="000000"/>
                <w:sz w:val="21"/>
              </w:rPr>
            </w:pPr>
            <w:r>
              <w:rPr>
                <w:rFonts w:hint="eastAsia" w:hAnsi="宋体" w:cs="宋体"/>
                <w:color w:val="000000"/>
                <w:sz w:val="21"/>
              </w:rPr>
              <w:t>截标后将进行磋商：</w:t>
            </w:r>
          </w:p>
          <w:p w14:paraId="28619356">
            <w:pPr>
              <w:pStyle w:val="18"/>
              <w:snapToGrid w:val="0"/>
              <w:spacing w:line="400" w:lineRule="exact"/>
              <w:rPr>
                <w:rFonts w:hAnsi="宋体" w:cs="宋体"/>
                <w:color w:val="000000"/>
                <w:sz w:val="21"/>
              </w:rPr>
            </w:pPr>
            <w:r>
              <w:rPr>
                <w:rFonts w:hint="eastAsia" w:hAnsi="宋体" w:cs="宋体"/>
                <w:color w:val="000000"/>
                <w:sz w:val="21"/>
              </w:rPr>
              <w:t>（1）委托代理人（法定代表人）请注意预留的手机号码中广西政府采购云平台系统发送的短信提示，并按照要求进行响应及报价。</w:t>
            </w:r>
          </w:p>
          <w:p w14:paraId="76E1D164">
            <w:pPr>
              <w:pStyle w:val="18"/>
              <w:snapToGrid w:val="0"/>
              <w:spacing w:line="400" w:lineRule="exact"/>
              <w:rPr>
                <w:rFonts w:hAnsi="宋体" w:cs="宋体"/>
                <w:color w:val="000000"/>
                <w:sz w:val="21"/>
              </w:rPr>
            </w:pPr>
            <w:r>
              <w:rPr>
                <w:rFonts w:hint="eastAsia" w:hAnsi="宋体" w:cs="宋体"/>
                <w:color w:val="000000"/>
                <w:sz w:val="21"/>
              </w:rPr>
              <w:t>（2）进入广西政府采购云平台系统，点击页面右上角的“待办”，找到对应的项目，按系统提示操作。</w:t>
            </w:r>
          </w:p>
          <w:p w14:paraId="2D0AE7D0">
            <w:pPr>
              <w:pStyle w:val="18"/>
              <w:snapToGrid w:val="0"/>
              <w:spacing w:line="400" w:lineRule="exact"/>
              <w:rPr>
                <w:rFonts w:hAnsi="宋体" w:cs="宋体"/>
                <w:sz w:val="21"/>
              </w:rPr>
            </w:pPr>
            <w:r>
              <w:rPr>
                <w:rFonts w:hint="eastAsia" w:hAnsi="宋体" w:cs="宋体"/>
                <w:color w:val="000000"/>
                <w:sz w:val="21"/>
              </w:rPr>
              <w:t>（3）如仍无法找到，请电话咨询广西嘉华建设项目管理咨询有限公司。</w:t>
            </w:r>
          </w:p>
        </w:tc>
      </w:tr>
    </w:tbl>
    <w:p w14:paraId="6C4CC45E">
      <w:pPr>
        <w:spacing w:line="400" w:lineRule="exact"/>
        <w:jc w:val="center"/>
        <w:rPr>
          <w:rFonts w:ascii="宋体" w:hAnsi="宋体"/>
          <w:b/>
          <w:sz w:val="32"/>
          <w:szCs w:val="32"/>
        </w:rPr>
      </w:pPr>
      <w:r>
        <w:rPr>
          <w:rFonts w:ascii="宋体" w:hAnsi="宋体"/>
          <w:b/>
          <w:sz w:val="32"/>
          <w:szCs w:val="32"/>
        </w:rPr>
        <w:br w:type="page"/>
      </w:r>
      <w:r>
        <w:rPr>
          <w:rFonts w:hint="eastAsia" w:ascii="宋体" w:hAnsi="宋体"/>
          <w:b/>
          <w:sz w:val="32"/>
          <w:szCs w:val="32"/>
        </w:rPr>
        <w:t>供应商须知正文</w:t>
      </w:r>
    </w:p>
    <w:p w14:paraId="7D02F119">
      <w:pPr>
        <w:spacing w:line="400" w:lineRule="exact"/>
        <w:jc w:val="center"/>
        <w:rPr>
          <w:rFonts w:ascii="宋体" w:hAnsi="宋体"/>
          <w:b/>
          <w:sz w:val="32"/>
          <w:szCs w:val="32"/>
        </w:rPr>
      </w:pPr>
    </w:p>
    <w:p w14:paraId="3864CF2D">
      <w:pPr>
        <w:spacing w:line="400" w:lineRule="exact"/>
        <w:jc w:val="center"/>
        <w:rPr>
          <w:rFonts w:ascii="宋体" w:hAnsi="宋体"/>
          <w:b/>
          <w:sz w:val="32"/>
          <w:szCs w:val="32"/>
        </w:rPr>
      </w:pPr>
      <w:r>
        <w:rPr>
          <w:rFonts w:hint="eastAsia" w:ascii="宋体" w:hAnsi="宋体"/>
          <w:b/>
          <w:sz w:val="32"/>
          <w:szCs w:val="32"/>
        </w:rPr>
        <w:t>一、总则</w:t>
      </w:r>
    </w:p>
    <w:p w14:paraId="10AE6B99">
      <w:pPr>
        <w:spacing w:line="400" w:lineRule="exact"/>
        <w:rPr>
          <w:rFonts w:ascii="宋体" w:hAnsi="宋体"/>
          <w:szCs w:val="21"/>
        </w:rPr>
      </w:pPr>
    </w:p>
    <w:p w14:paraId="46036CBC">
      <w:pPr>
        <w:spacing w:line="400" w:lineRule="exact"/>
        <w:ind w:firstLine="482" w:firstLineChars="200"/>
        <w:contextualSpacing/>
        <w:rPr>
          <w:rFonts w:ascii="宋体" w:hAnsi="宋体" w:cs="宋体"/>
          <w:b/>
          <w:bCs/>
          <w:sz w:val="24"/>
        </w:rPr>
      </w:pPr>
      <w:r>
        <w:rPr>
          <w:rFonts w:hint="eastAsia" w:ascii="宋体" w:hAnsi="宋体" w:cs="宋体"/>
          <w:b/>
          <w:bCs/>
          <w:sz w:val="24"/>
        </w:rPr>
        <w:t>1.适用范围</w:t>
      </w:r>
    </w:p>
    <w:p w14:paraId="4706C3B8">
      <w:pPr>
        <w:spacing w:line="400" w:lineRule="exact"/>
        <w:ind w:firstLine="420" w:firstLineChars="200"/>
        <w:contextualSpacing/>
        <w:rPr>
          <w:rFonts w:ascii="宋体" w:hAnsi="宋体" w:cs="宋体"/>
          <w:szCs w:val="21"/>
        </w:rPr>
      </w:pPr>
      <w:r>
        <w:rPr>
          <w:rFonts w:hint="eastAsia" w:ascii="宋体" w:hAnsi="宋体" w:cs="宋体"/>
          <w:szCs w:val="21"/>
        </w:rPr>
        <w:t>1.1本项目采购人、采购代理机构、供应商、磋商小组的相关行为均受《中华人民共和国政府采购法》《中华人民共和国政府采购法实施条例》</w:t>
      </w:r>
      <w:r>
        <w:rPr>
          <w:rFonts w:hint="eastAsia" w:ascii="宋体" w:hAnsi="宋体"/>
          <w:szCs w:val="21"/>
        </w:rPr>
        <w:t>《政府采购竞争性磋商采购方式管理暂行办法》《财政部关于政府采购竞争性磋商采购方式管理暂行办法有关问题的补充通知》</w:t>
      </w:r>
      <w:r>
        <w:rPr>
          <w:rFonts w:hint="eastAsia" w:ascii="宋体" w:hAnsi="宋体" w:cs="宋体"/>
          <w:szCs w:val="21"/>
        </w:rPr>
        <w:t>及本项目本级和上级财政部门政府采购有关规定的约束和保护。</w:t>
      </w:r>
    </w:p>
    <w:p w14:paraId="433B34E2">
      <w:pPr>
        <w:spacing w:line="400" w:lineRule="exact"/>
        <w:ind w:firstLine="420" w:firstLineChars="200"/>
        <w:contextualSpacing/>
        <w:rPr>
          <w:rFonts w:ascii="宋体" w:hAnsi="宋体" w:cs="宋体"/>
          <w:szCs w:val="21"/>
        </w:rPr>
      </w:pPr>
      <w:r>
        <w:rPr>
          <w:rFonts w:hint="eastAsia" w:ascii="宋体" w:hAnsi="宋体" w:cs="宋体"/>
          <w:szCs w:val="21"/>
        </w:rPr>
        <w:t>1.2</w:t>
      </w:r>
      <w:r>
        <w:rPr>
          <w:rFonts w:hint="eastAsia" w:ascii="宋体" w:hAnsi="宋体" w:cs="宋体"/>
          <w:spacing w:val="-6"/>
          <w:szCs w:val="21"/>
        </w:rPr>
        <w:t>本竞争性磋商文件（以下简称磋商文件）适用于本项目的所有采购程序和环节（法律、法规另有规定的，从其规定）。</w:t>
      </w:r>
    </w:p>
    <w:p w14:paraId="0B6B9271">
      <w:pPr>
        <w:spacing w:line="400" w:lineRule="exact"/>
        <w:ind w:firstLine="482" w:firstLineChars="200"/>
        <w:contextualSpacing/>
        <w:rPr>
          <w:rFonts w:ascii="宋体" w:hAnsi="宋体" w:cs="宋体"/>
          <w:b/>
          <w:bCs/>
          <w:sz w:val="24"/>
        </w:rPr>
      </w:pPr>
      <w:r>
        <w:rPr>
          <w:rFonts w:hint="eastAsia" w:ascii="宋体" w:hAnsi="宋体" w:cs="宋体"/>
          <w:b/>
          <w:bCs/>
          <w:sz w:val="24"/>
        </w:rPr>
        <w:t>2.定义</w:t>
      </w:r>
    </w:p>
    <w:p w14:paraId="77DBCA9F">
      <w:pPr>
        <w:spacing w:line="400" w:lineRule="exact"/>
        <w:ind w:firstLine="420" w:firstLineChars="200"/>
        <w:contextualSpacing/>
        <w:rPr>
          <w:rFonts w:ascii="宋体" w:hAnsi="宋体" w:cs="宋体"/>
          <w:szCs w:val="21"/>
        </w:rPr>
      </w:pPr>
      <w:r>
        <w:rPr>
          <w:rFonts w:hint="eastAsia" w:ascii="宋体" w:hAnsi="宋体" w:cs="宋体"/>
          <w:szCs w:val="21"/>
        </w:rPr>
        <w:t>2.1“采购人”是指依法进行政府采购的国家机关、事业单位、团体组织。</w:t>
      </w:r>
    </w:p>
    <w:p w14:paraId="0EDCAE52">
      <w:pPr>
        <w:spacing w:line="400" w:lineRule="exact"/>
        <w:ind w:firstLine="420" w:firstLineChars="200"/>
        <w:contextualSpacing/>
        <w:rPr>
          <w:rFonts w:ascii="宋体" w:hAnsi="宋体" w:cs="宋体"/>
          <w:szCs w:val="21"/>
          <w:u w:val="single"/>
        </w:rPr>
      </w:pPr>
      <w:r>
        <w:rPr>
          <w:rFonts w:hint="eastAsia" w:ascii="宋体" w:hAnsi="宋体" w:cs="宋体"/>
          <w:szCs w:val="21"/>
        </w:rPr>
        <w:t>2.2“采购代理机构”是指政府采购集中采购机构和集中采购机构以外的采购代理机构。</w:t>
      </w:r>
    </w:p>
    <w:p w14:paraId="214FD80F">
      <w:pPr>
        <w:spacing w:line="400" w:lineRule="exact"/>
        <w:ind w:firstLine="420" w:firstLineChars="200"/>
        <w:contextualSpacing/>
        <w:rPr>
          <w:rFonts w:ascii="宋体" w:hAnsi="宋体" w:cs="宋体"/>
          <w:szCs w:val="21"/>
        </w:rPr>
      </w:pPr>
      <w:r>
        <w:rPr>
          <w:rFonts w:hint="eastAsia" w:ascii="宋体" w:hAnsi="宋体" w:cs="宋体"/>
          <w:szCs w:val="21"/>
        </w:rPr>
        <w:t>2.3“供应商”是指向采购人提供货物、工程或者服务的法人、其他组织或者自然人。</w:t>
      </w:r>
    </w:p>
    <w:p w14:paraId="6D9BFC00">
      <w:pPr>
        <w:spacing w:line="400" w:lineRule="exact"/>
        <w:ind w:firstLine="420" w:firstLineChars="200"/>
        <w:contextualSpacing/>
        <w:rPr>
          <w:rFonts w:ascii="宋体" w:hAnsi="宋体" w:cs="宋体"/>
          <w:szCs w:val="21"/>
        </w:rPr>
      </w:pPr>
      <w:r>
        <w:rPr>
          <w:rFonts w:hint="eastAsia" w:ascii="宋体" w:hAnsi="宋体"/>
          <w:szCs w:val="21"/>
        </w:rPr>
        <w:t>2.4</w:t>
      </w:r>
      <w:r>
        <w:rPr>
          <w:rFonts w:hint="eastAsia" w:ascii="宋体" w:hAnsi="宋体" w:cs="宋体"/>
          <w:szCs w:val="21"/>
        </w:rPr>
        <w:t>“货物”是指各种形态和种类的物品，包括原材料、燃料、设备、产品等。</w:t>
      </w:r>
    </w:p>
    <w:p w14:paraId="32EF9584">
      <w:pPr>
        <w:spacing w:line="400" w:lineRule="exact"/>
        <w:ind w:firstLine="420" w:firstLineChars="200"/>
        <w:contextualSpacing/>
        <w:rPr>
          <w:rFonts w:ascii="宋体" w:hAnsi="宋体" w:cs="宋体"/>
          <w:szCs w:val="21"/>
        </w:rPr>
      </w:pPr>
      <w:r>
        <w:rPr>
          <w:rFonts w:hint="eastAsia" w:ascii="宋体" w:hAnsi="宋体" w:cs="宋体"/>
          <w:szCs w:val="21"/>
        </w:rPr>
        <w:t>2.</w:t>
      </w:r>
      <w:r>
        <w:rPr>
          <w:rFonts w:ascii="宋体" w:hAnsi="宋体" w:cs="宋体"/>
          <w:szCs w:val="21"/>
        </w:rPr>
        <w:t>5</w:t>
      </w:r>
      <w:r>
        <w:rPr>
          <w:rFonts w:hint="eastAsia" w:ascii="宋体" w:hAnsi="宋体" w:cs="宋体"/>
          <w:szCs w:val="21"/>
        </w:rPr>
        <w:t>“竞标”是指供应商按照本项目竞争性磋商公告或者邀请函规定的方式获取磋商文件、提交响应文件并希望获得标的的行为。</w:t>
      </w:r>
    </w:p>
    <w:p w14:paraId="2221CF75">
      <w:pPr>
        <w:spacing w:line="400" w:lineRule="exact"/>
        <w:ind w:firstLine="420" w:firstLineChars="200"/>
        <w:contextualSpacing/>
        <w:rPr>
          <w:rFonts w:ascii="宋体" w:hAnsi="宋体" w:cs="宋体"/>
          <w:szCs w:val="21"/>
        </w:rPr>
      </w:pPr>
      <w:r>
        <w:rPr>
          <w:rFonts w:hint="eastAsia" w:ascii="宋体" w:hAnsi="宋体" w:cs="宋体"/>
          <w:szCs w:val="21"/>
        </w:rPr>
        <w:t>2.6“书面形式”是指合同书、信件和数据电文（包括电报、电传、传真、电子数据交换和电子邮件）等可以有形地表现所载内容的形式。</w:t>
      </w:r>
    </w:p>
    <w:p w14:paraId="40020190">
      <w:pPr>
        <w:spacing w:line="400" w:lineRule="exact"/>
        <w:ind w:firstLine="420" w:firstLineChars="200"/>
        <w:contextualSpacing/>
        <w:rPr>
          <w:rFonts w:ascii="宋体" w:hAnsi="宋体" w:cs="宋体"/>
          <w:szCs w:val="21"/>
        </w:rPr>
      </w:pPr>
      <w:r>
        <w:rPr>
          <w:rFonts w:hint="eastAsia" w:ascii="宋体" w:hAnsi="宋体" w:cs="宋体"/>
          <w:szCs w:val="21"/>
        </w:rPr>
        <w:t>2.7“响应文件”</w:t>
      </w:r>
      <w:r>
        <w:rPr>
          <w:rFonts w:hint="eastAsia" w:ascii="宋体" w:hAnsi="宋体" w:cs="宋体"/>
          <w:spacing w:val="-6"/>
          <w:szCs w:val="21"/>
        </w:rPr>
        <w:t>是指：供应商根据本磋商文件要求，编制包含资格证明、报价、商务技术等所有内容的文件。</w:t>
      </w:r>
    </w:p>
    <w:p w14:paraId="08D5E448">
      <w:pPr>
        <w:spacing w:line="400" w:lineRule="exact"/>
        <w:ind w:firstLine="420" w:firstLineChars="200"/>
        <w:contextualSpacing/>
        <w:rPr>
          <w:rFonts w:ascii="宋体" w:hAnsi="宋体" w:cs="宋体"/>
          <w:szCs w:val="21"/>
        </w:rPr>
      </w:pPr>
      <w:r>
        <w:rPr>
          <w:rFonts w:hint="eastAsia" w:ascii="宋体" w:hAnsi="宋体" w:cs="宋体"/>
          <w:szCs w:val="21"/>
        </w:rPr>
        <w:t>2.8</w:t>
      </w:r>
      <w:r>
        <w:rPr>
          <w:rFonts w:hint="eastAsia" w:ascii="宋体" w:hAnsi="宋体" w:cs="宋体"/>
          <w:b/>
          <w:bCs/>
          <w:szCs w:val="21"/>
        </w:rPr>
        <w:t>“实质性要求”是指采购需求中标注“▲”的条款或者不能负偏离的条款或者已经指明不满足按响应文件按无效处理的条款，若有一项负偏离，响应文件按无效处理，标注“</w:t>
      </w:r>
      <w:r>
        <w:rPr>
          <w:rFonts w:hint="eastAsia"/>
          <w:b/>
          <w:bCs/>
          <w:szCs w:val="21"/>
        </w:rPr>
        <w:t>★</w:t>
      </w:r>
      <w:r>
        <w:rPr>
          <w:rFonts w:hint="eastAsia" w:ascii="宋体" w:hAnsi="宋体" w:cs="宋体"/>
          <w:b/>
          <w:bCs/>
          <w:szCs w:val="21"/>
        </w:rPr>
        <w:t>”的技术条款系指与项目实际紧密相关的功能条款、技术指标，将作为设备性能评审依据。</w:t>
      </w:r>
    </w:p>
    <w:p w14:paraId="4638374B">
      <w:pPr>
        <w:spacing w:line="400" w:lineRule="exact"/>
        <w:ind w:firstLine="420" w:firstLineChars="200"/>
        <w:contextualSpacing/>
        <w:rPr>
          <w:rFonts w:ascii="宋体" w:hAnsi="宋体" w:cs="宋体"/>
          <w:szCs w:val="21"/>
        </w:rPr>
      </w:pPr>
      <w:r>
        <w:rPr>
          <w:rFonts w:hint="eastAsia" w:ascii="宋体" w:hAnsi="宋体" w:cs="宋体"/>
          <w:szCs w:val="21"/>
        </w:rPr>
        <w:t>2.9“正偏离”，是指响应文件对磋商文件“采购需求”中有关条款作出的响应优于条款要求并有利于采购人的情形。</w:t>
      </w:r>
    </w:p>
    <w:p w14:paraId="53764033">
      <w:pPr>
        <w:spacing w:line="400" w:lineRule="exact"/>
        <w:ind w:firstLine="420" w:firstLineChars="200"/>
        <w:contextualSpacing/>
        <w:rPr>
          <w:rFonts w:ascii="宋体" w:hAnsi="宋体" w:cs="宋体"/>
          <w:szCs w:val="21"/>
        </w:rPr>
      </w:pPr>
      <w:r>
        <w:rPr>
          <w:rFonts w:ascii="宋体" w:hAnsi="宋体" w:cs="宋体"/>
          <w:szCs w:val="21"/>
        </w:rPr>
        <w:t>2.</w:t>
      </w:r>
      <w:r>
        <w:rPr>
          <w:rFonts w:hint="eastAsia" w:ascii="宋体" w:hAnsi="宋体" w:cs="宋体"/>
          <w:szCs w:val="21"/>
        </w:rPr>
        <w:t>10“负偏离”，是指响应文件对磋商文件“采购需求”中有关条款作出的响应不满足条款要求，导致采购人要求不能得到满足的情形。</w:t>
      </w:r>
    </w:p>
    <w:p w14:paraId="431CEA5E">
      <w:pPr>
        <w:spacing w:line="400" w:lineRule="exact"/>
        <w:ind w:firstLine="420" w:firstLineChars="200"/>
        <w:contextualSpacing/>
        <w:rPr>
          <w:rFonts w:ascii="宋体" w:hAnsi="宋体" w:cs="宋体"/>
          <w:szCs w:val="21"/>
        </w:rPr>
      </w:pPr>
      <w:r>
        <w:rPr>
          <w:rFonts w:hint="eastAsia" w:ascii="宋体" w:hAnsi="宋体" w:cs="宋体"/>
          <w:szCs w:val="21"/>
        </w:rPr>
        <w:t>2.11“允许负偏离的条款”是指采购需求中的不属于“实质性要求”的条款。</w:t>
      </w:r>
    </w:p>
    <w:p w14:paraId="57F4D827">
      <w:pPr>
        <w:spacing w:line="400" w:lineRule="exact"/>
        <w:ind w:firstLine="420" w:firstLineChars="200"/>
        <w:contextualSpacing/>
        <w:rPr>
          <w:rFonts w:ascii="宋体" w:hAnsi="宋体" w:cs="宋体"/>
          <w:szCs w:val="21"/>
        </w:rPr>
      </w:pPr>
      <w:r>
        <w:rPr>
          <w:rFonts w:hint="eastAsia" w:ascii="宋体" w:hAnsi="宋体" w:cs="宋体"/>
          <w:szCs w:val="21"/>
        </w:rPr>
        <w:t>2.</w:t>
      </w:r>
      <w:r>
        <w:rPr>
          <w:rFonts w:ascii="宋体" w:hAnsi="宋体" w:cs="宋体"/>
          <w:szCs w:val="21"/>
        </w:rPr>
        <w:t>1</w:t>
      </w:r>
      <w:r>
        <w:rPr>
          <w:rFonts w:hint="eastAsia" w:ascii="宋体" w:hAnsi="宋体" w:cs="宋体"/>
          <w:szCs w:val="21"/>
        </w:rPr>
        <w:t>2“首次报价”是指供应商提交的首次响应文件中的报价。</w:t>
      </w:r>
    </w:p>
    <w:p w14:paraId="7E964443">
      <w:pPr>
        <w:spacing w:line="400" w:lineRule="exact"/>
        <w:ind w:firstLine="482" w:firstLineChars="200"/>
        <w:contextualSpacing/>
        <w:rPr>
          <w:rFonts w:ascii="宋体" w:hAnsi="宋体" w:cs="宋体"/>
          <w:b/>
          <w:bCs/>
          <w:sz w:val="24"/>
        </w:rPr>
      </w:pPr>
      <w:r>
        <w:rPr>
          <w:rFonts w:hint="eastAsia" w:ascii="宋体" w:hAnsi="宋体" w:cs="宋体"/>
          <w:b/>
          <w:bCs/>
          <w:sz w:val="24"/>
        </w:rPr>
        <w:t>3.供应商的资格条件</w:t>
      </w:r>
    </w:p>
    <w:p w14:paraId="5A761AC0">
      <w:pPr>
        <w:spacing w:line="400" w:lineRule="exact"/>
        <w:ind w:firstLine="420" w:firstLineChars="200"/>
        <w:contextualSpacing/>
        <w:rPr>
          <w:rFonts w:ascii="宋体" w:hAnsi="宋体" w:cs="宋体"/>
          <w:szCs w:val="21"/>
        </w:rPr>
      </w:pPr>
      <w:r>
        <w:rPr>
          <w:rFonts w:hint="eastAsia" w:ascii="宋体" w:hAnsi="宋体" w:cs="宋体"/>
          <w:szCs w:val="21"/>
        </w:rPr>
        <w:t>供应商的资格条件详见“供应商须知前附表”。</w:t>
      </w:r>
    </w:p>
    <w:p w14:paraId="004DA191">
      <w:pPr>
        <w:spacing w:line="400" w:lineRule="exact"/>
        <w:ind w:firstLine="482" w:firstLineChars="200"/>
        <w:contextualSpacing/>
        <w:rPr>
          <w:rFonts w:ascii="宋体" w:hAnsi="宋体" w:cs="宋体"/>
          <w:b/>
          <w:bCs/>
          <w:sz w:val="24"/>
        </w:rPr>
      </w:pPr>
      <w:r>
        <w:rPr>
          <w:rFonts w:hint="eastAsia" w:ascii="宋体" w:hAnsi="宋体" w:cs="宋体"/>
          <w:b/>
          <w:bCs/>
          <w:sz w:val="24"/>
        </w:rPr>
        <w:t>4.竞标费用</w:t>
      </w:r>
    </w:p>
    <w:p w14:paraId="4AA7E256">
      <w:pPr>
        <w:spacing w:line="400" w:lineRule="exact"/>
        <w:ind w:firstLine="420" w:firstLineChars="200"/>
        <w:contextualSpacing/>
        <w:rPr>
          <w:rFonts w:ascii="宋体" w:hAnsi="宋体" w:cs="宋体"/>
          <w:szCs w:val="21"/>
        </w:rPr>
      </w:pPr>
      <w:r>
        <w:rPr>
          <w:rFonts w:hint="eastAsia" w:ascii="宋体" w:hAnsi="宋体" w:cs="宋体"/>
          <w:szCs w:val="21"/>
        </w:rPr>
        <w:t>供应商应承担参与本次采购活动有关的所有费用，包括但不限于获取磋商文件、勘查现场、编制和提交响应文件、参加磋商与应答、签订合同等，不论竞标结果如何，均应自行承担。</w:t>
      </w:r>
    </w:p>
    <w:p w14:paraId="00B69ED6">
      <w:pPr>
        <w:spacing w:line="400" w:lineRule="exact"/>
        <w:ind w:firstLine="482" w:firstLineChars="200"/>
        <w:contextualSpacing/>
        <w:rPr>
          <w:rFonts w:ascii="宋体" w:hAnsi="宋体" w:cs="宋体"/>
          <w:b/>
          <w:bCs/>
          <w:sz w:val="24"/>
        </w:rPr>
      </w:pPr>
      <w:r>
        <w:rPr>
          <w:rFonts w:hint="eastAsia" w:ascii="宋体" w:hAnsi="宋体" w:cs="宋体"/>
          <w:b/>
          <w:bCs/>
          <w:sz w:val="24"/>
        </w:rPr>
        <w:t>5.联合体竞标</w:t>
      </w:r>
    </w:p>
    <w:p w14:paraId="6B3DD77F">
      <w:pPr>
        <w:spacing w:line="400" w:lineRule="exact"/>
        <w:ind w:firstLine="420" w:firstLineChars="200"/>
        <w:contextualSpacing/>
        <w:rPr>
          <w:rFonts w:ascii="宋体" w:hAnsi="宋体" w:cs="宋体"/>
          <w:szCs w:val="21"/>
        </w:rPr>
      </w:pPr>
      <w:r>
        <w:rPr>
          <w:rFonts w:hint="eastAsia" w:ascii="宋体" w:hAnsi="宋体" w:cs="宋体"/>
          <w:szCs w:val="21"/>
        </w:rPr>
        <w:t>5.1本项目是否接受联合体竞标，详见“供应商须知前附表”。</w:t>
      </w:r>
    </w:p>
    <w:p w14:paraId="7D580B52">
      <w:pPr>
        <w:spacing w:line="400" w:lineRule="exact"/>
        <w:ind w:firstLine="420" w:firstLineChars="200"/>
        <w:contextualSpacing/>
        <w:rPr>
          <w:rFonts w:ascii="宋体" w:hAnsi="宋体" w:cs="宋体"/>
          <w:szCs w:val="21"/>
        </w:rPr>
      </w:pPr>
      <w:r>
        <w:rPr>
          <w:rFonts w:hint="eastAsia" w:ascii="宋体" w:hAnsi="宋体" w:cs="宋体"/>
          <w:szCs w:val="21"/>
        </w:rPr>
        <w:t>5.2如接受联合体竞标，联合体竞标要求详见“供应商须知前附表”。</w:t>
      </w:r>
    </w:p>
    <w:p w14:paraId="46944E34">
      <w:pPr>
        <w:spacing w:line="400" w:lineRule="exact"/>
        <w:ind w:firstLine="420" w:firstLineChars="200"/>
        <w:contextualSpacing/>
        <w:rPr>
          <w:rFonts w:ascii="宋体" w:hAnsi="宋体" w:cs="宋体"/>
          <w:szCs w:val="21"/>
        </w:rPr>
      </w:pPr>
      <w:r>
        <w:rPr>
          <w:rFonts w:hint="eastAsia" w:ascii="宋体" w:hAnsi="宋体" w:cs="宋体"/>
          <w:szCs w:val="21"/>
        </w:rPr>
        <w:t>5.3</w:t>
      </w:r>
      <w:bookmarkStart w:id="65" w:name="_Hlk65857072"/>
      <w:r>
        <w:rPr>
          <w:rFonts w:hint="eastAsia" w:ascii="宋体" w:hAnsi="宋体"/>
          <w:bCs/>
          <w:szCs w:val="21"/>
        </w:rPr>
        <w:t>根据《政府采购促进中小企业发展管理办法》（财库〔</w:t>
      </w:r>
      <w:r>
        <w:rPr>
          <w:rFonts w:ascii="宋体" w:hAnsi="宋体"/>
          <w:bCs/>
          <w:szCs w:val="21"/>
        </w:rPr>
        <w:t>2020</w:t>
      </w:r>
      <w:r>
        <w:rPr>
          <w:rFonts w:hint="eastAsia" w:ascii="宋体" w:hAnsi="宋体"/>
          <w:bCs/>
          <w:szCs w:val="21"/>
        </w:rPr>
        <w:t>〕</w:t>
      </w:r>
      <w:r>
        <w:rPr>
          <w:rFonts w:ascii="宋体" w:hAnsi="宋体"/>
          <w:bCs/>
          <w:szCs w:val="21"/>
        </w:rPr>
        <w:t>46</w:t>
      </w:r>
      <w:r>
        <w:rPr>
          <w:rFonts w:hint="eastAsia" w:ascii="宋体" w:hAnsi="宋体"/>
          <w:bCs/>
          <w:szCs w:val="21"/>
        </w:rPr>
        <w:t>号）第九条第二款及《广西壮族自治区财政厅关于持续优化政府采购营商环境推动高质量发展的通知》（桂财采〔2024〕55号）规定，接受大中型企业与小微企业组成联合体或者允许大中型企业向一家或者多家小微企业分包的采购项目，对于联合协议或者分包意向协议约定小微企业的合同份额占到合同总金额</w:t>
      </w:r>
      <w:r>
        <w:rPr>
          <w:rFonts w:ascii="宋体" w:hAnsi="宋体"/>
          <w:bCs/>
          <w:szCs w:val="21"/>
        </w:rPr>
        <w:t>30%</w:t>
      </w:r>
      <w:r>
        <w:rPr>
          <w:rFonts w:hint="eastAsia" w:ascii="宋体" w:hAnsi="宋体"/>
          <w:bCs/>
          <w:szCs w:val="21"/>
        </w:rPr>
        <w:t>以上的，采购人、采购代理机构应当对联合体或者大中型企业的报价给予</w:t>
      </w:r>
      <w:r>
        <w:rPr>
          <w:rFonts w:ascii="宋体" w:hAnsi="宋体"/>
          <w:bCs/>
          <w:szCs w:val="21"/>
        </w:rPr>
        <w:t>4%-6%</w:t>
      </w:r>
      <w:r>
        <w:rPr>
          <w:rFonts w:hint="eastAsia" w:ascii="宋体" w:hAnsi="宋体"/>
          <w:bCs/>
          <w:szCs w:val="21"/>
        </w:rPr>
        <w:t>的扣除，用扣除后的价格参加评审。</w:t>
      </w:r>
      <w:bookmarkEnd w:id="65"/>
    </w:p>
    <w:p w14:paraId="6E9FA2D4">
      <w:pPr>
        <w:spacing w:line="400" w:lineRule="exact"/>
        <w:ind w:firstLine="482" w:firstLineChars="200"/>
        <w:contextualSpacing/>
        <w:rPr>
          <w:rFonts w:ascii="宋体" w:hAnsi="宋体" w:cs="宋体"/>
          <w:b/>
          <w:bCs/>
          <w:sz w:val="24"/>
        </w:rPr>
      </w:pPr>
      <w:r>
        <w:rPr>
          <w:rFonts w:hint="eastAsia" w:ascii="宋体" w:hAnsi="宋体" w:cs="宋体"/>
          <w:b/>
          <w:bCs/>
          <w:sz w:val="24"/>
        </w:rPr>
        <w:t xml:space="preserve">6.转包与分包             </w:t>
      </w:r>
    </w:p>
    <w:p w14:paraId="7CB06325">
      <w:pPr>
        <w:pStyle w:val="7"/>
        <w:keepNext w:val="0"/>
        <w:keepLines w:val="0"/>
        <w:spacing w:before="0" w:after="0" w:line="400" w:lineRule="exact"/>
        <w:ind w:left="420" w:leftChars="200"/>
        <w:rPr>
          <w:rFonts w:ascii="宋体" w:hAnsi="宋体"/>
          <w:b w:val="0"/>
          <w:sz w:val="21"/>
          <w:szCs w:val="21"/>
        </w:rPr>
      </w:pPr>
      <w:bookmarkStart w:id="66" w:name="_Toc254970673"/>
      <w:bookmarkStart w:id="67" w:name="_Toc254970532"/>
      <w:r>
        <w:rPr>
          <w:rFonts w:hint="eastAsia" w:ascii="宋体" w:hAnsi="宋体"/>
          <w:b w:val="0"/>
          <w:sz w:val="21"/>
          <w:szCs w:val="21"/>
        </w:rPr>
        <w:t>6.1本项目不允许转包。</w:t>
      </w:r>
    </w:p>
    <w:p w14:paraId="73F0B6B4">
      <w:pPr>
        <w:pStyle w:val="7"/>
        <w:keepNext w:val="0"/>
        <w:keepLines w:val="0"/>
        <w:spacing w:before="0" w:after="0" w:line="400" w:lineRule="exact"/>
        <w:ind w:firstLine="315" w:firstLineChars="150"/>
        <w:rPr>
          <w:rFonts w:ascii="宋体" w:hAnsi="宋体"/>
          <w:b w:val="0"/>
          <w:sz w:val="21"/>
          <w:szCs w:val="21"/>
        </w:rPr>
      </w:pPr>
      <w:r>
        <w:rPr>
          <w:rFonts w:hint="eastAsia" w:ascii="宋体" w:hAnsi="宋体"/>
          <w:b w:val="0"/>
          <w:sz w:val="21"/>
          <w:szCs w:val="21"/>
        </w:rPr>
        <w:t xml:space="preserve"> 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行政许可。</w:t>
      </w:r>
    </w:p>
    <w:p w14:paraId="696CEEC3">
      <w:pPr>
        <w:pStyle w:val="7"/>
        <w:keepNext w:val="0"/>
        <w:keepLines w:val="0"/>
        <w:spacing w:before="0" w:after="0" w:line="400" w:lineRule="exact"/>
        <w:ind w:firstLine="315" w:firstLineChars="150"/>
        <w:rPr>
          <w:rFonts w:ascii="宋体" w:hAnsi="宋体"/>
          <w:b w:val="0"/>
          <w:sz w:val="21"/>
          <w:szCs w:val="21"/>
        </w:rPr>
      </w:pPr>
      <w:r>
        <w:rPr>
          <w:rFonts w:hint="eastAsia" w:ascii="宋体" w:hAnsi="宋体"/>
          <w:b w:val="0"/>
          <w:sz w:val="21"/>
          <w:szCs w:val="21"/>
        </w:rPr>
        <w:t xml:space="preserve"> 6.3供应商根据磋商文件的规定和采购项目的实际情况，拟在成交后将成交项目的非主体、非关键性工作分包的，应当在响应文件中载明分包承担主体，分包承担主体应当具备相应资质条件且不得再次分包。</w:t>
      </w:r>
    </w:p>
    <w:p w14:paraId="7FD3BB99">
      <w:pPr>
        <w:spacing w:line="400" w:lineRule="exact"/>
        <w:ind w:firstLine="482" w:firstLineChars="200"/>
        <w:contextualSpacing/>
        <w:rPr>
          <w:rFonts w:ascii="宋体" w:hAnsi="宋体" w:cs="宋体"/>
          <w:b/>
          <w:bCs/>
          <w:sz w:val="24"/>
        </w:rPr>
      </w:pPr>
      <w:r>
        <w:rPr>
          <w:rFonts w:hint="eastAsia" w:ascii="宋体" w:hAnsi="宋体" w:cs="宋体"/>
          <w:b/>
          <w:bCs/>
          <w:sz w:val="24"/>
        </w:rPr>
        <w:t>7.特别说明</w:t>
      </w:r>
      <w:bookmarkEnd w:id="66"/>
      <w:bookmarkEnd w:id="67"/>
    </w:p>
    <w:p w14:paraId="3A195C56">
      <w:pPr>
        <w:spacing w:line="400" w:lineRule="exact"/>
        <w:ind w:firstLine="420" w:firstLineChars="200"/>
        <w:contextualSpacing/>
        <w:rPr>
          <w:rFonts w:ascii="宋体" w:hAnsi="宋体" w:cs="宋体"/>
          <w:szCs w:val="21"/>
        </w:rPr>
      </w:pPr>
      <w:bookmarkStart w:id="68" w:name="_8.1提供相同品牌产品且通过资格审查、符合性审查的不同投标人参加同一合"/>
      <w:bookmarkEnd w:id="68"/>
      <w:r>
        <w:rPr>
          <w:rFonts w:hint="eastAsia" w:ascii="宋体" w:hAnsi="宋体"/>
          <w:szCs w:val="21"/>
        </w:rPr>
        <w:t>7.1如果本磋商文件要求提供供应商或制造商的资格、信誉、荣誉、业绩与企业认证等材料的，资格、信誉、荣誉、业绩与企业认证等必须为供应商或者制造商所拥有或自身获得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szCs w:val="21"/>
        </w:rPr>
        <w:t>。</w:t>
      </w:r>
    </w:p>
    <w:p w14:paraId="66457FA9">
      <w:pPr>
        <w:spacing w:line="400" w:lineRule="exact"/>
        <w:ind w:firstLine="420" w:firstLineChars="200"/>
        <w:contextualSpacing/>
        <w:rPr>
          <w:rFonts w:ascii="宋体" w:hAnsi="宋体" w:cs="宋体"/>
          <w:szCs w:val="21"/>
        </w:rPr>
      </w:pPr>
      <w:r>
        <w:rPr>
          <w:rFonts w:hint="eastAsia" w:ascii="宋体" w:hAnsi="宋体" w:cs="宋体"/>
          <w:szCs w:val="21"/>
        </w:rPr>
        <w:t>7.2供应商应仔细阅读磋商文件的所有内容，按照磋商文件的要求提交响应文件，并对所提供的全部资料的真实性承担法律责任。</w:t>
      </w:r>
    </w:p>
    <w:p w14:paraId="7D47385E">
      <w:pPr>
        <w:spacing w:line="400" w:lineRule="exact"/>
        <w:ind w:firstLine="420" w:firstLineChars="200"/>
        <w:contextualSpacing/>
        <w:rPr>
          <w:rFonts w:ascii="宋体" w:hAnsi="宋体" w:cs="宋体"/>
          <w:szCs w:val="21"/>
        </w:rPr>
      </w:pPr>
      <w:r>
        <w:rPr>
          <w:rFonts w:hint="eastAsia" w:ascii="宋体" w:hAnsi="宋体" w:cs="宋体"/>
          <w:szCs w:val="21"/>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0FED4763">
      <w:pPr>
        <w:spacing w:line="400" w:lineRule="exact"/>
        <w:ind w:firstLine="420" w:firstLineChars="200"/>
        <w:contextualSpacing/>
        <w:rPr>
          <w:rFonts w:ascii="宋体" w:hAnsi="宋体" w:cs="宋体"/>
          <w:szCs w:val="21"/>
        </w:rPr>
      </w:pPr>
      <w:r>
        <w:rPr>
          <w:rFonts w:hint="eastAsia" w:ascii="宋体" w:hAnsi="宋体" w:cs="宋体"/>
          <w:szCs w:val="21"/>
        </w:rPr>
        <w:t>7.4在政府采购活动中，采购人员及相关人员与供应商有下列利害关系之一的，应当回避：</w:t>
      </w:r>
    </w:p>
    <w:p w14:paraId="0CF46BF6">
      <w:pPr>
        <w:spacing w:line="400" w:lineRule="exact"/>
        <w:ind w:firstLine="420" w:firstLineChars="200"/>
        <w:contextualSpacing/>
        <w:rPr>
          <w:rFonts w:ascii="宋体" w:hAnsi="宋体" w:cs="宋体"/>
          <w:szCs w:val="21"/>
        </w:rPr>
      </w:pPr>
      <w:r>
        <w:rPr>
          <w:rFonts w:hint="eastAsia" w:ascii="宋体" w:hAnsi="宋体" w:cs="宋体"/>
          <w:szCs w:val="21"/>
        </w:rPr>
        <w:t>（1）参加采购活动前3年内与供应商存在劳动关系；</w:t>
      </w:r>
    </w:p>
    <w:p w14:paraId="0E7E5001">
      <w:pPr>
        <w:spacing w:line="400" w:lineRule="exact"/>
        <w:ind w:firstLine="420" w:firstLineChars="200"/>
        <w:contextualSpacing/>
        <w:rPr>
          <w:rFonts w:ascii="宋体" w:hAnsi="宋体" w:cs="宋体"/>
          <w:szCs w:val="21"/>
        </w:rPr>
      </w:pPr>
      <w:r>
        <w:rPr>
          <w:rFonts w:hint="eastAsia" w:ascii="宋体" w:hAnsi="宋体" w:cs="宋体"/>
          <w:szCs w:val="21"/>
        </w:rPr>
        <w:t>（2）参加采购活动前3年内担任供应商的董事、监事；</w:t>
      </w:r>
    </w:p>
    <w:p w14:paraId="038E08A4">
      <w:pPr>
        <w:spacing w:line="400" w:lineRule="exact"/>
        <w:ind w:firstLine="420" w:firstLineChars="200"/>
        <w:contextualSpacing/>
        <w:rPr>
          <w:rFonts w:ascii="宋体" w:hAnsi="宋体" w:cs="宋体"/>
          <w:szCs w:val="21"/>
        </w:rPr>
      </w:pPr>
      <w:r>
        <w:rPr>
          <w:rFonts w:hint="eastAsia" w:ascii="宋体" w:hAnsi="宋体" w:cs="宋体"/>
          <w:szCs w:val="21"/>
        </w:rPr>
        <w:t>（3）参加采购活动前3年内是供应商的控股股东或者实际控制人；</w:t>
      </w:r>
    </w:p>
    <w:p w14:paraId="060F65F2">
      <w:pPr>
        <w:spacing w:line="400" w:lineRule="exact"/>
        <w:ind w:firstLine="420" w:firstLineChars="200"/>
        <w:contextualSpacing/>
        <w:rPr>
          <w:rFonts w:ascii="宋体" w:hAnsi="宋体" w:cs="宋体"/>
          <w:szCs w:val="21"/>
        </w:rPr>
      </w:pPr>
      <w:r>
        <w:rPr>
          <w:rFonts w:hint="eastAsia" w:ascii="宋体" w:hAnsi="宋体" w:cs="宋体"/>
          <w:szCs w:val="21"/>
        </w:rPr>
        <w:t>（4）与供应商的法定代表人或者负责人有夫妻、直系血亲、三代以内旁系血亲或者近姻亲关系；</w:t>
      </w:r>
    </w:p>
    <w:p w14:paraId="1C99181F">
      <w:pPr>
        <w:spacing w:line="400" w:lineRule="exact"/>
        <w:ind w:firstLine="420" w:firstLineChars="200"/>
        <w:contextualSpacing/>
        <w:rPr>
          <w:rFonts w:ascii="宋体" w:hAnsi="宋体" w:cs="宋体"/>
          <w:szCs w:val="21"/>
        </w:rPr>
      </w:pPr>
      <w:r>
        <w:rPr>
          <w:rFonts w:hint="eastAsia" w:ascii="宋体" w:hAnsi="宋体" w:cs="宋体"/>
          <w:szCs w:val="21"/>
        </w:rPr>
        <w:t>（5）与供应商有其他可能影响政府采购活动公平、公正进行的关系。</w:t>
      </w:r>
    </w:p>
    <w:p w14:paraId="4F71519F">
      <w:pPr>
        <w:spacing w:line="400" w:lineRule="exact"/>
        <w:ind w:firstLine="420" w:firstLineChars="200"/>
        <w:contextualSpacing/>
        <w:rPr>
          <w:rFonts w:ascii="宋体" w:hAnsi="宋体" w:cs="宋体"/>
          <w:szCs w:val="21"/>
        </w:rPr>
      </w:pPr>
      <w:r>
        <w:rPr>
          <w:rFonts w:hint="eastAsia" w:ascii="宋体" w:hAnsi="宋体" w:cs="宋体"/>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D73E426">
      <w:pPr>
        <w:spacing w:line="400" w:lineRule="exact"/>
        <w:ind w:firstLine="420" w:firstLineChars="200"/>
        <w:contextualSpacing/>
        <w:rPr>
          <w:rFonts w:ascii="宋体" w:hAnsi="宋体" w:cs="宋体"/>
          <w:szCs w:val="21"/>
        </w:rPr>
      </w:pPr>
      <w:r>
        <w:rPr>
          <w:rFonts w:hint="eastAsia" w:ascii="宋体" w:hAnsi="宋体" w:cs="宋体"/>
          <w:szCs w:val="21"/>
        </w:rPr>
        <w:t>7.5有下列情形之一的视为供应商相互串通竞标，响应文件将被视为无效：</w:t>
      </w:r>
    </w:p>
    <w:p w14:paraId="06D77F10">
      <w:pPr>
        <w:spacing w:line="400" w:lineRule="exact"/>
        <w:ind w:firstLine="420" w:firstLineChars="200"/>
        <w:contextualSpacing/>
        <w:rPr>
          <w:rFonts w:ascii="宋体" w:hAnsi="宋体" w:cs="宋体"/>
          <w:szCs w:val="21"/>
        </w:rPr>
      </w:pPr>
      <w:r>
        <w:rPr>
          <w:rFonts w:hint="eastAsia" w:ascii="宋体" w:hAnsi="宋体" w:cs="宋体"/>
          <w:szCs w:val="21"/>
        </w:rPr>
        <w:t xml:space="preserve">（1）不同供应商的响应文件由同一单位或者个人编制； </w:t>
      </w:r>
    </w:p>
    <w:p w14:paraId="5C6670B8">
      <w:pPr>
        <w:spacing w:line="400" w:lineRule="exact"/>
        <w:ind w:firstLine="420" w:firstLineChars="200"/>
        <w:contextualSpacing/>
        <w:rPr>
          <w:rFonts w:ascii="宋体" w:hAnsi="宋体" w:cs="宋体"/>
          <w:szCs w:val="21"/>
        </w:rPr>
      </w:pPr>
      <w:r>
        <w:rPr>
          <w:rFonts w:hint="eastAsia" w:ascii="宋体" w:hAnsi="宋体" w:cs="宋体"/>
          <w:szCs w:val="21"/>
        </w:rPr>
        <w:t>（2）不同供应商委托同一单位或者个人办理竞标事宜；</w:t>
      </w:r>
    </w:p>
    <w:p w14:paraId="4D1F80D4">
      <w:pPr>
        <w:spacing w:line="400" w:lineRule="exact"/>
        <w:ind w:firstLine="420" w:firstLineChars="200"/>
        <w:contextualSpacing/>
        <w:rPr>
          <w:rFonts w:ascii="宋体" w:hAnsi="宋体" w:cs="宋体"/>
          <w:szCs w:val="21"/>
        </w:rPr>
      </w:pPr>
      <w:r>
        <w:rPr>
          <w:rFonts w:hint="eastAsia" w:ascii="宋体" w:hAnsi="宋体" w:cs="宋体"/>
          <w:szCs w:val="21"/>
        </w:rPr>
        <w:t>（3）不同的供应商的响应文件载明的项目管理员为同一个人；</w:t>
      </w:r>
    </w:p>
    <w:p w14:paraId="671BDB31">
      <w:pPr>
        <w:spacing w:line="400" w:lineRule="exact"/>
        <w:ind w:firstLine="420" w:firstLineChars="200"/>
        <w:contextualSpacing/>
        <w:rPr>
          <w:rFonts w:ascii="宋体" w:hAnsi="宋体" w:cs="宋体"/>
          <w:szCs w:val="21"/>
        </w:rPr>
      </w:pPr>
      <w:r>
        <w:rPr>
          <w:rFonts w:hint="eastAsia" w:ascii="宋体" w:hAnsi="宋体" w:cs="宋体"/>
          <w:szCs w:val="21"/>
        </w:rPr>
        <w:t>（4）不同供应商的响应文件异常一致或者报价呈规律性差异；</w:t>
      </w:r>
    </w:p>
    <w:p w14:paraId="4CE2F7E4">
      <w:pPr>
        <w:spacing w:line="400" w:lineRule="exact"/>
        <w:ind w:firstLine="420" w:firstLineChars="200"/>
        <w:contextualSpacing/>
        <w:rPr>
          <w:rFonts w:ascii="宋体" w:hAnsi="宋体" w:cs="宋体"/>
          <w:szCs w:val="21"/>
        </w:rPr>
      </w:pPr>
      <w:r>
        <w:rPr>
          <w:rFonts w:hint="eastAsia" w:ascii="宋体" w:hAnsi="宋体" w:cs="宋体"/>
          <w:szCs w:val="21"/>
        </w:rPr>
        <w:t>（5）不同供应商的响应文件相互混装；</w:t>
      </w:r>
    </w:p>
    <w:p w14:paraId="3B0C4064">
      <w:pPr>
        <w:tabs>
          <w:tab w:val="left" w:pos="6931"/>
        </w:tabs>
        <w:spacing w:line="400" w:lineRule="exact"/>
        <w:ind w:firstLine="420" w:firstLineChars="200"/>
        <w:contextualSpacing/>
        <w:rPr>
          <w:rFonts w:ascii="宋体" w:hAnsi="宋体" w:cs="宋体"/>
          <w:szCs w:val="21"/>
        </w:rPr>
      </w:pPr>
      <w:r>
        <w:rPr>
          <w:rFonts w:hint="eastAsia" w:ascii="宋体" w:hAnsi="宋体" w:cs="宋体"/>
          <w:szCs w:val="21"/>
        </w:rPr>
        <w:t>（6）不同供应商的磋商保证金从同一单位或者个人账户转出。</w:t>
      </w:r>
      <w:r>
        <w:rPr>
          <w:rFonts w:ascii="宋体" w:hAnsi="宋体" w:cs="宋体"/>
          <w:szCs w:val="21"/>
        </w:rPr>
        <w:tab/>
      </w:r>
    </w:p>
    <w:p w14:paraId="4E529783">
      <w:pPr>
        <w:spacing w:line="400" w:lineRule="exact"/>
        <w:ind w:firstLine="420" w:firstLineChars="200"/>
        <w:contextualSpacing/>
        <w:rPr>
          <w:rFonts w:ascii="宋体" w:hAnsi="宋体" w:cs="宋体"/>
          <w:szCs w:val="21"/>
        </w:rPr>
      </w:pPr>
      <w:r>
        <w:rPr>
          <w:rFonts w:hint="eastAsia" w:ascii="宋体" w:hAnsi="宋体" w:cs="宋体"/>
          <w:szCs w:val="21"/>
        </w:rPr>
        <w:t>7.6供应商有下列情形之一的，属于恶意串通行为，将报同级监督管理部门：</w:t>
      </w:r>
    </w:p>
    <w:p w14:paraId="4593A389">
      <w:pPr>
        <w:spacing w:line="400" w:lineRule="exact"/>
        <w:ind w:firstLine="420" w:firstLineChars="200"/>
        <w:contextualSpacing/>
        <w:rPr>
          <w:rFonts w:ascii="宋体" w:hAnsi="宋体" w:cs="宋体"/>
          <w:szCs w:val="21"/>
        </w:rPr>
      </w:pPr>
      <w:r>
        <w:rPr>
          <w:rFonts w:hint="eastAsia" w:ascii="宋体" w:hAnsi="宋体" w:cs="宋体"/>
          <w:szCs w:val="21"/>
        </w:rPr>
        <w:t>（1）供应商直接或者间接从采购人或者采购代理机构处获得其他供应商的相关信息并修改其响应文件；</w:t>
      </w:r>
    </w:p>
    <w:p w14:paraId="391D5293">
      <w:pPr>
        <w:spacing w:line="400" w:lineRule="exact"/>
        <w:ind w:firstLine="420" w:firstLineChars="200"/>
        <w:contextualSpacing/>
        <w:rPr>
          <w:rFonts w:ascii="宋体" w:hAnsi="宋体" w:cs="宋体"/>
          <w:szCs w:val="21"/>
        </w:rPr>
      </w:pPr>
      <w:r>
        <w:rPr>
          <w:rFonts w:hint="eastAsia" w:ascii="宋体" w:hAnsi="宋体" w:cs="宋体"/>
          <w:szCs w:val="21"/>
        </w:rPr>
        <w:t>（2）供应商按照采购人或者采购代理机构的授意撤换、修改响应文件；</w:t>
      </w:r>
    </w:p>
    <w:p w14:paraId="61812726">
      <w:pPr>
        <w:spacing w:line="400" w:lineRule="exact"/>
        <w:ind w:firstLine="420" w:firstLineChars="200"/>
        <w:contextualSpacing/>
        <w:rPr>
          <w:rFonts w:ascii="宋体" w:hAnsi="宋体" w:cs="宋体"/>
          <w:szCs w:val="21"/>
        </w:rPr>
      </w:pPr>
      <w:r>
        <w:rPr>
          <w:rFonts w:hint="eastAsia" w:ascii="宋体" w:hAnsi="宋体" w:cs="宋体"/>
          <w:szCs w:val="21"/>
        </w:rPr>
        <w:t>（3）供应商之间协商报价、技术方案等响应文件或者响应文件的实质性内容；</w:t>
      </w:r>
    </w:p>
    <w:p w14:paraId="6812A00B">
      <w:pPr>
        <w:spacing w:line="400" w:lineRule="exact"/>
        <w:ind w:firstLine="420" w:firstLineChars="200"/>
        <w:contextualSpacing/>
        <w:rPr>
          <w:rFonts w:ascii="宋体" w:hAnsi="宋体" w:cs="宋体"/>
          <w:szCs w:val="21"/>
        </w:rPr>
      </w:pPr>
      <w:r>
        <w:rPr>
          <w:rFonts w:hint="eastAsia" w:ascii="宋体" w:hAnsi="宋体" w:cs="宋体"/>
          <w:szCs w:val="21"/>
        </w:rPr>
        <w:t>（4）属于同一集团、协会、商会等组织成员的供应商按照该组织要求协同参加政府采购活动；</w:t>
      </w:r>
    </w:p>
    <w:p w14:paraId="51E0084F">
      <w:pPr>
        <w:spacing w:line="400" w:lineRule="exact"/>
        <w:ind w:firstLine="420" w:firstLineChars="200"/>
        <w:contextualSpacing/>
        <w:rPr>
          <w:rFonts w:ascii="宋体" w:hAnsi="宋体" w:cs="宋体"/>
          <w:szCs w:val="21"/>
        </w:rPr>
      </w:pPr>
      <w:r>
        <w:rPr>
          <w:rFonts w:hint="eastAsia" w:ascii="宋体" w:hAnsi="宋体" w:cs="宋体"/>
          <w:szCs w:val="21"/>
        </w:rPr>
        <w:t>（5）供应商之间事先约定一致抬高或者压低报价，或者在政府采购活动中事先约定轮流以高价位或者低价位成交，或者事先约定由某一特定供应商成交，然后再参加竞标；</w:t>
      </w:r>
    </w:p>
    <w:p w14:paraId="43AE5EAE">
      <w:pPr>
        <w:spacing w:line="400" w:lineRule="exact"/>
        <w:ind w:firstLine="420" w:firstLineChars="200"/>
        <w:contextualSpacing/>
        <w:rPr>
          <w:rFonts w:ascii="宋体" w:hAnsi="宋体" w:cs="宋体"/>
          <w:szCs w:val="21"/>
        </w:rPr>
      </w:pPr>
      <w:r>
        <w:rPr>
          <w:rFonts w:hint="eastAsia" w:ascii="宋体" w:hAnsi="宋体" w:cs="宋体"/>
          <w:szCs w:val="21"/>
        </w:rPr>
        <w:t>（6）供应商之间商定部分供应商放弃参加政府采购活动或者放弃成交；</w:t>
      </w:r>
    </w:p>
    <w:p w14:paraId="15E7AD43">
      <w:pPr>
        <w:spacing w:line="400" w:lineRule="exact"/>
        <w:ind w:firstLine="420" w:firstLineChars="200"/>
        <w:contextualSpacing/>
        <w:rPr>
          <w:rFonts w:ascii="宋体" w:hAnsi="宋体" w:cs="宋体"/>
          <w:szCs w:val="21"/>
        </w:rPr>
      </w:pPr>
      <w:r>
        <w:rPr>
          <w:rFonts w:hint="eastAsia" w:ascii="宋体" w:hAnsi="宋体" w:cs="宋体"/>
          <w:szCs w:val="21"/>
        </w:rPr>
        <w:t>（7）供应商与采购人或者采购代理机构之间、供应商相互之间，为谋求特定供应商成交或者排斥其他供应商的其他串通行为。</w:t>
      </w:r>
    </w:p>
    <w:p w14:paraId="4208EB36">
      <w:pPr>
        <w:spacing w:line="400" w:lineRule="exact"/>
        <w:ind w:firstLine="420" w:firstLineChars="200"/>
        <w:contextualSpacing/>
        <w:rPr>
          <w:rFonts w:ascii="宋体" w:hAnsi="宋体" w:cs="宋体"/>
          <w:szCs w:val="21"/>
        </w:rPr>
      </w:pPr>
    </w:p>
    <w:p w14:paraId="74A0ED5D">
      <w:pPr>
        <w:spacing w:line="400" w:lineRule="exact"/>
        <w:ind w:left="1" w:firstLine="417" w:firstLineChars="199"/>
        <w:contextualSpacing/>
        <w:jc w:val="center"/>
        <w:rPr>
          <w:rFonts w:ascii="宋体" w:hAnsi="宋体"/>
        </w:rPr>
      </w:pPr>
      <w:bookmarkStart w:id="69" w:name="_Toc254970675"/>
      <w:bookmarkStart w:id="70" w:name="_Toc254970534"/>
    </w:p>
    <w:p w14:paraId="05F9E52F">
      <w:pPr>
        <w:spacing w:line="400" w:lineRule="exact"/>
        <w:contextualSpacing/>
        <w:jc w:val="center"/>
        <w:rPr>
          <w:rFonts w:ascii="宋体" w:hAnsi="宋体"/>
          <w:b/>
          <w:bCs/>
          <w:sz w:val="32"/>
          <w:szCs w:val="32"/>
        </w:rPr>
      </w:pPr>
      <w:r>
        <w:rPr>
          <w:rFonts w:hint="eastAsia" w:ascii="宋体" w:hAnsi="宋体"/>
          <w:b/>
          <w:bCs/>
          <w:sz w:val="32"/>
          <w:szCs w:val="32"/>
        </w:rPr>
        <w:t>二、磋商文件</w:t>
      </w:r>
      <w:bookmarkEnd w:id="69"/>
      <w:bookmarkEnd w:id="70"/>
    </w:p>
    <w:p w14:paraId="644C7818">
      <w:pPr>
        <w:spacing w:line="400" w:lineRule="exact"/>
        <w:contextualSpacing/>
        <w:jc w:val="center"/>
        <w:rPr>
          <w:rFonts w:ascii="宋体" w:hAnsi="宋体"/>
          <w:szCs w:val="21"/>
        </w:rPr>
      </w:pPr>
    </w:p>
    <w:p w14:paraId="328932FD">
      <w:pPr>
        <w:spacing w:line="400" w:lineRule="exact"/>
        <w:ind w:firstLine="482" w:firstLineChars="200"/>
        <w:contextualSpacing/>
        <w:rPr>
          <w:rFonts w:ascii="宋体" w:hAnsi="宋体" w:cs="宋体"/>
          <w:b/>
          <w:bCs/>
          <w:sz w:val="24"/>
        </w:rPr>
      </w:pPr>
      <w:r>
        <w:rPr>
          <w:rFonts w:hint="eastAsia" w:ascii="宋体" w:hAnsi="宋体" w:cs="宋体"/>
          <w:b/>
          <w:bCs/>
          <w:sz w:val="24"/>
        </w:rPr>
        <w:t>8.磋商文件的构成</w:t>
      </w:r>
    </w:p>
    <w:p w14:paraId="45C643C5">
      <w:pPr>
        <w:spacing w:line="400" w:lineRule="exact"/>
        <w:ind w:firstLine="420" w:firstLineChars="200"/>
        <w:contextualSpacing/>
        <w:jc w:val="left"/>
        <w:rPr>
          <w:rFonts w:ascii="宋体" w:hAnsi="宋体"/>
          <w:szCs w:val="21"/>
        </w:rPr>
      </w:pPr>
      <w:r>
        <w:rPr>
          <w:rFonts w:hint="eastAsia" w:ascii="宋体" w:hAnsi="宋体"/>
          <w:szCs w:val="21"/>
        </w:rPr>
        <w:t>（1）竞争性磋商公告；</w:t>
      </w:r>
    </w:p>
    <w:p w14:paraId="6A379C1A">
      <w:pPr>
        <w:spacing w:line="400" w:lineRule="exact"/>
        <w:ind w:firstLine="420" w:firstLineChars="200"/>
        <w:contextualSpacing/>
        <w:jc w:val="left"/>
        <w:rPr>
          <w:rFonts w:ascii="宋体" w:hAnsi="宋体"/>
          <w:szCs w:val="21"/>
        </w:rPr>
      </w:pPr>
      <w:r>
        <w:rPr>
          <w:rFonts w:hint="eastAsia" w:ascii="宋体" w:hAnsi="宋体"/>
          <w:szCs w:val="21"/>
        </w:rPr>
        <w:t xml:space="preserve">（2）供应商须知； </w:t>
      </w:r>
    </w:p>
    <w:p w14:paraId="4A21F22E">
      <w:pPr>
        <w:spacing w:line="400" w:lineRule="exact"/>
        <w:ind w:firstLine="420" w:firstLineChars="200"/>
        <w:contextualSpacing/>
        <w:jc w:val="left"/>
        <w:rPr>
          <w:rFonts w:ascii="宋体" w:hAnsi="宋体"/>
          <w:szCs w:val="21"/>
        </w:rPr>
      </w:pPr>
      <w:r>
        <w:rPr>
          <w:rFonts w:hint="eastAsia" w:ascii="宋体" w:hAnsi="宋体"/>
          <w:szCs w:val="21"/>
        </w:rPr>
        <w:t>（3）采购需求；</w:t>
      </w:r>
    </w:p>
    <w:p w14:paraId="37A06784">
      <w:pPr>
        <w:spacing w:line="400" w:lineRule="exact"/>
        <w:ind w:firstLine="420" w:firstLineChars="200"/>
        <w:contextualSpacing/>
        <w:jc w:val="left"/>
        <w:rPr>
          <w:rFonts w:ascii="宋体" w:hAnsi="宋体"/>
          <w:szCs w:val="21"/>
        </w:rPr>
      </w:pPr>
      <w:r>
        <w:rPr>
          <w:rFonts w:hint="eastAsia" w:ascii="宋体" w:hAnsi="宋体"/>
          <w:szCs w:val="21"/>
        </w:rPr>
        <w:t>（4）评审程序、评审方法和评审标准；</w:t>
      </w:r>
    </w:p>
    <w:p w14:paraId="093789CA">
      <w:pPr>
        <w:spacing w:line="400" w:lineRule="exact"/>
        <w:ind w:firstLine="420" w:firstLineChars="200"/>
        <w:contextualSpacing/>
        <w:jc w:val="left"/>
        <w:rPr>
          <w:rFonts w:ascii="宋体" w:hAnsi="宋体"/>
          <w:szCs w:val="21"/>
        </w:rPr>
      </w:pPr>
      <w:r>
        <w:rPr>
          <w:rFonts w:hint="eastAsia" w:ascii="宋体" w:hAnsi="宋体"/>
          <w:szCs w:val="21"/>
        </w:rPr>
        <w:t>（5）响应文件格式；</w:t>
      </w:r>
    </w:p>
    <w:p w14:paraId="336357CD">
      <w:pPr>
        <w:spacing w:line="400" w:lineRule="exact"/>
        <w:ind w:firstLine="420" w:firstLineChars="200"/>
        <w:contextualSpacing/>
        <w:jc w:val="left"/>
        <w:rPr>
          <w:rFonts w:ascii="宋体" w:hAnsi="宋体"/>
          <w:szCs w:val="21"/>
        </w:rPr>
      </w:pPr>
      <w:r>
        <w:rPr>
          <w:rFonts w:hint="eastAsia" w:ascii="宋体" w:hAnsi="宋体"/>
          <w:szCs w:val="21"/>
        </w:rPr>
        <w:t>（6）合同文本。</w:t>
      </w:r>
    </w:p>
    <w:p w14:paraId="55AE4812">
      <w:pPr>
        <w:spacing w:line="400" w:lineRule="exact"/>
        <w:ind w:firstLine="482" w:firstLineChars="200"/>
        <w:contextualSpacing/>
        <w:rPr>
          <w:rFonts w:ascii="宋体" w:hAnsi="宋体" w:cs="宋体"/>
          <w:b/>
          <w:bCs/>
          <w:sz w:val="24"/>
        </w:rPr>
      </w:pPr>
      <w:r>
        <w:rPr>
          <w:rFonts w:hint="eastAsia" w:ascii="宋体" w:hAnsi="宋体" w:cs="宋体"/>
          <w:b/>
          <w:bCs/>
          <w:sz w:val="24"/>
        </w:rPr>
        <w:t>9.供应商的询问</w:t>
      </w:r>
    </w:p>
    <w:p w14:paraId="0C44415D">
      <w:pPr>
        <w:spacing w:line="400" w:lineRule="exact"/>
        <w:ind w:firstLine="420" w:firstLineChars="200"/>
        <w:contextualSpacing/>
        <w:rPr>
          <w:rFonts w:ascii="宋体" w:hAnsi="宋体"/>
          <w:szCs w:val="21"/>
        </w:rPr>
      </w:pPr>
      <w:r>
        <w:rPr>
          <w:rFonts w:hint="eastAsia" w:ascii="宋体" w:hAnsi="宋体"/>
          <w:szCs w:val="21"/>
        </w:rPr>
        <w:t>供应商应认真阅读磋商文件的采购需求，如供应商对磋商文件有疑问的，如要求采购人作出澄清或者修改的，供应商尽可能在</w:t>
      </w:r>
      <w:r>
        <w:rPr>
          <w:rFonts w:ascii="宋体" w:hAnsi="宋体"/>
          <w:szCs w:val="21"/>
        </w:rPr>
        <w:t>提交首次响应文件截止之日前</w:t>
      </w:r>
      <w:r>
        <w:rPr>
          <w:rFonts w:hint="eastAsia" w:ascii="宋体" w:hAnsi="宋体"/>
          <w:szCs w:val="21"/>
        </w:rPr>
        <w:t>，以书面形式向</w:t>
      </w:r>
      <w:r>
        <w:rPr>
          <w:rFonts w:ascii="宋体" w:hAnsi="宋体"/>
          <w:szCs w:val="21"/>
        </w:rPr>
        <w:t>采购人、采购代理机构</w:t>
      </w:r>
      <w:r>
        <w:rPr>
          <w:rFonts w:hint="eastAsia" w:ascii="宋体" w:hAnsi="宋体"/>
          <w:szCs w:val="21"/>
        </w:rPr>
        <w:t>提出。</w:t>
      </w:r>
    </w:p>
    <w:p w14:paraId="3D39CF5B">
      <w:pPr>
        <w:spacing w:line="400" w:lineRule="exact"/>
        <w:ind w:firstLine="482" w:firstLineChars="200"/>
        <w:contextualSpacing/>
        <w:rPr>
          <w:rFonts w:ascii="宋体" w:hAnsi="宋体" w:cs="宋体"/>
          <w:b/>
          <w:bCs/>
          <w:sz w:val="24"/>
        </w:rPr>
      </w:pPr>
      <w:r>
        <w:rPr>
          <w:rFonts w:hint="eastAsia" w:ascii="宋体" w:hAnsi="宋体" w:cs="宋体"/>
          <w:b/>
          <w:bCs/>
          <w:sz w:val="24"/>
        </w:rPr>
        <w:t>10.磋商文件的澄清和修改</w:t>
      </w:r>
    </w:p>
    <w:p w14:paraId="0A151DC5">
      <w:pPr>
        <w:spacing w:line="400" w:lineRule="exact"/>
        <w:ind w:firstLine="420" w:firstLineChars="200"/>
        <w:contextualSpacing/>
        <w:rPr>
          <w:rFonts w:ascii="宋体" w:hAnsi="宋体"/>
          <w:szCs w:val="21"/>
        </w:rPr>
      </w:pPr>
      <w:r>
        <w:rPr>
          <w:rFonts w:ascii="宋体" w:hAnsi="宋体"/>
          <w:szCs w:val="21"/>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通知所有</w:t>
      </w:r>
      <w:r>
        <w:rPr>
          <w:rFonts w:hint="eastAsia" w:ascii="宋体" w:hAnsi="宋体"/>
          <w:szCs w:val="21"/>
        </w:rPr>
        <w:t>获取</w:t>
      </w:r>
      <w:r>
        <w:rPr>
          <w:rFonts w:ascii="宋体" w:hAnsi="宋体"/>
          <w:szCs w:val="21"/>
        </w:rPr>
        <w:t>磋商文件的供应商，不足3个工作日的，应当顺延提交首次响应文件截止之日。</w:t>
      </w:r>
    </w:p>
    <w:p w14:paraId="07E13372">
      <w:pPr>
        <w:spacing w:line="400" w:lineRule="exact"/>
        <w:contextualSpacing/>
        <w:rPr>
          <w:rFonts w:ascii="宋体" w:hAnsi="宋体"/>
          <w:szCs w:val="21"/>
        </w:rPr>
      </w:pPr>
    </w:p>
    <w:p w14:paraId="3D82D8FE">
      <w:pPr>
        <w:spacing w:line="400" w:lineRule="exact"/>
        <w:contextualSpacing/>
        <w:jc w:val="center"/>
        <w:rPr>
          <w:rFonts w:ascii="宋体" w:hAnsi="宋体"/>
          <w:b/>
          <w:bCs/>
          <w:szCs w:val="21"/>
        </w:rPr>
      </w:pPr>
      <w:r>
        <w:rPr>
          <w:rFonts w:hint="eastAsia" w:ascii="宋体" w:hAnsi="宋体"/>
          <w:b/>
          <w:bCs/>
          <w:sz w:val="32"/>
          <w:szCs w:val="32"/>
        </w:rPr>
        <w:t>三、响应文件的编制</w:t>
      </w:r>
    </w:p>
    <w:p w14:paraId="5428CC31">
      <w:pPr>
        <w:spacing w:line="400" w:lineRule="exact"/>
        <w:contextualSpacing/>
        <w:rPr>
          <w:rFonts w:ascii="宋体" w:hAnsi="宋体"/>
          <w:szCs w:val="21"/>
        </w:rPr>
      </w:pPr>
    </w:p>
    <w:p w14:paraId="256FE51F">
      <w:pPr>
        <w:spacing w:line="400" w:lineRule="exact"/>
        <w:ind w:firstLine="482" w:firstLineChars="200"/>
        <w:contextualSpacing/>
        <w:rPr>
          <w:rFonts w:ascii="宋体" w:hAnsi="宋体" w:cs="宋体"/>
          <w:b/>
          <w:bCs/>
          <w:sz w:val="24"/>
        </w:rPr>
      </w:pPr>
      <w:r>
        <w:rPr>
          <w:rFonts w:hint="eastAsia" w:ascii="宋体" w:hAnsi="宋体" w:cs="宋体"/>
          <w:b/>
          <w:bCs/>
          <w:sz w:val="24"/>
        </w:rPr>
        <w:t>11.响应文件的编制原则</w:t>
      </w:r>
    </w:p>
    <w:p w14:paraId="457D7E36">
      <w:pPr>
        <w:spacing w:line="400" w:lineRule="exact"/>
        <w:ind w:firstLine="420" w:firstLineChars="200"/>
        <w:contextualSpacing/>
        <w:rPr>
          <w:rFonts w:ascii="宋体" w:hAnsi="宋体" w:cs="宋体"/>
          <w:szCs w:val="21"/>
        </w:rPr>
      </w:pPr>
      <w:r>
        <w:rPr>
          <w:rFonts w:hint="eastAsia" w:ascii="宋体" w:hAnsi="宋体" w:cs="宋体"/>
          <w:szCs w:val="21"/>
        </w:rPr>
        <w:t>供应商必须按照磋商文件的要求编制响应文件，并对其提交的响应文件的真实性、合法性承担法律责任。响应文件必须对磋商文件作出实质性响应。</w:t>
      </w:r>
    </w:p>
    <w:p w14:paraId="3ADADDA5">
      <w:pPr>
        <w:spacing w:line="400" w:lineRule="exact"/>
        <w:ind w:firstLine="482" w:firstLineChars="200"/>
        <w:contextualSpacing/>
        <w:rPr>
          <w:rFonts w:ascii="宋体" w:hAnsi="宋体" w:cs="宋体"/>
          <w:b/>
          <w:bCs/>
          <w:sz w:val="24"/>
        </w:rPr>
      </w:pPr>
      <w:r>
        <w:rPr>
          <w:rFonts w:hint="eastAsia" w:ascii="宋体" w:hAnsi="宋体" w:cs="宋体"/>
          <w:b/>
          <w:bCs/>
          <w:sz w:val="24"/>
        </w:rPr>
        <w:t>12.响应文件的组成</w:t>
      </w:r>
    </w:p>
    <w:p w14:paraId="19649FEF">
      <w:pPr>
        <w:spacing w:line="400" w:lineRule="exact"/>
        <w:ind w:firstLine="420" w:firstLineChars="200"/>
        <w:rPr>
          <w:rFonts w:ascii="宋体" w:hAnsi="宋体" w:cs="宋体"/>
          <w:szCs w:val="21"/>
        </w:rPr>
      </w:pPr>
      <w:r>
        <w:rPr>
          <w:rFonts w:hint="eastAsia" w:ascii="宋体" w:hAnsi="宋体" w:cs="宋体"/>
          <w:szCs w:val="21"/>
        </w:rPr>
        <w:t>12.1响应文件由资格证明文件、报价文件、商务技术文件三部分组成。</w:t>
      </w:r>
    </w:p>
    <w:p w14:paraId="7F14075B">
      <w:pPr>
        <w:spacing w:line="400" w:lineRule="exact"/>
        <w:ind w:left="840" w:leftChars="200" w:hanging="420" w:hangingChars="200"/>
        <w:rPr>
          <w:rFonts w:ascii="宋体" w:hAnsi="宋体" w:cs="宋体"/>
          <w:szCs w:val="21"/>
        </w:rPr>
      </w:pPr>
      <w:r>
        <w:rPr>
          <w:rFonts w:hint="eastAsia" w:ascii="宋体" w:hAnsi="宋体" w:cs="宋体"/>
          <w:szCs w:val="21"/>
        </w:rPr>
        <w:t>12.1.1资格证明文件：详见“供应商须知前附表”</w:t>
      </w:r>
    </w:p>
    <w:p w14:paraId="756D8FA5">
      <w:pPr>
        <w:spacing w:line="400" w:lineRule="exact"/>
        <w:ind w:left="840" w:leftChars="200" w:hanging="420" w:hangingChars="200"/>
        <w:rPr>
          <w:rFonts w:ascii="宋体" w:hAnsi="宋体" w:cs="宋体"/>
          <w:szCs w:val="21"/>
        </w:rPr>
      </w:pPr>
      <w:r>
        <w:rPr>
          <w:rFonts w:hint="eastAsia" w:ascii="宋体" w:hAnsi="宋体" w:cs="宋体"/>
          <w:szCs w:val="21"/>
        </w:rPr>
        <w:t>12.1.2报价文件：详见“供应商须知前附表”</w:t>
      </w:r>
    </w:p>
    <w:p w14:paraId="206878BB">
      <w:pPr>
        <w:spacing w:line="400" w:lineRule="exact"/>
        <w:ind w:left="840" w:leftChars="200" w:hanging="420" w:hangingChars="200"/>
        <w:contextualSpacing/>
        <w:rPr>
          <w:rFonts w:ascii="宋体" w:hAnsi="宋体" w:cs="宋体"/>
          <w:szCs w:val="21"/>
        </w:rPr>
      </w:pPr>
      <w:r>
        <w:rPr>
          <w:rFonts w:hint="eastAsia" w:ascii="宋体" w:hAnsi="宋体" w:cs="宋体"/>
          <w:szCs w:val="21"/>
        </w:rPr>
        <w:t>12.1.3商务技术文件：详见“供应商须知前附表”</w:t>
      </w:r>
    </w:p>
    <w:p w14:paraId="7B503E0D">
      <w:pPr>
        <w:spacing w:line="400" w:lineRule="exact"/>
        <w:ind w:firstLine="482" w:firstLineChars="200"/>
        <w:contextualSpacing/>
        <w:rPr>
          <w:rFonts w:ascii="宋体" w:hAnsi="宋体" w:cs="宋体"/>
          <w:b/>
          <w:bCs/>
          <w:sz w:val="24"/>
        </w:rPr>
      </w:pPr>
      <w:r>
        <w:rPr>
          <w:rFonts w:hint="eastAsia" w:ascii="宋体" w:hAnsi="宋体" w:cs="宋体"/>
          <w:b/>
          <w:bCs/>
          <w:sz w:val="24"/>
        </w:rPr>
        <w:t>13.计量单位</w:t>
      </w:r>
    </w:p>
    <w:p w14:paraId="539B946C">
      <w:pPr>
        <w:spacing w:line="400" w:lineRule="exact"/>
        <w:ind w:firstLine="420" w:firstLineChars="200"/>
        <w:contextualSpacing/>
        <w:rPr>
          <w:rFonts w:ascii="宋体" w:hAnsi="宋体" w:cs="宋体"/>
          <w:szCs w:val="21"/>
        </w:rPr>
      </w:pPr>
      <w:r>
        <w:rPr>
          <w:rFonts w:hint="eastAsia" w:ascii="宋体" w:hAnsi="宋体" w:cs="宋体"/>
          <w:szCs w:val="21"/>
        </w:rPr>
        <w:t>磋商文件已有明确规定的，使用磋商文件规定的计量单位；磋商文件没有规定的，应采用中华人民共和国法定计量单位，货币种类为人民币，否则视同未响应。</w:t>
      </w:r>
    </w:p>
    <w:p w14:paraId="1CF6AA30">
      <w:pPr>
        <w:spacing w:line="400" w:lineRule="exact"/>
        <w:ind w:firstLine="482" w:firstLineChars="200"/>
        <w:contextualSpacing/>
        <w:rPr>
          <w:rFonts w:ascii="宋体" w:hAnsi="宋体" w:cs="宋体"/>
          <w:b/>
          <w:bCs/>
          <w:sz w:val="24"/>
        </w:rPr>
      </w:pPr>
      <w:r>
        <w:rPr>
          <w:rFonts w:hint="eastAsia" w:ascii="宋体" w:hAnsi="宋体" w:cs="宋体"/>
          <w:b/>
          <w:bCs/>
          <w:sz w:val="24"/>
        </w:rPr>
        <w:t>14.竞标的风险</w:t>
      </w:r>
    </w:p>
    <w:p w14:paraId="1D43C896">
      <w:pPr>
        <w:spacing w:line="400" w:lineRule="exact"/>
        <w:ind w:firstLine="420" w:firstLineChars="200"/>
        <w:contextualSpacing/>
        <w:rPr>
          <w:rFonts w:ascii="宋体" w:hAnsi="宋体" w:cs="宋体"/>
          <w:szCs w:val="21"/>
        </w:rPr>
      </w:pPr>
      <w:r>
        <w:rPr>
          <w:rFonts w:hint="eastAsia" w:ascii="宋体" w:hAnsi="宋体" w:cs="宋体"/>
          <w:szCs w:val="21"/>
        </w:rPr>
        <w:t>供应商没有按照磋商文件要求提供全部资料，或者供应商没有对磋商文件在各方面作出实质性响应可能导致其响应无效，是供应商应当考虑的风险。</w:t>
      </w:r>
    </w:p>
    <w:p w14:paraId="675F5D18">
      <w:pPr>
        <w:spacing w:line="400" w:lineRule="exact"/>
        <w:ind w:firstLine="482" w:firstLineChars="200"/>
        <w:contextualSpacing/>
        <w:rPr>
          <w:rFonts w:ascii="宋体" w:hAnsi="宋体" w:cs="宋体"/>
          <w:b/>
          <w:bCs/>
          <w:sz w:val="24"/>
        </w:rPr>
      </w:pPr>
      <w:r>
        <w:rPr>
          <w:rFonts w:hint="eastAsia" w:ascii="宋体" w:hAnsi="宋体" w:cs="宋体"/>
          <w:b/>
          <w:bCs/>
          <w:sz w:val="24"/>
        </w:rPr>
        <w:t>15.竞标报价</w:t>
      </w:r>
    </w:p>
    <w:p w14:paraId="6D2940CC">
      <w:pPr>
        <w:tabs>
          <w:tab w:val="left" w:pos="2492"/>
        </w:tabs>
        <w:spacing w:line="400" w:lineRule="exact"/>
        <w:ind w:firstLine="420" w:firstLineChars="200"/>
        <w:contextualSpacing/>
        <w:rPr>
          <w:rFonts w:ascii="宋体" w:hAnsi="宋体" w:cs="宋体"/>
          <w:szCs w:val="21"/>
        </w:rPr>
      </w:pPr>
      <w:r>
        <w:rPr>
          <w:rFonts w:hint="eastAsia" w:ascii="宋体" w:hAnsi="宋体" w:cs="宋体"/>
          <w:szCs w:val="21"/>
        </w:rPr>
        <w:t>15.1竞标报价应按磋商文件中“竞标报价表”格式填写。</w:t>
      </w:r>
    </w:p>
    <w:p w14:paraId="24E86F02">
      <w:pPr>
        <w:tabs>
          <w:tab w:val="left" w:pos="2492"/>
        </w:tabs>
        <w:spacing w:line="400" w:lineRule="exact"/>
        <w:ind w:firstLine="420" w:firstLineChars="200"/>
        <w:contextualSpacing/>
        <w:rPr>
          <w:rFonts w:ascii="宋体" w:hAnsi="宋体" w:cs="宋体"/>
          <w:szCs w:val="21"/>
        </w:rPr>
      </w:pPr>
      <w:r>
        <w:rPr>
          <w:rFonts w:hint="eastAsia" w:ascii="宋体" w:hAnsi="宋体" w:cs="宋体"/>
          <w:szCs w:val="21"/>
        </w:rPr>
        <w:t>15.2竞标报价的内容见“供应商须知前附表”。</w:t>
      </w:r>
    </w:p>
    <w:p w14:paraId="2FBE3391">
      <w:pPr>
        <w:spacing w:line="400" w:lineRule="exact"/>
        <w:ind w:left="426" w:leftChars="203"/>
        <w:contextualSpacing/>
        <w:rPr>
          <w:rFonts w:ascii="宋体" w:hAnsi="宋体" w:cs="宋体"/>
          <w:szCs w:val="21"/>
        </w:rPr>
      </w:pPr>
      <w:r>
        <w:rPr>
          <w:rFonts w:hint="eastAsia" w:ascii="宋体" w:hAnsi="宋体" w:cs="宋体"/>
          <w:szCs w:val="21"/>
        </w:rPr>
        <w:t>15.3竞标报价要求</w:t>
      </w:r>
    </w:p>
    <w:p w14:paraId="32B099B6">
      <w:pPr>
        <w:spacing w:line="400" w:lineRule="exact"/>
        <w:ind w:firstLine="420" w:firstLineChars="200"/>
        <w:contextualSpacing/>
        <w:rPr>
          <w:rFonts w:ascii="宋体" w:hAnsi="宋体" w:cs="宋体"/>
          <w:szCs w:val="21"/>
        </w:rPr>
      </w:pPr>
      <w:r>
        <w:rPr>
          <w:rFonts w:hint="eastAsia" w:ascii="宋体" w:hAnsi="宋体" w:cs="宋体"/>
          <w:szCs w:val="21"/>
        </w:rPr>
        <w:t>1</w:t>
      </w:r>
      <w:r>
        <w:rPr>
          <w:rFonts w:ascii="宋体" w:hAnsi="宋体" w:cs="宋体"/>
          <w:szCs w:val="21"/>
        </w:rPr>
        <w:t>5.3.1</w:t>
      </w:r>
      <w:r>
        <w:rPr>
          <w:rFonts w:hint="eastAsia" w:ascii="宋体" w:hAnsi="宋体" w:cs="宋体"/>
          <w:szCs w:val="21"/>
        </w:rPr>
        <w:t>供应商的竞标报价应符合以下要求，否则响应文件按无效响应处理：</w:t>
      </w:r>
    </w:p>
    <w:p w14:paraId="1EAF67B3">
      <w:pPr>
        <w:spacing w:line="400" w:lineRule="exact"/>
        <w:ind w:firstLine="420" w:firstLineChars="200"/>
        <w:contextualSpacing/>
        <w:rPr>
          <w:rFonts w:ascii="宋体" w:hAnsi="宋体" w:cs="宋体"/>
          <w:szCs w:val="21"/>
        </w:rPr>
      </w:pPr>
      <w:r>
        <w:rPr>
          <w:rFonts w:hint="eastAsia" w:ascii="宋体" w:hAnsi="宋体" w:cs="宋体"/>
          <w:szCs w:val="21"/>
        </w:rPr>
        <w:t>（1）供应商必须就“采购需求”中所竞标的全部内容分别作完整唯一总价报价，不得存在漏项报价；</w:t>
      </w:r>
    </w:p>
    <w:p w14:paraId="4AFA7143">
      <w:pPr>
        <w:spacing w:line="400" w:lineRule="exact"/>
        <w:ind w:firstLine="420" w:firstLineChars="200"/>
        <w:contextualSpacing/>
        <w:rPr>
          <w:rFonts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）项目为多分项的,供应商必须就单项内容作唯一报价。</w:t>
      </w:r>
    </w:p>
    <w:p w14:paraId="434B1BE1">
      <w:pPr>
        <w:spacing w:line="400" w:lineRule="exact"/>
        <w:ind w:firstLine="420" w:firstLineChars="200"/>
        <w:contextualSpacing/>
        <w:rPr>
          <w:rFonts w:ascii="宋体" w:hAnsi="宋体" w:cs="宋体"/>
          <w:szCs w:val="21"/>
        </w:rPr>
      </w:pPr>
      <w:r>
        <w:rPr>
          <w:rFonts w:hint="eastAsia" w:ascii="宋体" w:hAnsi="宋体" w:cs="宋体"/>
          <w:szCs w:val="21"/>
        </w:rPr>
        <w:t>15.3.</w:t>
      </w:r>
      <w:r>
        <w:rPr>
          <w:rFonts w:ascii="宋体" w:hAnsi="宋体" w:cs="宋体"/>
          <w:szCs w:val="21"/>
        </w:rPr>
        <w:t>2</w:t>
      </w:r>
      <w:r>
        <w:rPr>
          <w:rFonts w:hint="eastAsia" w:ascii="宋体" w:hAnsi="宋体" w:cs="宋体"/>
          <w:szCs w:val="21"/>
        </w:rPr>
        <w:t>竞标报价（包含首次报价、最后报价）超过规定的采购预算金额或者最高限价的，其响应文件将按无效处理。</w:t>
      </w:r>
    </w:p>
    <w:p w14:paraId="4FA8FC63">
      <w:pPr>
        <w:spacing w:line="400" w:lineRule="exact"/>
        <w:ind w:firstLine="420" w:firstLineChars="200"/>
        <w:contextualSpacing/>
        <w:rPr>
          <w:rFonts w:ascii="宋体" w:hAnsi="宋体" w:cs="宋体"/>
          <w:szCs w:val="21"/>
        </w:rPr>
      </w:pPr>
      <w:r>
        <w:rPr>
          <w:rFonts w:hint="eastAsia" w:ascii="宋体" w:hAnsi="宋体" w:cs="宋体"/>
          <w:szCs w:val="21"/>
        </w:rPr>
        <w:t>15.3.</w:t>
      </w:r>
      <w:r>
        <w:rPr>
          <w:rFonts w:ascii="宋体" w:hAnsi="宋体" w:cs="宋体"/>
          <w:szCs w:val="21"/>
        </w:rPr>
        <w:t>3</w:t>
      </w:r>
      <w:bookmarkStart w:id="71" w:name="_Hlk42592874"/>
      <w:r>
        <w:rPr>
          <w:rFonts w:hint="eastAsia" w:ascii="宋体" w:hAnsi="宋体" w:cs="宋体"/>
          <w:szCs w:val="21"/>
        </w:rPr>
        <w:t>竞标报价（包含首次报价、最后报价）超过分项采购预算金额或者最高限价的，其响应文件将按无效处理。</w:t>
      </w:r>
    </w:p>
    <w:bookmarkEnd w:id="71"/>
    <w:p w14:paraId="0496FA50">
      <w:pPr>
        <w:spacing w:line="400" w:lineRule="exact"/>
        <w:ind w:firstLine="482" w:firstLineChars="200"/>
        <w:contextualSpacing/>
        <w:rPr>
          <w:rFonts w:ascii="宋体" w:hAnsi="宋体" w:cs="宋体"/>
          <w:b/>
          <w:bCs/>
          <w:sz w:val="24"/>
        </w:rPr>
      </w:pPr>
      <w:r>
        <w:rPr>
          <w:rFonts w:hint="eastAsia" w:ascii="宋体" w:hAnsi="宋体" w:cs="宋体"/>
          <w:b/>
          <w:bCs/>
          <w:sz w:val="24"/>
        </w:rPr>
        <w:t>16.竞标有效期</w:t>
      </w:r>
    </w:p>
    <w:p w14:paraId="25EA1DF4">
      <w:pPr>
        <w:spacing w:line="400" w:lineRule="exact"/>
        <w:ind w:firstLine="420" w:firstLineChars="200"/>
        <w:contextualSpacing/>
        <w:rPr>
          <w:rFonts w:ascii="宋体" w:hAnsi="宋体" w:cs="宋体"/>
          <w:szCs w:val="21"/>
        </w:rPr>
      </w:pPr>
      <w:r>
        <w:rPr>
          <w:rFonts w:hint="eastAsia" w:ascii="宋体" w:hAnsi="宋体" w:cs="宋体"/>
          <w:szCs w:val="21"/>
        </w:rPr>
        <w:t>16.1竞标有效期是指为保证采购人有足够的时间在提交响应文件后完成评审、确定成交供应商、合同签订等工作而要求供应商提交的响应文件在一定时间内保持有效的期限。</w:t>
      </w:r>
    </w:p>
    <w:p w14:paraId="6A61AA14">
      <w:pPr>
        <w:spacing w:line="400" w:lineRule="exact"/>
        <w:ind w:firstLine="420" w:firstLineChars="200"/>
        <w:contextualSpacing/>
        <w:rPr>
          <w:rFonts w:ascii="宋体" w:hAnsi="宋体" w:cs="宋体"/>
          <w:szCs w:val="21"/>
        </w:rPr>
      </w:pPr>
      <w:r>
        <w:rPr>
          <w:rFonts w:hint="eastAsia" w:ascii="宋体" w:hAnsi="宋体" w:cs="宋体"/>
          <w:szCs w:val="21"/>
        </w:rPr>
        <w:t>16.2 竞标有效期应由供应商按“供应商须知前附表”规定的期限作出响应。</w:t>
      </w:r>
    </w:p>
    <w:p w14:paraId="6E273282">
      <w:pPr>
        <w:spacing w:line="400" w:lineRule="exact"/>
        <w:ind w:firstLine="420" w:firstLineChars="200"/>
        <w:contextualSpacing/>
        <w:rPr>
          <w:rFonts w:ascii="宋体" w:hAnsi="宋体" w:cs="宋体"/>
          <w:szCs w:val="21"/>
        </w:rPr>
      </w:pPr>
      <w:r>
        <w:rPr>
          <w:rFonts w:hint="eastAsia" w:ascii="宋体" w:hAnsi="宋体" w:cs="宋体"/>
          <w:szCs w:val="21"/>
        </w:rPr>
        <w:t>16.3供应商的响应文件在竞标有效期内均保持有效。</w:t>
      </w:r>
    </w:p>
    <w:p w14:paraId="1AC90B0A">
      <w:pPr>
        <w:spacing w:line="400" w:lineRule="exact"/>
        <w:ind w:firstLine="482" w:firstLineChars="200"/>
        <w:contextualSpacing/>
        <w:rPr>
          <w:rFonts w:ascii="宋体" w:hAnsi="宋体" w:cs="宋体"/>
          <w:b/>
          <w:bCs/>
          <w:sz w:val="24"/>
        </w:rPr>
      </w:pPr>
      <w:r>
        <w:rPr>
          <w:rFonts w:hint="eastAsia" w:ascii="宋体" w:hAnsi="宋体" w:cs="宋体"/>
          <w:b/>
          <w:bCs/>
          <w:sz w:val="24"/>
        </w:rPr>
        <w:t>17.磋商保证金</w:t>
      </w:r>
    </w:p>
    <w:p w14:paraId="3FA9C25F">
      <w:pPr>
        <w:spacing w:line="400" w:lineRule="exact"/>
        <w:ind w:left="420" w:leftChars="200"/>
        <w:contextualSpacing/>
        <w:rPr>
          <w:rFonts w:ascii="宋体" w:hAnsi="宋体" w:cs="宋体"/>
          <w:szCs w:val="21"/>
        </w:rPr>
      </w:pPr>
      <w:r>
        <w:rPr>
          <w:rFonts w:hint="eastAsia" w:ascii="宋体" w:hAnsi="宋体" w:cs="宋体"/>
          <w:szCs w:val="21"/>
        </w:rPr>
        <w:t>17.1供应商须按“供应商须知前附表”的规定提交磋商保证金。</w:t>
      </w:r>
    </w:p>
    <w:p w14:paraId="6CE6E9FA">
      <w:pPr>
        <w:spacing w:line="400" w:lineRule="exact"/>
        <w:ind w:left="420" w:leftChars="200"/>
        <w:contextualSpacing/>
        <w:rPr>
          <w:rFonts w:ascii="宋体" w:hAnsi="宋体" w:cs="宋体"/>
          <w:szCs w:val="21"/>
        </w:rPr>
      </w:pPr>
      <w:r>
        <w:rPr>
          <w:rFonts w:hint="eastAsia" w:ascii="宋体" w:hAnsi="宋体" w:cs="宋体"/>
          <w:szCs w:val="21"/>
        </w:rPr>
        <w:t>17.2磋商保证金的退还</w:t>
      </w:r>
    </w:p>
    <w:p w14:paraId="0E2505A3">
      <w:pPr>
        <w:spacing w:line="400" w:lineRule="exact"/>
        <w:ind w:firstLine="420" w:firstLineChars="200"/>
        <w:contextualSpacing/>
        <w:rPr>
          <w:rFonts w:ascii="宋体" w:hAnsi="宋体" w:cs="宋体"/>
          <w:szCs w:val="21"/>
        </w:rPr>
      </w:pPr>
      <w:r>
        <w:rPr>
          <w:rFonts w:hint="eastAsia" w:ascii="宋体" w:hAnsi="宋体" w:cs="宋体"/>
          <w:szCs w:val="21"/>
        </w:rPr>
        <w:t>未</w:t>
      </w:r>
      <w:r>
        <w:rPr>
          <w:rFonts w:hint="eastAsia" w:ascii="宋体" w:hAnsi="宋体" w:cs="宋体"/>
          <w:spacing w:val="-6"/>
          <w:szCs w:val="21"/>
        </w:rPr>
        <w:t>成交供应商的磋商保证金自成交通知书发出之日起5个工作日内退还；</w:t>
      </w:r>
      <w:r>
        <w:rPr>
          <w:rFonts w:hint="eastAsia" w:ascii="宋体" w:hAnsi="宋体" w:cs="宋体"/>
          <w:szCs w:val="21"/>
        </w:rPr>
        <w:t xml:space="preserve">成交供应商的磋商保证金自签订合同之日起5个工作日内退还。 </w:t>
      </w:r>
    </w:p>
    <w:p w14:paraId="41B9005A">
      <w:pPr>
        <w:spacing w:line="400" w:lineRule="exact"/>
        <w:ind w:left="420" w:leftChars="200"/>
        <w:contextualSpacing/>
        <w:rPr>
          <w:rFonts w:ascii="宋体" w:hAnsi="宋体" w:cs="宋体"/>
          <w:szCs w:val="21"/>
        </w:rPr>
      </w:pPr>
      <w:r>
        <w:rPr>
          <w:rFonts w:hint="eastAsia" w:ascii="宋体" w:hAnsi="宋体" w:cs="宋体"/>
          <w:szCs w:val="21"/>
        </w:rPr>
        <w:t>17.3磋商保证金不计息。</w:t>
      </w:r>
    </w:p>
    <w:p w14:paraId="2690CC73">
      <w:pPr>
        <w:spacing w:line="400" w:lineRule="exact"/>
        <w:ind w:left="420" w:leftChars="200"/>
        <w:contextualSpacing/>
        <w:rPr>
          <w:rFonts w:ascii="宋体" w:hAnsi="宋体" w:cs="宋体"/>
          <w:szCs w:val="21"/>
        </w:rPr>
      </w:pPr>
      <w:r>
        <w:rPr>
          <w:rFonts w:hint="eastAsia" w:ascii="宋体" w:hAnsi="宋体" w:cs="宋体"/>
          <w:szCs w:val="21"/>
        </w:rPr>
        <w:t xml:space="preserve">17.4供应商有下列情形之一的，磋商保证金将不予退还： </w:t>
      </w:r>
    </w:p>
    <w:p w14:paraId="659F58E3">
      <w:pPr>
        <w:spacing w:line="400" w:lineRule="exact"/>
        <w:ind w:left="420" w:leftChars="200"/>
        <w:contextualSpacing/>
        <w:rPr>
          <w:rFonts w:ascii="宋体" w:hAnsi="宋体" w:cs="宋体"/>
          <w:szCs w:val="21"/>
        </w:rPr>
      </w:pPr>
      <w:r>
        <w:rPr>
          <w:rFonts w:hint="eastAsia" w:ascii="宋体" w:hAnsi="宋体" w:cs="宋体"/>
          <w:szCs w:val="21"/>
        </w:rPr>
        <w:t>（1）供应商在提交响应文件截止时间后撤回响应文件的；</w:t>
      </w:r>
    </w:p>
    <w:p w14:paraId="1DD9A4CB">
      <w:pPr>
        <w:spacing w:line="400" w:lineRule="exact"/>
        <w:ind w:left="420" w:leftChars="200"/>
        <w:rPr>
          <w:rFonts w:ascii="宋体" w:hAnsi="宋体" w:cs="宋体"/>
          <w:szCs w:val="21"/>
        </w:rPr>
      </w:pPr>
      <w:r>
        <w:rPr>
          <w:rFonts w:hint="eastAsia" w:ascii="宋体" w:hAnsi="宋体"/>
          <w:szCs w:val="21"/>
        </w:rPr>
        <w:t>（2）未按规定提交履约保证金的；</w:t>
      </w:r>
    </w:p>
    <w:p w14:paraId="4A67124F">
      <w:pPr>
        <w:spacing w:line="400" w:lineRule="exact"/>
        <w:ind w:left="420" w:leftChars="200"/>
        <w:rPr>
          <w:rFonts w:ascii="宋体" w:hAnsi="宋体" w:cs="宋体"/>
          <w:szCs w:val="21"/>
        </w:rPr>
      </w:pPr>
      <w:r>
        <w:rPr>
          <w:rFonts w:hint="eastAsia" w:ascii="宋体" w:hAnsi="宋体" w:cs="宋体"/>
          <w:szCs w:val="21"/>
        </w:rPr>
        <w:t>（3）供应商在响应文件中提供虚假材料的；</w:t>
      </w:r>
    </w:p>
    <w:p w14:paraId="3C90E18C">
      <w:pPr>
        <w:spacing w:line="400" w:lineRule="exact"/>
        <w:ind w:firstLine="420" w:firstLineChars="200"/>
        <w:rPr>
          <w:rFonts w:ascii="宋体" w:hAnsi="宋体" w:cs="宋体"/>
          <w:szCs w:val="21"/>
        </w:rPr>
      </w:pPr>
      <w:r>
        <w:rPr>
          <w:rFonts w:hint="eastAsia" w:ascii="宋体" w:hAnsi="宋体" w:cs="宋体"/>
          <w:szCs w:val="21"/>
        </w:rPr>
        <w:t>（4）除因不可抗力或者磋商文件认可的情形以外，成交供应商不与采购人签订合同的；</w:t>
      </w:r>
    </w:p>
    <w:p w14:paraId="22E2BF0B">
      <w:pPr>
        <w:spacing w:line="400" w:lineRule="exact"/>
        <w:ind w:left="420" w:leftChars="200"/>
        <w:rPr>
          <w:rFonts w:ascii="宋体" w:hAnsi="宋体" w:cs="宋体"/>
          <w:szCs w:val="21"/>
        </w:rPr>
      </w:pPr>
      <w:r>
        <w:rPr>
          <w:rFonts w:hint="eastAsia" w:ascii="宋体" w:hAnsi="宋体" w:cs="宋体"/>
          <w:szCs w:val="21"/>
        </w:rPr>
        <w:t>（5）供应商与采购人、其他供应商或者采购代理机构恶意串通的；</w:t>
      </w:r>
    </w:p>
    <w:p w14:paraId="43A827FA">
      <w:pPr>
        <w:spacing w:line="400" w:lineRule="exact"/>
        <w:ind w:left="420" w:leftChars="200"/>
        <w:contextualSpacing/>
        <w:rPr>
          <w:rFonts w:ascii="宋体" w:hAnsi="宋体" w:cs="宋体"/>
          <w:szCs w:val="21"/>
        </w:rPr>
      </w:pPr>
      <w:r>
        <w:rPr>
          <w:rFonts w:hint="eastAsia" w:ascii="宋体" w:hAnsi="宋体" w:cs="宋体"/>
          <w:szCs w:val="21"/>
        </w:rPr>
        <w:t>（6）法律法规规定的其他情形。</w:t>
      </w:r>
    </w:p>
    <w:p w14:paraId="784CC2D1">
      <w:pPr>
        <w:spacing w:line="400" w:lineRule="exact"/>
        <w:ind w:firstLine="482" w:firstLineChars="200"/>
        <w:contextualSpacing/>
        <w:rPr>
          <w:rFonts w:ascii="宋体" w:hAnsi="宋体" w:cs="宋体"/>
          <w:b/>
          <w:bCs/>
          <w:sz w:val="24"/>
        </w:rPr>
      </w:pPr>
      <w:r>
        <w:rPr>
          <w:rFonts w:hint="eastAsia" w:ascii="宋体" w:hAnsi="宋体" w:cs="宋体"/>
          <w:b/>
          <w:bCs/>
          <w:sz w:val="24"/>
        </w:rPr>
        <w:t>18.响应文件编制的要求</w:t>
      </w:r>
    </w:p>
    <w:p w14:paraId="765807BE">
      <w:pPr>
        <w:spacing w:line="400" w:lineRule="exact"/>
        <w:ind w:firstLine="420" w:firstLineChars="200"/>
        <w:rPr>
          <w:rFonts w:ascii="宋体" w:hAnsi="宋体" w:cs="宋体"/>
          <w:szCs w:val="21"/>
        </w:rPr>
      </w:pPr>
      <w:r>
        <w:rPr>
          <w:rFonts w:hint="eastAsia" w:ascii="宋体" w:hAnsi="宋体" w:cs="宋体"/>
          <w:szCs w:val="21"/>
        </w:rPr>
        <w:t>18.1供应商应按照本项目竞争性磋商文件规定的格式和顺序和广西政府采购云平台的要求编制并加密。响应文件内容不完整、编排混乱导致响应文件被误读、漏读或者查找不到相关内容的，由此引发的后果由供应商承担。</w:t>
      </w:r>
    </w:p>
    <w:p w14:paraId="27A30547">
      <w:pPr>
        <w:spacing w:line="400" w:lineRule="exact"/>
        <w:ind w:firstLine="420" w:firstLineChars="200"/>
        <w:rPr>
          <w:rFonts w:ascii="宋体" w:hAnsi="宋体" w:cs="宋体"/>
          <w:szCs w:val="21"/>
        </w:rPr>
      </w:pPr>
      <w:r>
        <w:rPr>
          <w:rFonts w:hint="eastAsia" w:ascii="宋体" w:hAnsi="宋体" w:cs="宋体"/>
          <w:szCs w:val="21"/>
        </w:rPr>
        <w:t>18.2为确保网上操作合法、有效和安全，供应商应当在提交响应文件截止时间前完成在</w:t>
      </w:r>
      <w:r>
        <w:rPr>
          <w:rFonts w:hint="eastAsia" w:ascii="宋体" w:hAnsi="宋体"/>
          <w:szCs w:val="21"/>
        </w:rPr>
        <w:t>广西政府采购云平台</w:t>
      </w:r>
      <w:r>
        <w:rPr>
          <w:rFonts w:hint="eastAsia" w:ascii="宋体" w:hAnsi="宋体" w:cs="宋体"/>
          <w:szCs w:val="21"/>
        </w:rPr>
        <w:t>的身份认证，确保在电子竞标过程中能够对相关数据电文进行加密和使用电子签章。</w:t>
      </w:r>
    </w:p>
    <w:p w14:paraId="24490963">
      <w:pPr>
        <w:spacing w:line="400" w:lineRule="exact"/>
        <w:ind w:firstLine="420" w:firstLineChars="200"/>
        <w:rPr>
          <w:rFonts w:ascii="宋体" w:hAnsi="宋体" w:cs="宋体"/>
          <w:szCs w:val="21"/>
        </w:rPr>
      </w:pPr>
      <w:r>
        <w:rPr>
          <w:rFonts w:hint="eastAsia" w:ascii="宋体" w:hAnsi="宋体" w:cs="宋体"/>
          <w:szCs w:val="21"/>
        </w:rPr>
        <w:t>18.3响应文件须由供应商在规定位置签字、盖章（具体以供应商须知前附表或响应文件格式规定为准），否则按无效响应处理。</w:t>
      </w:r>
    </w:p>
    <w:p w14:paraId="5DE34063">
      <w:pPr>
        <w:spacing w:line="400" w:lineRule="exact"/>
        <w:ind w:firstLine="420" w:firstLineChars="200"/>
        <w:rPr>
          <w:rFonts w:ascii="宋体" w:hAnsi="宋体" w:cs="宋体"/>
          <w:szCs w:val="21"/>
        </w:rPr>
      </w:pPr>
      <w:r>
        <w:rPr>
          <w:rFonts w:hint="eastAsia" w:ascii="宋体" w:hAnsi="宋体" w:cs="宋体"/>
          <w:szCs w:val="21"/>
        </w:rPr>
        <w:t>18.4响应文件中标注的供应商名称应与主体资格证明（如营业执照或者事业单位法人证书或者执业许可证或者登记证书等）及公章一致，供应商为自然人的，标注的供应商名称应与身份证姓名及签名一致，否则其响应文件按无效响应处理。</w:t>
      </w:r>
    </w:p>
    <w:p w14:paraId="5FDA6A50">
      <w:pPr>
        <w:spacing w:line="400" w:lineRule="exact"/>
        <w:ind w:firstLine="420" w:firstLineChars="200"/>
        <w:contextualSpacing/>
        <w:rPr>
          <w:rFonts w:ascii="宋体" w:hAnsi="宋体" w:cs="宋体"/>
          <w:szCs w:val="21"/>
        </w:rPr>
      </w:pPr>
      <w:r>
        <w:rPr>
          <w:rFonts w:ascii="宋体" w:hAnsi="宋体" w:cs="宋体"/>
          <w:szCs w:val="21"/>
        </w:rPr>
        <w:t>18.5响</w:t>
      </w:r>
      <w:r>
        <w:rPr>
          <w:rFonts w:ascii="宋体" w:hAnsi="宋体"/>
        </w:rPr>
        <w:t>应文件应尽量避免涂改、行间插字或者删除。如果出现上述情况，改动之处应由供应商的法定代表人或其委托代理人签字（或者电子签名）或者加盖供应商公章(或者加盖电子签章)。响应文件因涂改、行间插字或者删除导致字迹潦草或者表达不清所引起的后果由供应商承担。</w:t>
      </w:r>
    </w:p>
    <w:p w14:paraId="473DA816">
      <w:pPr>
        <w:spacing w:line="400" w:lineRule="exact"/>
        <w:ind w:firstLine="482" w:firstLineChars="200"/>
        <w:rPr>
          <w:rFonts w:ascii="宋体" w:hAnsi="宋体"/>
          <w:sz w:val="24"/>
        </w:rPr>
      </w:pPr>
      <w:r>
        <w:rPr>
          <w:rFonts w:hint="eastAsia" w:ascii="宋体" w:hAnsi="宋体" w:cs="宋体"/>
          <w:b/>
          <w:bCs/>
          <w:sz w:val="24"/>
        </w:rPr>
        <w:t>19.电子</w:t>
      </w:r>
      <w:r>
        <w:rPr>
          <w:rFonts w:hint="eastAsia" w:ascii="宋体" w:hAnsi="宋体"/>
          <w:b/>
          <w:sz w:val="24"/>
        </w:rPr>
        <w:t>备份响应文件</w:t>
      </w:r>
    </w:p>
    <w:p w14:paraId="7A764F38">
      <w:pPr>
        <w:spacing w:line="400" w:lineRule="exact"/>
        <w:ind w:firstLine="420" w:firstLineChars="200"/>
        <w:contextualSpacing/>
        <w:rPr>
          <w:rFonts w:ascii="宋体" w:hAnsi="宋体" w:cs="宋体"/>
          <w:szCs w:val="21"/>
        </w:rPr>
      </w:pPr>
      <w:r>
        <w:rPr>
          <w:rFonts w:hint="eastAsia" w:ascii="宋体" w:hAnsi="宋体"/>
        </w:rPr>
        <w:t>电子备份响应文件是指通过“</w:t>
      </w:r>
      <w:r>
        <w:rPr>
          <w:rFonts w:hint="eastAsia" w:ascii="宋体" w:hAnsi="宋体"/>
          <w:szCs w:val="21"/>
        </w:rPr>
        <w:t>广西政府采购云平台</w:t>
      </w:r>
      <w:r>
        <w:rPr>
          <w:rFonts w:hint="eastAsia" w:ascii="宋体" w:hAnsi="宋体"/>
        </w:rPr>
        <w:t>电子投标客户端”在线编制生成且后缀名为“</w:t>
      </w:r>
      <w:r>
        <w:rPr>
          <w:rFonts w:ascii="宋体" w:hAnsi="宋体"/>
        </w:rPr>
        <w:t>bfbs</w:t>
      </w:r>
      <w:r>
        <w:rPr>
          <w:rFonts w:hint="eastAsia" w:ascii="宋体" w:hAnsi="宋体"/>
        </w:rPr>
        <w:t>”的文件，是否接受电子备份响应文件</w:t>
      </w:r>
      <w:r>
        <w:rPr>
          <w:rFonts w:hint="eastAsia" w:ascii="宋体" w:hAnsi="宋体"/>
          <w:bCs/>
          <w:szCs w:val="21"/>
        </w:rPr>
        <w:t>详见在“供应商须知前附表”。</w:t>
      </w:r>
    </w:p>
    <w:p w14:paraId="63CD8D35">
      <w:pPr>
        <w:spacing w:line="400" w:lineRule="exact"/>
        <w:ind w:firstLine="482" w:firstLineChars="200"/>
        <w:contextualSpacing/>
        <w:rPr>
          <w:rFonts w:ascii="宋体" w:hAnsi="宋体" w:cs="宋体"/>
          <w:b/>
          <w:bCs/>
          <w:sz w:val="24"/>
        </w:rPr>
      </w:pPr>
      <w:r>
        <w:rPr>
          <w:rFonts w:hint="eastAsia" w:ascii="宋体" w:hAnsi="宋体" w:cs="宋体"/>
          <w:b/>
          <w:bCs/>
          <w:sz w:val="24"/>
        </w:rPr>
        <w:t>20.响应文件的提交</w:t>
      </w:r>
    </w:p>
    <w:p w14:paraId="19360074">
      <w:pPr>
        <w:spacing w:line="400" w:lineRule="exact"/>
        <w:ind w:firstLine="420" w:firstLineChars="200"/>
        <w:rPr>
          <w:rFonts w:ascii="宋体" w:hAnsi="宋体"/>
          <w:b/>
        </w:rPr>
      </w:pPr>
      <w:r>
        <w:rPr>
          <w:rFonts w:hint="eastAsia" w:ascii="宋体" w:hAnsi="宋体" w:cs="宋体"/>
          <w:szCs w:val="21"/>
        </w:rPr>
        <w:t>20.1供</w:t>
      </w:r>
      <w:r>
        <w:rPr>
          <w:rFonts w:hint="eastAsia" w:ascii="宋体" w:hAnsi="宋体"/>
          <w:bCs/>
          <w:szCs w:val="21"/>
        </w:rPr>
        <w:t>应商必须按“供应商须知前附表”规定的</w:t>
      </w:r>
      <w:r>
        <w:rPr>
          <w:rFonts w:hint="eastAsia" w:ascii="宋体" w:hAnsi="宋体" w:cs="宋体"/>
          <w:szCs w:val="21"/>
        </w:rPr>
        <w:t>时间</w:t>
      </w:r>
      <w:r>
        <w:rPr>
          <w:rFonts w:hint="eastAsia" w:ascii="宋体" w:hAnsi="宋体"/>
          <w:szCs w:val="21"/>
        </w:rPr>
        <w:t>及</w:t>
      </w:r>
      <w:r>
        <w:rPr>
          <w:rFonts w:hint="eastAsia" w:ascii="宋体" w:hAnsi="宋体"/>
          <w:bCs/>
          <w:szCs w:val="21"/>
        </w:rPr>
        <w:t>地点提交响应文件。电子响应文件应在制作完成后，</w:t>
      </w:r>
      <w:r>
        <w:rPr>
          <w:rFonts w:ascii="宋体" w:hAnsi="宋体"/>
          <w:bCs/>
          <w:szCs w:val="21"/>
        </w:rPr>
        <w:t>在</w:t>
      </w:r>
      <w:r>
        <w:rPr>
          <w:rFonts w:hint="eastAsia" w:ascii="宋体" w:hAnsi="宋体"/>
          <w:bCs/>
          <w:szCs w:val="21"/>
        </w:rPr>
        <w:t>提交响应文件截止</w:t>
      </w:r>
      <w:r>
        <w:rPr>
          <w:rFonts w:ascii="宋体" w:hAnsi="宋体"/>
          <w:bCs/>
          <w:szCs w:val="21"/>
        </w:rPr>
        <w:t>时间前</w:t>
      </w:r>
      <w:r>
        <w:rPr>
          <w:rFonts w:hint="eastAsia" w:ascii="宋体" w:hAnsi="宋体"/>
          <w:bCs/>
          <w:szCs w:val="21"/>
        </w:rPr>
        <w:t>通过有效数字证书（CA认证锁）进行电子签章、加密，然后通过网络将加密的电子响应文件提交至</w:t>
      </w:r>
      <w:r>
        <w:rPr>
          <w:rFonts w:hint="eastAsia" w:ascii="宋体" w:hAnsi="宋体"/>
          <w:szCs w:val="21"/>
        </w:rPr>
        <w:t>广西政府采购云平台</w:t>
      </w:r>
      <w:r>
        <w:rPr>
          <w:rFonts w:hint="eastAsia" w:ascii="宋体" w:hAnsi="宋体"/>
          <w:bCs/>
          <w:szCs w:val="21"/>
        </w:rPr>
        <w:t xml:space="preserve">。 </w:t>
      </w:r>
      <w:r>
        <w:rPr>
          <w:rFonts w:hint="eastAsia" w:ascii="宋体" w:hAnsi="宋体"/>
          <w:b/>
        </w:rPr>
        <w:t xml:space="preserve"> </w:t>
      </w:r>
    </w:p>
    <w:p w14:paraId="556604CE">
      <w:pPr>
        <w:spacing w:line="400" w:lineRule="exact"/>
        <w:ind w:firstLine="422" w:firstLineChars="200"/>
        <w:contextualSpacing/>
        <w:rPr>
          <w:rFonts w:ascii="宋体" w:hAnsi="宋体"/>
          <w:b/>
          <w:szCs w:val="21"/>
        </w:rPr>
      </w:pPr>
      <w:r>
        <w:rPr>
          <w:rFonts w:hint="eastAsia" w:ascii="宋体" w:hAnsi="宋体"/>
          <w:b/>
          <w:szCs w:val="21"/>
        </w:rPr>
        <w:t>20.</w:t>
      </w:r>
      <w:r>
        <w:rPr>
          <w:rFonts w:ascii="宋体" w:hAnsi="宋体"/>
          <w:b/>
          <w:szCs w:val="21"/>
        </w:rPr>
        <w:t>2</w:t>
      </w:r>
      <w:r>
        <w:rPr>
          <w:rFonts w:hint="eastAsia" w:ascii="宋体" w:hAnsi="宋体"/>
          <w:b/>
          <w:szCs w:val="21"/>
        </w:rPr>
        <w:t>未在规定时间内提交或者未按照磋商文件要求加密的电子响应文件，广西政府采购云平台将拒收。</w:t>
      </w:r>
    </w:p>
    <w:p w14:paraId="5F4F2C05">
      <w:pPr>
        <w:spacing w:line="400" w:lineRule="exact"/>
        <w:ind w:firstLine="482" w:firstLineChars="200"/>
        <w:contextualSpacing/>
        <w:rPr>
          <w:rFonts w:ascii="宋体" w:hAnsi="宋体" w:cs="宋体"/>
          <w:b/>
          <w:bCs/>
          <w:sz w:val="24"/>
        </w:rPr>
      </w:pPr>
      <w:r>
        <w:rPr>
          <w:rFonts w:hint="eastAsia" w:ascii="宋体" w:hAnsi="宋体" w:cs="宋体"/>
          <w:b/>
          <w:bCs/>
          <w:sz w:val="24"/>
        </w:rPr>
        <w:t>21.首次响应文件的补充、修改与撤回</w:t>
      </w:r>
    </w:p>
    <w:p w14:paraId="2D207E60">
      <w:pPr>
        <w:snapToGrid w:val="0"/>
        <w:spacing w:line="400" w:lineRule="exact"/>
        <w:ind w:firstLine="420"/>
        <w:jc w:val="left"/>
        <w:rPr>
          <w:rFonts w:ascii="宋体" w:hAnsi="宋体"/>
          <w:szCs w:val="21"/>
        </w:rPr>
      </w:pPr>
      <w:bookmarkStart w:id="72" w:name="_Toc254970543"/>
      <w:bookmarkStart w:id="73" w:name="_Toc254970684"/>
      <w:r>
        <w:rPr>
          <w:rFonts w:ascii="宋体" w:hAnsi="宋体" w:cs="宋体"/>
          <w:szCs w:val="21"/>
        </w:rPr>
        <w:t>2</w:t>
      </w:r>
      <w:r>
        <w:rPr>
          <w:rFonts w:hint="eastAsia" w:ascii="宋体" w:hAnsi="宋体" w:cs="宋体"/>
          <w:szCs w:val="21"/>
        </w:rPr>
        <w:t>1.1</w:t>
      </w:r>
      <w:r>
        <w:rPr>
          <w:rFonts w:hint="eastAsia" w:ascii="宋体" w:hAnsi="宋体"/>
          <w:bCs/>
          <w:szCs w:val="21"/>
        </w:rPr>
        <w:t>供应商应当在提交响应文件截止</w:t>
      </w:r>
      <w:r>
        <w:rPr>
          <w:rFonts w:ascii="宋体" w:hAnsi="宋体"/>
          <w:bCs/>
          <w:szCs w:val="21"/>
        </w:rPr>
        <w:t>时间</w:t>
      </w:r>
      <w:r>
        <w:rPr>
          <w:rFonts w:hint="eastAsia" w:ascii="宋体" w:hAnsi="宋体"/>
          <w:bCs/>
          <w:szCs w:val="21"/>
        </w:rPr>
        <w:t>前完成电子响应文件的提交（上传），提交响应文件截止</w:t>
      </w:r>
      <w:r>
        <w:rPr>
          <w:rFonts w:ascii="宋体" w:hAnsi="宋体"/>
          <w:bCs/>
          <w:szCs w:val="21"/>
        </w:rPr>
        <w:t>时间</w:t>
      </w:r>
      <w:r>
        <w:rPr>
          <w:rFonts w:hint="eastAsia" w:ascii="宋体" w:hAnsi="宋体"/>
          <w:bCs/>
          <w:szCs w:val="21"/>
        </w:rPr>
        <w:t>前可以补充、修改或者撤回响应文件。补充或者修改响应文件的，应当先行撤回原响应文件，补充、修改后重新提交（上传），提交响应文件截止</w:t>
      </w:r>
      <w:r>
        <w:rPr>
          <w:rFonts w:ascii="宋体" w:hAnsi="宋体"/>
          <w:bCs/>
          <w:szCs w:val="21"/>
        </w:rPr>
        <w:t>时间</w:t>
      </w:r>
      <w:r>
        <w:rPr>
          <w:rFonts w:hint="eastAsia" w:ascii="宋体" w:hAnsi="宋体"/>
          <w:bCs/>
          <w:szCs w:val="21"/>
        </w:rPr>
        <w:t>前未完成提交（上传）的，视为撤回响应文件。提交响应文件截止</w:t>
      </w:r>
      <w:r>
        <w:rPr>
          <w:rFonts w:ascii="宋体" w:hAnsi="宋体"/>
          <w:bCs/>
          <w:szCs w:val="21"/>
        </w:rPr>
        <w:t>时间</w:t>
      </w:r>
      <w:r>
        <w:rPr>
          <w:rFonts w:hint="eastAsia" w:ascii="宋体" w:hAnsi="宋体"/>
          <w:bCs/>
          <w:szCs w:val="21"/>
        </w:rPr>
        <w:t>以后提交（上传）的响应文件，</w:t>
      </w:r>
      <w:r>
        <w:rPr>
          <w:rFonts w:hint="eastAsia" w:ascii="宋体" w:hAnsi="宋体"/>
          <w:szCs w:val="21"/>
        </w:rPr>
        <w:t>广西政府采购云平台</w:t>
      </w:r>
      <w:r>
        <w:rPr>
          <w:rFonts w:hint="eastAsia" w:ascii="宋体" w:hAnsi="宋体"/>
          <w:bCs/>
          <w:szCs w:val="21"/>
        </w:rPr>
        <w:t>将予以拒收。</w:t>
      </w:r>
      <w:r>
        <w:rPr>
          <w:rFonts w:hint="eastAsia" w:ascii="宋体" w:hAnsi="宋体" w:cs="宋体"/>
          <w:szCs w:val="21"/>
        </w:rPr>
        <w:t>（补充、修改或者撤回方式可</w:t>
      </w:r>
      <w:r>
        <w:rPr>
          <w:rFonts w:hint="eastAsia" w:ascii="宋体" w:hAnsi="宋体"/>
          <w:szCs w:val="21"/>
        </w:rPr>
        <w:t>登录广西政府采购云平台</w:t>
      </w:r>
      <w:r>
        <w:rPr>
          <w:rFonts w:hint="eastAsia" w:ascii="宋体" w:hAnsi="宋体" w:cs="宋体"/>
          <w:kern w:val="0"/>
          <w:szCs w:val="21"/>
        </w:rPr>
        <w:t>，</w:t>
      </w:r>
      <w:r>
        <w:rPr>
          <w:rFonts w:hint="eastAsia" w:ascii="宋体" w:hAnsi="宋体"/>
          <w:szCs w:val="21"/>
        </w:rPr>
        <w:t>进入“服务中心”中查看</w:t>
      </w:r>
      <w:r>
        <w:rPr>
          <w:rFonts w:hint="eastAsia" w:ascii="宋体" w:hAnsi="宋体" w:cs="宋体"/>
          <w:szCs w:val="21"/>
        </w:rPr>
        <w:t xml:space="preserve"> “电子投标文件制作与投送教程”）</w:t>
      </w:r>
    </w:p>
    <w:bookmarkEnd w:id="72"/>
    <w:bookmarkEnd w:id="73"/>
    <w:p w14:paraId="679F49CC">
      <w:pPr>
        <w:pStyle w:val="74"/>
        <w:spacing w:before="0" w:line="400" w:lineRule="exact"/>
        <w:ind w:firstLine="420"/>
        <w:rPr>
          <w:rFonts w:ascii="宋体" w:hAnsi="宋体" w:cs="宋体"/>
          <w:sz w:val="21"/>
          <w:szCs w:val="21"/>
        </w:rPr>
      </w:pPr>
      <w:r>
        <w:rPr>
          <w:rFonts w:ascii="宋体" w:hAnsi="宋体" w:cs="宋体"/>
          <w:sz w:val="21"/>
          <w:szCs w:val="21"/>
        </w:rPr>
        <w:t>2</w:t>
      </w:r>
      <w:r>
        <w:rPr>
          <w:rFonts w:hint="eastAsia" w:ascii="宋体" w:hAnsi="宋体" w:cs="宋体"/>
          <w:sz w:val="21"/>
          <w:szCs w:val="21"/>
        </w:rPr>
        <w:t>1</w:t>
      </w:r>
      <w:r>
        <w:rPr>
          <w:rFonts w:ascii="宋体" w:hAnsi="宋体" w:cs="宋体"/>
          <w:sz w:val="21"/>
          <w:szCs w:val="21"/>
        </w:rPr>
        <w:t>.</w:t>
      </w:r>
      <w:r>
        <w:rPr>
          <w:rFonts w:hint="eastAsia" w:ascii="宋体" w:hAnsi="宋体" w:cs="宋体"/>
          <w:sz w:val="21"/>
          <w:szCs w:val="21"/>
        </w:rPr>
        <w:t>2在提交响应文件截止时间前，除供应商补充、修改或者撤回响应文件外，任何单位和个人不得解密或提取响应文件。</w:t>
      </w:r>
    </w:p>
    <w:p w14:paraId="2081F6DE">
      <w:pPr>
        <w:spacing w:line="400" w:lineRule="exact"/>
        <w:ind w:firstLine="482" w:firstLineChars="200"/>
        <w:contextualSpacing/>
        <w:rPr>
          <w:rFonts w:ascii="宋体" w:hAnsi="宋体" w:cs="宋体"/>
          <w:b/>
          <w:bCs/>
          <w:sz w:val="24"/>
        </w:rPr>
      </w:pPr>
      <w:bookmarkStart w:id="74" w:name="_Hlk45702405"/>
      <w:r>
        <w:rPr>
          <w:rFonts w:hint="eastAsia" w:ascii="宋体" w:hAnsi="宋体" w:cs="宋体"/>
          <w:b/>
          <w:bCs/>
          <w:sz w:val="24"/>
        </w:rPr>
        <w:t>22.响应文件的退回</w:t>
      </w:r>
    </w:p>
    <w:p w14:paraId="7A9EB5C8">
      <w:pPr>
        <w:spacing w:line="400" w:lineRule="exact"/>
        <w:ind w:firstLine="420" w:firstLineChars="200"/>
        <w:contextualSpacing/>
        <w:rPr>
          <w:rFonts w:ascii="宋体" w:hAnsi="宋体" w:cs="宋体"/>
          <w:szCs w:val="21"/>
        </w:rPr>
      </w:pPr>
      <w:r>
        <w:rPr>
          <w:rFonts w:hint="eastAsia" w:ascii="宋体" w:hAnsi="宋体" w:cs="宋体"/>
          <w:szCs w:val="21"/>
        </w:rPr>
        <w:t>采购人和采购代理机构对已提交的响应文件概不退回。</w:t>
      </w:r>
    </w:p>
    <w:p w14:paraId="14C1AA3D">
      <w:pPr>
        <w:spacing w:line="400" w:lineRule="exact"/>
        <w:ind w:firstLine="482" w:firstLineChars="200"/>
        <w:contextualSpacing/>
        <w:rPr>
          <w:rFonts w:ascii="宋体" w:hAnsi="宋体" w:cs="宋体"/>
          <w:b/>
          <w:bCs/>
          <w:sz w:val="24"/>
        </w:rPr>
      </w:pPr>
      <w:r>
        <w:rPr>
          <w:rFonts w:hint="eastAsia" w:ascii="宋体" w:hAnsi="宋体" w:cs="宋体"/>
          <w:b/>
          <w:bCs/>
          <w:sz w:val="24"/>
        </w:rPr>
        <w:t>23.截止时间后的撤回</w:t>
      </w:r>
    </w:p>
    <w:p w14:paraId="643225E1">
      <w:pPr>
        <w:spacing w:line="400" w:lineRule="exact"/>
        <w:ind w:firstLine="420" w:firstLineChars="200"/>
        <w:contextualSpacing/>
        <w:rPr>
          <w:rFonts w:ascii="宋体" w:hAnsi="宋体" w:cs="宋体"/>
          <w:szCs w:val="21"/>
        </w:rPr>
      </w:pPr>
      <w:r>
        <w:rPr>
          <w:rFonts w:hint="eastAsia" w:ascii="宋体" w:hAnsi="宋体" w:cs="宋体"/>
          <w:szCs w:val="21"/>
        </w:rPr>
        <w:t>供应商在响应文件提交截止时间后向采购人、采购代理机构书面申请撤回响应文件的，将根据本须知正文17.4的规定不予退还其磋商保证金。</w:t>
      </w:r>
    </w:p>
    <w:bookmarkEnd w:id="74"/>
    <w:p w14:paraId="4F392C0F">
      <w:pPr>
        <w:spacing w:line="400" w:lineRule="exact"/>
        <w:contextualSpacing/>
        <w:rPr>
          <w:rFonts w:ascii="宋体" w:hAnsi="宋体"/>
          <w:szCs w:val="21"/>
        </w:rPr>
      </w:pPr>
    </w:p>
    <w:p w14:paraId="5F6A8C4E">
      <w:pPr>
        <w:spacing w:line="400" w:lineRule="exact"/>
        <w:ind w:left="420" w:firstLine="420"/>
        <w:contextualSpacing/>
        <w:jc w:val="center"/>
        <w:rPr>
          <w:rFonts w:ascii="宋体" w:hAnsi="宋体"/>
          <w:b/>
          <w:bCs/>
          <w:sz w:val="32"/>
          <w:szCs w:val="32"/>
        </w:rPr>
      </w:pPr>
      <w:r>
        <w:rPr>
          <w:rFonts w:hint="eastAsia" w:ascii="宋体" w:hAnsi="宋体"/>
          <w:b/>
          <w:bCs/>
          <w:sz w:val="32"/>
          <w:szCs w:val="32"/>
        </w:rPr>
        <w:t>四、评审及磋商</w:t>
      </w:r>
    </w:p>
    <w:p w14:paraId="383DBC03">
      <w:pPr>
        <w:spacing w:line="400" w:lineRule="exact"/>
        <w:ind w:left="420" w:firstLine="420"/>
        <w:contextualSpacing/>
        <w:rPr>
          <w:rFonts w:ascii="宋体" w:hAnsi="宋体"/>
          <w:szCs w:val="21"/>
        </w:rPr>
      </w:pPr>
    </w:p>
    <w:p w14:paraId="16604553">
      <w:pPr>
        <w:spacing w:line="400" w:lineRule="exact"/>
        <w:ind w:firstLine="482" w:firstLineChars="200"/>
        <w:contextualSpacing/>
        <w:rPr>
          <w:rFonts w:ascii="宋体" w:hAnsi="宋体" w:cs="宋体"/>
          <w:b/>
          <w:bCs/>
          <w:sz w:val="24"/>
        </w:rPr>
      </w:pPr>
      <w:r>
        <w:rPr>
          <w:rFonts w:hint="eastAsia" w:ascii="宋体" w:hAnsi="宋体" w:cs="宋体"/>
          <w:b/>
          <w:bCs/>
          <w:sz w:val="24"/>
        </w:rPr>
        <w:t>24.磋商小组成立</w:t>
      </w:r>
    </w:p>
    <w:p w14:paraId="1168E460">
      <w:pPr>
        <w:spacing w:line="400" w:lineRule="exact"/>
        <w:ind w:firstLine="420" w:firstLineChars="200"/>
        <w:contextualSpacing/>
        <w:rPr>
          <w:rFonts w:ascii="宋体" w:hAnsi="宋体" w:cs="宋体"/>
          <w:szCs w:val="21"/>
        </w:rPr>
      </w:pPr>
      <w:r>
        <w:rPr>
          <w:rFonts w:hint="eastAsia" w:ascii="宋体" w:hAnsi="宋体" w:cs="宋体"/>
          <w:szCs w:val="21"/>
        </w:rPr>
        <w:t>24.1</w:t>
      </w:r>
      <w:bookmarkStart w:id="75" w:name="_Hlk71302993"/>
      <w:r>
        <w:rPr>
          <w:rFonts w:hint="eastAsia" w:ascii="宋体" w:hAnsi="宋体" w:cs="宋体"/>
          <w:szCs w:val="21"/>
        </w:rPr>
        <w:t>磋商小组</w:t>
      </w:r>
      <w:bookmarkEnd w:id="75"/>
      <w:r>
        <w:rPr>
          <w:rFonts w:hint="eastAsia" w:ascii="宋体" w:hAnsi="宋体" w:cs="宋体"/>
          <w:szCs w:val="21"/>
        </w:rPr>
        <w:t>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6B09CAEF">
      <w:pPr>
        <w:spacing w:line="400" w:lineRule="exact"/>
        <w:ind w:firstLine="420" w:firstLineChars="200"/>
        <w:contextualSpacing/>
        <w:rPr>
          <w:rFonts w:ascii="宋体" w:hAnsi="宋体" w:cs="宋体"/>
          <w:szCs w:val="21"/>
        </w:rPr>
      </w:pPr>
      <w:r>
        <w:rPr>
          <w:rFonts w:hint="eastAsia" w:ascii="宋体" w:hAnsi="宋体" w:cs="宋体"/>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0B5D5649">
      <w:pPr>
        <w:spacing w:line="400" w:lineRule="exact"/>
        <w:ind w:firstLine="420" w:firstLineChars="200"/>
        <w:contextualSpacing/>
        <w:rPr>
          <w:rFonts w:ascii="宋体" w:hAnsi="宋体" w:cs="宋体"/>
          <w:szCs w:val="21"/>
        </w:rPr>
      </w:pPr>
      <w:r>
        <w:rPr>
          <w:rFonts w:hint="eastAsia" w:ascii="宋体" w:hAnsi="宋体" w:cs="宋体"/>
          <w:szCs w:val="21"/>
        </w:rPr>
        <w:t>24.3</w:t>
      </w:r>
      <w:r>
        <w:rPr>
          <w:rFonts w:hint="eastAsia" w:ascii="宋体" w:hAnsi="宋体"/>
          <w:bCs/>
          <w:szCs w:val="21"/>
        </w:rPr>
        <w:t>采购代理机构</w:t>
      </w:r>
      <w:r>
        <w:rPr>
          <w:rFonts w:hint="eastAsia" w:ascii="宋体" w:hAnsi="宋体"/>
          <w:bCs/>
        </w:rPr>
        <w:t>应当</w:t>
      </w:r>
      <w:r>
        <w:rPr>
          <w:rFonts w:hint="eastAsia" w:ascii="宋体" w:hAnsi="宋体"/>
          <w:bCs/>
          <w:szCs w:val="21"/>
        </w:rPr>
        <w:t>基于</w:t>
      </w:r>
      <w:r>
        <w:rPr>
          <w:rFonts w:hint="eastAsia" w:ascii="宋体" w:hAnsi="宋体"/>
          <w:szCs w:val="21"/>
        </w:rPr>
        <w:t>广西政府采购云平台</w:t>
      </w:r>
      <w:r>
        <w:rPr>
          <w:rFonts w:hint="eastAsia" w:ascii="宋体" w:hAnsi="宋体"/>
          <w:bCs/>
        </w:rPr>
        <w:t>抽（选）取</w:t>
      </w:r>
      <w:r>
        <w:rPr>
          <w:rFonts w:hint="eastAsia" w:ascii="宋体" w:hAnsi="宋体"/>
          <w:bCs/>
          <w:szCs w:val="21"/>
        </w:rPr>
        <w:t>评审专家。</w:t>
      </w:r>
    </w:p>
    <w:p w14:paraId="14E2D9C5">
      <w:pPr>
        <w:spacing w:line="400" w:lineRule="exact"/>
        <w:ind w:firstLine="482" w:firstLineChars="200"/>
        <w:rPr>
          <w:rFonts w:ascii="宋体" w:hAnsi="宋体" w:cs="宋体"/>
          <w:b/>
          <w:bCs/>
          <w:sz w:val="24"/>
        </w:rPr>
      </w:pPr>
      <w:r>
        <w:rPr>
          <w:rFonts w:ascii="宋体" w:hAnsi="宋体" w:cs="宋体"/>
          <w:b/>
          <w:bCs/>
          <w:sz w:val="24"/>
        </w:rPr>
        <w:t>25.</w:t>
      </w:r>
      <w:r>
        <w:rPr>
          <w:rFonts w:hint="eastAsia" w:ascii="宋体" w:hAnsi="宋体" w:cs="宋体"/>
          <w:b/>
          <w:bCs/>
          <w:sz w:val="24"/>
        </w:rPr>
        <w:t>首次响应文件的开启和解密</w:t>
      </w:r>
    </w:p>
    <w:p w14:paraId="09540DF1">
      <w:pPr>
        <w:spacing w:line="400" w:lineRule="exact"/>
        <w:ind w:firstLine="420" w:firstLineChars="200"/>
        <w:contextualSpacing/>
        <w:rPr>
          <w:rFonts w:ascii="宋体" w:hAnsi="宋体" w:cs="宋体"/>
          <w:szCs w:val="21"/>
        </w:rPr>
      </w:pPr>
      <w:r>
        <w:rPr>
          <w:rFonts w:hint="eastAsia" w:ascii="宋体" w:hAnsi="宋体"/>
          <w:bCs/>
        </w:rPr>
        <w:t>采购代理机构将在“供应商须知前附表”规定的时</w:t>
      </w:r>
      <w:r>
        <w:rPr>
          <w:rFonts w:hint="eastAsia" w:ascii="宋体" w:hAnsi="宋体"/>
        </w:rPr>
        <w:t>间通过电子交易平台组织响应文件开启，供应商的法定代表人或其委托代理人须携带加密时所用的CA锁，按平台提示和磋商文件的规定登录到</w:t>
      </w:r>
      <w:r>
        <w:rPr>
          <w:rFonts w:hint="eastAsia" w:ascii="宋体" w:hAnsi="宋体"/>
          <w:szCs w:val="21"/>
        </w:rPr>
        <w:t>广西政府采购云平台</w:t>
      </w:r>
      <w:r>
        <w:rPr>
          <w:rFonts w:hint="eastAsia" w:ascii="宋体" w:hAnsi="宋体"/>
        </w:rPr>
        <w:t>电子开标大厅签到，采购代理机构依托</w:t>
      </w:r>
      <w:r>
        <w:rPr>
          <w:rFonts w:hint="eastAsia" w:ascii="宋体" w:hAnsi="宋体"/>
          <w:szCs w:val="21"/>
        </w:rPr>
        <w:t>广西政府采购云平台</w:t>
      </w:r>
      <w:r>
        <w:rPr>
          <w:rFonts w:hint="eastAsia" w:ascii="宋体" w:hAnsi="宋体"/>
        </w:rPr>
        <w:t>向各供应商发出电子加密响应文件【开始解密】通知，由供应商按</w:t>
      </w:r>
      <w:r>
        <w:rPr>
          <w:rFonts w:hint="eastAsia" w:ascii="宋体" w:hAnsi="宋体"/>
          <w:bCs/>
          <w:szCs w:val="21"/>
        </w:rPr>
        <w:t>“供应商须知前附表”</w:t>
      </w:r>
      <w:r>
        <w:rPr>
          <w:rFonts w:hint="eastAsia" w:ascii="宋体" w:hAnsi="宋体"/>
        </w:rPr>
        <w:t>规定的时间内自行进行响应文件解密。</w:t>
      </w:r>
      <w:r>
        <w:rPr>
          <w:rFonts w:hint="eastAsia" w:ascii="宋体" w:hAnsi="宋体"/>
          <w:b/>
        </w:rPr>
        <w:t>供应商未在</w:t>
      </w:r>
      <w:r>
        <w:rPr>
          <w:rFonts w:ascii="宋体" w:hAnsi="宋体"/>
          <w:b/>
        </w:rPr>
        <w:t>规定的时间内解密</w:t>
      </w:r>
      <w:r>
        <w:rPr>
          <w:rFonts w:hint="eastAsia" w:ascii="宋体" w:hAnsi="宋体"/>
          <w:b/>
        </w:rPr>
        <w:t>响应文件</w:t>
      </w:r>
      <w:r>
        <w:rPr>
          <w:rFonts w:ascii="宋体" w:hAnsi="宋体"/>
          <w:b/>
        </w:rPr>
        <w:t>或</w:t>
      </w:r>
      <w:r>
        <w:rPr>
          <w:rFonts w:hint="eastAsia" w:ascii="宋体" w:hAnsi="宋体"/>
          <w:b/>
        </w:rPr>
        <w:t>者</w:t>
      </w:r>
      <w:r>
        <w:rPr>
          <w:rFonts w:ascii="宋体" w:hAnsi="宋体"/>
          <w:b/>
        </w:rPr>
        <w:t>解密失败的</w:t>
      </w:r>
      <w:r>
        <w:rPr>
          <w:rFonts w:hint="eastAsia" w:ascii="宋体" w:hAnsi="宋体"/>
          <w:b/>
        </w:rPr>
        <w:t>，供应商</w:t>
      </w:r>
      <w:r>
        <w:rPr>
          <w:rFonts w:hint="eastAsia" w:ascii="宋体" w:hAnsi="宋体"/>
          <w:b/>
          <w:szCs w:val="21"/>
        </w:rPr>
        <w:t>的响应文件作无效处理</w:t>
      </w:r>
      <w:r>
        <w:rPr>
          <w:rFonts w:ascii="宋体" w:hAnsi="宋体"/>
          <w:b/>
        </w:rPr>
        <w:t>。</w:t>
      </w:r>
    </w:p>
    <w:p w14:paraId="5C9C9644">
      <w:pPr>
        <w:spacing w:line="400" w:lineRule="exact"/>
        <w:ind w:firstLine="482" w:firstLineChars="200"/>
        <w:contextualSpacing/>
        <w:rPr>
          <w:rFonts w:ascii="宋体" w:hAnsi="宋体" w:cs="宋体"/>
          <w:b/>
          <w:bCs/>
          <w:sz w:val="24"/>
        </w:rPr>
      </w:pPr>
      <w:r>
        <w:rPr>
          <w:rFonts w:ascii="宋体" w:hAnsi="宋体" w:cs="宋体"/>
          <w:b/>
          <w:bCs/>
          <w:sz w:val="24"/>
        </w:rPr>
        <w:t>26</w:t>
      </w:r>
      <w:r>
        <w:rPr>
          <w:rFonts w:hint="eastAsia" w:ascii="宋体" w:hAnsi="宋体" w:cs="宋体"/>
          <w:b/>
          <w:bCs/>
          <w:sz w:val="24"/>
        </w:rPr>
        <w:t>.评审程序、评审方法和评审标准</w:t>
      </w:r>
    </w:p>
    <w:p w14:paraId="290C98AC">
      <w:pPr>
        <w:spacing w:line="400" w:lineRule="exact"/>
        <w:ind w:firstLine="420" w:firstLineChars="200"/>
        <w:contextualSpacing/>
        <w:rPr>
          <w:rFonts w:ascii="宋体" w:hAnsi="宋体" w:cs="宋体"/>
          <w:szCs w:val="21"/>
        </w:rPr>
      </w:pPr>
      <w:r>
        <w:rPr>
          <w:rFonts w:hint="eastAsia" w:ascii="宋体" w:hAnsi="宋体" w:cs="宋体"/>
          <w:szCs w:val="21"/>
        </w:rPr>
        <w:t>2</w:t>
      </w:r>
      <w:r>
        <w:rPr>
          <w:rFonts w:ascii="宋体" w:hAnsi="宋体" w:cs="宋体"/>
          <w:szCs w:val="21"/>
        </w:rPr>
        <w:t>6</w:t>
      </w:r>
      <w:r>
        <w:rPr>
          <w:rFonts w:hint="eastAsia" w:ascii="宋体" w:hAnsi="宋体" w:cs="宋体"/>
          <w:szCs w:val="21"/>
        </w:rPr>
        <w:t>.1本项目的评审方法为综合评分法。</w:t>
      </w:r>
    </w:p>
    <w:p w14:paraId="430829EE">
      <w:pPr>
        <w:spacing w:line="400" w:lineRule="exact"/>
        <w:ind w:firstLine="420" w:firstLineChars="200"/>
        <w:contextualSpacing/>
        <w:rPr>
          <w:rFonts w:ascii="宋体" w:hAnsi="宋体" w:cs="宋体"/>
          <w:szCs w:val="21"/>
        </w:rPr>
      </w:pPr>
      <w:r>
        <w:rPr>
          <w:rFonts w:ascii="宋体" w:hAnsi="宋体" w:cs="宋体"/>
          <w:szCs w:val="21"/>
        </w:rPr>
        <w:t>26.2</w:t>
      </w:r>
      <w:r>
        <w:rPr>
          <w:rFonts w:hint="eastAsia" w:ascii="宋体" w:hAnsi="宋体" w:cs="宋体"/>
          <w:szCs w:val="21"/>
        </w:rPr>
        <w:t>磋商小组</w:t>
      </w:r>
      <w:r>
        <w:rPr>
          <w:rFonts w:ascii="宋体" w:hAnsi="宋体" w:cs="宋体"/>
          <w:szCs w:val="21"/>
        </w:rPr>
        <w:t>按照</w:t>
      </w:r>
      <w:r>
        <w:rPr>
          <w:rFonts w:hint="eastAsia" w:ascii="宋体" w:hAnsi="宋体" w:cs="宋体"/>
          <w:szCs w:val="21"/>
        </w:rPr>
        <w:t>“第四章 评审程序、评审方法和评审标准”</w:t>
      </w:r>
      <w:r>
        <w:rPr>
          <w:rFonts w:ascii="宋体" w:hAnsi="宋体" w:cs="宋体"/>
          <w:szCs w:val="21"/>
        </w:rPr>
        <w:t>规定的方法、评审因素、标准和程序对</w:t>
      </w:r>
      <w:r>
        <w:rPr>
          <w:rFonts w:hint="eastAsia" w:ascii="宋体" w:hAnsi="宋体" w:cs="宋体"/>
          <w:szCs w:val="21"/>
        </w:rPr>
        <w:t>响应</w:t>
      </w:r>
      <w:r>
        <w:rPr>
          <w:rFonts w:ascii="宋体" w:hAnsi="宋体" w:cs="宋体"/>
          <w:szCs w:val="21"/>
        </w:rPr>
        <w:t>文件进行评审。</w:t>
      </w:r>
    </w:p>
    <w:p w14:paraId="2727E4EF">
      <w:pPr>
        <w:spacing w:line="400" w:lineRule="exact"/>
        <w:ind w:firstLine="420" w:firstLineChars="200"/>
        <w:rPr>
          <w:rFonts w:ascii="宋体" w:hAnsi="宋体"/>
          <w:szCs w:val="21"/>
        </w:rPr>
      </w:pPr>
      <w:r>
        <w:rPr>
          <w:rFonts w:hint="eastAsia" w:ascii="宋体" w:hAnsi="宋体"/>
          <w:szCs w:val="21"/>
        </w:rPr>
        <w:t>2</w:t>
      </w:r>
      <w:r>
        <w:rPr>
          <w:rFonts w:ascii="宋体" w:hAnsi="宋体"/>
          <w:szCs w:val="21"/>
        </w:rPr>
        <w:t xml:space="preserve">6.3 </w:t>
      </w:r>
      <w:r>
        <w:rPr>
          <w:rFonts w:hint="eastAsia" w:ascii="宋体" w:hAnsi="宋体"/>
          <w:szCs w:val="21"/>
        </w:rPr>
        <w:t>商务/技术（服务）要求允许负偏离的条款数详见“供应商须知前附表”。</w:t>
      </w:r>
    </w:p>
    <w:p w14:paraId="28FBCDB9">
      <w:pPr>
        <w:spacing w:line="400" w:lineRule="exact"/>
        <w:ind w:firstLine="420" w:firstLineChars="200"/>
        <w:rPr>
          <w:rFonts w:ascii="宋体" w:hAnsi="宋体"/>
          <w:szCs w:val="21"/>
        </w:rPr>
      </w:pPr>
      <w:r>
        <w:rPr>
          <w:rFonts w:hint="eastAsia" w:ascii="宋体" w:hAnsi="宋体" w:cs="宋体"/>
        </w:rPr>
        <w:t>26.</w:t>
      </w:r>
      <w:r>
        <w:rPr>
          <w:rFonts w:ascii="宋体" w:hAnsi="宋体" w:cs="宋体"/>
        </w:rPr>
        <w:t>4</w:t>
      </w:r>
      <w:r>
        <w:rPr>
          <w:rFonts w:hint="eastAsia" w:ascii="宋体" w:hAnsi="宋体" w:cs="宋体"/>
        </w:rPr>
        <w:t>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2DE0C8BB">
      <w:pPr>
        <w:spacing w:line="400" w:lineRule="exact"/>
        <w:ind w:firstLine="420" w:firstLineChars="200"/>
        <w:rPr>
          <w:rFonts w:ascii="宋体" w:hAnsi="宋体"/>
        </w:rPr>
      </w:pPr>
      <w:r>
        <w:rPr>
          <w:rFonts w:hint="eastAsia" w:ascii="宋体" w:hAnsi="宋体" w:cs="宋体"/>
        </w:rPr>
        <w:t>2</w:t>
      </w:r>
      <w:r>
        <w:rPr>
          <w:rFonts w:ascii="宋体" w:hAnsi="宋体" w:cs="宋体"/>
        </w:rPr>
        <w:t>6.5</w:t>
      </w:r>
      <w:r>
        <w:rPr>
          <w:rFonts w:hint="eastAsia" w:ascii="宋体" w:hAnsi="宋体"/>
        </w:rPr>
        <w:t>电子交易活动的中止。采购过程中出现以下情形，导致电子交易平台无法正常运行，或者无法保证电子交易的公平、公正和安全时，采购机构可中止电子交易活动：</w:t>
      </w:r>
    </w:p>
    <w:p w14:paraId="07C18E50">
      <w:pPr>
        <w:spacing w:line="400" w:lineRule="exact"/>
        <w:ind w:firstLine="420" w:firstLineChars="200"/>
        <w:rPr>
          <w:rFonts w:ascii="宋体" w:hAnsi="宋体"/>
        </w:rPr>
      </w:pPr>
      <w:r>
        <w:rPr>
          <w:rFonts w:hint="eastAsia" w:ascii="宋体" w:hAnsi="宋体"/>
        </w:rPr>
        <w:t xml:space="preserve">（1）电子交易平台发生故障而无法登录访问的； </w:t>
      </w:r>
    </w:p>
    <w:p w14:paraId="0C23D42F">
      <w:pPr>
        <w:spacing w:line="400" w:lineRule="exact"/>
        <w:ind w:firstLine="420" w:firstLineChars="200"/>
        <w:rPr>
          <w:rFonts w:ascii="宋体" w:hAnsi="宋体"/>
        </w:rPr>
      </w:pPr>
      <w:r>
        <w:rPr>
          <w:rFonts w:hint="eastAsia" w:ascii="宋体" w:hAnsi="宋体"/>
        </w:rPr>
        <w:t>（2）电子交易平台应用或数据库出现错误，不能进行正常操作的；</w:t>
      </w:r>
    </w:p>
    <w:p w14:paraId="521385DB">
      <w:pPr>
        <w:spacing w:line="400" w:lineRule="exact"/>
        <w:ind w:firstLine="420" w:firstLineChars="200"/>
        <w:rPr>
          <w:rFonts w:ascii="宋体" w:hAnsi="宋体"/>
        </w:rPr>
      </w:pPr>
      <w:r>
        <w:rPr>
          <w:rFonts w:hint="eastAsia" w:ascii="宋体" w:hAnsi="宋体"/>
        </w:rPr>
        <w:t>（3）电子交易平台发现严重安全漏洞，有潜在泄密危险的；</w:t>
      </w:r>
    </w:p>
    <w:p w14:paraId="4F4A3FB6">
      <w:pPr>
        <w:spacing w:line="400" w:lineRule="exact"/>
        <w:ind w:firstLine="420" w:firstLineChars="200"/>
        <w:rPr>
          <w:rFonts w:ascii="宋体" w:hAnsi="宋体"/>
        </w:rPr>
      </w:pPr>
      <w:r>
        <w:rPr>
          <w:rFonts w:hint="eastAsia" w:ascii="宋体" w:hAnsi="宋体"/>
        </w:rPr>
        <w:t xml:space="preserve">（4）病毒发作导致不能进行正常操作的； </w:t>
      </w:r>
    </w:p>
    <w:p w14:paraId="7747A8F2">
      <w:pPr>
        <w:spacing w:line="400" w:lineRule="exact"/>
        <w:ind w:firstLine="420" w:firstLineChars="200"/>
        <w:rPr>
          <w:rFonts w:ascii="宋体" w:hAnsi="宋体"/>
        </w:rPr>
      </w:pPr>
      <w:r>
        <w:rPr>
          <w:rFonts w:hint="eastAsia" w:ascii="宋体" w:hAnsi="宋体"/>
        </w:rPr>
        <w:t>（5）其他无法保证电子交易的公平、公正和安全情况的。</w:t>
      </w:r>
    </w:p>
    <w:p w14:paraId="121CA9E2">
      <w:pPr>
        <w:spacing w:line="400" w:lineRule="exact"/>
        <w:ind w:firstLine="420" w:firstLineChars="200"/>
        <w:contextualSpacing/>
        <w:rPr>
          <w:rFonts w:ascii="宋体" w:hAnsi="宋体" w:cs="宋体"/>
          <w:szCs w:val="21"/>
        </w:rPr>
      </w:pPr>
      <w:r>
        <w:rPr>
          <w:rFonts w:hint="eastAsia" w:ascii="宋体" w:hAnsi="宋体"/>
        </w:rPr>
        <w:t>26.</w:t>
      </w:r>
      <w:r>
        <w:rPr>
          <w:rFonts w:ascii="宋体" w:hAnsi="宋体"/>
        </w:rPr>
        <w:t>6</w:t>
      </w:r>
      <w:r>
        <w:rPr>
          <w:rFonts w:hint="eastAsia" w:ascii="宋体" w:hAnsi="宋体"/>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5ECF67D6">
      <w:pPr>
        <w:spacing w:line="400" w:lineRule="exact"/>
        <w:ind w:firstLine="482" w:firstLineChars="200"/>
        <w:contextualSpacing/>
        <w:rPr>
          <w:rFonts w:ascii="宋体" w:hAnsi="宋体" w:cs="宋体"/>
          <w:b/>
          <w:bCs/>
          <w:sz w:val="24"/>
        </w:rPr>
      </w:pPr>
      <w:r>
        <w:rPr>
          <w:rFonts w:ascii="宋体" w:hAnsi="宋体" w:cs="宋体"/>
          <w:b/>
          <w:bCs/>
          <w:sz w:val="24"/>
        </w:rPr>
        <w:t>27</w:t>
      </w:r>
      <w:r>
        <w:rPr>
          <w:rFonts w:hint="eastAsia" w:ascii="宋体" w:hAnsi="宋体" w:cs="宋体"/>
          <w:b/>
          <w:bCs/>
          <w:sz w:val="24"/>
        </w:rPr>
        <w:t>.确定成交供应商及结果公告</w:t>
      </w:r>
    </w:p>
    <w:p w14:paraId="4D58E970">
      <w:pPr>
        <w:spacing w:line="400" w:lineRule="exact"/>
        <w:ind w:firstLine="420" w:firstLineChars="200"/>
        <w:contextualSpacing/>
        <w:rPr>
          <w:rFonts w:ascii="宋体" w:hAnsi="宋体" w:cs="宋体"/>
          <w:szCs w:val="21"/>
        </w:rPr>
      </w:pPr>
      <w:r>
        <w:rPr>
          <w:rFonts w:ascii="宋体" w:hAnsi="宋体" w:cs="宋体"/>
          <w:szCs w:val="21"/>
        </w:rPr>
        <w:t>27</w:t>
      </w:r>
      <w:r>
        <w:rPr>
          <w:rFonts w:hint="eastAsia" w:ascii="宋体" w:hAnsi="宋体" w:cs="宋体"/>
          <w:szCs w:val="21"/>
        </w:rPr>
        <w:t>.1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1069A414">
      <w:pPr>
        <w:spacing w:line="400" w:lineRule="exact"/>
        <w:ind w:firstLine="420" w:firstLineChars="200"/>
        <w:contextualSpacing/>
        <w:rPr>
          <w:rFonts w:ascii="宋体" w:hAnsi="宋体" w:cs="Courier New"/>
          <w:szCs w:val="21"/>
        </w:rPr>
      </w:pPr>
      <w:r>
        <w:rPr>
          <w:rFonts w:ascii="宋体" w:hAnsi="宋体" w:cs="宋体"/>
          <w:szCs w:val="21"/>
        </w:rPr>
        <w:t>27</w:t>
      </w:r>
      <w:r>
        <w:rPr>
          <w:rFonts w:hint="eastAsia" w:ascii="宋体" w:hAnsi="宋体" w:cs="宋体"/>
          <w:szCs w:val="21"/>
        </w:rPr>
        <w:t>.2采购代理机构应当在</w:t>
      </w:r>
      <w:r>
        <w:rPr>
          <w:rFonts w:hint="eastAsia" w:ascii="宋体" w:hAnsi="宋体" w:cs="宋体"/>
          <w:kern w:val="0"/>
          <w:szCs w:val="21"/>
        </w:rPr>
        <w:t>成交</w:t>
      </w:r>
      <w:r>
        <w:rPr>
          <w:rFonts w:hint="eastAsia" w:ascii="宋体" w:hAnsi="宋体" w:cs="宋体"/>
          <w:szCs w:val="21"/>
        </w:rPr>
        <w:t>供应商确定后2个工作日内，在省级以上财政部门指定的媒体上公告成交结果，同时向成交供应商发出成交通知书。采购人或者采购代理机构发出成交通知书前，应当对成交供应商信用进行查询，对列入失信被执行人、</w:t>
      </w:r>
      <w:r>
        <w:rPr>
          <w:rFonts w:hint="eastAsia" w:ascii="宋体" w:hAnsi="宋体" w:cs="宋体"/>
          <w:kern w:val="0"/>
          <w:szCs w:val="21"/>
        </w:rPr>
        <w:t>重大税收违法失信主体</w:t>
      </w:r>
      <w:r>
        <w:rPr>
          <w:rFonts w:hint="eastAsia" w:ascii="宋体" w:hAnsi="宋体" w:cs="宋体"/>
          <w:szCs w:val="21"/>
        </w:rPr>
        <w:t>、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r>
        <w:rPr>
          <w:rFonts w:hint="eastAsia" w:ascii="宋体" w:hAnsi="宋体" w:cs="Courier New"/>
          <w:szCs w:val="21"/>
        </w:rPr>
        <w:t>成交供应商享受《政府采购促进中小企业发展管理办法》（财库〔2020〕46号）规定的中小企业扶持政策的，采购人、采购代理机构应当随成交结果公开成交供应商的中小企业声明函或残疾人福利性单位声明函或</w:t>
      </w:r>
      <w:r>
        <w:rPr>
          <w:rFonts w:hint="eastAsia" w:ascii="宋体" w:hAnsi="宋体"/>
          <w:szCs w:val="21"/>
        </w:rPr>
        <w:t>属于监狱企业的证明文件</w:t>
      </w:r>
      <w:r>
        <w:rPr>
          <w:rFonts w:hint="eastAsia" w:ascii="宋体" w:hAnsi="宋体" w:cs="Courier New"/>
          <w:szCs w:val="21"/>
        </w:rPr>
        <w:t>。</w:t>
      </w:r>
    </w:p>
    <w:p w14:paraId="18CBD59F">
      <w:pPr>
        <w:spacing w:line="400" w:lineRule="exact"/>
        <w:ind w:firstLine="420" w:firstLineChars="200"/>
        <w:contextualSpacing/>
        <w:rPr>
          <w:rFonts w:ascii="宋体" w:hAnsi="宋体" w:cs="Courier New"/>
          <w:szCs w:val="21"/>
        </w:rPr>
      </w:pPr>
      <w:r>
        <w:rPr>
          <w:rFonts w:hint="eastAsia" w:ascii="宋体" w:hAnsi="宋体" w:cs="Courier New"/>
          <w:szCs w:val="21"/>
        </w:rPr>
        <w:t>27.3出现下列情形之一的，采购人或者采购代理机构应当终止竞争性磋商采购活动，发布项目终止公告并说明原因，重新开展采购活动：</w:t>
      </w:r>
    </w:p>
    <w:p w14:paraId="3BB83246">
      <w:pPr>
        <w:spacing w:line="400" w:lineRule="exact"/>
        <w:ind w:firstLine="420" w:firstLineChars="200"/>
        <w:contextualSpacing/>
        <w:rPr>
          <w:rFonts w:ascii="宋体" w:hAnsi="宋体" w:cs="Courier New"/>
          <w:szCs w:val="21"/>
        </w:rPr>
      </w:pPr>
      <w:r>
        <w:rPr>
          <w:rFonts w:hint="eastAsia" w:ascii="宋体" w:hAnsi="宋体" w:cs="Courier New"/>
          <w:szCs w:val="21"/>
        </w:rPr>
        <w:t>（1）因情况变化，不再符合规定的竞争性磋商采购方式适用情形的；</w:t>
      </w:r>
    </w:p>
    <w:p w14:paraId="41A176F4">
      <w:pPr>
        <w:spacing w:line="400" w:lineRule="exact"/>
        <w:ind w:firstLine="420" w:firstLineChars="200"/>
        <w:contextualSpacing/>
        <w:rPr>
          <w:rFonts w:ascii="宋体" w:hAnsi="宋体" w:cs="Courier New"/>
          <w:szCs w:val="21"/>
        </w:rPr>
      </w:pPr>
      <w:r>
        <w:rPr>
          <w:rFonts w:hint="eastAsia" w:ascii="宋体" w:hAnsi="宋体" w:cs="Courier New"/>
          <w:szCs w:val="21"/>
        </w:rPr>
        <w:t>（2）出现影响采购公正的违法、违规行为的；</w:t>
      </w:r>
    </w:p>
    <w:p w14:paraId="0F01BC47">
      <w:pPr>
        <w:spacing w:line="400" w:lineRule="exact"/>
        <w:ind w:firstLine="420" w:firstLineChars="200"/>
        <w:contextualSpacing/>
        <w:rPr>
          <w:rFonts w:ascii="宋体" w:hAnsi="宋体" w:cs="Courier New"/>
          <w:szCs w:val="21"/>
        </w:rPr>
      </w:pPr>
      <w:r>
        <w:rPr>
          <w:rFonts w:hint="eastAsia" w:ascii="宋体" w:hAnsi="宋体" w:cs="Courier New"/>
          <w:szCs w:val="21"/>
        </w:rPr>
        <w:t>（3）除“第四章 评审程序、评审方法和评审标准”第4.3条规定的情形外，在采购过程中符合要求的供应商或者报价未超过采购预算的供应商不足3家的。</w:t>
      </w:r>
    </w:p>
    <w:p w14:paraId="3EB8019E">
      <w:pPr>
        <w:spacing w:line="400" w:lineRule="exact"/>
        <w:ind w:firstLine="420" w:firstLineChars="200"/>
        <w:contextualSpacing/>
        <w:rPr>
          <w:rFonts w:ascii="宋体" w:hAnsi="宋体" w:cs="Courier New"/>
          <w:szCs w:val="21"/>
        </w:rPr>
      </w:pPr>
      <w:r>
        <w:rPr>
          <w:rFonts w:hint="eastAsia" w:ascii="宋体" w:hAnsi="宋体" w:cs="Courier New"/>
          <w:szCs w:val="21"/>
        </w:rPr>
        <w:t>27.4 在采购活动中因重大变故，采购任务取消的，采购人或者采购代理机构应当终止采购活动，通知所有参加采购活动的供应商，并将项目实施情况和采购任务取消原因报送本级财政部门。</w:t>
      </w:r>
    </w:p>
    <w:p w14:paraId="4033092E">
      <w:pPr>
        <w:spacing w:line="400" w:lineRule="exact"/>
        <w:ind w:firstLine="482" w:firstLineChars="200"/>
        <w:contextualSpacing/>
        <w:rPr>
          <w:rFonts w:ascii="宋体" w:hAnsi="宋体" w:cs="宋体"/>
          <w:b/>
          <w:bCs/>
          <w:sz w:val="24"/>
        </w:rPr>
      </w:pPr>
      <w:r>
        <w:rPr>
          <w:rFonts w:ascii="宋体" w:hAnsi="宋体" w:cs="宋体"/>
          <w:b/>
          <w:bCs/>
          <w:sz w:val="24"/>
        </w:rPr>
        <w:t>28</w:t>
      </w:r>
      <w:r>
        <w:rPr>
          <w:rFonts w:hint="eastAsia" w:ascii="宋体" w:hAnsi="宋体" w:cs="宋体"/>
          <w:b/>
          <w:bCs/>
          <w:sz w:val="24"/>
        </w:rPr>
        <w:t>.履约保证金</w:t>
      </w:r>
    </w:p>
    <w:p w14:paraId="0A7F5C1C">
      <w:pPr>
        <w:spacing w:line="400" w:lineRule="exact"/>
        <w:ind w:firstLine="424" w:firstLineChars="202"/>
        <w:contextualSpacing/>
        <w:rPr>
          <w:rFonts w:ascii="宋体" w:hAnsi="宋体" w:cs="宋体"/>
          <w:szCs w:val="21"/>
        </w:rPr>
      </w:pPr>
      <w:r>
        <w:rPr>
          <w:rFonts w:ascii="宋体" w:hAnsi="宋体" w:cs="宋体"/>
          <w:szCs w:val="21"/>
        </w:rPr>
        <w:t>28</w:t>
      </w:r>
      <w:r>
        <w:rPr>
          <w:rFonts w:hint="eastAsia" w:ascii="宋体" w:hAnsi="宋体" w:cs="宋体"/>
          <w:szCs w:val="21"/>
        </w:rPr>
        <w:t>.1</w:t>
      </w:r>
      <w:r>
        <w:rPr>
          <w:rFonts w:ascii="宋体" w:hAnsi="宋体" w:cs="宋体"/>
          <w:szCs w:val="21"/>
        </w:rPr>
        <w:t xml:space="preserve"> </w:t>
      </w:r>
      <w:r>
        <w:rPr>
          <w:rFonts w:hint="eastAsia" w:ascii="宋体" w:hAnsi="宋体" w:cs="宋体"/>
          <w:szCs w:val="21"/>
        </w:rPr>
        <w:t>履约保证金的金额、提交方式、退付的时间和条件详见“供应商须知前附表”。成交供应商未按规定提交履约保证金的，视为拒绝</w:t>
      </w:r>
      <w:r>
        <w:rPr>
          <w:rFonts w:ascii="宋体" w:hAnsi="宋体"/>
        </w:rPr>
        <w:t>与采购人</w:t>
      </w:r>
      <w:r>
        <w:rPr>
          <w:rFonts w:hint="eastAsia" w:ascii="宋体" w:hAnsi="宋体" w:cs="宋体"/>
          <w:szCs w:val="21"/>
        </w:rPr>
        <w:t>签订合同。</w:t>
      </w:r>
    </w:p>
    <w:p w14:paraId="2E3869BE">
      <w:pPr>
        <w:spacing w:line="400" w:lineRule="exact"/>
        <w:ind w:firstLine="424" w:firstLineChars="202"/>
        <w:contextualSpacing/>
        <w:rPr>
          <w:rFonts w:ascii="宋体" w:hAnsi="宋体" w:cs="宋体"/>
          <w:szCs w:val="21"/>
        </w:rPr>
      </w:pPr>
      <w:r>
        <w:rPr>
          <w:rFonts w:ascii="宋体" w:hAnsi="宋体" w:cs="宋体"/>
          <w:szCs w:val="21"/>
        </w:rPr>
        <w:t>28</w:t>
      </w:r>
      <w:r>
        <w:rPr>
          <w:rFonts w:hint="eastAsia" w:ascii="宋体" w:hAnsi="宋体" w:cs="宋体"/>
          <w:szCs w:val="21"/>
        </w:rPr>
        <w:t>.2在履约保证金退还日期前，若成交供应商的开户名称、开户银行、账号有变动的，请以书面形式通知履约保证金收取单位，否则由此产生的后果由成交供应商自行承担。</w:t>
      </w:r>
    </w:p>
    <w:p w14:paraId="5A26E939">
      <w:pPr>
        <w:spacing w:line="400" w:lineRule="exact"/>
        <w:ind w:firstLine="482" w:firstLineChars="200"/>
        <w:contextualSpacing/>
        <w:rPr>
          <w:rFonts w:ascii="宋体" w:hAnsi="宋体" w:cs="宋体"/>
          <w:b/>
          <w:bCs/>
          <w:sz w:val="24"/>
        </w:rPr>
      </w:pPr>
      <w:r>
        <w:rPr>
          <w:rFonts w:ascii="宋体" w:hAnsi="宋体" w:cs="宋体"/>
          <w:b/>
          <w:bCs/>
          <w:sz w:val="24"/>
        </w:rPr>
        <w:t>29</w:t>
      </w:r>
      <w:r>
        <w:rPr>
          <w:rFonts w:hint="eastAsia" w:ascii="宋体" w:hAnsi="宋体" w:cs="宋体"/>
          <w:b/>
          <w:bCs/>
          <w:sz w:val="24"/>
        </w:rPr>
        <w:t>.签订合同</w:t>
      </w:r>
    </w:p>
    <w:p w14:paraId="7D158B78">
      <w:pPr>
        <w:spacing w:line="400" w:lineRule="exact"/>
        <w:ind w:firstLine="424" w:firstLineChars="202"/>
        <w:rPr>
          <w:rFonts w:ascii="宋体" w:hAnsi="宋体" w:cs="宋体"/>
          <w:szCs w:val="21"/>
        </w:rPr>
      </w:pPr>
      <w:r>
        <w:rPr>
          <w:rFonts w:hint="eastAsia" w:ascii="宋体" w:hAnsi="宋体" w:cs="宋体"/>
          <w:szCs w:val="21"/>
        </w:rPr>
        <w:t>29.1签订电子采购合同：成交供应商领取电子成交通知书后，在</w:t>
      </w:r>
      <w:r>
        <w:rPr>
          <w:rFonts w:hint="eastAsia" w:ascii="宋体" w:hAnsi="宋体" w:cs="宋体"/>
          <w:szCs w:val="21"/>
          <w:lang w:val="zh-CN"/>
        </w:rPr>
        <w:t>规定的日期、时间、地点，由法定代表人或其授权代表与采购人代表签订电子采购合同。如成交供应商为联合体的，由联合体成员各方法定代表人或其授权代表与采购人代表签订合同。</w:t>
      </w:r>
    </w:p>
    <w:p w14:paraId="1CFA4D13">
      <w:pPr>
        <w:spacing w:line="400" w:lineRule="exact"/>
        <w:ind w:firstLine="424" w:firstLineChars="202"/>
        <w:rPr>
          <w:rFonts w:ascii="宋体" w:hAnsi="宋体" w:cs="宋体"/>
          <w:szCs w:val="21"/>
        </w:rPr>
      </w:pPr>
      <w:r>
        <w:rPr>
          <w:rFonts w:hint="eastAsia" w:ascii="宋体" w:hAnsi="宋体" w:cs="宋体"/>
          <w:szCs w:val="21"/>
        </w:rPr>
        <w:t>线下签订纸质合同：供应商领取成交通知书后，按“供应商须知前附表”规定向采购人出示相关证明材料，经采购人核验合格后方可签订合同。</w:t>
      </w:r>
    </w:p>
    <w:p w14:paraId="18D2B3D3">
      <w:pPr>
        <w:spacing w:line="400" w:lineRule="exact"/>
        <w:ind w:firstLine="424" w:firstLineChars="202"/>
        <w:rPr>
          <w:rFonts w:ascii="宋体" w:hAnsi="宋体" w:cs="宋体"/>
          <w:szCs w:val="21"/>
        </w:rPr>
      </w:pPr>
      <w:r>
        <w:rPr>
          <w:rFonts w:hint="eastAsia" w:ascii="宋体" w:hAnsi="宋体" w:cs="宋体"/>
          <w:szCs w:val="21"/>
        </w:rPr>
        <w:t>29.2签订合同时间：按成交通知书规定的时间与采购人签订合同。</w:t>
      </w:r>
    </w:p>
    <w:p w14:paraId="6FCEE27B">
      <w:pPr>
        <w:spacing w:line="400" w:lineRule="exact"/>
        <w:ind w:firstLine="424" w:firstLineChars="202"/>
        <w:rPr>
          <w:rFonts w:ascii="宋体" w:hAnsi="宋体" w:cs="宋体"/>
          <w:szCs w:val="21"/>
        </w:rPr>
      </w:pPr>
      <w:r>
        <w:rPr>
          <w:rFonts w:hint="eastAsia" w:ascii="宋体" w:hAnsi="宋体" w:cs="宋体"/>
          <w:szCs w:val="21"/>
        </w:rPr>
        <w:t>29.</w:t>
      </w:r>
      <w:r>
        <w:rPr>
          <w:rFonts w:ascii="宋体" w:hAnsi="宋体" w:cs="宋体"/>
          <w:szCs w:val="21"/>
        </w:rPr>
        <w:t>3</w:t>
      </w:r>
      <w:r>
        <w:rPr>
          <w:rFonts w:hint="eastAsia" w:ascii="宋体" w:hAnsi="宋体" w:cs="宋体"/>
          <w:szCs w:val="21"/>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14:paraId="1B8D8370">
      <w:pPr>
        <w:spacing w:line="400" w:lineRule="exact"/>
        <w:ind w:firstLine="424" w:firstLineChars="202"/>
        <w:rPr>
          <w:rFonts w:ascii="宋体" w:hAnsi="宋体" w:cs="宋体"/>
          <w:szCs w:val="21"/>
        </w:rPr>
      </w:pPr>
      <w:r>
        <w:rPr>
          <w:rFonts w:hint="eastAsia" w:ascii="宋体" w:hAnsi="宋体" w:cs="宋体"/>
          <w:szCs w:val="21"/>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33E11D1D">
      <w:pPr>
        <w:spacing w:line="400" w:lineRule="exact"/>
        <w:ind w:firstLine="424" w:firstLineChars="202"/>
        <w:rPr>
          <w:rFonts w:ascii="宋体" w:hAnsi="宋体" w:cs="宋体"/>
          <w:szCs w:val="21"/>
        </w:rPr>
      </w:pPr>
      <w:r>
        <w:rPr>
          <w:rFonts w:hint="eastAsia" w:ascii="宋体" w:hAnsi="宋体" w:cs="宋体"/>
          <w:szCs w:val="21"/>
        </w:rPr>
        <w:t>29.5采购人或成交供应商不得单方面向合同另一方提出任何磋商文件没有约定的条件或不合理的要求，作为签订合同的条件；也不得协商另行订立背离磋商文件和合同实质性内容的协议。</w:t>
      </w:r>
    </w:p>
    <w:p w14:paraId="0B54616F">
      <w:pPr>
        <w:spacing w:line="400" w:lineRule="exact"/>
        <w:ind w:firstLine="424" w:firstLineChars="202"/>
        <w:rPr>
          <w:rFonts w:ascii="宋体" w:hAnsi="宋体" w:cs="宋体"/>
          <w:szCs w:val="21"/>
        </w:rPr>
      </w:pPr>
      <w:r>
        <w:rPr>
          <w:rFonts w:hint="eastAsia" w:ascii="宋体" w:hAnsi="宋体" w:cs="宋体"/>
          <w:szCs w:val="21"/>
        </w:rPr>
        <w:t>29.6如签订合同并生效后，供应商无故拒绝或延期，除按照合同条款处理外，将承担相应的法律责任。</w:t>
      </w:r>
    </w:p>
    <w:p w14:paraId="68C91A5A">
      <w:pPr>
        <w:spacing w:line="400" w:lineRule="exact"/>
        <w:ind w:firstLine="482" w:firstLineChars="200"/>
        <w:contextualSpacing/>
        <w:rPr>
          <w:rFonts w:ascii="宋体" w:hAnsi="宋体" w:cs="宋体"/>
          <w:b/>
          <w:bCs/>
          <w:sz w:val="24"/>
        </w:rPr>
      </w:pPr>
      <w:r>
        <w:rPr>
          <w:rFonts w:ascii="宋体" w:hAnsi="宋体" w:cs="宋体"/>
          <w:b/>
          <w:bCs/>
          <w:sz w:val="24"/>
        </w:rPr>
        <w:t>30</w:t>
      </w:r>
      <w:r>
        <w:rPr>
          <w:rFonts w:hint="eastAsia" w:ascii="宋体" w:hAnsi="宋体" w:cs="宋体"/>
          <w:b/>
          <w:bCs/>
          <w:sz w:val="24"/>
        </w:rPr>
        <w:t>.政府采购合同公告</w:t>
      </w:r>
    </w:p>
    <w:p w14:paraId="72EF8C36">
      <w:pPr>
        <w:spacing w:line="400" w:lineRule="exact"/>
        <w:ind w:firstLine="420" w:firstLineChars="200"/>
        <w:contextualSpacing/>
        <w:rPr>
          <w:rFonts w:ascii="宋体" w:hAnsi="宋体" w:cs="宋体"/>
          <w:szCs w:val="21"/>
        </w:rPr>
      </w:pPr>
      <w:r>
        <w:rPr>
          <w:rFonts w:hint="eastAsia" w:ascii="宋体" w:hAnsi="宋体" w:cs="宋体"/>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71D5FBB4">
      <w:pPr>
        <w:spacing w:line="400" w:lineRule="exact"/>
        <w:ind w:firstLine="482" w:firstLineChars="200"/>
        <w:contextualSpacing/>
        <w:rPr>
          <w:rFonts w:ascii="宋体" w:hAnsi="宋体" w:cs="宋体"/>
          <w:b/>
          <w:bCs/>
          <w:sz w:val="24"/>
        </w:rPr>
      </w:pPr>
      <w:r>
        <w:rPr>
          <w:rFonts w:ascii="宋体" w:hAnsi="宋体" w:cs="宋体"/>
          <w:b/>
          <w:bCs/>
          <w:sz w:val="24"/>
        </w:rPr>
        <w:t>31</w:t>
      </w:r>
      <w:r>
        <w:rPr>
          <w:rFonts w:hint="eastAsia" w:ascii="宋体" w:hAnsi="宋体" w:cs="宋体"/>
          <w:b/>
          <w:bCs/>
          <w:sz w:val="24"/>
        </w:rPr>
        <w:t>.询问、质疑和投诉</w:t>
      </w:r>
    </w:p>
    <w:p w14:paraId="4BAA1E75">
      <w:pPr>
        <w:spacing w:line="400" w:lineRule="exact"/>
        <w:ind w:firstLine="420" w:firstLineChars="200"/>
        <w:contextualSpacing/>
        <w:rPr>
          <w:rFonts w:ascii="宋体" w:hAnsi="宋体" w:cs="宋体"/>
        </w:rPr>
      </w:pPr>
      <w:r>
        <w:rPr>
          <w:rFonts w:hint="eastAsia" w:ascii="宋体" w:hAnsi="宋体" w:cs="宋体"/>
        </w:rPr>
        <w:t>3</w:t>
      </w:r>
      <w:r>
        <w:rPr>
          <w:rFonts w:ascii="宋体" w:hAnsi="宋体" w:cs="宋体"/>
        </w:rPr>
        <w:t>1</w:t>
      </w:r>
      <w:r>
        <w:rPr>
          <w:rFonts w:hint="eastAsia" w:ascii="宋体" w:hAnsi="宋体" w:cs="宋体"/>
        </w:rPr>
        <w:t>.1供应商对政府采购活动事项有疑问的，可以向采购人、采购代理机构提出询问，采购人或者采购代理机构应当在3个工作日内对供应商依法提出的询问作出答复。</w:t>
      </w:r>
    </w:p>
    <w:p w14:paraId="315CAFD4">
      <w:pPr>
        <w:spacing w:line="400" w:lineRule="exact"/>
        <w:ind w:firstLine="420" w:firstLineChars="200"/>
        <w:contextualSpacing/>
        <w:rPr>
          <w:rFonts w:ascii="宋体" w:hAnsi="宋体" w:cs="宋体"/>
        </w:rPr>
      </w:pPr>
      <w:r>
        <w:rPr>
          <w:rFonts w:hint="eastAsia" w:ascii="宋体" w:hAnsi="宋体" w:cs="宋体"/>
        </w:rPr>
        <w:t>3</w:t>
      </w:r>
      <w:r>
        <w:rPr>
          <w:rFonts w:ascii="宋体" w:hAnsi="宋体" w:cs="宋体"/>
        </w:rPr>
        <w:t>1</w:t>
      </w:r>
      <w:r>
        <w:rPr>
          <w:rFonts w:hint="eastAsia" w:ascii="宋体" w:hAnsi="宋体" w:cs="宋体"/>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shd w:val="clear" w:color="auto" w:fill="FFFFFF"/>
        </w:rPr>
        <w:t>接收质疑函的方式、联系部门、联系电话和通讯地址等信息</w:t>
      </w:r>
      <w:r>
        <w:rPr>
          <w:rFonts w:hint="eastAsia" w:ascii="宋体" w:hAnsi="宋体" w:cs="Arial"/>
          <w:shd w:val="clear" w:color="auto" w:fill="FFFFFF"/>
        </w:rPr>
        <w:t>详见</w:t>
      </w:r>
      <w:r>
        <w:rPr>
          <w:rFonts w:hint="eastAsia" w:ascii="宋体" w:hAnsi="宋体" w:cs="宋体"/>
          <w:szCs w:val="21"/>
        </w:rPr>
        <w:t>“供应商须知前附表”</w:t>
      </w:r>
      <w:r>
        <w:rPr>
          <w:rFonts w:hint="eastAsia" w:ascii="宋体" w:hAnsi="宋体" w:cs="宋体"/>
        </w:rPr>
        <w:t>。具体质疑起算时间如下：</w:t>
      </w:r>
    </w:p>
    <w:p w14:paraId="5B1CAE6C">
      <w:pPr>
        <w:spacing w:line="400" w:lineRule="exact"/>
        <w:ind w:firstLine="420" w:firstLineChars="200"/>
        <w:contextualSpacing/>
        <w:rPr>
          <w:rFonts w:ascii="宋体" w:hAnsi="宋体" w:cs="宋体"/>
        </w:rPr>
      </w:pPr>
      <w:r>
        <w:rPr>
          <w:rFonts w:hint="eastAsia" w:ascii="宋体" w:hAnsi="宋体" w:cs="宋体"/>
        </w:rPr>
        <w:t>（1）对可以质疑的磋商文件提出质疑的，为收到磋商文件之日或者</w:t>
      </w:r>
      <w:r>
        <w:rPr>
          <w:rFonts w:hint="eastAsia" w:ascii="宋体" w:hAnsi="宋体"/>
        </w:rPr>
        <w:t>竞争性磋商公告期限届满之日</w:t>
      </w:r>
      <w:r>
        <w:rPr>
          <w:rFonts w:hint="eastAsia" w:ascii="宋体" w:hAnsi="宋体" w:cs="宋体"/>
        </w:rPr>
        <w:t>；</w:t>
      </w:r>
    </w:p>
    <w:p w14:paraId="7D291397">
      <w:pPr>
        <w:spacing w:line="400" w:lineRule="exact"/>
        <w:ind w:firstLine="420" w:firstLineChars="200"/>
        <w:contextualSpacing/>
        <w:rPr>
          <w:rFonts w:ascii="宋体" w:hAnsi="宋体" w:cs="宋体"/>
        </w:rPr>
      </w:pPr>
      <w:r>
        <w:rPr>
          <w:rFonts w:hint="eastAsia" w:ascii="宋体" w:hAnsi="宋体" w:cs="宋体"/>
        </w:rPr>
        <w:t>（2）对采购过程提出质疑的，为各采购程序环节结束之日；</w:t>
      </w:r>
    </w:p>
    <w:p w14:paraId="361FD9EB">
      <w:pPr>
        <w:spacing w:line="400" w:lineRule="exact"/>
        <w:ind w:firstLine="420" w:firstLineChars="200"/>
        <w:contextualSpacing/>
        <w:rPr>
          <w:rFonts w:ascii="宋体" w:hAnsi="宋体" w:cs="宋体"/>
        </w:rPr>
      </w:pPr>
      <w:r>
        <w:rPr>
          <w:rFonts w:hint="eastAsia" w:ascii="宋体" w:hAnsi="宋体" w:cs="宋体"/>
        </w:rPr>
        <w:t>（3）对成交结果提出质疑的，为成交结果公告期限届满之日。</w:t>
      </w:r>
    </w:p>
    <w:p w14:paraId="630279C2">
      <w:pPr>
        <w:spacing w:line="400" w:lineRule="exact"/>
        <w:ind w:firstLine="420" w:firstLineChars="200"/>
        <w:contextualSpacing/>
        <w:rPr>
          <w:rFonts w:ascii="宋体" w:hAnsi="宋体" w:cs="宋体"/>
        </w:rPr>
      </w:pPr>
      <w:r>
        <w:rPr>
          <w:rFonts w:hint="eastAsia" w:ascii="宋体" w:hAnsi="宋体" w:cs="宋体"/>
        </w:rPr>
        <w:t>3</w:t>
      </w:r>
      <w:r>
        <w:rPr>
          <w:rFonts w:ascii="宋体" w:hAnsi="宋体" w:cs="宋体"/>
        </w:rPr>
        <w:t>1</w:t>
      </w:r>
      <w:r>
        <w:rPr>
          <w:rFonts w:hint="eastAsia" w:ascii="宋体" w:hAnsi="宋体" w:cs="宋体"/>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0F935868">
      <w:pPr>
        <w:spacing w:line="400" w:lineRule="exact"/>
        <w:ind w:firstLine="420" w:firstLineChars="200"/>
        <w:contextualSpacing/>
        <w:rPr>
          <w:rFonts w:ascii="宋体" w:hAnsi="宋体" w:cs="宋体"/>
        </w:rPr>
      </w:pPr>
      <w:r>
        <w:rPr>
          <w:rFonts w:hint="eastAsia" w:ascii="宋体" w:hAnsi="宋体" w:cs="宋体"/>
        </w:rPr>
        <w:t>3</w:t>
      </w:r>
      <w:r>
        <w:rPr>
          <w:rFonts w:ascii="宋体" w:hAnsi="宋体" w:cs="宋体"/>
        </w:rPr>
        <w:t>1</w:t>
      </w:r>
      <w:r>
        <w:rPr>
          <w:rFonts w:hint="eastAsia" w:ascii="宋体" w:hAnsi="宋体" w:cs="宋体"/>
        </w:rPr>
        <w:t>.4 供应商提出质疑应当提交质疑函和必要的证明材料，针对同一采购程序环节的质疑必须在法定质疑期内一次性提出。质疑函应当包括下列内容</w:t>
      </w:r>
      <w:r>
        <w:rPr>
          <w:rFonts w:hint="eastAsia" w:ascii="宋体" w:hAnsi="宋体"/>
          <w:bCs/>
        </w:rPr>
        <w:t>（质疑函格式后附）</w:t>
      </w:r>
      <w:r>
        <w:rPr>
          <w:rFonts w:hint="eastAsia" w:ascii="宋体" w:hAnsi="宋体" w:cs="宋体"/>
        </w:rPr>
        <w:t>：</w:t>
      </w:r>
    </w:p>
    <w:p w14:paraId="3AEFEBD7">
      <w:pPr>
        <w:spacing w:line="400" w:lineRule="exact"/>
        <w:ind w:firstLine="420" w:firstLineChars="200"/>
        <w:contextualSpacing/>
        <w:rPr>
          <w:rFonts w:ascii="宋体" w:hAnsi="宋体" w:cs="宋体"/>
        </w:rPr>
      </w:pPr>
      <w:r>
        <w:rPr>
          <w:rFonts w:hint="eastAsia" w:ascii="宋体" w:hAnsi="宋体" w:cs="宋体"/>
        </w:rPr>
        <w:t>（1）供应商的姓名或者名称、地址、邮编、联系人及联系电话；</w:t>
      </w:r>
    </w:p>
    <w:p w14:paraId="6C116D09">
      <w:pPr>
        <w:spacing w:line="400" w:lineRule="exact"/>
        <w:ind w:firstLine="420" w:firstLineChars="200"/>
        <w:contextualSpacing/>
        <w:rPr>
          <w:rFonts w:ascii="宋体" w:hAnsi="宋体" w:cs="宋体"/>
        </w:rPr>
      </w:pPr>
      <w:r>
        <w:rPr>
          <w:rFonts w:hint="eastAsia" w:ascii="宋体" w:hAnsi="宋体" w:cs="宋体"/>
        </w:rPr>
        <w:t>（2）质疑项目的名称、编号；</w:t>
      </w:r>
    </w:p>
    <w:p w14:paraId="2CA0990D">
      <w:pPr>
        <w:spacing w:line="400" w:lineRule="exact"/>
        <w:ind w:firstLine="420" w:firstLineChars="200"/>
        <w:contextualSpacing/>
        <w:rPr>
          <w:rFonts w:ascii="宋体" w:hAnsi="宋体" w:cs="宋体"/>
        </w:rPr>
      </w:pPr>
      <w:r>
        <w:rPr>
          <w:rFonts w:hint="eastAsia" w:ascii="宋体" w:hAnsi="宋体" w:cs="宋体"/>
        </w:rPr>
        <w:t>（3）具体、明确的质疑事项和与质疑事项相关的请求；</w:t>
      </w:r>
    </w:p>
    <w:p w14:paraId="0031F5CB">
      <w:pPr>
        <w:spacing w:line="400" w:lineRule="exact"/>
        <w:ind w:firstLine="420" w:firstLineChars="200"/>
        <w:contextualSpacing/>
        <w:rPr>
          <w:rFonts w:ascii="宋体" w:hAnsi="宋体" w:cs="宋体"/>
        </w:rPr>
      </w:pPr>
      <w:r>
        <w:rPr>
          <w:rFonts w:hint="eastAsia" w:ascii="宋体" w:hAnsi="宋体" w:cs="宋体"/>
        </w:rPr>
        <w:t>（4）事实依据；</w:t>
      </w:r>
    </w:p>
    <w:p w14:paraId="01066F1E">
      <w:pPr>
        <w:spacing w:line="400" w:lineRule="exact"/>
        <w:ind w:firstLine="420" w:firstLineChars="200"/>
        <w:contextualSpacing/>
        <w:rPr>
          <w:rFonts w:ascii="宋体" w:hAnsi="宋体" w:cs="宋体"/>
        </w:rPr>
      </w:pPr>
      <w:r>
        <w:rPr>
          <w:rFonts w:hint="eastAsia" w:ascii="宋体" w:hAnsi="宋体" w:cs="宋体"/>
        </w:rPr>
        <w:t>（5）必要的法律依据；</w:t>
      </w:r>
    </w:p>
    <w:p w14:paraId="681D4486">
      <w:pPr>
        <w:spacing w:line="400" w:lineRule="exact"/>
        <w:ind w:firstLine="420" w:firstLineChars="200"/>
        <w:contextualSpacing/>
        <w:rPr>
          <w:rFonts w:ascii="宋体" w:hAnsi="宋体" w:cs="宋体"/>
        </w:rPr>
      </w:pPr>
      <w:r>
        <w:rPr>
          <w:rFonts w:hint="eastAsia" w:ascii="宋体" w:hAnsi="宋体" w:cs="宋体"/>
        </w:rPr>
        <w:t>（6）提出质疑的日期。</w:t>
      </w:r>
    </w:p>
    <w:p w14:paraId="656F5DEF">
      <w:pPr>
        <w:spacing w:line="400" w:lineRule="exact"/>
        <w:ind w:firstLine="420" w:firstLineChars="200"/>
        <w:contextualSpacing/>
        <w:rPr>
          <w:rFonts w:ascii="宋体" w:hAnsi="宋体" w:cs="宋体"/>
        </w:rPr>
      </w:pPr>
      <w:r>
        <w:rPr>
          <w:rFonts w:hint="eastAsia" w:ascii="宋体" w:hAnsi="宋体" w:cs="宋体"/>
        </w:rPr>
        <w:t>供应商为自然人的，应当由本人签字；供应商为法人或者其他组织的，应当由法定代表人、主要负责人，或者其委托代理人签字或者盖章，并加盖公章。</w:t>
      </w:r>
    </w:p>
    <w:p w14:paraId="1F4ED816">
      <w:pPr>
        <w:spacing w:line="400" w:lineRule="exact"/>
        <w:ind w:firstLine="420" w:firstLineChars="200"/>
        <w:contextualSpacing/>
        <w:rPr>
          <w:rFonts w:ascii="宋体" w:hAnsi="宋体" w:cs="宋体"/>
        </w:rPr>
      </w:pPr>
      <w:r>
        <w:rPr>
          <w:rFonts w:hint="eastAsia" w:ascii="宋体" w:hAnsi="宋体" w:cs="宋体"/>
        </w:rPr>
        <w:t>3</w:t>
      </w:r>
      <w:r>
        <w:rPr>
          <w:rFonts w:ascii="宋体" w:hAnsi="宋体" w:cs="宋体"/>
        </w:rPr>
        <w:t>1.5</w:t>
      </w:r>
      <w:r>
        <w:rPr>
          <w:rFonts w:hint="eastAsia" w:ascii="宋体" w:hAnsi="宋体" w:cs="宋体"/>
        </w:rPr>
        <w:t>采购人、采购代理机构认为供应商质疑不成立，或者成立但未对成交结果构成影响的，继续开展采购活动；认为供应商质疑成立且影响或者可能影响成交结果的，按照下列情况处理：</w:t>
      </w:r>
    </w:p>
    <w:p w14:paraId="1229B94C">
      <w:pPr>
        <w:spacing w:line="400" w:lineRule="exact"/>
        <w:ind w:firstLine="420" w:firstLineChars="200"/>
        <w:contextualSpacing/>
        <w:rPr>
          <w:rFonts w:ascii="宋体" w:hAnsi="宋体" w:cs="宋体"/>
        </w:rPr>
      </w:pPr>
      <w:r>
        <w:rPr>
          <w:rFonts w:hint="eastAsia" w:ascii="宋体" w:hAnsi="宋体" w:cs="宋体"/>
        </w:rPr>
        <w:t>（一）对采购文件提出的质疑，依法通过澄清或者修改可以继续开展采购活动的，澄清或者修改采购文件后继续开展采购活动；否则应当修改采购文件后重新开展采购活动。</w:t>
      </w:r>
    </w:p>
    <w:p w14:paraId="42BC9D8B">
      <w:pPr>
        <w:spacing w:line="400" w:lineRule="exact"/>
        <w:ind w:firstLine="420" w:firstLineChars="200"/>
        <w:contextualSpacing/>
        <w:rPr>
          <w:rFonts w:ascii="宋体" w:hAnsi="宋体" w:cs="宋体"/>
        </w:rPr>
      </w:pPr>
      <w:r>
        <w:rPr>
          <w:rFonts w:hint="eastAsia" w:ascii="宋体" w:hAnsi="宋体" w:cs="宋体"/>
        </w:rPr>
        <w:t>（二）对采购过程或者成交结果提出的质疑，合格供应商符合法定数量时，可以从合格的成交候选人中另行确定成交供应商的，应当依法另行确定成交供应商；否则应当重新开展采购活动。</w:t>
      </w:r>
    </w:p>
    <w:p w14:paraId="34597A28">
      <w:pPr>
        <w:spacing w:line="400" w:lineRule="exact"/>
        <w:ind w:firstLine="420" w:firstLineChars="200"/>
        <w:contextualSpacing/>
        <w:rPr>
          <w:rFonts w:ascii="宋体" w:hAnsi="宋体" w:cs="宋体"/>
        </w:rPr>
      </w:pPr>
      <w:r>
        <w:rPr>
          <w:rFonts w:hint="eastAsia" w:ascii="宋体" w:hAnsi="宋体" w:cs="宋体"/>
        </w:rPr>
        <w:t>质疑答复导致成交结果改变的，采购人或者采购代理机构应当将有关情况书面报告本级财政部门。</w:t>
      </w:r>
    </w:p>
    <w:p w14:paraId="089C5420">
      <w:pPr>
        <w:spacing w:line="400" w:lineRule="exact"/>
        <w:ind w:firstLine="420" w:firstLineChars="200"/>
        <w:contextualSpacing/>
        <w:rPr>
          <w:rFonts w:ascii="宋体" w:hAnsi="宋体" w:cs="宋体"/>
          <w:szCs w:val="21"/>
        </w:rPr>
      </w:pPr>
      <w:r>
        <w:rPr>
          <w:rFonts w:ascii="宋体" w:hAnsi="宋体" w:cs="宋体"/>
        </w:rPr>
        <w:t>31</w:t>
      </w:r>
      <w:r>
        <w:rPr>
          <w:rFonts w:hint="eastAsia" w:ascii="宋体" w:hAnsi="宋体" w:cs="宋体"/>
        </w:rPr>
        <w:t>.</w:t>
      </w:r>
      <w:r>
        <w:rPr>
          <w:rFonts w:ascii="宋体" w:hAnsi="宋体" w:cs="宋体"/>
        </w:rPr>
        <w:t>6</w:t>
      </w:r>
      <w:r>
        <w:rPr>
          <w:rFonts w:hint="eastAsia" w:ascii="宋体" w:hAnsi="宋体" w:cs="宋体"/>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39B9EA73">
      <w:pPr>
        <w:spacing w:line="400" w:lineRule="exact"/>
        <w:ind w:firstLine="482" w:firstLineChars="200"/>
        <w:contextualSpacing/>
        <w:rPr>
          <w:rFonts w:ascii="宋体" w:hAnsi="宋体" w:cs="宋体"/>
          <w:b/>
          <w:bCs/>
          <w:sz w:val="24"/>
        </w:rPr>
      </w:pPr>
      <w:r>
        <w:rPr>
          <w:rFonts w:ascii="宋体" w:hAnsi="宋体" w:cs="宋体"/>
          <w:b/>
          <w:bCs/>
          <w:sz w:val="24"/>
        </w:rPr>
        <w:t>32</w:t>
      </w:r>
      <w:r>
        <w:rPr>
          <w:rFonts w:hint="eastAsia" w:ascii="宋体" w:hAnsi="宋体" w:cs="宋体"/>
          <w:b/>
          <w:bCs/>
          <w:sz w:val="24"/>
        </w:rPr>
        <w:t>.其他内容</w:t>
      </w:r>
    </w:p>
    <w:p w14:paraId="3C2E195D">
      <w:pPr>
        <w:tabs>
          <w:tab w:val="left" w:pos="2835"/>
        </w:tabs>
        <w:spacing w:line="400" w:lineRule="exact"/>
        <w:ind w:firstLine="420" w:firstLineChars="200"/>
        <w:contextualSpacing/>
        <w:rPr>
          <w:rFonts w:ascii="宋体" w:hAnsi="宋体" w:cs="宋体"/>
          <w:szCs w:val="21"/>
        </w:rPr>
      </w:pPr>
      <w:r>
        <w:rPr>
          <w:rFonts w:hint="eastAsia" w:ascii="宋体" w:hAnsi="宋体" w:cs="宋体"/>
        </w:rPr>
        <w:t>本项目代理服务费</w:t>
      </w:r>
      <w:r>
        <w:rPr>
          <w:rFonts w:ascii="宋体" w:hAnsi="宋体" w:cs="宋体"/>
          <w:kern w:val="0"/>
          <w:szCs w:val="21"/>
        </w:rPr>
        <w:t>按签订的采购代理协议</w:t>
      </w:r>
      <w:r>
        <w:rPr>
          <w:rFonts w:hint="eastAsia" w:ascii="宋体" w:hAnsi="宋体" w:cs="宋体"/>
        </w:rPr>
        <w:t>由成交供应商</w:t>
      </w:r>
      <w:r>
        <w:rPr>
          <w:rFonts w:hint="eastAsia" w:ascii="宋体" w:hAnsi="宋体" w:cs="宋体"/>
          <w:kern w:val="0"/>
          <w:szCs w:val="21"/>
        </w:rPr>
        <w:t>在成交</w:t>
      </w:r>
      <w:r>
        <w:rPr>
          <w:rFonts w:ascii="宋体" w:hAnsi="宋体" w:cs="宋体"/>
          <w:kern w:val="0"/>
          <w:szCs w:val="21"/>
        </w:rPr>
        <w:t>公告发布之日起5个工作日内</w:t>
      </w:r>
      <w:r>
        <w:rPr>
          <w:rFonts w:hint="eastAsia" w:ascii="宋体" w:hAnsi="宋体" w:cs="宋体"/>
        </w:rPr>
        <w:t>一次性向采购代理机构支付。代理服务费标准：按成交金额为计费额，</w:t>
      </w:r>
      <w:r>
        <w:rPr>
          <w:rFonts w:hint="eastAsia" w:ascii="宋体" w:hAnsi="宋体"/>
        </w:rPr>
        <w:t>以费率</w:t>
      </w:r>
      <w:r>
        <w:rPr>
          <w:rFonts w:ascii="宋体" w:hAnsi="宋体"/>
        </w:rPr>
        <w:t>1.5%</w:t>
      </w:r>
      <w:r>
        <w:rPr>
          <w:rFonts w:hint="eastAsia" w:ascii="宋体" w:hAnsi="宋体"/>
        </w:rPr>
        <w:t>为基数下浮</w:t>
      </w:r>
      <w:r>
        <w:rPr>
          <w:rFonts w:ascii="宋体" w:hAnsi="宋体"/>
        </w:rPr>
        <w:t>60%</w:t>
      </w:r>
      <w:r>
        <w:rPr>
          <w:rFonts w:hint="eastAsia" w:ascii="宋体" w:hAnsi="宋体"/>
        </w:rPr>
        <w:t>计算【计算公式即：成交金额×</w:t>
      </w:r>
      <w:r>
        <w:rPr>
          <w:rFonts w:ascii="宋体" w:hAnsi="宋体"/>
        </w:rPr>
        <w:t>1.5%</w:t>
      </w:r>
      <w:r>
        <w:rPr>
          <w:rFonts w:hint="eastAsia" w:ascii="宋体" w:hAnsi="宋体"/>
        </w:rPr>
        <w:t>×（</w:t>
      </w:r>
      <w:r>
        <w:rPr>
          <w:rFonts w:ascii="宋体" w:hAnsi="宋体"/>
        </w:rPr>
        <w:t>1-60%</w:t>
      </w:r>
      <w:r>
        <w:rPr>
          <w:rFonts w:hint="eastAsia" w:ascii="宋体" w:hAnsi="宋体"/>
        </w:rPr>
        <w:t>）】</w:t>
      </w:r>
      <w:r>
        <w:rPr>
          <w:rFonts w:hint="eastAsia" w:ascii="宋体" w:hAnsi="宋体" w:cs="宋体"/>
          <w:szCs w:val="21"/>
        </w:rPr>
        <w:t>，由成交供应商在领取成交通知书前向采购代理机构一次性支付。</w:t>
      </w:r>
    </w:p>
    <w:p w14:paraId="535CD2B1">
      <w:pPr>
        <w:spacing w:line="400" w:lineRule="exact"/>
        <w:ind w:firstLine="482" w:firstLineChars="200"/>
        <w:contextualSpacing/>
        <w:rPr>
          <w:rFonts w:ascii="宋体" w:hAnsi="宋体" w:cs="宋体"/>
          <w:b/>
          <w:bCs/>
          <w:sz w:val="24"/>
        </w:rPr>
      </w:pPr>
      <w:r>
        <w:rPr>
          <w:rFonts w:hint="eastAsia" w:ascii="宋体" w:hAnsi="宋体" w:cs="宋体"/>
          <w:b/>
          <w:bCs/>
          <w:sz w:val="24"/>
        </w:rPr>
        <w:t>3</w:t>
      </w:r>
      <w:r>
        <w:rPr>
          <w:rFonts w:ascii="宋体" w:hAnsi="宋体" w:cs="宋体"/>
          <w:b/>
          <w:bCs/>
          <w:sz w:val="24"/>
        </w:rPr>
        <w:t>3.需要补充的其他内容</w:t>
      </w:r>
    </w:p>
    <w:p w14:paraId="002F1A9D">
      <w:pPr>
        <w:tabs>
          <w:tab w:val="left" w:pos="2835"/>
        </w:tabs>
        <w:spacing w:line="400" w:lineRule="exact"/>
        <w:ind w:firstLine="420" w:firstLineChars="200"/>
        <w:contextualSpacing/>
        <w:rPr>
          <w:rFonts w:ascii="宋体" w:hAnsi="宋体" w:cs="宋体"/>
          <w:szCs w:val="21"/>
        </w:rPr>
      </w:pPr>
      <w:r>
        <w:rPr>
          <w:rFonts w:hint="eastAsia" w:ascii="宋体" w:hAnsi="宋体" w:cs="宋体"/>
          <w:szCs w:val="21"/>
        </w:rPr>
        <w:t>3</w:t>
      </w:r>
      <w:r>
        <w:rPr>
          <w:rFonts w:ascii="宋体" w:hAnsi="宋体" w:cs="宋体"/>
          <w:szCs w:val="21"/>
        </w:rPr>
        <w:t>3.1</w:t>
      </w:r>
      <w:r>
        <w:rPr>
          <w:rFonts w:hint="eastAsia" w:ascii="宋体" w:hAnsi="宋体" w:cs="宋体"/>
          <w:szCs w:val="21"/>
        </w:rPr>
        <w:t>本磋商文件解释规则详见“供应商须知前附表”。</w:t>
      </w:r>
    </w:p>
    <w:p w14:paraId="0BBEBE01">
      <w:pPr>
        <w:tabs>
          <w:tab w:val="left" w:pos="2835"/>
        </w:tabs>
        <w:spacing w:line="400" w:lineRule="exact"/>
        <w:ind w:firstLine="420" w:firstLineChars="200"/>
        <w:contextualSpacing/>
        <w:rPr>
          <w:rFonts w:ascii="宋体" w:hAnsi="宋体" w:cs="宋体"/>
          <w:szCs w:val="21"/>
        </w:rPr>
      </w:pPr>
      <w:r>
        <w:rPr>
          <w:rFonts w:ascii="宋体" w:hAnsi="宋体" w:cs="宋体"/>
          <w:szCs w:val="21"/>
        </w:rPr>
        <w:t>33.2</w:t>
      </w:r>
      <w:r>
        <w:rPr>
          <w:rFonts w:hint="eastAsia" w:ascii="宋体" w:hAnsi="宋体" w:cs="宋体"/>
          <w:szCs w:val="21"/>
        </w:rPr>
        <w:t xml:space="preserve"> 其他事项详见“供应商须知前附表”。</w:t>
      </w:r>
    </w:p>
    <w:p w14:paraId="2033395D">
      <w:pPr>
        <w:tabs>
          <w:tab w:val="left" w:pos="2835"/>
        </w:tabs>
        <w:spacing w:line="400" w:lineRule="exact"/>
        <w:ind w:firstLine="420" w:firstLineChars="200"/>
        <w:contextualSpacing/>
        <w:rPr>
          <w:rFonts w:ascii="宋体" w:hAnsi="宋体"/>
        </w:rPr>
      </w:pPr>
      <w:r>
        <w:rPr>
          <w:rFonts w:hint="eastAsia" w:ascii="宋体" w:hAnsi="宋体" w:cs="宋体"/>
          <w:szCs w:val="21"/>
        </w:rPr>
        <w:t>3</w:t>
      </w:r>
      <w:r>
        <w:rPr>
          <w:rFonts w:ascii="宋体" w:hAnsi="宋体" w:cs="宋体"/>
          <w:szCs w:val="21"/>
        </w:rPr>
        <w:t>3.3</w:t>
      </w:r>
      <w:bookmarkStart w:id="76" w:name="_Hlk65857140"/>
      <w:r>
        <w:rPr>
          <w:rFonts w:hint="eastAsia" w:ascii="宋体" w:hAnsi="宋体" w:cs="宋体"/>
          <w:szCs w:val="21"/>
        </w:rPr>
        <w:t>本磋商</w:t>
      </w:r>
      <w:r>
        <w:rPr>
          <w:rFonts w:hint="eastAsia" w:ascii="宋体" w:hAnsi="宋体"/>
        </w:rPr>
        <w:t>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4E272BF1">
      <w:pPr>
        <w:pStyle w:val="18"/>
        <w:spacing w:line="400" w:lineRule="exact"/>
        <w:ind w:firstLine="420" w:firstLineChars="200"/>
        <w:contextualSpacing/>
        <w:rPr>
          <w:rFonts w:hAnsi="宋体"/>
          <w:sz w:val="21"/>
        </w:rPr>
      </w:pPr>
      <w:r>
        <w:rPr>
          <w:rFonts w:hint="eastAsia" w:hAnsi="宋体"/>
          <w:sz w:val="21"/>
        </w:rPr>
        <w:t>（1）在货物采购项目中，货物由中小企业制造，即货物由中小企业生产且使用该中小企业商号或者注册商标，不对其中涉及的工程承建商和服务的承接商作出要求；</w:t>
      </w:r>
    </w:p>
    <w:p w14:paraId="1A534447">
      <w:pPr>
        <w:pStyle w:val="18"/>
        <w:spacing w:line="400" w:lineRule="exact"/>
        <w:ind w:firstLine="420" w:firstLineChars="200"/>
        <w:contextualSpacing/>
        <w:rPr>
          <w:rFonts w:hAnsi="宋体"/>
          <w:sz w:val="21"/>
        </w:rPr>
      </w:pPr>
      <w:r>
        <w:rPr>
          <w:rFonts w:hint="eastAsia" w:hAnsi="宋体"/>
          <w:sz w:val="21"/>
        </w:rPr>
        <w:t>（2）在工程采购项目中，工程由中小企业承建，即工程施工单位为中小企业，不对其中涉及的货物的制造商和服务的承接商作出要求；</w:t>
      </w:r>
    </w:p>
    <w:p w14:paraId="00D9F5CA">
      <w:pPr>
        <w:pStyle w:val="18"/>
        <w:spacing w:line="400" w:lineRule="exact"/>
        <w:ind w:firstLine="420" w:firstLineChars="200"/>
        <w:contextualSpacing/>
        <w:rPr>
          <w:rFonts w:hAnsi="宋体"/>
          <w:sz w:val="21"/>
        </w:rPr>
      </w:pPr>
      <w:r>
        <w:rPr>
          <w:rFonts w:hint="eastAsia" w:hAnsi="宋体"/>
          <w:sz w:val="21"/>
        </w:rPr>
        <w:t>（3）在服务采购项目中，服务由中小企业承接，即提供服务的人员为中小企业依照《中华人民共和国劳动合同法》订立劳动合同的从业人员，不对其中涉及的货物的制造商和工程承建商作出要求。</w:t>
      </w:r>
    </w:p>
    <w:p w14:paraId="4C4B3711">
      <w:pPr>
        <w:pStyle w:val="18"/>
        <w:spacing w:line="400" w:lineRule="exact"/>
        <w:ind w:firstLine="420" w:firstLineChars="200"/>
        <w:contextualSpacing/>
        <w:rPr>
          <w:rFonts w:hAnsi="宋体"/>
          <w:sz w:val="21"/>
        </w:rPr>
      </w:pPr>
      <w:r>
        <w:rPr>
          <w:rFonts w:hint="eastAsia" w:hAnsi="宋体"/>
          <w:sz w:val="21"/>
        </w:rPr>
        <w:t>在货物采购项目中，供应商提供的货物既有中小企业制造货物，也有大型企业制造货物的，不享受本磋商文件规定的中小企业扶持政策。以联合体形式参加政府采购活动，联合体各方均为中小企业的，联合体视同中小企业。其中，联合体各方均为小微企业的，联合体视同小微企业。</w:t>
      </w:r>
    </w:p>
    <w:p w14:paraId="653B3ADB">
      <w:pPr>
        <w:pStyle w:val="18"/>
        <w:spacing w:line="400" w:lineRule="exact"/>
        <w:ind w:firstLine="420" w:firstLineChars="200"/>
        <w:contextualSpacing/>
        <w:rPr>
          <w:rFonts w:hAnsi="宋体"/>
          <w:sz w:val="21"/>
        </w:rPr>
      </w:pPr>
      <w:r>
        <w:rPr>
          <w:rFonts w:hint="eastAsia" w:hAnsi="宋体"/>
          <w:sz w:val="21"/>
        </w:rPr>
        <w:t>依据本磋商文件规定享受扶持政策获得政府采购合同的，小微企业不得将合同分包给大中型企业，中型企业不得将合同分包给大型企业。</w:t>
      </w:r>
      <w:bookmarkEnd w:id="76"/>
    </w:p>
    <w:p w14:paraId="1D483710">
      <w:pPr>
        <w:pStyle w:val="18"/>
        <w:spacing w:line="400" w:lineRule="exact"/>
        <w:ind w:firstLine="420" w:firstLineChars="200"/>
        <w:contextualSpacing/>
        <w:rPr>
          <w:rFonts w:hint="eastAsia" w:hAnsi="宋体"/>
          <w:sz w:val="21"/>
        </w:rPr>
      </w:pPr>
      <w:r>
        <w:rPr>
          <w:rFonts w:hint="eastAsia" w:hAnsi="宋体"/>
          <w:sz w:val="21"/>
        </w:rPr>
        <w:t>3</w:t>
      </w:r>
      <w:r>
        <w:rPr>
          <w:rFonts w:hAnsi="宋体"/>
          <w:sz w:val="21"/>
        </w:rPr>
        <w:t>3.4</w:t>
      </w:r>
      <w:r>
        <w:rPr>
          <w:rFonts w:hint="eastAsia" w:hAnsi="宋体"/>
          <w:sz w:val="21"/>
        </w:rPr>
        <w:t>本国产品标准</w:t>
      </w:r>
    </w:p>
    <w:p w14:paraId="3D608BC1">
      <w:pPr>
        <w:pStyle w:val="18"/>
        <w:spacing w:line="400" w:lineRule="exact"/>
        <w:ind w:firstLine="420" w:firstLineChars="200"/>
        <w:contextualSpacing/>
        <w:rPr>
          <w:rFonts w:hint="eastAsia" w:hAnsi="宋体"/>
          <w:sz w:val="21"/>
        </w:rPr>
      </w:pPr>
      <w:r>
        <w:rPr>
          <w:rFonts w:hint="eastAsia" w:hAnsi="宋体"/>
          <w:sz w:val="21"/>
        </w:rPr>
        <w:t>本国产品应当符合以下条件：</w:t>
      </w:r>
    </w:p>
    <w:p w14:paraId="2E314C8E">
      <w:pPr>
        <w:pStyle w:val="18"/>
        <w:spacing w:line="400" w:lineRule="exact"/>
        <w:ind w:firstLine="420" w:firstLineChars="200"/>
        <w:contextualSpacing/>
        <w:rPr>
          <w:rFonts w:hint="eastAsia" w:hAnsi="宋体"/>
          <w:sz w:val="21"/>
        </w:rPr>
      </w:pPr>
      <w:r>
        <w:rPr>
          <w:rFonts w:hint="eastAsia" w:hAnsi="宋体"/>
          <w:sz w:val="21"/>
        </w:rPr>
        <w:t>（一）在中国境内生产</w:t>
      </w:r>
    </w:p>
    <w:p w14:paraId="604EFF49">
      <w:pPr>
        <w:pStyle w:val="18"/>
        <w:spacing w:line="400" w:lineRule="exact"/>
        <w:ind w:firstLine="420" w:firstLineChars="200"/>
        <w:contextualSpacing/>
        <w:rPr>
          <w:rFonts w:hint="eastAsia" w:hAnsi="宋体"/>
          <w:sz w:val="21"/>
        </w:rPr>
      </w:pPr>
      <w:r>
        <w:rPr>
          <w:rFonts w:hint="eastAsia" w:hAnsi="宋体"/>
          <w:sz w:val="21"/>
        </w:rPr>
        <w:t>产品应当在中国境内生产，即在中华人民共和国关境内实现从原材料、组件到产品的属性改变。</w:t>
      </w:r>
    </w:p>
    <w:p w14:paraId="445A0843">
      <w:pPr>
        <w:pStyle w:val="18"/>
        <w:spacing w:line="400" w:lineRule="exact"/>
        <w:ind w:firstLine="420" w:firstLineChars="200"/>
        <w:contextualSpacing/>
        <w:rPr>
          <w:rFonts w:hint="eastAsia" w:hAnsi="宋体"/>
          <w:sz w:val="21"/>
        </w:rPr>
      </w:pPr>
      <w:r>
        <w:rPr>
          <w:rFonts w:hint="eastAsia" w:hAnsi="宋体"/>
          <w:sz w:val="21"/>
        </w:rPr>
        <w:t>属性改变是指经过制造、加工或者组装等工序，产生完全不同于原材料、组件的新产品，并具有新的名称和特征（用途）。属性改变不包括以下细微操作：</w:t>
      </w:r>
    </w:p>
    <w:p w14:paraId="5B0E4401">
      <w:pPr>
        <w:pStyle w:val="18"/>
        <w:spacing w:line="400" w:lineRule="exact"/>
        <w:ind w:firstLine="420" w:firstLineChars="200"/>
        <w:contextualSpacing/>
        <w:rPr>
          <w:rFonts w:hint="eastAsia" w:hAnsi="宋体"/>
          <w:sz w:val="21"/>
        </w:rPr>
      </w:pPr>
      <w:r>
        <w:rPr>
          <w:rFonts w:hint="eastAsia" w:hAnsi="宋体"/>
          <w:sz w:val="21"/>
        </w:rPr>
        <w:t>1.为确保产品在运输或者储存期间保持某种状态而进行的操作；</w:t>
      </w:r>
    </w:p>
    <w:p w14:paraId="689AC13B">
      <w:pPr>
        <w:pStyle w:val="18"/>
        <w:spacing w:line="400" w:lineRule="exact"/>
        <w:ind w:firstLine="420" w:firstLineChars="200"/>
        <w:contextualSpacing/>
        <w:rPr>
          <w:rFonts w:hint="eastAsia" w:hAnsi="宋体"/>
          <w:sz w:val="21"/>
        </w:rPr>
      </w:pPr>
      <w:r>
        <w:rPr>
          <w:rFonts w:hint="eastAsia" w:hAnsi="宋体"/>
          <w:sz w:val="21"/>
        </w:rPr>
        <w:t>2.为产品运输或者销售进行的包装或者展示；</w:t>
      </w:r>
    </w:p>
    <w:p w14:paraId="771BFDCF">
      <w:pPr>
        <w:pStyle w:val="18"/>
        <w:spacing w:line="400" w:lineRule="exact"/>
        <w:ind w:firstLine="420" w:firstLineChars="200"/>
        <w:contextualSpacing/>
        <w:rPr>
          <w:rFonts w:hint="eastAsia" w:hAnsi="宋体"/>
          <w:sz w:val="21"/>
        </w:rPr>
      </w:pPr>
      <w:r>
        <w:rPr>
          <w:rFonts w:hint="eastAsia" w:hAnsi="宋体"/>
          <w:sz w:val="21"/>
        </w:rPr>
        <w:t>3.在产品或者其包装上粘贴或者印刷品牌、标志、标识以及其他用于区别的标记；</w:t>
      </w:r>
    </w:p>
    <w:p w14:paraId="678975F2">
      <w:pPr>
        <w:pStyle w:val="18"/>
        <w:spacing w:line="400" w:lineRule="exact"/>
        <w:ind w:firstLine="420" w:firstLineChars="200"/>
        <w:contextualSpacing/>
        <w:rPr>
          <w:rFonts w:hint="eastAsia" w:hAnsi="宋体"/>
          <w:sz w:val="21"/>
        </w:rPr>
      </w:pPr>
      <w:r>
        <w:rPr>
          <w:rFonts w:hint="eastAsia" w:hAnsi="宋体"/>
          <w:sz w:val="21"/>
        </w:rPr>
        <w:t>4.简单的上漆、磨光和分装；</w:t>
      </w:r>
    </w:p>
    <w:p w14:paraId="4CB249BE">
      <w:pPr>
        <w:pStyle w:val="18"/>
        <w:spacing w:line="400" w:lineRule="exact"/>
        <w:ind w:firstLine="420" w:firstLineChars="200"/>
        <w:contextualSpacing/>
        <w:rPr>
          <w:rFonts w:hint="eastAsia" w:hAnsi="宋体"/>
          <w:sz w:val="21"/>
        </w:rPr>
      </w:pPr>
      <w:r>
        <w:rPr>
          <w:rFonts w:hint="eastAsia" w:hAnsi="宋体"/>
          <w:sz w:val="21"/>
        </w:rPr>
        <w:t>5.其他不属于属性改变的情形。</w:t>
      </w:r>
    </w:p>
    <w:p w14:paraId="4BD215B1">
      <w:pPr>
        <w:pStyle w:val="18"/>
        <w:spacing w:line="400" w:lineRule="exact"/>
        <w:ind w:firstLine="420" w:firstLineChars="200"/>
        <w:contextualSpacing/>
        <w:rPr>
          <w:rFonts w:hint="eastAsia" w:hAnsi="宋体"/>
          <w:sz w:val="21"/>
        </w:rPr>
      </w:pPr>
      <w:r>
        <w:rPr>
          <w:rFonts w:hint="eastAsia" w:hAnsi="宋体"/>
          <w:sz w:val="21"/>
        </w:rPr>
        <w:t>（二）在中国境内生产的组件成本占比达到规定比例</w:t>
      </w:r>
    </w:p>
    <w:p w14:paraId="12B4E2C1">
      <w:pPr>
        <w:pStyle w:val="18"/>
        <w:spacing w:line="400" w:lineRule="exact"/>
        <w:ind w:firstLine="420" w:firstLineChars="200"/>
        <w:contextualSpacing/>
        <w:rPr>
          <w:rFonts w:hint="eastAsia" w:hAnsi="宋体"/>
          <w:sz w:val="21"/>
        </w:rPr>
      </w:pPr>
      <w:r>
        <w:rPr>
          <w:rFonts w:hint="eastAsia" w:hAnsi="宋体"/>
          <w:sz w:val="21"/>
        </w:rPr>
        <w:t>产品在中国境内生产的组件成本占比应当达到规定比例，计算公式为：</w:t>
      </w:r>
    </w:p>
    <w:p w14:paraId="5C58A814">
      <w:pPr>
        <w:pStyle w:val="18"/>
        <w:spacing w:before="120" w:after="120" w:line="360" w:lineRule="auto"/>
        <w:ind w:firstLine="420" w:firstLineChars="200"/>
        <w:contextualSpacing/>
        <w:rPr>
          <w:rFonts w:hint="eastAsia" w:hAnsi="宋体" w:cs="宋体"/>
          <w:sz w:val="21"/>
        </w:rPr>
      </w:pPr>
      <w:r>
        <w:rPr>
          <w:rFonts w:hint="eastAsia" w:hAnsi="宋体" w:cs="宋体"/>
          <w:sz w:val="21"/>
        </w:rPr>
        <w:drawing>
          <wp:inline distT="0" distB="0" distL="0" distR="0">
            <wp:extent cx="4831080" cy="762000"/>
            <wp:effectExtent l="0" t="0" r="7620" b="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831080" cy="762000"/>
                    </a:xfrm>
                    <a:prstGeom prst="rect">
                      <a:avLst/>
                    </a:prstGeom>
                    <a:noFill/>
                    <a:ln>
                      <a:noFill/>
                    </a:ln>
                  </pic:spPr>
                </pic:pic>
              </a:graphicData>
            </a:graphic>
          </wp:inline>
        </w:drawing>
      </w:r>
    </w:p>
    <w:p w14:paraId="22D7A98A">
      <w:pPr>
        <w:pStyle w:val="18"/>
        <w:spacing w:line="400" w:lineRule="exact"/>
        <w:ind w:firstLine="420" w:firstLineChars="200"/>
        <w:contextualSpacing/>
        <w:rPr>
          <w:rFonts w:hint="eastAsia" w:hAnsi="宋体"/>
          <w:sz w:val="21"/>
        </w:rPr>
      </w:pPr>
      <w:r>
        <w:rPr>
          <w:rFonts w:hint="eastAsia" w:hAnsi="宋体"/>
          <w:sz w:val="21"/>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14:paraId="0995976B">
      <w:pPr>
        <w:pStyle w:val="18"/>
        <w:spacing w:line="400" w:lineRule="exact"/>
        <w:ind w:firstLine="420" w:firstLineChars="200"/>
        <w:contextualSpacing/>
        <w:rPr>
          <w:rFonts w:hint="eastAsia" w:hAnsi="宋体"/>
          <w:sz w:val="21"/>
        </w:rPr>
      </w:pPr>
      <w:r>
        <w:rPr>
          <w:rFonts w:hint="eastAsia" w:hAnsi="宋体"/>
          <w:sz w:val="21"/>
        </w:rPr>
        <w:t>（三）特定产品的关键组件、关键工序符合相关要求</w:t>
      </w:r>
    </w:p>
    <w:p w14:paraId="2CBF1F1D">
      <w:pPr>
        <w:pStyle w:val="18"/>
        <w:spacing w:line="400" w:lineRule="exact"/>
        <w:ind w:firstLine="420" w:firstLineChars="200"/>
        <w:contextualSpacing/>
        <w:rPr>
          <w:rFonts w:hint="eastAsia" w:hAnsi="宋体"/>
          <w:sz w:val="21"/>
        </w:rPr>
      </w:pPr>
      <w:r>
        <w:rPr>
          <w:rFonts w:hint="eastAsia" w:hAnsi="宋体"/>
          <w:sz w:val="21"/>
        </w:rPr>
        <w:t>对特定产品，在符合本通知第一条第（一）项和第（二）项条件的基础上，应当符合财政部会同有关行业主管部门确定的其关键组件、关键工序在中国境内生产、完成等要求。</w:t>
      </w:r>
    </w:p>
    <w:p w14:paraId="27B64C2F">
      <w:pPr>
        <w:pStyle w:val="18"/>
        <w:spacing w:line="400" w:lineRule="exact"/>
        <w:ind w:firstLine="420" w:firstLineChars="200"/>
        <w:contextualSpacing/>
        <w:rPr>
          <w:rFonts w:hint="eastAsia" w:hAnsi="宋体"/>
          <w:sz w:val="21"/>
        </w:rPr>
      </w:pPr>
      <w:r>
        <w:rPr>
          <w:rFonts w:hint="eastAsia" w:hAnsi="宋体"/>
          <w:sz w:val="21"/>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14:paraId="696674A8">
      <w:pPr>
        <w:pStyle w:val="18"/>
        <w:spacing w:line="400" w:lineRule="exact"/>
        <w:ind w:firstLine="420" w:firstLineChars="200"/>
        <w:contextualSpacing/>
        <w:rPr>
          <w:rFonts w:hint="eastAsia" w:hAnsi="宋体"/>
          <w:sz w:val="21"/>
        </w:rPr>
      </w:pPr>
      <w:r>
        <w:rPr>
          <w:rFonts w:hint="eastAsia" w:hAnsi="宋体"/>
          <w:sz w:val="21"/>
        </w:rPr>
        <w:t>3</w:t>
      </w:r>
      <w:r>
        <w:rPr>
          <w:rFonts w:hAnsi="宋体"/>
          <w:sz w:val="21"/>
        </w:rPr>
        <w:t>3</w:t>
      </w:r>
      <w:r>
        <w:rPr>
          <w:rFonts w:hint="eastAsia" w:hAnsi="宋体"/>
          <w:sz w:val="21"/>
        </w:rPr>
        <w:t>.5本国产品标准的适用范围</w:t>
      </w:r>
    </w:p>
    <w:p w14:paraId="649E549F">
      <w:pPr>
        <w:pStyle w:val="18"/>
        <w:spacing w:line="400" w:lineRule="exact"/>
        <w:ind w:firstLine="420" w:firstLineChars="200"/>
        <w:contextualSpacing/>
        <w:rPr>
          <w:rFonts w:hint="eastAsia" w:hAnsi="宋体"/>
          <w:sz w:val="21"/>
        </w:rPr>
      </w:pPr>
      <w:r>
        <w:rPr>
          <w:rFonts w:hint="eastAsia" w:hAnsi="宋体"/>
          <w:sz w:val="21"/>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9CEA88A">
      <w:pPr>
        <w:pStyle w:val="18"/>
        <w:spacing w:line="400" w:lineRule="exact"/>
        <w:ind w:firstLine="420" w:firstLineChars="200"/>
        <w:contextualSpacing/>
        <w:rPr>
          <w:rFonts w:hint="eastAsia" w:hAnsi="宋体"/>
          <w:sz w:val="21"/>
        </w:rPr>
      </w:pPr>
      <w:r>
        <w:rPr>
          <w:rFonts w:hint="eastAsia" w:hAnsi="宋体"/>
          <w:sz w:val="21"/>
        </w:rPr>
        <w:t>3</w:t>
      </w:r>
      <w:r>
        <w:rPr>
          <w:rFonts w:hAnsi="宋体"/>
          <w:sz w:val="21"/>
        </w:rPr>
        <w:t>3</w:t>
      </w:r>
      <w:r>
        <w:rPr>
          <w:rFonts w:hint="eastAsia" w:hAnsi="宋体"/>
          <w:sz w:val="21"/>
        </w:rPr>
        <w:t>.6对本国产品的支持政策</w:t>
      </w:r>
    </w:p>
    <w:p w14:paraId="275E3617">
      <w:pPr>
        <w:pStyle w:val="18"/>
        <w:spacing w:line="400" w:lineRule="exact"/>
        <w:ind w:firstLine="420" w:firstLineChars="200"/>
        <w:contextualSpacing/>
        <w:rPr>
          <w:rFonts w:hint="eastAsia" w:hAnsi="宋体"/>
          <w:sz w:val="21"/>
        </w:rPr>
      </w:pPr>
      <w:r>
        <w:rPr>
          <w:rFonts w:hint="eastAsia" w:hAnsi="宋体"/>
          <w:sz w:val="21"/>
        </w:rPr>
        <w:t>政府采购活动中既有本国产品又有非本国产品参与竞争的，依法对本国产品给予价格评审优惠，对本国产品的报价给予20%的价格扣除，用扣除后的价格参与评审。</w:t>
      </w:r>
    </w:p>
    <w:p w14:paraId="188177F2">
      <w:pPr>
        <w:pStyle w:val="18"/>
        <w:spacing w:line="400" w:lineRule="exact"/>
        <w:ind w:firstLine="420" w:firstLineChars="200"/>
        <w:contextualSpacing/>
        <w:rPr>
          <w:rFonts w:hint="eastAsia" w:hAnsi="宋体"/>
          <w:sz w:val="21"/>
        </w:rPr>
      </w:pPr>
      <w:r>
        <w:rPr>
          <w:rFonts w:hint="eastAsia" w:hAnsi="宋体"/>
          <w:sz w:val="21"/>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1A819045">
      <w:pPr>
        <w:pStyle w:val="18"/>
        <w:spacing w:line="400" w:lineRule="exact"/>
        <w:ind w:firstLine="420" w:firstLineChars="200"/>
        <w:contextualSpacing/>
        <w:rPr>
          <w:rFonts w:hint="eastAsia" w:hAnsi="宋体"/>
          <w:sz w:val="21"/>
        </w:rPr>
      </w:pPr>
      <w:r>
        <w:rPr>
          <w:rFonts w:hint="eastAsia" w:hAnsi="宋体"/>
          <w:sz w:val="21"/>
        </w:rPr>
        <w:t>3</w:t>
      </w:r>
      <w:r>
        <w:rPr>
          <w:rFonts w:hAnsi="宋体"/>
          <w:sz w:val="21"/>
        </w:rPr>
        <w:t>3</w:t>
      </w:r>
      <w:r>
        <w:rPr>
          <w:rFonts w:hint="eastAsia" w:hAnsi="宋体"/>
          <w:sz w:val="21"/>
        </w:rPr>
        <w:t>.7政府采购异常低价审查</w:t>
      </w:r>
    </w:p>
    <w:p w14:paraId="05D2CF1D">
      <w:pPr>
        <w:pStyle w:val="18"/>
        <w:spacing w:line="400" w:lineRule="exact"/>
        <w:ind w:firstLine="420" w:firstLineChars="200"/>
        <w:contextualSpacing/>
        <w:rPr>
          <w:rFonts w:hint="eastAsia" w:hAnsi="宋体"/>
          <w:sz w:val="21"/>
        </w:rPr>
      </w:pPr>
      <w:r>
        <w:rPr>
          <w:rFonts w:hint="eastAsia" w:hAnsi="宋体"/>
          <w:sz w:val="21"/>
        </w:rPr>
        <w:t>（一）政府采购评审中出现下列情形之一的，磋商小组应当启动异常低价投标（响应）审查程序：</w:t>
      </w:r>
    </w:p>
    <w:p w14:paraId="5F303057">
      <w:pPr>
        <w:pStyle w:val="18"/>
        <w:spacing w:line="400" w:lineRule="exact"/>
        <w:ind w:firstLine="420" w:firstLineChars="200"/>
        <w:contextualSpacing/>
        <w:rPr>
          <w:rFonts w:hint="eastAsia" w:hAnsi="宋体"/>
          <w:sz w:val="21"/>
        </w:rPr>
      </w:pPr>
      <w:r>
        <w:rPr>
          <w:rFonts w:hint="eastAsia" w:hAnsi="宋体"/>
          <w:sz w:val="21"/>
        </w:rPr>
        <w:t>1.投标（响应）报价低于全部通过符合性审查供应商投标（响应）报价平均值65%的，即投标（响应）报价&lt;全部通过符合性审查供应商投标（响应）报价平均值×65%；</w:t>
      </w:r>
    </w:p>
    <w:p w14:paraId="3E8F7121">
      <w:pPr>
        <w:pStyle w:val="18"/>
        <w:spacing w:line="400" w:lineRule="exact"/>
        <w:ind w:firstLine="420" w:firstLineChars="200"/>
        <w:contextualSpacing/>
        <w:rPr>
          <w:rFonts w:hint="eastAsia" w:hAnsi="宋体"/>
          <w:sz w:val="21"/>
        </w:rPr>
      </w:pPr>
      <w:r>
        <w:rPr>
          <w:rFonts w:hint="eastAsia" w:hAnsi="宋体"/>
          <w:sz w:val="21"/>
        </w:rPr>
        <w:t>2.投标（响应）报价低于通过符合性审查的次低报价供应商投标（响应）报价65%的，即投标（响应）报价&lt;通过符合性审查的次低报价供应商投标（响应）报价×65%；</w:t>
      </w:r>
    </w:p>
    <w:p w14:paraId="20B79943">
      <w:pPr>
        <w:pStyle w:val="18"/>
        <w:spacing w:line="400" w:lineRule="exact"/>
        <w:ind w:firstLine="420" w:firstLineChars="200"/>
        <w:contextualSpacing/>
        <w:rPr>
          <w:rFonts w:hint="eastAsia" w:hAnsi="宋体"/>
          <w:sz w:val="21"/>
        </w:rPr>
      </w:pPr>
      <w:r>
        <w:rPr>
          <w:rFonts w:hint="eastAsia" w:hAnsi="宋体"/>
          <w:sz w:val="21"/>
        </w:rPr>
        <w:t>3.投标（响应）报价低于采购项目最高限价65%的，即投标（响应）报价&lt;采购项目最高限价×65%；</w:t>
      </w:r>
    </w:p>
    <w:p w14:paraId="17046C82">
      <w:pPr>
        <w:pStyle w:val="18"/>
        <w:spacing w:line="400" w:lineRule="exact"/>
        <w:ind w:firstLine="420" w:firstLineChars="200"/>
        <w:contextualSpacing/>
        <w:rPr>
          <w:rFonts w:hint="eastAsia" w:hAnsi="宋体"/>
          <w:sz w:val="21"/>
        </w:rPr>
      </w:pPr>
      <w:r>
        <w:rPr>
          <w:rFonts w:hint="eastAsia" w:hAnsi="宋体"/>
          <w:sz w:val="21"/>
        </w:rPr>
        <w:t>4.磋商小组基于专业判断，认为供应商报价过低，有可能影响产品质量或者不能诚信履约的其他情形。</w:t>
      </w:r>
    </w:p>
    <w:p w14:paraId="3A238C62">
      <w:pPr>
        <w:pStyle w:val="18"/>
        <w:spacing w:line="400" w:lineRule="exact"/>
        <w:ind w:firstLine="420" w:firstLineChars="200"/>
        <w:contextualSpacing/>
        <w:rPr>
          <w:rFonts w:hint="eastAsia" w:hAnsi="宋体"/>
          <w:sz w:val="21"/>
        </w:rPr>
      </w:pPr>
      <w:r>
        <w:rPr>
          <w:rFonts w:hint="eastAsia" w:hAnsi="宋体"/>
          <w:sz w:val="21"/>
        </w:rPr>
        <w:t>相关法律法规对供应商报价有规定的，从其规定。</w:t>
      </w:r>
    </w:p>
    <w:p w14:paraId="4D66B5D5">
      <w:pPr>
        <w:pStyle w:val="18"/>
        <w:spacing w:line="400" w:lineRule="exact"/>
        <w:ind w:firstLine="420" w:firstLineChars="200"/>
        <w:contextualSpacing/>
        <w:rPr>
          <w:rFonts w:hint="eastAsia" w:hAnsi="宋体"/>
          <w:sz w:val="21"/>
        </w:rPr>
      </w:pPr>
      <w:r>
        <w:rPr>
          <w:rFonts w:hint="eastAsia" w:hAnsi="宋体"/>
          <w:sz w:val="21"/>
        </w:rPr>
        <w:t>（二）磋商小组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14767546">
      <w:pPr>
        <w:pStyle w:val="18"/>
        <w:spacing w:line="400" w:lineRule="exact"/>
        <w:ind w:firstLine="420" w:firstLineChars="200"/>
        <w:contextualSpacing/>
        <w:rPr>
          <w:rFonts w:hint="eastAsia" w:hAnsi="宋体"/>
          <w:sz w:val="21"/>
        </w:rPr>
      </w:pPr>
      <w:r>
        <w:rPr>
          <w:rFonts w:hint="eastAsia" w:hAnsi="宋体"/>
          <w:sz w:val="21"/>
        </w:rPr>
        <w:t>磋商小组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磋商小组应当将其作为无效投标（响应）处理。</w:t>
      </w:r>
    </w:p>
    <w:p w14:paraId="1C9FBC02">
      <w:pPr>
        <w:pStyle w:val="18"/>
        <w:spacing w:line="400" w:lineRule="exact"/>
        <w:ind w:firstLine="420" w:firstLineChars="200"/>
        <w:contextualSpacing/>
        <w:rPr>
          <w:rFonts w:hint="eastAsia" w:hAnsi="宋体"/>
          <w:sz w:val="21"/>
        </w:rPr>
      </w:pPr>
      <w:r>
        <w:rPr>
          <w:rFonts w:hint="eastAsia" w:hAnsi="宋体"/>
          <w:sz w:val="21"/>
        </w:rPr>
        <w:t>采购人、采购代理机构应当为磋商小组在评审现场及时获取同类项目中标（成交）价格、类似产品市场价格水平、行业人工费用标准、国家有关部门指导行业协会发布的行业平均成本等相关信息资料提供便利。磋商小组借助互联网等渠道查询相关信息的，应当严格遵守评审工作纪律，不得实施影响评审公正的行为。</w:t>
      </w:r>
    </w:p>
    <w:p w14:paraId="61399E70">
      <w:pPr>
        <w:pStyle w:val="18"/>
        <w:spacing w:line="400" w:lineRule="exact"/>
        <w:ind w:firstLine="420" w:firstLineChars="200"/>
        <w:contextualSpacing/>
        <w:rPr>
          <w:rFonts w:hAnsi="宋体"/>
          <w:sz w:val="21"/>
        </w:rPr>
      </w:pPr>
      <w:r>
        <w:rPr>
          <w:rFonts w:hint="eastAsia" w:hAnsi="宋体"/>
          <w:sz w:val="21"/>
        </w:rPr>
        <w:t>异常低价投标（响应）审查的启动原因、审查意见和审查结果应当在评审报告中记录，并随供应商提供的相关书面说明及证明材料，以及磋商小组有关互联网浏览、查询历史一并归档。</w:t>
      </w:r>
    </w:p>
    <w:p w14:paraId="263A63B4">
      <w:pPr>
        <w:pStyle w:val="18"/>
        <w:spacing w:line="400" w:lineRule="exact"/>
        <w:ind w:firstLine="420" w:firstLineChars="200"/>
        <w:contextualSpacing/>
        <w:rPr>
          <w:rFonts w:hAnsi="宋体"/>
          <w:sz w:val="21"/>
        </w:rPr>
      </w:pPr>
      <w:r>
        <w:rPr>
          <w:rFonts w:hint="eastAsia" w:hAnsi="宋体"/>
          <w:sz w:val="21"/>
        </w:rPr>
        <w:t>33.</w:t>
      </w:r>
      <w:r>
        <w:rPr>
          <w:rFonts w:hAnsi="宋体"/>
          <w:sz w:val="21"/>
        </w:rPr>
        <w:t xml:space="preserve">8 </w:t>
      </w:r>
      <w:r>
        <w:rPr>
          <w:rFonts w:hint="eastAsia" w:hAnsi="宋体"/>
          <w:sz w:val="21"/>
        </w:rPr>
        <w:t>广西线上“政采贷”政策</w:t>
      </w:r>
      <w:r>
        <w:rPr>
          <w:rFonts w:hint="eastAsia" w:hAnsi="宋体"/>
          <w:b/>
          <w:sz w:val="21"/>
        </w:rPr>
        <w:t>（详见附件2）</w:t>
      </w:r>
    </w:p>
    <w:p w14:paraId="350AF53C">
      <w:pPr>
        <w:spacing w:line="400" w:lineRule="exact"/>
        <w:ind w:firstLine="482" w:firstLineChars="200"/>
        <w:contextualSpacing/>
        <w:rPr>
          <w:rFonts w:ascii="宋体" w:hAnsi="宋体" w:cs="宋体"/>
          <w:b/>
          <w:bCs/>
          <w:sz w:val="24"/>
        </w:rPr>
      </w:pPr>
      <w:r>
        <w:rPr>
          <w:rFonts w:hint="eastAsia" w:ascii="宋体" w:hAnsi="宋体" w:cs="宋体"/>
          <w:b/>
          <w:bCs/>
          <w:sz w:val="24"/>
        </w:rPr>
        <w:t>34.监督部门</w:t>
      </w:r>
    </w:p>
    <w:p w14:paraId="64712A98">
      <w:pPr>
        <w:pStyle w:val="18"/>
        <w:spacing w:line="360" w:lineRule="exact"/>
        <w:ind w:firstLine="420" w:firstLineChars="200"/>
        <w:contextualSpacing/>
        <w:rPr>
          <w:rFonts w:hAnsi="宋体" w:cs="宋体"/>
          <w:color w:val="000000"/>
          <w:sz w:val="21"/>
        </w:rPr>
      </w:pPr>
      <w:r>
        <w:rPr>
          <w:rFonts w:hint="eastAsia" w:hAnsi="宋体" w:cs="宋体"/>
          <w:color w:val="000000"/>
          <w:sz w:val="21"/>
        </w:rPr>
        <w:t>名称：广西壮族自治区财政厅政府采购监督管理处</w:t>
      </w:r>
    </w:p>
    <w:p w14:paraId="5ADF64FC">
      <w:pPr>
        <w:pStyle w:val="18"/>
        <w:spacing w:line="360" w:lineRule="exact"/>
        <w:ind w:firstLine="420" w:firstLineChars="200"/>
        <w:contextualSpacing/>
        <w:rPr>
          <w:rFonts w:hAnsi="宋体" w:cs="宋体"/>
          <w:color w:val="000000"/>
          <w:sz w:val="21"/>
        </w:rPr>
      </w:pPr>
      <w:r>
        <w:rPr>
          <w:rFonts w:hint="eastAsia" w:hAnsi="宋体" w:cs="宋体"/>
          <w:color w:val="000000"/>
          <w:sz w:val="21"/>
        </w:rPr>
        <w:t>电话：0771-5331544</w:t>
      </w:r>
    </w:p>
    <w:p w14:paraId="7DAB2B42">
      <w:pPr>
        <w:spacing w:line="360" w:lineRule="auto"/>
        <w:ind w:firstLine="420" w:firstLineChars="200"/>
        <w:rPr>
          <w:rFonts w:ascii="宋体" w:hAnsi="宋体" w:cs="宋体"/>
        </w:rPr>
      </w:pPr>
      <w:r>
        <w:rPr>
          <w:rFonts w:ascii="宋体" w:hAnsi="宋体"/>
        </w:rPr>
        <w:br w:type="page"/>
      </w:r>
      <w:r>
        <w:rPr>
          <w:rFonts w:hint="eastAsia" w:ascii="宋体" w:hAnsi="宋体"/>
          <w:b/>
          <w:sz w:val="24"/>
        </w:rPr>
        <w:t>附表1：</w:t>
      </w:r>
    </w:p>
    <w:p w14:paraId="1EBD56EB">
      <w:pPr>
        <w:spacing w:line="360" w:lineRule="auto"/>
        <w:ind w:left="25" w:leftChars="12" w:firstLine="472" w:firstLineChars="147"/>
        <w:jc w:val="center"/>
        <w:rPr>
          <w:rFonts w:ascii="宋体" w:hAnsi="宋体" w:cs="宋体"/>
          <w:b/>
          <w:bCs/>
          <w:kern w:val="0"/>
          <w:sz w:val="32"/>
          <w:szCs w:val="32"/>
        </w:rPr>
      </w:pPr>
      <w:r>
        <w:rPr>
          <w:rFonts w:hint="eastAsia" w:ascii="宋体" w:hAnsi="宋体" w:cs="宋体"/>
          <w:b/>
          <w:bCs/>
          <w:kern w:val="0"/>
          <w:sz w:val="32"/>
          <w:szCs w:val="32"/>
        </w:rPr>
        <w:t>广西壮族自治区政府采购项目合同验收书（格式）</w:t>
      </w:r>
    </w:p>
    <w:p w14:paraId="636AA748">
      <w:pPr>
        <w:pStyle w:val="14"/>
        <w:rPr>
          <w:rFonts w:ascii="宋体" w:hAnsi="宋体"/>
        </w:rPr>
      </w:pPr>
    </w:p>
    <w:p w14:paraId="726B9EF0">
      <w:pPr>
        <w:widowControl/>
        <w:shd w:val="clear" w:color="auto" w:fill="FFFFFF"/>
        <w:snapToGrid w:val="0"/>
        <w:spacing w:line="320" w:lineRule="atLeast"/>
        <w:ind w:firstLine="480"/>
        <w:jc w:val="left"/>
        <w:rPr>
          <w:rFonts w:ascii="宋体" w:hAnsi="宋体" w:cs="宋体"/>
          <w:kern w:val="0"/>
          <w:szCs w:val="21"/>
        </w:rPr>
      </w:pPr>
      <w:r>
        <w:rPr>
          <w:rFonts w:hint="eastAsia" w:ascii="宋体" w:hAnsi="宋体" w:cs="宋体"/>
          <w:kern w:val="0"/>
          <w:szCs w:val="21"/>
        </w:rPr>
        <w:t>根据政府采购项目（</w:t>
      </w:r>
      <w:r>
        <w:rPr>
          <w:rFonts w:hint="eastAsia" w:ascii="宋体" w:hAnsi="宋体" w:cs="宋体"/>
          <w:kern w:val="0"/>
          <w:szCs w:val="21"/>
          <w:u w:val="single"/>
        </w:rPr>
        <w:t>采购合同编号：</w:t>
      </w:r>
      <w:r>
        <w:rPr>
          <w:rFonts w:hint="eastAsia" w:ascii="宋体" w:hAnsi="宋体" w:cs="宋体"/>
          <w:kern w:val="0"/>
          <w:szCs w:val="21"/>
          <w:u w:val="single"/>
        </w:rPr>
        <w:softHyphen/>
      </w:r>
      <w:r>
        <w:rPr>
          <w:rFonts w:hint="eastAsia" w:ascii="宋体" w:hAnsi="宋体" w:cs="宋体"/>
          <w:kern w:val="0"/>
          <w:szCs w:val="21"/>
        </w:rPr>
        <w:t>）的约定，我单位对（</w:t>
      </w:r>
      <w:r>
        <w:rPr>
          <w:rFonts w:hint="eastAsia" w:ascii="宋体" w:hAnsi="宋体" w:cs="宋体"/>
          <w:kern w:val="0"/>
          <w:szCs w:val="21"/>
          <w:u w:val="single"/>
        </w:rPr>
        <w:t xml:space="preserve"> 项目名称 </w:t>
      </w:r>
      <w:r>
        <w:rPr>
          <w:rFonts w:hint="eastAsia" w:ascii="宋体" w:hAnsi="宋体" w:cs="宋体"/>
          <w:kern w:val="0"/>
          <w:szCs w:val="21"/>
        </w:rPr>
        <w:t>） 政府采购项目成交供应商（</w:t>
      </w:r>
      <w:r>
        <w:rPr>
          <w:rFonts w:hint="eastAsia" w:ascii="宋体" w:hAnsi="宋体" w:cs="宋体"/>
          <w:kern w:val="0"/>
          <w:szCs w:val="21"/>
          <w:u w:val="single"/>
        </w:rPr>
        <w:t xml:space="preserve"> 公司名称 </w:t>
      </w:r>
      <w:r>
        <w:rPr>
          <w:rFonts w:hint="eastAsia" w:ascii="宋体" w:hAnsi="宋体" w:cs="宋体"/>
          <w:kern w:val="0"/>
          <w:szCs w:val="21"/>
        </w:rPr>
        <w:t>） 提供的货物（或者工程、服务）进行了验收，验收情况如下：</w:t>
      </w:r>
    </w:p>
    <w:tbl>
      <w:tblPr>
        <w:tblStyle w:val="29"/>
        <w:tblW w:w="0" w:type="auto"/>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14:paraId="0D0F83CA">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vAlign w:val="center"/>
          </w:tcPr>
          <w:p w14:paraId="006C98D5">
            <w:pPr>
              <w:widowControl/>
              <w:snapToGrid w:val="0"/>
              <w:spacing w:before="100" w:beforeAutospacing="1" w:after="100" w:afterAutospacing="1" w:line="320" w:lineRule="atLeast"/>
              <w:ind w:firstLine="5"/>
              <w:jc w:val="center"/>
              <w:rPr>
                <w:rFonts w:ascii="宋体" w:hAnsi="宋体" w:cs="宋体"/>
                <w:kern w:val="0"/>
                <w:szCs w:val="21"/>
              </w:rPr>
            </w:pPr>
            <w:r>
              <w:rPr>
                <w:rFonts w:hint="eastAsia" w:ascii="宋体" w:hAnsi="宋体" w:cs="宋体"/>
                <w:kern w:val="0"/>
                <w:szCs w:val="21"/>
              </w:rPr>
              <w:t>验收方式：</w:t>
            </w:r>
          </w:p>
        </w:tc>
        <w:tc>
          <w:tcPr>
            <w:tcW w:w="5193" w:type="dxa"/>
            <w:gridSpan w:val="6"/>
            <w:tcBorders>
              <w:top w:val="single" w:color="auto" w:sz="8" w:space="0"/>
              <w:left w:val="nil"/>
              <w:bottom w:val="single" w:color="auto" w:sz="8" w:space="0"/>
              <w:right w:val="single" w:color="auto" w:sz="8" w:space="0"/>
            </w:tcBorders>
            <w:vAlign w:val="center"/>
          </w:tcPr>
          <w:p w14:paraId="4F664FD6">
            <w:pPr>
              <w:widowControl/>
              <w:snapToGrid w:val="0"/>
              <w:spacing w:before="100" w:beforeAutospacing="1" w:after="100" w:afterAutospacing="1" w:line="320" w:lineRule="atLeast"/>
              <w:jc w:val="center"/>
              <w:rPr>
                <w:rFonts w:ascii="宋体" w:hAnsi="宋体" w:cs="宋体"/>
                <w:kern w:val="0"/>
                <w:szCs w:val="21"/>
              </w:rPr>
            </w:pPr>
            <w:r>
              <w:rPr>
                <w:rFonts w:ascii="宋体" w:hAnsi="宋体" w:cs="宋体"/>
                <w:kern w:val="0"/>
                <w:szCs w:val="21"/>
              </w:rPr>
              <w:t>□</w:t>
            </w:r>
            <w:r>
              <w:rPr>
                <w:rFonts w:hint="eastAsia" w:ascii="宋体" w:hAnsi="宋体" w:cs="宋体"/>
                <w:kern w:val="0"/>
                <w:szCs w:val="21"/>
              </w:rPr>
              <w:t>自行验收</w:t>
            </w:r>
            <w:r>
              <w:rPr>
                <w:rFonts w:ascii="宋体" w:hAnsi="宋体" w:cs="宋体"/>
                <w:kern w:val="0"/>
                <w:szCs w:val="21"/>
              </w:rPr>
              <w:t xml:space="preserve"> □</w:t>
            </w:r>
            <w:r>
              <w:rPr>
                <w:rFonts w:hint="eastAsia" w:ascii="宋体" w:hAnsi="宋体" w:cs="宋体"/>
                <w:kern w:val="0"/>
                <w:szCs w:val="21"/>
              </w:rPr>
              <w:t>委托验收</w:t>
            </w:r>
          </w:p>
        </w:tc>
      </w:tr>
      <w:tr w14:paraId="2F20A999">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vAlign w:val="center"/>
          </w:tcPr>
          <w:p w14:paraId="581238D2">
            <w:pPr>
              <w:widowControl/>
              <w:snapToGrid w:val="0"/>
              <w:spacing w:before="100" w:beforeAutospacing="1" w:after="100" w:afterAutospacing="1" w:line="320" w:lineRule="atLeast"/>
              <w:ind w:firstLine="2"/>
              <w:jc w:val="center"/>
              <w:rPr>
                <w:rFonts w:ascii="宋体" w:hAnsi="宋体" w:cs="宋体"/>
                <w:kern w:val="0"/>
                <w:szCs w:val="21"/>
              </w:rPr>
            </w:pPr>
            <w:r>
              <w:rPr>
                <w:rFonts w:hint="eastAsia" w:ascii="宋体" w:hAnsi="宋体" w:cs="宋体"/>
                <w:kern w:val="0"/>
                <w:szCs w:val="21"/>
              </w:rPr>
              <w:t>序号</w:t>
            </w:r>
          </w:p>
        </w:tc>
        <w:tc>
          <w:tcPr>
            <w:tcW w:w="2448" w:type="dxa"/>
            <w:gridSpan w:val="2"/>
            <w:tcBorders>
              <w:top w:val="nil"/>
              <w:left w:val="nil"/>
              <w:bottom w:val="single" w:color="auto" w:sz="8" w:space="0"/>
              <w:right w:val="single" w:color="auto" w:sz="8" w:space="0"/>
            </w:tcBorders>
            <w:vAlign w:val="center"/>
          </w:tcPr>
          <w:p w14:paraId="47BCD480">
            <w:pPr>
              <w:widowControl/>
              <w:snapToGrid w:val="0"/>
              <w:spacing w:before="100" w:beforeAutospacing="1" w:after="100" w:afterAutospacing="1" w:line="320" w:lineRule="atLeast"/>
              <w:ind w:firstLine="2"/>
              <w:jc w:val="center"/>
              <w:rPr>
                <w:rFonts w:ascii="宋体" w:hAnsi="宋体" w:cs="宋体"/>
                <w:kern w:val="0"/>
                <w:szCs w:val="21"/>
              </w:rPr>
            </w:pPr>
            <w:r>
              <w:rPr>
                <w:rFonts w:hint="eastAsia" w:ascii="宋体" w:hAnsi="宋体" w:cs="宋体"/>
                <w:kern w:val="0"/>
                <w:szCs w:val="21"/>
              </w:rPr>
              <w:t>名称</w:t>
            </w:r>
          </w:p>
        </w:tc>
        <w:tc>
          <w:tcPr>
            <w:tcW w:w="2902" w:type="dxa"/>
            <w:gridSpan w:val="3"/>
            <w:tcBorders>
              <w:top w:val="nil"/>
              <w:left w:val="nil"/>
              <w:bottom w:val="single" w:color="auto" w:sz="8" w:space="0"/>
              <w:right w:val="single" w:color="auto" w:sz="8" w:space="0"/>
            </w:tcBorders>
            <w:vAlign w:val="center"/>
          </w:tcPr>
          <w:p w14:paraId="7DEB3117">
            <w:pPr>
              <w:widowControl/>
              <w:snapToGrid w:val="0"/>
              <w:spacing w:before="100" w:beforeAutospacing="1" w:after="100" w:afterAutospacing="1" w:line="320" w:lineRule="atLeast"/>
              <w:ind w:firstLine="2"/>
              <w:jc w:val="center"/>
              <w:rPr>
                <w:rFonts w:ascii="宋体" w:hAnsi="宋体" w:cs="宋体"/>
                <w:kern w:val="0"/>
                <w:szCs w:val="21"/>
              </w:rPr>
            </w:pPr>
            <w:r>
              <w:rPr>
                <w:rFonts w:hint="eastAsia" w:ascii="宋体" w:hAnsi="宋体" w:cs="宋体"/>
                <w:kern w:val="0"/>
                <w:szCs w:val="21"/>
              </w:rPr>
              <w:t>货物型号规格、标准及配置等（或者服务内容、标准）</w:t>
            </w:r>
          </w:p>
        </w:tc>
        <w:tc>
          <w:tcPr>
            <w:tcW w:w="863" w:type="dxa"/>
            <w:gridSpan w:val="2"/>
            <w:tcBorders>
              <w:top w:val="nil"/>
              <w:left w:val="nil"/>
              <w:bottom w:val="single" w:color="auto" w:sz="8" w:space="0"/>
              <w:right w:val="single" w:color="auto" w:sz="8" w:space="0"/>
            </w:tcBorders>
            <w:vAlign w:val="center"/>
          </w:tcPr>
          <w:p w14:paraId="092DB406">
            <w:pPr>
              <w:widowControl/>
              <w:snapToGrid w:val="0"/>
              <w:spacing w:before="100" w:beforeAutospacing="1" w:after="100" w:afterAutospacing="1" w:line="320" w:lineRule="atLeast"/>
              <w:jc w:val="center"/>
              <w:rPr>
                <w:rFonts w:ascii="宋体" w:hAnsi="宋体" w:cs="宋体"/>
                <w:kern w:val="0"/>
                <w:szCs w:val="21"/>
              </w:rPr>
            </w:pPr>
            <w:r>
              <w:rPr>
                <w:rFonts w:hint="eastAsia" w:ascii="宋体" w:hAnsi="宋体" w:cs="宋体"/>
                <w:kern w:val="0"/>
                <w:szCs w:val="21"/>
              </w:rPr>
              <w:t>数量</w:t>
            </w:r>
          </w:p>
        </w:tc>
        <w:tc>
          <w:tcPr>
            <w:tcW w:w="1428" w:type="dxa"/>
            <w:tcBorders>
              <w:top w:val="nil"/>
              <w:left w:val="nil"/>
              <w:bottom w:val="single" w:color="auto" w:sz="8" w:space="0"/>
              <w:right w:val="single" w:color="auto" w:sz="8" w:space="0"/>
            </w:tcBorders>
            <w:vAlign w:val="center"/>
          </w:tcPr>
          <w:p w14:paraId="74785C3A">
            <w:pPr>
              <w:widowControl/>
              <w:snapToGrid w:val="0"/>
              <w:spacing w:before="100" w:beforeAutospacing="1" w:after="100" w:afterAutospacing="1" w:line="320" w:lineRule="atLeast"/>
              <w:ind w:firstLine="2"/>
              <w:jc w:val="center"/>
              <w:rPr>
                <w:rFonts w:ascii="宋体" w:hAnsi="宋体" w:cs="宋体"/>
                <w:kern w:val="0"/>
                <w:szCs w:val="21"/>
              </w:rPr>
            </w:pPr>
            <w:r>
              <w:rPr>
                <w:rFonts w:hint="eastAsia" w:ascii="宋体" w:hAnsi="宋体" w:cs="宋体"/>
                <w:kern w:val="0"/>
                <w:szCs w:val="21"/>
              </w:rPr>
              <w:t>金额</w:t>
            </w:r>
          </w:p>
        </w:tc>
      </w:tr>
      <w:tr w14:paraId="02F37AE9">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0570C0B7">
            <w:pPr>
              <w:widowControl/>
              <w:spacing w:before="100" w:beforeAutospacing="1" w:after="100" w:afterAutospacing="1" w:line="240" w:lineRule="atLeast"/>
              <w:jc w:val="center"/>
              <w:rPr>
                <w:rFonts w:ascii="宋体" w:hAnsi="宋体" w:cs="宋体"/>
                <w:kern w:val="0"/>
                <w:szCs w:val="21"/>
              </w:rPr>
            </w:pPr>
          </w:p>
        </w:tc>
        <w:tc>
          <w:tcPr>
            <w:tcW w:w="2448" w:type="dxa"/>
            <w:gridSpan w:val="2"/>
            <w:tcBorders>
              <w:top w:val="nil"/>
              <w:left w:val="nil"/>
              <w:bottom w:val="single" w:color="auto" w:sz="8" w:space="0"/>
              <w:right w:val="single" w:color="auto" w:sz="8" w:space="0"/>
            </w:tcBorders>
            <w:vAlign w:val="center"/>
          </w:tcPr>
          <w:p w14:paraId="535B54C1">
            <w:pPr>
              <w:widowControl/>
              <w:spacing w:before="100" w:beforeAutospacing="1" w:after="100" w:afterAutospacing="1" w:line="240" w:lineRule="atLeast"/>
              <w:jc w:val="center"/>
              <w:rPr>
                <w:rFonts w:ascii="宋体" w:hAnsi="宋体" w:cs="宋体"/>
                <w:kern w:val="0"/>
                <w:szCs w:val="21"/>
              </w:rPr>
            </w:pPr>
          </w:p>
        </w:tc>
        <w:tc>
          <w:tcPr>
            <w:tcW w:w="2902" w:type="dxa"/>
            <w:gridSpan w:val="3"/>
            <w:tcBorders>
              <w:top w:val="nil"/>
              <w:left w:val="nil"/>
              <w:bottom w:val="single" w:color="auto" w:sz="8" w:space="0"/>
              <w:right w:val="single" w:color="auto" w:sz="8" w:space="0"/>
            </w:tcBorders>
            <w:vAlign w:val="center"/>
          </w:tcPr>
          <w:p w14:paraId="4ADA98B9">
            <w:pPr>
              <w:widowControl/>
              <w:spacing w:before="100" w:beforeAutospacing="1" w:after="100" w:afterAutospacing="1" w:line="240" w:lineRule="atLeast"/>
              <w:jc w:val="center"/>
              <w:rPr>
                <w:rFonts w:ascii="宋体" w:hAnsi="宋体" w:cs="宋体"/>
                <w:kern w:val="0"/>
                <w:szCs w:val="21"/>
              </w:rPr>
            </w:pPr>
          </w:p>
        </w:tc>
        <w:tc>
          <w:tcPr>
            <w:tcW w:w="863" w:type="dxa"/>
            <w:gridSpan w:val="2"/>
            <w:tcBorders>
              <w:top w:val="nil"/>
              <w:left w:val="nil"/>
              <w:bottom w:val="single" w:color="auto" w:sz="8" w:space="0"/>
              <w:right w:val="single" w:color="auto" w:sz="8" w:space="0"/>
            </w:tcBorders>
            <w:vAlign w:val="center"/>
          </w:tcPr>
          <w:p w14:paraId="0AD5942B">
            <w:pPr>
              <w:widowControl/>
              <w:spacing w:before="100" w:beforeAutospacing="1" w:after="100" w:afterAutospacing="1" w:line="240" w:lineRule="atLeast"/>
              <w:jc w:val="center"/>
              <w:rPr>
                <w:rFonts w:ascii="宋体" w:hAnsi="宋体" w:cs="宋体"/>
                <w:kern w:val="0"/>
                <w:szCs w:val="21"/>
              </w:rPr>
            </w:pPr>
          </w:p>
        </w:tc>
        <w:tc>
          <w:tcPr>
            <w:tcW w:w="1428" w:type="dxa"/>
            <w:tcBorders>
              <w:top w:val="nil"/>
              <w:left w:val="nil"/>
              <w:bottom w:val="single" w:color="auto" w:sz="8" w:space="0"/>
              <w:right w:val="single" w:color="auto" w:sz="8" w:space="0"/>
            </w:tcBorders>
            <w:vAlign w:val="center"/>
          </w:tcPr>
          <w:p w14:paraId="3932B8C0">
            <w:pPr>
              <w:widowControl/>
              <w:spacing w:before="100" w:beforeAutospacing="1" w:after="100" w:afterAutospacing="1" w:line="240" w:lineRule="atLeast"/>
              <w:jc w:val="center"/>
              <w:rPr>
                <w:rFonts w:ascii="宋体" w:hAnsi="宋体" w:cs="宋体"/>
                <w:kern w:val="0"/>
                <w:szCs w:val="21"/>
              </w:rPr>
            </w:pPr>
          </w:p>
        </w:tc>
      </w:tr>
      <w:tr w14:paraId="70BC9FCE">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4265DAFD">
            <w:pPr>
              <w:widowControl/>
              <w:spacing w:before="100" w:beforeAutospacing="1" w:after="100" w:afterAutospacing="1" w:line="240" w:lineRule="atLeast"/>
              <w:jc w:val="center"/>
              <w:rPr>
                <w:rFonts w:ascii="宋体" w:hAnsi="宋体" w:cs="宋体"/>
                <w:kern w:val="0"/>
                <w:szCs w:val="21"/>
              </w:rPr>
            </w:pPr>
          </w:p>
        </w:tc>
        <w:tc>
          <w:tcPr>
            <w:tcW w:w="2448" w:type="dxa"/>
            <w:gridSpan w:val="2"/>
            <w:tcBorders>
              <w:top w:val="nil"/>
              <w:left w:val="nil"/>
              <w:bottom w:val="single" w:color="auto" w:sz="8" w:space="0"/>
              <w:right w:val="single" w:color="auto" w:sz="8" w:space="0"/>
            </w:tcBorders>
            <w:vAlign w:val="center"/>
          </w:tcPr>
          <w:p w14:paraId="2B5063C1">
            <w:pPr>
              <w:widowControl/>
              <w:spacing w:before="100" w:beforeAutospacing="1" w:after="100" w:afterAutospacing="1" w:line="240" w:lineRule="atLeast"/>
              <w:jc w:val="center"/>
              <w:rPr>
                <w:rFonts w:ascii="宋体" w:hAnsi="宋体" w:cs="宋体"/>
                <w:kern w:val="0"/>
                <w:szCs w:val="21"/>
              </w:rPr>
            </w:pPr>
          </w:p>
        </w:tc>
        <w:tc>
          <w:tcPr>
            <w:tcW w:w="2902" w:type="dxa"/>
            <w:gridSpan w:val="3"/>
            <w:tcBorders>
              <w:top w:val="nil"/>
              <w:left w:val="nil"/>
              <w:bottom w:val="single" w:color="auto" w:sz="8" w:space="0"/>
              <w:right w:val="single" w:color="auto" w:sz="8" w:space="0"/>
            </w:tcBorders>
            <w:vAlign w:val="center"/>
          </w:tcPr>
          <w:p w14:paraId="668F4EC2">
            <w:pPr>
              <w:widowControl/>
              <w:spacing w:before="100" w:beforeAutospacing="1" w:after="100" w:afterAutospacing="1" w:line="240" w:lineRule="atLeast"/>
              <w:jc w:val="center"/>
              <w:rPr>
                <w:rFonts w:ascii="宋体" w:hAnsi="宋体" w:cs="宋体"/>
                <w:kern w:val="0"/>
                <w:szCs w:val="21"/>
              </w:rPr>
            </w:pPr>
          </w:p>
        </w:tc>
        <w:tc>
          <w:tcPr>
            <w:tcW w:w="863" w:type="dxa"/>
            <w:gridSpan w:val="2"/>
            <w:tcBorders>
              <w:top w:val="nil"/>
              <w:left w:val="nil"/>
              <w:bottom w:val="single" w:color="auto" w:sz="8" w:space="0"/>
              <w:right w:val="single" w:color="auto" w:sz="8" w:space="0"/>
            </w:tcBorders>
            <w:vAlign w:val="center"/>
          </w:tcPr>
          <w:p w14:paraId="255808B7">
            <w:pPr>
              <w:widowControl/>
              <w:spacing w:before="100" w:beforeAutospacing="1" w:after="100" w:afterAutospacing="1" w:line="240" w:lineRule="atLeast"/>
              <w:jc w:val="center"/>
              <w:rPr>
                <w:rFonts w:ascii="宋体" w:hAnsi="宋体" w:cs="宋体"/>
                <w:kern w:val="0"/>
                <w:szCs w:val="21"/>
              </w:rPr>
            </w:pPr>
          </w:p>
        </w:tc>
        <w:tc>
          <w:tcPr>
            <w:tcW w:w="1428" w:type="dxa"/>
            <w:tcBorders>
              <w:top w:val="nil"/>
              <w:left w:val="nil"/>
              <w:bottom w:val="single" w:color="auto" w:sz="8" w:space="0"/>
              <w:right w:val="single" w:color="auto" w:sz="8" w:space="0"/>
            </w:tcBorders>
            <w:vAlign w:val="center"/>
          </w:tcPr>
          <w:p w14:paraId="04EA90E6">
            <w:pPr>
              <w:widowControl/>
              <w:spacing w:before="100" w:beforeAutospacing="1" w:after="100" w:afterAutospacing="1" w:line="240" w:lineRule="atLeast"/>
              <w:jc w:val="center"/>
              <w:rPr>
                <w:rFonts w:ascii="宋体" w:hAnsi="宋体" w:cs="宋体"/>
                <w:kern w:val="0"/>
                <w:szCs w:val="21"/>
              </w:rPr>
            </w:pPr>
          </w:p>
        </w:tc>
      </w:tr>
      <w:tr w14:paraId="7688F0CE">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07B87BB4">
            <w:pPr>
              <w:widowControl/>
              <w:spacing w:before="100" w:beforeAutospacing="1" w:after="100" w:afterAutospacing="1" w:line="240" w:lineRule="atLeast"/>
              <w:jc w:val="center"/>
              <w:rPr>
                <w:rFonts w:ascii="宋体" w:hAnsi="宋体" w:cs="宋体"/>
                <w:kern w:val="0"/>
                <w:szCs w:val="21"/>
              </w:rPr>
            </w:pPr>
          </w:p>
        </w:tc>
        <w:tc>
          <w:tcPr>
            <w:tcW w:w="2448" w:type="dxa"/>
            <w:gridSpan w:val="2"/>
            <w:tcBorders>
              <w:top w:val="nil"/>
              <w:left w:val="nil"/>
              <w:bottom w:val="single" w:color="auto" w:sz="8" w:space="0"/>
              <w:right w:val="single" w:color="auto" w:sz="8" w:space="0"/>
            </w:tcBorders>
            <w:vAlign w:val="center"/>
          </w:tcPr>
          <w:p w14:paraId="03D708F3">
            <w:pPr>
              <w:widowControl/>
              <w:spacing w:before="100" w:beforeAutospacing="1" w:after="100" w:afterAutospacing="1" w:line="240" w:lineRule="atLeast"/>
              <w:jc w:val="center"/>
              <w:rPr>
                <w:rFonts w:ascii="宋体" w:hAnsi="宋体" w:cs="宋体"/>
                <w:kern w:val="0"/>
                <w:szCs w:val="21"/>
              </w:rPr>
            </w:pPr>
          </w:p>
        </w:tc>
        <w:tc>
          <w:tcPr>
            <w:tcW w:w="2902" w:type="dxa"/>
            <w:gridSpan w:val="3"/>
            <w:tcBorders>
              <w:top w:val="nil"/>
              <w:left w:val="nil"/>
              <w:bottom w:val="single" w:color="auto" w:sz="8" w:space="0"/>
              <w:right w:val="single" w:color="auto" w:sz="8" w:space="0"/>
            </w:tcBorders>
            <w:vAlign w:val="center"/>
          </w:tcPr>
          <w:p w14:paraId="4699A463">
            <w:pPr>
              <w:widowControl/>
              <w:spacing w:before="100" w:beforeAutospacing="1" w:after="100" w:afterAutospacing="1" w:line="240" w:lineRule="atLeast"/>
              <w:jc w:val="center"/>
              <w:rPr>
                <w:rFonts w:ascii="宋体" w:hAnsi="宋体" w:cs="宋体"/>
                <w:kern w:val="0"/>
                <w:szCs w:val="21"/>
              </w:rPr>
            </w:pPr>
          </w:p>
        </w:tc>
        <w:tc>
          <w:tcPr>
            <w:tcW w:w="863" w:type="dxa"/>
            <w:gridSpan w:val="2"/>
            <w:tcBorders>
              <w:top w:val="nil"/>
              <w:left w:val="nil"/>
              <w:bottom w:val="single" w:color="auto" w:sz="8" w:space="0"/>
              <w:right w:val="single" w:color="auto" w:sz="8" w:space="0"/>
            </w:tcBorders>
            <w:vAlign w:val="center"/>
          </w:tcPr>
          <w:p w14:paraId="445DDD67">
            <w:pPr>
              <w:widowControl/>
              <w:spacing w:before="100" w:beforeAutospacing="1" w:after="100" w:afterAutospacing="1" w:line="240" w:lineRule="atLeast"/>
              <w:jc w:val="center"/>
              <w:rPr>
                <w:rFonts w:ascii="宋体" w:hAnsi="宋体" w:cs="宋体"/>
                <w:kern w:val="0"/>
                <w:szCs w:val="21"/>
              </w:rPr>
            </w:pPr>
          </w:p>
        </w:tc>
        <w:tc>
          <w:tcPr>
            <w:tcW w:w="1428" w:type="dxa"/>
            <w:tcBorders>
              <w:top w:val="nil"/>
              <w:left w:val="nil"/>
              <w:bottom w:val="single" w:color="auto" w:sz="8" w:space="0"/>
              <w:right w:val="single" w:color="auto" w:sz="8" w:space="0"/>
            </w:tcBorders>
            <w:vAlign w:val="center"/>
          </w:tcPr>
          <w:p w14:paraId="11E67439">
            <w:pPr>
              <w:widowControl/>
              <w:spacing w:before="100" w:beforeAutospacing="1" w:after="100" w:afterAutospacing="1" w:line="240" w:lineRule="atLeast"/>
              <w:jc w:val="center"/>
              <w:rPr>
                <w:rFonts w:ascii="宋体" w:hAnsi="宋体" w:cs="宋体"/>
                <w:kern w:val="0"/>
                <w:szCs w:val="21"/>
              </w:rPr>
            </w:pPr>
          </w:p>
        </w:tc>
      </w:tr>
      <w:tr w14:paraId="4D833EBA">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vAlign w:val="center"/>
          </w:tcPr>
          <w:p w14:paraId="5B5BDB72">
            <w:pPr>
              <w:widowControl/>
              <w:snapToGrid w:val="0"/>
              <w:spacing w:before="100" w:beforeAutospacing="1" w:after="100" w:afterAutospacing="1" w:line="320" w:lineRule="atLeast"/>
              <w:ind w:firstLine="5"/>
              <w:jc w:val="center"/>
              <w:rPr>
                <w:rFonts w:ascii="宋体" w:hAnsi="宋体" w:cs="宋体"/>
                <w:kern w:val="0"/>
                <w:szCs w:val="21"/>
              </w:rPr>
            </w:pPr>
            <w:r>
              <w:rPr>
                <w:rFonts w:hint="eastAsia" w:ascii="宋体" w:hAnsi="宋体" w:cs="宋体"/>
                <w:kern w:val="0"/>
                <w:szCs w:val="21"/>
              </w:rPr>
              <w:t>合计</w:t>
            </w:r>
          </w:p>
        </w:tc>
        <w:tc>
          <w:tcPr>
            <w:tcW w:w="863" w:type="dxa"/>
            <w:gridSpan w:val="2"/>
            <w:tcBorders>
              <w:top w:val="nil"/>
              <w:left w:val="nil"/>
              <w:bottom w:val="single" w:color="auto" w:sz="8" w:space="0"/>
              <w:right w:val="single" w:color="auto" w:sz="8" w:space="0"/>
            </w:tcBorders>
            <w:vAlign w:val="center"/>
          </w:tcPr>
          <w:p w14:paraId="39E159F0">
            <w:pPr>
              <w:widowControl/>
              <w:spacing w:before="100" w:beforeAutospacing="1" w:after="100" w:afterAutospacing="1" w:line="240" w:lineRule="atLeast"/>
              <w:jc w:val="center"/>
              <w:rPr>
                <w:rFonts w:ascii="宋体" w:hAnsi="宋体" w:cs="宋体"/>
                <w:kern w:val="0"/>
                <w:szCs w:val="21"/>
              </w:rPr>
            </w:pPr>
          </w:p>
        </w:tc>
        <w:tc>
          <w:tcPr>
            <w:tcW w:w="1428" w:type="dxa"/>
            <w:tcBorders>
              <w:top w:val="nil"/>
              <w:left w:val="nil"/>
              <w:bottom w:val="single" w:color="auto" w:sz="8" w:space="0"/>
              <w:right w:val="single" w:color="auto" w:sz="8" w:space="0"/>
            </w:tcBorders>
            <w:vAlign w:val="center"/>
          </w:tcPr>
          <w:p w14:paraId="51002BEB">
            <w:pPr>
              <w:widowControl/>
              <w:spacing w:before="100" w:beforeAutospacing="1" w:after="100" w:afterAutospacing="1" w:line="240" w:lineRule="atLeast"/>
              <w:jc w:val="center"/>
              <w:rPr>
                <w:rFonts w:ascii="宋体" w:hAnsi="宋体" w:cs="宋体"/>
                <w:kern w:val="0"/>
                <w:szCs w:val="21"/>
              </w:rPr>
            </w:pPr>
          </w:p>
        </w:tc>
      </w:tr>
      <w:tr w14:paraId="43B16A18">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vAlign w:val="center"/>
          </w:tcPr>
          <w:p w14:paraId="63E9FDA6">
            <w:pPr>
              <w:widowControl/>
              <w:snapToGrid w:val="0"/>
              <w:spacing w:before="100" w:beforeAutospacing="1" w:after="100" w:afterAutospacing="1" w:line="320" w:lineRule="atLeast"/>
              <w:ind w:firstLine="210" w:firstLineChars="100"/>
              <w:jc w:val="left"/>
              <w:rPr>
                <w:rFonts w:ascii="宋体" w:hAnsi="宋体" w:cs="宋体"/>
                <w:kern w:val="0"/>
                <w:szCs w:val="21"/>
              </w:rPr>
            </w:pPr>
            <w:r>
              <w:rPr>
                <w:rFonts w:hint="eastAsia" w:ascii="宋体" w:hAnsi="宋体" w:cs="宋体"/>
                <w:kern w:val="0"/>
                <w:szCs w:val="21"/>
              </w:rPr>
              <w:t>合计大写金额：仟佰拾万仟佰拾元</w:t>
            </w:r>
          </w:p>
        </w:tc>
      </w:tr>
      <w:tr w14:paraId="14960694">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47B87F52">
            <w:pPr>
              <w:widowControl/>
              <w:snapToGrid w:val="0"/>
              <w:spacing w:before="100" w:beforeAutospacing="1" w:after="100" w:afterAutospacing="1" w:line="320" w:lineRule="atLeast"/>
              <w:ind w:firstLine="2"/>
              <w:jc w:val="center"/>
              <w:rPr>
                <w:rFonts w:ascii="宋体" w:hAnsi="宋体" w:cs="宋体"/>
                <w:kern w:val="0"/>
                <w:szCs w:val="21"/>
              </w:rPr>
            </w:pPr>
            <w:r>
              <w:rPr>
                <w:rFonts w:hint="eastAsia" w:ascii="宋体" w:hAnsi="宋体" w:cs="宋体"/>
                <w:kern w:val="0"/>
                <w:szCs w:val="21"/>
              </w:rPr>
              <w:t>实际供货日期</w:t>
            </w:r>
          </w:p>
        </w:tc>
        <w:tc>
          <w:tcPr>
            <w:tcW w:w="2421" w:type="dxa"/>
            <w:gridSpan w:val="2"/>
            <w:tcBorders>
              <w:top w:val="nil"/>
              <w:left w:val="nil"/>
              <w:bottom w:val="single" w:color="auto" w:sz="8" w:space="0"/>
              <w:right w:val="single" w:color="auto" w:sz="8" w:space="0"/>
            </w:tcBorders>
            <w:vAlign w:val="center"/>
          </w:tcPr>
          <w:p w14:paraId="276B2612">
            <w:pPr>
              <w:widowControl/>
              <w:spacing w:before="100" w:beforeAutospacing="1" w:after="100" w:afterAutospacing="1" w:line="240" w:lineRule="atLeast"/>
              <w:jc w:val="center"/>
              <w:rPr>
                <w:rFonts w:ascii="宋体" w:hAnsi="宋体" w:cs="宋体"/>
                <w:kern w:val="0"/>
                <w:szCs w:val="21"/>
              </w:rPr>
            </w:pPr>
          </w:p>
        </w:tc>
        <w:tc>
          <w:tcPr>
            <w:tcW w:w="2282" w:type="dxa"/>
            <w:gridSpan w:val="3"/>
            <w:tcBorders>
              <w:top w:val="nil"/>
              <w:left w:val="nil"/>
              <w:bottom w:val="single" w:color="auto" w:sz="8" w:space="0"/>
              <w:right w:val="single" w:color="auto" w:sz="8" w:space="0"/>
            </w:tcBorders>
            <w:vAlign w:val="center"/>
          </w:tcPr>
          <w:p w14:paraId="4FC2AA95">
            <w:pPr>
              <w:widowControl/>
              <w:snapToGrid w:val="0"/>
              <w:spacing w:before="100" w:beforeAutospacing="1" w:after="100" w:afterAutospacing="1" w:line="320" w:lineRule="atLeast"/>
              <w:ind w:firstLine="46"/>
              <w:jc w:val="center"/>
              <w:rPr>
                <w:rFonts w:ascii="宋体" w:hAnsi="宋体" w:cs="宋体"/>
                <w:kern w:val="0"/>
                <w:szCs w:val="21"/>
              </w:rPr>
            </w:pPr>
            <w:r>
              <w:rPr>
                <w:rFonts w:hint="eastAsia" w:ascii="宋体" w:hAnsi="宋体" w:cs="宋体"/>
                <w:kern w:val="0"/>
                <w:szCs w:val="21"/>
              </w:rPr>
              <w:t>合同交货验收日期</w:t>
            </w:r>
          </w:p>
        </w:tc>
        <w:tc>
          <w:tcPr>
            <w:tcW w:w="2113" w:type="dxa"/>
            <w:gridSpan w:val="2"/>
            <w:tcBorders>
              <w:top w:val="nil"/>
              <w:left w:val="nil"/>
              <w:bottom w:val="single" w:color="auto" w:sz="8" w:space="0"/>
              <w:right w:val="single" w:color="auto" w:sz="8" w:space="0"/>
            </w:tcBorders>
            <w:vAlign w:val="center"/>
          </w:tcPr>
          <w:p w14:paraId="5FFACBD4">
            <w:pPr>
              <w:widowControl/>
              <w:spacing w:before="100" w:beforeAutospacing="1" w:after="100" w:afterAutospacing="1" w:line="240" w:lineRule="atLeast"/>
              <w:jc w:val="center"/>
              <w:rPr>
                <w:rFonts w:ascii="宋体" w:hAnsi="宋体" w:cs="宋体"/>
                <w:kern w:val="0"/>
                <w:szCs w:val="21"/>
              </w:rPr>
            </w:pPr>
          </w:p>
        </w:tc>
      </w:tr>
      <w:tr w14:paraId="049D7652">
        <w:tblPrEx>
          <w:tblCellMar>
            <w:top w:w="0" w:type="dxa"/>
            <w:left w:w="0" w:type="dxa"/>
            <w:bottom w:w="0" w:type="dxa"/>
            <w:right w:w="0" w:type="dxa"/>
          </w:tblCellMar>
        </w:tblPrEx>
        <w:trPr>
          <w:trHeight w:val="394"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7CE69CCD">
            <w:pPr>
              <w:widowControl/>
              <w:spacing w:before="100" w:beforeAutospacing="1" w:after="100" w:afterAutospacing="1" w:line="240" w:lineRule="atLeast"/>
              <w:jc w:val="center"/>
              <w:rPr>
                <w:rFonts w:ascii="宋体" w:hAnsi="宋体" w:cs="宋体"/>
                <w:kern w:val="0"/>
                <w:szCs w:val="21"/>
              </w:rPr>
            </w:pPr>
          </w:p>
        </w:tc>
        <w:tc>
          <w:tcPr>
            <w:tcW w:w="2421" w:type="dxa"/>
            <w:gridSpan w:val="2"/>
            <w:tcBorders>
              <w:top w:val="nil"/>
              <w:left w:val="nil"/>
              <w:bottom w:val="single" w:color="auto" w:sz="8" w:space="0"/>
              <w:right w:val="single" w:color="auto" w:sz="8" w:space="0"/>
            </w:tcBorders>
            <w:vAlign w:val="center"/>
          </w:tcPr>
          <w:p w14:paraId="6AAE0D8F">
            <w:pPr>
              <w:widowControl/>
              <w:spacing w:before="100" w:beforeAutospacing="1" w:after="100" w:afterAutospacing="1" w:line="240" w:lineRule="atLeast"/>
              <w:jc w:val="center"/>
              <w:rPr>
                <w:rFonts w:ascii="宋体" w:hAnsi="宋体" w:cs="宋体"/>
                <w:kern w:val="0"/>
                <w:szCs w:val="21"/>
              </w:rPr>
            </w:pPr>
          </w:p>
        </w:tc>
        <w:tc>
          <w:tcPr>
            <w:tcW w:w="2282" w:type="dxa"/>
            <w:gridSpan w:val="3"/>
            <w:tcBorders>
              <w:top w:val="nil"/>
              <w:left w:val="nil"/>
              <w:bottom w:val="single" w:color="auto" w:sz="8" w:space="0"/>
              <w:right w:val="single" w:color="auto" w:sz="8" w:space="0"/>
            </w:tcBorders>
            <w:vAlign w:val="center"/>
          </w:tcPr>
          <w:p w14:paraId="52E27F83">
            <w:pPr>
              <w:widowControl/>
              <w:spacing w:before="100" w:beforeAutospacing="1" w:after="100" w:afterAutospacing="1" w:line="240" w:lineRule="atLeast"/>
              <w:jc w:val="center"/>
              <w:rPr>
                <w:rFonts w:ascii="宋体" w:hAnsi="宋体" w:cs="宋体"/>
                <w:kern w:val="0"/>
                <w:szCs w:val="21"/>
              </w:rPr>
            </w:pPr>
          </w:p>
        </w:tc>
        <w:tc>
          <w:tcPr>
            <w:tcW w:w="2113" w:type="dxa"/>
            <w:gridSpan w:val="2"/>
            <w:tcBorders>
              <w:top w:val="nil"/>
              <w:left w:val="nil"/>
              <w:bottom w:val="single" w:color="auto" w:sz="8" w:space="0"/>
              <w:right w:val="single" w:color="auto" w:sz="8" w:space="0"/>
            </w:tcBorders>
            <w:vAlign w:val="center"/>
          </w:tcPr>
          <w:p w14:paraId="10205045">
            <w:pPr>
              <w:widowControl/>
              <w:spacing w:before="100" w:beforeAutospacing="1" w:after="100" w:afterAutospacing="1" w:line="240" w:lineRule="atLeast"/>
              <w:jc w:val="center"/>
              <w:rPr>
                <w:rFonts w:ascii="宋体" w:hAnsi="宋体" w:cs="宋体"/>
                <w:kern w:val="0"/>
                <w:szCs w:val="21"/>
              </w:rPr>
            </w:pPr>
          </w:p>
        </w:tc>
      </w:tr>
      <w:tr w14:paraId="3296453E">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2B33DDE">
            <w:pPr>
              <w:widowControl/>
              <w:snapToGrid w:val="0"/>
              <w:spacing w:before="100" w:beforeAutospacing="1" w:after="100" w:afterAutospacing="1" w:line="320" w:lineRule="atLeast"/>
              <w:jc w:val="left"/>
              <w:rPr>
                <w:rFonts w:ascii="宋体" w:hAnsi="宋体" w:cs="宋体"/>
                <w:kern w:val="0"/>
                <w:szCs w:val="21"/>
              </w:rPr>
            </w:pPr>
            <w:r>
              <w:rPr>
                <w:rFonts w:hint="eastAsia" w:ascii="宋体" w:hAnsi="宋体" w:cs="宋体"/>
                <w:kern w:val="0"/>
                <w:szCs w:val="21"/>
              </w:rPr>
              <w:t>验收具体内容</w:t>
            </w:r>
          </w:p>
        </w:tc>
        <w:tc>
          <w:tcPr>
            <w:tcW w:w="6816"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14:paraId="4205DCD8">
            <w:pPr>
              <w:widowControl/>
              <w:snapToGrid w:val="0"/>
              <w:spacing w:before="100" w:beforeAutospacing="1" w:after="100" w:afterAutospacing="1" w:line="320" w:lineRule="atLeast"/>
              <w:jc w:val="left"/>
              <w:rPr>
                <w:rFonts w:ascii="宋体" w:hAnsi="宋体" w:cs="宋体"/>
                <w:kern w:val="0"/>
                <w:szCs w:val="21"/>
              </w:rPr>
            </w:pPr>
            <w:r>
              <w:rPr>
                <w:rFonts w:hint="eastAsia" w:ascii="宋体" w:hAnsi="宋体" w:cs="宋体"/>
                <w:kern w:val="0"/>
                <w:szCs w:val="21"/>
              </w:rPr>
              <w:t>（应按采购合同、磋商文件、竞标响应文件及验收方案等进行验收；并核对成交供应商在安装调试等方面是否违反合同约定或者服务规范要求、提供的质量保证证明材料是否齐全、应有的配件及附件是否达到合同约定等。可附件</w:t>
            </w:r>
            <w:r>
              <w:rPr>
                <w:rFonts w:ascii="宋体" w:hAnsi="宋体" w:cs="宋体"/>
                <w:kern w:val="0"/>
                <w:szCs w:val="21"/>
              </w:rPr>
              <w:t>)</w:t>
            </w:r>
          </w:p>
        </w:tc>
      </w:tr>
      <w:tr w14:paraId="2064D567">
        <w:tblPrEx>
          <w:tblCellMar>
            <w:top w:w="0" w:type="dxa"/>
            <w:left w:w="0" w:type="dxa"/>
            <w:bottom w:w="0" w:type="dxa"/>
            <w:right w:w="0"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8B7A2F3">
            <w:pPr>
              <w:widowControl/>
              <w:spacing w:before="100" w:beforeAutospacing="1" w:after="100" w:afterAutospacing="1" w:line="320" w:lineRule="atLeast"/>
              <w:jc w:val="left"/>
              <w:rPr>
                <w:rFonts w:ascii="宋体" w:hAnsi="宋体" w:cs="宋体"/>
                <w:kern w:val="0"/>
                <w:szCs w:val="21"/>
              </w:rPr>
            </w:pPr>
            <w:r>
              <w:rPr>
                <w:rFonts w:hint="eastAsia" w:ascii="宋体" w:hAnsi="宋体" w:cs="宋体"/>
                <w:kern w:val="0"/>
                <w:szCs w:val="21"/>
              </w:rPr>
              <w:t>验收小组意见</w:t>
            </w:r>
          </w:p>
        </w:tc>
        <w:tc>
          <w:tcPr>
            <w:tcW w:w="6816" w:type="dxa"/>
            <w:gridSpan w:val="7"/>
            <w:tcBorders>
              <w:top w:val="nil"/>
              <w:left w:val="nil"/>
              <w:bottom w:val="single" w:color="auto" w:sz="8" w:space="0"/>
              <w:right w:val="single" w:color="auto" w:sz="8" w:space="0"/>
            </w:tcBorders>
            <w:vAlign w:val="center"/>
          </w:tcPr>
          <w:p w14:paraId="74E7489D">
            <w:pPr>
              <w:widowControl/>
              <w:spacing w:before="100" w:beforeAutospacing="1" w:after="100" w:afterAutospacing="1" w:line="320" w:lineRule="atLeast"/>
              <w:ind w:firstLine="210" w:firstLineChars="100"/>
              <w:jc w:val="left"/>
              <w:rPr>
                <w:rFonts w:ascii="宋体" w:hAnsi="宋体" w:cs="宋体"/>
                <w:kern w:val="0"/>
                <w:szCs w:val="21"/>
              </w:rPr>
            </w:pPr>
            <w:r>
              <w:rPr>
                <w:rFonts w:hint="eastAsia" w:ascii="宋体" w:hAnsi="宋体" w:cs="宋体"/>
                <w:kern w:val="0"/>
                <w:szCs w:val="21"/>
              </w:rPr>
              <w:t>验收结论性意见：</w:t>
            </w:r>
          </w:p>
        </w:tc>
      </w:tr>
      <w:tr w14:paraId="722DB2CF">
        <w:tblPrEx>
          <w:tblCellMar>
            <w:top w:w="0" w:type="dxa"/>
            <w:left w:w="0" w:type="dxa"/>
            <w:bottom w:w="0" w:type="dxa"/>
            <w:right w:w="0" w:type="dxa"/>
          </w:tblCellMar>
        </w:tblPrEx>
        <w:trPr>
          <w:trHeight w:val="607" w:hRule="atLeast"/>
          <w:jc w:val="center"/>
        </w:trPr>
        <w:tc>
          <w:tcPr>
            <w:tcW w:w="600" w:type="dxa"/>
            <w:gridSpan w:val="2"/>
            <w:vMerge w:val="continue"/>
            <w:tcBorders>
              <w:top w:val="nil"/>
              <w:left w:val="single" w:color="auto" w:sz="8" w:space="0"/>
              <w:bottom w:val="single" w:color="auto" w:sz="8" w:space="0"/>
              <w:right w:val="single" w:color="auto" w:sz="8" w:space="0"/>
            </w:tcBorders>
            <w:vAlign w:val="center"/>
          </w:tcPr>
          <w:p w14:paraId="48DE3D22">
            <w:pPr>
              <w:widowControl/>
              <w:jc w:val="left"/>
              <w:rPr>
                <w:rFonts w:ascii="宋体" w:hAnsi="宋体" w:cs="宋体"/>
                <w:kern w:val="0"/>
                <w:szCs w:val="21"/>
              </w:rPr>
            </w:pPr>
          </w:p>
        </w:tc>
        <w:tc>
          <w:tcPr>
            <w:tcW w:w="6816" w:type="dxa"/>
            <w:gridSpan w:val="7"/>
            <w:tcBorders>
              <w:top w:val="nil"/>
              <w:left w:val="nil"/>
              <w:bottom w:val="single" w:color="auto" w:sz="8" w:space="0"/>
              <w:right w:val="single" w:color="auto" w:sz="8" w:space="0"/>
            </w:tcBorders>
            <w:vAlign w:val="center"/>
          </w:tcPr>
          <w:p w14:paraId="03E375C4">
            <w:pPr>
              <w:widowControl/>
              <w:spacing w:before="100" w:beforeAutospacing="1" w:after="100" w:afterAutospacing="1" w:line="320" w:lineRule="atLeast"/>
              <w:ind w:firstLine="210" w:firstLineChars="100"/>
              <w:jc w:val="left"/>
              <w:rPr>
                <w:rFonts w:ascii="宋体" w:hAnsi="宋体" w:cs="宋体"/>
                <w:kern w:val="0"/>
                <w:szCs w:val="21"/>
              </w:rPr>
            </w:pPr>
            <w:r>
              <w:rPr>
                <w:rFonts w:hint="eastAsia" w:ascii="宋体" w:hAnsi="宋体" w:cs="宋体"/>
                <w:kern w:val="0"/>
                <w:szCs w:val="21"/>
              </w:rPr>
              <w:t>有异议的意见和说明理由：</w:t>
            </w:r>
          </w:p>
          <w:p w14:paraId="27C693FC">
            <w:pPr>
              <w:widowControl/>
              <w:spacing w:before="100" w:beforeAutospacing="1" w:after="100" w:afterAutospacing="1" w:line="320" w:lineRule="atLeast"/>
              <w:ind w:firstLine="210" w:firstLineChars="100"/>
              <w:jc w:val="left"/>
              <w:rPr>
                <w:rFonts w:ascii="宋体" w:hAnsi="宋体" w:cs="宋体"/>
                <w:kern w:val="0"/>
                <w:szCs w:val="21"/>
              </w:rPr>
            </w:pPr>
            <w:r>
              <w:rPr>
                <w:rFonts w:hint="eastAsia" w:ascii="宋体" w:hAnsi="宋体" w:cs="宋体"/>
                <w:kern w:val="0"/>
                <w:szCs w:val="21"/>
              </w:rPr>
              <w:t>签字：</w:t>
            </w:r>
          </w:p>
        </w:tc>
      </w:tr>
      <w:tr w14:paraId="22310A36">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14F51A">
            <w:pPr>
              <w:widowControl/>
              <w:spacing w:before="100" w:beforeAutospacing="1" w:after="100" w:afterAutospacing="1" w:line="320" w:lineRule="atLeast"/>
              <w:jc w:val="left"/>
              <w:rPr>
                <w:rFonts w:ascii="宋体" w:hAnsi="宋体" w:cs="宋体"/>
                <w:kern w:val="0"/>
                <w:szCs w:val="21"/>
              </w:rPr>
            </w:pPr>
            <w:r>
              <w:rPr>
                <w:rFonts w:hint="eastAsia" w:ascii="宋体" w:hAnsi="宋体" w:cs="宋体"/>
                <w:kern w:val="0"/>
                <w:szCs w:val="21"/>
              </w:rPr>
              <w:t>验收小组成员签字：</w:t>
            </w:r>
          </w:p>
        </w:tc>
      </w:tr>
      <w:tr w14:paraId="5FDBB080">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E711B2">
            <w:pPr>
              <w:widowControl/>
              <w:spacing w:before="100" w:beforeAutospacing="1" w:after="100" w:afterAutospacing="1" w:line="320" w:lineRule="atLeast"/>
              <w:jc w:val="left"/>
              <w:rPr>
                <w:rFonts w:ascii="宋体" w:hAnsi="宋体" w:cs="宋体"/>
                <w:kern w:val="0"/>
                <w:szCs w:val="21"/>
              </w:rPr>
            </w:pPr>
            <w:r>
              <w:rPr>
                <w:rFonts w:hint="eastAsia" w:ascii="宋体" w:hAnsi="宋体" w:cs="宋体"/>
                <w:kern w:val="0"/>
                <w:szCs w:val="21"/>
              </w:rPr>
              <w:t>监督人员或者其他相关人员签字：</w:t>
            </w:r>
          </w:p>
          <w:p w14:paraId="7F64BCF4">
            <w:pPr>
              <w:widowControl/>
              <w:spacing w:before="100" w:beforeAutospacing="1" w:after="100" w:afterAutospacing="1" w:line="320" w:lineRule="atLeast"/>
              <w:ind w:firstLine="74"/>
              <w:jc w:val="left"/>
              <w:rPr>
                <w:rFonts w:ascii="宋体" w:hAnsi="宋体" w:cs="宋体"/>
                <w:kern w:val="0"/>
                <w:szCs w:val="21"/>
              </w:rPr>
            </w:pPr>
            <w:r>
              <w:rPr>
                <w:rFonts w:hint="eastAsia" w:ascii="宋体" w:hAnsi="宋体" w:cs="宋体"/>
                <w:kern w:val="0"/>
                <w:szCs w:val="21"/>
              </w:rPr>
              <w:t>或者受邀机构的意见（盖章）：</w:t>
            </w:r>
          </w:p>
        </w:tc>
      </w:tr>
      <w:tr w14:paraId="14E76936">
        <w:tblPrEx>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nil"/>
            </w:tcBorders>
            <w:tcMar>
              <w:top w:w="0" w:type="dxa"/>
              <w:left w:w="108" w:type="dxa"/>
              <w:bottom w:w="0" w:type="dxa"/>
              <w:right w:w="108" w:type="dxa"/>
            </w:tcMar>
            <w:vAlign w:val="center"/>
          </w:tcPr>
          <w:p w14:paraId="3604B715">
            <w:pPr>
              <w:widowControl/>
              <w:spacing w:before="100" w:beforeAutospacing="1" w:after="100" w:afterAutospacing="1" w:line="320" w:lineRule="atLeast"/>
              <w:jc w:val="left"/>
              <w:rPr>
                <w:rFonts w:ascii="宋体" w:hAnsi="宋体" w:cs="宋体"/>
                <w:kern w:val="0"/>
                <w:szCs w:val="21"/>
              </w:rPr>
            </w:pPr>
            <w:r>
              <w:rPr>
                <w:rFonts w:hint="eastAsia" w:ascii="宋体" w:hAnsi="宋体" w:cs="宋体"/>
                <w:kern w:val="0"/>
                <w:szCs w:val="21"/>
              </w:rPr>
              <w:t>成交供应商负责人签字或者盖章：</w:t>
            </w:r>
          </w:p>
          <w:p w14:paraId="5D3AAD82">
            <w:pPr>
              <w:widowControl/>
              <w:spacing w:before="100" w:beforeAutospacing="1" w:after="100" w:afterAutospacing="1" w:line="320" w:lineRule="atLeast"/>
              <w:jc w:val="left"/>
              <w:rPr>
                <w:rFonts w:ascii="宋体" w:hAnsi="宋体" w:cs="宋体"/>
                <w:kern w:val="0"/>
                <w:szCs w:val="21"/>
              </w:rPr>
            </w:pPr>
          </w:p>
          <w:p w14:paraId="5B444F3E">
            <w:pPr>
              <w:widowControl/>
              <w:spacing w:before="100" w:beforeAutospacing="1" w:after="100" w:afterAutospacing="1" w:line="320" w:lineRule="atLeast"/>
              <w:jc w:val="left"/>
              <w:rPr>
                <w:rFonts w:ascii="宋体" w:hAnsi="宋体" w:cs="宋体"/>
                <w:kern w:val="0"/>
                <w:szCs w:val="21"/>
              </w:rPr>
            </w:pPr>
            <w:r>
              <w:rPr>
                <w:rFonts w:hint="eastAsia" w:ascii="宋体" w:hAnsi="宋体" w:cs="宋体"/>
                <w:kern w:val="0"/>
                <w:szCs w:val="21"/>
              </w:rPr>
              <w:t>联系电话：   年  月   日</w:t>
            </w:r>
          </w:p>
        </w:tc>
        <w:tc>
          <w:tcPr>
            <w:tcW w:w="4293" w:type="dxa"/>
            <w:gridSpan w:val="4"/>
            <w:tcBorders>
              <w:top w:val="nil"/>
              <w:left w:val="nil"/>
              <w:bottom w:val="single" w:color="auto" w:sz="8" w:space="0"/>
              <w:right w:val="single" w:color="auto" w:sz="8" w:space="0"/>
            </w:tcBorders>
            <w:vAlign w:val="center"/>
          </w:tcPr>
          <w:p w14:paraId="0972AB5E">
            <w:pPr>
              <w:widowControl/>
              <w:spacing w:before="100" w:beforeAutospacing="1" w:after="100" w:afterAutospacing="1" w:line="320" w:lineRule="atLeast"/>
              <w:ind w:firstLine="210" w:firstLineChars="100"/>
              <w:jc w:val="left"/>
              <w:rPr>
                <w:rFonts w:ascii="宋体" w:hAnsi="宋体" w:cs="宋体"/>
                <w:kern w:val="0"/>
                <w:szCs w:val="21"/>
              </w:rPr>
            </w:pPr>
            <w:r>
              <w:rPr>
                <w:rFonts w:hint="eastAsia" w:ascii="宋体" w:hAnsi="宋体" w:cs="宋体"/>
                <w:kern w:val="0"/>
                <w:szCs w:val="21"/>
              </w:rPr>
              <w:t>采购人或者受托机构的意见（盖章）：</w:t>
            </w:r>
          </w:p>
          <w:p w14:paraId="49FBB068">
            <w:pPr>
              <w:widowControl/>
              <w:spacing w:before="100" w:beforeAutospacing="1" w:after="100" w:afterAutospacing="1" w:line="320" w:lineRule="atLeast"/>
              <w:ind w:firstLine="210" w:firstLineChars="100"/>
              <w:jc w:val="left"/>
              <w:rPr>
                <w:rFonts w:ascii="宋体" w:hAnsi="宋体" w:cs="宋体"/>
                <w:kern w:val="0"/>
                <w:szCs w:val="21"/>
              </w:rPr>
            </w:pPr>
          </w:p>
          <w:p w14:paraId="60D11359">
            <w:pPr>
              <w:widowControl/>
              <w:spacing w:before="100" w:beforeAutospacing="1" w:after="100" w:afterAutospacing="1" w:line="320" w:lineRule="atLeast"/>
              <w:ind w:firstLine="210" w:firstLineChars="100"/>
              <w:jc w:val="left"/>
              <w:rPr>
                <w:rFonts w:ascii="宋体" w:hAnsi="宋体" w:cs="宋体"/>
                <w:kern w:val="0"/>
                <w:szCs w:val="21"/>
              </w:rPr>
            </w:pPr>
            <w:r>
              <w:rPr>
                <w:rFonts w:hint="eastAsia" w:ascii="宋体" w:hAnsi="宋体" w:cs="宋体"/>
                <w:kern w:val="0"/>
                <w:szCs w:val="21"/>
              </w:rPr>
              <w:t>联系电话：   年   月   日</w:t>
            </w:r>
          </w:p>
        </w:tc>
      </w:tr>
    </w:tbl>
    <w:p w14:paraId="72ABD63B">
      <w:pPr>
        <w:pStyle w:val="18"/>
        <w:spacing w:line="360" w:lineRule="auto"/>
        <w:contextualSpacing/>
        <w:rPr>
          <w:rFonts w:hAnsi="宋体"/>
          <w:sz w:val="21"/>
        </w:rPr>
      </w:pPr>
    </w:p>
    <w:p w14:paraId="12483018">
      <w:pPr>
        <w:pStyle w:val="18"/>
        <w:spacing w:line="360" w:lineRule="auto"/>
        <w:contextualSpacing/>
        <w:rPr>
          <w:rFonts w:hAnsi="宋体"/>
          <w:b/>
          <w:bCs/>
          <w:sz w:val="28"/>
          <w:szCs w:val="28"/>
        </w:rPr>
      </w:pPr>
      <w:r>
        <w:rPr>
          <w:rFonts w:hAnsi="宋体"/>
        </w:rPr>
        <w:drawing>
          <wp:anchor distT="0" distB="0" distL="114300" distR="114300" simplePos="0" relativeHeight="251659264" behindDoc="1" locked="0" layoutInCell="1" allowOverlap="1">
            <wp:simplePos x="0" y="0"/>
            <wp:positionH relativeFrom="column">
              <wp:posOffset>-7620</wp:posOffset>
            </wp:positionH>
            <wp:positionV relativeFrom="paragraph">
              <wp:posOffset>345440</wp:posOffset>
            </wp:positionV>
            <wp:extent cx="5532120" cy="7833360"/>
            <wp:effectExtent l="0" t="0" r="11430" b="15240"/>
            <wp:wrapTight wrapText="bothSides">
              <wp:wrapPolygon>
                <wp:start x="-37" y="0"/>
                <wp:lineTo x="-37" y="21574"/>
                <wp:lineTo x="21600" y="21574"/>
                <wp:lineTo x="21600" y="0"/>
                <wp:lineTo x="-37" y="0"/>
              </wp:wrapPolygon>
            </wp:wrapTight>
            <wp:docPr id="1" name="图片 8" descr="2022071321352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20220713213524288"/>
                    <pic:cNvPicPr>
                      <a:picLocks noChangeAspect="1"/>
                    </pic:cNvPicPr>
                  </pic:nvPicPr>
                  <pic:blipFill>
                    <a:blip r:embed="rId10"/>
                    <a:stretch>
                      <a:fillRect/>
                    </a:stretch>
                  </pic:blipFill>
                  <pic:spPr>
                    <a:xfrm>
                      <a:off x="0" y="0"/>
                      <a:ext cx="5532120" cy="7833360"/>
                    </a:xfrm>
                    <a:prstGeom prst="rect">
                      <a:avLst/>
                    </a:prstGeom>
                    <a:noFill/>
                    <a:ln>
                      <a:noFill/>
                    </a:ln>
                  </pic:spPr>
                </pic:pic>
              </a:graphicData>
            </a:graphic>
          </wp:anchor>
        </w:drawing>
      </w:r>
      <w:r>
        <w:rPr>
          <w:rFonts w:hint="eastAsia" w:hAnsi="宋体"/>
          <w:b/>
          <w:sz w:val="28"/>
          <w:szCs w:val="28"/>
        </w:rPr>
        <w:t>附件2：</w:t>
      </w:r>
    </w:p>
    <w:p w14:paraId="11381C48">
      <w:pPr>
        <w:pStyle w:val="18"/>
        <w:spacing w:line="400" w:lineRule="exact"/>
        <w:ind w:firstLine="420" w:firstLineChars="200"/>
        <w:textAlignment w:val="center"/>
        <w:rPr>
          <w:rFonts w:hAnsi="宋体" w:cs="宋体"/>
          <w:kern w:val="2"/>
          <w:sz w:val="21"/>
        </w:rPr>
      </w:pPr>
    </w:p>
    <w:p w14:paraId="2AF2911E">
      <w:pPr>
        <w:pStyle w:val="18"/>
        <w:spacing w:line="360" w:lineRule="auto"/>
        <w:contextualSpacing/>
        <w:rPr>
          <w:rFonts w:hAnsi="宋体"/>
          <w:b/>
          <w:sz w:val="32"/>
          <w:szCs w:val="32"/>
        </w:rPr>
      </w:pPr>
    </w:p>
    <w:p w14:paraId="6DC4911E">
      <w:pPr>
        <w:pStyle w:val="3"/>
        <w:spacing w:line="240" w:lineRule="auto"/>
        <w:jc w:val="center"/>
        <w:rPr>
          <w:rFonts w:ascii="宋体" w:hAnsi="宋体"/>
        </w:rPr>
      </w:pPr>
      <w:bookmarkStart w:id="77" w:name="_Toc74322607"/>
      <w:r>
        <w:rPr>
          <w:rFonts w:hint="eastAsia" w:ascii="宋体" w:hAnsi="宋体"/>
        </w:rPr>
        <w:t>第三章 采购需求</w:t>
      </w:r>
      <w:bookmarkEnd w:id="77"/>
    </w:p>
    <w:p w14:paraId="279F7628">
      <w:pPr>
        <w:spacing w:line="440" w:lineRule="exact"/>
        <w:jc w:val="center"/>
        <w:rPr>
          <w:rFonts w:ascii="宋体" w:hAnsi="宋体"/>
          <w:b/>
          <w:sz w:val="32"/>
          <w:szCs w:val="32"/>
        </w:rPr>
      </w:pPr>
      <w:r>
        <w:rPr>
          <w:rFonts w:hint="eastAsia" w:ascii="宋体" w:hAnsi="宋体"/>
          <w:b/>
          <w:sz w:val="32"/>
          <w:szCs w:val="32"/>
        </w:rPr>
        <w:t>采购项目技术规格、参数及要求</w:t>
      </w:r>
    </w:p>
    <w:p w14:paraId="13730E5E">
      <w:pPr>
        <w:spacing w:line="380" w:lineRule="exact"/>
        <w:jc w:val="left"/>
        <w:rPr>
          <w:rFonts w:ascii="宋体" w:hAnsi="宋体" w:cs="宋体"/>
          <w:b/>
          <w:szCs w:val="21"/>
        </w:rPr>
      </w:pPr>
      <w:r>
        <w:rPr>
          <w:rFonts w:hint="eastAsia" w:ascii="宋体" w:hAnsi="宋体" w:cs="宋体"/>
          <w:b/>
          <w:szCs w:val="21"/>
        </w:rPr>
        <w:t>Ⅰ.说明：</w:t>
      </w:r>
    </w:p>
    <w:p w14:paraId="07DD355F">
      <w:pPr>
        <w:spacing w:line="370" w:lineRule="exact"/>
        <w:ind w:firstLine="420" w:firstLineChars="200"/>
        <w:jc w:val="left"/>
        <w:rPr>
          <w:rFonts w:ascii="宋体" w:hAnsi="宋体" w:cs="宋体"/>
          <w:szCs w:val="21"/>
        </w:rPr>
      </w:pPr>
      <w:r>
        <w:rPr>
          <w:rFonts w:hint="eastAsia" w:ascii="宋体" w:hAnsi="宋体"/>
        </w:rPr>
        <w:t>1. 为落实政府采购政策需满足的要求</w:t>
      </w:r>
    </w:p>
    <w:p w14:paraId="4245BC49">
      <w:pPr>
        <w:spacing w:line="370" w:lineRule="exact"/>
        <w:ind w:firstLine="420" w:firstLineChars="200"/>
        <w:jc w:val="left"/>
        <w:rPr>
          <w:rFonts w:ascii="宋体" w:hAnsi="宋体" w:cs="宋体"/>
          <w:szCs w:val="21"/>
        </w:rPr>
      </w:pPr>
      <w:r>
        <w:rPr>
          <w:rFonts w:hint="eastAsia" w:ascii="宋体" w:hAnsi="宋体" w:cs="宋体"/>
          <w:szCs w:val="21"/>
        </w:rPr>
        <w:t>（1）本竞争性磋商采购文件所称中小企业必须符合《政府采购促进中小企业发展管理办法》（财库〔</w:t>
      </w:r>
      <w:r>
        <w:rPr>
          <w:rFonts w:ascii="宋体" w:hAnsi="宋体" w:cs="宋体"/>
          <w:szCs w:val="21"/>
        </w:rPr>
        <w:t>2020</w:t>
      </w:r>
      <w:r>
        <w:rPr>
          <w:rFonts w:hint="eastAsia" w:ascii="宋体" w:hAnsi="宋体" w:cs="宋体"/>
          <w:szCs w:val="21"/>
        </w:rPr>
        <w:t>〕</w:t>
      </w:r>
      <w:r>
        <w:rPr>
          <w:rFonts w:ascii="宋体" w:hAnsi="宋体" w:cs="宋体"/>
          <w:szCs w:val="21"/>
        </w:rPr>
        <w:t>46</w:t>
      </w:r>
      <w:r>
        <w:rPr>
          <w:rFonts w:hint="eastAsia" w:ascii="宋体" w:hAnsi="宋体" w:cs="宋体"/>
          <w:szCs w:val="21"/>
        </w:rPr>
        <w:t>号）及</w:t>
      </w:r>
      <w:r>
        <w:rPr>
          <w:rFonts w:hint="eastAsia" w:ascii="宋体" w:hAnsi="宋体"/>
          <w:bCs/>
          <w:szCs w:val="21"/>
        </w:rPr>
        <w:t>《广西壮族自治区财政厅关于持续优化政府采购营商环境推动高质量发展的通知》（桂财采〔2024〕55号）</w:t>
      </w:r>
      <w:r>
        <w:rPr>
          <w:rFonts w:hint="eastAsia" w:ascii="宋体" w:hAnsi="宋体" w:cs="宋体"/>
          <w:szCs w:val="21"/>
        </w:rPr>
        <w:t>的规定。供应商提供的货物全部由符合政策要求的小型或者微型企业生产，响应文件中提供《中小企业声明函》的，其最后报价给予1</w:t>
      </w:r>
      <w:r>
        <w:rPr>
          <w:rFonts w:ascii="宋体" w:hAnsi="宋体" w:cs="宋体"/>
          <w:szCs w:val="21"/>
        </w:rPr>
        <w:t>0%</w:t>
      </w:r>
      <w:r>
        <w:rPr>
          <w:rFonts w:hint="eastAsia" w:ascii="宋体" w:hAnsi="宋体" w:cs="宋体"/>
          <w:szCs w:val="21"/>
        </w:rPr>
        <w:t>的扣除。</w:t>
      </w:r>
      <w:r>
        <w:rPr>
          <w:rFonts w:hint="eastAsia" w:ascii="宋体" w:hAnsi="宋体" w:cs="宋体"/>
          <w:b/>
          <w:kern w:val="0"/>
          <w:szCs w:val="21"/>
        </w:rPr>
        <w:t>本项目标项一专门面向中小企业采购、标项二专门面向小微企业采购</w:t>
      </w:r>
      <w:r>
        <w:rPr>
          <w:rFonts w:hint="eastAsia" w:ascii="宋体" w:hAnsi="宋体" w:cs="宋体"/>
          <w:szCs w:val="21"/>
        </w:rPr>
        <w:t>。</w:t>
      </w:r>
    </w:p>
    <w:p w14:paraId="2E636E7E">
      <w:pPr>
        <w:spacing w:line="370" w:lineRule="exact"/>
        <w:ind w:firstLine="424" w:firstLineChars="202"/>
        <w:jc w:val="left"/>
        <w:rPr>
          <w:rFonts w:ascii="宋体" w:hAnsi="宋体"/>
          <w:szCs w:val="21"/>
        </w:rPr>
      </w:pPr>
      <w:r>
        <w:rPr>
          <w:rFonts w:hint="eastAsia" w:ascii="宋体" w:hAnsi="宋体" w:cs="宋体"/>
          <w:szCs w:val="21"/>
        </w:rPr>
        <w:t>（2）根据财政部、司法部关于政府采购支持监狱企业发展有关问题的通知（财库[2014]68号），监狱企业视同小型、微型企业，享受预留份额等政府采购政策。</w:t>
      </w:r>
      <w:r>
        <w:rPr>
          <w:rFonts w:hint="eastAsia" w:ascii="宋体" w:hAnsi="宋体"/>
          <w:bCs/>
          <w:szCs w:val="21"/>
        </w:rPr>
        <w:t>监狱企业属于小型、微型企业的，</w:t>
      </w:r>
      <w:r>
        <w:rPr>
          <w:rFonts w:hint="eastAsia" w:ascii="宋体" w:hAnsi="宋体"/>
          <w:szCs w:val="21"/>
        </w:rPr>
        <w:t>不重复享受政策。</w:t>
      </w:r>
    </w:p>
    <w:p w14:paraId="4C41F8E7">
      <w:pPr>
        <w:spacing w:line="370" w:lineRule="exact"/>
        <w:ind w:firstLine="424" w:firstLineChars="202"/>
        <w:jc w:val="left"/>
        <w:rPr>
          <w:rFonts w:ascii="宋体" w:hAnsi="宋体" w:cs="宋体"/>
          <w:szCs w:val="21"/>
        </w:rPr>
      </w:pPr>
      <w:r>
        <w:rPr>
          <w:rFonts w:hint="eastAsia" w:ascii="宋体" w:hAnsi="宋体" w:cs="宋体"/>
          <w:szCs w:val="21"/>
        </w:rPr>
        <w:t>（3）按照《关于促进残疾人就业政府采购政策的通知》（财库〔2017〕141号）的规定，残疾人福利性单位视同小型、微型企业，享受预留份额等促进中小企业发展的政府采购政策。残疾人福利性单位属于小型、微型企业的，不重复享受政策。</w:t>
      </w:r>
    </w:p>
    <w:p w14:paraId="1C0F6C58">
      <w:pPr>
        <w:spacing w:line="370" w:lineRule="exact"/>
        <w:ind w:firstLine="420" w:firstLineChars="200"/>
        <w:jc w:val="left"/>
        <w:rPr>
          <w:rFonts w:ascii="宋体" w:hAnsi="宋体" w:cs="宋体"/>
          <w:szCs w:val="21"/>
        </w:rPr>
      </w:pPr>
      <w:r>
        <w:rPr>
          <w:rFonts w:hint="eastAsia" w:ascii="宋体" w:hAnsi="宋体" w:cs="宋体"/>
          <w:szCs w:val="21"/>
        </w:rPr>
        <w:t>（</w:t>
      </w:r>
      <w:r>
        <w:rPr>
          <w:rFonts w:ascii="宋体" w:hAnsi="宋体" w:cs="宋体"/>
          <w:szCs w:val="21"/>
        </w:rPr>
        <w:t>4</w:t>
      </w:r>
      <w:r>
        <w:rPr>
          <w:rFonts w:hint="eastAsia" w:ascii="宋体" w:hAnsi="宋体" w:cs="宋体"/>
          <w:szCs w:val="21"/>
        </w:rPr>
        <w:t>）本项目为服务项目，相应执行政府采购政策。</w:t>
      </w:r>
    </w:p>
    <w:p w14:paraId="303D061A">
      <w:pPr>
        <w:spacing w:line="370" w:lineRule="exact"/>
        <w:ind w:firstLine="420" w:firstLineChars="200"/>
        <w:jc w:val="left"/>
        <w:rPr>
          <w:rFonts w:ascii="宋体" w:hAnsi="宋体" w:cs="宋体"/>
          <w:szCs w:val="21"/>
        </w:rPr>
      </w:pPr>
      <w:r>
        <w:rPr>
          <w:rFonts w:hint="eastAsia" w:ascii="宋体" w:hAnsi="宋体" w:cs="宋体"/>
          <w:szCs w:val="21"/>
        </w:rPr>
        <w:t>2.</w:t>
      </w:r>
      <w:r>
        <w:rPr>
          <w:rFonts w:hint="eastAsia" w:ascii="宋体" w:hAnsi="宋体"/>
        </w:rPr>
        <w:t>供应商必须自行为其竞标产品侵犯他人的知识产权或者专利成果或其他合法权益的行为承担相应法律责任。</w:t>
      </w:r>
    </w:p>
    <w:p w14:paraId="4D820B46">
      <w:pPr>
        <w:spacing w:line="370" w:lineRule="exact"/>
        <w:ind w:firstLine="426" w:firstLineChars="202"/>
        <w:jc w:val="left"/>
        <w:rPr>
          <w:rFonts w:ascii="宋体" w:hAnsi="宋体" w:cs="宋体"/>
          <w:b/>
          <w:bCs/>
          <w:szCs w:val="21"/>
        </w:rPr>
      </w:pPr>
      <w:r>
        <w:rPr>
          <w:rFonts w:hint="eastAsia" w:ascii="宋体" w:hAnsi="宋体" w:cs="宋体"/>
          <w:b/>
          <w:bCs/>
          <w:szCs w:val="21"/>
        </w:rPr>
        <w:t>3.“实质性要求”是指采购需求中标注“▲”的条款或者不能负偏离的条款或者已经指明不满足按响应文件按无效处理的条款，若有一项负偏离，响应文件按无效处理，标注“</w:t>
      </w:r>
      <w:r>
        <w:rPr>
          <w:rFonts w:hint="eastAsia"/>
          <w:b/>
          <w:bCs/>
          <w:szCs w:val="21"/>
        </w:rPr>
        <w:t>★</w:t>
      </w:r>
      <w:r>
        <w:rPr>
          <w:rFonts w:hint="eastAsia" w:ascii="宋体" w:hAnsi="宋体" w:cs="宋体"/>
          <w:b/>
          <w:bCs/>
          <w:szCs w:val="21"/>
        </w:rPr>
        <w:t>”的技术条款系指与项目实际紧密相关的功能条款、技术指标，将作为设备性能评审依据。</w:t>
      </w:r>
    </w:p>
    <w:p w14:paraId="55D04285">
      <w:pPr>
        <w:spacing w:line="370" w:lineRule="exact"/>
        <w:ind w:firstLine="426" w:firstLineChars="202"/>
        <w:jc w:val="left"/>
        <w:rPr>
          <w:rFonts w:ascii="宋体" w:hAnsi="宋体"/>
          <w:b/>
          <w:szCs w:val="21"/>
        </w:rPr>
      </w:pPr>
      <w:r>
        <w:rPr>
          <w:rFonts w:hint="eastAsia" w:ascii="宋体" w:hAnsi="宋体"/>
          <w:b/>
          <w:bCs/>
          <w:szCs w:val="21"/>
        </w:rPr>
        <w:t>4.采购预算：</w:t>
      </w:r>
      <w:r>
        <w:rPr>
          <w:rFonts w:hint="eastAsia" w:ascii="宋体" w:hAnsi="宋体"/>
          <w:b/>
          <w:szCs w:val="21"/>
        </w:rPr>
        <w:t>本项目采购预算为人民币贰佰陆拾伍万元整（¥</w:t>
      </w:r>
      <w:r>
        <w:rPr>
          <w:rFonts w:ascii="宋体" w:hAnsi="宋体"/>
          <w:b/>
          <w:szCs w:val="21"/>
        </w:rPr>
        <w:t>2650000</w:t>
      </w:r>
      <w:r>
        <w:rPr>
          <w:rFonts w:hint="eastAsia" w:ascii="宋体" w:hAnsi="宋体"/>
          <w:b/>
          <w:szCs w:val="21"/>
        </w:rPr>
        <w:t>.00），其中标项一壹佰陆拾万元整（¥</w:t>
      </w:r>
      <w:r>
        <w:rPr>
          <w:rFonts w:ascii="宋体" w:hAnsi="宋体"/>
          <w:b/>
          <w:szCs w:val="21"/>
        </w:rPr>
        <w:t>1600000</w:t>
      </w:r>
      <w:r>
        <w:rPr>
          <w:rFonts w:hint="eastAsia" w:ascii="宋体" w:hAnsi="宋体"/>
          <w:b/>
          <w:szCs w:val="21"/>
        </w:rPr>
        <w:t>.00）；标项二壹佰零伍万元整（¥</w:t>
      </w:r>
      <w:r>
        <w:rPr>
          <w:rFonts w:ascii="宋体" w:hAnsi="宋体"/>
          <w:b/>
          <w:szCs w:val="21"/>
        </w:rPr>
        <w:t>1050000</w:t>
      </w:r>
      <w:r>
        <w:rPr>
          <w:rFonts w:hint="eastAsia" w:ascii="宋体" w:hAnsi="宋体"/>
          <w:b/>
          <w:szCs w:val="21"/>
        </w:rPr>
        <w:t>.00）供应商磋商报价超采购预算的，响应文件按无效处理。</w:t>
      </w:r>
    </w:p>
    <w:p w14:paraId="656B0976">
      <w:pPr>
        <w:spacing w:line="370" w:lineRule="exact"/>
        <w:ind w:firstLine="426" w:firstLineChars="202"/>
        <w:jc w:val="left"/>
        <w:rPr>
          <w:rFonts w:ascii="宋体" w:hAnsi="宋体"/>
          <w:b/>
          <w:szCs w:val="21"/>
        </w:rPr>
      </w:pPr>
      <w:r>
        <w:rPr>
          <w:rFonts w:hint="eastAsia" w:ascii="宋体" w:hAnsi="宋体"/>
          <w:b/>
          <w:szCs w:val="21"/>
        </w:rPr>
        <w:t>5.</w:t>
      </w:r>
      <w:r>
        <w:rPr>
          <w:rFonts w:hint="eastAsia"/>
        </w:rPr>
        <w:t xml:space="preserve"> </w:t>
      </w:r>
      <w:r>
        <w:rPr>
          <w:rFonts w:hint="eastAsia" w:ascii="宋体" w:hAnsi="宋体"/>
          <w:b/>
          <w:szCs w:val="21"/>
        </w:rPr>
        <w:t>采购标的对应的中小企业划分标准所属行业：根据《关于印发中小企业划型标准规定的通知》（工信部联企业〔2011〕300号），本次采购标的属于：软件和信息技术服务业。</w:t>
      </w:r>
    </w:p>
    <w:p w14:paraId="46974CBD">
      <w:pPr>
        <w:spacing w:line="360" w:lineRule="exact"/>
        <w:ind w:left="-2" w:leftChars="-1"/>
        <w:jc w:val="left"/>
        <w:rPr>
          <w:rFonts w:ascii="宋体" w:hAnsi="宋体"/>
          <w:b/>
          <w:szCs w:val="21"/>
        </w:rPr>
      </w:pPr>
      <w:r>
        <w:rPr>
          <w:rFonts w:hint="eastAsia" w:ascii="宋体" w:hAnsi="宋体"/>
          <w:b/>
          <w:szCs w:val="21"/>
        </w:rPr>
        <w:t>Ⅱ.采购需求一览表</w:t>
      </w:r>
    </w:p>
    <w:p w14:paraId="7681512D">
      <w:pPr>
        <w:spacing w:line="360" w:lineRule="exact"/>
        <w:ind w:left="-2" w:leftChars="-1"/>
        <w:jc w:val="left"/>
        <w:rPr>
          <w:rFonts w:ascii="宋体" w:hAnsi="宋体"/>
          <w:b/>
          <w:szCs w:val="21"/>
        </w:rPr>
      </w:pPr>
      <w:r>
        <w:rPr>
          <w:rFonts w:hint="eastAsia" w:ascii="宋体" w:hAnsi="宋体"/>
          <w:b/>
          <w:szCs w:val="21"/>
        </w:rPr>
        <w:t>标项一：数字化教学资源建设服务</w:t>
      </w:r>
    </w:p>
    <w:tbl>
      <w:tblPr>
        <w:tblStyle w:val="29"/>
        <w:tblW w:w="94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6"/>
        <w:gridCol w:w="993"/>
        <w:gridCol w:w="615"/>
        <w:gridCol w:w="709"/>
        <w:gridCol w:w="6473"/>
      </w:tblGrid>
      <w:tr w14:paraId="7041C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456" w:type="dxa"/>
            <w:gridSpan w:val="5"/>
            <w:vAlign w:val="center"/>
          </w:tcPr>
          <w:p w14:paraId="37B2D359">
            <w:pPr>
              <w:tabs>
                <w:tab w:val="left" w:pos="180"/>
                <w:tab w:val="left" w:pos="1620"/>
              </w:tabs>
              <w:spacing w:line="320" w:lineRule="exact"/>
              <w:jc w:val="left"/>
              <w:rPr>
                <w:rFonts w:ascii="宋体" w:hAnsi="宋体" w:cs="宋体"/>
                <w:b/>
                <w:szCs w:val="21"/>
              </w:rPr>
            </w:pPr>
            <w:bookmarkStart w:id="78" w:name="_Toc74322608"/>
            <w:r>
              <w:rPr>
                <w:rFonts w:hint="eastAsia" w:ascii="宋体" w:hAnsi="宋体" w:cs="宋体"/>
                <w:b/>
                <w:szCs w:val="21"/>
              </w:rPr>
              <w:t>一、采购内容</w:t>
            </w:r>
          </w:p>
        </w:tc>
      </w:tr>
      <w:tr w14:paraId="496B4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666" w:type="dxa"/>
            <w:tcBorders>
              <w:right w:val="single" w:color="auto" w:sz="4" w:space="0"/>
            </w:tcBorders>
            <w:vAlign w:val="center"/>
          </w:tcPr>
          <w:p w14:paraId="57BEE62C">
            <w:pPr>
              <w:tabs>
                <w:tab w:val="left" w:pos="180"/>
                <w:tab w:val="left" w:pos="1620"/>
              </w:tabs>
              <w:spacing w:line="320" w:lineRule="exact"/>
              <w:jc w:val="center"/>
              <w:rPr>
                <w:rFonts w:ascii="宋体" w:hAnsi="宋体" w:cs="宋体"/>
                <w:szCs w:val="21"/>
              </w:rPr>
            </w:pPr>
            <w:r>
              <w:rPr>
                <w:rFonts w:hint="eastAsia" w:ascii="宋体" w:hAnsi="宋体" w:cs="宋体"/>
                <w:szCs w:val="21"/>
              </w:rPr>
              <w:t>项号</w:t>
            </w:r>
          </w:p>
        </w:tc>
        <w:tc>
          <w:tcPr>
            <w:tcW w:w="1608" w:type="dxa"/>
            <w:gridSpan w:val="2"/>
            <w:tcBorders>
              <w:left w:val="single" w:color="auto" w:sz="4" w:space="0"/>
            </w:tcBorders>
            <w:vAlign w:val="center"/>
          </w:tcPr>
          <w:p w14:paraId="09C7619C">
            <w:pPr>
              <w:tabs>
                <w:tab w:val="left" w:pos="180"/>
                <w:tab w:val="left" w:pos="1620"/>
              </w:tabs>
              <w:spacing w:line="320" w:lineRule="exact"/>
              <w:jc w:val="center"/>
              <w:rPr>
                <w:rFonts w:ascii="宋体" w:hAnsi="宋体" w:cs="宋体"/>
                <w:szCs w:val="21"/>
              </w:rPr>
            </w:pPr>
            <w:r>
              <w:rPr>
                <w:rFonts w:hint="eastAsia" w:ascii="宋体" w:hAnsi="宋体" w:cs="宋体"/>
                <w:szCs w:val="21"/>
              </w:rPr>
              <w:t>标的的名称</w:t>
            </w:r>
          </w:p>
        </w:tc>
        <w:tc>
          <w:tcPr>
            <w:tcW w:w="709" w:type="dxa"/>
            <w:vAlign w:val="center"/>
          </w:tcPr>
          <w:p w14:paraId="29452D61">
            <w:pPr>
              <w:tabs>
                <w:tab w:val="left" w:pos="180"/>
                <w:tab w:val="left" w:pos="1620"/>
              </w:tabs>
              <w:spacing w:line="320" w:lineRule="exact"/>
              <w:jc w:val="center"/>
              <w:rPr>
                <w:rFonts w:ascii="宋体" w:hAnsi="宋体" w:cs="宋体"/>
                <w:szCs w:val="21"/>
              </w:rPr>
            </w:pPr>
            <w:r>
              <w:rPr>
                <w:rFonts w:hint="eastAsia" w:ascii="宋体" w:hAnsi="宋体" w:cs="宋体"/>
                <w:szCs w:val="21"/>
              </w:rPr>
              <w:t>数量单位</w:t>
            </w:r>
          </w:p>
        </w:tc>
        <w:tc>
          <w:tcPr>
            <w:tcW w:w="6473" w:type="dxa"/>
            <w:vAlign w:val="center"/>
          </w:tcPr>
          <w:p w14:paraId="0166706B">
            <w:pPr>
              <w:tabs>
                <w:tab w:val="left" w:pos="180"/>
                <w:tab w:val="left" w:pos="1620"/>
              </w:tabs>
              <w:spacing w:line="320" w:lineRule="exact"/>
              <w:jc w:val="center"/>
              <w:rPr>
                <w:rFonts w:ascii="宋体" w:hAnsi="宋体" w:cs="宋体"/>
                <w:szCs w:val="21"/>
              </w:rPr>
            </w:pPr>
            <w:r>
              <w:rPr>
                <w:rFonts w:hint="eastAsia" w:ascii="宋体" w:hAnsi="宋体" w:cs="宋体"/>
                <w:szCs w:val="21"/>
              </w:rPr>
              <w:t>技术（服务）要求</w:t>
            </w:r>
          </w:p>
        </w:tc>
      </w:tr>
      <w:tr w14:paraId="37676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666" w:type="dxa"/>
            <w:tcBorders>
              <w:right w:val="single" w:color="auto" w:sz="4" w:space="0"/>
            </w:tcBorders>
            <w:vAlign w:val="center"/>
          </w:tcPr>
          <w:p w14:paraId="3FBB8CB0">
            <w:pPr>
              <w:tabs>
                <w:tab w:val="left" w:pos="180"/>
                <w:tab w:val="left" w:pos="1620"/>
              </w:tabs>
              <w:spacing w:line="320" w:lineRule="exact"/>
              <w:jc w:val="center"/>
              <w:rPr>
                <w:rFonts w:ascii="宋体" w:hAnsi="宋体" w:cs="宋体"/>
                <w:szCs w:val="21"/>
              </w:rPr>
            </w:pPr>
            <w:r>
              <w:rPr>
                <w:rFonts w:hint="eastAsia" w:ascii="宋体" w:hAnsi="宋体" w:cs="宋体"/>
                <w:szCs w:val="21"/>
              </w:rPr>
              <w:t>1</w:t>
            </w:r>
          </w:p>
        </w:tc>
        <w:tc>
          <w:tcPr>
            <w:tcW w:w="1608" w:type="dxa"/>
            <w:gridSpan w:val="2"/>
            <w:tcBorders>
              <w:left w:val="single" w:color="auto" w:sz="4" w:space="0"/>
            </w:tcBorders>
            <w:vAlign w:val="center"/>
          </w:tcPr>
          <w:p w14:paraId="0ECA3176">
            <w:pPr>
              <w:tabs>
                <w:tab w:val="left" w:pos="180"/>
                <w:tab w:val="left" w:pos="1620"/>
              </w:tabs>
              <w:spacing w:line="400" w:lineRule="exact"/>
              <w:jc w:val="center"/>
              <w:rPr>
                <w:rFonts w:ascii="宋体" w:hAnsi="宋体" w:cs="宋体"/>
                <w:szCs w:val="21"/>
              </w:rPr>
            </w:pPr>
            <w:r>
              <w:rPr>
                <w:rFonts w:hint="eastAsia" w:ascii="宋体" w:hAnsi="宋体" w:cs="宋体"/>
                <w:szCs w:val="21"/>
              </w:rPr>
              <w:t>在线课程建设服务</w:t>
            </w:r>
          </w:p>
        </w:tc>
        <w:tc>
          <w:tcPr>
            <w:tcW w:w="709" w:type="dxa"/>
            <w:vAlign w:val="center"/>
          </w:tcPr>
          <w:p w14:paraId="672F2BBE">
            <w:pPr>
              <w:tabs>
                <w:tab w:val="left" w:pos="180"/>
                <w:tab w:val="left" w:pos="1620"/>
              </w:tabs>
              <w:spacing w:line="400" w:lineRule="exact"/>
              <w:jc w:val="center"/>
              <w:rPr>
                <w:rFonts w:ascii="宋体" w:hAnsi="宋体" w:cs="宋体"/>
                <w:szCs w:val="21"/>
              </w:rPr>
            </w:pPr>
            <w:r>
              <w:rPr>
                <w:rFonts w:hint="eastAsia" w:ascii="宋体" w:hAnsi="宋体" w:cs="宋体"/>
                <w:szCs w:val="21"/>
              </w:rPr>
              <w:t>1</w:t>
            </w:r>
            <w:r>
              <w:rPr>
                <w:rFonts w:ascii="宋体" w:hAnsi="宋体" w:cs="宋体"/>
                <w:szCs w:val="21"/>
              </w:rPr>
              <w:t>6</w:t>
            </w:r>
            <w:r>
              <w:rPr>
                <w:rFonts w:hint="eastAsia" w:ascii="宋体" w:hAnsi="宋体" w:cs="宋体"/>
                <w:szCs w:val="21"/>
              </w:rPr>
              <w:t>门</w:t>
            </w:r>
          </w:p>
        </w:tc>
        <w:tc>
          <w:tcPr>
            <w:tcW w:w="6473" w:type="dxa"/>
            <w:vAlign w:val="center"/>
          </w:tcPr>
          <w:p w14:paraId="6AC5FF8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rPr>
              <w:t>1</w:t>
            </w:r>
            <w:r>
              <w:rPr>
                <w:rFonts w:ascii="宋体" w:hAnsi="宋体" w:cs="仿宋"/>
                <w:kern w:val="0"/>
                <w:szCs w:val="21"/>
              </w:rPr>
              <w:t>.</w:t>
            </w:r>
            <w:r>
              <w:rPr>
                <w:rFonts w:hint="eastAsia" w:ascii="宋体" w:hAnsi="宋体" w:cs="仿宋"/>
                <w:kern w:val="0"/>
                <w:szCs w:val="21"/>
                <w:lang w:eastAsia="zh-Hans"/>
              </w:rPr>
              <w:t>在线课程建设数量：共建设16门在线课程，每门课程要求制作至少25个微视频资源，每个视频5-15分钟，每门课程视频总时长不少于250分钟，且课程录制根据教师要求可以进行不同模式的录制。建设完成的课程可以在混合式教学平台校内运行应用于本校教学，也可以根据课程负责老师的需求按照教育部国家一流在线开放课程的评审要求向全国院校开放共享，跨校运行推广。</w:t>
            </w:r>
          </w:p>
          <w:p w14:paraId="53BD2B9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课程拍摄教学素材采集</w:t>
            </w:r>
          </w:p>
          <w:p w14:paraId="7C503C4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桂林城区（市区内）拍摄</w:t>
            </w:r>
            <w:r>
              <w:rPr>
                <w:rFonts w:ascii="宋体" w:hAnsi="宋体" w:cs="仿宋"/>
                <w:kern w:val="0"/>
                <w:szCs w:val="21"/>
                <w:lang w:eastAsia="zh-Hans"/>
              </w:rPr>
              <w:t>，具体素材拍摄量及时长分配，以每小节实际内容需求为准。</w:t>
            </w:r>
          </w:p>
          <w:p w14:paraId="48AAA41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2.项目团队成员要求</w:t>
            </w:r>
          </w:p>
          <w:p w14:paraId="780E6F3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参与课程建设团队成员包括课程总监、运营总监、项目经理、视频主管、摄像、剪辑、平面设计和后期制作若干人员。</w:t>
            </w:r>
          </w:p>
          <w:p w14:paraId="4B1883C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3.视频拍摄要求</w:t>
            </w:r>
          </w:p>
          <w:p w14:paraId="3AD63C6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1）拍摄设备标准 拍摄设备具有高清摄像机、拍摄相机、单反镜头、稳定器、摄像用灯和音频采集设备。根据课程需求，可实现双机位、三机位或以上拍摄等摄制方式，提供跨地区采集课程教学所需图片素材、视频素材，采集方式包括实地拍照、视频摄制等，最高可提供4K（3840*2160）拍摄画质。</w:t>
            </w:r>
          </w:p>
          <w:p w14:paraId="4AB4462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2）拍摄模式 以满足教学要求为目标提供多种拍摄模式如随堂拍模式、基地PPT模式、场景实操模式、外景采风模式、访谈模式，根据理论或者实操需求，进行必要现场拍摄布景。</w:t>
            </w:r>
          </w:p>
          <w:p w14:paraId="683867D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4.课程视频后期制作</w:t>
            </w:r>
          </w:p>
          <w:p w14:paraId="13EFEFA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1）版式制作5种 批量制作前制作团队需根据课程特点和教学团队沟通讨论确定样片风格、版式等设计，针对课程特点设计5种内容板式，使在线课程更具有趣味性、美观性。</w:t>
            </w:r>
          </w:p>
          <w:p w14:paraId="23A5206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2）脚本制作16门 团队教师负责制作拍摄讲稿，整理收集课程知识点相关的资料和辅助资源，制作成基础PPT底版。课程制作团队负责对知识点微课脚本PPT课件进行排版、图片、视频、动画等优化处理，字体包需使用已购买版权字体。</w:t>
            </w:r>
          </w:p>
          <w:p w14:paraId="617B00D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3）在线教学视频  针对小节教学内容个性化剪辑，包含棚内录制、课件、动画、实景素材、航拍素材等形式组合。</w:t>
            </w:r>
          </w:p>
          <w:p w14:paraId="302B103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4）后期制作 视频配乐、抠图、调色、格式转换、音效特效、课程页面编辑等；视频制作后可提供高清（1080P）和标清（720P）视频格式。视频格式使用MP4封装。</w:t>
            </w:r>
          </w:p>
          <w:p w14:paraId="1E9FC6A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5）音频信号源要求</w:t>
            </w:r>
          </w:p>
          <w:p w14:paraId="7AAFE64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①声道 中文内容音频信号记录于第1声道，音乐、音效、同期声记录于第2声道，若有其他文字解说记录于第3声道（如录音设备无第3声道,则录于第2声道）。</w:t>
            </w:r>
          </w:p>
          <w:p w14:paraId="21CC5D2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②</w:t>
            </w:r>
            <w:r>
              <w:rPr>
                <w:rFonts w:hint="eastAsia" w:ascii="宋体" w:hAnsi="宋体" w:cs="仿宋"/>
                <w:kern w:val="0"/>
                <w:szCs w:val="21"/>
              </w:rPr>
              <w:t>电平指标 -12db-8db声音应无明显失真、放音过冲、过弱；音频信噪比不低于48db；声音和画面要求同步，无交流声或其他杂音等缺陷；伴音清晰、无失真、噪声杂音干扰、音量忽大忽小现象。解说声与现场声无明显比例失调，解说声与背景音乐无明显比例失调。</w:t>
            </w:r>
          </w:p>
          <w:p w14:paraId="4732601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③音频压缩格式音频压缩采用AAC（MPEG-4Part3）格式编码；采样率30-48KHz；音频码流率128Kbps（恒定）；采用双声道，做混音处理。</w:t>
            </w:r>
          </w:p>
          <w:p w14:paraId="5C1CAD0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6）字幕制作</w:t>
            </w:r>
          </w:p>
          <w:p w14:paraId="1C03D3E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字幕制作、校对，使用的语言及字幕为国家通用语言文字（汉语），字幕字符以GB2312编码字符集规范为准。</w:t>
            </w:r>
          </w:p>
          <w:p w14:paraId="4F94A81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7）成片版权</w:t>
            </w:r>
          </w:p>
          <w:p w14:paraId="3DCB98A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视频制作应提供源码给采购人，开放课程建设过程中所采集原始素材及成片知识产权属于服务采购人，可移交采购人。视频内容不存在意识形态问题</w:t>
            </w:r>
          </w:p>
          <w:p w14:paraId="117841C8">
            <w:pPr>
              <w:spacing w:line="360" w:lineRule="auto"/>
              <w:ind w:firstLine="422" w:firstLineChars="200"/>
              <w:jc w:val="left"/>
              <w:rPr>
                <w:rFonts w:ascii="宋体" w:hAnsi="宋体" w:cs="仿宋"/>
                <w:b/>
                <w:bCs/>
                <w:kern w:val="0"/>
                <w:szCs w:val="21"/>
                <w:lang w:eastAsia="zh-Hans"/>
              </w:rPr>
            </w:pPr>
            <w:r>
              <w:rPr>
                <w:rFonts w:ascii="宋体" w:hAnsi="宋体" w:cs="仿宋"/>
                <w:b/>
                <w:bCs/>
                <w:kern w:val="0"/>
                <w:szCs w:val="21"/>
                <w:lang w:eastAsia="zh-Hans"/>
              </w:rPr>
              <w:t>（</w:t>
            </w:r>
            <w:r>
              <w:rPr>
                <w:rFonts w:hint="eastAsia" w:ascii="宋体" w:hAnsi="宋体" w:cs="仿宋"/>
                <w:b/>
                <w:bCs/>
                <w:kern w:val="0"/>
                <w:szCs w:val="21"/>
                <w:lang w:eastAsia="zh-Hans"/>
              </w:rPr>
              <w:t>二</w:t>
            </w:r>
            <w:r>
              <w:rPr>
                <w:rFonts w:ascii="宋体" w:hAnsi="宋体" w:cs="仿宋"/>
                <w:b/>
                <w:bCs/>
                <w:kern w:val="0"/>
                <w:szCs w:val="21"/>
                <w:lang w:eastAsia="zh-Hans"/>
              </w:rPr>
              <w:t>）</w:t>
            </w:r>
            <w:r>
              <w:rPr>
                <w:rFonts w:hint="eastAsia" w:ascii="宋体" w:hAnsi="宋体" w:cs="仿宋"/>
                <w:b/>
                <w:bCs/>
                <w:kern w:val="0"/>
                <w:szCs w:val="21"/>
                <w:lang w:eastAsia="zh-Hans"/>
              </w:rPr>
              <w:t>在线课程推广运行服务</w:t>
            </w:r>
          </w:p>
          <w:p w14:paraId="0ED11DB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具有全国课程共享运行及线上线下混合式教学运行推广能力，后续支持教师基于平台开展线上教学和混合式教学，能提供运行专员辅助课程团队教师进行教学资源的课堂教学应用培训工作，积累课程运行推广数据。</w:t>
            </w:r>
          </w:p>
          <w:p w14:paraId="27770F27">
            <w:pPr>
              <w:spacing w:line="360" w:lineRule="auto"/>
              <w:ind w:firstLine="420" w:firstLineChars="200"/>
              <w:jc w:val="left"/>
              <w:rPr>
                <w:rFonts w:ascii="宋体" w:hAnsi="宋体" w:cs="仿宋"/>
                <w:kern w:val="0"/>
                <w:szCs w:val="21"/>
                <w:lang w:eastAsia="zh-Hans"/>
              </w:rPr>
            </w:pPr>
            <w:r>
              <w:rPr>
                <w:rFonts w:hint="eastAsia" w:ascii="宋体" w:hAnsi="宋体" w:cstheme="minorEastAsia"/>
                <w:kern w:val="0"/>
                <w:szCs w:val="21"/>
              </w:rPr>
              <w:t>★</w:t>
            </w:r>
            <w:r>
              <w:rPr>
                <w:rFonts w:ascii="宋体" w:hAnsi="宋体" w:cs="仿宋"/>
                <w:kern w:val="0"/>
                <w:szCs w:val="21"/>
                <w:lang w:eastAsia="zh-Hans"/>
              </w:rPr>
              <w:t>1</w:t>
            </w:r>
            <w:r>
              <w:rPr>
                <w:rFonts w:hint="eastAsia" w:ascii="宋体" w:hAnsi="宋体" w:cs="仿宋"/>
                <w:kern w:val="0"/>
                <w:szCs w:val="21"/>
                <w:lang w:eastAsia="zh-Hans"/>
              </w:rPr>
              <w:t>.课程平台具备学生、教师、管理者专属的三款App，支持iOS和Android操作系统，用于手机、Pad等智能移动终端中，实现随时随地移动学习。</w:t>
            </w:r>
          </w:p>
          <w:p w14:paraId="023B6A6E">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2</w:t>
            </w:r>
            <w:r>
              <w:rPr>
                <w:rFonts w:hint="eastAsia" w:ascii="宋体" w:hAnsi="宋体" w:cs="仿宋"/>
                <w:kern w:val="0"/>
                <w:szCs w:val="21"/>
                <w:lang w:eastAsia="zh-Hans"/>
              </w:rPr>
              <w:t>.支持快速创建课程，无需准备任何资料资源，帮助老师降低使用门槛，支持在同一个课程空间管理课程的课前、课中、课后内容，无论是线上教学或线下课堂教学，无须切换至其他平台、软件，或课程空间，同一门课程的教学数据也需支持同一个课程空间中展示。</w:t>
            </w:r>
          </w:p>
          <w:p w14:paraId="1BF91394">
            <w:pPr>
              <w:spacing w:line="360" w:lineRule="auto"/>
              <w:ind w:firstLine="420" w:firstLineChars="200"/>
              <w:jc w:val="left"/>
              <w:rPr>
                <w:rFonts w:ascii="宋体" w:hAnsi="宋体" w:cs="仿宋"/>
                <w:kern w:val="0"/>
                <w:szCs w:val="21"/>
                <w:lang w:eastAsia="zh-Hans"/>
              </w:rPr>
            </w:pPr>
            <w:r>
              <w:rPr>
                <w:rFonts w:hint="eastAsia" w:ascii="宋体" w:hAnsi="宋体" w:cstheme="minorEastAsia"/>
                <w:kern w:val="0"/>
                <w:szCs w:val="21"/>
              </w:rPr>
              <w:t>★</w:t>
            </w:r>
            <w:r>
              <w:rPr>
                <w:rFonts w:ascii="宋体" w:hAnsi="宋体" w:cs="仿宋"/>
                <w:kern w:val="0"/>
                <w:szCs w:val="21"/>
                <w:lang w:eastAsia="zh-Hans"/>
              </w:rPr>
              <w:t>3</w:t>
            </w:r>
            <w:r>
              <w:rPr>
                <w:rFonts w:hint="eastAsia" w:ascii="宋体" w:hAnsi="宋体" w:cs="仿宋"/>
                <w:kern w:val="0"/>
                <w:szCs w:val="21"/>
                <w:lang w:eastAsia="zh-Hans"/>
              </w:rPr>
              <w:t>.平台需提供12000门以上课程资源，课程覆盖：哲学、经济学、法学、教育学、文学、历史学、理学、工学、农学、医学、管理学、艺术学、军事学等学科。</w:t>
            </w:r>
          </w:p>
          <w:p w14:paraId="49F417E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w:t>
            </w:r>
            <w:r>
              <w:rPr>
                <w:rFonts w:ascii="宋体" w:hAnsi="宋体" w:cs="仿宋"/>
                <w:kern w:val="0"/>
                <w:szCs w:val="21"/>
                <w:lang w:eastAsia="zh-Hans"/>
              </w:rPr>
              <w:t>.</w:t>
            </w:r>
            <w:r>
              <w:rPr>
                <w:rFonts w:hint="eastAsia" w:ascii="宋体" w:hAnsi="宋体" w:cs="仿宋"/>
                <w:kern w:val="0"/>
                <w:szCs w:val="21"/>
                <w:lang w:eastAsia="zh-Hans"/>
              </w:rPr>
              <w:t>平台提供至少500门已认定的国家级精品在线开放课程优质视频资源可供老师引入，辅助教师打造校本混合式金课，老师可引用线上“金课”部分内容和章节用于校内教学，结合课程自身特色做校内教学创新。</w:t>
            </w:r>
          </w:p>
          <w:p w14:paraId="3F074B4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w:t>
            </w:r>
            <w:r>
              <w:rPr>
                <w:rFonts w:ascii="宋体" w:hAnsi="宋体" w:cs="仿宋"/>
                <w:kern w:val="0"/>
                <w:szCs w:val="21"/>
                <w:lang w:eastAsia="zh-Hans"/>
              </w:rPr>
              <w:t>.</w:t>
            </w:r>
            <w:r>
              <w:rPr>
                <w:rFonts w:hint="eastAsia" w:ascii="宋体" w:hAnsi="宋体" w:cs="仿宋"/>
                <w:kern w:val="0"/>
                <w:szCs w:val="21"/>
                <w:lang w:eastAsia="zh-Hans"/>
              </w:rPr>
              <w:t>提供1700门以上带有知识点的课程资源，知识点与知识点之间的逻辑关系将以知识图谱的形式展示，理清课程重点和结构脉络；支持查看知识点课程大纲，快速了解课程内容，区分侧重点。</w:t>
            </w:r>
          </w:p>
          <w:p w14:paraId="3FDC0EAE">
            <w:pPr>
              <w:spacing w:line="360" w:lineRule="auto"/>
              <w:ind w:firstLine="420" w:firstLineChars="200"/>
              <w:jc w:val="left"/>
              <w:rPr>
                <w:rFonts w:ascii="宋体" w:hAnsi="宋体" w:cs="仿宋"/>
                <w:kern w:val="0"/>
                <w:szCs w:val="21"/>
                <w:lang w:eastAsia="zh-Hans"/>
              </w:rPr>
            </w:pPr>
            <w:r>
              <w:rPr>
                <w:rFonts w:hint="eastAsia" w:ascii="宋体" w:hAnsi="宋体" w:cstheme="minorEastAsia"/>
                <w:kern w:val="0"/>
                <w:szCs w:val="21"/>
              </w:rPr>
              <w:t>★</w:t>
            </w:r>
            <w:r>
              <w:rPr>
                <w:rFonts w:hint="eastAsia" w:ascii="宋体" w:hAnsi="宋体" w:cs="仿宋"/>
                <w:kern w:val="0"/>
                <w:szCs w:val="21"/>
                <w:lang w:eastAsia="zh-Hans"/>
              </w:rPr>
              <w:t>6</w:t>
            </w:r>
            <w:r>
              <w:rPr>
                <w:rFonts w:ascii="宋体" w:hAnsi="宋体" w:cs="仿宋"/>
                <w:kern w:val="0"/>
                <w:szCs w:val="21"/>
                <w:lang w:eastAsia="zh-Hans"/>
              </w:rPr>
              <w:t>.</w:t>
            </w:r>
            <w:r>
              <w:rPr>
                <w:rFonts w:hint="eastAsia" w:ascii="宋体" w:hAnsi="宋体" w:cs="仿宋"/>
                <w:kern w:val="0"/>
                <w:szCs w:val="21"/>
                <w:lang w:eastAsia="zh-Hans"/>
              </w:rPr>
              <w:t>提供上百个3D模型资源，支持模型多角度全面在线预览；支持教师自主搜索查看引用，一键引用至课程的学习资源模块。</w:t>
            </w:r>
          </w:p>
          <w:p w14:paraId="44F45046">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7.</w:t>
            </w:r>
            <w:r>
              <w:rPr>
                <w:rFonts w:hint="eastAsia" w:ascii="宋体" w:hAnsi="宋体" w:cs="仿宋"/>
                <w:kern w:val="0"/>
                <w:szCs w:val="21"/>
                <w:lang w:eastAsia="zh-Hans"/>
              </w:rPr>
              <w:t>提供</w:t>
            </w:r>
            <w:r>
              <w:rPr>
                <w:rFonts w:hint="eastAsia" w:ascii="宋体" w:hAnsi="宋体" w:cs="仿宋"/>
                <w:kern w:val="0"/>
                <w:szCs w:val="21"/>
              </w:rPr>
              <w:t>100</w:t>
            </w:r>
            <w:r>
              <w:rPr>
                <w:rFonts w:hint="eastAsia" w:ascii="宋体" w:hAnsi="宋体" w:cs="仿宋"/>
                <w:kern w:val="0"/>
                <w:szCs w:val="21"/>
                <w:lang w:eastAsia="zh-Hans"/>
              </w:rPr>
              <w:t>门精品的虚仿实验资源课程，课程包含详情介绍、实验内容和实验指南；支持教师搜索、引用、无缝插入实验资源，将资源引用至课程后学生在平台学习并完成实验，并配备网络实验教学管理功能。</w:t>
            </w:r>
          </w:p>
          <w:p w14:paraId="3C2968C2">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8.</w:t>
            </w:r>
            <w:r>
              <w:rPr>
                <w:rFonts w:hint="eastAsia" w:ascii="宋体" w:hAnsi="宋体" w:cs="仿宋"/>
                <w:kern w:val="0"/>
                <w:szCs w:val="21"/>
                <w:lang w:eastAsia="zh-Hans"/>
              </w:rPr>
              <w:t>教学内容可支持多种文件类型，包括视频（.mp4，.mov等），图片（.jpg, .png等），课件（.ppt, .pptx等）,文本文件（.txt, .doc, .docx等），数据表格（.xls, .xlsx等），压缩包（.zip, .rar等），音频文件（.mp3等），数据文件（.dat等）；所有文件支持可在线下载；支持上传不超过2G大小的文件；教学内容支持网页链接的形式。</w:t>
            </w:r>
          </w:p>
          <w:p w14:paraId="7ADB11E9">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9.</w:t>
            </w:r>
            <w:r>
              <w:rPr>
                <w:rFonts w:hint="eastAsia" w:ascii="宋体" w:hAnsi="宋体" w:cs="仿宋"/>
                <w:kern w:val="0"/>
                <w:szCs w:val="21"/>
                <w:lang w:eastAsia="zh-Hans"/>
              </w:rPr>
              <w:t>支持不同的教学内容设置不同的教学目的，包括必学/选学，学习要求等；老师可设置是否允许学生下载，保证老师内容版权。</w:t>
            </w:r>
          </w:p>
          <w:p w14:paraId="7A01C0D1">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10.</w:t>
            </w:r>
            <w:r>
              <w:rPr>
                <w:rFonts w:hint="eastAsia" w:ascii="宋体" w:hAnsi="宋体" w:cs="仿宋"/>
                <w:kern w:val="0"/>
                <w:szCs w:val="21"/>
                <w:lang w:eastAsia="zh-Hans"/>
              </w:rPr>
              <w:t>支持任务式教学，老师可以具体安排任务让学生完成；统计学生是否查看任务，以便老师督促；支持师生、生生在任务下互动评论，协作学习。</w:t>
            </w:r>
          </w:p>
          <w:p w14:paraId="3D374C34">
            <w:pPr>
              <w:spacing w:line="360" w:lineRule="auto"/>
              <w:ind w:firstLine="420" w:firstLineChars="200"/>
              <w:jc w:val="left"/>
              <w:rPr>
                <w:rFonts w:ascii="宋体" w:hAnsi="宋体" w:cs="仿宋"/>
                <w:kern w:val="0"/>
                <w:szCs w:val="21"/>
                <w:lang w:eastAsia="zh-Hans"/>
              </w:rPr>
            </w:pPr>
            <w:r>
              <w:rPr>
                <w:rFonts w:hint="eastAsia" w:ascii="宋体" w:hAnsi="宋体" w:cstheme="minorEastAsia"/>
                <w:kern w:val="0"/>
                <w:szCs w:val="21"/>
              </w:rPr>
              <w:t>★</w:t>
            </w:r>
            <w:r>
              <w:rPr>
                <w:rFonts w:ascii="宋体" w:hAnsi="宋体" w:cs="仿宋"/>
                <w:kern w:val="0"/>
                <w:szCs w:val="21"/>
                <w:lang w:eastAsia="zh-Hans"/>
              </w:rPr>
              <w:t>11.</w:t>
            </w:r>
            <w:r>
              <w:rPr>
                <w:rFonts w:hint="eastAsia" w:ascii="宋体" w:hAnsi="宋体" w:cs="仿宋"/>
                <w:kern w:val="0"/>
                <w:szCs w:val="21"/>
                <w:lang w:eastAsia="zh-Hans"/>
              </w:rPr>
              <w:t>支持老师通过</w:t>
            </w:r>
            <w:r>
              <w:rPr>
                <w:rFonts w:ascii="宋体" w:hAnsi="宋体" w:cs="仿宋"/>
                <w:kern w:val="0"/>
                <w:szCs w:val="21"/>
                <w:lang w:eastAsia="zh-Hans"/>
              </w:rPr>
              <w:t>3</w:t>
            </w:r>
            <w:r>
              <w:rPr>
                <w:rFonts w:hint="eastAsia" w:ascii="宋体" w:hAnsi="宋体" w:cs="仿宋"/>
                <w:kern w:val="0"/>
                <w:szCs w:val="21"/>
                <w:lang w:eastAsia="zh-Hans"/>
              </w:rPr>
              <w:t>种以上方式，通过拍照和语音布置作业，支持学生通过拍照和语音提交作业；支持老师通过语音对作业进行评价，支持老师批阅主观题作业时上传附件；老师可以通过web端查看作业分析，观察成绩分布图等作业相关数据统计分析。</w:t>
            </w:r>
          </w:p>
          <w:p w14:paraId="2B10B95D">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12.</w:t>
            </w:r>
            <w:r>
              <w:rPr>
                <w:rFonts w:hint="eastAsia" w:ascii="宋体" w:hAnsi="宋体" w:cs="仿宋"/>
                <w:kern w:val="0"/>
                <w:szCs w:val="21"/>
                <w:lang w:eastAsia="zh-Hans"/>
              </w:rPr>
              <w:t xml:space="preserve">支持教师备课，可上传教学设计、课堂互动（投票、签到、点名、抢答、头脑风暴）至备课计划。支持在各项教学活动上添加计时器。支持针对主流文档（Word、PPT、PDF等文件）插入课程工具，教师可一键启动备课内容进入授课状态；在课堂授课过程中可直观查询教学设计等备课内容。 </w:t>
            </w:r>
          </w:p>
          <w:p w14:paraId="0FB07C29">
            <w:pPr>
              <w:spacing w:line="360" w:lineRule="auto"/>
              <w:ind w:firstLine="420" w:firstLineChars="200"/>
              <w:jc w:val="left"/>
              <w:rPr>
                <w:rFonts w:ascii="宋体" w:hAnsi="宋体" w:cs="仿宋"/>
                <w:kern w:val="0"/>
                <w:szCs w:val="21"/>
                <w:lang w:eastAsia="zh-Hans"/>
              </w:rPr>
            </w:pPr>
            <w:r>
              <w:rPr>
                <w:rFonts w:hint="eastAsia" w:ascii="宋体" w:hAnsi="宋体" w:cstheme="minorEastAsia"/>
                <w:kern w:val="0"/>
                <w:szCs w:val="21"/>
              </w:rPr>
              <w:t>★</w:t>
            </w:r>
            <w:r>
              <w:rPr>
                <w:rFonts w:ascii="宋体" w:hAnsi="宋体" w:cs="仿宋"/>
                <w:kern w:val="0"/>
                <w:szCs w:val="21"/>
                <w:lang w:eastAsia="zh-Hans"/>
              </w:rPr>
              <w:t>13.</w:t>
            </w:r>
            <w:r>
              <w:rPr>
                <w:rFonts w:hint="eastAsia" w:ascii="宋体" w:hAnsi="宋体" w:cs="仿宋"/>
                <w:kern w:val="0"/>
                <w:szCs w:val="21"/>
                <w:lang w:eastAsia="zh-Hans"/>
              </w:rPr>
              <w:t>训练题库：支持教师在课程下创建给学生刷题的训练题库，可根据关联资源和知识点纬度自定义逐步开放训练试题。学生在训练模式下会随机收到题目，做题过程中做错的题目将计入错题本，支持错题训练、自定义知识点训练、模拟考试训练</w:t>
            </w:r>
            <w:r>
              <w:rPr>
                <w:rFonts w:hint="eastAsia" w:ascii="宋体" w:hAnsi="宋体" w:cs="仿宋"/>
                <w:kern w:val="0"/>
                <w:szCs w:val="21"/>
              </w:rPr>
              <w:t>3</w:t>
            </w:r>
            <w:r>
              <w:rPr>
                <w:rFonts w:hint="eastAsia" w:ascii="宋体" w:hAnsi="宋体" w:cs="仿宋"/>
                <w:kern w:val="0"/>
                <w:szCs w:val="21"/>
                <w:lang w:eastAsia="zh-Hans"/>
              </w:rPr>
              <w:t>种</w:t>
            </w:r>
            <w:r>
              <w:rPr>
                <w:rFonts w:hint="eastAsia" w:ascii="宋体" w:hAnsi="宋体" w:cs="仿宋"/>
                <w:kern w:val="0"/>
                <w:szCs w:val="21"/>
              </w:rPr>
              <w:t>以上</w:t>
            </w:r>
            <w:r>
              <w:rPr>
                <w:rFonts w:hint="eastAsia" w:ascii="宋体" w:hAnsi="宋体" w:cs="仿宋"/>
                <w:kern w:val="0"/>
                <w:szCs w:val="21"/>
                <w:lang w:eastAsia="zh-Hans"/>
              </w:rPr>
              <w:t>模式，为学生提供课后自主学习的做题工具。</w:t>
            </w:r>
          </w:p>
          <w:p w14:paraId="5F9B777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1）错题训练：学生可针对刷题过程中所做错的题目进行反复训练，提升学习质量。错题将记录至错题本。</w:t>
            </w:r>
          </w:p>
          <w:p w14:paraId="563713E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2）精准训练：学生可自定义选择知识点进行刷题训练，弥补薄弱环节。</w:t>
            </w:r>
          </w:p>
          <w:p w14:paraId="768B1A5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 xml:space="preserve">3）模拟考试：学生可模拟一次线上考试，感受线上考试流程，完成考试。   </w:t>
            </w:r>
          </w:p>
          <w:p w14:paraId="5BAEA1F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 xml:space="preserve">4）训练题库数据分析：为授课教师提供训练题库的数据分析结果：知识点掌握情况、学生答题情况等。教师可根据数据调整授课内容，优化教学方式。                     </w:t>
            </w:r>
          </w:p>
          <w:p w14:paraId="02C27ED1">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14.</w:t>
            </w:r>
            <w:r>
              <w:rPr>
                <w:rFonts w:hint="eastAsia" w:ascii="宋体" w:hAnsi="宋体" w:cs="仿宋"/>
                <w:kern w:val="0"/>
                <w:szCs w:val="21"/>
                <w:lang w:eastAsia="zh-Hans"/>
              </w:rPr>
              <w:t>支持老师开展线上直播教学，老师可以通过语音完成远程授课，当需要学生参与课堂互动时，可以选择1个学生或者多个学生语音加入课堂互动；学生也可以举手，示意老师需要加入课堂互动；老师可以实时看到本人的麦克风音量，并调换麦克风设备；当老师在线点名到某位学生时，在学生同意后才即可加入直播连线；过程中学生可自行静音或者结束语音互动。</w:t>
            </w:r>
          </w:p>
          <w:p w14:paraId="025C3795">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15.</w:t>
            </w:r>
            <w:r>
              <w:rPr>
                <w:rFonts w:hint="eastAsia" w:ascii="宋体" w:hAnsi="宋体" w:cs="仿宋"/>
                <w:kern w:val="0"/>
                <w:szCs w:val="21"/>
                <w:lang w:eastAsia="zh-Hans"/>
              </w:rPr>
              <w:t>支持老师进行在线直播课堂教学，不需要在电脑本地或者浏览器上安装任何插件，只需使用浏览器即可。需支持Windows和Mac，浏览器需支持Chrome，Firefox等主流浏览器。</w:t>
            </w:r>
          </w:p>
          <w:p w14:paraId="620E4612">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16.</w:t>
            </w:r>
            <w:r>
              <w:rPr>
                <w:rFonts w:hint="eastAsia" w:ascii="宋体" w:hAnsi="宋体" w:cs="仿宋"/>
                <w:kern w:val="0"/>
                <w:szCs w:val="21"/>
                <w:lang w:eastAsia="zh-Hans"/>
              </w:rPr>
              <w:t>专属个人题库，平台为每位教师提供个人专属题库，该题库可应用于教师个人空间下的全部课程。题库支持单选、多选、判断、填空、问答等多类基本题型；支持WORD版本的题库批量导入题库，并可以在线修改；题目支持与课程、教学内容挂钩，且单个题目支持匹配多个知识点标签。</w:t>
            </w:r>
          </w:p>
          <w:p w14:paraId="503AEAE7">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17.</w:t>
            </w:r>
            <w:r>
              <w:rPr>
                <w:rFonts w:hint="eastAsia" w:ascii="宋体" w:hAnsi="宋体" w:cs="仿宋"/>
                <w:kern w:val="0"/>
                <w:szCs w:val="21"/>
                <w:lang w:eastAsia="zh-Hans"/>
              </w:rPr>
              <w:t>支持在线作业/考试的数据统计分析，方便老师对学生学习成果检验有更精准地分析；支持查看成绩分布图，清楚了解成绩分布曲线是否为正态分布；支持作业/考试的试题分析，对于客观题，支持查看每一道题目的得分率、每个选项的选择人数情况、易错选项和学生答题情况等。</w:t>
            </w:r>
          </w:p>
          <w:p w14:paraId="2C5C6A3C">
            <w:pPr>
              <w:spacing w:line="360" w:lineRule="auto"/>
              <w:ind w:firstLine="420" w:firstLineChars="200"/>
              <w:jc w:val="left"/>
              <w:rPr>
                <w:rFonts w:ascii="宋体" w:hAnsi="宋体" w:cs="仿宋"/>
                <w:kern w:val="0"/>
                <w:szCs w:val="21"/>
                <w:lang w:eastAsia="zh-Hans"/>
              </w:rPr>
            </w:pPr>
            <w:r>
              <w:rPr>
                <w:rFonts w:hint="eastAsia" w:ascii="宋体" w:hAnsi="宋体" w:cstheme="minorEastAsia"/>
                <w:kern w:val="0"/>
                <w:szCs w:val="21"/>
              </w:rPr>
              <w:t>★</w:t>
            </w:r>
            <w:r>
              <w:rPr>
                <w:rFonts w:ascii="宋体" w:hAnsi="宋体" w:cs="仿宋"/>
                <w:kern w:val="0"/>
                <w:szCs w:val="21"/>
                <w:lang w:eastAsia="zh-Hans"/>
              </w:rPr>
              <w:t>18.</w:t>
            </w:r>
            <w:r>
              <w:rPr>
                <w:rFonts w:hint="eastAsia" w:ascii="宋体" w:hAnsi="宋体" w:cs="仿宋"/>
                <w:kern w:val="0"/>
                <w:szCs w:val="21"/>
                <w:lang w:eastAsia="zh-Hans"/>
              </w:rPr>
              <w:t>考试安全性预防（封卷），访问题库需本人微信扫码验证访问，保障试题安全。支持考试封存，封存后任何人任何路径都不可直接访问考试试卷，根源上杜绝试题泄漏。支持考试结束后试卷及答案按班级选择发放。</w:t>
            </w:r>
          </w:p>
          <w:p w14:paraId="0DCA5D42">
            <w:pPr>
              <w:spacing w:line="360" w:lineRule="auto"/>
              <w:ind w:firstLine="420" w:firstLineChars="200"/>
              <w:jc w:val="left"/>
              <w:rPr>
                <w:rFonts w:ascii="宋体" w:hAnsi="宋体" w:cs="宋体"/>
                <w:b/>
                <w:bCs/>
                <w:szCs w:val="21"/>
              </w:rPr>
            </w:pPr>
            <w:r>
              <w:rPr>
                <w:rFonts w:ascii="宋体" w:hAnsi="宋体" w:cs="仿宋"/>
                <w:kern w:val="0"/>
                <w:szCs w:val="21"/>
                <w:lang w:eastAsia="zh-Hans"/>
              </w:rPr>
              <w:t>19.</w:t>
            </w:r>
            <w:r>
              <w:rPr>
                <w:rFonts w:hint="eastAsia" w:ascii="宋体" w:hAnsi="宋体" w:cs="仿宋"/>
                <w:kern w:val="0"/>
                <w:szCs w:val="21"/>
                <w:lang w:eastAsia="zh-Hans"/>
              </w:rPr>
              <w:t>支持教师团队、教研组共享、共建题库、题库助理。共享题库中的题目可运用到教师个人课程下的作业和考试中。支持共享题库创建人分配题库的上传、查看、应用、删除权限给题库下的其他用户。</w:t>
            </w:r>
          </w:p>
        </w:tc>
      </w:tr>
      <w:tr w14:paraId="1EC14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666" w:type="dxa"/>
            <w:tcBorders>
              <w:right w:val="single" w:color="auto" w:sz="4" w:space="0"/>
            </w:tcBorders>
            <w:vAlign w:val="center"/>
          </w:tcPr>
          <w:p w14:paraId="066F59DA">
            <w:pPr>
              <w:tabs>
                <w:tab w:val="left" w:pos="180"/>
                <w:tab w:val="left" w:pos="1620"/>
              </w:tabs>
              <w:spacing w:line="320" w:lineRule="exact"/>
              <w:jc w:val="center"/>
              <w:rPr>
                <w:rFonts w:ascii="宋体" w:hAnsi="宋体" w:cs="宋体"/>
                <w:szCs w:val="21"/>
              </w:rPr>
            </w:pPr>
            <w:r>
              <w:rPr>
                <w:rFonts w:hint="eastAsia" w:ascii="宋体" w:hAnsi="宋体" w:cs="宋体"/>
                <w:szCs w:val="21"/>
              </w:rPr>
              <w:t>2</w:t>
            </w:r>
          </w:p>
        </w:tc>
        <w:tc>
          <w:tcPr>
            <w:tcW w:w="1608" w:type="dxa"/>
            <w:gridSpan w:val="2"/>
            <w:tcBorders>
              <w:left w:val="single" w:color="auto" w:sz="4" w:space="0"/>
            </w:tcBorders>
            <w:vAlign w:val="center"/>
          </w:tcPr>
          <w:p w14:paraId="2D2D7037">
            <w:pPr>
              <w:tabs>
                <w:tab w:val="left" w:pos="180"/>
                <w:tab w:val="left" w:pos="1620"/>
              </w:tabs>
              <w:spacing w:line="400" w:lineRule="exact"/>
              <w:jc w:val="center"/>
              <w:rPr>
                <w:rFonts w:ascii="宋体" w:hAnsi="宋体" w:cs="宋体"/>
                <w:szCs w:val="21"/>
              </w:rPr>
            </w:pPr>
            <w:r>
              <w:rPr>
                <w:rFonts w:hint="eastAsia" w:ascii="宋体" w:hAnsi="宋体" w:cs="宋体"/>
                <w:szCs w:val="21"/>
              </w:rPr>
              <w:t>智慧课程建设服务</w:t>
            </w:r>
          </w:p>
        </w:tc>
        <w:tc>
          <w:tcPr>
            <w:tcW w:w="709" w:type="dxa"/>
            <w:vAlign w:val="center"/>
          </w:tcPr>
          <w:p w14:paraId="0669C0C5">
            <w:pPr>
              <w:tabs>
                <w:tab w:val="left" w:pos="180"/>
                <w:tab w:val="left" w:pos="1620"/>
              </w:tabs>
              <w:spacing w:line="400" w:lineRule="exact"/>
              <w:jc w:val="center"/>
              <w:rPr>
                <w:rFonts w:ascii="宋体" w:hAnsi="宋体" w:cs="宋体"/>
                <w:szCs w:val="21"/>
              </w:rPr>
            </w:pPr>
            <w:r>
              <w:rPr>
                <w:rFonts w:hint="eastAsia" w:ascii="宋体" w:hAnsi="宋体" w:cs="宋体"/>
                <w:szCs w:val="21"/>
              </w:rPr>
              <w:t>4门</w:t>
            </w:r>
          </w:p>
        </w:tc>
        <w:tc>
          <w:tcPr>
            <w:tcW w:w="6473" w:type="dxa"/>
            <w:vAlign w:val="center"/>
          </w:tcPr>
          <w:p w14:paraId="59F8732B">
            <w:pPr>
              <w:spacing w:line="360" w:lineRule="auto"/>
              <w:ind w:firstLine="422" w:firstLineChars="200"/>
              <w:jc w:val="left"/>
              <w:rPr>
                <w:rFonts w:ascii="宋体" w:hAnsi="宋体" w:cs="仿宋"/>
                <w:b/>
                <w:bCs/>
                <w:kern w:val="0"/>
                <w:szCs w:val="21"/>
                <w:lang w:eastAsia="zh-Hans"/>
              </w:rPr>
            </w:pPr>
            <w:r>
              <w:rPr>
                <w:rFonts w:hint="eastAsia" w:ascii="宋体" w:hAnsi="宋体" w:cs="仿宋"/>
                <w:b/>
                <w:bCs/>
                <w:kern w:val="0"/>
                <w:szCs w:val="21"/>
                <w:lang w:eastAsia="zh-Hans"/>
              </w:rPr>
              <w:t>（一）智慧课程建设服务</w:t>
            </w:r>
          </w:p>
          <w:p w14:paraId="1C378D2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课程建设数量：需完成</w:t>
            </w:r>
            <w:r>
              <w:rPr>
                <w:rFonts w:ascii="宋体" w:hAnsi="宋体" w:cs="仿宋"/>
                <w:kern w:val="0"/>
                <w:szCs w:val="21"/>
                <w:lang w:eastAsia="zh-Hans"/>
              </w:rPr>
              <w:t>4</w:t>
            </w:r>
            <w:r>
              <w:rPr>
                <w:rFonts w:hint="eastAsia" w:ascii="宋体" w:hAnsi="宋体" w:cs="仿宋"/>
                <w:kern w:val="0"/>
                <w:szCs w:val="21"/>
                <w:lang w:eastAsia="zh-Hans"/>
              </w:rPr>
              <w:t>门智慧课程的建设。</w:t>
            </w:r>
          </w:p>
          <w:p w14:paraId="4DA4D9D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 课程概述</w:t>
            </w:r>
          </w:p>
          <w:p w14:paraId="62B4AD2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1）支持对于课程的基本信息进行编辑，基本信息包括：负责教师，说课视频，课程封面，课程简介。</w:t>
            </w:r>
          </w:p>
          <w:p w14:paraId="1211A79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2）说课视频支持MP3，MP4等主流视频格式，课程封面支持上传jpg，png等主流图片格式，课程简介不低于10000字。</w:t>
            </w:r>
          </w:p>
          <w:p w14:paraId="60DF2E6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3）支持根据智慧课程的教学团队自动生成虚拟教研室，虚拟教研室中包含虚拟教研活动介绍与详情，虚拟教研室成员，虚拟教研室牵头单位与虚拟教研室负责老师。</w:t>
            </w:r>
          </w:p>
          <w:p w14:paraId="0A398BD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4）支持现实虚拟教研室成员详情，包含团队成员头像、姓名、简介、职称等。</w:t>
            </w:r>
          </w:p>
          <w:p w14:paraId="7103CA8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5）支持根据虚拟教研室教研活动，生成过程化虚拟教研记录。</w:t>
            </w:r>
          </w:p>
          <w:p w14:paraId="43DF1EC4">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6）支持引用慕课平台中的课程资源和教材资源添加到图谱中，其中课程支持整门引用，也支持按照章节引用。</w:t>
            </w:r>
          </w:p>
          <w:p w14:paraId="040739D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★7）支持课程资源引用界面包括课程名称，课程资源，所属学校等字段。其中学科资源类型不低于100门，总体课程资源数量不低于10000门，总体电子书资源数量不低于20000本。</w:t>
            </w:r>
          </w:p>
          <w:p w14:paraId="32FC9C5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8）自有平台可提供本科国家级一流课程资源引用数量不低于500门。</w:t>
            </w:r>
          </w:p>
          <w:p w14:paraId="5714E4B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9）支持引入自有平台中的虚拟仿真实验课程资源，学生可免登录转至课程实验界面进行实验练习。</w:t>
            </w:r>
          </w:p>
          <w:p w14:paraId="17612B6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10）支持根据课程建设成果，生成课程的专属成果相册，成果相册生成范围包含；课程体系、课程框架、课程地图、课程图谱等。</w:t>
            </w:r>
          </w:p>
          <w:p w14:paraId="14E225B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★11）响应教育部虚实融合课程的号召，为知识图谱课程提供虚拟仿真资源的引用，供应商需要提供的500门及以上的虚拟仿真实验课程。</w:t>
            </w:r>
          </w:p>
          <w:p w14:paraId="23995DC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 课程设计</w:t>
            </w:r>
          </w:p>
          <w:p w14:paraId="4FBB942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1）支持统计课程的详细建设与教学数据，数据包含知识模块建设数量、知识点总数、知识节点总数、知识教案总数、能力目标、实践问题数量、教学资源数量与外部引用资源数量。</w:t>
            </w:r>
          </w:p>
          <w:p w14:paraId="292D5DE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2）支持显示课程的基本教学定位，教学定位信息包含：课程类别、适用专业、先修课程、后续课程等。</w:t>
            </w:r>
          </w:p>
          <w:p w14:paraId="5E44EB3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3）支持描述课程基本的教学简介，教学简介包含文字、公式、图片等信息。</w:t>
            </w:r>
          </w:p>
          <w:p w14:paraId="4005B42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4）支持显示课程的教学逻辑关系图，显示目标课程的前后序课程学习关系。</w:t>
            </w:r>
          </w:p>
          <w:p w14:paraId="2BB5960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5）支持显示课程的课程目标，包括课程的能力数量、子能力数量、覆盖知识点内容等信息。</w:t>
            </w:r>
          </w:p>
          <w:p w14:paraId="76BD245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6）支持以图片形式展示课程的整体知识结构图，图片支持jpg，png等主流图片格式，并支持通过模板导入的形式编辑知识结构图的相关信息。</w:t>
            </w:r>
          </w:p>
          <w:p w14:paraId="0BD5AB3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在课程概述中查看课程概述相关内容，包括教师团队，课程背景，课程简介，课程目标，课程特色，课程知识逻辑，知识结构图，教学计划，课程概述展示等相关内容，同时可支持导入的形式进行新增和维护，导入为增量导入。</w:t>
            </w:r>
          </w:p>
          <w:p w14:paraId="3A76FE7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8）支持展示课程相关背景，并支持通过导入Excel模板的形式编辑课程背景相关信息。</w:t>
            </w:r>
          </w:p>
          <w:p w14:paraId="2BBD512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9）支持展示课程简介相关信息，并支持通过导入Excel模板的形式编辑课程简介相关信息，支持上传500字以上。</w:t>
            </w:r>
          </w:p>
          <w:p w14:paraId="6D70D51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10）支持展示课程特色相关信息，并支持通过导入Excel模板的形式编辑课程特色相关信息。</w:t>
            </w:r>
          </w:p>
          <w:p w14:paraId="48EC250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3.能力图谱</w:t>
            </w:r>
          </w:p>
          <w:p w14:paraId="5147FDF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设置课程能力目标，课程能力目标包含课程目标描述、课程目标拆解、课程目标详情。其中课程目标拆解课设置主能力目标、子能力目标、关联知识点、覆盖问题等，并通过系统统计每个能力目标的知识点覆盖率等，同时在一门课程中能力目标课数量设置不设上限，可根据实际使用需要设置多个主目标与子目标。</w:t>
            </w:r>
          </w:p>
          <w:p w14:paraId="5F3623F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2）支持编辑课程能力目标，设置能力目标时，可针对能力目标的名称、描述、子能力目标名称、子能力目标描述，支持添加关联问题与知识点。</w:t>
            </w:r>
          </w:p>
          <w:p w14:paraId="1385EE3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查看课程能力详情，根据所设置的课程能力目标，自动计算每个能力/子能力所覆盖的知识模块、知识点与问题详情，并根据不同能力目标的设置，自动构建能力目标的能力图谱，将分散的知识点内容汇总，形成能力目标独立的能力知识图谱体系。并且可支持通过能力详情，预览关联的知识体系、问题体系、问题详情等。并且支持针对课程的能力目标梳理能力达成度分析。</w:t>
            </w:r>
          </w:p>
          <w:p w14:paraId="1B82A35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4.问题图谱</w:t>
            </w:r>
          </w:p>
          <w:p w14:paraId="0633506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1）支持问题图谱学习：支持以问题为导向的学习，通过“全局层问题——概念层问题——方法层问题”三层问题模型结构，查看解决课程经典问题所需要掌握的知识点。</w:t>
            </w:r>
          </w:p>
          <w:p w14:paraId="7469CC7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2）支持查看问题图谱单点内容时，高亮与该内容相关上下层图谱内容，并动态链路展示相关关系。</w:t>
            </w:r>
          </w:p>
          <w:p w14:paraId="4B737D8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5.课程简介</w:t>
            </w:r>
          </w:p>
          <w:p w14:paraId="0B5B7C8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1）支持通过模板导入的形式生成课程框架，导入模板为XMind格式，在模板中可以插入主题和子主题。</w:t>
            </w:r>
          </w:p>
          <w:p w14:paraId="50CE0C6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2）支持通过word模板导入将课程结构导入到课程中，内容包含文字与图片。</w:t>
            </w:r>
          </w:p>
          <w:p w14:paraId="1B05FE0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3）支持展示本课程知识图谱中的课程框架内容，包含课程主题名称、教学内容、教学重点、教学难点等信息，帮助更好地了解本门课程知识图谱的框架。</w:t>
            </w:r>
          </w:p>
          <w:p w14:paraId="11DA99F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4）支持通过word模板导入课程框架内容，导入内容支持1000字。</w:t>
            </w:r>
          </w:p>
          <w:p w14:paraId="64C987A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5）支持展示本课程知识模块，包含知识模块文字与图片，引导学生进行学习。</w:t>
            </w:r>
          </w:p>
          <w:p w14:paraId="76F1751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6）支持展示课程的教学计划，包括主题名称及学时，以及课程学分及学时，并支持通过模板导入的形式编辑课程背景相关信息。</w:t>
            </w:r>
          </w:p>
          <w:p w14:paraId="16312AD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7）支持通过word模板导入课程框架内容，导入内容支持1000字，同时支持上传图片，图片文件类型包含jpg、png等。</w:t>
            </w:r>
          </w:p>
          <w:p w14:paraId="767DB3A4">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6.知识图谱与模块</w:t>
            </w:r>
          </w:p>
          <w:p w14:paraId="04D46C1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1）支持通过点击已有节点添加节点，可以添加同级节点，子节点。</w:t>
            </w:r>
          </w:p>
          <w:p w14:paraId="3AAAEAF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2）支持通过在知识地图针对已有节点进行删除。</w:t>
            </w:r>
          </w:p>
          <w:p w14:paraId="542DFE3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3）支持通过导入word的形式，导入知识地图节点相关信息，可导入的内容包括：名称、标签、难度、描述。</w:t>
            </w:r>
          </w:p>
          <w:p w14:paraId="4A57A15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4）支持通过导入的形式导入知识地图的节点信息，包括节点名称和节点标签，知识地图上各个节点的名称导入格式为XMind，文件大小支持1G以上，节点数量支持10000以上。</w:t>
            </w:r>
          </w:p>
          <w:p w14:paraId="3D37161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5）支持通过点击导出课程地图按钮，导出XMind的形式导入现有知识架构。</w:t>
            </w:r>
          </w:p>
          <w:p w14:paraId="340A0AB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6）支持通过精准搜索的形式搜索在当前知识地图下的所有知识以及属性名称。</w:t>
            </w:r>
          </w:p>
          <w:p w14:paraId="754B054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从知识图谱资源包选择具体的内容片段快速建立知识点，自动生成知识点名称，比如从资源包选择已有多门MOOC的章节名称、多本电子书本的目录片段和书本内结构化自动识别的概念集片段等自动创建知识点</w:t>
            </w:r>
          </w:p>
          <w:p w14:paraId="145349E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8）支持在知识地图展示界面上查看当前知识地图全部内容，同时支持对知识地图进行放大，缩小，定位到课程，展开/收缩节点，全屏显示。</w:t>
            </w:r>
          </w:p>
          <w:p w14:paraId="52D20B4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9）支持查看知识地图详情页，在知识地图上点击右键可以对知识地图上的节点进行编辑资源，同时支持在知识地图的节点上设置标签。</w:t>
            </w:r>
          </w:p>
          <w:p w14:paraId="5777EEC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10）支持统计课程内全部知识节点数量，资源总数量，测试题目数量，并以列表形式呈现结果。</w:t>
            </w:r>
          </w:p>
          <w:p w14:paraId="602C057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11）支持在统计资源总数的基础上，进一步统计引用课程总数，引用教材总数和本地上传资源总数，并以列表形式呈现结果。</w:t>
            </w:r>
          </w:p>
          <w:p w14:paraId="17AF3DF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12）支持提供足够的慕课资源进行引用，课程资源提供总量在10000门以上。</w:t>
            </w:r>
          </w:p>
          <w:p w14:paraId="17CAD6E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13）支持本地上传资源完成课程资源补充，上传资源类型包括pdf,ppt,mp4,doc,jpg,jpeg等常用文件格式。</w:t>
            </w:r>
          </w:p>
          <w:p w14:paraId="68C223B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14）引用过程中支持资源预览，引用完成后，支持查看和删除资源。</w:t>
            </w:r>
          </w:p>
          <w:p w14:paraId="405DBB5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15）支持统计单个知识点上的资源挂载数量，题目挂载数量，支持验证每个知识点的描述是否填充完整。</w:t>
            </w:r>
          </w:p>
          <w:p w14:paraId="63B0794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16）支持基于知识点基本信息的统计，计算知识点填充完成度，并以0%到100%的维度呈现。</w:t>
            </w:r>
          </w:p>
          <w:p w14:paraId="3E5F925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17）支持根据知识点名称搜索知识点，支持基于知识点类别筛选知识点。</w:t>
            </w:r>
          </w:p>
          <w:p w14:paraId="36BBE4B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18）支持自动生成知识点描述，描述需来源于大模型生成式人工智能提供的描述，描述字数应不少于20字。</w:t>
            </w:r>
          </w:p>
          <w:p w14:paraId="4E891AE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19）支持系统根据知识点建设的实际情况生成知识点建设进度，并给予清单协助观测全部建设概况。</w:t>
            </w:r>
          </w:p>
          <w:p w14:paraId="76CF719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7.知识图谱编辑</w:t>
            </w:r>
          </w:p>
          <w:p w14:paraId="1A66428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1）支持编辑知识点名称，知识点名称字数上限不少于30字。</w:t>
            </w:r>
          </w:p>
          <w:p w14:paraId="0FC05A0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2）支持编辑知识点别名，知识点别名字数上限不少于30字。</w:t>
            </w:r>
          </w:p>
          <w:p w14:paraId="1BB3A4C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3）支持设置知识点难度标签，难度应至少分为简单，一般，困难三档。</w:t>
            </w:r>
          </w:p>
          <w:p w14:paraId="18C21484">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4）支持设置知识点认知目标标签，应至少支持设置记忆，理解，应用，分析，评价，创造六级认知目标，并在此基础上自定义填写具体认知目标内容，自定义填写字数上限不少于30字。</w:t>
            </w:r>
          </w:p>
          <w:p w14:paraId="7106D5C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5）支持编辑知识点描述，支持富文本编辑，包括调整字体颜色，字号，字体底色，插入项目符号；支持插入网页链接，支持利用latex数学公式编辑器插入公式。</w:t>
            </w:r>
          </w:p>
          <w:p w14:paraId="7AF7140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在知识点描述的基础上，自由划选关键词并插入补充词条，关键词限制字数上限不少于10字，补充词条应包括词条标题，词条别名，词条内容，词条内容字数上限不少于100字。支持在系统中设置知识图谱相关字号大小，包含第一层主题字号、主题字号、子主题字号、知识点字号、与属性字号，设置完成后，知识图谱展示系统随设置字体大小进行显示。</w:t>
            </w:r>
          </w:p>
          <w:p w14:paraId="26F3BCC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基于知识点描述的内容，自动划选关键词并生成知识点补充词条，补充词条内容需来源于该知识点在课程所选教材中的描述，或是该关键词在百科中的描述，描述字数上限不少于20字，结果以文字形式呈现。</w:t>
            </w:r>
          </w:p>
          <w:p w14:paraId="5A90F10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8）支持在知识点中挂载资源，资源支持本地上传，格式包括jpg,txt,doc,ppt,mp4,pdf,rar等常见文件格式。</w:t>
            </w:r>
          </w:p>
          <w:p w14:paraId="59456754">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9）支持根据标题和全文内容搜索本地上传的学习资源，支持根据标题和全文内容进行本地上传的学习资源推荐。</w:t>
            </w:r>
          </w:p>
          <w:p w14:paraId="52228CB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除本地上传的资源外，平台应提供至少10000门慕课资源，20000本教材资源，以及从互联网上收集的网页资源，网页资源渠道应至少包括中国知网、知乎、哔哩哔哩弹幕视频网，且基于上述资源，提供搜索和推荐服务。</w:t>
            </w:r>
          </w:p>
          <w:p w14:paraId="6752521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11）支持在知识点上挂载题目，所有题目应来源于题库，且单个知识点题目限制最高挂载数量上限不少于10道。</w:t>
            </w:r>
          </w:p>
          <w:p w14:paraId="7CA181F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12）支持知识点编辑状态预览，预览界面应与学生端学习知识点界面保持一致。</w:t>
            </w:r>
          </w:p>
          <w:p w14:paraId="6986C8A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13）支持在编辑单个知识点教学资源时，支持通过AI核心算法利用人工智能技术自动推荐知识点相关的教学视频片段、电子教材片段，方便用户快速选择，丰富知识点资源，推荐的资源需要包含资源的名称、来自课程名称、学校名称、教师、章节信息、视频时长、引用状态，对不合适的视频资源可设置“不再推荐”</w:t>
            </w:r>
          </w:p>
          <w:p w14:paraId="44A5BFD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14）支持用户手动修改所引用的教学视频片段位置信息，对于视频资源可在视频时间轴上设置知识点片段的开始位置和截止位置，设置时能同时看到视频对应的时间戳；对于电子教材书籍可直接设置对应知识点内容片段的起点和终点。</w:t>
            </w:r>
          </w:p>
          <w:p w14:paraId="357C37D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 知识图谱展示</w:t>
            </w:r>
          </w:p>
          <w:p w14:paraId="2B7439C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1）支持通过环状图谱展示课程内全部的知识主题与知识点内容，系统支持最少2级环状结构展示。</w:t>
            </w:r>
          </w:p>
          <w:p w14:paraId="18271F8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2）支持快速引导显示知识点的学习路径，鼠标选中知识点后，系统会自动显示关联的知识学习路径 。</w:t>
            </w:r>
          </w:p>
          <w:p w14:paraId="7723F684">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3）支持通过快捷操作，快速选择全部层级或其中一层级知识点进行学习。</w:t>
            </w:r>
          </w:p>
          <w:p w14:paraId="6518C49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4）支持通过知识主题显示智慧课程中的个性化图谱内容，系统通过知识主题将全部知识点进行分割，并可单独针对每一个主题的知识体系进行详细展示。</w:t>
            </w:r>
          </w:p>
          <w:p w14:paraId="2E7B188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5）支持查看知识点详情内容，详情内容包含知识点的前后关系、知识点目录、知识点的学习顺序、知识点内容、知识点标签、知识关系汇总、知识点包含教学资源、知识点的简介。</w:t>
            </w:r>
          </w:p>
          <w:p w14:paraId="7C02DE9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6）支持通过AI系统对知识点进行自动描述，描述内容不低于60字。</w:t>
            </w:r>
          </w:p>
          <w:p w14:paraId="72B3760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7）支持系统自动生成知识点二维码，通过微信扫码，可快速预览知识点教学详情</w:t>
            </w:r>
          </w:p>
          <w:p w14:paraId="7C23E58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8）支持分享知识点链接，复制后的链接可直接激活知识点详情进行学习。</w:t>
            </w:r>
          </w:p>
          <w:p w14:paraId="4178C54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9）支持知识点收藏，用户可根据自身需求对知识点进行收藏与取消收藏等操作。</w:t>
            </w:r>
          </w:p>
          <w:p w14:paraId="598E6AC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10）支持通过AI技术自动构建知识点教案，通过AI技术，针对教学目标、教学重点难点、教学内容、教学方法、案例引入、扩展阅读、知识点测评等内容一键进行自动构建，每类信息自动构建不少于3条。</w:t>
            </w:r>
          </w:p>
          <w:p w14:paraId="6702A7C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★11）支持系统根据知识点建设的实际情况生成知识点建设进度，并给予清单协助观测全部建设概况。基于知识点进行其基本信息的统计，计算知识点填充完成度，并以0%到100%的维度呈现。</w:t>
            </w:r>
          </w:p>
          <w:p w14:paraId="3E00D74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9.新形态教材</w:t>
            </w:r>
          </w:p>
          <w:p w14:paraId="1702A2C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通过系统自动构建课程中知识点与章节知识点二维码或链接，并可免登录完成知识学习，学习内容包含动态知识图谱、知识点资源、知识点简介、知识点结构关系，资源内容可直接通过手机预览以上全部内容并学习。</w:t>
            </w:r>
          </w:p>
          <w:p w14:paraId="2486280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2）支持通过系统自动生成知识章节结构图内容。</w:t>
            </w:r>
          </w:p>
          <w:p w14:paraId="43AB222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 题库建设</w:t>
            </w:r>
          </w:p>
          <w:p w14:paraId="63FEE5C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1）题目题干支持富文本编辑，包括内容录入、图片录入、格式刷、字体更改、字号更改，支持插入链接，支持latex公式编辑器，支持上传任意格式附件，题干字数上限不少于1000字。</w:t>
            </w:r>
          </w:p>
          <w:p w14:paraId="584FAE1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2）答案解析支持富文本编辑，包括格式刷、字体更改、字号更改，插入链接，支持latex公式编辑器，支持上传任意格式附件，题干字数上限不少于1000字。</w:t>
            </w:r>
          </w:p>
          <w:p w14:paraId="6993A94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3）题目支持至少关联一门课程，关联课程时支持绑定至少一个知识点。</w:t>
            </w:r>
          </w:p>
          <w:p w14:paraId="09F01A3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4）题目类型至少包含单选题、多选题、判断题、填空题、问答题、组合题六类。</w:t>
            </w:r>
          </w:p>
          <w:p w14:paraId="5E2B215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单选题支持设置一个标准答案，支持新增答案选项，答案选项数量限制最高不少于12个，最低不多于2个，选项内容支持富文本，包括格式化、字体更改、字号更改，插入链接，支持latex公式编辑器，选项字数上限不少于50字，支持删除选项。</w:t>
            </w:r>
          </w:p>
          <w:p w14:paraId="6B44039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多选题支持设置多个标准答案，标准答案数量限制最高等同于选项个数，最低不多于2个，支持新增答案选项，答案选项数量限制最高不少于12个，最低不多于2个，选项内容支持富文本，包括格式刷、字体更改、字号更改，插入链接，支持latex公式编辑器，选项字数上限不少于50字，支持删除选项。</w:t>
            </w:r>
          </w:p>
          <w:p w14:paraId="76210E5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7）判断题支持设置一个标准答案，选项内容包括“对”和“错”两项。</w:t>
            </w:r>
          </w:p>
          <w:p w14:paraId="50689E6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填空题支持设置多个标准答案，标准答案数量上限最高不少于12个，下限不多于1个，答案内容支持富文本，包括格式化、字体更改、字号更改，插入链接，支持latex公式编辑器，选项字数上限不少于100字，支持删除选项。</w:t>
            </w:r>
          </w:p>
          <w:p w14:paraId="5886242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9）问答题支持设置一个标准答案，答案内容支持富文本编辑，包括格式刷、字体更改、字号更改，插入链接，支持latex公式编辑器，答案字数上限不少于1000字。</w:t>
            </w:r>
          </w:p>
          <w:p w14:paraId="70B074C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10）组合题支持在题目中设置多个题型的子题目，题型至少包括单选题、多选题、判断题、填空题和问答题，子题目数量上限不少于10道，支持调整子题目顺序，支持删除子题目。</w:t>
            </w:r>
          </w:p>
          <w:p w14:paraId="31B039A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11）支持通过word和Excel模板导入的形式新建题目，支持下载导入模板，支持基于模板自动识别试题，并返回识别结果，支持选择部分试题进行导入，支持对识别后的试题进行修改。</w:t>
            </w:r>
          </w:p>
          <w:p w14:paraId="2D840EF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（二）AI智慧空间应用服务</w:t>
            </w:r>
          </w:p>
          <w:p w14:paraId="7128105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 课程智能体</w:t>
            </w:r>
          </w:p>
          <w:p w14:paraId="43A2AFA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课程平台建设特色AI控制台，以课程为中心，以教学者为主体，协助教学者进行AI相关功能控制。控制台从教学者角度设定AI工具进行增效、设置AI指令便捷助学、构建特色化AI智能体解惑除忧；从学习者角度进行AI课程助教塑造，全面完善AI助教问答技能，精细化AI助教形象描绘，实现实时反馈学习者协同AI助教学习满意度情况，闭环训练AI助教学习模型。AI控制台支持全面统计课程在教与学两个角度中的AI交互数据，并可视化呈现学生AI助教交互数据的学年趋势变化曲线，让智能技术与教学进行高度融合，实现降本增效。</w:t>
            </w:r>
          </w:p>
          <w:p w14:paraId="575E60B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首页简洁呈现了引导式学习的核心理念：结合苏格拉底式提问法与布鲁姆认知模型，通过六个层次的问题引导你深入理解知识。在介绍下方，依据课程内容设有三个引导性问题，支持用户点击引导性问题或在下方输入框中提问，启动互动问答。页面顶部提供历史问答记录查看功能，便于用户回顾与整理学习过程中的关键信息。平台呈现“智能体中心”入口，支持用户通过此入口查看已发布的智能体，或根据课程需求创建新的智能体。</w:t>
            </w:r>
          </w:p>
          <w:p w14:paraId="17DAB3F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智能体编辑功能支持用户根据需求定制智能体的角色、技能和限制，定义智能体的功能定位。用户可以设置智能体名称、角色描述、技能范围及服务限制，从而明确其功能定位。该功能还支持提供智能体简介，帮助用户快速了解其核心功能。同时，支持设置开场白和引导问题，以优化用户与智能体的互动体验。后续每次回复用户的问题，智能体必须每次反问问题协助学生完成引导式学习。智能体的知识库支持通过添加文件进行扩展，以增强信息提供的准确性和全面性。支持发布前的调试与预览功能，允许用户在正式发布前进行调整和查看效果，确保内容的准确性和展示效果。</w:t>
            </w:r>
          </w:p>
          <w:p w14:paraId="39D8A9B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进入问答流程后，系统将根据布鲁姆认知模型，所有问答内容均支持用户对回答进行推荐、反推荐、复制或重新生成。通过这些功能，支持系统不断学习和适应用户的行为模式，以更好地满足课程需求并优化智能体的表现。</w:t>
            </w:r>
          </w:p>
          <w:p w14:paraId="454C384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 课程知识库</w:t>
            </w:r>
          </w:p>
          <w:p w14:paraId="4BD27C9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多类型文件解析：可对教材书籍、教学视频、教案课件、相关论文等多种文件格式进行解析。通过运用专业的解析算法与技术，能够有效提取各类文件中的关键信息，实现知识资源的整合，为后续的知识管理与应用提供基础数据支持。</w:t>
            </w:r>
          </w:p>
          <w:p w14:paraId="6DFA3DC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海量字符解析：具备强大的字符解析能力，能够处理百万级别的字符量。借助先进的自然语言处理技术，系统可对文档内容进行深度挖掘，精准识别语法结构、语义关系等，确保对文档知识的准确理解与提取，为知识体系的构建提供文档数据。</w:t>
            </w:r>
          </w:p>
          <w:p w14:paraId="49FE88E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3）支持图片提取：能够从各类资源中自动提取图片，图片提取数量可达数百张。运用图像识别技术，系统可精准定位并提取资源中的图片，提取后的图片可用于辅助知识呈现，为知识的可视化表达提供素材。</w:t>
            </w:r>
          </w:p>
          <w:p w14:paraId="0A2284B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知识点同步与梳理：支持知识点的同步操作，涵盖知识点的提取、描述以及知识点之间关系的梳理。系统可同步上百个知识点，通过构建知识图谱等方式，将知识点系统化，呈现清晰的知识架构，方便用户对知识进行系统学习与深入研究。</w:t>
            </w:r>
          </w:p>
          <w:p w14:paraId="5510760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 AI 知识库资源解析与应用：AI 知识库内的资源经解析后，可被课程专属 AI 助教和智能体利用，借助先进解析技术，确保资源能够被精准处理，协助AI智能体生成更精准的回答，在回答时，答案从知识库中进行回复，并且根据知识库所包含的内容，给予用户生成文字回复、参考来源（参考来源需来自本课程知识库中的资源）、关联知识点（知识点可跳转至知识点画像，了解知识点关系、名称、内容、资源、题目等）、参考教材片段（需定位到与知识点关联的教材位置）、相关学习资源（包含视频、PPT、文档等）、推荐学习路径、与其他感兴趣的问题，并在显著位置明确显示【回复答案来源于课程知识库】。</w:t>
            </w:r>
          </w:p>
          <w:p w14:paraId="0003981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资源分类管理：拥有完善的资源分类管理功能，可将资源按照知识图谱资源、课程总资源等不同类别进行划分与管理。在每个类别下，还能进一步细分不同主题，形成层次分明的资源分类体系，方便用户快速定位和查找所需知识领域的资源。</w:t>
            </w:r>
          </w:p>
          <w:p w14:paraId="68B70C7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智能资源搜索：提供智能资源搜索功能，用户通过输入关键词、短语等方式，即可快速检索所需资源。系统利用智能算法，具备智能匹配与精准定位能力，能够在海量资源中迅速筛选出相关资源，并按照相关性等因素进行排序展示，提升资源查找效率。</w:t>
            </w:r>
          </w:p>
          <w:p w14:paraId="21A8C30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8）支持便捷资源添加：设有专门的资源添加模块，支持单次添加1G以内的资源，支持多种资源添加方式，包括但不限于视频、图谱、音频、PPT、文档。</w:t>
            </w:r>
          </w:p>
          <w:p w14:paraId="5771F84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9）支持广泛资源类型涵盖：课程总资源模块包含视频、音频、图片、文档、PPT、教材书籍及其他多种资源类型。</w:t>
            </w:r>
          </w:p>
          <w:p w14:paraId="218DB64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支持资源数量与大小统计：支持清晰呈现各类资源的数量及大小信息，如各类型资源的数量以及它们各自对应的存储空间大小等。直观了解资源库的存储情况，便于进行资源管理、空间规划以及资源使用评估。</w:t>
            </w:r>
          </w:p>
          <w:p w14:paraId="7C57911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11）支持资源详情查看：支持针对每种资源类型，设置便捷的操作按钮。用户点击按钮后，可快速进入相应资源的详细查看界面。</w:t>
            </w:r>
          </w:p>
          <w:p w14:paraId="1F774AD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12）支持文件资源预览：支持针对某一类资源类型下的单个具体资源进行预览查看操作，且可以查看该资源的处理状态、上传人、更新时间等信息。</w:t>
            </w:r>
          </w:p>
          <w:p w14:paraId="563A2B0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13）支持知识库资源汇总展示：能够汇总展示知识库内各类资源数量，包括但不限于文件解析数、知识点同步数、字符解析数、图片提取数以及音视频时长。</w:t>
            </w:r>
          </w:p>
          <w:p w14:paraId="17D447F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14）支持资源详情展示：详细展示每个资源的相关信息，包括但不限于资源名称、文件大小、创建时间、文件格式等。这些详细信息有助于用户在选择和使用资源时，全面了解资源的基本情况，从而做出合理的资源使用决策。</w:t>
            </w:r>
          </w:p>
          <w:p w14:paraId="0F58765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15）支持多样化资源展示形式：支持文档、图片、音视频等多种资源展示形式。系统根据不同资源类型的特点，采用相应的展示方式，如文档的高亮显示、音视频的倍速播放等，以适应不同用户的学习习惯和资源查看需求。</w:t>
            </w:r>
          </w:p>
          <w:p w14:paraId="4FC5FBE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 课程特色AI指令</w:t>
            </w:r>
          </w:p>
          <w:p w14:paraId="0633D3B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系统运用人工智能技术，依托海量数据资源底座，构建了基于深度学习、多模数据分析、多类数据融合、多维数据挖掘等数据分析算法，通过生成式AI工具，支持基于教师提问问题的动态问答，为教师提供个性化的教学辅导和即时反馈，帮助教师优化教学方法和内容。同时支持提供基于问题答案的溯源、关联知识点推荐，并支持教师对回答进行推荐、不推荐、重新生成、复制四类操作。其次通过适应性提问技术，快速识别教学需求，并提供个性化的知识点学习路径和相关资源推荐，支持关联性、进阶性的问题推荐，辅助深度学习。并采用递归神经网络等深度学习模型支持多轮问答显著提升问答效率与准确性。</w:t>
            </w:r>
          </w:p>
          <w:p w14:paraId="6AE04AF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★2）支持AI知识库资源解析与应用：AI知识库可解析文字、图谱、视频多模态资源，解析后可被课程专属AI助教和智能体利用生成更精准的回答，【问答模型可支持不低于3种】。</w:t>
            </w:r>
          </w:p>
          <w:p w14:paraId="19C7D5E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系统基于教师AI效率工具使用频次数据，进行AI效率工具的推送，页面默认展示4个最常用的效率工具，点击“换一换”可进行工具更新，合计支持AI生成教案、AI出题、AI批阅、AI自动出卷等辅助备课、出题与评估、资源与科研3类18种工具推送；点击某一AI工具，可跳转对应的AI工具页面直接使用。</w:t>
            </w:r>
          </w:p>
          <w:p w14:paraId="0455FDF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课程智能体技能设置，可设置智能体简介、引导问题不少于3个、智能体设定不低于5000字、智能体关联的知识库，支持与课程图谱引擎相关联，包括知识图谱、问题图谱、课程能力目标，用户能够选择回复的模型不低于4个，并设置能够使用和编辑智能体的对象支持用户根据需求定制智能体的角色、技能和限制，定义智能体的功能定位。同时，支持设置智能体开场白和引导问题，其相关知识库支持通过添加文件进行扩展。支持发布前的调试与预览功能，允许用户在正式发布前进行调整和查看效果和展示效果，形成的智能体可选择是否给学生使用或教师专用。</w:t>
            </w:r>
          </w:p>
          <w:p w14:paraId="4453724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教师在各指令分组下创建个人专属课程特色指令，包含标准指令及高级指令两种指令创建模式，其中标准指令创建支持输入指令标题及指令内容描述，形成标准化固定问题，高级指令创建是在标准指令的基础上增加指令变量的输入，形成半开放式引导性问题，支持个性化的提问方式。支持教师创建指令后选择是否将指令对学生开放使用，辅助学生问题导向性学习。</w:t>
            </w:r>
          </w:p>
          <w:p w14:paraId="1D51420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基于具体指令的问答式学习，对于标准指令可直接提问，对于高级指令可直接进行变量指标的输入，提供千人千面的个性化引导式提问服务，AI小助手将依托大模型的深度学习、AIGC能力，智能生成问题答案，教师可对AI助手的回答进行推荐、不推荐、重新生成、复制四类操作。</w:t>
            </w:r>
          </w:p>
          <w:p w14:paraId="3BCABF5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 AI工具箱</w:t>
            </w:r>
          </w:p>
          <w:p w14:paraId="16DA6C1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根据知识点推荐相关学术资源，包括但不限于视频、论文、学术报告等。AI能够实现对公开领域及第三方资源的搜索与发现，如校外慕课、学术文献、网站资源等，用户可通过点击快速跳转至相关链接。支持可以实现推荐来源的个性化设置，用户可自主选择推荐内容的来源，并定制常用网站的关注模块。</w:t>
            </w:r>
          </w:p>
          <w:p w14:paraId="1C8C216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2）支持从既往发布的作业测验、学习任务或话题讨论中提取学生作业或考试内容，分析其重复率，从而实现学习行为的监测与评估。</w:t>
            </w:r>
          </w:p>
          <w:p w14:paraId="6A74488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总结用户在一周内的教学和AI使用情况，包括AI指令、工具及智能体的使用频率，以及教学任务发布与课堂表现数据。页面支持指出用户在课堂互动和传统教学方式中可能存在的利用不足，并支持自由检索查看往期周报，能够根据既往和当前周内数据提出平衡技术与传统教学的建议，以优化学生参与度和学习体验。</w:t>
            </w:r>
          </w:p>
          <w:p w14:paraId="2DB280A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4）支持通过课程电子参考书、教学课件、慕课视频、学术论文、课程教案等原始素材，AI高效且精确地提取关键信息并进行结构化处理，从而自动构建初步的课程知识图谱。</w:t>
            </w:r>
          </w:p>
          <w:p w14:paraId="0A30C95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5）支持生成树状图谱和网状图谱，采用多元化的形式对素材内容及知识点间的关系进行结构化和可视化呈现，并提供对知识网络的二次编辑功能。</w:t>
            </w:r>
          </w:p>
          <w:p w14:paraId="5BD7734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利用AI一键生成知识点思政案例，助力课程备课，支持针对课程内容以搜索框形式发布AI生成思政案例指令，支持查看AI动态推荐的不少于5条的课程思政点列表并点击操作，支持查看一个月内AI生成思政案例的历史记录，包括思政点及不少于三行的内容预览。</w:t>
            </w:r>
          </w:p>
          <w:p w14:paraId="1A2BBAE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7）支持点击搜索框，通过直接键入内容的方式，或者通过查看完整的知识点及知识点下游节点列表，点击目标内容进行一键生成，其中列表支持手动下滑。</w:t>
            </w:r>
          </w:p>
          <w:p w14:paraId="78499FC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支持针对每个思政案例生成任务，支持查看至少一个AI思政案例的详情内容，包含案例序号、与知识点结合的案例名称、详细文本内容描述、思政元素的分点提炼与逐点论证说明，以及教学价值的分点分析。支持在线所见内容以Word文本格式一键导出，进行二次编辑。</w:t>
            </w:r>
          </w:p>
          <w:p w14:paraId="05D4B8A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支持AI出题功能支持根据知识点及参考内容两种出题模式。根据知识点出题模式支持教师针对教学课程图谱中选择指定知识点（一套题中最多支持选择3个知识点），系统参考知识点教学内容生成与知识点相关的题目，该出题模式支持普通模式及知识库模式两种模式；根据参考内容出题模式支持自定义的文本描述或上传的参考资料，基于相关内容生成题目。两种出题模式皆支持单选题、多选题、判断题、填空题四种题型下的单一题型出题及混合式题型出题，支持理论题、计算题、外文题三种出题偏好设置，在选择题中，AI生成不少于5个答案选项供用户使用。也可根据需求，在生成题目的结果页面选择切换模式，一键通过不同模式生成全新题目。针对生成的题目，支持所有题目或单个题目重新生成和加入题库，支持一键导出所有题目，针对某一题点击加入题库支持对题干、答案、解析、问题类型、问题难度、问题关联知识点、问题标签进行编辑或设置，同时支持跳过此题、保存并退出、保存并添加下一题三种操作。</w:t>
            </w:r>
          </w:p>
          <w:p w14:paraId="7B46CF8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AI自动出卷功能支持根据知识点及知识模块两种出卷模式，即支持根据单个知识点或多个知识点创建测试卷或根据知识模块整合知识点出卷，其中一套试卷最多支持选择10个知识点、5个知识模块，系统支持单选题、多选题、判断题、填空题四种题型下的单一题型出题及混合式题型出题，支持进行各类题型的数量设置，支持理论题、计算题、外文题三种出题偏好设置，同时支持教师进行试卷总分的设置。针对生成的题目，支持所有题目及单个题目重新生成，支持教师进行题目题干、答案、解析、问题类型、问题难度、问题关联知识点、问题标签进行编辑或设置，进行题目审核，审核后的题目支持批量加入题库并生成试卷</w:t>
            </w:r>
          </w:p>
          <w:p w14:paraId="0E4325D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11）支持AI批阅功能跳转至教学任务工具中的题库，通过手动新增、Word导入、Excel导入三种形式新增题目，支持进行试题的标签管理、题目去重、OCR识别、试题导出，导出试题支持以Excel形式下载保存在本地。同时支持通过题目ID、题目关键词、试题类型、试题标签、审批人、审核状态、解析状态、关联状态、关联知识点、题目序号范围、OCR识别状态、题型、难度、题目来源进行题目筛选。针对题目维度，支持题目详情查阅及批量进行题目编辑、知识点关联、试题类型设置、标签设置等个性化设置。针对单选题、多选题、判断题，AI批阅工具将依据答案进行自动批阅，针对问答题及翻译题，支持教师前往对应题目设置AI采分点，AI批阅工具将依据采分点进行试题的自动批阅，如AI会对每一个采分点给出评语与对应分数，同时AI会基于当前答案给予建议分数，并给出合理理由，用户可根据需求对分数进行调整。</w:t>
            </w:r>
          </w:p>
          <w:p w14:paraId="3430578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12）支持AI模型学习，课程AI模型实时观测学习端与AI交互问答内容，支持从问题内容、AI回复详情、评价、调优等层面进行记录，利用特定学习端集合的AI互动记录进行反馈训练；支持从教学端进行收集内容反馈并提出调整意见，结合教学端专业教学经验调整内容进行多次模型训练，进一步再次反馈到学习端，实现“学-教-学”的方式闭环训练个性化AI模型，确保模型具备基础准确性和适用性，最终构建课程私有问答库，有效进行特色教学、个性化教学。</w:t>
            </w:r>
          </w:p>
          <w:p w14:paraId="0CF0106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13）支持AI阅读助手，借助人工智能技术快速分析、整合本地上传文件资源内容，支持AI阅读器自动解析文件框架并提取适配教案内容；支持AI问答定位文件中的关键信息，精准反馈相关研究内容详情；支持以AI学习笔记形式提取文件构建逻辑、重难点等内容，符合传统笔记记录要求；支持以笔记导图自动梳理文件结构层次，可视化呈现文件资源中的丰富内容；支持自动拆析文件中关键内容，并匹配与其相关的多模态资源，方便教学者进行资源查找、匹配、对比等操作。</w:t>
            </w:r>
          </w:p>
          <w:p w14:paraId="19AE5B4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14）支持AI写作助手，支持辅助教学者与学习者对课程相关内容进行特色写作，明确写作主题、提出具体的写作内容要求、上传本地写作参考文档，AI会识别关键信息、分析参考内容，根据预设的写作规则与逻辑，智能生成条理清晰、层次分明的大纲结构，还会考虑内容的连贯性与吸引力，确保大纲既高效又富有创意。同时支持在生成内容基础上调整或细化各个部分，为课程使用者提供灵感、优化建议，确保最终产出的作品既符合需求，同时具有个性与深度。</w:t>
            </w:r>
          </w:p>
          <w:p w14:paraId="5B31BD8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15）支持AI科研趋势分析，支持利用AI进行对课程发展相关内容进行科研趋势分析，深度挖掘科学知识点、论文信息数量以及电子书资源，从而提供精准的推荐和全面的趋势洞察。</w:t>
            </w:r>
          </w:p>
          <w:p w14:paraId="25D8C4E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16）支持根据输入内容整合并分析海量的科研数据，包括各大论文库中的研究成果，通过自然语言处理和机器学习算法，提取出关键的科学知识点，并根据其被引用频率、研究热度等指标进行权重排序，教学者可以迅速把握课程在某一领域内的核心概念和发展脉络。</w:t>
            </w:r>
          </w:p>
          <w:p w14:paraId="0B7F50E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17）支持统计并分析特定主题或关键词下的论文数量，随时间变化的趋势，以及这些论文的来源、作者、机构等详细信息。AI还能够根据用户的兴趣和研究方向，智能推荐相关的电子书资源。这些电子书可能包含最新的科研成果、经典的学术著作或跨学科的综合论述，有助于科研人员拓宽视野、深化理解。</w:t>
            </w:r>
          </w:p>
          <w:p w14:paraId="0237715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18）支持对搜索的知识点进行年度方向趋势分析。通过对过去几年内相关论文、专利、项目等数据的挖掘和整理，预测出未来一段时间内某一领域可能的发展方向和热点话题，辅助教学者选择研究方向、制定长期教学规划。</w:t>
            </w:r>
          </w:p>
          <w:p w14:paraId="64F15C6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19）支持查看人工设定的课程能力目标详情，并在此顺序基础上一键点击，由AI根据课程知识内容自动补充其他能力目标画像，组合成完整能力目标体系，对于人工及AI生成部分均能够查看各级能力名称及描述，AI能力目标在生成基础上还支持进行包括名称百字以内、描述千字体量的自由编辑、一键清空，或是整体删除操作；支持在人工+AI内容呈现上，进行人工内容的二次新增和内容补充；完成所有内容调整后，支持保存或取消全部编辑内容。</w:t>
            </w:r>
          </w:p>
          <w:p w14:paraId="0979176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20）支持内容生成，除能力名称界定和文本描述外，还支持同步自动关联支撑各能力提升的课程知识点及课程简单问题集的有关内容，支持对默认关联内容，以结构化列表清单形式进行勾选，实现知识内容、完整问题集内容的快捷删减或新增，完成以课程实际情况为准的二次设定；勾选时既支持以层级为单位向下兼容，便捷整体选择，也支持以最小节点单位进行单点勾选，满足精准选择需求。配备能力目标菜单目录，支持在目录内查看各级能力名称，以主能力为单位进行收缩，便于一览全局，进行整体性调整；支持点击目录节点，同步跳转到对应能力详情内容。</w:t>
            </w:r>
          </w:p>
          <w:p w14:paraId="2942438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w:t>
            </w:r>
            <w:r>
              <w:rPr>
                <w:rFonts w:ascii="宋体" w:hAnsi="宋体" w:cs="仿宋"/>
                <w:kern w:val="0"/>
                <w:szCs w:val="21"/>
                <w:lang w:eastAsia="zh-Hans"/>
              </w:rPr>
              <w:t>1</w:t>
            </w:r>
            <w:r>
              <w:rPr>
                <w:rFonts w:hint="eastAsia" w:ascii="宋体" w:hAnsi="宋体" w:cs="仿宋"/>
                <w:kern w:val="0"/>
                <w:szCs w:val="21"/>
                <w:lang w:eastAsia="zh-Hans"/>
              </w:rPr>
              <w:t>）支持AI生成能力部分或人工二次新增内容，支持以每个子能力为单位，提供标签设定工具，支持自由键入标签内容，随加随看，一键删减；对于长标签，在美观性的缩略显示基础上，支持便捷查看完成标签内容。</w:t>
            </w:r>
          </w:p>
          <w:p w14:paraId="2ACCD8E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w:t>
            </w:r>
            <w:r>
              <w:rPr>
                <w:rFonts w:ascii="宋体" w:hAnsi="宋体" w:cs="仿宋"/>
                <w:kern w:val="0"/>
                <w:szCs w:val="21"/>
                <w:lang w:eastAsia="zh-Hans"/>
              </w:rPr>
              <w:t>2</w:t>
            </w:r>
            <w:r>
              <w:rPr>
                <w:rFonts w:hint="eastAsia" w:ascii="宋体" w:hAnsi="宋体" w:cs="仿宋"/>
                <w:kern w:val="0"/>
                <w:szCs w:val="21"/>
                <w:lang w:eastAsia="zh-Hans"/>
              </w:rPr>
              <w:t>）支持创需PPT支持通过列表勾选知识点、新增上传文件、生成教案进行一键PPT生成。知识点列表路径，可查询完整章节及知识点名称，并能够章节为单位收缩，自由勾选知识点，勾选内容支持同步呈现、保留斟酌，并进行二次删除和添加，以确定最终目标知识点；文件生成模式，除传统文档外，支持识别思维导图等轻量化文件，支持一键拖拽或查询文件路径找寻文件；生成教案模式支持直接勾选目标教案。</w:t>
            </w:r>
          </w:p>
          <w:p w14:paraId="44A8537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w:t>
            </w:r>
            <w:r>
              <w:rPr>
                <w:rFonts w:ascii="宋体" w:hAnsi="宋体" w:cs="仿宋"/>
                <w:kern w:val="0"/>
                <w:szCs w:val="21"/>
                <w:lang w:eastAsia="zh-Hans"/>
              </w:rPr>
              <w:t>3</w:t>
            </w:r>
            <w:r>
              <w:rPr>
                <w:rFonts w:hint="eastAsia" w:ascii="宋体" w:hAnsi="宋体" w:cs="仿宋"/>
                <w:kern w:val="0"/>
                <w:szCs w:val="21"/>
                <w:lang w:eastAsia="zh-Hans"/>
              </w:rPr>
              <w:t>）支持根据不同内容来源，AI梳理形成PPT构建大纲，分层级进行结构化的完整展示，并支持从第二层级向下进行整体收缩，便于逐层确定整体框架；支持以层级为单位进行拖拽，以及对各层级内容进行自由编辑，并实现编辑的即时自动保存。</w:t>
            </w:r>
          </w:p>
          <w:p w14:paraId="4FD3127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w:t>
            </w:r>
            <w:r>
              <w:rPr>
                <w:rFonts w:ascii="宋体" w:hAnsi="宋体" w:cs="仿宋"/>
                <w:kern w:val="0"/>
                <w:szCs w:val="21"/>
                <w:lang w:eastAsia="zh-Hans"/>
              </w:rPr>
              <w:t>4</w:t>
            </w:r>
            <w:r>
              <w:rPr>
                <w:rFonts w:hint="eastAsia" w:ascii="宋体" w:hAnsi="宋体" w:cs="仿宋"/>
                <w:kern w:val="0"/>
                <w:szCs w:val="21"/>
                <w:lang w:eastAsia="zh-Hans"/>
              </w:rPr>
              <w:t>）支持同步对照查看大纲与AI生成PPT的预览效果，并对大纲中层级内容进行位置和文本内容的二次编辑，应用后即时反馈在PPT预览中；AI生成PPT支持自动匹配课程内容相关页面主题，包含封面页、章节过渡页、结尾页等结构型页面，以及知识内容性页面，排版讲求标题、关键字句、图片的一体配置；支持页面轴与当前主页面的查看，点击页面轴可以实现页面跳转。</w:t>
            </w:r>
          </w:p>
          <w:p w14:paraId="284C5E4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w:t>
            </w:r>
            <w:r>
              <w:rPr>
                <w:rFonts w:ascii="宋体" w:hAnsi="宋体" w:cs="仿宋"/>
                <w:kern w:val="0"/>
                <w:szCs w:val="21"/>
                <w:lang w:eastAsia="zh-Hans"/>
              </w:rPr>
              <w:t>5</w:t>
            </w:r>
            <w:r>
              <w:rPr>
                <w:rFonts w:hint="eastAsia" w:ascii="宋体" w:hAnsi="宋体" w:cs="仿宋"/>
                <w:kern w:val="0"/>
                <w:szCs w:val="21"/>
                <w:lang w:eastAsia="zh-Hans"/>
              </w:rPr>
              <w:t>）支持对PPT主题风格进行AI推荐，点击预览主页效果实现一键主题风格替换，若推荐风格不合适，支持进行多次推荐。</w:t>
            </w:r>
          </w:p>
          <w:p w14:paraId="14D09B84">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w:t>
            </w:r>
            <w:r>
              <w:rPr>
                <w:rFonts w:ascii="宋体" w:hAnsi="宋体" w:cs="仿宋"/>
                <w:kern w:val="0"/>
                <w:szCs w:val="21"/>
                <w:lang w:eastAsia="zh-Hans"/>
              </w:rPr>
              <w:t>6</w:t>
            </w:r>
            <w:r>
              <w:rPr>
                <w:rFonts w:hint="eastAsia" w:ascii="宋体" w:hAnsi="宋体" w:cs="仿宋"/>
                <w:kern w:val="0"/>
                <w:szCs w:val="21"/>
                <w:lang w:eastAsia="zh-Hans"/>
              </w:rPr>
              <w:t>）支持对AI生成PPT内容进行结果管理，对于整体不合适的进行一键删除，并配备二次确认防止误删，对于基本符合预期的内容进行一键整体导出为PPT格式，以便于进行功能丰富与个性的编辑操作；支持同步留存历史生成记录，查看历史生成内容的名称、效果及更新时间，提供多次编辑可能。</w:t>
            </w:r>
          </w:p>
          <w:p w14:paraId="0B0ACE3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w:t>
            </w:r>
            <w:r>
              <w:rPr>
                <w:rFonts w:ascii="宋体" w:hAnsi="宋体" w:cs="仿宋"/>
                <w:kern w:val="0"/>
                <w:szCs w:val="21"/>
                <w:lang w:eastAsia="zh-Hans"/>
              </w:rPr>
              <w:t>7</w:t>
            </w:r>
            <w:r>
              <w:rPr>
                <w:rFonts w:hint="eastAsia" w:ascii="宋体" w:hAnsi="宋体" w:cs="仿宋"/>
                <w:kern w:val="0"/>
                <w:szCs w:val="21"/>
                <w:lang w:eastAsia="zh-Hans"/>
              </w:rPr>
              <w:t>）支持通过列表查询课程已建设知识模块，勾选单个或多个目标；支持结合课程性质和目标设定，选择理论概念、方法推导、案例解析、时政热点不同的问题偏好，一键生成场景问题集；支持查看历史生成记录，包括模块名称及不少于三行的内容预览。</w:t>
            </w:r>
          </w:p>
          <w:p w14:paraId="5A1DBDD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w:t>
            </w:r>
            <w:r>
              <w:rPr>
                <w:rFonts w:ascii="宋体" w:hAnsi="宋体" w:cs="仿宋"/>
                <w:kern w:val="0"/>
                <w:szCs w:val="21"/>
                <w:lang w:eastAsia="zh-Hans"/>
              </w:rPr>
              <w:t>8</w:t>
            </w:r>
            <w:r>
              <w:rPr>
                <w:rFonts w:hint="eastAsia" w:ascii="宋体" w:hAnsi="宋体" w:cs="仿宋"/>
                <w:kern w:val="0"/>
                <w:szCs w:val="21"/>
                <w:lang w:eastAsia="zh-Hans"/>
              </w:rPr>
              <w:t>）支持对多个知识模块目标生成的问题集进行分区呈现，每个问题集包含完整的全局层、概念层、方法层三个层次问题名称，对方法层问题提供AI自动知识点关联推荐；对生成内容支持成果评价，包括对不合适内容进行重新生成，对合适内容融入当前课程已建设问题集，以及点赞差评，支撑AI进行进一步优化。</w:t>
            </w:r>
          </w:p>
          <w:p w14:paraId="67CEFAEE">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29</w:t>
            </w:r>
            <w:r>
              <w:rPr>
                <w:rFonts w:hint="eastAsia" w:ascii="宋体" w:hAnsi="宋体" w:cs="仿宋"/>
                <w:kern w:val="0"/>
                <w:szCs w:val="21"/>
                <w:lang w:eastAsia="zh-Hans"/>
              </w:rPr>
              <w:t>）支持对需要融入当前课程已建设问题集的AI推送内容，支持逐层逐个进行完整的自主编辑，包括问题名称、解析的编辑补充、问题及答案的附件上传，标签设定、下级问题与知识点关联等操作，支持一键保存至问题图谱。</w:t>
            </w:r>
          </w:p>
          <w:p w14:paraId="5A0A78E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（三）教学空间服务</w:t>
            </w:r>
          </w:p>
          <w:p w14:paraId="29963E5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 AI工作台</w:t>
            </w:r>
          </w:p>
          <w:p w14:paraId="3F85AD5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1）支持搭建教师端个人工作空间，提供班级管理、发布任务、教学观测等功能。</w:t>
            </w:r>
          </w:p>
          <w:p w14:paraId="1460441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 支持在教学空间中，快速开启教学活动，教学活动包含：完善课程内容、创建教学班级、发布教学任务、学生自主测试、PPT智能备课、发布课后测验、学生成绩管理、课程教学观测、学生画像分析等相关内容。</w:t>
            </w:r>
          </w:p>
          <w:p w14:paraId="4E64A23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3）支持用户通过完善课程内容，进入到课程中，根据教学需求，对已有知识体系进行内容增加、修改、关联等相关操作</w:t>
            </w:r>
          </w:p>
          <w:p w14:paraId="6E780E6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4）支持用户根据教学需要，针对学生进行班级创建，创建班级后系统可跟踪班级情况。</w:t>
            </w:r>
          </w:p>
          <w:p w14:paraId="529867C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5）支持用户发布课前任务相关教学活动，通过教学任务发布，学生了解课前必须掌握的知识点名字、内容及相关掌握情况，老师可实时查看知识点任务学习数据。</w:t>
            </w:r>
          </w:p>
          <w:p w14:paraId="3BCC13F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6）支持学生自主练习并观测数据，学生可针对每个知识点维度进行题目专项练习，练习内容包含单选题、多选题、判断题、填空题等，并通过系统自动批阅，换算学生对于知识掌握的情况，给予学生响应反馈。</w:t>
            </w:r>
          </w:p>
          <w:p w14:paraId="7E3380A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7）支持将知识图谱相关内容与PPT插件结合，辅助老师日常备课。</w:t>
            </w:r>
          </w:p>
          <w:p w14:paraId="5E6C555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8）支持教师发布课后测试，测试发布后，根据教师设置，选择对应知识点，并快速组建试卷，完成测试等教学活动。</w:t>
            </w:r>
          </w:p>
          <w:p w14:paraId="44AE0DA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9）知识教学观测，可通过多个维度进行教学运行观测，如知识点掌握度、学习进度、学生整体数据与成绩等。</w:t>
            </w:r>
          </w:p>
          <w:p w14:paraId="2C00B75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10）支持基于学习数据针对学生画像进行分析，分析可从多个维度进行测算，包含知识点掌握度、知识点学习进度、知识点学习时长、知识点学习次数、知识点练习时长、知识点练习次数等。</w:t>
            </w:r>
          </w:p>
          <w:p w14:paraId="30C8D25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11）支持通过统计本课程的基础教学数据，包含：课程数量、班级数量、学生数量、学习任务数量与课程学习人次。</w:t>
            </w:r>
          </w:p>
          <w:p w14:paraId="508FD70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12）支持通过AI助教协助老师梳理课程基本信息，包括班级内掌握度低于60%的学生学情数据、知识点任务教学情况、知识点学习掌握度情况。</w:t>
            </w:r>
          </w:p>
          <w:p w14:paraId="7AD4DF0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13）支持结合全国优秀高校教师的实际教学情况，引导用户完成教学流程。</w:t>
            </w:r>
          </w:p>
          <w:p w14:paraId="7BAC8B0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14）支持统计教学班级情况，包含班级内的教学运行数据、教学运行周期数据、知识点平均掌握度与学习趋势、课程内全部知识点的掌握度情况与薄弱知识点情况。</w:t>
            </w:r>
          </w:p>
          <w:p w14:paraId="514D733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15）支持智慧课程展示AI智慧空间，在AI智慧空间中统计本课程下相关智能体、课程特色AI指令、AI工具的总体使用情况，如：智能体总使用次数、建设学校、智能体的引导对话、同时统计本课程下所有智能体的累积使用次数。在课程特色AI指令中，构建不少于12个AI指令，同时统计每个AI指令总体的学习使用人次情况，并通过AI助教统计本课程AI指令累计使用次数。在AI工具中，构建不少于12个AI工具，并统计每个AI教学工具的使用次数。</w:t>
            </w:r>
          </w:p>
          <w:p w14:paraId="6E9B3E6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16）支持动态统计本课程中AI工具使用排行榜，根据每天实际课程使用情况，动态获取用户常用AI工具，并通过排行榜帮助管理者了解课程当前运行情况。</w:t>
            </w:r>
          </w:p>
          <w:p w14:paraId="0C556BF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★17）支持学校选课申请，对于非本课程团队人员，如对课程内容感兴趣，课通过学校选课申请渠道，申请使用本课程教学内容，申报时，课支持通过学校维度为学生选课，也可通过个人维度申请学生选课。</w:t>
            </w:r>
          </w:p>
          <w:p w14:paraId="59A326D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18）支持AI助教满意度分析，通过智慧课程日常各个应用场景，收集学生对于课程AI助教的使用满意度，并通过百分比进行满意度分析。</w:t>
            </w:r>
          </w:p>
          <w:p w14:paraId="37A57E1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19）支持AI形象设定，教学团队可自定义本课程AI助教的个性化形象，在形象设定时，可上传jpg活png文件，更换成功后，本课程所有大模型应用场景均使用教学团队替换完成后的形象。</w:t>
            </w:r>
          </w:p>
          <w:p w14:paraId="4A9ECD8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20）支持设定AI助教的回答技能设置：支持调整AI助教的回复方式，如推荐参考资源、启发延伸问题 、制定学习路径等，同时针对AI助教无法回答的问题，可设置默认回复信息，回复信息可设置50-100字见，并且也可设置大模型的开场胖白。</w:t>
            </w:r>
          </w:p>
          <w:p w14:paraId="0322CF1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21）支持总成绩规则自定义班级设置，设置成绩规则时可针对所有班级，也可针对某个班级进行设置。</w:t>
            </w:r>
          </w:p>
          <w:p w14:paraId="1450444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22）支持总成绩规则自定义设置，教学团队可通过多种维度进行成绩规则设置，如：掌握度、学习进度、作业测验、考试、小组作业、签到出勤率、课堂活动、话题讨论、线下成绩，上述所有维度金课设置百分比综合评判教学效果。</w:t>
            </w:r>
          </w:p>
          <w:p w14:paraId="6E15BDA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23）支持针对作业测验、考试等教学活动单独设置总成绩规则占比，设置时可选择某一个作业测验或者考试的内容，单独设置其占个人总成绩权重占比。</w:t>
            </w:r>
          </w:p>
          <w:p w14:paraId="20F7D37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24）支持针对课堂活动设置总成规则占比，设置时可选择测试题、点名、抢答、投票、问卷、头脑风白等类型，并设置上述课堂活动得分总和达到一定分数后，才能活动完成全部成绩获取，缺少设置完成的某一项，均不可得满分。</w:t>
            </w:r>
          </w:p>
          <w:p w14:paraId="1ECF2AD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25）支持掌握度与学习进度配置，设置时可制定学习进度规则，如：仅必学资源计入计算、必学资源及选学资源均计入计算、都不计入等。同时也可设置免考知识点，设置完成后，该知识点不会计入到学生总体成绩评估。</w:t>
            </w:r>
          </w:p>
          <w:p w14:paraId="6774B50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26）支持AI自动生成【图文结合】的教学运行报告，教学运行报告需给予教学实际学校进行详细合理的分析，分析维度需包含：教学运行数据总览、班级运行数据报告、教学运行数据概况、知识点掌握度详情分析、课程考核情况统计、能力达成度分析、AI工具使用情况分析，分析报告内容需不低于【5000】字。</w:t>
            </w:r>
          </w:p>
          <w:p w14:paraId="5F01709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w:t>
            </w:r>
            <w:r>
              <w:rPr>
                <w:rFonts w:ascii="宋体" w:hAnsi="宋体" w:cs="仿宋"/>
                <w:kern w:val="0"/>
                <w:szCs w:val="21"/>
                <w:lang w:eastAsia="zh-Hans"/>
              </w:rPr>
              <w:t>27</w:t>
            </w:r>
            <w:r>
              <w:rPr>
                <w:rFonts w:hint="eastAsia" w:ascii="宋体" w:hAnsi="宋体" w:cs="仿宋"/>
                <w:kern w:val="0"/>
                <w:szCs w:val="21"/>
                <w:lang w:eastAsia="zh-Hans"/>
              </w:rPr>
              <w:t>）支持在班级教学中AI助教为教学管理提供tips提示，根据班级实际学习情况，AI助教会检索学习相对较差较难的知识点，协助教学团队挖掘课程教学的漏洞。</w:t>
            </w:r>
          </w:p>
          <w:p w14:paraId="6348F3B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28</w:t>
            </w:r>
            <w:r>
              <w:rPr>
                <w:rFonts w:ascii="宋体" w:hAnsi="宋体" w:cs="仿宋"/>
                <w:kern w:val="0"/>
                <w:szCs w:val="21"/>
                <w:lang w:eastAsia="zh-Hans"/>
              </w:rPr>
              <w:t>）</w:t>
            </w:r>
            <w:r>
              <w:rPr>
                <w:rFonts w:hint="eastAsia" w:ascii="宋体" w:hAnsi="宋体" w:cs="仿宋"/>
                <w:kern w:val="0"/>
                <w:szCs w:val="21"/>
                <w:lang w:eastAsia="zh-Hans"/>
              </w:rPr>
              <w:t>支持问题收集管理，班级内学生与AI助教的互动，系统均可进行收集，收集内容包含：提问者姓名、班级、问题记录、AI回复记录、评价等。</w:t>
            </w:r>
          </w:p>
          <w:p w14:paraId="171C6BC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 教学管理</w:t>
            </w:r>
          </w:p>
          <w:p w14:paraId="7E67C18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1）支持课程学生管理：支持导入学生名单，可查看导入失败学生名单，供老师联系学生及时注册认证用户。可移除导入错误的学生。</w:t>
            </w:r>
          </w:p>
          <w:p w14:paraId="73B9A17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课程运行总体数据统计：可查看课程学习的学生数量、课程的人均学习进度、全部学生已学内容掌握度平均值等数据，并且分析出各个同学的各阶段的合格率情况，人均学习进度分布与平均掌握度分布等情况</w:t>
            </w:r>
          </w:p>
          <w:p w14:paraId="153946C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3）支持树状知识地图查看学生掌握度：基于课程图谱中构建的树状知识地图，查看每一知识点的平均掌握度。支持放大、缩小、全屏知识地图，支持展开收起树状知识节点，支持搜索知识地图中的知识点。</w:t>
            </w:r>
          </w:p>
          <w:p w14:paraId="71D8D4F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4）支持网状知识图谱查看学生掌握度：基于课程图谱中构建的网状知识图谱，查看每一知识点的平均掌握度。支持放大、缩小知识图谱，支持搜索知识图谱中的知识点。</w:t>
            </w:r>
          </w:p>
          <w:p w14:paraId="01F707B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5）支持查看学生学习详情：可查看课程内的每位学生的学习详情，包含学生加入课程的时间、课程内知识点的学习进度以及已学内容的掌握度。</w:t>
            </w:r>
          </w:p>
          <w:p w14:paraId="316F8A4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6）支持查看知识点学习详情：可查看每个知识点的学生完成率以及近一周的提升情况，可查看每个知识点的平均掌握度以及不同范围掌握度的学生分布情况。</w:t>
            </w:r>
          </w:p>
          <w:p w14:paraId="330926C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查看学生个人分析报告：可查看学生的所有知识点学习的平均掌握度、资料总学习时长、总练习时长、总练习次数。可查看学生对每个知识点学习的掌握度以及班级的平均掌握度，用于比较学生在课程内的当前学习水平。可查看学生对每个知识点的资料学习时长、练习时长、练习次数。</w:t>
            </w:r>
          </w:p>
          <w:p w14:paraId="6CD4561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8）支持分析每日学习情况简讯：包括今日学生上线数量、老师上线数量、教师团队建设数据，（包括：教授、副教授、讲师、助教等身份）、学生学习相关数据（学生学习总人次、参与学生人数、参与率）。</w:t>
            </w:r>
          </w:p>
          <w:p w14:paraId="49579E84">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9）支持分析课程图谱运行成果：分析数据包括稳定运行时长、人均学习进度、平均掌握度、学生学习合格率等。</w:t>
            </w:r>
          </w:p>
          <w:p w14:paraId="2DDDDA7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10）支持分析课程学习变化趋势：分析包括学习人次变化趋势、人均学习进度变化趋势、平均掌握度变化趋势、合格率变化趋势等。</w:t>
            </w:r>
          </w:p>
          <w:p w14:paraId="4A32421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11）可接入慕课中进行校外共享：可接入慕课中为选课院校及学生提供图谱学习服务，并积累图谱选课数及学习人数等运行数据。</w:t>
            </w:r>
          </w:p>
          <w:p w14:paraId="24C5704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12）可接入翻转教学中进行校内教学：可接入翻转课程中为学生提供图谱学习服务，并积累图谱选课数及学习人数等运行数据。</w:t>
            </w:r>
          </w:p>
          <w:p w14:paraId="734E82C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13）具备知识图谱课程运行推广能力，平台中已运行对外推广的知识图谱数量不低于3000门（不包含基于知识融合运行的共享课与翻转课）。</w:t>
            </w:r>
          </w:p>
          <w:p w14:paraId="289847F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14）具备教师端和学生端2个独立的小程序。学生可一键登录小程序进行学习：已经进入知识图谱班级的学生，进入微信小程序后的学习内容包含：动态知识图谱查看、教学任务查看、知识点资源学习、知识点题目练习、考试题目练习等。学生在小程序中观看课程中老师推送给学生的教学课件，同时可进入到课堂教学参与问卷、投票、抢答、脑暴等。同时支持教师通过教学小程序一键控制PPT插件内容，包括灵动课堂与学生管理，其中灵动课堂可对课堂教学进行签到、点名、投票、抢答等相关操作与记录，并且可通过灵动码将教学内容投屏到电脑中进行动教学，同时教师在微信小程序中可对学生进行统一管理，管理范围包括预览班级中所有学生的姓名、学号、院校</w:t>
            </w:r>
          </w:p>
          <w:p w14:paraId="6A3DA4F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w:t>
            </w:r>
            <w:r>
              <w:rPr>
                <w:rFonts w:ascii="宋体" w:hAnsi="宋体" w:cs="仿宋"/>
                <w:kern w:val="0"/>
                <w:szCs w:val="21"/>
                <w:lang w:eastAsia="zh-Hans"/>
              </w:rPr>
              <w:t>1</w:t>
            </w:r>
            <w:r>
              <w:rPr>
                <w:rFonts w:hint="eastAsia" w:ascii="宋体" w:hAnsi="宋体" w:cs="仿宋"/>
                <w:kern w:val="0"/>
                <w:szCs w:val="21"/>
                <w:lang w:eastAsia="zh-Hans"/>
              </w:rPr>
              <w:t>5）同一门课程下能分层教学建设不同课程版本。支持教师根据学期、运行学期、不同专业和班级教学要求新建课程版本，包括设置课程版本名称、选择已建设知识图谱中的知识点内容、选择已建设能力图谱中的能力点内容、以及设置本课程版本的考核点。新建课程版本后，支持发布此课程版本并选择运行时间，各课程版本支持导入不同的学生名单进行分版本的管理和教学，版本下支持生成具有差异化的智能体和AI教学指令库。</w:t>
            </w:r>
          </w:p>
          <w:p w14:paraId="7C76ED9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 教学任务</w:t>
            </w:r>
          </w:p>
          <w:p w14:paraId="29EB7A3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1）支持发布各类教学任务，教学任务需包含：知识点学习、作业测试、考试、话题讨论、通知公告、探究式学习、资源学习、题库、试卷库、灵动课堂模板、AI研习室等。</w:t>
            </w:r>
          </w:p>
          <w:p w14:paraId="591173E4">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2）支持在各类任务中，通过运行中、未开始、已结束等多种类型进行观测。</w:t>
            </w:r>
          </w:p>
          <w:p w14:paraId="3A1F6E1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3）支持将课程中所有考试试卷内容存放在试卷库中，后续在任务发布与教学过程中可直接从试卷库中引用试卷资源</w:t>
            </w:r>
          </w:p>
          <w:p w14:paraId="72C4445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4）支持创建灵动课堂应用，支持在灵动课堂中创建问卷、投票、抢答，并实时记录灵动课堂应用情况和数据进行分析。</w:t>
            </w:r>
          </w:p>
          <w:p w14:paraId="2201510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5）支持构建师生沟通的AI研习室，通过AI研习室了解学生的学习情况与学习疑问，进行互动讨论，并实时更新最热、疑问排行榜，同时系统可根据指定回答提醒用户进行作答。</w:t>
            </w:r>
          </w:p>
          <w:p w14:paraId="6F8892D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 PPT插件课程教学</w:t>
            </w:r>
          </w:p>
          <w:p w14:paraId="370F237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★1）支持应用PPT插件将知识图谱相关资源加入PPT建设中，PPT插件需支持OFFICE，同时系统支持windows与macos系统，引用的内容包含知识点、问题体系、教学资源、试题资源。</w:t>
            </w:r>
          </w:p>
          <w:p w14:paraId="5E2EF89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2）支持用户可，根据自身需要选择手机验证码登录或者微信登录等多种方式完成账号登录流程</w:t>
            </w:r>
          </w:p>
          <w:p w14:paraId="4475EE3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3）支持登录完成后，系统会根据当前账号的课程图谱建设信息，选择上方导航栏中“开始授课”，选择相应的授课课程</w:t>
            </w:r>
          </w:p>
          <w:p w14:paraId="47A7E8B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4）支持点击知识点按钮，在PPT会有图谱内梳理的知识点内容，老师可以搜索，点击知识点可查看知识点详情，找到想要的内容后点击引用，即可插入PPT中进行教学。</w:t>
            </w:r>
          </w:p>
          <w:p w14:paraId="58343CE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5）支持知识点插入成功后，教师在PPT播放页面中点击知识点按钮或者按住ctrl并单击知识点，即可打开相关教学内容进行教学。</w:t>
            </w:r>
          </w:p>
          <w:p w14:paraId="1366D1D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6）支持点击问题图谱“即可直接查看当前图谱梳理的全部”全面“－”概念“－”方法“等问题，选择想要的内容点击”引入“即可插入PPT中。</w:t>
            </w:r>
          </w:p>
          <w:p w14:paraId="54ED7E0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7）支持教师在PPT播放页面中点击问题卡片按钮或者按住ctrl并单击问题卡片，即可打开相关教学内容进行教学。</w:t>
            </w:r>
          </w:p>
          <w:p w14:paraId="2C915DB4">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8）支持系统会根据课程内容，AI推送对应资源，教师可直接点击查看，合适的话直接点击”引入即可插入PPT。</w:t>
            </w:r>
          </w:p>
          <w:p w14:paraId="298EFA2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9）支持添加题目资源，可以打开当前图谱梳理的题库内容，选择合适的内容后点击引入，即可插入PPT中。</w:t>
            </w:r>
          </w:p>
          <w:p w14:paraId="2379D9F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10）支持进入线下课堂后，教师可通过PPT软件（如OFFICE、WPS等）打开已经与知识图谱关联的教学课件进行课中混合式教学。教学活动包含：签到、点名、课程录音、知识图谱内容学习。</w:t>
            </w:r>
          </w:p>
          <w:p w14:paraId="6F3A0AC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11）支持PPT教学中，教师可点击插件中的随机点名，系统根据当前班级中已经签到的学生数据，进行随机抽取，随机选择一名班级内的学生，进行后续教学活动。</w:t>
            </w:r>
          </w:p>
          <w:p w14:paraId="7350B0A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12）支持教师查看发布的随堂测验的答题情况，包括题目的参与人数、正确率、每个选项选择的人数，以及每位参与同学的答题记录。</w:t>
            </w:r>
          </w:p>
          <w:p w14:paraId="5DA8D77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13）支持教师查看发布的签到的课堂记录，包括已签到学生的姓名、学号、签到时间，以及未签到学生的姓名和学号。</w:t>
            </w:r>
          </w:p>
          <w:p w14:paraId="0DD1F38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14）支持教师查看发布的点名的课堂记录，包括已点名学生的姓名、学号、点名时间。</w:t>
            </w:r>
          </w:p>
          <w:p w14:paraId="2A3472D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 教学课件库</w:t>
            </w:r>
          </w:p>
          <w:p w14:paraId="5B4A93A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教师团队自主构建课件库中心，进行私有课件库和课程课件库的分区管理，满足教师课件资源私有保护和公开共享的多元场景需求，支持课件共享范围进一步分层，在发布给教师团队基础上，进一步分享给特定班级学生。</w:t>
            </w:r>
          </w:p>
          <w:p w14:paraId="38FEECC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教师能够实现私有课件轻松拖拽，完成不超过1G单个文件大小的自主上传；支持上传课件以列表或图标形式进行个性化集中陈列，显示课件原始名称及格式；支持上传课件在线进行小屏或全屏预览，支持按课件顺序进行逐页查看或者依照缩略图进行跳转查看，支持根据教学节奏设计，还原公式、图表等内容的动画播放呈现；支持每个课件的手动删除、重命名及再次下载等基本操作；支持教师针对私有课件课内所有课件以名称为依据进行检索。</w:t>
            </w:r>
          </w:p>
          <w:p w14:paraId="095BD69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从私有课件库中，以清单查看或手段检索方式，勾选课件推送至课程共享课件库，共享课件库中的课件支持列表查看文件名称、格式、大小、所属人及更新时间，并支持教师针对课程共享课件库内所有课件以名称为依据进行检索；实现在线预览、手动删除和下载的基本操作，预览同样支持小屏或全屏查看，支持按课件顺序进行逐页查看或者依照缩略图进行跳转查看，支持根据教学节奏设计，还原公式、图表等内容的动画播放呈现；支持选择课程课件库中的不同课件推送给指定班级的学生，实现师生资源共享。</w:t>
            </w:r>
          </w:p>
          <w:p w14:paraId="2B646AA2">
            <w:pPr>
              <w:spacing w:line="360" w:lineRule="auto"/>
              <w:rPr>
                <w:rFonts w:ascii="宋体" w:hAnsi="宋体" w:cs="宋体"/>
                <w:b/>
                <w:bCs/>
                <w:szCs w:val="21"/>
              </w:rPr>
            </w:pPr>
          </w:p>
        </w:tc>
      </w:tr>
      <w:tr w14:paraId="65E9D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9456" w:type="dxa"/>
            <w:gridSpan w:val="5"/>
            <w:vAlign w:val="center"/>
          </w:tcPr>
          <w:p w14:paraId="7DEEE180">
            <w:pPr>
              <w:spacing w:line="400" w:lineRule="exact"/>
              <w:jc w:val="left"/>
              <w:rPr>
                <w:rFonts w:ascii="宋体" w:hAnsi="宋体"/>
                <w:b/>
                <w:szCs w:val="21"/>
              </w:rPr>
            </w:pPr>
            <w:r>
              <w:rPr>
                <w:rFonts w:hint="eastAsia" w:ascii="宋体" w:hAnsi="宋体"/>
                <w:b/>
                <w:szCs w:val="21"/>
              </w:rPr>
              <w:t>▲二、商务要求</w:t>
            </w:r>
          </w:p>
        </w:tc>
      </w:tr>
      <w:tr w14:paraId="77329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1659" w:type="dxa"/>
            <w:gridSpan w:val="2"/>
            <w:vAlign w:val="center"/>
          </w:tcPr>
          <w:p w14:paraId="169C0A93">
            <w:pPr>
              <w:spacing w:line="340" w:lineRule="exact"/>
              <w:jc w:val="center"/>
              <w:rPr>
                <w:rFonts w:ascii="宋体" w:hAnsi="宋体"/>
                <w:b/>
                <w:szCs w:val="21"/>
              </w:rPr>
            </w:pPr>
            <w:r>
              <w:rPr>
                <w:rFonts w:hint="eastAsia" w:ascii="宋体" w:hAnsi="宋体"/>
                <w:b/>
              </w:rPr>
              <w:t>（一）售后</w:t>
            </w:r>
            <w:r>
              <w:rPr>
                <w:rFonts w:hint="eastAsia" w:ascii="宋体" w:hAnsi="宋体"/>
                <w:b/>
                <w:spacing w:val="-2"/>
              </w:rPr>
              <w:t>服务</w:t>
            </w:r>
          </w:p>
        </w:tc>
        <w:tc>
          <w:tcPr>
            <w:tcW w:w="7797" w:type="dxa"/>
            <w:gridSpan w:val="3"/>
          </w:tcPr>
          <w:p w14:paraId="5F85EDB1">
            <w:pPr>
              <w:spacing w:line="400" w:lineRule="exact"/>
              <w:rPr>
                <w:rFonts w:ascii="宋体" w:hAnsi="宋体"/>
                <w:b/>
                <w:bCs/>
              </w:rPr>
            </w:pPr>
            <w:r>
              <w:rPr>
                <w:rFonts w:hint="eastAsia" w:ascii="宋体" w:hAnsi="宋体"/>
                <w:b/>
                <w:bCs/>
              </w:rPr>
              <w:t>（1）质保期：自交付验收通过之日起3年</w:t>
            </w:r>
          </w:p>
          <w:p w14:paraId="33A08864">
            <w:pPr>
              <w:spacing w:line="400" w:lineRule="exact"/>
              <w:rPr>
                <w:rFonts w:ascii="宋体" w:hAnsi="宋体"/>
                <w:b/>
                <w:bCs/>
              </w:rPr>
            </w:pPr>
            <w:r>
              <w:rPr>
                <w:rFonts w:hint="eastAsia" w:ascii="宋体" w:hAnsi="宋体"/>
                <w:b/>
                <w:bCs/>
              </w:rPr>
              <w:t>（2）在质保期内，课程运行出现故障，接到采购人处理问题通知后，技术工程师必须2小时内采取相应响应措施；无法在4小时内解决的，应在6小时内派出专业人员进行技术支持，8小时内解决一般性故障并恢复课程运行，终身提供免费技术支持。</w:t>
            </w:r>
          </w:p>
          <w:p w14:paraId="0FA650A5">
            <w:pPr>
              <w:spacing w:line="400" w:lineRule="exact"/>
              <w:rPr>
                <w:rFonts w:ascii="宋体" w:hAnsi="宋体"/>
                <w:b/>
                <w:bCs/>
              </w:rPr>
            </w:pPr>
            <w:r>
              <w:rPr>
                <w:rFonts w:hint="eastAsia" w:ascii="宋体" w:hAnsi="宋体"/>
                <w:b/>
                <w:bCs/>
              </w:rPr>
              <w:t>（3）成交供应商能提供7×24响应服务，通过远程、上门服务、电话、E-mail等方式为用户提供终身完善的售后技术咨询服务。</w:t>
            </w:r>
          </w:p>
          <w:p w14:paraId="66C15CAF">
            <w:pPr>
              <w:spacing w:line="400" w:lineRule="exact"/>
              <w:rPr>
                <w:rFonts w:ascii="宋体" w:hAnsi="宋体"/>
              </w:rPr>
            </w:pPr>
            <w:r>
              <w:rPr>
                <w:rFonts w:hint="eastAsia" w:ascii="宋体" w:hAnsi="宋体"/>
                <w:b/>
                <w:bCs/>
              </w:rPr>
              <w:t xml:space="preserve">（4）在质保期内，如果成交供应商产品技术升级，成交供应商应及时通知采购人，如采购人有相应要求，成交供应商应对采购人进行升级服务。    </w:t>
            </w:r>
          </w:p>
        </w:tc>
      </w:tr>
      <w:tr w14:paraId="0EAF5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jc w:val="center"/>
        </w:trPr>
        <w:tc>
          <w:tcPr>
            <w:tcW w:w="1659" w:type="dxa"/>
            <w:gridSpan w:val="2"/>
            <w:vAlign w:val="center"/>
          </w:tcPr>
          <w:p w14:paraId="33AFB0A0">
            <w:pPr>
              <w:spacing w:line="340" w:lineRule="exact"/>
              <w:jc w:val="center"/>
              <w:rPr>
                <w:rFonts w:ascii="宋体" w:hAnsi="宋体"/>
                <w:b/>
                <w:szCs w:val="21"/>
              </w:rPr>
            </w:pPr>
            <w:r>
              <w:rPr>
                <w:rFonts w:hint="eastAsia" w:ascii="宋体" w:hAnsi="宋体"/>
                <w:b/>
              </w:rPr>
              <w:t>（二）</w:t>
            </w:r>
            <w:bookmarkStart w:id="79" w:name="OLE_LINK7"/>
            <w:bookmarkStart w:id="80" w:name="OLE_LINK9"/>
            <w:bookmarkStart w:id="81" w:name="OLE_LINK8"/>
            <w:r>
              <w:rPr>
                <w:rFonts w:hint="eastAsia" w:ascii="宋体" w:hAnsi="宋体"/>
                <w:b/>
              </w:rPr>
              <w:t>交付时间和地点</w:t>
            </w:r>
            <w:bookmarkEnd w:id="79"/>
            <w:bookmarkEnd w:id="80"/>
            <w:bookmarkEnd w:id="81"/>
          </w:p>
        </w:tc>
        <w:tc>
          <w:tcPr>
            <w:tcW w:w="7797" w:type="dxa"/>
            <w:gridSpan w:val="3"/>
          </w:tcPr>
          <w:p w14:paraId="5498CC7E">
            <w:pPr>
              <w:spacing w:line="400" w:lineRule="exact"/>
              <w:rPr>
                <w:rFonts w:ascii="宋体" w:hAnsi="宋体"/>
                <w:b/>
                <w:bCs/>
              </w:rPr>
            </w:pPr>
            <w:r>
              <w:rPr>
                <w:rFonts w:hint="eastAsia" w:ascii="宋体" w:hAnsi="宋体"/>
                <w:b/>
                <w:bCs/>
              </w:rPr>
              <w:t>1.交付时间：自签订合同之日起</w:t>
            </w:r>
            <w:r>
              <w:rPr>
                <w:rFonts w:ascii="宋体" w:hAnsi="宋体"/>
                <w:b/>
                <w:bCs/>
              </w:rPr>
              <w:t>150</w:t>
            </w:r>
            <w:r>
              <w:rPr>
                <w:rFonts w:hint="eastAsia" w:ascii="宋体" w:hAnsi="宋体"/>
                <w:b/>
                <w:bCs/>
              </w:rPr>
              <w:t>个自然日内全部安装调试完毕，经验收合格并交付使用。</w:t>
            </w:r>
          </w:p>
          <w:p w14:paraId="734CAF78">
            <w:pPr>
              <w:spacing w:line="400" w:lineRule="exact"/>
              <w:jc w:val="left"/>
              <w:rPr>
                <w:rFonts w:ascii="宋体" w:hAnsi="宋体"/>
                <w:szCs w:val="21"/>
              </w:rPr>
            </w:pPr>
            <w:r>
              <w:rPr>
                <w:rFonts w:hint="eastAsia" w:ascii="宋体" w:hAnsi="宋体"/>
                <w:b/>
                <w:bCs/>
              </w:rPr>
              <w:t>2.交付地点：广西桂林市采购人指定地点（广西师范大学）。</w:t>
            </w:r>
          </w:p>
        </w:tc>
      </w:tr>
      <w:tr w14:paraId="081AC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3EDEF668">
            <w:pPr>
              <w:spacing w:line="340" w:lineRule="exact"/>
              <w:jc w:val="center"/>
              <w:rPr>
                <w:rFonts w:ascii="宋体" w:hAnsi="宋体"/>
                <w:b/>
                <w:szCs w:val="21"/>
              </w:rPr>
            </w:pPr>
            <w:r>
              <w:rPr>
                <w:rFonts w:hint="eastAsia" w:ascii="宋体" w:hAnsi="宋体"/>
                <w:b/>
              </w:rPr>
              <w:t>（三）</w:t>
            </w:r>
            <w:bookmarkStart w:id="82" w:name="OLE_LINK10"/>
            <w:r>
              <w:rPr>
                <w:rFonts w:hint="eastAsia" w:ascii="宋体" w:hAnsi="宋体"/>
                <w:b/>
              </w:rPr>
              <w:t>合同签订时间</w:t>
            </w:r>
            <w:bookmarkEnd w:id="82"/>
          </w:p>
        </w:tc>
        <w:tc>
          <w:tcPr>
            <w:tcW w:w="7797" w:type="dxa"/>
            <w:gridSpan w:val="3"/>
            <w:vAlign w:val="center"/>
          </w:tcPr>
          <w:p w14:paraId="6CDA1BAF">
            <w:pPr>
              <w:spacing w:line="400" w:lineRule="exact"/>
              <w:rPr>
                <w:rFonts w:ascii="宋体" w:hAnsi="宋体"/>
                <w:b/>
                <w:bCs/>
                <w:szCs w:val="21"/>
              </w:rPr>
            </w:pPr>
            <w:r>
              <w:rPr>
                <w:rFonts w:hint="eastAsia" w:ascii="宋体" w:hAnsi="宋体"/>
                <w:b/>
                <w:bCs/>
              </w:rPr>
              <w:t>自成交通知书发出之日起25天内。</w:t>
            </w:r>
          </w:p>
        </w:tc>
      </w:tr>
      <w:tr w14:paraId="5AC7F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16625100">
            <w:pPr>
              <w:spacing w:line="340" w:lineRule="exact"/>
              <w:jc w:val="center"/>
              <w:rPr>
                <w:rFonts w:ascii="宋体" w:hAnsi="宋体"/>
                <w:b/>
                <w:szCs w:val="21"/>
              </w:rPr>
            </w:pPr>
            <w:r>
              <w:rPr>
                <w:rFonts w:hint="eastAsia" w:ascii="宋体" w:hAnsi="宋体"/>
                <w:b/>
              </w:rPr>
              <w:t>（四）</w:t>
            </w:r>
            <w:bookmarkStart w:id="83" w:name="OLE_LINK11"/>
            <w:bookmarkStart w:id="84" w:name="OLE_LINK12"/>
            <w:r>
              <w:rPr>
                <w:rFonts w:hint="eastAsia" w:ascii="宋体" w:hAnsi="宋体"/>
                <w:b/>
              </w:rPr>
              <w:t>履约保证金</w:t>
            </w:r>
            <w:bookmarkEnd w:id="83"/>
            <w:bookmarkEnd w:id="84"/>
          </w:p>
        </w:tc>
        <w:tc>
          <w:tcPr>
            <w:tcW w:w="7797" w:type="dxa"/>
            <w:gridSpan w:val="3"/>
          </w:tcPr>
          <w:p w14:paraId="69C10E80">
            <w:pPr>
              <w:spacing w:line="400" w:lineRule="exact"/>
              <w:rPr>
                <w:rFonts w:ascii="宋体" w:hAnsi="宋体"/>
                <w:b/>
                <w:bCs/>
              </w:rPr>
            </w:pPr>
            <w:r>
              <w:rPr>
                <w:rFonts w:hint="eastAsia" w:ascii="宋体" w:hAnsi="宋体"/>
                <w:b/>
                <w:bCs/>
              </w:rPr>
              <w:t>履约保证金金额：履约保证金按成交金额的5%，如成交供应商为中小企业的，履约保证金按成交金额的2%。</w:t>
            </w:r>
          </w:p>
          <w:p w14:paraId="3677552C">
            <w:pPr>
              <w:spacing w:line="400" w:lineRule="exact"/>
              <w:rPr>
                <w:rFonts w:ascii="宋体" w:hAnsi="宋体"/>
                <w:b/>
                <w:bCs/>
                <w:szCs w:val="21"/>
              </w:rPr>
            </w:pPr>
            <w:r>
              <w:rPr>
                <w:rFonts w:hint="eastAsia" w:ascii="宋体" w:hAnsi="宋体"/>
                <w:b/>
                <w:bCs/>
              </w:rPr>
              <w:t>履约保证金递交方式及时限：供应商必须在成交通知书发出后25日内且必须在签订合同前以银行转账、支票、汇票、本票或者金融、担保机构出具的保函（包含电子保函）等非现金方式向采购人交纳履约保证金，否则，不予签订合同。</w:t>
            </w:r>
          </w:p>
        </w:tc>
      </w:tr>
      <w:tr w14:paraId="5CF65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42783DF7">
            <w:pPr>
              <w:spacing w:line="340" w:lineRule="exact"/>
              <w:jc w:val="center"/>
              <w:rPr>
                <w:rFonts w:ascii="宋体" w:hAnsi="宋体"/>
                <w:b/>
              </w:rPr>
            </w:pPr>
            <w:r>
              <w:rPr>
                <w:rFonts w:hint="eastAsia" w:ascii="宋体" w:hAnsi="宋体"/>
                <w:b/>
              </w:rPr>
              <w:t>（五）付款方式</w:t>
            </w:r>
          </w:p>
        </w:tc>
        <w:tc>
          <w:tcPr>
            <w:tcW w:w="7797" w:type="dxa"/>
            <w:gridSpan w:val="3"/>
          </w:tcPr>
          <w:p w14:paraId="16A217FA">
            <w:pPr>
              <w:spacing w:line="400" w:lineRule="exact"/>
              <w:rPr>
                <w:rFonts w:ascii="宋体" w:hAnsi="宋体" w:cs="宋体"/>
                <w:b/>
                <w:bCs/>
                <w:szCs w:val="21"/>
              </w:rPr>
            </w:pPr>
            <w:r>
              <w:rPr>
                <w:rFonts w:hint="eastAsia" w:ascii="宋体" w:hAnsi="宋体" w:cs="宋体"/>
                <w:b/>
                <w:bCs/>
                <w:szCs w:val="21"/>
              </w:rPr>
              <w:t xml:space="preserve">自签订合同之日起七个工作日内，采购人支付合同款总额20%作为预付款，交货核验（含测试或试运行演示）合格后，采购人支付20%合同款，交货甲方经安装试运行一个月，甲方予以最终验收，验收合格后十个工作日内，采购人支付剩余60%的合同款。采购人在付款之前，供应商应开具相应金额正式发票给采购人。  </w:t>
            </w:r>
          </w:p>
        </w:tc>
      </w:tr>
      <w:tr w14:paraId="01CA7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3DC601A1">
            <w:pPr>
              <w:spacing w:line="340" w:lineRule="exact"/>
              <w:jc w:val="center"/>
              <w:rPr>
                <w:rFonts w:ascii="宋体" w:hAnsi="宋体"/>
                <w:b/>
              </w:rPr>
            </w:pPr>
            <w:r>
              <w:rPr>
                <w:rFonts w:hint="eastAsia" w:ascii="宋体" w:hAnsi="宋体"/>
                <w:b/>
              </w:rPr>
              <w:t>（六）保险</w:t>
            </w:r>
          </w:p>
        </w:tc>
        <w:tc>
          <w:tcPr>
            <w:tcW w:w="7797" w:type="dxa"/>
            <w:gridSpan w:val="3"/>
          </w:tcPr>
          <w:p w14:paraId="38639A39">
            <w:pPr>
              <w:spacing w:line="400" w:lineRule="exact"/>
              <w:rPr>
                <w:rFonts w:ascii="宋体" w:hAnsi="宋体"/>
                <w:szCs w:val="21"/>
              </w:rPr>
            </w:pPr>
            <w:r>
              <w:rPr>
                <w:rFonts w:hint="eastAsia" w:ascii="宋体" w:hAnsi="宋体"/>
                <w:b/>
                <w:bCs/>
              </w:rPr>
              <w:t>本项目采购标的涉及的相关材料、设备、人员、运输等购买保险的，相关费用由供应商自行承担。</w:t>
            </w:r>
          </w:p>
        </w:tc>
      </w:tr>
      <w:tr w14:paraId="71656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41C8D985">
            <w:pPr>
              <w:spacing w:line="340" w:lineRule="exact"/>
              <w:jc w:val="center"/>
              <w:rPr>
                <w:rFonts w:ascii="宋体" w:hAnsi="宋体"/>
                <w:b/>
              </w:rPr>
            </w:pPr>
            <w:r>
              <w:rPr>
                <w:rFonts w:hint="eastAsia" w:ascii="宋体" w:hAnsi="宋体"/>
                <w:b/>
              </w:rPr>
              <w:t>（七）</w:t>
            </w:r>
            <w:bookmarkStart w:id="85" w:name="OLE_LINK17"/>
            <w:r>
              <w:rPr>
                <w:rFonts w:hint="eastAsia" w:ascii="宋体" w:hAnsi="宋体"/>
                <w:b/>
              </w:rPr>
              <w:t>验收</w:t>
            </w:r>
            <w:bookmarkEnd w:id="85"/>
            <w:r>
              <w:rPr>
                <w:rFonts w:hint="eastAsia" w:ascii="宋体" w:hAnsi="宋体"/>
                <w:b/>
              </w:rPr>
              <w:t>标准</w:t>
            </w:r>
          </w:p>
        </w:tc>
        <w:tc>
          <w:tcPr>
            <w:tcW w:w="7797" w:type="dxa"/>
            <w:gridSpan w:val="3"/>
          </w:tcPr>
          <w:p w14:paraId="2BAB23B8">
            <w:pPr>
              <w:spacing w:line="400" w:lineRule="exact"/>
              <w:rPr>
                <w:rFonts w:ascii="宋体" w:hAnsi="宋体"/>
                <w:b/>
                <w:bCs/>
              </w:rPr>
            </w:pPr>
            <w:r>
              <w:rPr>
                <w:rFonts w:hint="eastAsia" w:ascii="宋体" w:hAnsi="宋体"/>
                <w:b/>
                <w:bCs/>
              </w:rPr>
              <w:t>1.本项目执行国家相关标准、行业标准、地方标准或者其他标准、规范。如具体采购需求与标准、规范不一致的，高于标准、规范的按具体采购需求执行；低于标准、规范的按标准、规范执行。供应商所提供的系统必须是全新、完好、无破损、未经使用的，在正常安装、使用和保养条件下，其使用寿命期内各项指标均达到质量要求。</w:t>
            </w:r>
          </w:p>
          <w:p w14:paraId="6EA42BAC">
            <w:pPr>
              <w:spacing w:line="400" w:lineRule="exact"/>
              <w:rPr>
                <w:rFonts w:ascii="宋体" w:hAnsi="宋体"/>
                <w:b/>
                <w:bCs/>
              </w:rPr>
            </w:pPr>
            <w:r>
              <w:rPr>
                <w:rFonts w:hint="eastAsia" w:ascii="宋体" w:hAnsi="宋体"/>
                <w:b/>
                <w:bCs/>
              </w:rPr>
              <w:t>2.产品到货后，采购人现场根据竞争性磋商文件要求及响应文件承诺逐条对应进行核验（含测试或试运行演示），核验不合格的，采购人有权不予验收，同时报相关监督管理部门，由此造成采购人经济损失的由成交供应商负责承担全部赔偿责任。</w:t>
            </w:r>
          </w:p>
          <w:p w14:paraId="42FFE2FE">
            <w:pPr>
              <w:spacing w:line="400" w:lineRule="exact"/>
              <w:rPr>
                <w:rFonts w:ascii="宋体" w:hAnsi="宋体"/>
                <w:b/>
                <w:bCs/>
              </w:rPr>
            </w:pPr>
            <w:r>
              <w:rPr>
                <w:rFonts w:hint="eastAsia" w:ascii="宋体" w:hAnsi="宋体"/>
                <w:b/>
                <w:bCs/>
              </w:rPr>
              <w:t>3.因产品质量问题发生争议的，应邀请国家认可的质量检测机构对产品质量进行鉴定。</w:t>
            </w:r>
          </w:p>
          <w:p w14:paraId="7E13AA65">
            <w:pPr>
              <w:spacing w:line="400" w:lineRule="exact"/>
              <w:rPr>
                <w:rFonts w:ascii="宋体" w:hAnsi="宋体"/>
                <w:szCs w:val="21"/>
              </w:rPr>
            </w:pPr>
            <w:r>
              <w:rPr>
                <w:rFonts w:hint="eastAsia" w:ascii="宋体" w:hAnsi="宋体"/>
                <w:b/>
                <w:bCs/>
              </w:rPr>
              <w:t>4.相关检验检测和验收费用全部由成交供应商承担。</w:t>
            </w:r>
          </w:p>
        </w:tc>
      </w:tr>
      <w:tr w14:paraId="1E91B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9456" w:type="dxa"/>
            <w:gridSpan w:val="5"/>
            <w:vAlign w:val="center"/>
          </w:tcPr>
          <w:p w14:paraId="370980E3">
            <w:pPr>
              <w:spacing w:line="400" w:lineRule="exact"/>
              <w:rPr>
                <w:rFonts w:ascii="宋体" w:hAnsi="宋体"/>
                <w:b/>
                <w:szCs w:val="21"/>
              </w:rPr>
            </w:pPr>
            <w:r>
              <w:rPr>
                <w:rFonts w:hint="eastAsia" w:ascii="宋体" w:hAnsi="宋体"/>
                <w:b/>
                <w:szCs w:val="21"/>
              </w:rPr>
              <w:t>三、与实现项目目标相关的要求</w:t>
            </w:r>
          </w:p>
        </w:tc>
      </w:tr>
      <w:tr w14:paraId="40555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2" w:hRule="atLeast"/>
          <w:jc w:val="center"/>
        </w:trPr>
        <w:tc>
          <w:tcPr>
            <w:tcW w:w="1659" w:type="dxa"/>
            <w:gridSpan w:val="2"/>
            <w:vAlign w:val="center"/>
          </w:tcPr>
          <w:p w14:paraId="6618613F">
            <w:pPr>
              <w:adjustRightInd w:val="0"/>
              <w:snapToGrid w:val="0"/>
              <w:spacing w:line="320" w:lineRule="exact"/>
              <w:jc w:val="center"/>
              <w:rPr>
                <w:rFonts w:ascii="宋体" w:hAnsi="宋体"/>
              </w:rPr>
            </w:pPr>
            <w:r>
              <w:rPr>
                <w:rFonts w:hint="eastAsia" w:ascii="宋体" w:hAnsi="宋体"/>
                <w:szCs w:val="21"/>
              </w:rPr>
              <w:t>（一）项目实施方案</w:t>
            </w:r>
          </w:p>
        </w:tc>
        <w:tc>
          <w:tcPr>
            <w:tcW w:w="7797" w:type="dxa"/>
            <w:gridSpan w:val="3"/>
            <w:vAlign w:val="center"/>
          </w:tcPr>
          <w:p w14:paraId="2883BFB9">
            <w:pPr>
              <w:spacing w:line="400" w:lineRule="exact"/>
              <w:jc w:val="left"/>
              <w:rPr>
                <w:rFonts w:ascii="宋体" w:hAnsi="宋体"/>
                <w:szCs w:val="21"/>
              </w:rPr>
            </w:pPr>
            <w:r>
              <w:rPr>
                <w:rFonts w:hint="eastAsia" w:ascii="宋体" w:hAnsi="宋体"/>
                <w:szCs w:val="21"/>
              </w:rPr>
              <w:t>供应商根据项目要求和自身情况，可于响应文件中提供项目实施方案。</w:t>
            </w:r>
          </w:p>
          <w:p w14:paraId="15E231FF">
            <w:pPr>
              <w:spacing w:line="400" w:lineRule="exact"/>
              <w:jc w:val="left"/>
              <w:rPr>
                <w:rFonts w:ascii="宋体" w:hAnsi="宋体"/>
              </w:rPr>
            </w:pPr>
            <w:r>
              <w:rPr>
                <w:rFonts w:hint="eastAsia" w:ascii="宋体" w:hAnsi="宋体"/>
                <w:b/>
                <w:bCs/>
                <w:szCs w:val="21"/>
              </w:rPr>
              <w:t>注：上述项目实施方案评分详见“第四章</w:t>
            </w:r>
            <w:r>
              <w:rPr>
                <w:rFonts w:hint="eastAsia" w:ascii="宋体" w:hAnsi="宋体"/>
                <w:b/>
              </w:rPr>
              <w:t xml:space="preserve"> </w:t>
            </w:r>
            <w:r>
              <w:rPr>
                <w:rFonts w:hint="eastAsia" w:ascii="宋体" w:hAnsi="宋体"/>
                <w:b/>
                <w:bCs/>
                <w:szCs w:val="21"/>
              </w:rPr>
              <w:t>评标办法及评标标准”。</w:t>
            </w:r>
          </w:p>
        </w:tc>
      </w:tr>
      <w:tr w14:paraId="089AD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1659" w:type="dxa"/>
            <w:gridSpan w:val="2"/>
            <w:vAlign w:val="center"/>
          </w:tcPr>
          <w:p w14:paraId="72874C27">
            <w:pPr>
              <w:adjustRightInd w:val="0"/>
              <w:snapToGrid w:val="0"/>
              <w:spacing w:line="320" w:lineRule="exact"/>
              <w:jc w:val="center"/>
              <w:rPr>
                <w:rFonts w:ascii="宋体" w:hAnsi="宋体"/>
                <w:b/>
                <w:i/>
              </w:rPr>
            </w:pPr>
            <w:r>
              <w:rPr>
                <w:rFonts w:hint="eastAsia" w:ascii="宋体" w:hAnsi="宋体"/>
                <w:bCs/>
                <w:szCs w:val="21"/>
              </w:rPr>
              <w:t>（三）履约能力要求</w:t>
            </w:r>
          </w:p>
        </w:tc>
        <w:tc>
          <w:tcPr>
            <w:tcW w:w="7797" w:type="dxa"/>
            <w:gridSpan w:val="3"/>
            <w:vAlign w:val="center"/>
          </w:tcPr>
          <w:p w14:paraId="740A4B46">
            <w:pPr>
              <w:spacing w:line="400" w:lineRule="exact"/>
              <w:rPr>
                <w:rFonts w:ascii="宋体" w:hAnsi="宋体"/>
                <w:b/>
                <w:bCs/>
                <w:szCs w:val="21"/>
              </w:rPr>
            </w:pPr>
            <w:r>
              <w:rPr>
                <w:rFonts w:hint="eastAsia" w:ascii="宋体" w:hAnsi="宋体"/>
                <w:szCs w:val="21"/>
              </w:rPr>
              <w:t>供应商提供自</w:t>
            </w:r>
            <w:r>
              <w:rPr>
                <w:rFonts w:ascii="宋体" w:hAnsi="宋体" w:cs="Arial"/>
                <w:szCs w:val="21"/>
              </w:rPr>
              <w:t>2022年1月1日</w:t>
            </w:r>
            <w:r>
              <w:rPr>
                <w:rFonts w:hint="eastAsia" w:ascii="宋体" w:hAnsi="宋体"/>
                <w:szCs w:val="21"/>
              </w:rPr>
              <w:t>以来具有完成同类项目的业绩。</w:t>
            </w:r>
          </w:p>
          <w:p w14:paraId="209A10DD">
            <w:pPr>
              <w:spacing w:line="400" w:lineRule="exact"/>
              <w:rPr>
                <w:rFonts w:ascii="宋体" w:hAnsi="宋体"/>
                <w:b/>
                <w:i/>
                <w:szCs w:val="21"/>
              </w:rPr>
            </w:pPr>
            <w:r>
              <w:rPr>
                <w:rFonts w:hint="eastAsia" w:ascii="宋体" w:hAnsi="宋体"/>
                <w:b/>
                <w:bCs/>
                <w:szCs w:val="21"/>
              </w:rPr>
              <w:t>注：上述履约能力加分详见“第四章  评标办法及评标标准”。</w:t>
            </w:r>
          </w:p>
        </w:tc>
      </w:tr>
    </w:tbl>
    <w:p w14:paraId="51EB49B2">
      <w:pPr>
        <w:pStyle w:val="3"/>
        <w:spacing w:before="0" w:after="0" w:line="600" w:lineRule="exact"/>
        <w:jc w:val="center"/>
        <w:rPr>
          <w:rFonts w:ascii="宋体" w:hAnsi="宋体"/>
        </w:rPr>
      </w:pPr>
    </w:p>
    <w:p w14:paraId="006EE5AF">
      <w:pPr>
        <w:widowControl/>
        <w:jc w:val="left"/>
        <w:rPr>
          <w:rFonts w:ascii="宋体" w:hAnsi="宋体"/>
          <w:b/>
          <w:bCs/>
          <w:kern w:val="44"/>
          <w:sz w:val="44"/>
          <w:szCs w:val="44"/>
        </w:rPr>
      </w:pPr>
      <w:r>
        <w:rPr>
          <w:rFonts w:ascii="宋体" w:hAnsi="宋体"/>
        </w:rPr>
        <w:br w:type="page"/>
      </w:r>
    </w:p>
    <w:p w14:paraId="2DA89E05">
      <w:pPr>
        <w:spacing w:line="360" w:lineRule="exact"/>
        <w:ind w:left="-2" w:leftChars="-1"/>
        <w:jc w:val="left"/>
        <w:rPr>
          <w:rFonts w:ascii="宋体" w:hAnsi="宋体"/>
          <w:b/>
          <w:szCs w:val="21"/>
        </w:rPr>
      </w:pPr>
      <w:r>
        <w:rPr>
          <w:rFonts w:hint="eastAsia" w:ascii="宋体" w:hAnsi="宋体"/>
          <w:b/>
          <w:szCs w:val="21"/>
        </w:rPr>
        <w:t>标项二：师范生教学能力AI测评系统</w:t>
      </w:r>
    </w:p>
    <w:tbl>
      <w:tblPr>
        <w:tblStyle w:val="29"/>
        <w:tblW w:w="94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6"/>
        <w:gridCol w:w="993"/>
        <w:gridCol w:w="615"/>
        <w:gridCol w:w="709"/>
        <w:gridCol w:w="6473"/>
      </w:tblGrid>
      <w:tr w14:paraId="42BD3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456" w:type="dxa"/>
            <w:gridSpan w:val="5"/>
            <w:vAlign w:val="center"/>
          </w:tcPr>
          <w:p w14:paraId="46F9CC3A">
            <w:pPr>
              <w:tabs>
                <w:tab w:val="left" w:pos="180"/>
                <w:tab w:val="left" w:pos="1620"/>
              </w:tabs>
              <w:spacing w:line="320" w:lineRule="exact"/>
              <w:jc w:val="left"/>
              <w:rPr>
                <w:rFonts w:ascii="宋体" w:hAnsi="宋体" w:cs="宋体"/>
                <w:b/>
                <w:szCs w:val="21"/>
              </w:rPr>
            </w:pPr>
            <w:r>
              <w:rPr>
                <w:rFonts w:hint="eastAsia" w:ascii="宋体" w:hAnsi="宋体" w:cs="宋体"/>
                <w:b/>
                <w:szCs w:val="21"/>
              </w:rPr>
              <w:t>一、采购内容</w:t>
            </w:r>
          </w:p>
        </w:tc>
      </w:tr>
      <w:tr w14:paraId="3CCE9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666" w:type="dxa"/>
            <w:tcBorders>
              <w:right w:val="single" w:color="auto" w:sz="4" w:space="0"/>
            </w:tcBorders>
            <w:vAlign w:val="center"/>
          </w:tcPr>
          <w:p w14:paraId="010CD551">
            <w:pPr>
              <w:tabs>
                <w:tab w:val="left" w:pos="180"/>
                <w:tab w:val="left" w:pos="1620"/>
              </w:tabs>
              <w:spacing w:line="320" w:lineRule="exact"/>
              <w:jc w:val="center"/>
              <w:rPr>
                <w:rFonts w:ascii="宋体" w:hAnsi="宋体" w:cs="宋体"/>
                <w:szCs w:val="21"/>
              </w:rPr>
            </w:pPr>
            <w:r>
              <w:rPr>
                <w:rFonts w:hint="eastAsia" w:ascii="宋体" w:hAnsi="宋体" w:cs="宋体"/>
                <w:szCs w:val="21"/>
              </w:rPr>
              <w:t>项号</w:t>
            </w:r>
          </w:p>
        </w:tc>
        <w:tc>
          <w:tcPr>
            <w:tcW w:w="1608" w:type="dxa"/>
            <w:gridSpan w:val="2"/>
            <w:tcBorders>
              <w:left w:val="single" w:color="auto" w:sz="4" w:space="0"/>
            </w:tcBorders>
            <w:vAlign w:val="center"/>
          </w:tcPr>
          <w:p w14:paraId="75A0C9F1">
            <w:pPr>
              <w:tabs>
                <w:tab w:val="left" w:pos="180"/>
                <w:tab w:val="left" w:pos="1620"/>
              </w:tabs>
              <w:spacing w:line="320" w:lineRule="exact"/>
              <w:jc w:val="center"/>
              <w:rPr>
                <w:rFonts w:ascii="宋体" w:hAnsi="宋体" w:cs="宋体"/>
                <w:szCs w:val="21"/>
              </w:rPr>
            </w:pPr>
            <w:r>
              <w:rPr>
                <w:rFonts w:hint="eastAsia" w:ascii="宋体" w:hAnsi="宋体" w:cs="宋体"/>
                <w:szCs w:val="21"/>
              </w:rPr>
              <w:t>标的的名称</w:t>
            </w:r>
          </w:p>
        </w:tc>
        <w:tc>
          <w:tcPr>
            <w:tcW w:w="709" w:type="dxa"/>
            <w:vAlign w:val="center"/>
          </w:tcPr>
          <w:p w14:paraId="713D82EC">
            <w:pPr>
              <w:tabs>
                <w:tab w:val="left" w:pos="180"/>
                <w:tab w:val="left" w:pos="1620"/>
              </w:tabs>
              <w:spacing w:line="320" w:lineRule="exact"/>
              <w:jc w:val="center"/>
              <w:rPr>
                <w:rFonts w:ascii="宋体" w:hAnsi="宋体" w:cs="宋体"/>
                <w:szCs w:val="21"/>
              </w:rPr>
            </w:pPr>
            <w:r>
              <w:rPr>
                <w:rFonts w:hint="eastAsia" w:ascii="宋体" w:hAnsi="宋体" w:cs="宋体"/>
                <w:szCs w:val="21"/>
              </w:rPr>
              <w:t>数量单位</w:t>
            </w:r>
          </w:p>
        </w:tc>
        <w:tc>
          <w:tcPr>
            <w:tcW w:w="6473" w:type="dxa"/>
            <w:vAlign w:val="center"/>
          </w:tcPr>
          <w:p w14:paraId="70BC7F12">
            <w:pPr>
              <w:tabs>
                <w:tab w:val="left" w:pos="180"/>
                <w:tab w:val="left" w:pos="1620"/>
              </w:tabs>
              <w:spacing w:line="320" w:lineRule="exact"/>
              <w:jc w:val="center"/>
              <w:rPr>
                <w:rFonts w:ascii="宋体" w:hAnsi="宋体" w:cs="宋体"/>
                <w:szCs w:val="21"/>
              </w:rPr>
            </w:pPr>
            <w:r>
              <w:rPr>
                <w:rFonts w:hint="eastAsia" w:ascii="宋体" w:hAnsi="宋体" w:cs="宋体"/>
                <w:szCs w:val="21"/>
              </w:rPr>
              <w:t>技术（服务）要求</w:t>
            </w:r>
          </w:p>
        </w:tc>
      </w:tr>
      <w:tr w14:paraId="789C1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666" w:type="dxa"/>
            <w:tcBorders>
              <w:right w:val="single" w:color="auto" w:sz="4" w:space="0"/>
            </w:tcBorders>
            <w:vAlign w:val="center"/>
          </w:tcPr>
          <w:p w14:paraId="213E10CF">
            <w:pPr>
              <w:tabs>
                <w:tab w:val="left" w:pos="180"/>
                <w:tab w:val="left" w:pos="1620"/>
              </w:tabs>
              <w:spacing w:line="320" w:lineRule="exact"/>
              <w:jc w:val="center"/>
              <w:rPr>
                <w:rFonts w:ascii="宋体" w:hAnsi="宋体" w:cs="宋体"/>
                <w:szCs w:val="21"/>
              </w:rPr>
            </w:pPr>
            <w:r>
              <w:rPr>
                <w:rFonts w:hint="eastAsia" w:ascii="宋体" w:hAnsi="宋体" w:cs="宋体"/>
                <w:szCs w:val="21"/>
              </w:rPr>
              <w:t>1</w:t>
            </w:r>
          </w:p>
        </w:tc>
        <w:tc>
          <w:tcPr>
            <w:tcW w:w="1608" w:type="dxa"/>
            <w:gridSpan w:val="2"/>
            <w:tcBorders>
              <w:left w:val="single" w:color="auto" w:sz="4" w:space="0"/>
            </w:tcBorders>
            <w:vAlign w:val="center"/>
          </w:tcPr>
          <w:p w14:paraId="4C6FFBCF">
            <w:pPr>
              <w:tabs>
                <w:tab w:val="left" w:pos="180"/>
                <w:tab w:val="left" w:pos="1620"/>
              </w:tabs>
              <w:spacing w:line="400" w:lineRule="exact"/>
              <w:jc w:val="center"/>
              <w:rPr>
                <w:rFonts w:ascii="宋体" w:hAnsi="宋体" w:cs="宋体"/>
                <w:szCs w:val="21"/>
              </w:rPr>
            </w:pPr>
            <w:r>
              <w:rPr>
                <w:rFonts w:hint="eastAsia" w:ascii="宋体" w:hAnsi="宋体" w:cs="宋体"/>
                <w:szCs w:val="21"/>
              </w:rPr>
              <w:t>AI测评运行管理服务平台（云端平台）</w:t>
            </w:r>
          </w:p>
        </w:tc>
        <w:tc>
          <w:tcPr>
            <w:tcW w:w="709" w:type="dxa"/>
            <w:vAlign w:val="center"/>
          </w:tcPr>
          <w:p w14:paraId="2FD5F68C">
            <w:pPr>
              <w:tabs>
                <w:tab w:val="left" w:pos="180"/>
                <w:tab w:val="left" w:pos="1620"/>
              </w:tabs>
              <w:spacing w:line="400" w:lineRule="exact"/>
              <w:jc w:val="center"/>
              <w:rPr>
                <w:rFonts w:ascii="宋体" w:hAnsi="宋体" w:cs="宋体"/>
                <w:szCs w:val="21"/>
              </w:rPr>
            </w:pPr>
            <w:r>
              <w:rPr>
                <w:rFonts w:hint="eastAsia" w:ascii="宋体" w:hAnsi="宋体" w:cs="宋体"/>
                <w:szCs w:val="21"/>
              </w:rPr>
              <w:t>1套</w:t>
            </w:r>
          </w:p>
        </w:tc>
        <w:tc>
          <w:tcPr>
            <w:tcW w:w="6473" w:type="dxa"/>
            <w:vAlign w:val="center"/>
          </w:tcPr>
          <w:p w14:paraId="12396A68">
            <w:pPr>
              <w:widowControl/>
              <w:spacing w:line="360" w:lineRule="auto"/>
              <w:jc w:val="left"/>
              <w:rPr>
                <w:rFonts w:ascii="宋体" w:hAnsi="宋体" w:cs="Arial"/>
                <w:kern w:val="0"/>
                <w:szCs w:val="21"/>
              </w:rPr>
            </w:pPr>
            <w:r>
              <w:rPr>
                <w:rFonts w:hint="eastAsia" w:ascii="宋体" w:hAnsi="宋体" w:cs="Arial"/>
                <w:b/>
                <w:kern w:val="0"/>
                <w:szCs w:val="21"/>
              </w:rPr>
              <w:t>一</w:t>
            </w:r>
            <w:r>
              <w:rPr>
                <w:rFonts w:ascii="宋体" w:hAnsi="宋体" w:cs="Arial"/>
                <w:b/>
                <w:kern w:val="0"/>
                <w:szCs w:val="21"/>
              </w:rPr>
              <w:t>、AI</w:t>
            </w:r>
            <w:r>
              <w:rPr>
                <w:rFonts w:hint="eastAsia" w:ascii="宋体" w:hAnsi="宋体" w:cs="Arial"/>
                <w:b/>
                <w:kern w:val="0"/>
                <w:szCs w:val="21"/>
              </w:rPr>
              <w:t>测评</w:t>
            </w:r>
            <w:r>
              <w:rPr>
                <w:rFonts w:ascii="宋体" w:hAnsi="宋体" w:cs="Arial"/>
                <w:b/>
                <w:kern w:val="0"/>
                <w:szCs w:val="21"/>
              </w:rPr>
              <w:t>管理分析模块</w:t>
            </w:r>
            <w:r>
              <w:rPr>
                <w:rFonts w:ascii="宋体" w:hAnsi="宋体" w:cs="Arial"/>
                <w:b/>
                <w:kern w:val="0"/>
                <w:szCs w:val="21"/>
              </w:rPr>
              <w:br w:type="textWrapping"/>
            </w:r>
            <w:r>
              <w:rPr>
                <w:rFonts w:ascii="宋体" w:hAnsi="宋体" w:cs="Arial"/>
                <w:kern w:val="0"/>
                <w:szCs w:val="21"/>
              </w:rPr>
              <w:t>1.人员管理：支持不同角色用户的信息管理，包括</w:t>
            </w:r>
            <w:r>
              <w:rPr>
                <w:rFonts w:hint="eastAsia" w:ascii="宋体" w:hAnsi="宋体" w:cs="Arial"/>
                <w:kern w:val="0"/>
                <w:szCs w:val="21"/>
              </w:rPr>
              <w:t>管理</w:t>
            </w:r>
            <w:r>
              <w:rPr>
                <w:rFonts w:ascii="宋体" w:hAnsi="宋体" w:cs="Arial"/>
                <w:kern w:val="0"/>
                <w:szCs w:val="21"/>
              </w:rPr>
              <w:t>人员、</w:t>
            </w:r>
            <w:r>
              <w:rPr>
                <w:rFonts w:hint="eastAsia" w:ascii="宋体" w:hAnsi="宋体" w:cs="Arial"/>
                <w:kern w:val="0"/>
                <w:szCs w:val="21"/>
              </w:rPr>
              <w:t>师范生</w:t>
            </w:r>
            <w:r>
              <w:rPr>
                <w:rFonts w:ascii="宋体" w:hAnsi="宋体" w:cs="Arial"/>
                <w:kern w:val="0"/>
                <w:szCs w:val="21"/>
              </w:rPr>
              <w:t>、专家的</w:t>
            </w:r>
            <w:r>
              <w:rPr>
                <w:rFonts w:hint="eastAsia" w:ascii="宋体" w:hAnsi="宋体" w:cs="Arial"/>
                <w:kern w:val="0"/>
                <w:szCs w:val="21"/>
              </w:rPr>
              <w:t>账号信息等。</w:t>
            </w:r>
            <w:r>
              <w:rPr>
                <w:rFonts w:ascii="宋体" w:hAnsi="宋体" w:cs="Arial"/>
                <w:kern w:val="0"/>
                <w:szCs w:val="21"/>
              </w:rPr>
              <w:br w:type="textWrapping"/>
            </w:r>
            <w:r>
              <w:rPr>
                <w:rFonts w:ascii="宋体" w:hAnsi="宋体" w:cs="Arial"/>
                <w:kern w:val="0"/>
                <w:szCs w:val="21"/>
              </w:rPr>
              <w:t>2.评测管理</w:t>
            </w:r>
          </w:p>
          <w:p w14:paraId="74BDF57E">
            <w:pPr>
              <w:widowControl/>
              <w:spacing w:line="360" w:lineRule="auto"/>
              <w:jc w:val="left"/>
              <w:rPr>
                <w:rFonts w:ascii="宋体" w:hAnsi="宋体" w:cs="Arial"/>
                <w:kern w:val="0"/>
                <w:szCs w:val="21"/>
              </w:rPr>
            </w:pPr>
            <w:r>
              <w:rPr>
                <w:rFonts w:hint="eastAsia" w:ascii="宋体" w:hAnsi="宋体" w:cs="Arial"/>
                <w:kern w:val="0"/>
                <w:szCs w:val="21"/>
              </w:rPr>
              <w:t>2.1 测评</w:t>
            </w:r>
            <w:r>
              <w:rPr>
                <w:rFonts w:ascii="宋体" w:hAnsi="宋体" w:cs="Arial"/>
                <w:kern w:val="0"/>
                <w:szCs w:val="21"/>
              </w:rPr>
              <w:t>申请流程管理，</w:t>
            </w:r>
            <w:r>
              <w:rPr>
                <w:rFonts w:hint="eastAsia" w:ascii="宋体" w:hAnsi="宋体" w:cs="Arial"/>
                <w:kern w:val="0"/>
                <w:szCs w:val="21"/>
              </w:rPr>
              <w:t>实现</w:t>
            </w:r>
            <w:r>
              <w:rPr>
                <w:rFonts w:ascii="宋体" w:hAnsi="宋体" w:cs="Arial"/>
                <w:kern w:val="0"/>
                <w:szCs w:val="21"/>
              </w:rPr>
              <w:t>师范生</w:t>
            </w:r>
            <w:r>
              <w:rPr>
                <w:rFonts w:hint="eastAsia" w:ascii="宋体" w:hAnsi="宋体" w:cs="Arial"/>
                <w:kern w:val="0"/>
                <w:szCs w:val="21"/>
              </w:rPr>
              <w:t>评测</w:t>
            </w:r>
            <w:r>
              <w:rPr>
                <w:rFonts w:ascii="宋体" w:hAnsi="宋体" w:cs="Arial"/>
                <w:kern w:val="0"/>
                <w:szCs w:val="21"/>
              </w:rPr>
              <w:t>申请的填报、上传、保存、提交、审核、撤销、退回等功能，上传文件要求支持所有音视频格式，上传文件大小不受任何限制。</w:t>
            </w:r>
          </w:p>
          <w:p w14:paraId="2D1705C5">
            <w:pPr>
              <w:widowControl/>
              <w:spacing w:line="360" w:lineRule="auto"/>
              <w:jc w:val="left"/>
              <w:rPr>
                <w:rFonts w:ascii="宋体" w:hAnsi="宋体" w:cs="Arial"/>
                <w:kern w:val="0"/>
                <w:szCs w:val="21"/>
              </w:rPr>
            </w:pPr>
            <w:r>
              <w:rPr>
                <w:rFonts w:ascii="宋体" w:hAnsi="宋体" w:cs="Arial"/>
                <w:kern w:val="0"/>
                <w:szCs w:val="21"/>
              </w:rPr>
              <w:t xml:space="preserve">2.2 </w:t>
            </w:r>
            <w:r>
              <w:rPr>
                <w:rFonts w:hint="eastAsia" w:ascii="宋体" w:hAnsi="宋体" w:cs="Arial"/>
                <w:kern w:val="0"/>
                <w:szCs w:val="21"/>
              </w:rPr>
              <w:t>提供为</w:t>
            </w:r>
            <w:r>
              <w:rPr>
                <w:rFonts w:ascii="宋体" w:hAnsi="宋体" w:cs="Arial"/>
                <w:kern w:val="0"/>
                <w:szCs w:val="21"/>
              </w:rPr>
              <w:t>评测申请分配评分专家</w:t>
            </w:r>
            <w:r>
              <w:rPr>
                <w:rFonts w:hint="eastAsia" w:ascii="宋体" w:hAnsi="宋体" w:cs="Arial"/>
                <w:kern w:val="0"/>
                <w:szCs w:val="21"/>
              </w:rPr>
              <w:t>功能</w:t>
            </w:r>
            <w:r>
              <w:rPr>
                <w:rFonts w:ascii="宋体" w:hAnsi="宋体" w:cs="Arial"/>
                <w:kern w:val="0"/>
                <w:szCs w:val="21"/>
              </w:rPr>
              <w:t>，支持批量分配</w:t>
            </w:r>
            <w:r>
              <w:rPr>
                <w:rFonts w:hint="eastAsia" w:ascii="宋体" w:hAnsi="宋体" w:cs="Arial"/>
                <w:kern w:val="0"/>
                <w:szCs w:val="21"/>
              </w:rPr>
              <w:t>。</w:t>
            </w:r>
          </w:p>
          <w:p w14:paraId="1ED99BAB">
            <w:pPr>
              <w:widowControl/>
              <w:spacing w:line="360" w:lineRule="auto"/>
              <w:jc w:val="left"/>
              <w:rPr>
                <w:rFonts w:ascii="宋体" w:hAnsi="宋体" w:cs="Arial"/>
                <w:kern w:val="0"/>
                <w:szCs w:val="21"/>
              </w:rPr>
            </w:pPr>
            <w:r>
              <w:rPr>
                <w:rFonts w:ascii="宋体" w:hAnsi="宋体" w:cs="Arial"/>
                <w:kern w:val="0"/>
                <w:szCs w:val="21"/>
              </w:rPr>
              <w:t>2.3 支持查看所有</w:t>
            </w:r>
            <w:r>
              <w:rPr>
                <w:rFonts w:hint="eastAsia" w:ascii="宋体" w:hAnsi="宋体" w:cs="Arial"/>
                <w:kern w:val="0"/>
                <w:szCs w:val="21"/>
              </w:rPr>
              <w:t>师范生</w:t>
            </w:r>
            <w:r>
              <w:rPr>
                <w:rFonts w:ascii="宋体" w:hAnsi="宋体" w:cs="Arial"/>
                <w:kern w:val="0"/>
                <w:szCs w:val="21"/>
              </w:rPr>
              <w:t>的评测申请数据，包括评测基本信息、课堂数据、教学反思数据等</w:t>
            </w:r>
            <w:r>
              <w:rPr>
                <w:rFonts w:hint="eastAsia" w:ascii="宋体" w:hAnsi="宋体" w:cs="Arial"/>
                <w:kern w:val="0"/>
                <w:szCs w:val="21"/>
              </w:rPr>
              <w:t>。</w:t>
            </w:r>
          </w:p>
          <w:p w14:paraId="46E7CE8E">
            <w:pPr>
              <w:widowControl/>
              <w:spacing w:line="360" w:lineRule="auto"/>
              <w:jc w:val="left"/>
              <w:rPr>
                <w:rFonts w:ascii="宋体" w:hAnsi="宋体" w:cs="Arial"/>
                <w:kern w:val="0"/>
                <w:szCs w:val="21"/>
              </w:rPr>
            </w:pPr>
            <w:r>
              <w:rPr>
                <w:rFonts w:ascii="宋体" w:hAnsi="宋体" w:cs="Arial"/>
                <w:kern w:val="0"/>
                <w:szCs w:val="21"/>
              </w:rPr>
              <w:t>3.资源管理：</w:t>
            </w:r>
            <w:r>
              <w:rPr>
                <w:rFonts w:hint="eastAsia" w:ascii="宋体" w:hAnsi="宋体" w:cs="Arial"/>
                <w:kern w:val="0"/>
                <w:szCs w:val="21"/>
              </w:rPr>
              <w:t>可以</w:t>
            </w:r>
            <w:r>
              <w:rPr>
                <w:rFonts w:ascii="宋体" w:hAnsi="宋体" w:cs="Arial"/>
                <w:kern w:val="0"/>
                <w:szCs w:val="21"/>
              </w:rPr>
              <w:t>查看已采集的课堂音视频资源，包括录课资源、课堂语音资源、课件资源等，提供资源预览、播放等功能</w:t>
            </w:r>
            <w:r>
              <w:rPr>
                <w:rFonts w:hint="eastAsia" w:ascii="宋体" w:hAnsi="宋体" w:cs="Arial"/>
                <w:kern w:val="0"/>
                <w:szCs w:val="21"/>
              </w:rPr>
              <w:t>。</w:t>
            </w:r>
            <w:r>
              <w:rPr>
                <w:rFonts w:ascii="宋体" w:hAnsi="宋体" w:cs="Arial"/>
                <w:kern w:val="0"/>
                <w:szCs w:val="21"/>
              </w:rPr>
              <w:br w:type="textWrapping"/>
            </w:r>
            <w:r>
              <w:rPr>
                <w:rFonts w:ascii="宋体" w:hAnsi="宋体" w:cs="Arial"/>
                <w:kern w:val="0"/>
                <w:szCs w:val="21"/>
              </w:rPr>
              <w:t>4.系统管理：保证系统正常运行所需基础数据的管理和配置，包括学校信息管理、专业信息管理、学科信息管理、</w:t>
            </w:r>
            <w:r>
              <w:rPr>
                <w:rFonts w:hint="eastAsia" w:ascii="宋体" w:hAnsi="宋体" w:cs="Arial"/>
                <w:kern w:val="0"/>
                <w:szCs w:val="21"/>
              </w:rPr>
              <w:t>教室信息</w:t>
            </w:r>
            <w:r>
              <w:rPr>
                <w:rFonts w:ascii="宋体" w:hAnsi="宋体" w:cs="Arial"/>
                <w:kern w:val="0"/>
                <w:szCs w:val="21"/>
              </w:rPr>
              <w:t>、</w:t>
            </w:r>
            <w:r>
              <w:rPr>
                <w:rFonts w:hint="eastAsia" w:ascii="宋体" w:hAnsi="宋体" w:cs="Arial"/>
                <w:kern w:val="0"/>
                <w:szCs w:val="21"/>
              </w:rPr>
              <w:t>专家</w:t>
            </w:r>
            <w:r>
              <w:rPr>
                <w:rFonts w:ascii="宋体" w:hAnsi="宋体" w:cs="Arial"/>
                <w:kern w:val="0"/>
                <w:szCs w:val="21"/>
              </w:rPr>
              <w:t>信息管理、用户账号密码、角色权限等</w:t>
            </w:r>
            <w:r>
              <w:rPr>
                <w:rFonts w:hint="eastAsia" w:ascii="宋体" w:hAnsi="宋体" w:cs="Arial"/>
                <w:kern w:val="0"/>
                <w:szCs w:val="21"/>
              </w:rPr>
              <w:t>。</w:t>
            </w:r>
            <w:r>
              <w:rPr>
                <w:rFonts w:ascii="宋体" w:hAnsi="宋体" w:cs="Arial"/>
                <w:kern w:val="0"/>
                <w:szCs w:val="21"/>
              </w:rPr>
              <w:br w:type="textWrapping"/>
            </w:r>
            <w:r>
              <w:rPr>
                <w:rFonts w:ascii="宋体" w:hAnsi="宋体" w:cs="Arial"/>
                <w:kern w:val="0"/>
                <w:szCs w:val="21"/>
              </w:rPr>
              <w:t>▲5.数据统计查询和下载</w:t>
            </w:r>
          </w:p>
          <w:p w14:paraId="1A22335E">
            <w:pPr>
              <w:widowControl/>
              <w:spacing w:line="360" w:lineRule="auto"/>
              <w:jc w:val="left"/>
              <w:rPr>
                <w:rFonts w:ascii="宋体" w:hAnsi="宋体" w:cs="Arial"/>
                <w:kern w:val="0"/>
                <w:szCs w:val="21"/>
              </w:rPr>
            </w:pPr>
            <w:r>
              <w:rPr>
                <w:rFonts w:hint="eastAsia" w:ascii="宋体" w:hAnsi="宋体" w:cs="Arial"/>
                <w:kern w:val="0"/>
                <w:szCs w:val="21"/>
              </w:rPr>
              <w:t>5.1查看师范生的个人</w:t>
            </w:r>
            <w:r>
              <w:rPr>
                <w:rFonts w:ascii="宋体" w:hAnsi="宋体" w:cs="Arial"/>
                <w:kern w:val="0"/>
                <w:szCs w:val="21"/>
              </w:rPr>
              <w:t>评测档案，包含评测</w:t>
            </w:r>
            <w:r>
              <w:rPr>
                <w:rFonts w:hint="eastAsia" w:ascii="宋体" w:hAnsi="宋体" w:cs="Arial"/>
                <w:kern w:val="0"/>
                <w:szCs w:val="21"/>
              </w:rPr>
              <w:t>次数</w:t>
            </w:r>
            <w:r>
              <w:rPr>
                <w:rFonts w:ascii="宋体" w:hAnsi="宋体" w:cs="Arial"/>
                <w:kern w:val="0"/>
                <w:szCs w:val="21"/>
              </w:rPr>
              <w:t>、</w:t>
            </w:r>
            <w:r>
              <w:rPr>
                <w:rFonts w:hint="eastAsia" w:ascii="宋体" w:hAnsi="宋体" w:cs="Arial"/>
                <w:kern w:val="0"/>
                <w:szCs w:val="21"/>
              </w:rPr>
              <w:t>评测内容</w:t>
            </w:r>
            <w:r>
              <w:rPr>
                <w:rFonts w:ascii="宋体" w:hAnsi="宋体" w:cs="Arial"/>
                <w:kern w:val="0"/>
                <w:szCs w:val="21"/>
              </w:rPr>
              <w:t>、</w:t>
            </w:r>
            <w:r>
              <w:rPr>
                <w:rFonts w:hint="eastAsia" w:ascii="宋体" w:hAnsi="宋体" w:cs="Arial"/>
                <w:kern w:val="0"/>
                <w:szCs w:val="21"/>
              </w:rPr>
              <w:t>AI</w:t>
            </w:r>
            <w:r>
              <w:rPr>
                <w:rFonts w:ascii="宋体" w:hAnsi="宋体" w:cs="Arial"/>
                <w:kern w:val="0"/>
                <w:szCs w:val="21"/>
              </w:rPr>
              <w:t>评分结果、专家打分等各维度分析。</w:t>
            </w:r>
            <w:r>
              <w:rPr>
                <w:rFonts w:ascii="宋体" w:hAnsi="宋体" w:cs="Arial"/>
                <w:kern w:val="0"/>
                <w:szCs w:val="21"/>
              </w:rPr>
              <w:br w:type="textWrapping"/>
            </w:r>
            <w:r>
              <w:rPr>
                <w:rFonts w:hint="eastAsia" w:ascii="宋体" w:hAnsi="宋体" w:cs="Arial"/>
                <w:kern w:val="0"/>
                <w:szCs w:val="21"/>
              </w:rPr>
              <w:t>5.</w:t>
            </w:r>
            <w:r>
              <w:rPr>
                <w:rFonts w:ascii="宋体" w:hAnsi="宋体" w:cs="Arial"/>
                <w:kern w:val="0"/>
                <w:szCs w:val="21"/>
              </w:rPr>
              <w:t>2提供相应视频的智能分析报告，可查询、保存与下载</w:t>
            </w:r>
            <w:r>
              <w:rPr>
                <w:rFonts w:hint="eastAsia" w:ascii="宋体" w:hAnsi="宋体" w:cs="Arial"/>
                <w:kern w:val="0"/>
                <w:szCs w:val="21"/>
              </w:rPr>
              <w:t>。</w:t>
            </w:r>
            <w:r>
              <w:rPr>
                <w:rFonts w:ascii="宋体" w:hAnsi="宋体" w:cs="Arial"/>
                <w:kern w:val="0"/>
                <w:szCs w:val="21"/>
              </w:rPr>
              <w:br w:type="textWrapping"/>
            </w:r>
            <w:r>
              <w:rPr>
                <w:rFonts w:hint="eastAsia" w:ascii="宋体" w:hAnsi="宋体" w:cs="Arial"/>
                <w:kern w:val="0"/>
                <w:szCs w:val="21"/>
              </w:rPr>
              <w:t>5.</w:t>
            </w:r>
            <w:r>
              <w:rPr>
                <w:rFonts w:ascii="宋体" w:hAnsi="宋体" w:cs="Arial"/>
                <w:kern w:val="0"/>
                <w:szCs w:val="21"/>
              </w:rPr>
              <w:t>3提供学校自主分配校内教师开展专家评价及指导活动，提供相应的专家分析报告查询与下载</w:t>
            </w:r>
            <w:r>
              <w:rPr>
                <w:rFonts w:hint="eastAsia" w:ascii="宋体" w:hAnsi="宋体" w:cs="Arial"/>
                <w:kern w:val="0"/>
                <w:szCs w:val="21"/>
              </w:rPr>
              <w:t>。</w:t>
            </w:r>
            <w:r>
              <w:rPr>
                <w:rFonts w:ascii="宋体" w:hAnsi="宋体" w:cs="Arial"/>
                <w:kern w:val="0"/>
                <w:szCs w:val="21"/>
              </w:rPr>
              <w:br w:type="textWrapping"/>
            </w:r>
            <w:r>
              <w:rPr>
                <w:rFonts w:hint="eastAsia" w:ascii="宋体" w:hAnsi="宋体" w:cs="Arial"/>
                <w:kern w:val="0"/>
                <w:szCs w:val="21"/>
              </w:rPr>
              <w:t>5.</w:t>
            </w:r>
            <w:r>
              <w:rPr>
                <w:rFonts w:ascii="宋体" w:hAnsi="宋体" w:cs="Arial"/>
                <w:kern w:val="0"/>
                <w:szCs w:val="21"/>
              </w:rPr>
              <w:t>4提供自主的评测资源的存储、检索与查看下载</w:t>
            </w:r>
            <w:r>
              <w:rPr>
                <w:rFonts w:hint="eastAsia" w:ascii="宋体" w:hAnsi="宋体" w:cs="Arial"/>
                <w:kern w:val="0"/>
                <w:szCs w:val="21"/>
              </w:rPr>
              <w:t>。</w:t>
            </w:r>
          </w:p>
          <w:p w14:paraId="7674A6FD">
            <w:pPr>
              <w:widowControl/>
              <w:spacing w:line="360" w:lineRule="auto"/>
              <w:jc w:val="left"/>
              <w:rPr>
                <w:rFonts w:ascii="宋体" w:hAnsi="宋体"/>
                <w:szCs w:val="21"/>
              </w:rPr>
            </w:pPr>
            <w:r>
              <w:rPr>
                <w:rFonts w:hint="eastAsia" w:ascii="宋体" w:hAnsi="宋体" w:cs="宋体"/>
                <w:b/>
                <w:color w:val="000000"/>
                <w:szCs w:val="21"/>
              </w:rPr>
              <w:t>▲</w:t>
            </w:r>
            <w:r>
              <w:rPr>
                <w:rFonts w:hint="eastAsia" w:ascii="宋体" w:hAnsi="宋体" w:cs="宋体"/>
                <w:kern w:val="0"/>
                <w:szCs w:val="21"/>
              </w:rPr>
              <w:t>6</w:t>
            </w:r>
            <w:r>
              <w:rPr>
                <w:rFonts w:hint="eastAsia" w:ascii="宋体" w:hAnsi="宋体"/>
                <w:szCs w:val="21"/>
              </w:rPr>
              <w:t>. 数据统计分析</w:t>
            </w:r>
            <w:r>
              <w:rPr>
                <w:rFonts w:ascii="宋体" w:hAnsi="宋体"/>
                <w:szCs w:val="21"/>
              </w:rPr>
              <w:t>和大屏</w:t>
            </w:r>
            <w:r>
              <w:rPr>
                <w:rFonts w:hint="eastAsia" w:ascii="宋体" w:hAnsi="宋体"/>
                <w:szCs w:val="21"/>
              </w:rPr>
              <w:t>显示</w:t>
            </w:r>
          </w:p>
          <w:p w14:paraId="39F93B18">
            <w:pPr>
              <w:widowControl/>
              <w:spacing w:line="360" w:lineRule="auto"/>
              <w:jc w:val="left"/>
              <w:rPr>
                <w:rFonts w:ascii="宋体" w:hAnsi="宋体" w:cs="Arial"/>
                <w:kern w:val="0"/>
                <w:szCs w:val="21"/>
              </w:rPr>
            </w:pPr>
            <w:r>
              <w:rPr>
                <w:rFonts w:hint="eastAsia" w:ascii="宋体" w:hAnsi="宋体" w:cs="Arial"/>
                <w:kern w:val="0"/>
                <w:szCs w:val="21"/>
              </w:rPr>
              <w:t>6</w:t>
            </w:r>
            <w:r>
              <w:rPr>
                <w:rFonts w:ascii="宋体" w:hAnsi="宋体" w:cs="Arial"/>
                <w:kern w:val="0"/>
                <w:szCs w:val="21"/>
              </w:rPr>
              <w:t>.1 总体数据分析</w:t>
            </w:r>
            <w:r>
              <w:rPr>
                <w:rFonts w:hint="eastAsia" w:ascii="宋体" w:hAnsi="宋体" w:cs="Arial"/>
                <w:kern w:val="0"/>
                <w:szCs w:val="21"/>
              </w:rPr>
              <w:t>，</w:t>
            </w:r>
            <w:r>
              <w:rPr>
                <w:rFonts w:ascii="宋体" w:hAnsi="宋体" w:cs="Arial"/>
                <w:kern w:val="0"/>
                <w:szCs w:val="21"/>
              </w:rPr>
              <w:t>包括测评</w:t>
            </w:r>
            <w:r>
              <w:rPr>
                <w:rFonts w:hint="eastAsia" w:ascii="宋体" w:hAnsi="宋体" w:cs="Arial"/>
                <w:kern w:val="0"/>
                <w:szCs w:val="21"/>
              </w:rPr>
              <w:t>学生</w:t>
            </w:r>
            <w:r>
              <w:rPr>
                <w:rFonts w:ascii="宋体" w:hAnsi="宋体" w:cs="Arial"/>
                <w:kern w:val="0"/>
                <w:szCs w:val="21"/>
              </w:rPr>
              <w:t>、测评次数对比、</w:t>
            </w:r>
            <w:r>
              <w:rPr>
                <w:rFonts w:hint="eastAsia" w:ascii="宋体" w:hAnsi="宋体" w:cs="Arial"/>
                <w:kern w:val="0"/>
                <w:szCs w:val="21"/>
              </w:rPr>
              <w:t>师范生</w:t>
            </w:r>
            <w:r>
              <w:rPr>
                <w:rFonts w:ascii="宋体" w:hAnsi="宋体" w:cs="Arial"/>
                <w:kern w:val="0"/>
                <w:szCs w:val="21"/>
              </w:rPr>
              <w:t>能力发展趋势分析、</w:t>
            </w:r>
            <w:r>
              <w:rPr>
                <w:rFonts w:hint="eastAsia" w:ascii="宋体" w:hAnsi="宋体" w:cs="Arial"/>
                <w:kern w:val="0"/>
                <w:szCs w:val="21"/>
              </w:rPr>
              <w:t>教学</w:t>
            </w:r>
            <w:r>
              <w:rPr>
                <w:rFonts w:ascii="宋体" w:hAnsi="宋体" w:cs="Arial"/>
                <w:kern w:val="0"/>
                <w:szCs w:val="21"/>
              </w:rPr>
              <w:t>能力排行、各项指标总体水平等；</w:t>
            </w:r>
          </w:p>
          <w:p w14:paraId="62A3FEEB">
            <w:pPr>
              <w:widowControl/>
              <w:spacing w:line="360" w:lineRule="auto"/>
              <w:jc w:val="left"/>
              <w:rPr>
                <w:rFonts w:ascii="宋体" w:hAnsi="宋体" w:cs="Arial"/>
                <w:kern w:val="0"/>
                <w:szCs w:val="21"/>
              </w:rPr>
            </w:pPr>
            <w:r>
              <w:rPr>
                <w:rFonts w:hint="eastAsia" w:ascii="宋体" w:hAnsi="宋体" w:cs="Arial"/>
                <w:kern w:val="0"/>
                <w:szCs w:val="21"/>
              </w:rPr>
              <w:t>6</w:t>
            </w:r>
            <w:r>
              <w:rPr>
                <w:rFonts w:ascii="宋体" w:hAnsi="宋体" w:cs="Arial"/>
                <w:kern w:val="0"/>
                <w:szCs w:val="21"/>
              </w:rPr>
              <w:t>.2</w:t>
            </w:r>
            <w:r>
              <w:rPr>
                <w:rFonts w:hint="eastAsia" w:ascii="宋体" w:hAnsi="宋体" w:cs="Arial"/>
                <w:kern w:val="0"/>
                <w:szCs w:val="21"/>
              </w:rPr>
              <w:t>师范生</w:t>
            </w:r>
            <w:r>
              <w:rPr>
                <w:rFonts w:ascii="宋体" w:hAnsi="宋体" w:cs="Arial"/>
                <w:kern w:val="0"/>
                <w:szCs w:val="21"/>
              </w:rPr>
              <w:t>数据分析</w:t>
            </w:r>
            <w:r>
              <w:rPr>
                <w:rFonts w:hint="eastAsia" w:ascii="宋体" w:hAnsi="宋体" w:cs="Arial"/>
                <w:kern w:val="0"/>
                <w:szCs w:val="21"/>
              </w:rPr>
              <w:t>，</w:t>
            </w:r>
            <w:r>
              <w:rPr>
                <w:rFonts w:ascii="宋体" w:hAnsi="宋体" w:cs="Arial"/>
                <w:kern w:val="0"/>
                <w:szCs w:val="21"/>
              </w:rPr>
              <w:t>包括</w:t>
            </w:r>
            <w:r>
              <w:rPr>
                <w:rFonts w:hint="eastAsia" w:ascii="宋体" w:hAnsi="宋体" w:cs="Arial"/>
                <w:kern w:val="0"/>
                <w:szCs w:val="21"/>
              </w:rPr>
              <w:t>师范生</w:t>
            </w:r>
            <w:r>
              <w:rPr>
                <w:rFonts w:ascii="宋体" w:hAnsi="宋体" w:cs="Arial"/>
                <w:kern w:val="0"/>
                <w:szCs w:val="21"/>
              </w:rPr>
              <w:t>教学能力发展趋势、各项测评指标总体水平、</w:t>
            </w:r>
            <w:r>
              <w:rPr>
                <w:rFonts w:hint="eastAsia" w:ascii="宋体" w:hAnsi="宋体" w:cs="Arial"/>
                <w:kern w:val="0"/>
                <w:szCs w:val="21"/>
              </w:rPr>
              <w:t>不同</w:t>
            </w:r>
            <w:r>
              <w:rPr>
                <w:rFonts w:ascii="宋体" w:hAnsi="宋体" w:cs="Arial"/>
                <w:kern w:val="0"/>
                <w:szCs w:val="21"/>
              </w:rPr>
              <w:t>学院/</w:t>
            </w:r>
            <w:r>
              <w:rPr>
                <w:rFonts w:hint="eastAsia" w:ascii="宋体" w:hAnsi="宋体" w:cs="Arial"/>
                <w:kern w:val="0"/>
                <w:szCs w:val="21"/>
              </w:rPr>
              <w:t>专业</w:t>
            </w:r>
            <w:r>
              <w:rPr>
                <w:rFonts w:ascii="宋体" w:hAnsi="宋体" w:cs="Arial"/>
                <w:kern w:val="0"/>
                <w:szCs w:val="21"/>
              </w:rPr>
              <w:t>师范生能力排行、各年级测评对比等；</w:t>
            </w:r>
          </w:p>
          <w:p w14:paraId="615A3029">
            <w:pPr>
              <w:widowControl/>
              <w:spacing w:line="360" w:lineRule="auto"/>
              <w:jc w:val="left"/>
              <w:rPr>
                <w:rFonts w:ascii="宋体" w:hAnsi="宋体" w:cs="Arial"/>
                <w:kern w:val="0"/>
                <w:szCs w:val="21"/>
              </w:rPr>
            </w:pPr>
            <w:r>
              <w:rPr>
                <w:rFonts w:hint="eastAsia" w:ascii="宋体" w:hAnsi="宋体" w:cs="Arial"/>
                <w:kern w:val="0"/>
                <w:szCs w:val="21"/>
              </w:rPr>
              <w:t>6</w:t>
            </w:r>
            <w:r>
              <w:rPr>
                <w:rFonts w:ascii="宋体" w:hAnsi="宋体" w:cs="Arial"/>
                <w:kern w:val="0"/>
                <w:szCs w:val="21"/>
              </w:rPr>
              <w:t>.3</w:t>
            </w:r>
            <w:r>
              <w:rPr>
                <w:rFonts w:hint="eastAsia" w:ascii="宋体" w:hAnsi="宋体" w:cs="Arial"/>
                <w:kern w:val="0"/>
                <w:szCs w:val="21"/>
              </w:rPr>
              <w:t>专家</w:t>
            </w:r>
            <w:r>
              <w:rPr>
                <w:rFonts w:ascii="宋体" w:hAnsi="宋体" w:cs="Arial"/>
                <w:kern w:val="0"/>
                <w:szCs w:val="21"/>
              </w:rPr>
              <w:t>数据分析</w:t>
            </w:r>
            <w:r>
              <w:rPr>
                <w:rFonts w:hint="eastAsia" w:ascii="宋体" w:hAnsi="宋体" w:cs="Arial"/>
                <w:kern w:val="0"/>
                <w:szCs w:val="21"/>
              </w:rPr>
              <w:t>，专家听课</w:t>
            </w:r>
            <w:r>
              <w:rPr>
                <w:rFonts w:ascii="宋体" w:hAnsi="宋体" w:cs="Arial"/>
                <w:kern w:val="0"/>
                <w:szCs w:val="21"/>
              </w:rPr>
              <w:t>评课次数、不同年度</w:t>
            </w:r>
            <w:r>
              <w:rPr>
                <w:rFonts w:hint="eastAsia" w:ascii="宋体" w:hAnsi="宋体" w:cs="Arial"/>
                <w:kern w:val="0"/>
                <w:szCs w:val="21"/>
              </w:rPr>
              <w:t>/专业</w:t>
            </w:r>
            <w:r>
              <w:rPr>
                <w:rFonts w:ascii="宋体" w:hAnsi="宋体" w:cs="Arial"/>
                <w:kern w:val="0"/>
                <w:szCs w:val="21"/>
              </w:rPr>
              <w:t>专家听课评课</w:t>
            </w:r>
            <w:r>
              <w:rPr>
                <w:rFonts w:hint="eastAsia" w:ascii="宋体" w:hAnsi="宋体" w:cs="Arial"/>
                <w:kern w:val="0"/>
                <w:szCs w:val="21"/>
              </w:rPr>
              <w:t>次数</w:t>
            </w:r>
            <w:r>
              <w:rPr>
                <w:rFonts w:ascii="宋体" w:hAnsi="宋体" w:cs="Arial"/>
                <w:kern w:val="0"/>
                <w:szCs w:val="21"/>
              </w:rPr>
              <w:t>等</w:t>
            </w:r>
            <w:r>
              <w:rPr>
                <w:rFonts w:hint="eastAsia" w:ascii="宋体" w:hAnsi="宋体" w:cs="Arial"/>
                <w:kern w:val="0"/>
                <w:szCs w:val="21"/>
              </w:rPr>
              <w:t>的</w:t>
            </w:r>
            <w:r>
              <w:rPr>
                <w:rFonts w:ascii="宋体" w:hAnsi="宋体" w:cs="Arial"/>
                <w:kern w:val="0"/>
                <w:szCs w:val="21"/>
              </w:rPr>
              <w:t>统计</w:t>
            </w:r>
            <w:r>
              <w:rPr>
                <w:rFonts w:hint="eastAsia" w:ascii="宋体" w:hAnsi="宋体" w:cs="Arial"/>
                <w:kern w:val="0"/>
                <w:szCs w:val="21"/>
              </w:rPr>
              <w:t>，</w:t>
            </w:r>
            <w:r>
              <w:rPr>
                <w:rFonts w:ascii="宋体" w:hAnsi="宋体" w:cs="Arial"/>
                <w:kern w:val="0"/>
                <w:szCs w:val="21"/>
              </w:rPr>
              <w:t>并可视化大屏展示。</w:t>
            </w:r>
          </w:p>
          <w:p w14:paraId="2C84A518">
            <w:pPr>
              <w:widowControl/>
              <w:spacing w:line="360" w:lineRule="auto"/>
              <w:jc w:val="left"/>
              <w:rPr>
                <w:rFonts w:ascii="宋体" w:hAnsi="宋体"/>
                <w:szCs w:val="21"/>
              </w:rPr>
            </w:pPr>
            <w:r>
              <w:rPr>
                <w:rFonts w:hint="eastAsia" w:ascii="宋体" w:hAnsi="宋体" w:cs="宋体"/>
                <w:b/>
                <w:color w:val="000000"/>
                <w:szCs w:val="21"/>
              </w:rPr>
              <w:t>▲</w:t>
            </w:r>
            <w:r>
              <w:rPr>
                <w:rFonts w:hint="eastAsia" w:ascii="宋体" w:hAnsi="宋体" w:cs="宋体"/>
                <w:kern w:val="0"/>
                <w:szCs w:val="21"/>
              </w:rPr>
              <w:t>7</w:t>
            </w:r>
            <w:r>
              <w:rPr>
                <w:rFonts w:hint="eastAsia" w:ascii="宋体" w:hAnsi="宋体"/>
                <w:szCs w:val="21"/>
              </w:rPr>
              <w:t>. 平台及数据安全</w:t>
            </w:r>
          </w:p>
          <w:p w14:paraId="68B37DFC">
            <w:pPr>
              <w:widowControl/>
              <w:spacing w:line="360" w:lineRule="auto"/>
              <w:jc w:val="left"/>
              <w:rPr>
                <w:rFonts w:ascii="宋体" w:hAnsi="宋体" w:cs="Arial"/>
                <w:kern w:val="0"/>
                <w:szCs w:val="21"/>
              </w:rPr>
            </w:pPr>
            <w:r>
              <w:rPr>
                <w:rFonts w:hint="eastAsia" w:ascii="宋体" w:hAnsi="宋体" w:cs="Arial"/>
                <w:kern w:val="0"/>
                <w:szCs w:val="21"/>
              </w:rPr>
              <w:t>7</w:t>
            </w:r>
            <w:r>
              <w:rPr>
                <w:rFonts w:ascii="宋体" w:hAnsi="宋体" w:cs="Arial"/>
                <w:kern w:val="0"/>
                <w:szCs w:val="21"/>
              </w:rPr>
              <w:t>.1 为充分保证平台及数据安全，要求所有数据必须保存在校内服务器，并提供平台源代码进行数据处理安全验证；</w:t>
            </w:r>
          </w:p>
          <w:p w14:paraId="43A1BE18">
            <w:pPr>
              <w:widowControl/>
              <w:spacing w:line="360" w:lineRule="auto"/>
              <w:jc w:val="left"/>
              <w:rPr>
                <w:rFonts w:ascii="宋体" w:hAnsi="宋体" w:cs="Arial"/>
                <w:kern w:val="0"/>
                <w:szCs w:val="21"/>
              </w:rPr>
            </w:pPr>
            <w:r>
              <w:rPr>
                <w:rFonts w:hint="eastAsia" w:ascii="宋体" w:hAnsi="宋体" w:cs="Arial"/>
                <w:kern w:val="0"/>
                <w:szCs w:val="21"/>
              </w:rPr>
              <w:t>7.2要求平台必须具有数据自动备份、数据还原等功能。</w:t>
            </w:r>
          </w:p>
          <w:p w14:paraId="13F21430">
            <w:pPr>
              <w:widowControl/>
              <w:spacing w:line="360" w:lineRule="auto"/>
              <w:jc w:val="left"/>
              <w:rPr>
                <w:rFonts w:ascii="宋体" w:hAnsi="宋体" w:cs="Arial"/>
                <w:kern w:val="0"/>
                <w:szCs w:val="21"/>
              </w:rPr>
            </w:pPr>
            <w:r>
              <w:rPr>
                <w:rFonts w:hint="eastAsia" w:ascii="宋体" w:hAnsi="宋体" w:cs="Arial"/>
                <w:kern w:val="0"/>
                <w:szCs w:val="21"/>
              </w:rPr>
              <w:t>7.3 要求平台数据实现主、从分离配置，保障平台运行安全、平稳、顺畅。</w:t>
            </w:r>
          </w:p>
          <w:p w14:paraId="2CA18EFA">
            <w:pPr>
              <w:widowControl/>
              <w:spacing w:line="360" w:lineRule="auto"/>
              <w:jc w:val="left"/>
              <w:rPr>
                <w:rFonts w:ascii="宋体" w:hAnsi="宋体" w:cs="Arial"/>
                <w:kern w:val="0"/>
                <w:szCs w:val="21"/>
              </w:rPr>
            </w:pPr>
            <w:r>
              <w:rPr>
                <w:rFonts w:hint="eastAsia" w:ascii="宋体" w:hAnsi="宋体" w:cs="Arial"/>
                <w:kern w:val="0"/>
                <w:szCs w:val="21"/>
              </w:rPr>
              <w:t>二、AI测评运行管理服务云平台管理需求</w:t>
            </w:r>
          </w:p>
          <w:p w14:paraId="555B130D">
            <w:pPr>
              <w:widowControl/>
              <w:spacing w:line="360" w:lineRule="auto"/>
              <w:jc w:val="left"/>
              <w:rPr>
                <w:rFonts w:ascii="宋体" w:hAnsi="宋体" w:cs="Arial"/>
                <w:kern w:val="0"/>
                <w:szCs w:val="21"/>
              </w:rPr>
            </w:pPr>
            <w:r>
              <w:rPr>
                <w:rFonts w:hint="eastAsia" w:ascii="宋体" w:hAnsi="宋体" w:cs="Arial"/>
                <w:kern w:val="0"/>
                <w:szCs w:val="21"/>
              </w:rPr>
              <w:t>1.根据平台实际需求，系统支持管理功能，含：数据处理主机托管，AI分析主机托管，平台数据库托管，平台web应用托管，平台应用发布，支持主机，站点，数据库系统账号定期自动改密。</w:t>
            </w:r>
          </w:p>
          <w:p w14:paraId="77987113">
            <w:pPr>
              <w:widowControl/>
              <w:spacing w:line="360" w:lineRule="auto"/>
              <w:jc w:val="left"/>
              <w:rPr>
                <w:rFonts w:ascii="宋体" w:hAnsi="宋体" w:cs="Arial"/>
                <w:kern w:val="0"/>
                <w:szCs w:val="21"/>
              </w:rPr>
            </w:pPr>
            <w:r>
              <w:rPr>
                <w:rFonts w:hint="eastAsia" w:ascii="宋体" w:hAnsi="宋体" w:cs="Arial"/>
                <w:kern w:val="0"/>
                <w:szCs w:val="21"/>
              </w:rPr>
              <w:t>2.支持通过Chrome、Firefox、Safrai浏览器对系统进行管理及访问操作，不限操作系统类型，无需安装任何客户端插件，使用浏览器方式即可直接运维SSH、RDP、Telnet、VNC、Web应用和数据库；支持强制HTTPS访问，并随产品配备正式、可信的国际(RSA)和国密(SM2)HTTPS证书；支持强制国密浏览器访问，主动拒绝非国密浏览器访问。</w:t>
            </w:r>
          </w:p>
          <w:p w14:paraId="04F64175">
            <w:pPr>
              <w:widowControl/>
              <w:spacing w:line="360" w:lineRule="auto"/>
              <w:jc w:val="left"/>
              <w:rPr>
                <w:rFonts w:ascii="宋体" w:hAnsi="宋体" w:cs="Arial"/>
                <w:kern w:val="0"/>
                <w:szCs w:val="21"/>
              </w:rPr>
            </w:pPr>
            <w:r>
              <w:rPr>
                <w:rFonts w:hint="eastAsia" w:ascii="宋体" w:hAnsi="宋体" w:cs="Arial"/>
                <w:kern w:val="0"/>
                <w:szCs w:val="21"/>
              </w:rPr>
              <w:t>3.用户账号管理：至少可支持超级管理员、二级管理员、审计管理员、口令用户四种角色；支持通过Excel方式批量导入用户信息；支持通过Web页面批量修改用户属性，至少包含账户有效期、来源IP限制、密码有效期等；支持用户组。</w:t>
            </w:r>
          </w:p>
          <w:p w14:paraId="0DD473F3">
            <w:pPr>
              <w:widowControl/>
              <w:spacing w:line="360" w:lineRule="auto"/>
              <w:jc w:val="left"/>
              <w:rPr>
                <w:rFonts w:ascii="宋体" w:hAnsi="宋体" w:cs="Arial"/>
                <w:kern w:val="0"/>
                <w:szCs w:val="21"/>
              </w:rPr>
            </w:pPr>
            <w:r>
              <w:rPr>
                <w:rFonts w:hint="eastAsia" w:ascii="宋体" w:hAnsi="宋体" w:cs="Arial"/>
                <w:kern w:val="0"/>
                <w:szCs w:val="21"/>
              </w:rPr>
              <w:t>4.认证方式至少支持短信验证码、微信扫码登录（非企业微信）、微信公众号验证码、系统指纹/人脸识别（无需额外服务器）、国密硬件密钥；支持用户可自行绑定和解绑认证方式；当用户登录成功、登录失败、修改认证方式时使用短信或微信方式通知用户；内置弱口令数据集，禁止用户把密码修改为弱密码，并允许自定义弱口令数据集；支持强制多因子认证，支持灵活组合认证方式；认证失败后，支持以用户、IP维度临时禁止用户登录，并允许管理员手动解除。</w:t>
            </w:r>
          </w:p>
          <w:p w14:paraId="1ED440C0">
            <w:pPr>
              <w:widowControl/>
              <w:spacing w:line="360" w:lineRule="auto"/>
              <w:jc w:val="left"/>
              <w:rPr>
                <w:rFonts w:ascii="宋体" w:hAnsi="宋体" w:cs="Arial"/>
                <w:kern w:val="0"/>
                <w:szCs w:val="21"/>
              </w:rPr>
            </w:pPr>
            <w:r>
              <w:rPr>
                <w:rFonts w:hint="eastAsia" w:ascii="宋体" w:hAnsi="宋体" w:cs="Arial"/>
                <w:kern w:val="0"/>
                <w:szCs w:val="21"/>
              </w:rPr>
              <w:t>5.支持三权分立，落实国家保密标准BMB20-2007 《涉及国家秘密的信息系统分级保护管理规范》，支持安全管理员角色：对于用户创建、资源授权、系统配置修改等敏感操作需要至少两个管理员授权；普通人员对系统运维及敏感操作前需要获取管理员临时授权后方可使用系统及运维系统。</w:t>
            </w:r>
          </w:p>
          <w:p w14:paraId="76EEAEA5">
            <w:pPr>
              <w:widowControl/>
              <w:spacing w:line="360" w:lineRule="auto"/>
              <w:jc w:val="left"/>
              <w:rPr>
                <w:rFonts w:ascii="宋体" w:hAnsi="宋体" w:cs="Arial"/>
                <w:kern w:val="0"/>
                <w:szCs w:val="21"/>
              </w:rPr>
            </w:pPr>
            <w:r>
              <w:rPr>
                <w:rFonts w:hint="eastAsia" w:ascii="宋体" w:hAnsi="宋体" w:cs="Arial"/>
                <w:kern w:val="0"/>
                <w:szCs w:val="21"/>
              </w:rPr>
              <w:t>6.支持强制用户下线，并断开所有设备连接；支持用户会话限制，同一个用户同时仅能保持唯一会话，其他会话会被强制结束；支持闲置强制登出：在会话最长有效期内，允许用户配置闲置时长，即当用户连续一段时间没有任何操作，系统将自动登出。</w:t>
            </w:r>
          </w:p>
          <w:p w14:paraId="6E9A5AE1">
            <w:pPr>
              <w:widowControl/>
              <w:spacing w:line="360" w:lineRule="auto"/>
              <w:jc w:val="left"/>
              <w:rPr>
                <w:rFonts w:ascii="宋体" w:hAnsi="宋体" w:cs="Arial"/>
                <w:kern w:val="0"/>
                <w:szCs w:val="21"/>
              </w:rPr>
            </w:pPr>
            <w:r>
              <w:rPr>
                <w:rFonts w:hint="eastAsia" w:ascii="宋体" w:hAnsi="宋体" w:cs="Arial"/>
                <w:kern w:val="0"/>
                <w:szCs w:val="21"/>
              </w:rPr>
              <w:t>7.支持添加设备标签，并支持按标签筛选设备，支持通过Excel方式批量导入目标设备信息；WEB端Windows（需要能访问物理驱动器如C盘、D盘）、Linux文件管理器。</w:t>
            </w:r>
          </w:p>
          <w:p w14:paraId="0188ADBA">
            <w:pPr>
              <w:widowControl/>
              <w:spacing w:line="360" w:lineRule="auto"/>
              <w:jc w:val="left"/>
              <w:rPr>
                <w:rFonts w:ascii="宋体" w:hAnsi="宋体" w:cs="Arial"/>
                <w:kern w:val="0"/>
                <w:szCs w:val="21"/>
              </w:rPr>
            </w:pPr>
            <w:r>
              <w:rPr>
                <w:rFonts w:hint="eastAsia" w:ascii="宋体" w:hAnsi="宋体" w:cs="Arial"/>
                <w:kern w:val="0"/>
                <w:szCs w:val="21"/>
              </w:rPr>
              <w:t>8.支持设备分组，支持设备及设备组指定责任人；支持Windows、Linux、路由器、交换机、Web系统；支持数据库托管，可以在浏览器内执行SQL，无需安装客户端组件或浏览器插件，自持一键拉起本地mysql客户端（如dbeaver等），并可支持实时审计；支持Web系统代理访问，支持后台改密和自动登录，避免密码泄露，保证系统安全。</w:t>
            </w:r>
          </w:p>
          <w:p w14:paraId="0F5B99DB">
            <w:pPr>
              <w:widowControl/>
              <w:spacing w:line="360" w:lineRule="auto"/>
              <w:jc w:val="left"/>
              <w:rPr>
                <w:rFonts w:ascii="宋体" w:hAnsi="宋体" w:cs="Arial"/>
                <w:kern w:val="0"/>
                <w:szCs w:val="21"/>
              </w:rPr>
            </w:pPr>
            <w:r>
              <w:rPr>
                <w:rFonts w:hint="eastAsia" w:ascii="宋体" w:hAnsi="宋体" w:cs="Arial"/>
                <w:kern w:val="0"/>
                <w:szCs w:val="21"/>
              </w:rPr>
              <w:t>9.支持Windows、Linux/Unix、网络设备等设备系统账号密码代填。当用户需要在Linux系统上使用sudo时，支持sudo密码一键代填，避免密码泄露。Web应用系统密码代填，应用系统在使用过程中不需要输入账号密码直接免密登录系统，支持web应用系统密码定期自动更改。</w:t>
            </w:r>
          </w:p>
          <w:p w14:paraId="276BAC31">
            <w:pPr>
              <w:widowControl/>
              <w:spacing w:line="360" w:lineRule="auto"/>
              <w:jc w:val="left"/>
              <w:rPr>
                <w:rFonts w:ascii="宋体" w:hAnsi="宋体" w:cs="Arial"/>
                <w:kern w:val="0"/>
                <w:szCs w:val="21"/>
              </w:rPr>
            </w:pPr>
            <w:r>
              <w:rPr>
                <w:rFonts w:hint="eastAsia" w:ascii="宋体" w:hAnsi="宋体" w:cs="Arial"/>
                <w:kern w:val="0"/>
                <w:szCs w:val="21"/>
              </w:rPr>
              <w:t>10.资源及权限审批：运维员可主动申请权限和资源；支持对接微信公众号，管理员可在移动端实时审批并执行授权过程。</w:t>
            </w:r>
          </w:p>
          <w:p w14:paraId="5E33BB0A">
            <w:pPr>
              <w:widowControl/>
              <w:spacing w:line="360" w:lineRule="auto"/>
              <w:jc w:val="left"/>
              <w:rPr>
                <w:rFonts w:ascii="宋体" w:hAnsi="宋体" w:cs="Arial"/>
                <w:kern w:val="0"/>
                <w:szCs w:val="21"/>
              </w:rPr>
            </w:pPr>
            <w:r>
              <w:rPr>
                <w:rFonts w:hint="eastAsia" w:ascii="宋体" w:hAnsi="宋体" w:cs="Arial"/>
                <w:kern w:val="0"/>
                <w:szCs w:val="21"/>
              </w:rPr>
              <w:t>11.支持设备密码多因子，获取真实密码时，强制通过其他方式获取后半部分密码，两部分密码组合成完整的密码，防止管理员登录后没有退出系统，造成密码泄露；允许对特定设备账号执行立即改密操作，资源访问后立即轮换密码，一次一密。</w:t>
            </w:r>
          </w:p>
          <w:p w14:paraId="5E3E9149">
            <w:pPr>
              <w:widowControl/>
              <w:spacing w:line="360" w:lineRule="auto"/>
              <w:jc w:val="left"/>
              <w:rPr>
                <w:rFonts w:ascii="宋体" w:hAnsi="宋体" w:cs="Arial"/>
                <w:kern w:val="0"/>
                <w:szCs w:val="21"/>
              </w:rPr>
            </w:pPr>
            <w:r>
              <w:rPr>
                <w:rFonts w:hint="eastAsia" w:ascii="宋体" w:hAnsi="宋体" w:cs="Arial"/>
                <w:kern w:val="0"/>
                <w:szCs w:val="21"/>
              </w:rPr>
              <w:t>12.支持日志审计：应用访问日志记录，包含但不局限于 时间、目的应用、来源IP、访问用户、浏览器类型、HTTP协议版本、通讯协议、IP版本(v4/v6)、访问结果（放行、禁止等）；支持对用户认证过程进行审计，包括多因子中每个认证步骤和认证环境，包括但不仅限于IP，浏览器类型等。</w:t>
            </w:r>
          </w:p>
          <w:p w14:paraId="119C265F">
            <w:pPr>
              <w:widowControl/>
              <w:spacing w:line="360" w:lineRule="auto"/>
              <w:jc w:val="left"/>
              <w:rPr>
                <w:rFonts w:ascii="宋体" w:hAnsi="宋体" w:cs="Arial"/>
                <w:kern w:val="0"/>
                <w:szCs w:val="21"/>
              </w:rPr>
            </w:pPr>
            <w:r>
              <w:rPr>
                <w:rFonts w:hint="eastAsia" w:ascii="宋体" w:hAnsi="宋体" w:cs="Arial"/>
                <w:kern w:val="0"/>
                <w:szCs w:val="21"/>
              </w:rPr>
              <w:t>13.支持短信、微信公众号、企业微信、钉钉等多种方式告警；</w:t>
            </w:r>
          </w:p>
          <w:p w14:paraId="30F7045F">
            <w:pPr>
              <w:widowControl/>
              <w:spacing w:line="360" w:lineRule="auto"/>
              <w:jc w:val="left"/>
              <w:rPr>
                <w:rFonts w:ascii="宋体" w:hAnsi="宋体" w:cs="Arial"/>
                <w:kern w:val="0"/>
                <w:szCs w:val="21"/>
              </w:rPr>
            </w:pPr>
            <w:r>
              <w:rPr>
                <w:rFonts w:hint="eastAsia" w:ascii="宋体" w:hAnsi="宋体" w:cs="Arial"/>
                <w:kern w:val="0"/>
                <w:szCs w:val="21"/>
              </w:rPr>
              <w:t>14.支持自定义生成密码功能，用户可以根据界面上给出的相应参数，如：时间数字，设备名称首字母以及特殊字符等，通过拖拉拽的方式组合生成密码，并先备份再下发给各个设备。</w:t>
            </w:r>
          </w:p>
          <w:p w14:paraId="264183DA">
            <w:pPr>
              <w:widowControl/>
              <w:spacing w:line="360" w:lineRule="auto"/>
              <w:jc w:val="left"/>
              <w:rPr>
                <w:rFonts w:ascii="宋体" w:hAnsi="宋体" w:cs="Arial"/>
                <w:kern w:val="0"/>
                <w:szCs w:val="21"/>
              </w:rPr>
            </w:pPr>
            <w:r>
              <w:rPr>
                <w:rFonts w:hint="eastAsia" w:ascii="宋体" w:hAnsi="宋体" w:cs="Arial"/>
                <w:kern w:val="0"/>
                <w:szCs w:val="21"/>
              </w:rPr>
              <w:t>15</w:t>
            </w:r>
            <w:r>
              <w:rPr>
                <w:rFonts w:ascii="宋体" w:hAnsi="宋体" w:cs="Arial"/>
                <w:kern w:val="0"/>
                <w:szCs w:val="21"/>
              </w:rPr>
              <w:t>. 音视频</w:t>
            </w:r>
            <w:r>
              <w:rPr>
                <w:rFonts w:hint="eastAsia" w:ascii="宋体" w:hAnsi="宋体" w:cs="Arial"/>
                <w:kern w:val="0"/>
                <w:szCs w:val="21"/>
              </w:rPr>
              <w:t>数据</w:t>
            </w:r>
            <w:r>
              <w:rPr>
                <w:rFonts w:ascii="宋体" w:hAnsi="宋体" w:cs="Arial"/>
                <w:kern w:val="0"/>
                <w:szCs w:val="21"/>
              </w:rPr>
              <w:t>管理</w:t>
            </w:r>
            <w:r>
              <w:rPr>
                <w:rFonts w:hint="eastAsia" w:ascii="宋体" w:hAnsi="宋体" w:cs="Arial"/>
                <w:kern w:val="0"/>
                <w:szCs w:val="21"/>
              </w:rPr>
              <w:t>.</w:t>
            </w:r>
            <w:r>
              <w:rPr>
                <w:rFonts w:hint="eastAsia" w:ascii="宋体" w:hAnsi="宋体" w:cs="Arial"/>
                <w:szCs w:val="21"/>
              </w:rPr>
              <w:t>与</w:t>
            </w:r>
            <w:r>
              <w:rPr>
                <w:rFonts w:ascii="宋体" w:hAnsi="宋体" w:cs="Arial"/>
                <w:szCs w:val="21"/>
              </w:rPr>
              <w:t>安装在各个</w:t>
            </w:r>
            <w:r>
              <w:rPr>
                <w:rFonts w:hint="eastAsia" w:ascii="宋体" w:hAnsi="宋体" w:cs="Arial"/>
                <w:szCs w:val="21"/>
              </w:rPr>
              <w:t>测评</w:t>
            </w:r>
            <w:r>
              <w:rPr>
                <w:rFonts w:ascii="宋体" w:hAnsi="宋体" w:cs="Arial"/>
                <w:szCs w:val="21"/>
              </w:rPr>
              <w:t>教室的AI</w:t>
            </w:r>
            <w:r>
              <w:rPr>
                <w:rFonts w:hint="eastAsia" w:ascii="宋体" w:hAnsi="宋体" w:cs="Arial"/>
                <w:szCs w:val="21"/>
              </w:rPr>
              <w:t>师范生教学能力评测系统</w:t>
            </w:r>
            <w:r>
              <w:rPr>
                <w:rFonts w:hint="eastAsia" w:ascii="宋体" w:hAnsi="宋体" w:cs="Arial"/>
                <w:kern w:val="0"/>
                <w:szCs w:val="21"/>
              </w:rPr>
              <w:t>进行</w:t>
            </w:r>
            <w:r>
              <w:rPr>
                <w:rFonts w:ascii="宋体" w:hAnsi="宋体" w:cs="Arial"/>
                <w:kern w:val="0"/>
                <w:szCs w:val="21"/>
              </w:rPr>
              <w:t>对接，实现对各个教室音视频数据的</w:t>
            </w:r>
            <w:r>
              <w:rPr>
                <w:rFonts w:hint="eastAsia" w:ascii="宋体" w:hAnsi="宋体" w:cs="Arial"/>
                <w:kern w:val="0"/>
                <w:szCs w:val="21"/>
              </w:rPr>
              <w:t>汇聚</w:t>
            </w:r>
            <w:r>
              <w:rPr>
                <w:rFonts w:ascii="宋体" w:hAnsi="宋体" w:cs="Arial"/>
                <w:kern w:val="0"/>
                <w:szCs w:val="21"/>
              </w:rPr>
              <w:t>、保存、统计、浏览、查询等。</w:t>
            </w:r>
          </w:p>
          <w:p w14:paraId="4528DCD2">
            <w:pPr>
              <w:widowControl/>
              <w:spacing w:line="360" w:lineRule="auto"/>
              <w:jc w:val="left"/>
              <w:rPr>
                <w:rFonts w:ascii="宋体" w:hAnsi="宋体" w:cs="Arial"/>
                <w:kern w:val="0"/>
                <w:szCs w:val="21"/>
              </w:rPr>
            </w:pPr>
            <w:r>
              <w:rPr>
                <w:rFonts w:hint="eastAsia" w:ascii="宋体" w:hAnsi="宋体" w:cs="Arial"/>
                <w:kern w:val="0"/>
                <w:szCs w:val="21"/>
              </w:rPr>
              <w:t>16</w:t>
            </w:r>
            <w:r>
              <w:rPr>
                <w:rFonts w:ascii="宋体" w:hAnsi="宋体" w:cs="Arial"/>
                <w:kern w:val="0"/>
                <w:szCs w:val="21"/>
              </w:rPr>
              <w:t>. 日志管理。包括用户操作日志记录、系统运行日志管理等。</w:t>
            </w:r>
          </w:p>
          <w:p w14:paraId="3D0FEE7A">
            <w:pPr>
              <w:widowControl/>
              <w:spacing w:line="360" w:lineRule="auto"/>
              <w:jc w:val="left"/>
              <w:rPr>
                <w:rFonts w:ascii="宋体" w:hAnsi="宋体" w:cs="Arial"/>
                <w:kern w:val="0"/>
                <w:szCs w:val="21"/>
              </w:rPr>
            </w:pPr>
            <w:r>
              <w:rPr>
                <w:rFonts w:hint="eastAsia" w:ascii="宋体" w:hAnsi="宋体" w:cs="Arial"/>
                <w:kern w:val="0"/>
                <w:szCs w:val="21"/>
              </w:rPr>
              <w:t>17. 后台参数设置管理。要求平台提供的所有后台参数功能（评分指标的各项指标定义、比例、分值等全部评价项目）设置必须开放给后台管理员进行参数修改设置和操作。</w:t>
            </w:r>
          </w:p>
          <w:p w14:paraId="785A6F65">
            <w:pPr>
              <w:widowControl/>
              <w:spacing w:line="360" w:lineRule="auto"/>
              <w:jc w:val="left"/>
              <w:rPr>
                <w:rFonts w:ascii="宋体" w:hAnsi="宋体" w:cs="Arial"/>
                <w:kern w:val="0"/>
                <w:szCs w:val="21"/>
              </w:rPr>
            </w:pPr>
            <w:r>
              <w:rPr>
                <w:rFonts w:hint="eastAsia" w:ascii="宋体" w:hAnsi="宋体" w:cs="宋体"/>
                <w:b/>
                <w:color w:val="000000"/>
                <w:szCs w:val="21"/>
              </w:rPr>
              <w:t>▲</w:t>
            </w:r>
            <w:r>
              <w:rPr>
                <w:rFonts w:hint="eastAsia" w:ascii="宋体" w:hAnsi="宋体" w:cs="Arial"/>
                <w:kern w:val="0"/>
                <w:szCs w:val="21"/>
              </w:rPr>
              <w:t>三、平台技术支持</w:t>
            </w:r>
          </w:p>
          <w:p w14:paraId="31C42AC1">
            <w:pPr>
              <w:widowControl/>
              <w:spacing w:line="360" w:lineRule="auto"/>
              <w:jc w:val="left"/>
              <w:rPr>
                <w:rFonts w:ascii="宋体" w:hAnsi="宋体" w:cs="Arial"/>
                <w:kern w:val="0"/>
                <w:szCs w:val="21"/>
              </w:rPr>
            </w:pPr>
            <w:r>
              <w:rPr>
                <w:rFonts w:hint="eastAsia" w:ascii="宋体" w:hAnsi="宋体" w:cs="Arial"/>
                <w:kern w:val="0"/>
                <w:szCs w:val="21"/>
              </w:rPr>
              <w:t>1.根据学校实际需求，必须提供定制化技术支持服务，以满足学校不同师范类专业的测评需求，确保平台功能覆盖学校所有师范类专业的个性化需求。</w:t>
            </w:r>
          </w:p>
          <w:p w14:paraId="3341E785">
            <w:pPr>
              <w:widowControl/>
              <w:spacing w:line="360" w:lineRule="auto"/>
              <w:jc w:val="left"/>
              <w:rPr>
                <w:rFonts w:ascii="宋体" w:hAnsi="宋体" w:cs="Arial"/>
                <w:kern w:val="0"/>
                <w:szCs w:val="21"/>
              </w:rPr>
            </w:pPr>
            <w:r>
              <w:rPr>
                <w:rFonts w:hint="eastAsia" w:ascii="宋体" w:hAnsi="宋体" w:cs="Arial"/>
                <w:kern w:val="0"/>
                <w:szCs w:val="21"/>
              </w:rPr>
              <w:t>2.要求部署在学校服务器上，并提供云平台部署架构；</w:t>
            </w:r>
          </w:p>
          <w:p w14:paraId="3C146496">
            <w:pPr>
              <w:widowControl/>
              <w:spacing w:line="360" w:lineRule="auto"/>
              <w:jc w:val="left"/>
              <w:rPr>
                <w:rFonts w:ascii="宋体" w:hAnsi="宋体" w:cs="Arial"/>
                <w:kern w:val="0"/>
                <w:szCs w:val="21"/>
              </w:rPr>
            </w:pPr>
            <w:r>
              <w:rPr>
                <w:rFonts w:hint="eastAsia" w:ascii="宋体" w:hAnsi="宋体" w:cs="Arial"/>
                <w:kern w:val="0"/>
                <w:szCs w:val="21"/>
              </w:rPr>
              <w:t>3.支持8台AI测评终端同时在线录制；</w:t>
            </w:r>
          </w:p>
          <w:p w14:paraId="179E5756">
            <w:pPr>
              <w:widowControl/>
              <w:spacing w:line="360" w:lineRule="auto"/>
              <w:jc w:val="left"/>
              <w:rPr>
                <w:rFonts w:ascii="宋体" w:hAnsi="宋体" w:cs="Arial"/>
                <w:kern w:val="0"/>
                <w:szCs w:val="21"/>
              </w:rPr>
            </w:pPr>
            <w:r>
              <w:rPr>
                <w:rFonts w:hint="eastAsia" w:ascii="宋体" w:hAnsi="宋体" w:cs="Arial"/>
                <w:kern w:val="0"/>
                <w:szCs w:val="21"/>
              </w:rPr>
              <w:t>4.为用户提供国家网络安全等级保护测评技术支持。</w:t>
            </w:r>
          </w:p>
          <w:p w14:paraId="59152C90">
            <w:pPr>
              <w:widowControl/>
              <w:spacing w:line="360" w:lineRule="auto"/>
              <w:jc w:val="left"/>
              <w:rPr>
                <w:rFonts w:ascii="宋体" w:hAnsi="宋体" w:cs="Arial"/>
                <w:kern w:val="0"/>
                <w:szCs w:val="21"/>
              </w:rPr>
            </w:pPr>
            <w:r>
              <w:rPr>
                <w:rFonts w:hint="eastAsia" w:ascii="宋体" w:hAnsi="宋体" w:cs="Arial"/>
                <w:kern w:val="0"/>
                <w:szCs w:val="21"/>
              </w:rPr>
              <w:t>5、要求与学校2024年建成的师范生教学能力</w:t>
            </w:r>
            <w:r>
              <w:rPr>
                <w:rFonts w:ascii="宋体" w:hAnsi="宋体" w:cs="Arial"/>
                <w:kern w:val="0"/>
                <w:szCs w:val="21"/>
              </w:rPr>
              <w:t>AI测评</w:t>
            </w:r>
            <w:r>
              <w:rPr>
                <w:rFonts w:hint="eastAsia" w:ascii="宋体" w:hAnsi="宋体" w:cs="Arial"/>
                <w:kern w:val="0"/>
                <w:szCs w:val="21"/>
              </w:rPr>
              <w:t>系统平台</w:t>
            </w:r>
            <w:r>
              <w:rPr>
                <w:rFonts w:ascii="宋体" w:hAnsi="宋体" w:cs="Arial"/>
                <w:kern w:val="0"/>
                <w:szCs w:val="21"/>
              </w:rPr>
              <w:t>无缝兼容对接</w:t>
            </w:r>
            <w:r>
              <w:rPr>
                <w:rFonts w:hint="eastAsia" w:ascii="宋体" w:hAnsi="宋体" w:cs="Arial"/>
                <w:kern w:val="0"/>
                <w:szCs w:val="21"/>
              </w:rPr>
              <w:t>；</w:t>
            </w:r>
            <w:r>
              <w:rPr>
                <w:rFonts w:hint="eastAsia" w:ascii="宋体" w:hAnsi="宋体" w:cs="Arial"/>
                <w:b/>
                <w:kern w:val="0"/>
                <w:szCs w:val="21"/>
              </w:rPr>
              <w:t>提供承诺书，并加盖供应商C</w:t>
            </w:r>
            <w:r>
              <w:rPr>
                <w:rFonts w:ascii="宋体" w:hAnsi="宋体" w:cs="Arial"/>
                <w:b/>
                <w:kern w:val="0"/>
                <w:szCs w:val="21"/>
              </w:rPr>
              <w:t>A</w:t>
            </w:r>
            <w:r>
              <w:rPr>
                <w:rFonts w:hint="eastAsia" w:ascii="宋体" w:hAnsi="宋体" w:cs="Arial"/>
                <w:b/>
                <w:kern w:val="0"/>
                <w:szCs w:val="21"/>
              </w:rPr>
              <w:t>签章，必须提供，否则响应文件按无效响应处理。</w:t>
            </w:r>
          </w:p>
          <w:p w14:paraId="5441037E">
            <w:pPr>
              <w:widowControl/>
              <w:spacing w:line="360" w:lineRule="auto"/>
              <w:jc w:val="left"/>
              <w:rPr>
                <w:rFonts w:ascii="宋体" w:hAnsi="宋体" w:cs="宋体"/>
                <w:b/>
                <w:bCs/>
                <w:szCs w:val="21"/>
              </w:rPr>
            </w:pPr>
            <w:r>
              <w:rPr>
                <w:rFonts w:hint="eastAsia" w:ascii="宋体" w:hAnsi="宋体" w:cs="Arial"/>
                <w:kern w:val="0"/>
                <w:szCs w:val="21"/>
              </w:rPr>
              <w:t>四、验收时提供与学校</w:t>
            </w:r>
            <w:r>
              <w:rPr>
                <w:rFonts w:ascii="宋体" w:hAnsi="宋体" w:cs="Arial"/>
                <w:kern w:val="0"/>
                <w:szCs w:val="21"/>
              </w:rPr>
              <w:t>2024</w:t>
            </w:r>
            <w:r>
              <w:rPr>
                <w:rFonts w:hint="eastAsia" w:ascii="宋体" w:hAnsi="宋体" w:cs="Arial"/>
                <w:kern w:val="0"/>
                <w:szCs w:val="21"/>
              </w:rPr>
              <w:t>年建成的师范生教学能力</w:t>
            </w:r>
            <w:r>
              <w:rPr>
                <w:rFonts w:ascii="宋体" w:hAnsi="宋体" w:cs="Arial"/>
                <w:kern w:val="0"/>
                <w:szCs w:val="21"/>
              </w:rPr>
              <w:t>AI</w:t>
            </w:r>
            <w:r>
              <w:rPr>
                <w:rFonts w:hint="eastAsia" w:ascii="宋体" w:hAnsi="宋体" w:cs="Arial"/>
                <w:kern w:val="0"/>
                <w:szCs w:val="21"/>
              </w:rPr>
              <w:t>测评系统平台无缝兼容对接演示，如演示不符合采购要求，采购人有权不予验收。</w:t>
            </w:r>
          </w:p>
        </w:tc>
      </w:tr>
      <w:tr w14:paraId="2F8A0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666" w:type="dxa"/>
            <w:tcBorders>
              <w:right w:val="single" w:color="auto" w:sz="4" w:space="0"/>
            </w:tcBorders>
            <w:vAlign w:val="center"/>
          </w:tcPr>
          <w:p w14:paraId="33956EE8">
            <w:pPr>
              <w:tabs>
                <w:tab w:val="left" w:pos="180"/>
                <w:tab w:val="left" w:pos="1620"/>
              </w:tabs>
              <w:spacing w:line="320" w:lineRule="exact"/>
              <w:jc w:val="center"/>
              <w:rPr>
                <w:rFonts w:ascii="宋体" w:hAnsi="宋体" w:cs="宋体"/>
                <w:szCs w:val="21"/>
              </w:rPr>
            </w:pPr>
            <w:r>
              <w:rPr>
                <w:rFonts w:hint="eastAsia" w:ascii="宋体" w:hAnsi="宋体" w:cs="宋体"/>
                <w:szCs w:val="21"/>
              </w:rPr>
              <w:t>2</w:t>
            </w:r>
          </w:p>
        </w:tc>
        <w:tc>
          <w:tcPr>
            <w:tcW w:w="1608" w:type="dxa"/>
            <w:gridSpan w:val="2"/>
            <w:tcBorders>
              <w:left w:val="single" w:color="auto" w:sz="4" w:space="0"/>
            </w:tcBorders>
            <w:vAlign w:val="center"/>
          </w:tcPr>
          <w:p w14:paraId="059267AD">
            <w:pPr>
              <w:tabs>
                <w:tab w:val="left" w:pos="180"/>
                <w:tab w:val="left" w:pos="1620"/>
              </w:tabs>
              <w:spacing w:line="400" w:lineRule="exact"/>
              <w:jc w:val="center"/>
              <w:rPr>
                <w:rFonts w:ascii="宋体" w:hAnsi="宋体" w:cs="宋体"/>
                <w:szCs w:val="21"/>
              </w:rPr>
            </w:pPr>
            <w:r>
              <w:rPr>
                <w:rFonts w:hint="eastAsia" w:ascii="宋体" w:hAnsi="宋体" w:cs="宋体"/>
                <w:szCs w:val="21"/>
              </w:rPr>
              <w:t>AI师范生教学能力测评系统（终端子系统）</w:t>
            </w:r>
          </w:p>
        </w:tc>
        <w:tc>
          <w:tcPr>
            <w:tcW w:w="709" w:type="dxa"/>
            <w:vAlign w:val="center"/>
          </w:tcPr>
          <w:p w14:paraId="172CF3C2">
            <w:pPr>
              <w:tabs>
                <w:tab w:val="left" w:pos="180"/>
                <w:tab w:val="left" w:pos="1620"/>
              </w:tabs>
              <w:spacing w:line="400" w:lineRule="exact"/>
              <w:jc w:val="center"/>
              <w:rPr>
                <w:rFonts w:ascii="宋体" w:hAnsi="宋体" w:cs="宋体"/>
                <w:szCs w:val="21"/>
              </w:rPr>
            </w:pPr>
            <w:r>
              <w:rPr>
                <w:rFonts w:ascii="宋体" w:hAnsi="宋体" w:cs="宋体"/>
                <w:szCs w:val="21"/>
              </w:rPr>
              <w:t>8</w:t>
            </w:r>
            <w:r>
              <w:rPr>
                <w:rFonts w:hint="eastAsia" w:ascii="宋体" w:hAnsi="宋体" w:cs="宋体"/>
                <w:szCs w:val="21"/>
              </w:rPr>
              <w:t>套</w:t>
            </w:r>
          </w:p>
        </w:tc>
        <w:tc>
          <w:tcPr>
            <w:tcW w:w="6473" w:type="dxa"/>
            <w:vAlign w:val="center"/>
          </w:tcPr>
          <w:p w14:paraId="1B976814">
            <w:pPr>
              <w:widowControl/>
              <w:spacing w:line="360" w:lineRule="auto"/>
              <w:jc w:val="left"/>
              <w:rPr>
                <w:rFonts w:ascii="宋体" w:hAnsi="宋体" w:cs="Arial"/>
                <w:b/>
                <w:kern w:val="0"/>
                <w:szCs w:val="21"/>
              </w:rPr>
            </w:pPr>
            <w:r>
              <w:rPr>
                <w:rFonts w:ascii="宋体" w:hAnsi="宋体" w:cs="Arial"/>
                <w:b/>
                <w:kern w:val="0"/>
                <w:szCs w:val="21"/>
              </w:rPr>
              <w:t>一、</w:t>
            </w:r>
            <w:r>
              <w:rPr>
                <w:rFonts w:hint="eastAsia" w:ascii="宋体" w:hAnsi="宋体" w:cs="Arial"/>
                <w:b/>
                <w:kern w:val="0"/>
                <w:szCs w:val="21"/>
              </w:rPr>
              <w:t>师范生教学测评功能</w:t>
            </w:r>
            <w:r>
              <w:rPr>
                <w:rFonts w:ascii="宋体" w:hAnsi="宋体" w:cs="Arial"/>
                <w:b/>
                <w:kern w:val="0"/>
                <w:szCs w:val="21"/>
              </w:rPr>
              <w:t>模块</w:t>
            </w:r>
          </w:p>
          <w:p w14:paraId="0103F222">
            <w:pPr>
              <w:widowControl/>
              <w:spacing w:line="360" w:lineRule="auto"/>
              <w:jc w:val="left"/>
              <w:rPr>
                <w:rFonts w:ascii="宋体" w:hAnsi="宋体" w:cs="Arial"/>
                <w:kern w:val="0"/>
                <w:szCs w:val="21"/>
              </w:rPr>
            </w:pPr>
            <w:r>
              <w:rPr>
                <w:rFonts w:ascii="宋体" w:hAnsi="宋体" w:cs="Arial"/>
                <w:kern w:val="0"/>
                <w:szCs w:val="21"/>
              </w:rPr>
              <w:t>▲1.评测申请</w:t>
            </w:r>
            <w:r>
              <w:rPr>
                <w:rFonts w:ascii="宋体" w:hAnsi="宋体" w:cs="Arial"/>
                <w:kern w:val="0"/>
                <w:szCs w:val="21"/>
              </w:rPr>
              <w:br w:type="textWrapping"/>
            </w:r>
            <w:r>
              <w:rPr>
                <w:rFonts w:ascii="宋体" w:hAnsi="宋体" w:cs="Arial"/>
                <w:kern w:val="0"/>
                <w:szCs w:val="21"/>
              </w:rPr>
              <w:t>1.1</w:t>
            </w:r>
            <w:r>
              <w:rPr>
                <w:rFonts w:hint="eastAsia" w:ascii="宋体" w:hAnsi="宋体" w:cs="Arial"/>
                <w:kern w:val="0"/>
                <w:szCs w:val="21"/>
              </w:rPr>
              <w:t>师范生</w:t>
            </w:r>
            <w:r>
              <w:rPr>
                <w:rFonts w:ascii="宋体" w:hAnsi="宋体" w:cs="Arial"/>
                <w:kern w:val="0"/>
                <w:szCs w:val="21"/>
              </w:rPr>
              <w:t>填写评测</w:t>
            </w:r>
            <w:r>
              <w:rPr>
                <w:rFonts w:hint="eastAsia" w:ascii="宋体" w:hAnsi="宋体" w:cs="Arial"/>
                <w:kern w:val="0"/>
                <w:szCs w:val="21"/>
              </w:rPr>
              <w:t>申请</w:t>
            </w:r>
            <w:r>
              <w:rPr>
                <w:rFonts w:ascii="宋体" w:hAnsi="宋体" w:cs="Arial"/>
                <w:kern w:val="0"/>
                <w:szCs w:val="21"/>
              </w:rPr>
              <w:t>表，</w:t>
            </w:r>
            <w:r>
              <w:rPr>
                <w:rFonts w:hint="eastAsia" w:ascii="宋体" w:hAnsi="宋体" w:cs="Arial"/>
                <w:kern w:val="0"/>
                <w:szCs w:val="21"/>
              </w:rPr>
              <w:t>填写</w:t>
            </w:r>
            <w:r>
              <w:rPr>
                <w:rFonts w:ascii="宋体" w:hAnsi="宋体" w:cs="Arial"/>
                <w:kern w:val="0"/>
                <w:szCs w:val="21"/>
              </w:rPr>
              <w:t>课程基本信息，上传或者录制视频、课件</w:t>
            </w:r>
            <w:r>
              <w:rPr>
                <w:rFonts w:hint="eastAsia" w:ascii="宋体" w:hAnsi="宋体" w:cs="Arial"/>
                <w:kern w:val="0"/>
                <w:szCs w:val="21"/>
              </w:rPr>
              <w:t>、</w:t>
            </w:r>
            <w:r>
              <w:rPr>
                <w:rFonts w:ascii="宋体" w:hAnsi="宋体" w:cs="Arial"/>
                <w:kern w:val="0"/>
                <w:szCs w:val="21"/>
              </w:rPr>
              <w:t>教案等评测资源，要求支持目前</w:t>
            </w:r>
            <w:r>
              <w:rPr>
                <w:rFonts w:hint="eastAsia" w:ascii="宋体" w:hAnsi="宋体" w:cs="Arial"/>
                <w:kern w:val="0"/>
                <w:szCs w:val="21"/>
              </w:rPr>
              <w:t>主流的MP</w:t>
            </w:r>
            <w:r>
              <w:rPr>
                <w:rFonts w:ascii="宋体" w:hAnsi="宋体" w:cs="Arial"/>
                <w:kern w:val="0"/>
                <w:szCs w:val="21"/>
              </w:rPr>
              <w:t>4、</w:t>
            </w:r>
            <w:r>
              <w:rPr>
                <w:rFonts w:hint="eastAsia" w:ascii="宋体" w:hAnsi="宋体" w:cs="Arial"/>
                <w:kern w:val="0"/>
                <w:szCs w:val="21"/>
              </w:rPr>
              <w:t>AVI</w:t>
            </w:r>
            <w:r>
              <w:rPr>
                <w:rFonts w:ascii="宋体" w:hAnsi="宋体" w:cs="Arial"/>
                <w:kern w:val="0"/>
                <w:szCs w:val="21"/>
              </w:rPr>
              <w:t>、M</w:t>
            </w:r>
            <w:r>
              <w:rPr>
                <w:rFonts w:hint="eastAsia" w:ascii="宋体" w:hAnsi="宋体" w:cs="Arial"/>
                <w:kern w:val="0"/>
                <w:szCs w:val="21"/>
              </w:rPr>
              <w:t>OV、WMV、FLV、MKV、MPEG视频格式，上传视频文件大小不受限制</w:t>
            </w:r>
            <w:r>
              <w:rPr>
                <w:rFonts w:ascii="宋体" w:hAnsi="宋体" w:cs="Arial"/>
                <w:kern w:val="0"/>
                <w:szCs w:val="21"/>
              </w:rPr>
              <w:t>。</w:t>
            </w:r>
          </w:p>
          <w:p w14:paraId="63C883BE">
            <w:pPr>
              <w:widowControl/>
              <w:spacing w:line="360" w:lineRule="auto"/>
              <w:jc w:val="left"/>
              <w:rPr>
                <w:rFonts w:ascii="宋体" w:hAnsi="宋体" w:cs="Arial"/>
                <w:kern w:val="0"/>
                <w:szCs w:val="21"/>
              </w:rPr>
            </w:pPr>
            <w:r>
              <w:rPr>
                <w:rFonts w:ascii="宋体" w:hAnsi="宋体" w:cs="Arial"/>
                <w:kern w:val="0"/>
                <w:szCs w:val="21"/>
              </w:rPr>
              <w:t>1.2</w:t>
            </w:r>
            <w:r>
              <w:rPr>
                <w:rFonts w:hint="eastAsia" w:ascii="宋体" w:hAnsi="宋体" w:cs="Arial"/>
                <w:kern w:val="0"/>
                <w:szCs w:val="21"/>
              </w:rPr>
              <w:t>提供</w:t>
            </w:r>
            <w:r>
              <w:rPr>
                <w:rFonts w:ascii="宋体" w:hAnsi="宋体" w:cs="Arial"/>
                <w:kern w:val="0"/>
                <w:szCs w:val="21"/>
              </w:rPr>
              <w:t>评测申请</w:t>
            </w:r>
            <w:r>
              <w:rPr>
                <w:rFonts w:hint="eastAsia" w:ascii="宋体" w:hAnsi="宋体" w:cs="Arial"/>
                <w:kern w:val="0"/>
                <w:szCs w:val="21"/>
              </w:rPr>
              <w:t>的预约、</w:t>
            </w:r>
            <w:r>
              <w:rPr>
                <w:rFonts w:ascii="宋体" w:hAnsi="宋体" w:cs="Arial"/>
                <w:kern w:val="0"/>
                <w:szCs w:val="21"/>
              </w:rPr>
              <w:t>提交、撤销等功能</w:t>
            </w:r>
            <w:r>
              <w:rPr>
                <w:rFonts w:hint="eastAsia" w:ascii="宋体" w:hAnsi="宋体" w:cs="Arial"/>
                <w:kern w:val="0"/>
                <w:szCs w:val="21"/>
              </w:rPr>
              <w:t>。</w:t>
            </w:r>
          </w:p>
          <w:p w14:paraId="655F91AC">
            <w:pPr>
              <w:widowControl/>
              <w:spacing w:line="360" w:lineRule="auto"/>
              <w:jc w:val="left"/>
              <w:rPr>
                <w:rFonts w:ascii="宋体" w:hAnsi="宋体" w:cs="Arial"/>
                <w:kern w:val="0"/>
                <w:szCs w:val="21"/>
              </w:rPr>
            </w:pPr>
            <w:r>
              <w:rPr>
                <w:rFonts w:ascii="宋体" w:hAnsi="宋体" w:cs="Arial"/>
                <w:kern w:val="0"/>
                <w:szCs w:val="21"/>
              </w:rPr>
              <w:t>2. 音视频</w:t>
            </w:r>
            <w:r>
              <w:rPr>
                <w:rFonts w:hint="eastAsia" w:ascii="宋体" w:hAnsi="宋体" w:cs="Arial"/>
                <w:kern w:val="0"/>
                <w:szCs w:val="21"/>
              </w:rPr>
              <w:t>采集</w:t>
            </w:r>
          </w:p>
          <w:p w14:paraId="1D844CB7">
            <w:pPr>
              <w:widowControl/>
              <w:spacing w:line="360" w:lineRule="auto"/>
              <w:jc w:val="left"/>
              <w:rPr>
                <w:rFonts w:ascii="宋体" w:hAnsi="宋体" w:cs="Arial"/>
                <w:kern w:val="0"/>
                <w:szCs w:val="21"/>
              </w:rPr>
            </w:pPr>
            <w:r>
              <w:rPr>
                <w:rFonts w:hint="eastAsia" w:ascii="宋体" w:hAnsi="宋体" w:cs="Arial"/>
                <w:kern w:val="0"/>
                <w:szCs w:val="21"/>
              </w:rPr>
              <w:t>系统必须</w:t>
            </w:r>
            <w:r>
              <w:rPr>
                <w:rFonts w:ascii="宋体" w:hAnsi="宋体" w:cs="Arial"/>
                <w:kern w:val="0"/>
                <w:szCs w:val="21"/>
              </w:rPr>
              <w:t>能</w:t>
            </w:r>
            <w:r>
              <w:rPr>
                <w:rFonts w:hint="eastAsia" w:ascii="宋体" w:hAnsi="宋体" w:cs="Arial"/>
                <w:kern w:val="0"/>
                <w:szCs w:val="21"/>
              </w:rPr>
              <w:t>与</w:t>
            </w:r>
            <w:r>
              <w:rPr>
                <w:rFonts w:ascii="宋体" w:hAnsi="宋体" w:cs="Arial"/>
                <w:kern w:val="0"/>
                <w:szCs w:val="21"/>
              </w:rPr>
              <w:t>用户现有</w:t>
            </w:r>
            <w:r>
              <w:rPr>
                <w:rFonts w:hint="eastAsia" w:ascii="宋体" w:hAnsi="宋体" w:cs="Arial"/>
                <w:kern w:val="0"/>
                <w:szCs w:val="21"/>
              </w:rPr>
              <w:t>智慧</w:t>
            </w:r>
            <w:r>
              <w:rPr>
                <w:rFonts w:ascii="宋体" w:hAnsi="宋体" w:cs="Arial"/>
                <w:kern w:val="0"/>
                <w:szCs w:val="21"/>
              </w:rPr>
              <w:t>教室的</w:t>
            </w:r>
            <w:r>
              <w:rPr>
                <w:rFonts w:hint="eastAsia" w:ascii="宋体" w:hAnsi="宋体" w:cs="Arial"/>
                <w:kern w:val="0"/>
                <w:szCs w:val="21"/>
              </w:rPr>
              <w:t>摄像头</w:t>
            </w:r>
            <w:r>
              <w:rPr>
                <w:rFonts w:ascii="宋体" w:hAnsi="宋体" w:cs="Arial"/>
                <w:kern w:val="0"/>
                <w:szCs w:val="21"/>
              </w:rPr>
              <w:t>或音视频采集主机</w:t>
            </w:r>
            <w:r>
              <w:rPr>
                <w:rFonts w:hint="eastAsia" w:ascii="宋体" w:hAnsi="宋体" w:cs="Arial"/>
                <w:kern w:val="0"/>
                <w:szCs w:val="21"/>
              </w:rPr>
              <w:t>对接</w:t>
            </w:r>
            <w:r>
              <w:rPr>
                <w:rFonts w:ascii="宋体" w:hAnsi="宋体" w:cs="Arial"/>
                <w:kern w:val="0"/>
                <w:szCs w:val="21"/>
              </w:rPr>
              <w:t>，</w:t>
            </w:r>
            <w:r>
              <w:rPr>
                <w:rFonts w:hint="eastAsia" w:ascii="宋体" w:hAnsi="宋体" w:cs="Arial"/>
                <w:kern w:val="0"/>
                <w:szCs w:val="21"/>
              </w:rPr>
              <w:t>实现</w:t>
            </w:r>
            <w:r>
              <w:rPr>
                <w:rFonts w:ascii="宋体" w:hAnsi="宋体" w:cs="Arial"/>
                <w:kern w:val="0"/>
                <w:szCs w:val="21"/>
              </w:rPr>
              <w:t>课堂音视频资源</w:t>
            </w:r>
            <w:r>
              <w:rPr>
                <w:rFonts w:hint="eastAsia" w:ascii="宋体" w:hAnsi="宋体" w:cs="Arial"/>
                <w:kern w:val="0"/>
                <w:szCs w:val="21"/>
              </w:rPr>
              <w:t>的自动</w:t>
            </w:r>
            <w:r>
              <w:rPr>
                <w:rFonts w:ascii="宋体" w:hAnsi="宋体" w:cs="Arial"/>
                <w:kern w:val="0"/>
                <w:szCs w:val="21"/>
              </w:rPr>
              <w:t>采集、转换</w:t>
            </w:r>
            <w:r>
              <w:rPr>
                <w:rFonts w:hint="eastAsia" w:ascii="宋体" w:hAnsi="宋体" w:cs="Arial"/>
                <w:kern w:val="0"/>
                <w:szCs w:val="21"/>
              </w:rPr>
              <w:t>和</w:t>
            </w:r>
            <w:r>
              <w:rPr>
                <w:rFonts w:ascii="宋体" w:hAnsi="宋体" w:cs="Arial"/>
                <w:kern w:val="0"/>
                <w:szCs w:val="21"/>
              </w:rPr>
              <w:t>存储。</w:t>
            </w:r>
            <w:r>
              <w:rPr>
                <w:rFonts w:ascii="宋体" w:hAnsi="宋体" w:cs="Arial"/>
                <w:kern w:val="0"/>
                <w:szCs w:val="21"/>
              </w:rPr>
              <w:br w:type="textWrapping"/>
            </w:r>
            <w:r>
              <w:rPr>
                <w:rFonts w:hint="eastAsia" w:ascii="宋体" w:hAnsi="宋体" w:cs="宋体"/>
                <w:b/>
                <w:color w:val="000000"/>
                <w:szCs w:val="21"/>
              </w:rPr>
              <w:t>▲</w:t>
            </w:r>
            <w:r>
              <w:rPr>
                <w:rFonts w:ascii="宋体" w:hAnsi="宋体" w:cs="Arial"/>
                <w:kern w:val="0"/>
                <w:szCs w:val="21"/>
              </w:rPr>
              <w:t>3.</w:t>
            </w:r>
            <w:r>
              <w:rPr>
                <w:rFonts w:hint="eastAsia" w:ascii="宋体" w:hAnsi="宋体" w:cs="Arial"/>
                <w:kern w:val="0"/>
                <w:szCs w:val="21"/>
              </w:rPr>
              <w:t>教学</w:t>
            </w:r>
            <w:r>
              <w:rPr>
                <w:rFonts w:ascii="宋体" w:hAnsi="宋体" w:cs="Arial"/>
                <w:kern w:val="0"/>
                <w:szCs w:val="21"/>
              </w:rPr>
              <w:t>过程</w:t>
            </w:r>
            <w:r>
              <w:rPr>
                <w:rFonts w:hint="eastAsia" w:ascii="宋体" w:hAnsi="宋体" w:cs="Arial"/>
                <w:kern w:val="0"/>
                <w:szCs w:val="21"/>
              </w:rPr>
              <w:t>智能</w:t>
            </w:r>
            <w:r>
              <w:rPr>
                <w:rFonts w:ascii="宋体" w:hAnsi="宋体" w:cs="Arial"/>
                <w:kern w:val="0"/>
                <w:szCs w:val="21"/>
              </w:rPr>
              <w:t>评测</w:t>
            </w:r>
            <w:r>
              <w:rPr>
                <w:rFonts w:ascii="宋体" w:hAnsi="宋体" w:cs="Arial"/>
                <w:kern w:val="0"/>
                <w:szCs w:val="21"/>
              </w:rPr>
              <w:br w:type="textWrapping"/>
            </w:r>
            <w:r>
              <w:rPr>
                <w:rFonts w:ascii="宋体" w:hAnsi="宋体" w:cs="Arial"/>
                <w:kern w:val="0"/>
                <w:szCs w:val="21"/>
              </w:rPr>
              <w:t>3.1</w:t>
            </w:r>
            <w:r>
              <w:rPr>
                <w:rFonts w:hint="eastAsia" w:ascii="宋体" w:hAnsi="宋体" w:cs="Arial"/>
                <w:kern w:val="0"/>
                <w:szCs w:val="21"/>
              </w:rPr>
              <w:t>基于师范生</w:t>
            </w:r>
            <w:r>
              <w:rPr>
                <w:rFonts w:ascii="宋体" w:hAnsi="宋体" w:cs="Arial"/>
                <w:kern w:val="0"/>
                <w:szCs w:val="21"/>
              </w:rPr>
              <w:t>的教学</w:t>
            </w:r>
            <w:r>
              <w:rPr>
                <w:rFonts w:hint="eastAsia" w:ascii="宋体" w:hAnsi="宋体" w:cs="Arial"/>
                <w:kern w:val="0"/>
                <w:szCs w:val="21"/>
              </w:rPr>
              <w:t>视频</w:t>
            </w:r>
            <w:r>
              <w:rPr>
                <w:rFonts w:ascii="宋体" w:hAnsi="宋体" w:cs="Arial"/>
                <w:kern w:val="0"/>
                <w:szCs w:val="21"/>
              </w:rPr>
              <w:t>进行智能分析</w:t>
            </w:r>
            <w:r>
              <w:rPr>
                <w:rFonts w:hint="eastAsia" w:ascii="宋体" w:hAnsi="宋体" w:cs="Arial"/>
                <w:kern w:val="0"/>
                <w:szCs w:val="21"/>
              </w:rPr>
              <w:t>，动态显示</w:t>
            </w:r>
            <w:r>
              <w:rPr>
                <w:rFonts w:ascii="宋体" w:hAnsi="宋体" w:cs="Arial"/>
                <w:kern w:val="0"/>
                <w:szCs w:val="21"/>
              </w:rPr>
              <w:t>分析</w:t>
            </w:r>
            <w:r>
              <w:rPr>
                <w:rFonts w:hint="eastAsia" w:ascii="宋体" w:hAnsi="宋体" w:cs="Arial"/>
                <w:kern w:val="0"/>
                <w:szCs w:val="21"/>
              </w:rPr>
              <w:t>结果。包括肢体</w:t>
            </w:r>
            <w:r>
              <w:rPr>
                <w:rFonts w:ascii="宋体" w:hAnsi="宋体" w:cs="Arial"/>
                <w:kern w:val="0"/>
                <w:szCs w:val="21"/>
              </w:rPr>
              <w:t>动作、表情、语言表达、板书、普通话</w:t>
            </w:r>
            <w:r>
              <w:rPr>
                <w:rFonts w:hint="eastAsia" w:ascii="宋体" w:hAnsi="宋体" w:cs="Arial"/>
                <w:kern w:val="0"/>
                <w:szCs w:val="21"/>
              </w:rPr>
              <w:t>等五</w:t>
            </w:r>
            <w:r>
              <w:rPr>
                <w:rFonts w:ascii="宋体" w:hAnsi="宋体" w:cs="Arial"/>
                <w:kern w:val="0"/>
                <w:szCs w:val="21"/>
              </w:rPr>
              <w:t>方面。</w:t>
            </w:r>
          </w:p>
          <w:p w14:paraId="62FF0D30">
            <w:pPr>
              <w:widowControl/>
              <w:spacing w:line="360" w:lineRule="auto"/>
              <w:jc w:val="left"/>
              <w:rPr>
                <w:rFonts w:ascii="宋体" w:hAnsi="宋体" w:cs="Arial"/>
                <w:kern w:val="0"/>
                <w:szCs w:val="21"/>
              </w:rPr>
            </w:pPr>
            <w:r>
              <w:rPr>
                <w:rFonts w:ascii="宋体" w:hAnsi="宋体" w:cs="Arial"/>
                <w:kern w:val="0"/>
                <w:szCs w:val="21"/>
              </w:rPr>
              <w:t>▲3.1.1.</w:t>
            </w:r>
            <w:r>
              <w:rPr>
                <w:rFonts w:hint="eastAsia" w:ascii="宋体" w:hAnsi="宋体" w:cs="Arial"/>
                <w:kern w:val="0"/>
                <w:szCs w:val="21"/>
              </w:rPr>
              <w:t>肢体动作</w:t>
            </w:r>
            <w:r>
              <w:rPr>
                <w:rFonts w:ascii="宋体" w:hAnsi="宋体" w:cs="Arial"/>
                <w:kern w:val="0"/>
                <w:szCs w:val="21"/>
              </w:rPr>
              <w:t>分析：实现教学过程中</w:t>
            </w:r>
            <w:r>
              <w:rPr>
                <w:rFonts w:hint="eastAsia" w:ascii="宋体" w:hAnsi="宋体" w:cs="Arial"/>
                <w:kern w:val="0"/>
                <w:szCs w:val="21"/>
              </w:rPr>
              <w:t>讲课</w:t>
            </w:r>
            <w:r>
              <w:rPr>
                <w:rFonts w:ascii="宋体" w:hAnsi="宋体" w:cs="Arial"/>
                <w:kern w:val="0"/>
                <w:szCs w:val="21"/>
              </w:rPr>
              <w:t>者的视觉关注点</w:t>
            </w:r>
            <w:r>
              <w:rPr>
                <w:rFonts w:hint="eastAsia" w:ascii="宋体" w:hAnsi="宋体" w:cs="Arial"/>
                <w:kern w:val="0"/>
                <w:szCs w:val="21"/>
              </w:rPr>
              <w:t>分布</w:t>
            </w:r>
            <w:r>
              <w:rPr>
                <w:rFonts w:ascii="宋体" w:hAnsi="宋体" w:cs="Arial"/>
                <w:kern w:val="0"/>
                <w:szCs w:val="21"/>
              </w:rPr>
              <w:t>统计</w:t>
            </w:r>
            <w:r>
              <w:rPr>
                <w:rFonts w:hint="eastAsia" w:ascii="宋体" w:hAnsi="宋体" w:cs="Arial"/>
                <w:kern w:val="0"/>
                <w:szCs w:val="21"/>
              </w:rPr>
              <w:t>，</w:t>
            </w:r>
            <w:r>
              <w:rPr>
                <w:rFonts w:ascii="宋体" w:hAnsi="宋体" w:cs="Arial"/>
                <w:kern w:val="0"/>
                <w:szCs w:val="21"/>
              </w:rPr>
              <w:t>行走、站立、坐</w:t>
            </w:r>
            <w:r>
              <w:rPr>
                <w:rFonts w:hint="eastAsia" w:ascii="宋体" w:hAnsi="宋体" w:cs="Arial"/>
                <w:kern w:val="0"/>
                <w:szCs w:val="21"/>
              </w:rPr>
              <w:t>、</w:t>
            </w:r>
            <w:r>
              <w:rPr>
                <w:rFonts w:ascii="宋体" w:hAnsi="宋体" w:cs="Arial"/>
                <w:kern w:val="0"/>
                <w:szCs w:val="21"/>
              </w:rPr>
              <w:t>板书</w:t>
            </w:r>
            <w:r>
              <w:rPr>
                <w:rFonts w:hint="eastAsia" w:ascii="宋体" w:hAnsi="宋体" w:cs="Arial"/>
                <w:kern w:val="0"/>
                <w:szCs w:val="21"/>
              </w:rPr>
              <w:t>等</w:t>
            </w:r>
            <w:r>
              <w:rPr>
                <w:rFonts w:ascii="宋体" w:hAnsi="宋体" w:cs="Arial"/>
                <w:kern w:val="0"/>
                <w:szCs w:val="21"/>
              </w:rPr>
              <w:t>姿态的时间统计，并通过图形化方式展现</w:t>
            </w:r>
            <w:r>
              <w:rPr>
                <w:rFonts w:hint="eastAsia" w:ascii="宋体" w:hAnsi="宋体" w:cs="Arial"/>
                <w:kern w:val="0"/>
                <w:szCs w:val="21"/>
              </w:rPr>
              <w:t>。</w:t>
            </w:r>
          </w:p>
          <w:p w14:paraId="722DBE17">
            <w:pPr>
              <w:widowControl/>
              <w:spacing w:line="360" w:lineRule="auto"/>
              <w:jc w:val="left"/>
              <w:rPr>
                <w:rFonts w:ascii="宋体" w:hAnsi="宋体" w:cs="Arial"/>
                <w:kern w:val="0"/>
                <w:szCs w:val="21"/>
              </w:rPr>
            </w:pPr>
            <w:r>
              <w:rPr>
                <w:rFonts w:ascii="宋体" w:hAnsi="宋体" w:cs="Arial"/>
                <w:kern w:val="0"/>
                <w:szCs w:val="21"/>
              </w:rPr>
              <w:t xml:space="preserve">▲3.1.2 </w:t>
            </w:r>
            <w:r>
              <w:rPr>
                <w:rFonts w:hint="eastAsia" w:ascii="宋体" w:hAnsi="宋体" w:cs="Arial"/>
                <w:kern w:val="0"/>
                <w:szCs w:val="21"/>
              </w:rPr>
              <w:t>表情</w:t>
            </w:r>
            <w:r>
              <w:rPr>
                <w:rFonts w:ascii="宋体" w:hAnsi="宋体" w:cs="Arial"/>
                <w:kern w:val="0"/>
                <w:szCs w:val="21"/>
              </w:rPr>
              <w:t>分析：</w:t>
            </w:r>
            <w:r>
              <w:rPr>
                <w:rFonts w:hint="eastAsia" w:ascii="宋体" w:hAnsi="宋体" w:cs="Arial"/>
                <w:kern w:val="0"/>
                <w:szCs w:val="21"/>
              </w:rPr>
              <w:t>识别讲课</w:t>
            </w:r>
            <w:r>
              <w:rPr>
                <w:rFonts w:ascii="宋体" w:hAnsi="宋体" w:cs="Arial"/>
                <w:kern w:val="0"/>
                <w:szCs w:val="21"/>
              </w:rPr>
              <w:t>者</w:t>
            </w:r>
            <w:r>
              <w:rPr>
                <w:rFonts w:hint="eastAsia" w:ascii="宋体" w:hAnsi="宋体" w:cs="Arial"/>
                <w:kern w:val="0"/>
                <w:szCs w:val="21"/>
              </w:rPr>
              <w:t>教学</w:t>
            </w:r>
            <w:r>
              <w:rPr>
                <w:rFonts w:ascii="宋体" w:hAnsi="宋体" w:cs="Arial"/>
                <w:kern w:val="0"/>
                <w:szCs w:val="21"/>
              </w:rPr>
              <w:t>过程中的面部表情，</w:t>
            </w:r>
            <w:r>
              <w:rPr>
                <w:rFonts w:hint="eastAsia" w:ascii="宋体" w:hAnsi="宋体" w:cs="Arial"/>
                <w:kern w:val="0"/>
                <w:szCs w:val="21"/>
              </w:rPr>
              <w:t>快乐、兴奋</w:t>
            </w:r>
            <w:r>
              <w:rPr>
                <w:rFonts w:ascii="宋体" w:hAnsi="宋体" w:cs="Arial"/>
                <w:kern w:val="0"/>
                <w:szCs w:val="21"/>
              </w:rPr>
              <w:t>、</w:t>
            </w:r>
            <w:r>
              <w:rPr>
                <w:rFonts w:hint="eastAsia" w:ascii="宋体" w:hAnsi="宋体" w:cs="Arial"/>
                <w:kern w:val="0"/>
                <w:szCs w:val="21"/>
              </w:rPr>
              <w:t>悲伤、愤怒等，</w:t>
            </w:r>
            <w:r>
              <w:rPr>
                <w:rFonts w:ascii="宋体" w:hAnsi="宋体" w:cs="Arial"/>
                <w:kern w:val="0"/>
                <w:szCs w:val="21"/>
              </w:rPr>
              <w:t>可视化显示不同情绪的波动和统计结果</w:t>
            </w:r>
            <w:r>
              <w:rPr>
                <w:rFonts w:hint="eastAsia" w:ascii="宋体" w:hAnsi="宋体" w:cs="Arial"/>
                <w:kern w:val="0"/>
                <w:szCs w:val="21"/>
              </w:rPr>
              <w:t>。</w:t>
            </w:r>
            <w:r>
              <w:rPr>
                <w:rFonts w:ascii="宋体" w:hAnsi="宋体" w:cs="Arial"/>
                <w:kern w:val="0"/>
                <w:szCs w:val="21"/>
              </w:rPr>
              <w:br w:type="textWrapping"/>
            </w:r>
            <w:r>
              <w:rPr>
                <w:rFonts w:ascii="宋体" w:hAnsi="宋体" w:cs="Arial"/>
                <w:kern w:val="0"/>
                <w:szCs w:val="21"/>
              </w:rPr>
              <w:t>▲3.1.3</w:t>
            </w:r>
            <w:r>
              <w:rPr>
                <w:rFonts w:hint="eastAsia" w:ascii="宋体" w:hAnsi="宋体" w:cs="Arial"/>
                <w:kern w:val="0"/>
                <w:szCs w:val="21"/>
              </w:rPr>
              <w:t>讲课声音</w:t>
            </w:r>
            <w:r>
              <w:rPr>
                <w:rFonts w:ascii="宋体" w:hAnsi="宋体" w:cs="Arial"/>
                <w:kern w:val="0"/>
                <w:szCs w:val="21"/>
              </w:rPr>
              <w:t>分析：</w:t>
            </w:r>
            <w:r>
              <w:rPr>
                <w:rFonts w:hint="eastAsia" w:ascii="宋体" w:hAnsi="宋体" w:cs="Arial"/>
                <w:kern w:val="0"/>
                <w:szCs w:val="21"/>
              </w:rPr>
              <w:t>实现</w:t>
            </w:r>
            <w:r>
              <w:rPr>
                <w:rFonts w:ascii="宋体" w:hAnsi="宋体" w:cs="Arial"/>
                <w:kern w:val="0"/>
                <w:szCs w:val="21"/>
              </w:rPr>
              <w:t>讲课者语音语调、语速变化</w:t>
            </w:r>
            <w:r>
              <w:rPr>
                <w:rFonts w:hint="eastAsia" w:ascii="宋体" w:hAnsi="宋体" w:cs="Arial"/>
                <w:kern w:val="0"/>
                <w:szCs w:val="21"/>
              </w:rPr>
              <w:t>的</w:t>
            </w:r>
            <w:r>
              <w:rPr>
                <w:rFonts w:ascii="宋体" w:hAnsi="宋体" w:cs="Arial"/>
                <w:kern w:val="0"/>
                <w:szCs w:val="21"/>
              </w:rPr>
              <w:t>分析</w:t>
            </w:r>
            <w:r>
              <w:rPr>
                <w:rFonts w:hint="eastAsia" w:ascii="宋体" w:hAnsi="宋体" w:cs="Arial"/>
                <w:kern w:val="0"/>
                <w:szCs w:val="21"/>
              </w:rPr>
              <w:t>，</w:t>
            </w:r>
            <w:r>
              <w:rPr>
                <w:rFonts w:ascii="宋体" w:hAnsi="宋体" w:cs="Arial"/>
                <w:kern w:val="0"/>
                <w:szCs w:val="21"/>
              </w:rPr>
              <w:t>并可视化显示分析结果</w:t>
            </w:r>
            <w:r>
              <w:rPr>
                <w:rFonts w:hint="eastAsia" w:ascii="宋体" w:hAnsi="宋体" w:cs="Arial"/>
                <w:kern w:val="0"/>
                <w:szCs w:val="21"/>
              </w:rPr>
              <w:t>。</w:t>
            </w:r>
            <w:r>
              <w:rPr>
                <w:rFonts w:ascii="宋体" w:hAnsi="宋体" w:cs="Arial"/>
                <w:kern w:val="0"/>
                <w:szCs w:val="21"/>
              </w:rPr>
              <w:br w:type="textWrapping"/>
            </w:r>
            <w:r>
              <w:rPr>
                <w:rFonts w:ascii="宋体" w:hAnsi="宋体" w:cs="Arial"/>
                <w:kern w:val="0"/>
                <w:szCs w:val="21"/>
              </w:rPr>
              <w:t xml:space="preserve">▲3.1.4 </w:t>
            </w:r>
            <w:r>
              <w:rPr>
                <w:rFonts w:hint="eastAsia" w:ascii="宋体" w:hAnsi="宋体" w:cs="Arial"/>
                <w:kern w:val="0"/>
                <w:szCs w:val="21"/>
              </w:rPr>
              <w:t>语言</w:t>
            </w:r>
            <w:r>
              <w:rPr>
                <w:rFonts w:ascii="宋体" w:hAnsi="宋体" w:cs="Arial"/>
                <w:kern w:val="0"/>
                <w:szCs w:val="21"/>
              </w:rPr>
              <w:t>表达分析：</w:t>
            </w:r>
            <w:r>
              <w:rPr>
                <w:rFonts w:hint="eastAsia" w:ascii="宋体" w:hAnsi="宋体" w:cs="Arial"/>
                <w:kern w:val="0"/>
                <w:szCs w:val="21"/>
              </w:rPr>
              <w:t>统计师范生在课堂上的</w:t>
            </w:r>
            <w:r>
              <w:rPr>
                <w:rFonts w:ascii="宋体" w:hAnsi="宋体" w:cs="Arial"/>
                <w:kern w:val="0"/>
                <w:szCs w:val="21"/>
              </w:rPr>
              <w:t>提问类型、</w:t>
            </w:r>
            <w:r>
              <w:rPr>
                <w:rFonts w:hint="eastAsia" w:ascii="宋体" w:hAnsi="宋体" w:cs="Arial"/>
                <w:kern w:val="0"/>
                <w:szCs w:val="21"/>
              </w:rPr>
              <w:t>提问次数</w:t>
            </w:r>
            <w:r>
              <w:rPr>
                <w:rFonts w:ascii="宋体" w:hAnsi="宋体" w:cs="Arial"/>
                <w:kern w:val="0"/>
                <w:szCs w:val="21"/>
              </w:rPr>
              <w:t>、口头禅</w:t>
            </w:r>
            <w:r>
              <w:rPr>
                <w:rFonts w:hint="eastAsia" w:ascii="宋体" w:hAnsi="宋体" w:cs="Arial"/>
                <w:kern w:val="0"/>
                <w:szCs w:val="21"/>
              </w:rPr>
              <w:t>次数等</w:t>
            </w:r>
            <w:r>
              <w:rPr>
                <w:rFonts w:ascii="宋体" w:hAnsi="宋体" w:cs="Arial"/>
                <w:kern w:val="0"/>
                <w:szCs w:val="21"/>
              </w:rPr>
              <w:t>指标</w:t>
            </w:r>
            <w:r>
              <w:rPr>
                <w:rFonts w:hint="eastAsia" w:ascii="宋体" w:hAnsi="宋体" w:cs="Arial"/>
                <w:kern w:val="0"/>
                <w:szCs w:val="21"/>
              </w:rPr>
              <w:t>，</w:t>
            </w:r>
            <w:r>
              <w:rPr>
                <w:rFonts w:ascii="宋体" w:hAnsi="宋体" w:cs="Arial"/>
                <w:kern w:val="0"/>
                <w:szCs w:val="21"/>
              </w:rPr>
              <w:t>并可视化，同时支持并</w:t>
            </w:r>
            <w:r>
              <w:rPr>
                <w:rFonts w:hint="eastAsia" w:ascii="宋体" w:hAnsi="宋体" w:cs="Arial"/>
                <w:kern w:val="0"/>
                <w:szCs w:val="21"/>
              </w:rPr>
              <w:t>提供讲课者</w:t>
            </w:r>
            <w:r>
              <w:rPr>
                <w:rFonts w:ascii="宋体" w:hAnsi="宋体" w:cs="Arial"/>
                <w:kern w:val="0"/>
                <w:szCs w:val="21"/>
              </w:rPr>
              <w:t>普通话等级</w:t>
            </w:r>
            <w:r>
              <w:rPr>
                <w:rFonts w:hint="eastAsia" w:ascii="宋体" w:hAnsi="宋体" w:cs="Arial"/>
                <w:kern w:val="0"/>
                <w:szCs w:val="21"/>
              </w:rPr>
              <w:t>自动</w:t>
            </w:r>
            <w:r>
              <w:rPr>
                <w:rFonts w:ascii="宋体" w:hAnsi="宋体" w:cs="Arial"/>
                <w:kern w:val="0"/>
                <w:szCs w:val="21"/>
              </w:rPr>
              <w:t>测评功能。</w:t>
            </w:r>
          </w:p>
          <w:p w14:paraId="671880E9">
            <w:pPr>
              <w:widowControl/>
              <w:spacing w:line="360" w:lineRule="auto"/>
              <w:jc w:val="left"/>
              <w:rPr>
                <w:rFonts w:ascii="宋体" w:hAnsi="宋体" w:cs="Arial"/>
                <w:kern w:val="0"/>
                <w:szCs w:val="21"/>
              </w:rPr>
            </w:pPr>
            <w:r>
              <w:rPr>
                <w:rFonts w:ascii="宋体" w:hAnsi="宋体" w:cs="Arial"/>
                <w:kern w:val="0"/>
                <w:szCs w:val="21"/>
              </w:rPr>
              <w:t>▲3.1.5</w:t>
            </w:r>
            <w:r>
              <w:rPr>
                <w:rFonts w:hint="eastAsia" w:ascii="宋体" w:hAnsi="宋体" w:cs="Arial"/>
                <w:kern w:val="0"/>
                <w:szCs w:val="21"/>
              </w:rPr>
              <w:t>板书</w:t>
            </w:r>
            <w:r>
              <w:rPr>
                <w:rFonts w:ascii="宋体" w:hAnsi="宋体" w:cs="Arial"/>
                <w:kern w:val="0"/>
                <w:szCs w:val="21"/>
              </w:rPr>
              <w:t>分析：</w:t>
            </w:r>
            <w:r>
              <w:rPr>
                <w:rFonts w:hint="eastAsia" w:ascii="宋体" w:hAnsi="宋体" w:cs="Arial"/>
                <w:kern w:val="0"/>
                <w:szCs w:val="21"/>
              </w:rPr>
              <w:t>对讲课</w:t>
            </w:r>
            <w:r>
              <w:rPr>
                <w:rFonts w:ascii="宋体" w:hAnsi="宋体" w:cs="Arial"/>
                <w:kern w:val="0"/>
                <w:szCs w:val="21"/>
              </w:rPr>
              <w:t>过程中的板书进行分析，统计板书</w:t>
            </w:r>
            <w:r>
              <w:rPr>
                <w:rFonts w:hint="eastAsia" w:ascii="宋体" w:hAnsi="宋体" w:cs="Arial"/>
                <w:kern w:val="0"/>
                <w:szCs w:val="21"/>
              </w:rPr>
              <w:t>次</w:t>
            </w:r>
            <w:r>
              <w:rPr>
                <w:rFonts w:ascii="宋体" w:hAnsi="宋体" w:cs="Arial"/>
                <w:kern w:val="0"/>
                <w:szCs w:val="21"/>
              </w:rPr>
              <w:t>数</w:t>
            </w:r>
            <w:r>
              <w:rPr>
                <w:rFonts w:hint="eastAsia" w:ascii="宋体" w:hAnsi="宋体" w:cs="Arial"/>
                <w:kern w:val="0"/>
                <w:szCs w:val="21"/>
              </w:rPr>
              <w:t>、</w:t>
            </w:r>
            <w:r>
              <w:rPr>
                <w:rFonts w:ascii="宋体" w:hAnsi="宋体" w:cs="Arial"/>
                <w:kern w:val="0"/>
                <w:szCs w:val="21"/>
              </w:rPr>
              <w:t>板书</w:t>
            </w:r>
            <w:r>
              <w:rPr>
                <w:rFonts w:hint="eastAsia" w:ascii="宋体" w:hAnsi="宋体" w:cs="Arial"/>
                <w:kern w:val="0"/>
                <w:szCs w:val="21"/>
              </w:rPr>
              <w:t>时长</w:t>
            </w:r>
            <w:r>
              <w:rPr>
                <w:rFonts w:ascii="宋体" w:hAnsi="宋体" w:cs="Arial"/>
                <w:kern w:val="0"/>
                <w:szCs w:val="21"/>
              </w:rPr>
              <w:t>、</w:t>
            </w:r>
            <w:r>
              <w:rPr>
                <w:rFonts w:hint="eastAsia" w:ascii="宋体" w:hAnsi="宋体" w:cs="Arial"/>
                <w:kern w:val="0"/>
                <w:szCs w:val="21"/>
              </w:rPr>
              <w:t>文字</w:t>
            </w:r>
            <w:r>
              <w:rPr>
                <w:rFonts w:ascii="宋体" w:hAnsi="宋体" w:cs="Arial"/>
                <w:kern w:val="0"/>
                <w:szCs w:val="21"/>
              </w:rPr>
              <w:t>质量、板书关键字</w:t>
            </w:r>
            <w:r>
              <w:rPr>
                <w:rFonts w:hint="eastAsia" w:ascii="宋体" w:hAnsi="宋体" w:cs="Arial"/>
                <w:kern w:val="0"/>
                <w:szCs w:val="21"/>
              </w:rPr>
              <w:t>等</w:t>
            </w:r>
            <w:r>
              <w:rPr>
                <w:rFonts w:ascii="宋体" w:hAnsi="宋体" w:cs="Arial"/>
                <w:kern w:val="0"/>
                <w:szCs w:val="21"/>
              </w:rPr>
              <w:t>的统计和分析，并进行可视化。</w:t>
            </w:r>
          </w:p>
          <w:p w14:paraId="3B091C11">
            <w:pPr>
              <w:widowControl/>
              <w:spacing w:line="360" w:lineRule="auto"/>
              <w:jc w:val="left"/>
              <w:rPr>
                <w:rFonts w:ascii="宋体" w:hAnsi="宋体" w:cs="Arial"/>
                <w:kern w:val="0"/>
                <w:szCs w:val="21"/>
              </w:rPr>
            </w:pPr>
            <w:r>
              <w:rPr>
                <w:rFonts w:hint="eastAsia" w:ascii="宋体" w:hAnsi="宋体" w:cs="宋体"/>
                <w:b/>
                <w:color w:val="000000"/>
                <w:szCs w:val="21"/>
              </w:rPr>
              <w:t>▲</w:t>
            </w:r>
            <w:r>
              <w:rPr>
                <w:rFonts w:ascii="宋体" w:hAnsi="宋体" w:cs="Arial"/>
                <w:kern w:val="0"/>
                <w:szCs w:val="21"/>
              </w:rPr>
              <w:t>3</w:t>
            </w:r>
            <w:r>
              <w:rPr>
                <w:rFonts w:hint="eastAsia" w:ascii="宋体" w:hAnsi="宋体" w:cs="Arial"/>
                <w:kern w:val="0"/>
                <w:szCs w:val="21"/>
              </w:rPr>
              <w:t>.2教学</w:t>
            </w:r>
            <w:r>
              <w:rPr>
                <w:rFonts w:ascii="宋体" w:hAnsi="宋体" w:cs="Arial"/>
                <w:kern w:val="0"/>
                <w:szCs w:val="21"/>
              </w:rPr>
              <w:t>结束后生成</w:t>
            </w:r>
            <w:r>
              <w:rPr>
                <w:rFonts w:hint="eastAsia" w:ascii="宋体" w:hAnsi="宋体" w:cs="Arial"/>
                <w:kern w:val="0"/>
                <w:szCs w:val="21"/>
              </w:rPr>
              <w:t>师范生</w:t>
            </w:r>
            <w:r>
              <w:rPr>
                <w:rFonts w:ascii="宋体" w:hAnsi="宋体" w:cs="Arial"/>
                <w:kern w:val="0"/>
                <w:szCs w:val="21"/>
              </w:rPr>
              <w:t>教学能力 AI 分析报告</w:t>
            </w:r>
            <w:r>
              <w:rPr>
                <w:rFonts w:hint="eastAsia" w:ascii="宋体" w:hAnsi="宋体" w:cs="Arial"/>
                <w:kern w:val="0"/>
                <w:szCs w:val="21"/>
              </w:rPr>
              <w:t>，</w:t>
            </w:r>
            <w:r>
              <w:rPr>
                <w:rFonts w:ascii="宋体" w:hAnsi="宋体" w:cs="Arial"/>
                <w:kern w:val="0"/>
                <w:szCs w:val="21"/>
              </w:rPr>
              <w:t>输出个人教学能力画像</w:t>
            </w:r>
            <w:r>
              <w:rPr>
                <w:rFonts w:hint="eastAsia" w:ascii="宋体" w:hAnsi="宋体" w:cs="Arial"/>
                <w:kern w:val="0"/>
                <w:szCs w:val="21"/>
              </w:rPr>
              <w:t>。</w:t>
            </w:r>
          </w:p>
          <w:p w14:paraId="2CEB1D5A">
            <w:pPr>
              <w:widowControl/>
              <w:spacing w:line="360" w:lineRule="auto"/>
              <w:jc w:val="left"/>
              <w:rPr>
                <w:rFonts w:ascii="宋体" w:hAnsi="宋体" w:cs="Arial"/>
                <w:kern w:val="0"/>
                <w:szCs w:val="21"/>
              </w:rPr>
            </w:pPr>
            <w:r>
              <w:rPr>
                <w:rFonts w:ascii="宋体" w:hAnsi="宋体" w:cs="Arial"/>
                <w:kern w:val="0"/>
                <w:szCs w:val="21"/>
              </w:rPr>
              <w:t xml:space="preserve">3.3 </w:t>
            </w:r>
            <w:r>
              <w:rPr>
                <w:rFonts w:hint="eastAsia" w:ascii="宋体" w:hAnsi="宋体" w:cs="Arial"/>
                <w:kern w:val="0"/>
                <w:szCs w:val="21"/>
              </w:rPr>
              <w:t>生成</w:t>
            </w:r>
            <w:r>
              <w:rPr>
                <w:rFonts w:ascii="宋体" w:hAnsi="宋体" w:cs="Arial"/>
                <w:kern w:val="0"/>
                <w:szCs w:val="21"/>
              </w:rPr>
              <w:t>课堂</w:t>
            </w:r>
            <w:r>
              <w:rPr>
                <w:rFonts w:hint="eastAsia" w:ascii="宋体" w:hAnsi="宋体" w:cs="Arial"/>
                <w:kern w:val="0"/>
                <w:szCs w:val="21"/>
              </w:rPr>
              <w:t>测评</w:t>
            </w:r>
            <w:r>
              <w:rPr>
                <w:rFonts w:ascii="宋体" w:hAnsi="宋体" w:cs="Arial"/>
                <w:kern w:val="0"/>
                <w:szCs w:val="21"/>
              </w:rPr>
              <w:t>报告</w:t>
            </w:r>
            <w:r>
              <w:rPr>
                <w:rFonts w:hint="eastAsia" w:ascii="宋体" w:hAnsi="宋体" w:cs="Arial"/>
                <w:kern w:val="0"/>
                <w:szCs w:val="21"/>
              </w:rPr>
              <w:t>，</w:t>
            </w:r>
            <w:r>
              <w:rPr>
                <w:rFonts w:ascii="宋体" w:hAnsi="宋体" w:cs="Arial"/>
                <w:kern w:val="0"/>
                <w:szCs w:val="21"/>
              </w:rPr>
              <w:t>基于</w:t>
            </w:r>
            <w:r>
              <w:rPr>
                <w:rFonts w:hint="eastAsia" w:ascii="宋体" w:hAnsi="宋体" w:cs="Arial"/>
                <w:kern w:val="0"/>
                <w:szCs w:val="21"/>
              </w:rPr>
              <w:t>师范生教学</w:t>
            </w:r>
            <w:r>
              <w:rPr>
                <w:rFonts w:ascii="宋体" w:hAnsi="宋体" w:cs="Arial"/>
                <w:kern w:val="0"/>
                <w:szCs w:val="21"/>
              </w:rPr>
              <w:t>能力指标体系，对</w:t>
            </w:r>
            <w:r>
              <w:rPr>
                <w:rFonts w:hint="eastAsia" w:ascii="宋体" w:hAnsi="宋体" w:cs="Arial"/>
                <w:kern w:val="0"/>
                <w:szCs w:val="21"/>
              </w:rPr>
              <w:t>师范生</w:t>
            </w:r>
            <w:r>
              <w:rPr>
                <w:rFonts w:ascii="宋体" w:hAnsi="宋体" w:cs="Arial"/>
                <w:kern w:val="0"/>
                <w:szCs w:val="21"/>
              </w:rPr>
              <w:t>整堂课的表现进行智能化评价，生成评测结果分析文本及课堂教学能力分数</w:t>
            </w:r>
            <w:r>
              <w:rPr>
                <w:rFonts w:hint="eastAsia" w:ascii="宋体" w:hAnsi="宋体" w:cs="Arial"/>
                <w:kern w:val="0"/>
                <w:szCs w:val="21"/>
              </w:rPr>
              <w:t>。</w:t>
            </w:r>
          </w:p>
          <w:p w14:paraId="01C12100">
            <w:pPr>
              <w:widowControl/>
              <w:spacing w:line="360" w:lineRule="auto"/>
              <w:jc w:val="left"/>
              <w:rPr>
                <w:rFonts w:ascii="宋体" w:hAnsi="宋体" w:cs="Arial"/>
                <w:kern w:val="0"/>
                <w:szCs w:val="21"/>
              </w:rPr>
            </w:pPr>
            <w:r>
              <w:rPr>
                <w:rFonts w:ascii="宋体" w:hAnsi="宋体" w:cs="Arial"/>
                <w:kern w:val="0"/>
                <w:szCs w:val="21"/>
              </w:rPr>
              <w:t>3</w:t>
            </w:r>
            <w:r>
              <w:rPr>
                <w:rFonts w:hint="eastAsia" w:ascii="宋体" w:hAnsi="宋体" w:cs="Arial"/>
                <w:kern w:val="0"/>
                <w:szCs w:val="21"/>
              </w:rPr>
              <w:t>.</w:t>
            </w:r>
            <w:r>
              <w:rPr>
                <w:rFonts w:ascii="宋体" w:hAnsi="宋体" w:cs="Arial"/>
                <w:kern w:val="0"/>
                <w:szCs w:val="21"/>
              </w:rPr>
              <w:t>4提供离线评测</w:t>
            </w:r>
            <w:r>
              <w:rPr>
                <w:rFonts w:hint="eastAsia" w:ascii="宋体" w:hAnsi="宋体" w:cs="Arial"/>
                <w:kern w:val="0"/>
                <w:szCs w:val="21"/>
              </w:rPr>
              <w:t>服务</w:t>
            </w:r>
            <w:r>
              <w:rPr>
                <w:rFonts w:ascii="宋体" w:hAnsi="宋体" w:cs="Arial"/>
                <w:kern w:val="0"/>
                <w:szCs w:val="21"/>
              </w:rPr>
              <w:t>，</w:t>
            </w:r>
            <w:r>
              <w:rPr>
                <w:rFonts w:hint="eastAsia" w:ascii="宋体" w:hAnsi="宋体" w:cs="Arial"/>
                <w:kern w:val="0"/>
                <w:szCs w:val="21"/>
              </w:rPr>
              <w:t>即</w:t>
            </w:r>
            <w:r>
              <w:rPr>
                <w:rFonts w:ascii="宋体" w:hAnsi="宋体" w:cs="Arial"/>
                <w:kern w:val="0"/>
                <w:szCs w:val="21"/>
              </w:rPr>
              <w:t>通过提交</w:t>
            </w:r>
            <w:r>
              <w:rPr>
                <w:rFonts w:hint="eastAsia" w:ascii="宋体" w:hAnsi="宋体" w:cs="Arial"/>
                <w:kern w:val="0"/>
                <w:szCs w:val="21"/>
              </w:rPr>
              <w:t>教学</w:t>
            </w:r>
            <w:r>
              <w:rPr>
                <w:rFonts w:ascii="宋体" w:hAnsi="宋体" w:cs="Arial"/>
                <w:kern w:val="0"/>
                <w:szCs w:val="21"/>
              </w:rPr>
              <w:t>过程</w:t>
            </w:r>
            <w:r>
              <w:rPr>
                <w:rFonts w:hint="eastAsia" w:ascii="宋体" w:hAnsi="宋体" w:cs="Arial"/>
                <w:kern w:val="0"/>
                <w:szCs w:val="21"/>
              </w:rPr>
              <w:t>教学</w:t>
            </w:r>
            <w:r>
              <w:rPr>
                <w:rFonts w:ascii="宋体" w:hAnsi="宋体" w:cs="Arial"/>
                <w:kern w:val="0"/>
                <w:szCs w:val="21"/>
              </w:rPr>
              <w:t>视频</w:t>
            </w:r>
            <w:r>
              <w:rPr>
                <w:rFonts w:hint="eastAsia" w:ascii="宋体" w:hAnsi="宋体" w:cs="Arial"/>
                <w:kern w:val="0"/>
                <w:szCs w:val="21"/>
              </w:rPr>
              <w:t>，</w:t>
            </w:r>
            <w:r>
              <w:rPr>
                <w:rFonts w:ascii="宋体" w:hAnsi="宋体" w:cs="Arial"/>
                <w:kern w:val="0"/>
                <w:szCs w:val="21"/>
              </w:rPr>
              <w:t>系统完成视频分析和教学能力测评，生成</w:t>
            </w:r>
            <w:r>
              <w:rPr>
                <w:rFonts w:hint="eastAsia" w:ascii="宋体" w:hAnsi="宋体" w:cs="Arial"/>
                <w:kern w:val="0"/>
                <w:szCs w:val="21"/>
              </w:rPr>
              <w:t>师范生</w:t>
            </w:r>
            <w:r>
              <w:rPr>
                <w:rFonts w:ascii="宋体" w:hAnsi="宋体" w:cs="Arial"/>
                <w:kern w:val="0"/>
                <w:szCs w:val="21"/>
              </w:rPr>
              <w:t>教学能力 AI 分析报告</w:t>
            </w:r>
            <w:r>
              <w:rPr>
                <w:rFonts w:hint="eastAsia" w:ascii="宋体" w:hAnsi="宋体" w:cs="Arial"/>
                <w:kern w:val="0"/>
                <w:szCs w:val="21"/>
              </w:rPr>
              <w:t>。</w:t>
            </w:r>
            <w:r>
              <w:rPr>
                <w:rFonts w:ascii="宋体" w:hAnsi="宋体" w:cs="Arial"/>
                <w:kern w:val="0"/>
                <w:szCs w:val="21"/>
              </w:rPr>
              <w:t xml:space="preserve">视频支持目前主流的 </w:t>
            </w:r>
            <w:r>
              <w:rPr>
                <w:rFonts w:hint="eastAsia" w:ascii="宋体" w:hAnsi="宋体" w:cs="Arial"/>
                <w:kern w:val="0"/>
                <w:szCs w:val="21"/>
              </w:rPr>
              <w:t>MP</w:t>
            </w:r>
            <w:r>
              <w:rPr>
                <w:rFonts w:ascii="宋体" w:hAnsi="宋体" w:cs="Arial"/>
                <w:kern w:val="0"/>
                <w:szCs w:val="21"/>
              </w:rPr>
              <w:t>4、</w:t>
            </w:r>
            <w:r>
              <w:rPr>
                <w:rFonts w:hint="eastAsia" w:ascii="宋体" w:hAnsi="宋体" w:cs="Arial"/>
                <w:kern w:val="0"/>
                <w:szCs w:val="21"/>
              </w:rPr>
              <w:t>AVI</w:t>
            </w:r>
            <w:r>
              <w:rPr>
                <w:rFonts w:ascii="宋体" w:hAnsi="宋体" w:cs="Arial"/>
                <w:kern w:val="0"/>
                <w:szCs w:val="21"/>
              </w:rPr>
              <w:t>、M</w:t>
            </w:r>
            <w:r>
              <w:rPr>
                <w:rFonts w:hint="eastAsia" w:ascii="宋体" w:hAnsi="宋体" w:cs="Arial"/>
                <w:kern w:val="0"/>
                <w:szCs w:val="21"/>
              </w:rPr>
              <w:t>OV、WMV、FLV、MKV、MPEG等</w:t>
            </w:r>
            <w:r>
              <w:rPr>
                <w:rFonts w:ascii="宋体" w:hAnsi="宋体" w:cs="Arial"/>
                <w:kern w:val="0"/>
                <w:szCs w:val="21"/>
              </w:rPr>
              <w:t>格式，</w:t>
            </w:r>
            <w:r>
              <w:rPr>
                <w:rFonts w:hint="eastAsia" w:ascii="宋体" w:hAnsi="宋体" w:cs="Arial"/>
                <w:kern w:val="0"/>
                <w:szCs w:val="21"/>
              </w:rPr>
              <w:t>分辨率要求支持1920×1080或</w:t>
            </w:r>
            <w:r>
              <w:rPr>
                <w:rFonts w:ascii="宋体" w:hAnsi="宋体" w:cs="Arial"/>
                <w:kern w:val="0"/>
                <w:szCs w:val="21"/>
              </w:rPr>
              <w:t>以上，</w:t>
            </w:r>
            <w:r>
              <w:rPr>
                <w:rFonts w:hint="eastAsia" w:ascii="宋体" w:hAnsi="宋体" w:cs="Arial"/>
                <w:kern w:val="0"/>
                <w:szCs w:val="21"/>
              </w:rPr>
              <w:t>视频</w:t>
            </w:r>
            <w:r>
              <w:rPr>
                <w:rFonts w:ascii="宋体" w:hAnsi="宋体" w:cs="Arial"/>
                <w:kern w:val="0"/>
                <w:szCs w:val="21"/>
              </w:rPr>
              <w:t>大小</w:t>
            </w:r>
            <w:r>
              <w:rPr>
                <w:rFonts w:hint="eastAsia" w:ascii="宋体" w:hAnsi="宋体" w:cs="Arial"/>
                <w:kern w:val="0"/>
                <w:szCs w:val="21"/>
              </w:rPr>
              <w:t>不</w:t>
            </w:r>
            <w:r>
              <w:rPr>
                <w:rFonts w:ascii="宋体" w:hAnsi="宋体" w:cs="Arial"/>
                <w:kern w:val="0"/>
                <w:szCs w:val="21"/>
              </w:rPr>
              <w:t>受限制</w:t>
            </w:r>
            <w:r>
              <w:rPr>
                <w:rFonts w:hint="eastAsia" w:ascii="宋体" w:hAnsi="宋体" w:cs="Arial"/>
                <w:kern w:val="0"/>
                <w:szCs w:val="21"/>
              </w:rPr>
              <w:t>。</w:t>
            </w:r>
          </w:p>
          <w:p w14:paraId="0A7CBAF0">
            <w:pPr>
              <w:widowControl/>
              <w:spacing w:line="360" w:lineRule="auto"/>
              <w:jc w:val="left"/>
              <w:rPr>
                <w:rFonts w:ascii="宋体" w:hAnsi="宋体" w:cs="Arial"/>
                <w:kern w:val="0"/>
                <w:szCs w:val="21"/>
              </w:rPr>
            </w:pPr>
            <w:r>
              <w:rPr>
                <w:rFonts w:ascii="宋体" w:hAnsi="宋体" w:cs="Arial"/>
                <w:kern w:val="0"/>
                <w:szCs w:val="21"/>
              </w:rPr>
              <w:t>3.5 提供电子版评测报告下载功能</w:t>
            </w:r>
            <w:r>
              <w:rPr>
                <w:rFonts w:hint="eastAsia" w:ascii="宋体" w:hAnsi="宋体" w:cs="Arial"/>
                <w:kern w:val="0"/>
                <w:szCs w:val="21"/>
              </w:rPr>
              <w:t>。</w:t>
            </w:r>
            <w:r>
              <w:rPr>
                <w:rFonts w:ascii="宋体" w:hAnsi="宋体" w:cs="Arial"/>
                <w:kern w:val="0"/>
                <w:szCs w:val="21"/>
              </w:rPr>
              <w:br w:type="textWrapping"/>
            </w:r>
            <w:r>
              <w:rPr>
                <w:rFonts w:hint="eastAsia" w:ascii="宋体" w:hAnsi="宋体" w:cs="宋体"/>
                <w:b/>
                <w:color w:val="000000"/>
                <w:szCs w:val="21"/>
              </w:rPr>
              <w:t>▲</w:t>
            </w:r>
            <w:r>
              <w:rPr>
                <w:rFonts w:ascii="宋体" w:hAnsi="宋体" w:cs="Arial"/>
                <w:kern w:val="0"/>
                <w:szCs w:val="21"/>
              </w:rPr>
              <w:t>4.</w:t>
            </w:r>
            <w:r>
              <w:rPr>
                <w:rFonts w:hint="eastAsia" w:ascii="宋体" w:hAnsi="宋体" w:cs="Arial"/>
                <w:kern w:val="0"/>
                <w:szCs w:val="21"/>
              </w:rPr>
              <w:t>课堂</w:t>
            </w:r>
            <w:r>
              <w:rPr>
                <w:rFonts w:ascii="宋体" w:hAnsi="宋体" w:cs="Arial"/>
                <w:kern w:val="0"/>
                <w:szCs w:val="21"/>
              </w:rPr>
              <w:t>教学</w:t>
            </w:r>
            <w:r>
              <w:rPr>
                <w:rFonts w:hint="eastAsia" w:ascii="宋体" w:hAnsi="宋体" w:cs="Arial"/>
                <w:kern w:val="0"/>
                <w:szCs w:val="21"/>
              </w:rPr>
              <w:t>AI测评结果</w:t>
            </w:r>
            <w:r>
              <w:rPr>
                <w:rFonts w:ascii="宋体" w:hAnsi="宋体" w:cs="Arial"/>
                <w:kern w:val="0"/>
                <w:szCs w:val="21"/>
              </w:rPr>
              <w:t>可视化</w:t>
            </w:r>
          </w:p>
          <w:p w14:paraId="4F26D113">
            <w:pPr>
              <w:widowControl/>
              <w:spacing w:line="360" w:lineRule="auto"/>
              <w:jc w:val="left"/>
              <w:rPr>
                <w:rFonts w:ascii="宋体" w:hAnsi="宋体" w:cs="Arial"/>
                <w:kern w:val="0"/>
                <w:szCs w:val="21"/>
              </w:rPr>
            </w:pPr>
            <w:r>
              <w:rPr>
                <w:rFonts w:ascii="宋体" w:hAnsi="宋体" w:cs="Arial"/>
                <w:kern w:val="0"/>
                <w:szCs w:val="21"/>
              </w:rPr>
              <w:t>4.1 基于 AI 分析的课堂数据可视化呈现，包括</w:t>
            </w:r>
            <w:r>
              <w:rPr>
                <w:rFonts w:hint="eastAsia" w:ascii="宋体" w:hAnsi="宋体" w:cs="Arial"/>
                <w:kern w:val="0"/>
                <w:szCs w:val="21"/>
              </w:rPr>
              <w:t>视点</w:t>
            </w:r>
            <w:r>
              <w:rPr>
                <w:rFonts w:ascii="宋体" w:hAnsi="宋体" w:cs="Arial"/>
                <w:kern w:val="0"/>
                <w:szCs w:val="21"/>
              </w:rPr>
              <w:t>注意力</w:t>
            </w:r>
            <w:r>
              <w:rPr>
                <w:rFonts w:hint="eastAsia" w:ascii="宋体" w:hAnsi="宋体" w:cs="Arial"/>
                <w:kern w:val="0"/>
                <w:szCs w:val="21"/>
              </w:rPr>
              <w:t>分布</w:t>
            </w:r>
            <w:r>
              <w:rPr>
                <w:rFonts w:ascii="宋体" w:hAnsi="宋体" w:cs="Arial"/>
                <w:kern w:val="0"/>
                <w:szCs w:val="21"/>
              </w:rPr>
              <w:t>、</w:t>
            </w:r>
            <w:r>
              <w:rPr>
                <w:rFonts w:hint="eastAsia" w:ascii="宋体" w:hAnsi="宋体" w:cs="Arial"/>
                <w:kern w:val="0"/>
                <w:szCs w:val="21"/>
              </w:rPr>
              <w:t>行走</w:t>
            </w:r>
            <w:r>
              <w:rPr>
                <w:rFonts w:ascii="宋体" w:hAnsi="宋体" w:cs="Arial"/>
                <w:kern w:val="0"/>
                <w:szCs w:val="21"/>
              </w:rPr>
              <w:t>路径</w:t>
            </w:r>
            <w:r>
              <w:rPr>
                <w:rFonts w:hint="eastAsia" w:ascii="宋体" w:hAnsi="宋体" w:cs="Arial"/>
                <w:kern w:val="0"/>
                <w:szCs w:val="21"/>
              </w:rPr>
              <w:t>热图</w:t>
            </w:r>
            <w:r>
              <w:rPr>
                <w:rFonts w:ascii="宋体" w:hAnsi="宋体" w:cs="Arial"/>
                <w:kern w:val="0"/>
                <w:szCs w:val="21"/>
              </w:rPr>
              <w:t>、</w:t>
            </w:r>
            <w:r>
              <w:rPr>
                <w:rFonts w:hint="eastAsia" w:ascii="宋体" w:hAnsi="宋体" w:cs="Arial"/>
                <w:kern w:val="0"/>
                <w:szCs w:val="21"/>
              </w:rPr>
              <w:t>情绪</w:t>
            </w:r>
            <w:r>
              <w:rPr>
                <w:rFonts w:ascii="宋体" w:hAnsi="宋体" w:cs="Arial"/>
                <w:kern w:val="0"/>
                <w:szCs w:val="21"/>
              </w:rPr>
              <w:t>变化、</w:t>
            </w:r>
            <w:r>
              <w:rPr>
                <w:rFonts w:hint="eastAsia" w:ascii="宋体" w:hAnsi="宋体" w:cs="Arial"/>
                <w:kern w:val="0"/>
                <w:szCs w:val="21"/>
              </w:rPr>
              <w:t>语音</w:t>
            </w:r>
            <w:r>
              <w:rPr>
                <w:rFonts w:ascii="宋体" w:hAnsi="宋体" w:cs="Arial"/>
                <w:kern w:val="0"/>
                <w:szCs w:val="21"/>
              </w:rPr>
              <w:t>语调</w:t>
            </w:r>
            <w:r>
              <w:rPr>
                <w:rFonts w:hint="eastAsia" w:ascii="宋体" w:hAnsi="宋体" w:cs="Arial"/>
                <w:kern w:val="0"/>
                <w:szCs w:val="21"/>
              </w:rPr>
              <w:t>波形图</w:t>
            </w:r>
            <w:r>
              <w:rPr>
                <w:rFonts w:ascii="宋体" w:hAnsi="宋体" w:cs="Arial"/>
                <w:kern w:val="0"/>
                <w:szCs w:val="21"/>
              </w:rPr>
              <w:t>、</w:t>
            </w:r>
            <w:r>
              <w:rPr>
                <w:rFonts w:hint="eastAsia" w:ascii="宋体" w:hAnsi="宋体" w:cs="Arial"/>
                <w:kern w:val="0"/>
                <w:szCs w:val="21"/>
              </w:rPr>
              <w:t>讲课</w:t>
            </w:r>
            <w:r>
              <w:rPr>
                <w:rFonts w:ascii="宋体" w:hAnsi="宋体" w:cs="Arial"/>
                <w:kern w:val="0"/>
                <w:szCs w:val="21"/>
              </w:rPr>
              <w:t>关键字词云等</w:t>
            </w:r>
            <w:r>
              <w:rPr>
                <w:rFonts w:hint="eastAsia" w:ascii="宋体" w:hAnsi="宋体" w:cs="Arial"/>
                <w:kern w:val="0"/>
                <w:szCs w:val="21"/>
              </w:rPr>
              <w:t>。</w:t>
            </w:r>
            <w:r>
              <w:rPr>
                <w:rFonts w:ascii="宋体" w:hAnsi="宋体" w:cs="Arial"/>
                <w:kern w:val="0"/>
                <w:szCs w:val="21"/>
              </w:rPr>
              <w:br w:type="textWrapping"/>
            </w:r>
            <w:r>
              <w:rPr>
                <w:rFonts w:ascii="宋体" w:hAnsi="宋体" w:cs="Arial"/>
                <w:kern w:val="0"/>
                <w:szCs w:val="21"/>
              </w:rPr>
              <w:t>4.2查看</w:t>
            </w:r>
            <w:r>
              <w:rPr>
                <w:rFonts w:hint="eastAsia" w:ascii="宋体" w:hAnsi="宋体" w:cs="Arial"/>
                <w:kern w:val="0"/>
                <w:szCs w:val="21"/>
              </w:rPr>
              <w:t>课堂</w:t>
            </w:r>
            <w:r>
              <w:rPr>
                <w:rFonts w:ascii="宋体" w:hAnsi="宋体" w:cs="Arial"/>
                <w:kern w:val="0"/>
                <w:szCs w:val="21"/>
              </w:rPr>
              <w:t>教学智能分析数据结果，包括动作</w:t>
            </w:r>
            <w:r>
              <w:rPr>
                <w:rFonts w:hint="eastAsia" w:ascii="宋体" w:hAnsi="宋体" w:cs="Arial"/>
                <w:kern w:val="0"/>
                <w:szCs w:val="21"/>
              </w:rPr>
              <w:t>统计</w:t>
            </w:r>
            <w:r>
              <w:rPr>
                <w:rFonts w:ascii="宋体" w:hAnsi="宋体" w:cs="Arial"/>
                <w:kern w:val="0"/>
                <w:szCs w:val="21"/>
              </w:rPr>
              <w:t>、</w:t>
            </w:r>
            <w:r>
              <w:rPr>
                <w:rFonts w:hint="eastAsia" w:ascii="宋体" w:hAnsi="宋体" w:cs="Arial"/>
                <w:kern w:val="0"/>
                <w:szCs w:val="21"/>
              </w:rPr>
              <w:t>表情分类</w:t>
            </w:r>
            <w:r>
              <w:rPr>
                <w:rFonts w:ascii="宋体" w:hAnsi="宋体" w:cs="Arial"/>
                <w:kern w:val="0"/>
                <w:szCs w:val="21"/>
              </w:rPr>
              <w:t>时长统计、</w:t>
            </w:r>
            <w:r>
              <w:rPr>
                <w:rFonts w:hint="eastAsia" w:ascii="宋体" w:hAnsi="宋体" w:cs="Arial"/>
                <w:kern w:val="0"/>
                <w:szCs w:val="21"/>
              </w:rPr>
              <w:t>提问次数</w:t>
            </w:r>
            <w:r>
              <w:rPr>
                <w:rFonts w:ascii="宋体" w:hAnsi="宋体" w:cs="Arial"/>
                <w:kern w:val="0"/>
                <w:szCs w:val="21"/>
              </w:rPr>
              <w:t>、口头禅</w:t>
            </w:r>
            <w:r>
              <w:rPr>
                <w:rFonts w:hint="eastAsia" w:ascii="宋体" w:hAnsi="宋体" w:cs="Arial"/>
                <w:kern w:val="0"/>
                <w:szCs w:val="21"/>
              </w:rPr>
              <w:t>次数，以及</w:t>
            </w:r>
            <w:r>
              <w:rPr>
                <w:rFonts w:ascii="宋体" w:hAnsi="宋体" w:cs="Arial"/>
                <w:kern w:val="0"/>
                <w:szCs w:val="21"/>
              </w:rPr>
              <w:t>普通话规范性评分、</w:t>
            </w:r>
            <w:r>
              <w:rPr>
                <w:rFonts w:hint="eastAsia" w:ascii="宋体" w:hAnsi="宋体" w:cs="Arial"/>
                <w:kern w:val="0"/>
                <w:szCs w:val="21"/>
              </w:rPr>
              <w:t>板书规范性评分</w:t>
            </w:r>
            <w:r>
              <w:rPr>
                <w:rFonts w:ascii="宋体" w:hAnsi="宋体" w:cs="Arial"/>
                <w:kern w:val="0"/>
                <w:szCs w:val="21"/>
              </w:rPr>
              <w:t>等量化指标。</w:t>
            </w:r>
            <w:r>
              <w:rPr>
                <w:rFonts w:ascii="宋体" w:hAnsi="宋体" w:cs="Arial"/>
                <w:kern w:val="0"/>
                <w:szCs w:val="21"/>
              </w:rPr>
              <w:br w:type="textWrapping"/>
            </w:r>
            <w:r>
              <w:rPr>
                <w:rFonts w:ascii="宋体" w:hAnsi="宋体" w:cs="Arial"/>
                <w:kern w:val="0"/>
                <w:szCs w:val="21"/>
              </w:rPr>
              <w:t xml:space="preserve">5. </w:t>
            </w:r>
            <w:r>
              <w:rPr>
                <w:rFonts w:hint="eastAsia" w:ascii="宋体" w:hAnsi="宋体" w:cs="Arial"/>
                <w:kern w:val="0"/>
                <w:szCs w:val="21"/>
              </w:rPr>
              <w:t>填写</w:t>
            </w:r>
            <w:r>
              <w:rPr>
                <w:rFonts w:ascii="宋体" w:hAnsi="宋体" w:cs="Arial"/>
                <w:kern w:val="0"/>
                <w:szCs w:val="21"/>
              </w:rPr>
              <w:t>教学反思、自我评价</w:t>
            </w:r>
            <w:r>
              <w:rPr>
                <w:rFonts w:hint="eastAsia" w:ascii="宋体" w:hAnsi="宋体" w:cs="Arial"/>
                <w:kern w:val="0"/>
                <w:szCs w:val="21"/>
              </w:rPr>
              <w:t>。</w:t>
            </w:r>
          </w:p>
          <w:p w14:paraId="387FBED8">
            <w:pPr>
              <w:widowControl/>
              <w:spacing w:line="360" w:lineRule="auto"/>
              <w:jc w:val="left"/>
              <w:rPr>
                <w:rFonts w:ascii="宋体" w:hAnsi="宋体" w:cs="Arial"/>
                <w:kern w:val="0"/>
                <w:szCs w:val="21"/>
              </w:rPr>
            </w:pPr>
            <w:r>
              <w:rPr>
                <w:rFonts w:ascii="宋体" w:hAnsi="宋体" w:cs="Arial"/>
                <w:kern w:val="0"/>
                <w:szCs w:val="21"/>
              </w:rPr>
              <w:t>6.</w:t>
            </w:r>
            <w:r>
              <w:rPr>
                <w:rFonts w:hint="eastAsia" w:ascii="宋体" w:hAnsi="宋体" w:cs="Arial"/>
                <w:kern w:val="0"/>
                <w:szCs w:val="21"/>
              </w:rPr>
              <w:t>师范生</w:t>
            </w:r>
            <w:r>
              <w:rPr>
                <w:rFonts w:ascii="宋体" w:hAnsi="宋体" w:cs="Arial"/>
                <w:kern w:val="0"/>
                <w:szCs w:val="21"/>
              </w:rPr>
              <w:t>档案：汇总</w:t>
            </w:r>
            <w:r>
              <w:rPr>
                <w:rFonts w:hint="eastAsia" w:ascii="宋体" w:hAnsi="宋体" w:cs="Arial"/>
                <w:kern w:val="0"/>
                <w:szCs w:val="21"/>
              </w:rPr>
              <w:t>师范生历</w:t>
            </w:r>
            <w:r>
              <w:rPr>
                <w:rFonts w:ascii="宋体" w:hAnsi="宋体" w:cs="Arial"/>
                <w:kern w:val="0"/>
                <w:szCs w:val="21"/>
              </w:rPr>
              <w:t>次评测评价结果，形成</w:t>
            </w:r>
            <w:r>
              <w:rPr>
                <w:rFonts w:hint="eastAsia" w:ascii="宋体" w:hAnsi="宋体" w:cs="Arial"/>
                <w:kern w:val="0"/>
                <w:szCs w:val="21"/>
              </w:rPr>
              <w:t>师范生</w:t>
            </w:r>
            <w:r>
              <w:rPr>
                <w:rFonts w:ascii="宋体" w:hAnsi="宋体" w:cs="Arial"/>
                <w:kern w:val="0"/>
                <w:szCs w:val="21"/>
              </w:rPr>
              <w:t>个人能力档案，并进行对比分析，通过可视化方式展示。</w:t>
            </w:r>
          </w:p>
          <w:p w14:paraId="28AFCE4A">
            <w:pPr>
              <w:widowControl/>
              <w:spacing w:line="360" w:lineRule="auto"/>
              <w:jc w:val="left"/>
              <w:rPr>
                <w:rFonts w:ascii="宋体" w:hAnsi="宋体" w:cs="Arial"/>
                <w:kern w:val="0"/>
                <w:szCs w:val="21"/>
              </w:rPr>
            </w:pPr>
            <w:r>
              <w:rPr>
                <w:rFonts w:hint="eastAsia" w:ascii="宋体" w:hAnsi="宋体" w:cs="Arial"/>
                <w:b/>
                <w:kern w:val="0"/>
                <w:szCs w:val="21"/>
              </w:rPr>
              <w:t>二、专家评价功能模块</w:t>
            </w:r>
            <w:r>
              <w:rPr>
                <w:rFonts w:ascii="宋体" w:hAnsi="宋体" w:cs="Arial"/>
                <w:b/>
                <w:kern w:val="0"/>
                <w:szCs w:val="21"/>
              </w:rPr>
              <w:br w:type="textWrapping"/>
            </w:r>
            <w:r>
              <w:rPr>
                <w:rFonts w:ascii="宋体" w:hAnsi="宋体" w:cs="Arial"/>
                <w:kern w:val="0"/>
                <w:szCs w:val="21"/>
              </w:rPr>
              <w:t>1.查看评课：专家通过可视化面板，浏览</w:t>
            </w:r>
            <w:r>
              <w:rPr>
                <w:rFonts w:hint="eastAsia" w:ascii="宋体" w:hAnsi="宋体" w:cs="Arial"/>
                <w:kern w:val="0"/>
                <w:szCs w:val="21"/>
              </w:rPr>
              <w:t>分配</w:t>
            </w:r>
            <w:r>
              <w:rPr>
                <w:rFonts w:ascii="宋体" w:hAnsi="宋体" w:cs="Arial"/>
                <w:kern w:val="0"/>
                <w:szCs w:val="21"/>
              </w:rPr>
              <w:t>给自己评价的</w:t>
            </w:r>
            <w:r>
              <w:rPr>
                <w:rFonts w:hint="eastAsia" w:ascii="宋体" w:hAnsi="宋体" w:cs="Arial"/>
                <w:kern w:val="0"/>
                <w:szCs w:val="21"/>
              </w:rPr>
              <w:t>师范生</w:t>
            </w:r>
            <w:r>
              <w:rPr>
                <w:rFonts w:ascii="宋体" w:hAnsi="宋体" w:cs="Arial"/>
                <w:kern w:val="0"/>
                <w:szCs w:val="21"/>
              </w:rPr>
              <w:t>提交的评测单，</w:t>
            </w:r>
            <w:r>
              <w:rPr>
                <w:rFonts w:hint="eastAsia" w:ascii="宋体" w:hAnsi="宋体" w:cs="Arial"/>
                <w:kern w:val="0"/>
                <w:szCs w:val="21"/>
              </w:rPr>
              <w:t>可</w:t>
            </w:r>
            <w:r>
              <w:rPr>
                <w:rFonts w:ascii="宋体" w:hAnsi="宋体" w:cs="Arial"/>
                <w:kern w:val="0"/>
                <w:szCs w:val="21"/>
              </w:rPr>
              <w:t>根据评测状态、评测时间等进行分类筛选查询</w:t>
            </w:r>
            <w:r>
              <w:rPr>
                <w:rFonts w:hint="eastAsia" w:ascii="宋体" w:hAnsi="宋体" w:cs="Arial"/>
                <w:kern w:val="0"/>
                <w:szCs w:val="21"/>
              </w:rPr>
              <w:t>。</w:t>
            </w:r>
          </w:p>
          <w:p w14:paraId="6D5FDF4C">
            <w:pPr>
              <w:widowControl/>
              <w:spacing w:line="360" w:lineRule="auto"/>
              <w:jc w:val="left"/>
              <w:rPr>
                <w:rFonts w:ascii="宋体" w:hAnsi="宋体" w:cs="Arial"/>
                <w:kern w:val="0"/>
                <w:szCs w:val="21"/>
              </w:rPr>
            </w:pPr>
            <w:r>
              <w:rPr>
                <w:rFonts w:ascii="宋体" w:hAnsi="宋体" w:cs="Arial"/>
                <w:kern w:val="0"/>
                <w:szCs w:val="21"/>
              </w:rPr>
              <w:t>2.查看课堂：支持专家进行线上听评课，回放课堂音视频</w:t>
            </w:r>
            <w:r>
              <w:rPr>
                <w:rFonts w:hint="eastAsia" w:ascii="宋体" w:hAnsi="宋体" w:cs="Arial"/>
                <w:kern w:val="0"/>
                <w:szCs w:val="21"/>
              </w:rPr>
              <w:t>，查看教学PPT、</w:t>
            </w:r>
            <w:r>
              <w:rPr>
                <w:rFonts w:ascii="宋体" w:hAnsi="宋体" w:cs="Arial"/>
                <w:kern w:val="0"/>
                <w:szCs w:val="21"/>
              </w:rPr>
              <w:t>教学设计等</w:t>
            </w:r>
            <w:r>
              <w:rPr>
                <w:rFonts w:hint="eastAsia" w:ascii="宋体" w:hAnsi="宋体" w:cs="Arial"/>
                <w:kern w:val="0"/>
                <w:szCs w:val="21"/>
              </w:rPr>
              <w:t>资料</w:t>
            </w:r>
            <w:r>
              <w:rPr>
                <w:rFonts w:ascii="宋体" w:hAnsi="宋体" w:cs="Arial"/>
                <w:kern w:val="0"/>
                <w:szCs w:val="21"/>
              </w:rPr>
              <w:t>；</w:t>
            </w:r>
            <w:r>
              <w:rPr>
                <w:rFonts w:hint="eastAsia" w:ascii="宋体" w:hAnsi="宋体" w:cs="Arial"/>
                <w:kern w:val="0"/>
                <w:szCs w:val="21"/>
              </w:rPr>
              <w:t>能够</w:t>
            </w:r>
            <w:r>
              <w:rPr>
                <w:rFonts w:ascii="宋体" w:hAnsi="宋体" w:cs="Arial"/>
                <w:kern w:val="0"/>
                <w:szCs w:val="21"/>
              </w:rPr>
              <w:t>基于教师能力指标体系自动对观测点进行评分、标记预判，供专家回放浏览</w:t>
            </w:r>
            <w:r>
              <w:rPr>
                <w:rFonts w:hint="eastAsia" w:ascii="宋体" w:hAnsi="宋体" w:cs="Arial"/>
                <w:kern w:val="0"/>
                <w:szCs w:val="21"/>
              </w:rPr>
              <w:t>。</w:t>
            </w:r>
            <w:r>
              <w:rPr>
                <w:rFonts w:ascii="宋体" w:hAnsi="宋体" w:cs="Arial"/>
                <w:kern w:val="0"/>
                <w:szCs w:val="21"/>
              </w:rPr>
              <w:br w:type="textWrapping"/>
            </w:r>
            <w:r>
              <w:rPr>
                <w:rFonts w:hint="eastAsia" w:ascii="宋体" w:hAnsi="宋体" w:cs="宋体"/>
                <w:b/>
                <w:color w:val="000000"/>
                <w:szCs w:val="21"/>
              </w:rPr>
              <w:t>▲</w:t>
            </w:r>
            <w:r>
              <w:rPr>
                <w:rFonts w:ascii="宋体" w:hAnsi="宋体" w:cs="Arial"/>
                <w:kern w:val="0"/>
                <w:szCs w:val="21"/>
              </w:rPr>
              <w:t>3.专家评分：专家结合 AI 评分助手查看系统评分情况和观测点对应的视频标签标注，并根据评测指标要求进行人工评分及评价</w:t>
            </w:r>
            <w:r>
              <w:rPr>
                <w:rFonts w:hint="eastAsia" w:ascii="宋体" w:hAnsi="宋体" w:cs="Arial"/>
                <w:kern w:val="0"/>
                <w:szCs w:val="21"/>
              </w:rPr>
              <w:t>。</w:t>
            </w:r>
            <w:r>
              <w:rPr>
                <w:rFonts w:ascii="宋体" w:hAnsi="宋体" w:cs="Arial"/>
                <w:kern w:val="0"/>
                <w:szCs w:val="21"/>
              </w:rPr>
              <w:br w:type="textWrapping"/>
            </w:r>
            <w:r>
              <w:rPr>
                <w:rFonts w:hint="eastAsia" w:ascii="宋体" w:hAnsi="宋体" w:cs="宋体"/>
                <w:b/>
                <w:color w:val="000000"/>
                <w:szCs w:val="21"/>
              </w:rPr>
              <w:t>▲</w:t>
            </w:r>
            <w:r>
              <w:rPr>
                <w:rFonts w:hint="eastAsia" w:ascii="宋体" w:hAnsi="宋体" w:cs="Arial"/>
                <w:b/>
                <w:kern w:val="0"/>
                <w:szCs w:val="21"/>
              </w:rPr>
              <w:t>三、系统技术支持</w:t>
            </w:r>
          </w:p>
          <w:p w14:paraId="1599D94E">
            <w:pPr>
              <w:widowControl/>
              <w:spacing w:line="360" w:lineRule="auto"/>
              <w:jc w:val="left"/>
              <w:rPr>
                <w:rFonts w:ascii="宋体" w:hAnsi="宋体" w:cs="Arial"/>
                <w:kern w:val="0"/>
                <w:szCs w:val="21"/>
              </w:rPr>
            </w:pPr>
            <w:r>
              <w:rPr>
                <w:rFonts w:hint="eastAsia" w:ascii="宋体" w:hAnsi="宋体" w:cs="Arial"/>
                <w:kern w:val="0"/>
                <w:szCs w:val="21"/>
              </w:rPr>
              <w:t>1.根据学校实际需求，必须提供定制化功能技术支持，以满足学校不同师范类专业的测评需求，用户可根据师范类专业的差别分别进行测评参数的设置，确保系统功能覆盖用户学校所有师范类专业的实际个性化需求。</w:t>
            </w:r>
          </w:p>
          <w:p w14:paraId="72E342D6">
            <w:pPr>
              <w:widowControl/>
              <w:spacing w:line="360" w:lineRule="auto"/>
              <w:jc w:val="left"/>
              <w:rPr>
                <w:rFonts w:ascii="宋体" w:hAnsi="宋体" w:cs="Arial"/>
                <w:kern w:val="0"/>
                <w:szCs w:val="21"/>
              </w:rPr>
            </w:pPr>
            <w:r>
              <w:rPr>
                <w:rFonts w:hint="eastAsia" w:ascii="宋体" w:hAnsi="宋体" w:cs="Arial"/>
                <w:kern w:val="0"/>
                <w:szCs w:val="21"/>
              </w:rPr>
              <w:t>2.部署在学校分析主机上的系统软件，必须提供系统部署方案；</w:t>
            </w:r>
          </w:p>
          <w:p w14:paraId="0B61D1F4">
            <w:pPr>
              <w:widowControl/>
              <w:spacing w:line="360" w:lineRule="auto"/>
              <w:jc w:val="left"/>
              <w:rPr>
                <w:rFonts w:ascii="宋体" w:hAnsi="宋体" w:cs="Arial"/>
                <w:kern w:val="0"/>
                <w:szCs w:val="21"/>
              </w:rPr>
            </w:pPr>
            <w:r>
              <w:rPr>
                <w:rFonts w:hint="eastAsia" w:ascii="宋体" w:hAnsi="宋体" w:cs="Arial"/>
                <w:kern w:val="0"/>
                <w:szCs w:val="21"/>
              </w:rPr>
              <w:t>▲3.要求本项号系统必须与所竞第1项的AI测评运行管理服务平台（云端平台）以及学校2024年建成的师范生教学能力</w:t>
            </w:r>
            <w:r>
              <w:rPr>
                <w:rFonts w:ascii="宋体" w:hAnsi="宋体" w:cs="Arial"/>
                <w:kern w:val="0"/>
                <w:szCs w:val="21"/>
              </w:rPr>
              <w:t>AI测评</w:t>
            </w:r>
            <w:r>
              <w:rPr>
                <w:rFonts w:hint="eastAsia" w:ascii="宋体" w:hAnsi="宋体" w:cs="Arial"/>
                <w:kern w:val="0"/>
                <w:szCs w:val="21"/>
              </w:rPr>
              <w:t>系统</w:t>
            </w:r>
            <w:r>
              <w:rPr>
                <w:rFonts w:ascii="宋体" w:hAnsi="宋体" w:cs="Arial"/>
                <w:kern w:val="0"/>
                <w:szCs w:val="21"/>
              </w:rPr>
              <w:t>无缝兼容对接</w:t>
            </w:r>
            <w:r>
              <w:rPr>
                <w:rFonts w:hint="eastAsia" w:ascii="宋体" w:hAnsi="宋体" w:cs="Arial"/>
                <w:kern w:val="0"/>
                <w:szCs w:val="21"/>
              </w:rPr>
              <w:t>；</w:t>
            </w:r>
            <w:r>
              <w:rPr>
                <w:rFonts w:hint="eastAsia" w:ascii="宋体" w:hAnsi="宋体" w:cs="Arial"/>
                <w:b/>
                <w:kern w:val="0"/>
                <w:szCs w:val="21"/>
              </w:rPr>
              <w:t>提供承诺书，并加盖供应商C</w:t>
            </w:r>
            <w:r>
              <w:rPr>
                <w:rFonts w:ascii="宋体" w:hAnsi="宋体" w:cs="Arial"/>
                <w:b/>
                <w:kern w:val="0"/>
                <w:szCs w:val="21"/>
              </w:rPr>
              <w:t>A</w:t>
            </w:r>
            <w:r>
              <w:rPr>
                <w:rFonts w:hint="eastAsia" w:ascii="宋体" w:hAnsi="宋体" w:cs="Arial"/>
                <w:b/>
                <w:kern w:val="0"/>
                <w:szCs w:val="21"/>
              </w:rPr>
              <w:t>签章，必须提供，否则响应文件按无效响应处理。</w:t>
            </w:r>
          </w:p>
          <w:p w14:paraId="14DD80A8">
            <w:pPr>
              <w:widowControl/>
              <w:spacing w:line="360" w:lineRule="auto"/>
              <w:jc w:val="left"/>
              <w:rPr>
                <w:rFonts w:ascii="宋体" w:hAnsi="宋体" w:cs="Arial"/>
                <w:kern w:val="0"/>
                <w:szCs w:val="21"/>
              </w:rPr>
            </w:pPr>
            <w:r>
              <w:rPr>
                <w:rFonts w:hint="eastAsia" w:ascii="宋体" w:hAnsi="宋体" w:cs="Arial"/>
                <w:kern w:val="0"/>
                <w:szCs w:val="21"/>
              </w:rPr>
              <w:t>4.要求支持与用户学校的统一身份认证管理平台对接，实现用户身份的统一认证管理。</w:t>
            </w:r>
          </w:p>
          <w:p w14:paraId="6D23408A">
            <w:pPr>
              <w:widowControl/>
              <w:spacing w:line="360" w:lineRule="auto"/>
              <w:jc w:val="left"/>
              <w:rPr>
                <w:rFonts w:ascii="宋体" w:hAnsi="宋体" w:cs="Arial"/>
                <w:kern w:val="0"/>
                <w:szCs w:val="21"/>
              </w:rPr>
            </w:pPr>
            <w:r>
              <w:rPr>
                <w:rFonts w:hint="eastAsia" w:ascii="宋体" w:hAnsi="宋体" w:cs="Arial"/>
                <w:kern w:val="0"/>
                <w:szCs w:val="21"/>
              </w:rPr>
              <w:t>5.为用户提供国家网络安全等级保护测评技术支持。</w:t>
            </w:r>
          </w:p>
          <w:p w14:paraId="046E5C96">
            <w:pPr>
              <w:widowControl/>
              <w:spacing w:line="360" w:lineRule="auto"/>
              <w:jc w:val="left"/>
              <w:rPr>
                <w:rFonts w:ascii="宋体" w:hAnsi="宋体" w:cs="Arial"/>
                <w:kern w:val="0"/>
                <w:szCs w:val="21"/>
              </w:rPr>
            </w:pPr>
            <w:bookmarkStart w:id="86" w:name="OLE_LINK3"/>
            <w:r>
              <w:rPr>
                <w:rFonts w:hint="eastAsia" w:ascii="宋体" w:hAnsi="宋体" w:cs="宋体"/>
                <w:b/>
                <w:color w:val="000000"/>
                <w:szCs w:val="21"/>
              </w:rPr>
              <w:t>▲</w:t>
            </w:r>
            <w:bookmarkEnd w:id="86"/>
            <w:r>
              <w:rPr>
                <w:rFonts w:hint="eastAsia" w:ascii="宋体" w:hAnsi="宋体" w:cs="宋体"/>
                <w:kern w:val="0"/>
                <w:szCs w:val="21"/>
              </w:rPr>
              <w:t>四、</w:t>
            </w:r>
            <w:r>
              <w:rPr>
                <w:rFonts w:hint="eastAsia" w:ascii="宋体" w:hAnsi="宋体" w:cs="Arial"/>
                <w:kern w:val="0"/>
                <w:szCs w:val="21"/>
              </w:rPr>
              <w:t>数据</w:t>
            </w:r>
            <w:r>
              <w:rPr>
                <w:rFonts w:ascii="宋体" w:hAnsi="宋体" w:cs="Arial"/>
                <w:kern w:val="0"/>
                <w:szCs w:val="21"/>
              </w:rPr>
              <w:t>与系统安全保障</w:t>
            </w:r>
          </w:p>
          <w:p w14:paraId="4D54EBC5">
            <w:pPr>
              <w:widowControl/>
              <w:spacing w:line="360" w:lineRule="auto"/>
              <w:jc w:val="left"/>
              <w:rPr>
                <w:rFonts w:ascii="宋体" w:hAnsi="宋体" w:cs="Arial"/>
                <w:kern w:val="0"/>
                <w:szCs w:val="21"/>
              </w:rPr>
            </w:pPr>
            <w:r>
              <w:rPr>
                <w:rFonts w:ascii="宋体" w:hAnsi="宋体" w:cs="Arial"/>
                <w:kern w:val="0"/>
                <w:szCs w:val="21"/>
              </w:rPr>
              <w:t>▲1</w:t>
            </w:r>
            <w:r>
              <w:rPr>
                <w:rFonts w:hint="eastAsia" w:ascii="宋体" w:hAnsi="宋体" w:cs="Arial"/>
                <w:kern w:val="0"/>
                <w:szCs w:val="21"/>
              </w:rPr>
              <w:t>. 数据存储</w:t>
            </w:r>
            <w:r>
              <w:rPr>
                <w:rFonts w:ascii="宋体" w:hAnsi="宋体" w:cs="Arial"/>
                <w:kern w:val="0"/>
                <w:szCs w:val="21"/>
              </w:rPr>
              <w:t>：系统所采集的音视频及系统运行所产生的所有数据，均保存在用户指定的服务器或云平台上。</w:t>
            </w:r>
          </w:p>
          <w:p w14:paraId="45C11556">
            <w:pPr>
              <w:widowControl/>
              <w:spacing w:line="360" w:lineRule="auto"/>
              <w:jc w:val="left"/>
              <w:rPr>
                <w:rFonts w:ascii="宋体" w:hAnsi="宋体" w:cs="Arial"/>
                <w:kern w:val="0"/>
                <w:szCs w:val="21"/>
              </w:rPr>
            </w:pPr>
            <w:r>
              <w:rPr>
                <w:rFonts w:ascii="宋体" w:hAnsi="宋体" w:cs="Arial"/>
                <w:kern w:val="0"/>
                <w:szCs w:val="21"/>
              </w:rPr>
              <w:t>▲2.</w:t>
            </w:r>
            <w:r>
              <w:rPr>
                <w:rFonts w:hint="eastAsia" w:ascii="宋体" w:hAnsi="宋体" w:cs="Arial"/>
                <w:kern w:val="0"/>
                <w:szCs w:val="21"/>
              </w:rPr>
              <w:t>提供</w:t>
            </w:r>
            <w:r>
              <w:rPr>
                <w:rFonts w:ascii="宋体" w:hAnsi="宋体" w:cs="Arial"/>
                <w:kern w:val="0"/>
                <w:szCs w:val="21"/>
              </w:rPr>
              <w:t>系统的全部源代码及</w:t>
            </w:r>
            <w:r>
              <w:rPr>
                <w:rFonts w:hint="eastAsia" w:ascii="宋体" w:hAnsi="宋体" w:cs="Arial"/>
                <w:kern w:val="0"/>
                <w:szCs w:val="21"/>
              </w:rPr>
              <w:t>相关</w:t>
            </w:r>
            <w:r>
              <w:rPr>
                <w:rFonts w:ascii="宋体" w:hAnsi="宋体" w:cs="Arial"/>
                <w:kern w:val="0"/>
                <w:szCs w:val="21"/>
              </w:rPr>
              <w:t>资料供用户进行系统安全审核，</w:t>
            </w:r>
            <w:r>
              <w:rPr>
                <w:rFonts w:hint="eastAsia" w:ascii="宋体" w:hAnsi="宋体" w:cs="Arial"/>
                <w:kern w:val="0"/>
                <w:szCs w:val="21"/>
              </w:rPr>
              <w:t>确保</w:t>
            </w:r>
            <w:r>
              <w:rPr>
                <w:rFonts w:ascii="宋体" w:hAnsi="宋体" w:cs="Arial"/>
                <w:kern w:val="0"/>
                <w:szCs w:val="21"/>
              </w:rPr>
              <w:t>系统无安全漏洞。</w:t>
            </w:r>
          </w:p>
          <w:p w14:paraId="66D9F678">
            <w:pPr>
              <w:widowControl/>
              <w:spacing w:line="360" w:lineRule="auto"/>
              <w:jc w:val="left"/>
              <w:rPr>
                <w:rFonts w:ascii="宋体" w:hAnsi="宋体" w:cs="Arial"/>
                <w:b/>
                <w:kern w:val="0"/>
                <w:szCs w:val="21"/>
              </w:rPr>
            </w:pPr>
            <w:r>
              <w:rPr>
                <w:rFonts w:hint="eastAsia" w:ascii="宋体" w:hAnsi="宋体" w:cs="Arial"/>
                <w:kern w:val="0"/>
                <w:szCs w:val="21"/>
              </w:rPr>
              <w:t>五、供应商于响应文件中提供所竞本项号标的满足“一、师范生教学测评功能模块”第1、3-6项及“二、专家评价功能模块”第1-3项“技术（服务）要求”的平台功能截图证明材料佐证，并加盖供应商C</w:t>
            </w:r>
            <w:r>
              <w:rPr>
                <w:rFonts w:ascii="宋体" w:hAnsi="宋体" w:cs="Arial"/>
                <w:kern w:val="0"/>
                <w:szCs w:val="21"/>
              </w:rPr>
              <w:t>A</w:t>
            </w:r>
            <w:r>
              <w:rPr>
                <w:rFonts w:hint="eastAsia" w:ascii="宋体" w:hAnsi="宋体" w:cs="Arial"/>
                <w:kern w:val="0"/>
                <w:szCs w:val="21"/>
              </w:rPr>
              <w:t>签章，</w:t>
            </w:r>
            <w:r>
              <w:rPr>
                <w:rFonts w:hint="eastAsia" w:ascii="宋体" w:hAnsi="宋体" w:cs="Arial"/>
                <w:b/>
                <w:kern w:val="0"/>
                <w:szCs w:val="21"/>
              </w:rPr>
              <w:t>必须提供，否则响应文件按无效响应处理。</w:t>
            </w:r>
          </w:p>
          <w:p w14:paraId="25B96DEF">
            <w:pPr>
              <w:widowControl/>
              <w:spacing w:line="360" w:lineRule="auto"/>
              <w:jc w:val="left"/>
            </w:pPr>
            <w:r>
              <w:rPr>
                <w:rFonts w:hint="eastAsia" w:ascii="宋体" w:hAnsi="宋体" w:cs="Arial"/>
                <w:kern w:val="0"/>
              </w:rPr>
              <w:t>六、</w:t>
            </w:r>
            <w:r>
              <w:rPr>
                <w:rFonts w:hint="eastAsia" w:ascii="宋体" w:hAnsi="宋体" w:cs="Arial"/>
                <w:kern w:val="0"/>
                <w:szCs w:val="21"/>
              </w:rPr>
              <w:t>验收时提供本项号系统必须与所竞第</w:t>
            </w:r>
            <w:r>
              <w:rPr>
                <w:rFonts w:ascii="宋体" w:hAnsi="宋体" w:cs="Arial"/>
                <w:kern w:val="0"/>
                <w:szCs w:val="21"/>
              </w:rPr>
              <w:t>1</w:t>
            </w:r>
            <w:r>
              <w:rPr>
                <w:rFonts w:hint="eastAsia" w:ascii="宋体" w:hAnsi="宋体" w:cs="Arial"/>
                <w:kern w:val="0"/>
                <w:szCs w:val="21"/>
              </w:rPr>
              <w:t>项的</w:t>
            </w:r>
            <w:r>
              <w:rPr>
                <w:rFonts w:ascii="宋体" w:hAnsi="宋体" w:cs="Arial"/>
                <w:kern w:val="0"/>
                <w:szCs w:val="21"/>
              </w:rPr>
              <w:t>AI</w:t>
            </w:r>
            <w:r>
              <w:rPr>
                <w:rFonts w:hint="eastAsia" w:ascii="宋体" w:hAnsi="宋体" w:cs="Arial"/>
                <w:kern w:val="0"/>
                <w:szCs w:val="21"/>
              </w:rPr>
              <w:t>测评运行管理服务平台（云端平台）以及学校</w:t>
            </w:r>
            <w:r>
              <w:rPr>
                <w:rFonts w:ascii="宋体" w:hAnsi="宋体" w:cs="Arial"/>
                <w:kern w:val="0"/>
                <w:szCs w:val="21"/>
              </w:rPr>
              <w:t>2024</w:t>
            </w:r>
            <w:r>
              <w:rPr>
                <w:rFonts w:hint="eastAsia" w:ascii="宋体" w:hAnsi="宋体" w:cs="Arial"/>
                <w:kern w:val="0"/>
                <w:szCs w:val="21"/>
              </w:rPr>
              <w:t>年建成的师范生教学能力</w:t>
            </w:r>
            <w:r>
              <w:rPr>
                <w:rFonts w:ascii="宋体" w:hAnsi="宋体" w:cs="Arial"/>
                <w:kern w:val="0"/>
                <w:szCs w:val="21"/>
              </w:rPr>
              <w:t>AI</w:t>
            </w:r>
            <w:r>
              <w:rPr>
                <w:rFonts w:hint="eastAsia" w:ascii="宋体" w:hAnsi="宋体" w:cs="Arial"/>
                <w:kern w:val="0"/>
                <w:szCs w:val="21"/>
              </w:rPr>
              <w:t>测评系统无缝兼容对接演示，如演示不符合采购要求，采购人有权不予验收。</w:t>
            </w:r>
          </w:p>
        </w:tc>
      </w:tr>
      <w:tr w14:paraId="642F4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9456" w:type="dxa"/>
            <w:gridSpan w:val="5"/>
            <w:vAlign w:val="center"/>
          </w:tcPr>
          <w:p w14:paraId="40A591BD">
            <w:pPr>
              <w:spacing w:line="400" w:lineRule="exact"/>
              <w:jc w:val="left"/>
              <w:rPr>
                <w:rFonts w:ascii="宋体" w:hAnsi="宋体"/>
                <w:b/>
                <w:szCs w:val="21"/>
              </w:rPr>
            </w:pPr>
            <w:r>
              <w:rPr>
                <w:rFonts w:hint="eastAsia" w:ascii="宋体" w:hAnsi="宋体"/>
                <w:b/>
                <w:szCs w:val="21"/>
              </w:rPr>
              <w:t>▲二、商务要求</w:t>
            </w:r>
          </w:p>
        </w:tc>
      </w:tr>
      <w:tr w14:paraId="2CBCA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1659" w:type="dxa"/>
            <w:gridSpan w:val="2"/>
            <w:vAlign w:val="center"/>
          </w:tcPr>
          <w:p w14:paraId="6D49710D">
            <w:pPr>
              <w:spacing w:line="340" w:lineRule="exact"/>
              <w:jc w:val="center"/>
              <w:rPr>
                <w:rFonts w:ascii="宋体" w:hAnsi="宋体"/>
                <w:b/>
                <w:szCs w:val="21"/>
              </w:rPr>
            </w:pPr>
            <w:r>
              <w:rPr>
                <w:rFonts w:hint="eastAsia" w:ascii="宋体" w:hAnsi="宋体"/>
                <w:b/>
              </w:rPr>
              <w:t>（一）售后</w:t>
            </w:r>
            <w:r>
              <w:rPr>
                <w:rFonts w:hint="eastAsia" w:ascii="宋体" w:hAnsi="宋体"/>
                <w:b/>
                <w:spacing w:val="-2"/>
              </w:rPr>
              <w:t>服务</w:t>
            </w:r>
          </w:p>
        </w:tc>
        <w:tc>
          <w:tcPr>
            <w:tcW w:w="7797" w:type="dxa"/>
            <w:gridSpan w:val="3"/>
          </w:tcPr>
          <w:p w14:paraId="21C7C6FF">
            <w:pPr>
              <w:spacing w:line="400" w:lineRule="exact"/>
              <w:rPr>
                <w:rFonts w:ascii="宋体" w:hAnsi="宋体"/>
                <w:b/>
                <w:bCs/>
              </w:rPr>
            </w:pPr>
            <w:bookmarkStart w:id="87" w:name="OLE_LINK20"/>
            <w:bookmarkStart w:id="88" w:name="OLE_LINK21"/>
            <w:r>
              <w:rPr>
                <w:rFonts w:hint="eastAsia" w:ascii="宋体" w:hAnsi="宋体"/>
                <w:b/>
                <w:bCs/>
              </w:rPr>
              <w:t>1、质保期：自交付验收通过之日起3年</w:t>
            </w:r>
          </w:p>
          <w:p w14:paraId="5718514C">
            <w:pPr>
              <w:spacing w:line="400" w:lineRule="exact"/>
              <w:rPr>
                <w:rFonts w:ascii="宋体" w:hAnsi="宋体"/>
                <w:b/>
                <w:bCs/>
              </w:rPr>
            </w:pPr>
            <w:r>
              <w:rPr>
                <w:rFonts w:ascii="宋体" w:hAnsi="宋体"/>
                <w:b/>
                <w:bCs/>
              </w:rPr>
              <w:t>2</w:t>
            </w:r>
            <w:r>
              <w:rPr>
                <w:rFonts w:hint="eastAsia" w:ascii="宋体" w:hAnsi="宋体"/>
                <w:b/>
                <w:bCs/>
              </w:rPr>
              <w:t>、数据与系统安全保障</w:t>
            </w:r>
          </w:p>
          <w:p w14:paraId="15CB29D5">
            <w:pPr>
              <w:spacing w:line="400" w:lineRule="exact"/>
              <w:rPr>
                <w:rFonts w:ascii="宋体" w:hAnsi="宋体"/>
                <w:b/>
                <w:bCs/>
              </w:rPr>
            </w:pPr>
            <w:r>
              <w:rPr>
                <w:rFonts w:hint="eastAsia" w:ascii="宋体" w:hAnsi="宋体"/>
                <w:b/>
                <w:bCs/>
              </w:rPr>
              <w:t>2</w:t>
            </w:r>
            <w:r>
              <w:rPr>
                <w:rFonts w:ascii="宋体" w:hAnsi="宋体"/>
                <w:b/>
                <w:bCs/>
              </w:rPr>
              <w:t>.1</w:t>
            </w:r>
            <w:r>
              <w:rPr>
                <w:rFonts w:hint="eastAsia" w:ascii="宋体" w:hAnsi="宋体"/>
                <w:b/>
                <w:bCs/>
              </w:rPr>
              <w:t>数据存储：系统所采集的音视频及系统运行所产生的所有数据，均保存在用户指定的服务器或云平台上。</w:t>
            </w:r>
          </w:p>
          <w:p w14:paraId="2C6A1B93">
            <w:pPr>
              <w:spacing w:line="400" w:lineRule="exact"/>
              <w:rPr>
                <w:rFonts w:ascii="宋体" w:hAnsi="宋体"/>
                <w:b/>
                <w:bCs/>
              </w:rPr>
            </w:pPr>
            <w:r>
              <w:rPr>
                <w:rFonts w:ascii="宋体" w:hAnsi="宋体"/>
                <w:b/>
                <w:bCs/>
              </w:rPr>
              <w:t>2.2</w:t>
            </w:r>
            <w:r>
              <w:rPr>
                <w:rFonts w:hint="eastAsia" w:ascii="宋体" w:hAnsi="宋体"/>
                <w:b/>
                <w:bCs/>
              </w:rPr>
              <w:t>提供上述云端平台及终端子系统的相关资料，包括但不限于以上云端平台及终端子系统的部署架构、视频音频识别检测模型的用例及训练权重设置说明文件、系统配置手册、用户操作使用手册和系统维护手册等。确保测评相关系统无信息安全隐患和系统漏洞。</w:t>
            </w:r>
          </w:p>
          <w:p w14:paraId="077D6324">
            <w:pPr>
              <w:spacing w:line="400" w:lineRule="exact"/>
              <w:rPr>
                <w:rFonts w:ascii="宋体" w:hAnsi="宋体"/>
                <w:b/>
                <w:bCs/>
              </w:rPr>
            </w:pPr>
            <w:r>
              <w:rPr>
                <w:rFonts w:ascii="宋体" w:hAnsi="宋体"/>
                <w:b/>
                <w:bCs/>
              </w:rPr>
              <w:t>3</w:t>
            </w:r>
            <w:r>
              <w:rPr>
                <w:rFonts w:hint="eastAsia" w:ascii="宋体" w:hAnsi="宋体"/>
                <w:b/>
                <w:bCs/>
              </w:rPr>
              <w:t>、系统运行支撑服务</w:t>
            </w:r>
          </w:p>
          <w:p w14:paraId="47685A64">
            <w:pPr>
              <w:spacing w:line="400" w:lineRule="exact"/>
              <w:rPr>
                <w:rFonts w:ascii="宋体" w:hAnsi="宋体"/>
                <w:b/>
                <w:bCs/>
              </w:rPr>
            </w:pPr>
            <w:r>
              <w:rPr>
                <w:rFonts w:ascii="宋体" w:hAnsi="宋体"/>
                <w:b/>
                <w:bCs/>
              </w:rPr>
              <w:t>3.1</w:t>
            </w:r>
            <w:r>
              <w:rPr>
                <w:rFonts w:hint="eastAsia" w:ascii="宋体" w:hAnsi="宋体"/>
                <w:b/>
                <w:bCs/>
              </w:rPr>
              <w:t>每年提供至少 4 次现场系统运维支撑，包括系统调测、系统使用培训、评测结果分析和报告发布等。</w:t>
            </w:r>
          </w:p>
          <w:p w14:paraId="4A45B68C">
            <w:pPr>
              <w:spacing w:line="400" w:lineRule="exact"/>
              <w:rPr>
                <w:rFonts w:ascii="宋体" w:hAnsi="宋体"/>
                <w:b/>
                <w:bCs/>
              </w:rPr>
            </w:pPr>
            <w:r>
              <w:rPr>
                <w:rFonts w:ascii="宋体" w:hAnsi="宋体"/>
                <w:b/>
                <w:bCs/>
              </w:rPr>
              <w:t>4</w:t>
            </w:r>
            <w:r>
              <w:rPr>
                <w:rFonts w:hint="eastAsia" w:ascii="宋体" w:hAnsi="宋体"/>
                <w:b/>
                <w:bCs/>
              </w:rPr>
              <w:t>、软件维保期：不少于</w:t>
            </w:r>
            <w:r>
              <w:rPr>
                <w:rFonts w:ascii="宋体" w:hAnsi="宋体"/>
                <w:b/>
                <w:bCs/>
              </w:rPr>
              <w:t>3</w:t>
            </w:r>
            <w:r>
              <w:rPr>
                <w:rFonts w:hint="eastAsia" w:ascii="宋体" w:hAnsi="宋体"/>
                <w:b/>
                <w:bCs/>
              </w:rPr>
              <w:t>年。</w:t>
            </w:r>
          </w:p>
          <w:p w14:paraId="3C275668">
            <w:pPr>
              <w:spacing w:line="400" w:lineRule="exact"/>
              <w:rPr>
                <w:rFonts w:ascii="宋体" w:hAnsi="宋体"/>
                <w:b/>
                <w:bCs/>
              </w:rPr>
            </w:pPr>
            <w:r>
              <w:rPr>
                <w:rFonts w:ascii="宋体" w:hAnsi="宋体"/>
                <w:b/>
                <w:bCs/>
              </w:rPr>
              <w:t>4.1</w:t>
            </w:r>
            <w:r>
              <w:rPr>
                <w:rFonts w:hint="eastAsia" w:ascii="宋体" w:hAnsi="宋体"/>
                <w:b/>
                <w:bCs/>
              </w:rPr>
              <w:t>系统维护服务：合同期内，提供或聘用不少于3人的专职运维团队入驻用户学校提供7×24的现场运维保障服务，如遇技术问题，要求当天予以解决，以保证系统正常运行。</w:t>
            </w:r>
          </w:p>
          <w:p w14:paraId="4A511C7D">
            <w:pPr>
              <w:spacing w:line="400" w:lineRule="exact"/>
              <w:rPr>
                <w:rFonts w:ascii="宋体" w:hAnsi="宋体"/>
                <w:b/>
                <w:bCs/>
              </w:rPr>
            </w:pPr>
            <w:r>
              <w:rPr>
                <w:rFonts w:ascii="宋体" w:hAnsi="宋体"/>
                <w:b/>
                <w:bCs/>
              </w:rPr>
              <w:t>4.2</w:t>
            </w:r>
            <w:r>
              <w:rPr>
                <w:rFonts w:hint="eastAsia" w:ascii="宋体" w:hAnsi="宋体"/>
                <w:b/>
                <w:bCs/>
              </w:rPr>
              <w:t>质保服务说明：系统软件使用期为永久授权使用，合同期内，软件提供方提供至少5年的软件及数据升级、系统维护和技术支持服务，不再收取任何费用。合同期满后，若涉及软件重大升级更新，升级更新服务费用不超过成交价格的5%，并需另行签订维护和支持协议。</w:t>
            </w:r>
          </w:p>
          <w:p w14:paraId="6222274F">
            <w:pPr>
              <w:spacing w:line="400" w:lineRule="exact"/>
              <w:rPr>
                <w:rFonts w:ascii="宋体" w:hAnsi="宋体"/>
              </w:rPr>
            </w:pPr>
            <w:r>
              <w:rPr>
                <w:rFonts w:ascii="宋体" w:hAnsi="宋体"/>
                <w:b/>
                <w:bCs/>
              </w:rPr>
              <w:t>4.3</w:t>
            </w:r>
            <w:r>
              <w:rPr>
                <w:rFonts w:hint="eastAsia" w:ascii="宋体" w:hAnsi="宋体"/>
                <w:b/>
                <w:bCs/>
              </w:rPr>
              <w:t>提供完善的培训，培训内容包括：培训计划、培训人员、培训大纲及手册、对培训目标及效果保障措施等，达到相关使用人员能熟练使用、维护及管理的目标。</w:t>
            </w:r>
            <w:bookmarkEnd w:id="87"/>
            <w:bookmarkEnd w:id="88"/>
            <w:r>
              <w:rPr>
                <w:rFonts w:hint="eastAsia" w:ascii="宋体" w:hAnsi="宋体"/>
                <w:b/>
                <w:bCs/>
              </w:rPr>
              <w:t xml:space="preserve"> </w:t>
            </w:r>
          </w:p>
        </w:tc>
      </w:tr>
      <w:tr w14:paraId="3E17A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jc w:val="center"/>
        </w:trPr>
        <w:tc>
          <w:tcPr>
            <w:tcW w:w="1659" w:type="dxa"/>
            <w:gridSpan w:val="2"/>
            <w:vAlign w:val="center"/>
          </w:tcPr>
          <w:p w14:paraId="6FE57E99">
            <w:pPr>
              <w:spacing w:line="340" w:lineRule="exact"/>
              <w:jc w:val="center"/>
              <w:rPr>
                <w:rFonts w:ascii="宋体" w:hAnsi="宋体"/>
                <w:b/>
                <w:szCs w:val="21"/>
              </w:rPr>
            </w:pPr>
            <w:r>
              <w:rPr>
                <w:rFonts w:hint="eastAsia" w:ascii="宋体" w:hAnsi="宋体"/>
                <w:b/>
              </w:rPr>
              <w:t>（二）交付时间和地点</w:t>
            </w:r>
          </w:p>
        </w:tc>
        <w:tc>
          <w:tcPr>
            <w:tcW w:w="7797" w:type="dxa"/>
            <w:gridSpan w:val="3"/>
          </w:tcPr>
          <w:p w14:paraId="58695050">
            <w:pPr>
              <w:spacing w:line="400" w:lineRule="exact"/>
              <w:rPr>
                <w:rFonts w:ascii="宋体" w:hAnsi="宋体"/>
                <w:b/>
                <w:bCs/>
              </w:rPr>
            </w:pPr>
            <w:r>
              <w:rPr>
                <w:rFonts w:hint="eastAsia" w:ascii="宋体" w:hAnsi="宋体"/>
                <w:b/>
                <w:bCs/>
              </w:rPr>
              <w:t>1.交付时间：自签订合同之日起</w:t>
            </w:r>
            <w:r>
              <w:rPr>
                <w:rFonts w:ascii="宋体" w:hAnsi="宋体"/>
                <w:b/>
                <w:bCs/>
              </w:rPr>
              <w:t>120</w:t>
            </w:r>
            <w:r>
              <w:rPr>
                <w:rFonts w:hint="eastAsia" w:ascii="宋体" w:hAnsi="宋体"/>
                <w:b/>
                <w:bCs/>
              </w:rPr>
              <w:t>个自然日内全部安装调试完毕，经验收合格并交付使用。</w:t>
            </w:r>
          </w:p>
          <w:p w14:paraId="6516D32D">
            <w:pPr>
              <w:spacing w:line="400" w:lineRule="exact"/>
              <w:jc w:val="left"/>
              <w:rPr>
                <w:rFonts w:ascii="宋体" w:hAnsi="宋体"/>
                <w:szCs w:val="21"/>
              </w:rPr>
            </w:pPr>
            <w:r>
              <w:rPr>
                <w:rFonts w:hint="eastAsia" w:ascii="宋体" w:hAnsi="宋体"/>
                <w:b/>
                <w:bCs/>
              </w:rPr>
              <w:t>2.交付地点：广西桂林市采购人指定地点（广西师范大学）。</w:t>
            </w:r>
          </w:p>
        </w:tc>
      </w:tr>
      <w:tr w14:paraId="1ACBA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31D1E1CD">
            <w:pPr>
              <w:spacing w:line="340" w:lineRule="exact"/>
              <w:jc w:val="center"/>
              <w:rPr>
                <w:rFonts w:ascii="宋体" w:hAnsi="宋体"/>
                <w:b/>
                <w:szCs w:val="21"/>
              </w:rPr>
            </w:pPr>
            <w:r>
              <w:rPr>
                <w:rFonts w:hint="eastAsia" w:ascii="宋体" w:hAnsi="宋体"/>
                <w:b/>
              </w:rPr>
              <w:t>（三）合同签订时间</w:t>
            </w:r>
          </w:p>
        </w:tc>
        <w:tc>
          <w:tcPr>
            <w:tcW w:w="7797" w:type="dxa"/>
            <w:gridSpan w:val="3"/>
            <w:vAlign w:val="center"/>
          </w:tcPr>
          <w:p w14:paraId="0177BAD7">
            <w:pPr>
              <w:spacing w:line="400" w:lineRule="exact"/>
              <w:rPr>
                <w:rFonts w:ascii="宋体" w:hAnsi="宋体"/>
                <w:b/>
                <w:bCs/>
                <w:szCs w:val="21"/>
              </w:rPr>
            </w:pPr>
            <w:r>
              <w:rPr>
                <w:rFonts w:hint="eastAsia" w:ascii="宋体" w:hAnsi="宋体"/>
                <w:b/>
                <w:bCs/>
              </w:rPr>
              <w:t>自成交通知书发出之日起25天内。</w:t>
            </w:r>
          </w:p>
        </w:tc>
      </w:tr>
      <w:tr w14:paraId="0D7BE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167BA8EB">
            <w:pPr>
              <w:spacing w:line="340" w:lineRule="exact"/>
              <w:jc w:val="center"/>
              <w:rPr>
                <w:rFonts w:ascii="宋体" w:hAnsi="宋体"/>
                <w:b/>
                <w:szCs w:val="21"/>
              </w:rPr>
            </w:pPr>
            <w:r>
              <w:rPr>
                <w:rFonts w:hint="eastAsia" w:ascii="宋体" w:hAnsi="宋体"/>
                <w:b/>
              </w:rPr>
              <w:t>（四）履约保证金</w:t>
            </w:r>
          </w:p>
        </w:tc>
        <w:tc>
          <w:tcPr>
            <w:tcW w:w="7797" w:type="dxa"/>
            <w:gridSpan w:val="3"/>
          </w:tcPr>
          <w:p w14:paraId="1A6A4C2E">
            <w:pPr>
              <w:spacing w:line="400" w:lineRule="exact"/>
              <w:rPr>
                <w:rFonts w:ascii="宋体" w:hAnsi="宋体"/>
                <w:b/>
                <w:bCs/>
              </w:rPr>
            </w:pPr>
            <w:r>
              <w:rPr>
                <w:rFonts w:hint="eastAsia" w:ascii="宋体" w:hAnsi="宋体"/>
                <w:b/>
                <w:bCs/>
              </w:rPr>
              <w:t>履约保证金金额：履约保证金按成交金额的5%，如成交供应商为中小企业的，履约保证金按成交金额的2%。</w:t>
            </w:r>
          </w:p>
          <w:p w14:paraId="75BBD564">
            <w:pPr>
              <w:spacing w:line="400" w:lineRule="exact"/>
              <w:rPr>
                <w:rFonts w:ascii="宋体" w:hAnsi="宋体"/>
                <w:b/>
                <w:bCs/>
                <w:szCs w:val="21"/>
              </w:rPr>
            </w:pPr>
            <w:r>
              <w:rPr>
                <w:rFonts w:hint="eastAsia" w:ascii="宋体" w:hAnsi="宋体"/>
                <w:b/>
                <w:bCs/>
              </w:rPr>
              <w:t>履约保证金递交方式及时限：供应商必须在成交通知书发出后25日内且必须在签订合同前以银行转账、支票、汇票、本票或者金融、担保机构出具的保函（包含电子保函）等非现金方式向采购人交纳履约保证金，否则，不予签订合同。</w:t>
            </w:r>
          </w:p>
        </w:tc>
      </w:tr>
      <w:tr w14:paraId="1D4B5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08CA97D1">
            <w:pPr>
              <w:spacing w:line="340" w:lineRule="exact"/>
              <w:jc w:val="center"/>
              <w:rPr>
                <w:rFonts w:ascii="宋体" w:hAnsi="宋体"/>
                <w:b/>
              </w:rPr>
            </w:pPr>
            <w:r>
              <w:rPr>
                <w:rFonts w:hint="eastAsia" w:ascii="宋体" w:hAnsi="宋体"/>
                <w:b/>
              </w:rPr>
              <w:t>（五）付款方式</w:t>
            </w:r>
          </w:p>
        </w:tc>
        <w:tc>
          <w:tcPr>
            <w:tcW w:w="7797" w:type="dxa"/>
            <w:gridSpan w:val="3"/>
          </w:tcPr>
          <w:p w14:paraId="7E0378EA">
            <w:pPr>
              <w:spacing w:line="400" w:lineRule="exact"/>
              <w:rPr>
                <w:rFonts w:ascii="宋体" w:hAnsi="宋体" w:cs="宋体"/>
                <w:b/>
                <w:bCs/>
                <w:szCs w:val="21"/>
              </w:rPr>
            </w:pPr>
            <w:r>
              <w:rPr>
                <w:rFonts w:hint="eastAsia" w:ascii="宋体" w:hAnsi="宋体" w:cs="宋体"/>
                <w:b/>
                <w:bCs/>
                <w:szCs w:val="21"/>
              </w:rPr>
              <w:t xml:space="preserve">自签订合同之日起七个工作日内，采购人支付合同款总额20%作为预付款，交货核验（含测试或试运行演示）合格后，采购人支付20%合同款，交货甲方经安装试运行一个月，甲方予以最终验收，验收合格后十个工作日内，采购人支付剩余60%的合同款。采购人在付款之前，供应商应开具相应金额正式发票给采购人。  </w:t>
            </w:r>
          </w:p>
        </w:tc>
      </w:tr>
      <w:tr w14:paraId="40B17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3EB60FE4">
            <w:pPr>
              <w:spacing w:line="340" w:lineRule="exact"/>
              <w:jc w:val="center"/>
              <w:rPr>
                <w:rFonts w:ascii="宋体" w:hAnsi="宋体"/>
                <w:b/>
              </w:rPr>
            </w:pPr>
            <w:r>
              <w:rPr>
                <w:rFonts w:hint="eastAsia" w:ascii="宋体" w:hAnsi="宋体"/>
                <w:b/>
              </w:rPr>
              <w:t>（六）保险</w:t>
            </w:r>
          </w:p>
        </w:tc>
        <w:tc>
          <w:tcPr>
            <w:tcW w:w="7797" w:type="dxa"/>
            <w:gridSpan w:val="3"/>
          </w:tcPr>
          <w:p w14:paraId="4436906E">
            <w:pPr>
              <w:spacing w:line="400" w:lineRule="exact"/>
              <w:rPr>
                <w:rFonts w:ascii="宋体" w:hAnsi="宋体"/>
                <w:szCs w:val="21"/>
              </w:rPr>
            </w:pPr>
            <w:r>
              <w:rPr>
                <w:rFonts w:hint="eastAsia" w:ascii="宋体" w:hAnsi="宋体"/>
                <w:b/>
                <w:bCs/>
              </w:rPr>
              <w:t>本项目采购标的涉及的相关材料、设备、人员、运输等购买保险的，相关费用由供应商自行承担。</w:t>
            </w:r>
          </w:p>
        </w:tc>
      </w:tr>
      <w:tr w14:paraId="5387C4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610FEF23">
            <w:pPr>
              <w:spacing w:line="340" w:lineRule="exact"/>
              <w:jc w:val="center"/>
              <w:rPr>
                <w:rFonts w:ascii="宋体" w:hAnsi="宋体"/>
                <w:b/>
              </w:rPr>
            </w:pPr>
            <w:r>
              <w:rPr>
                <w:rFonts w:hint="eastAsia" w:ascii="宋体" w:hAnsi="宋体"/>
                <w:b/>
              </w:rPr>
              <w:t>（七）验收标准</w:t>
            </w:r>
          </w:p>
        </w:tc>
        <w:tc>
          <w:tcPr>
            <w:tcW w:w="7797" w:type="dxa"/>
            <w:gridSpan w:val="3"/>
          </w:tcPr>
          <w:p w14:paraId="1129D937">
            <w:pPr>
              <w:spacing w:line="400" w:lineRule="exact"/>
              <w:rPr>
                <w:rFonts w:ascii="宋体" w:hAnsi="宋体"/>
                <w:b/>
                <w:bCs/>
              </w:rPr>
            </w:pPr>
            <w:r>
              <w:rPr>
                <w:rFonts w:hint="eastAsia" w:ascii="宋体" w:hAnsi="宋体"/>
                <w:b/>
                <w:bCs/>
              </w:rPr>
              <w:t>1.本项目执行国家相关标准、行业标准、地方标准或者其他标准、规范。如具体采购需求与标准、规范不一致的，高于标准、规范的按具体采购需求执行；低于标准、规范的按标准、规范执行。供应商所提供的系统必须是全新、完好、无破损、未经使用的，在正常安装、使用和保养条件下，其使用寿命期内各项指标均达到质量要求。</w:t>
            </w:r>
          </w:p>
          <w:p w14:paraId="76B5E039">
            <w:pPr>
              <w:spacing w:line="400" w:lineRule="exact"/>
              <w:rPr>
                <w:rFonts w:ascii="宋体" w:hAnsi="宋体"/>
                <w:b/>
                <w:bCs/>
              </w:rPr>
            </w:pPr>
            <w:r>
              <w:rPr>
                <w:rFonts w:hint="eastAsia" w:ascii="宋体" w:hAnsi="宋体"/>
                <w:b/>
                <w:bCs/>
              </w:rPr>
              <w:t>2.产品到货后，采购人现场根据竞争性磋商文件要求及响应文件承诺逐条对应进行核验（含测试或试运行演示），核验不合格的，采购人有权不予验收，同时报相关监督管理部门，由此造成采购人经济损失的由成交供应商负责承担全部赔偿责任。</w:t>
            </w:r>
          </w:p>
          <w:p w14:paraId="21EDE839">
            <w:pPr>
              <w:spacing w:line="400" w:lineRule="exact"/>
              <w:rPr>
                <w:rFonts w:ascii="宋体" w:hAnsi="宋体"/>
                <w:b/>
                <w:bCs/>
              </w:rPr>
            </w:pPr>
            <w:r>
              <w:rPr>
                <w:rFonts w:hint="eastAsia" w:ascii="宋体" w:hAnsi="宋体"/>
                <w:b/>
                <w:bCs/>
              </w:rPr>
              <w:t>3.因产品质量问题发生争议的，应邀请国家认可的质量检测机构对产品质量进行鉴定。</w:t>
            </w:r>
          </w:p>
          <w:p w14:paraId="62953C2C">
            <w:pPr>
              <w:spacing w:line="400" w:lineRule="exact"/>
              <w:rPr>
                <w:rFonts w:ascii="宋体" w:hAnsi="宋体"/>
                <w:szCs w:val="21"/>
              </w:rPr>
            </w:pPr>
            <w:r>
              <w:rPr>
                <w:rFonts w:hint="eastAsia" w:ascii="宋体" w:hAnsi="宋体"/>
                <w:b/>
                <w:bCs/>
              </w:rPr>
              <w:t>4.相关检验检测和验收费用全部由成交供应商承担。</w:t>
            </w:r>
          </w:p>
        </w:tc>
      </w:tr>
      <w:tr w14:paraId="13B85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9456" w:type="dxa"/>
            <w:gridSpan w:val="5"/>
            <w:vAlign w:val="center"/>
          </w:tcPr>
          <w:p w14:paraId="02EFCF2C">
            <w:pPr>
              <w:spacing w:line="400" w:lineRule="exact"/>
              <w:rPr>
                <w:rFonts w:ascii="宋体" w:hAnsi="宋体"/>
                <w:b/>
                <w:bCs/>
              </w:rPr>
            </w:pPr>
            <w:r>
              <w:rPr>
                <w:rFonts w:hint="eastAsia" w:ascii="宋体" w:hAnsi="宋体"/>
                <w:bCs/>
                <w:szCs w:val="21"/>
              </w:rPr>
              <w:t>三、系统功能演示要求及其他要求</w:t>
            </w:r>
          </w:p>
        </w:tc>
      </w:tr>
      <w:tr w14:paraId="393C6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9456" w:type="dxa"/>
            <w:gridSpan w:val="5"/>
            <w:vAlign w:val="center"/>
          </w:tcPr>
          <w:p w14:paraId="541E6E9E">
            <w:pPr>
              <w:adjustRightInd w:val="0"/>
              <w:snapToGrid w:val="0"/>
              <w:spacing w:line="340" w:lineRule="exact"/>
              <w:rPr>
                <w:rFonts w:ascii="宋体" w:hAnsi="宋体"/>
              </w:rPr>
            </w:pPr>
            <w:r>
              <w:rPr>
                <w:rFonts w:hint="eastAsia" w:ascii="宋体" w:hAnsi="宋体"/>
              </w:rPr>
              <w:t>1.供应商可视自身情况对本章 “技术（服务）要求中的功能在本项目响应文件提交截止时间当天上午9时30分后（具时间以本项目磋商小组通知为准）向磋商小组进行系统功</w:t>
            </w:r>
            <w:r>
              <w:rPr>
                <w:rFonts w:hint="eastAsia" w:ascii="宋体" w:hAnsi="宋体"/>
                <w:bCs/>
                <w:szCs w:val="21"/>
              </w:rPr>
              <w:t>能演示</w:t>
            </w:r>
            <w:r>
              <w:rPr>
                <w:rFonts w:hint="eastAsia" w:ascii="宋体" w:hAnsi="宋体"/>
              </w:rPr>
              <w:t>，演示时间不超过</w:t>
            </w:r>
            <w:r>
              <w:rPr>
                <w:rFonts w:ascii="宋体" w:hAnsi="宋体"/>
              </w:rPr>
              <w:t>25</w:t>
            </w:r>
            <w:r>
              <w:rPr>
                <w:rFonts w:hint="eastAsia" w:ascii="宋体" w:hAnsi="宋体"/>
              </w:rPr>
              <w:t>分钟。</w:t>
            </w:r>
          </w:p>
          <w:p w14:paraId="762A8524">
            <w:pPr>
              <w:adjustRightInd w:val="0"/>
              <w:snapToGrid w:val="0"/>
              <w:spacing w:line="340" w:lineRule="exact"/>
              <w:rPr>
                <w:rFonts w:ascii="宋体" w:hAnsi="宋体"/>
              </w:rPr>
            </w:pPr>
            <w:r>
              <w:rPr>
                <w:rFonts w:hint="eastAsia" w:ascii="宋体" w:hAnsi="宋体"/>
              </w:rPr>
              <w:t>2.供应商提供的</w:t>
            </w:r>
            <w:r>
              <w:rPr>
                <w:rFonts w:hint="eastAsia" w:ascii="宋体" w:hAnsi="宋体"/>
                <w:bCs/>
                <w:szCs w:val="21"/>
              </w:rPr>
              <w:t>系统功能演示应基于真实平台（不接受PPT、Demo、视频等演示形式）进行演示</w:t>
            </w:r>
            <w:r>
              <w:rPr>
                <w:rFonts w:hint="eastAsia" w:ascii="宋体" w:hAnsi="宋体"/>
              </w:rPr>
              <w:t>。</w:t>
            </w:r>
          </w:p>
          <w:p w14:paraId="72D82F1C">
            <w:pPr>
              <w:adjustRightInd w:val="0"/>
              <w:snapToGrid w:val="0"/>
              <w:spacing w:line="340" w:lineRule="exact"/>
              <w:rPr>
                <w:rFonts w:ascii="宋体" w:hAnsi="宋体"/>
              </w:rPr>
            </w:pPr>
            <w:r>
              <w:rPr>
                <w:rFonts w:hint="eastAsia" w:ascii="宋体" w:hAnsi="宋体"/>
              </w:rPr>
              <w:t>3.</w:t>
            </w:r>
            <w:r>
              <w:rPr>
                <w:rFonts w:hint="eastAsia" w:ascii="宋体" w:hAnsi="宋体"/>
                <w:bCs/>
                <w:szCs w:val="21"/>
              </w:rPr>
              <w:t>系统功能演示</w:t>
            </w:r>
            <w:r>
              <w:rPr>
                <w:rFonts w:hint="eastAsia" w:ascii="宋体" w:hAnsi="宋体"/>
              </w:rPr>
              <w:t>方式：广西政府采购云平台线上</w:t>
            </w:r>
            <w:r>
              <w:rPr>
                <w:rFonts w:hint="eastAsia" w:ascii="宋体" w:hAnsi="宋体"/>
                <w:bCs/>
                <w:szCs w:val="21"/>
              </w:rPr>
              <w:t>演示</w:t>
            </w:r>
            <w:r>
              <w:rPr>
                <w:rFonts w:hint="eastAsia" w:ascii="宋体" w:hAnsi="宋体"/>
              </w:rPr>
              <w:t>：供应商在广西政府采购云平台在线进行</w:t>
            </w:r>
            <w:r>
              <w:rPr>
                <w:rFonts w:hint="eastAsia" w:ascii="宋体" w:hAnsi="宋体"/>
                <w:bCs/>
                <w:szCs w:val="21"/>
              </w:rPr>
              <w:t>系统功能演示</w:t>
            </w:r>
            <w:r>
              <w:rPr>
                <w:rFonts w:hint="eastAsia" w:ascii="宋体" w:hAnsi="宋体"/>
              </w:rPr>
              <w:t>（供应商应实时保持在线并自行准备</w:t>
            </w:r>
            <w:r>
              <w:rPr>
                <w:rFonts w:hint="eastAsia" w:ascii="宋体" w:hAnsi="宋体"/>
                <w:bCs/>
                <w:szCs w:val="21"/>
              </w:rPr>
              <w:t>演示</w:t>
            </w:r>
            <w:r>
              <w:rPr>
                <w:rFonts w:hint="eastAsia" w:ascii="宋体" w:hAnsi="宋体"/>
              </w:rPr>
              <w:t>相关设备及网络等</w:t>
            </w:r>
            <w:r>
              <w:rPr>
                <w:rFonts w:hint="eastAsia" w:ascii="宋体" w:hAnsi="宋体"/>
                <w:bCs/>
                <w:szCs w:val="21"/>
              </w:rPr>
              <w:t>演示</w:t>
            </w:r>
            <w:r>
              <w:rPr>
                <w:rFonts w:hint="eastAsia" w:ascii="宋体" w:hAnsi="宋体"/>
              </w:rPr>
              <w:t>工具）；</w:t>
            </w:r>
          </w:p>
          <w:p w14:paraId="58849756">
            <w:pPr>
              <w:spacing w:line="400" w:lineRule="exact"/>
              <w:rPr>
                <w:rFonts w:ascii="宋体" w:hAnsi="宋体"/>
                <w:b/>
                <w:bCs/>
              </w:rPr>
            </w:pPr>
            <w:r>
              <w:rPr>
                <w:rFonts w:hint="eastAsia" w:ascii="宋体" w:hAnsi="宋体"/>
              </w:rPr>
              <w:t>4.因供应商准备不足等自身原因导致未能完成</w:t>
            </w:r>
            <w:r>
              <w:rPr>
                <w:rFonts w:hint="eastAsia" w:ascii="宋体" w:hAnsi="宋体"/>
                <w:bCs/>
                <w:szCs w:val="21"/>
              </w:rPr>
              <w:t>演示</w:t>
            </w:r>
            <w:r>
              <w:rPr>
                <w:rFonts w:hint="eastAsia" w:ascii="宋体" w:hAnsi="宋体"/>
              </w:rPr>
              <w:t>的，不利后果由供应商自行承担。</w:t>
            </w:r>
          </w:p>
        </w:tc>
      </w:tr>
      <w:tr w14:paraId="52771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9456" w:type="dxa"/>
            <w:gridSpan w:val="5"/>
            <w:vAlign w:val="center"/>
          </w:tcPr>
          <w:p w14:paraId="15276C81">
            <w:pPr>
              <w:spacing w:line="400" w:lineRule="exact"/>
              <w:rPr>
                <w:rFonts w:ascii="宋体" w:hAnsi="宋体"/>
                <w:b/>
                <w:szCs w:val="21"/>
              </w:rPr>
            </w:pPr>
            <w:r>
              <w:rPr>
                <w:rFonts w:hint="eastAsia" w:ascii="宋体" w:hAnsi="宋体"/>
                <w:b/>
                <w:szCs w:val="21"/>
              </w:rPr>
              <w:t>四、与实现项目目标相关的要求</w:t>
            </w:r>
          </w:p>
        </w:tc>
      </w:tr>
      <w:tr w14:paraId="4002E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2" w:hRule="atLeast"/>
          <w:jc w:val="center"/>
        </w:trPr>
        <w:tc>
          <w:tcPr>
            <w:tcW w:w="1659" w:type="dxa"/>
            <w:gridSpan w:val="2"/>
            <w:vAlign w:val="center"/>
          </w:tcPr>
          <w:p w14:paraId="493E0440">
            <w:pPr>
              <w:adjustRightInd w:val="0"/>
              <w:snapToGrid w:val="0"/>
              <w:spacing w:line="320" w:lineRule="exact"/>
              <w:jc w:val="center"/>
              <w:rPr>
                <w:rFonts w:ascii="宋体" w:hAnsi="宋体"/>
              </w:rPr>
            </w:pPr>
            <w:r>
              <w:rPr>
                <w:rFonts w:hint="eastAsia" w:ascii="宋体" w:hAnsi="宋体"/>
                <w:szCs w:val="21"/>
              </w:rPr>
              <w:t>（一）项目实施方案</w:t>
            </w:r>
          </w:p>
        </w:tc>
        <w:tc>
          <w:tcPr>
            <w:tcW w:w="7797" w:type="dxa"/>
            <w:gridSpan w:val="3"/>
            <w:vAlign w:val="center"/>
          </w:tcPr>
          <w:p w14:paraId="605E5E51">
            <w:pPr>
              <w:spacing w:line="400" w:lineRule="exact"/>
              <w:jc w:val="left"/>
              <w:rPr>
                <w:rFonts w:ascii="宋体" w:hAnsi="宋体"/>
                <w:szCs w:val="21"/>
              </w:rPr>
            </w:pPr>
            <w:r>
              <w:rPr>
                <w:rFonts w:hint="eastAsia" w:ascii="宋体" w:hAnsi="宋体"/>
                <w:szCs w:val="21"/>
              </w:rPr>
              <w:t>供应商根据项目要求和自身情况，可于响应文件中提供项目实施方案。</w:t>
            </w:r>
          </w:p>
          <w:p w14:paraId="6617F929">
            <w:pPr>
              <w:spacing w:line="400" w:lineRule="exact"/>
              <w:jc w:val="left"/>
              <w:rPr>
                <w:rFonts w:ascii="宋体" w:hAnsi="宋体"/>
              </w:rPr>
            </w:pPr>
            <w:r>
              <w:rPr>
                <w:rFonts w:hint="eastAsia" w:ascii="宋体" w:hAnsi="宋体"/>
                <w:b/>
                <w:bCs/>
                <w:szCs w:val="21"/>
              </w:rPr>
              <w:t>注：上述项目实施方案评分详见“第四章</w:t>
            </w:r>
            <w:r>
              <w:rPr>
                <w:rFonts w:hint="eastAsia" w:ascii="宋体" w:hAnsi="宋体"/>
                <w:b/>
              </w:rPr>
              <w:t xml:space="preserve"> </w:t>
            </w:r>
            <w:r>
              <w:rPr>
                <w:rFonts w:hint="eastAsia" w:ascii="宋体" w:hAnsi="宋体"/>
                <w:b/>
                <w:bCs/>
                <w:szCs w:val="21"/>
              </w:rPr>
              <w:t>评标办法及评标标准”。</w:t>
            </w:r>
          </w:p>
        </w:tc>
      </w:tr>
      <w:tr w14:paraId="56D16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1659" w:type="dxa"/>
            <w:gridSpan w:val="2"/>
            <w:vAlign w:val="center"/>
          </w:tcPr>
          <w:p w14:paraId="3CD36076">
            <w:pPr>
              <w:adjustRightInd w:val="0"/>
              <w:snapToGrid w:val="0"/>
              <w:spacing w:line="320" w:lineRule="exact"/>
              <w:jc w:val="center"/>
              <w:rPr>
                <w:rFonts w:ascii="宋体" w:hAnsi="宋体"/>
                <w:b/>
                <w:i/>
              </w:rPr>
            </w:pPr>
            <w:r>
              <w:rPr>
                <w:rFonts w:hint="eastAsia" w:ascii="宋体" w:hAnsi="宋体"/>
                <w:bCs/>
                <w:szCs w:val="21"/>
              </w:rPr>
              <w:t>（三）履约能力要求</w:t>
            </w:r>
          </w:p>
        </w:tc>
        <w:tc>
          <w:tcPr>
            <w:tcW w:w="7797" w:type="dxa"/>
            <w:gridSpan w:val="3"/>
            <w:vAlign w:val="center"/>
          </w:tcPr>
          <w:p w14:paraId="48E2E13F">
            <w:pPr>
              <w:spacing w:line="400" w:lineRule="exact"/>
              <w:rPr>
                <w:rFonts w:ascii="宋体" w:hAnsi="宋体"/>
                <w:b/>
                <w:bCs/>
                <w:szCs w:val="21"/>
              </w:rPr>
            </w:pPr>
            <w:r>
              <w:rPr>
                <w:rFonts w:hint="eastAsia" w:ascii="宋体" w:hAnsi="宋体"/>
                <w:szCs w:val="21"/>
              </w:rPr>
              <w:t>供应商提供自</w:t>
            </w:r>
            <w:r>
              <w:rPr>
                <w:rFonts w:ascii="宋体" w:hAnsi="宋体" w:cs="Arial"/>
                <w:szCs w:val="21"/>
              </w:rPr>
              <w:t>2022年1月1日</w:t>
            </w:r>
            <w:r>
              <w:rPr>
                <w:rFonts w:hint="eastAsia" w:ascii="宋体" w:hAnsi="宋体"/>
                <w:szCs w:val="21"/>
              </w:rPr>
              <w:t>以来具有完成同类项目的业绩。</w:t>
            </w:r>
          </w:p>
          <w:p w14:paraId="4E9A8D04">
            <w:pPr>
              <w:spacing w:line="400" w:lineRule="exact"/>
              <w:rPr>
                <w:rFonts w:ascii="宋体" w:hAnsi="宋体"/>
                <w:b/>
                <w:i/>
                <w:szCs w:val="21"/>
              </w:rPr>
            </w:pPr>
            <w:r>
              <w:rPr>
                <w:rFonts w:hint="eastAsia" w:ascii="宋体" w:hAnsi="宋体"/>
                <w:b/>
                <w:bCs/>
                <w:szCs w:val="21"/>
              </w:rPr>
              <w:t>注：上述履约能力加分详见“第四章  评标办法及评标标准”。</w:t>
            </w:r>
          </w:p>
        </w:tc>
      </w:tr>
    </w:tbl>
    <w:p w14:paraId="68B242F2">
      <w:pPr>
        <w:pStyle w:val="3"/>
        <w:spacing w:before="0" w:after="0" w:line="600" w:lineRule="exact"/>
        <w:jc w:val="center"/>
        <w:rPr>
          <w:rFonts w:ascii="宋体" w:hAnsi="宋体"/>
        </w:rPr>
      </w:pPr>
    </w:p>
    <w:p w14:paraId="256614C9">
      <w:pPr>
        <w:pStyle w:val="3"/>
        <w:keepNext w:val="0"/>
        <w:wordWrap w:val="0"/>
        <w:spacing w:before="0" w:after="0" w:line="600" w:lineRule="exact"/>
        <w:jc w:val="center"/>
        <w:rPr>
          <w:rFonts w:ascii="宋体" w:hAnsi="宋体"/>
        </w:rPr>
      </w:pPr>
    </w:p>
    <w:p w14:paraId="16153A6C">
      <w:pPr>
        <w:pStyle w:val="3"/>
        <w:keepNext w:val="0"/>
        <w:wordWrap w:val="0"/>
        <w:spacing w:before="0" w:after="0" w:line="600" w:lineRule="exact"/>
        <w:jc w:val="center"/>
        <w:rPr>
          <w:rFonts w:ascii="宋体" w:hAnsi="宋体"/>
        </w:rPr>
      </w:pPr>
    </w:p>
    <w:p w14:paraId="349C97CD">
      <w:pPr>
        <w:pStyle w:val="3"/>
        <w:keepNext w:val="0"/>
        <w:wordWrap w:val="0"/>
        <w:spacing w:before="0" w:after="0" w:line="600" w:lineRule="exact"/>
        <w:jc w:val="center"/>
        <w:rPr>
          <w:rFonts w:ascii="宋体" w:hAnsi="宋体"/>
        </w:rPr>
      </w:pPr>
    </w:p>
    <w:p w14:paraId="5BB028BC">
      <w:pPr>
        <w:pStyle w:val="3"/>
        <w:keepNext w:val="0"/>
        <w:wordWrap w:val="0"/>
        <w:spacing w:before="0" w:after="0" w:line="600" w:lineRule="exact"/>
        <w:jc w:val="center"/>
        <w:rPr>
          <w:rFonts w:ascii="宋体" w:hAnsi="宋体"/>
        </w:rPr>
      </w:pPr>
    </w:p>
    <w:p w14:paraId="092FDAD6">
      <w:pPr>
        <w:pStyle w:val="3"/>
        <w:keepNext w:val="0"/>
        <w:wordWrap w:val="0"/>
        <w:spacing w:before="0" w:after="0" w:line="600" w:lineRule="exact"/>
        <w:jc w:val="center"/>
        <w:rPr>
          <w:rFonts w:ascii="宋体" w:hAnsi="宋体"/>
        </w:rPr>
      </w:pPr>
    </w:p>
    <w:p w14:paraId="7B4D096E">
      <w:pPr>
        <w:rPr>
          <w:rFonts w:ascii="宋体" w:hAnsi="宋体"/>
        </w:rPr>
      </w:pPr>
    </w:p>
    <w:p w14:paraId="3338FE20">
      <w:pPr>
        <w:rPr>
          <w:rFonts w:ascii="宋体" w:hAnsi="宋体"/>
        </w:rPr>
      </w:pPr>
    </w:p>
    <w:p w14:paraId="61B1581A">
      <w:pPr>
        <w:rPr>
          <w:rFonts w:ascii="宋体" w:hAnsi="宋体"/>
        </w:rPr>
      </w:pPr>
    </w:p>
    <w:p w14:paraId="58364729">
      <w:pPr>
        <w:rPr>
          <w:rFonts w:ascii="宋体" w:hAnsi="宋体"/>
        </w:rPr>
      </w:pPr>
    </w:p>
    <w:p w14:paraId="696DCD37">
      <w:pPr>
        <w:rPr>
          <w:rFonts w:ascii="宋体" w:hAnsi="宋体"/>
        </w:rPr>
      </w:pPr>
    </w:p>
    <w:p w14:paraId="628494C6">
      <w:pPr>
        <w:rPr>
          <w:rFonts w:ascii="宋体" w:hAnsi="宋体"/>
        </w:rPr>
      </w:pPr>
    </w:p>
    <w:p w14:paraId="7156164D">
      <w:pPr>
        <w:rPr>
          <w:rFonts w:ascii="宋体" w:hAnsi="宋体"/>
        </w:rPr>
      </w:pPr>
    </w:p>
    <w:p w14:paraId="564BE5E8">
      <w:pPr>
        <w:widowControl/>
        <w:jc w:val="left"/>
        <w:rPr>
          <w:rFonts w:ascii="宋体" w:hAnsi="宋体"/>
        </w:rPr>
      </w:pPr>
      <w:r>
        <w:rPr>
          <w:rFonts w:ascii="宋体" w:hAnsi="宋体"/>
        </w:rPr>
        <w:br w:type="page"/>
      </w:r>
    </w:p>
    <w:p w14:paraId="7E63348A">
      <w:pPr>
        <w:rPr>
          <w:rFonts w:ascii="宋体" w:hAnsi="宋体"/>
        </w:rPr>
      </w:pPr>
    </w:p>
    <w:p w14:paraId="7FE9F233">
      <w:pPr>
        <w:pStyle w:val="3"/>
        <w:keepNext w:val="0"/>
        <w:wordWrap w:val="0"/>
        <w:spacing w:before="0" w:after="0" w:line="600" w:lineRule="exact"/>
        <w:jc w:val="center"/>
        <w:rPr>
          <w:rFonts w:ascii="宋体" w:hAnsi="宋体"/>
        </w:rPr>
      </w:pPr>
      <w:r>
        <w:rPr>
          <w:rFonts w:hint="eastAsia" w:ascii="宋体" w:hAnsi="宋体"/>
        </w:rPr>
        <w:t>第四章  评审程序、评审方法和评审标准</w:t>
      </w:r>
      <w:bookmarkEnd w:id="78"/>
    </w:p>
    <w:p w14:paraId="04918075">
      <w:pPr>
        <w:spacing w:line="360" w:lineRule="auto"/>
        <w:jc w:val="center"/>
        <w:rPr>
          <w:rFonts w:ascii="宋体" w:hAnsi="宋体"/>
          <w:b/>
          <w:sz w:val="32"/>
          <w:szCs w:val="32"/>
        </w:rPr>
      </w:pPr>
      <w:r>
        <w:rPr>
          <w:rFonts w:hint="eastAsia" w:ascii="宋体" w:hAnsi="宋体"/>
          <w:b/>
          <w:sz w:val="32"/>
          <w:szCs w:val="32"/>
        </w:rPr>
        <w:t>一、评审程序和评审方法</w:t>
      </w:r>
    </w:p>
    <w:p w14:paraId="26404B91">
      <w:pPr>
        <w:spacing w:line="360" w:lineRule="auto"/>
        <w:ind w:firstLine="482" w:firstLineChars="200"/>
        <w:rPr>
          <w:rFonts w:ascii="宋体" w:hAnsi="宋体" w:cs="宋体"/>
          <w:b/>
          <w:bCs/>
          <w:sz w:val="24"/>
        </w:rPr>
      </w:pPr>
      <w:r>
        <w:rPr>
          <w:rFonts w:ascii="宋体" w:hAnsi="宋体" w:cs="宋体"/>
          <w:b/>
          <w:bCs/>
          <w:sz w:val="24"/>
        </w:rPr>
        <w:t>1</w:t>
      </w:r>
      <w:r>
        <w:rPr>
          <w:rFonts w:hint="eastAsia" w:ascii="宋体" w:hAnsi="宋体" w:cs="宋体"/>
          <w:b/>
          <w:bCs/>
          <w:sz w:val="24"/>
        </w:rPr>
        <w:t>.资格审查</w:t>
      </w:r>
    </w:p>
    <w:p w14:paraId="38912498">
      <w:pPr>
        <w:snapToGrid w:val="0"/>
        <w:spacing w:line="360" w:lineRule="auto"/>
        <w:ind w:firstLine="420" w:firstLineChars="200"/>
        <w:rPr>
          <w:rFonts w:ascii="宋体" w:hAnsi="宋体"/>
          <w:szCs w:val="21"/>
        </w:rPr>
      </w:pPr>
      <w:r>
        <w:rPr>
          <w:rFonts w:ascii="宋体" w:hAnsi="宋体" w:cs="宋体"/>
          <w:szCs w:val="21"/>
        </w:rPr>
        <w:t>1</w:t>
      </w:r>
      <w:r>
        <w:rPr>
          <w:rFonts w:hint="eastAsia" w:ascii="宋体" w:hAnsi="宋体" w:cs="宋体"/>
          <w:szCs w:val="21"/>
        </w:rPr>
        <w:t>.1</w:t>
      </w:r>
      <w:r>
        <w:rPr>
          <w:rFonts w:hint="eastAsia" w:ascii="宋体" w:hAnsi="宋体"/>
          <w:szCs w:val="21"/>
        </w:rPr>
        <w:t>响应文件开启后，磋商小组依法对供应商的资格证明文件进行审查。</w:t>
      </w:r>
    </w:p>
    <w:p w14:paraId="59518582">
      <w:pPr>
        <w:snapToGrid w:val="0"/>
        <w:spacing w:line="360" w:lineRule="auto"/>
        <w:ind w:firstLine="420" w:firstLineChars="200"/>
        <w:rPr>
          <w:rFonts w:ascii="宋体" w:hAnsi="宋体" w:cs="宋体"/>
          <w:szCs w:val="21"/>
        </w:rPr>
      </w:pPr>
      <w:r>
        <w:rPr>
          <w:rFonts w:hint="eastAsia" w:ascii="宋体" w:hAnsi="宋体" w:cs="宋体"/>
          <w:szCs w:val="21"/>
        </w:rPr>
        <w:t>注：</w:t>
      </w:r>
      <w:r>
        <w:rPr>
          <w:rFonts w:hint="eastAsia" w:ascii="宋体" w:hAnsi="宋体"/>
        </w:rPr>
        <w:t>磋商小组</w:t>
      </w:r>
      <w:r>
        <w:rPr>
          <w:rFonts w:hint="eastAsia" w:ascii="宋体" w:hAnsi="宋体" w:cs="宋体"/>
          <w:szCs w:val="21"/>
        </w:rPr>
        <w:t>在资格审查结束前，对供应商进行信用查询。</w:t>
      </w:r>
    </w:p>
    <w:p w14:paraId="13BECB80">
      <w:pPr>
        <w:snapToGrid w:val="0"/>
        <w:spacing w:line="360" w:lineRule="auto"/>
        <w:ind w:firstLine="420" w:firstLineChars="200"/>
        <w:rPr>
          <w:rFonts w:ascii="宋体" w:hAnsi="宋体" w:cs="宋体"/>
          <w:szCs w:val="21"/>
        </w:rPr>
      </w:pPr>
      <w:r>
        <w:rPr>
          <w:rFonts w:hint="eastAsia" w:ascii="宋体" w:hAnsi="宋体" w:cs="宋体"/>
          <w:szCs w:val="21"/>
        </w:rPr>
        <w:t>（1）查询渠道：</w:t>
      </w:r>
      <w:r>
        <w:rPr>
          <w:rFonts w:hint="eastAsia" w:ascii="宋体" w:hAnsi="宋体"/>
          <w:szCs w:val="21"/>
        </w:rPr>
        <w:t>广西政府采购云平台</w:t>
      </w:r>
      <w:r>
        <w:rPr>
          <w:rFonts w:hint="eastAsia" w:ascii="宋体" w:hAnsi="宋体" w:cs="宋体"/>
          <w:szCs w:val="21"/>
        </w:rPr>
        <w:t>“信用中国”网站(www.creditchina.gov.cn)、中国政府采购网(www.ccgp.gov.cn)链接入口。</w:t>
      </w:r>
    </w:p>
    <w:p w14:paraId="0C786BDA">
      <w:pPr>
        <w:snapToGrid w:val="0"/>
        <w:spacing w:line="360" w:lineRule="auto"/>
        <w:ind w:firstLine="420" w:firstLineChars="200"/>
        <w:rPr>
          <w:rFonts w:ascii="宋体" w:hAnsi="宋体" w:cs="宋体"/>
          <w:szCs w:val="21"/>
        </w:rPr>
      </w:pPr>
      <w:r>
        <w:rPr>
          <w:rFonts w:hint="eastAsia" w:ascii="宋体" w:hAnsi="宋体" w:cs="宋体"/>
          <w:szCs w:val="21"/>
        </w:rPr>
        <w:t>（2）信用查询截止时点：资格审查结束前。</w:t>
      </w:r>
    </w:p>
    <w:p w14:paraId="2E1B05B6">
      <w:pPr>
        <w:snapToGrid w:val="0"/>
        <w:spacing w:line="360" w:lineRule="auto"/>
        <w:ind w:firstLine="420" w:firstLineChars="200"/>
        <w:rPr>
          <w:rFonts w:ascii="宋体" w:hAnsi="宋体" w:cs="宋体"/>
          <w:szCs w:val="21"/>
        </w:rPr>
      </w:pPr>
      <w:r>
        <w:rPr>
          <w:rFonts w:hint="eastAsia" w:ascii="宋体" w:hAnsi="宋体" w:cs="宋体"/>
          <w:szCs w:val="21"/>
        </w:rPr>
        <w:t>（3）查询记录和证据留存方式：在查询网站中直接查询，截图另存为电子文档作为评审资料保存。</w:t>
      </w:r>
    </w:p>
    <w:p w14:paraId="687D5F9B">
      <w:pPr>
        <w:snapToGrid w:val="0"/>
        <w:spacing w:line="360" w:lineRule="auto"/>
        <w:ind w:firstLine="420" w:firstLineChars="200"/>
        <w:rPr>
          <w:rFonts w:ascii="宋体" w:hAnsi="宋体" w:cs="宋体"/>
          <w:szCs w:val="21"/>
        </w:rPr>
      </w:pPr>
      <w:r>
        <w:rPr>
          <w:rFonts w:hint="eastAsia" w:ascii="宋体" w:hAnsi="宋体" w:cs="宋体"/>
          <w:szCs w:val="21"/>
        </w:rPr>
        <w:t>（4）信用信息使用规则：对在“信用中国”网站（www.creditchina.gov.cn） 、中国政府采购网（www.ccgp.gov.cn）被列入失信被执行人、</w:t>
      </w:r>
      <w:r>
        <w:rPr>
          <w:rFonts w:hint="eastAsia" w:ascii="宋体" w:hAnsi="宋体" w:cs="宋体"/>
          <w:kern w:val="0"/>
          <w:szCs w:val="21"/>
        </w:rPr>
        <w:t>重大税收违法失信主体</w:t>
      </w:r>
      <w:r>
        <w:rPr>
          <w:rFonts w:hint="eastAsia" w:ascii="宋体" w:hAnsi="宋体" w:cs="宋体"/>
          <w:szCs w:val="21"/>
        </w:rPr>
        <w:t>、政府采购严重违法失信行为记录名单及其他不符合《中华人民共和国政府采购法》第二十二条规定条件的供应商，资格审查不通过，不得参与政府采购活动。</w:t>
      </w:r>
      <w:r>
        <w:rPr>
          <w:rFonts w:hint="eastAsia" w:ascii="宋体" w:hAnsi="宋体"/>
          <w:szCs w:val="21"/>
        </w:rPr>
        <w:t>两个以上的自然人、法人或者其他组织组成一个联合体，以一个供应商的身份共同参加政府采购活动的，应当对所有联合体成员进行信用记录查询，联合体成员存在不良信用记录（被列入失信被执行人、</w:t>
      </w:r>
      <w:r>
        <w:rPr>
          <w:rFonts w:hint="eastAsia" w:ascii="宋体" w:hAnsi="宋体" w:cs="宋体"/>
          <w:kern w:val="0"/>
          <w:szCs w:val="21"/>
        </w:rPr>
        <w:t>重大税收违法失信主体</w:t>
      </w:r>
      <w:r>
        <w:rPr>
          <w:rFonts w:hint="eastAsia" w:ascii="宋体" w:hAnsi="宋体"/>
          <w:szCs w:val="21"/>
        </w:rPr>
        <w:t>、政府采购严重违法失信行为记录名单及其他不符合《中华人民共和国政府采购法》第二十二条规定条件的供应商）的，视同联合体存在不良信用记录</w:t>
      </w:r>
      <w:r>
        <w:rPr>
          <w:rFonts w:hint="eastAsia" w:ascii="宋体" w:hAnsi="宋体" w:cs="宋体"/>
          <w:szCs w:val="21"/>
        </w:rPr>
        <w:t>。</w:t>
      </w:r>
    </w:p>
    <w:p w14:paraId="61E321C1">
      <w:pPr>
        <w:spacing w:line="360" w:lineRule="auto"/>
        <w:ind w:firstLine="420" w:firstLineChars="200"/>
        <w:rPr>
          <w:rFonts w:ascii="宋体" w:hAnsi="宋体" w:cs="宋体"/>
          <w:szCs w:val="21"/>
        </w:rPr>
      </w:pPr>
      <w:r>
        <w:rPr>
          <w:rFonts w:ascii="宋体" w:hAnsi="宋体" w:cs="宋体"/>
          <w:szCs w:val="21"/>
        </w:rPr>
        <w:t>1</w:t>
      </w:r>
      <w:r>
        <w:rPr>
          <w:rFonts w:hint="eastAsia" w:ascii="宋体" w:hAnsi="宋体" w:cs="宋体"/>
          <w:szCs w:val="21"/>
        </w:rPr>
        <w:t>.2资格审查标准为本磋商文件中载明对供应商资格要求的条件。资格审查采用合格制，凡符合磋商文件规定的供应商资格要求的响应文件均通过资格审查。</w:t>
      </w:r>
    </w:p>
    <w:p w14:paraId="7DC9728F">
      <w:pPr>
        <w:spacing w:line="360" w:lineRule="auto"/>
        <w:ind w:firstLine="420" w:firstLineChars="200"/>
        <w:rPr>
          <w:rFonts w:ascii="宋体" w:hAnsi="宋体" w:cs="宋体"/>
          <w:szCs w:val="21"/>
        </w:rPr>
      </w:pPr>
      <w:r>
        <w:rPr>
          <w:rFonts w:ascii="宋体" w:hAnsi="宋体" w:cs="宋体"/>
          <w:szCs w:val="21"/>
        </w:rPr>
        <w:t>1</w:t>
      </w:r>
      <w:r>
        <w:rPr>
          <w:rFonts w:hint="eastAsia" w:ascii="宋体" w:hAnsi="宋体" w:cs="宋体"/>
          <w:szCs w:val="21"/>
        </w:rPr>
        <w:t>.3供应商有下列情形之一的，资格审查不通过，其响应文件按无效响应处理：</w:t>
      </w:r>
    </w:p>
    <w:p w14:paraId="4B49E100">
      <w:pPr>
        <w:snapToGrid w:val="0"/>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1</w:t>
      </w:r>
      <w:r>
        <w:rPr>
          <w:rFonts w:hint="eastAsia" w:ascii="宋体" w:hAnsi="宋体" w:cs="宋体"/>
          <w:szCs w:val="21"/>
        </w:rPr>
        <w:t>）不具备磋商文件中规定的资格要求的；</w:t>
      </w:r>
    </w:p>
    <w:p w14:paraId="42721758">
      <w:pPr>
        <w:spacing w:line="360" w:lineRule="auto"/>
        <w:ind w:firstLine="420" w:firstLineChars="200"/>
        <w:rPr>
          <w:rFonts w:ascii="宋体" w:hAnsi="宋体" w:cs="宋体"/>
          <w:szCs w:val="21"/>
        </w:rPr>
      </w:pPr>
      <w:r>
        <w:rPr>
          <w:rFonts w:hint="eastAsia" w:ascii="宋体" w:hAnsi="宋体" w:cs="宋体"/>
          <w:szCs w:val="21"/>
        </w:rPr>
        <w:t>（2）未按磋商文件规定的方式获取本磋商文件的供应商；</w:t>
      </w:r>
    </w:p>
    <w:p w14:paraId="58D70484">
      <w:pPr>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3</w:t>
      </w:r>
      <w:r>
        <w:rPr>
          <w:rFonts w:hint="eastAsia" w:ascii="宋体" w:hAnsi="宋体" w:cs="宋体"/>
          <w:szCs w:val="21"/>
        </w:rPr>
        <w:t>）响应文件的资格证明文件缺少任一项“供应商须知前附表”资格证明文件规定的“必须提供”的文件资料的；</w:t>
      </w:r>
    </w:p>
    <w:p w14:paraId="0CD79E81">
      <w:pPr>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4</w:t>
      </w:r>
      <w:r>
        <w:rPr>
          <w:rFonts w:hint="eastAsia" w:ascii="宋体" w:hAnsi="宋体" w:cs="宋体"/>
          <w:szCs w:val="21"/>
        </w:rPr>
        <w:t>）响应文件中的资格证明文件出现任一项不符合“供应商须知前附表”资格证明文件规定的“必须提供”的文件资料要求或者无效的；</w:t>
      </w:r>
    </w:p>
    <w:p w14:paraId="4A1C8ADA">
      <w:pPr>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5</w:t>
      </w:r>
      <w:r>
        <w:rPr>
          <w:rFonts w:hint="eastAsia" w:ascii="宋体" w:hAnsi="宋体" w:cs="宋体"/>
          <w:szCs w:val="21"/>
        </w:rPr>
        <w:t>）同一合同项下的不同供应商，单位负责人为同一人或者存在直接控股、管理关系的；为本项目提供过整体设计、规范编制或者项目管理、监理、检测等服务的供应商，再参加该采购项目的其他采购活动的。</w:t>
      </w:r>
    </w:p>
    <w:p w14:paraId="2C478670">
      <w:pPr>
        <w:spacing w:line="360" w:lineRule="auto"/>
        <w:ind w:firstLine="420" w:firstLineChars="200"/>
        <w:rPr>
          <w:rFonts w:ascii="宋体" w:hAnsi="宋体" w:cs="宋体"/>
          <w:szCs w:val="21"/>
        </w:rPr>
      </w:pPr>
      <w:r>
        <w:rPr>
          <w:rFonts w:ascii="宋体" w:hAnsi="宋体" w:cs="宋体"/>
          <w:szCs w:val="21"/>
        </w:rPr>
        <w:t>1</w:t>
      </w:r>
      <w:r>
        <w:rPr>
          <w:rFonts w:hint="eastAsia" w:ascii="宋体" w:hAnsi="宋体" w:cs="宋体"/>
          <w:szCs w:val="21"/>
        </w:rPr>
        <w:t>.4通过资格审查的合格供应商不足3家的，不得进入符合性审查环节，</w:t>
      </w:r>
      <w:r>
        <w:rPr>
          <w:rFonts w:hint="eastAsia" w:ascii="宋体" w:hAnsi="宋体"/>
          <w:szCs w:val="21"/>
        </w:rPr>
        <w:t>采购人或者采购代理机构应当重新开展采购活动。</w:t>
      </w:r>
    </w:p>
    <w:p w14:paraId="79356AFB">
      <w:pPr>
        <w:spacing w:line="360" w:lineRule="auto"/>
        <w:ind w:firstLine="482" w:firstLineChars="200"/>
        <w:rPr>
          <w:rFonts w:ascii="宋体" w:hAnsi="宋体" w:cs="宋体"/>
          <w:b/>
          <w:bCs/>
          <w:sz w:val="24"/>
        </w:rPr>
      </w:pPr>
      <w:r>
        <w:rPr>
          <w:rFonts w:ascii="宋体" w:hAnsi="宋体" w:cs="宋体"/>
          <w:b/>
          <w:bCs/>
          <w:sz w:val="24"/>
        </w:rPr>
        <w:t>2</w:t>
      </w:r>
      <w:r>
        <w:rPr>
          <w:rFonts w:hint="eastAsia" w:ascii="宋体" w:hAnsi="宋体" w:cs="宋体"/>
          <w:b/>
          <w:bCs/>
          <w:sz w:val="24"/>
        </w:rPr>
        <w:t>.符合性审查</w:t>
      </w:r>
    </w:p>
    <w:p w14:paraId="21EE02FC">
      <w:pPr>
        <w:spacing w:line="360" w:lineRule="auto"/>
        <w:ind w:firstLine="420" w:firstLineChars="200"/>
        <w:rPr>
          <w:rFonts w:ascii="宋体" w:hAnsi="宋体" w:cs="宋体"/>
          <w:szCs w:val="21"/>
        </w:rPr>
      </w:pPr>
      <w:bookmarkStart w:id="89" w:name="_Hlk42528882"/>
      <w:r>
        <w:rPr>
          <w:rFonts w:ascii="宋体" w:hAnsi="宋体" w:cs="宋体"/>
          <w:szCs w:val="21"/>
        </w:rPr>
        <w:t>2.1</w:t>
      </w:r>
      <w:r>
        <w:rPr>
          <w:rFonts w:hint="eastAsia" w:ascii="宋体" w:hAnsi="宋体" w:cs="宋体"/>
          <w:szCs w:val="21"/>
        </w:rPr>
        <w:t>由磋商小组对</w:t>
      </w:r>
      <w:r>
        <w:rPr>
          <w:rFonts w:hint="eastAsia" w:ascii="宋体" w:hAnsi="宋体"/>
          <w:szCs w:val="21"/>
        </w:rPr>
        <w:t>通过资格审查的合格供应商</w:t>
      </w:r>
      <w:r>
        <w:rPr>
          <w:rFonts w:hint="eastAsia" w:ascii="宋体" w:hAnsi="宋体" w:cs="宋体"/>
          <w:szCs w:val="21"/>
        </w:rPr>
        <w:t>的响应文件的竞标报价、商务、技术等实质性要求进行符合性审查，以确定其是否满足磋商文件的实质性要求。</w:t>
      </w:r>
    </w:p>
    <w:bookmarkEnd w:id="89"/>
    <w:p w14:paraId="3060656F">
      <w:pPr>
        <w:spacing w:line="360" w:lineRule="auto"/>
        <w:ind w:firstLine="420" w:firstLineChars="200"/>
        <w:rPr>
          <w:rFonts w:ascii="宋体" w:hAnsi="宋体" w:cs="宋体"/>
          <w:szCs w:val="21"/>
        </w:rPr>
      </w:pPr>
      <w:r>
        <w:rPr>
          <w:rFonts w:ascii="宋体" w:hAnsi="宋体" w:cs="宋体"/>
          <w:szCs w:val="21"/>
        </w:rPr>
        <w:t>2.2</w:t>
      </w:r>
      <w:r>
        <w:rPr>
          <w:rFonts w:hint="eastAsia" w:ascii="宋体" w:hAnsi="宋体" w:cs="宋体"/>
          <w:szCs w:val="21"/>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7540767">
      <w:pPr>
        <w:spacing w:line="360" w:lineRule="auto"/>
        <w:ind w:firstLine="420" w:firstLineChars="200"/>
        <w:rPr>
          <w:rFonts w:ascii="宋体" w:hAnsi="宋体" w:cs="宋体"/>
          <w:spacing w:val="-6"/>
          <w:szCs w:val="21"/>
        </w:rPr>
      </w:pPr>
      <w:r>
        <w:rPr>
          <w:rFonts w:ascii="宋体" w:hAnsi="宋体" w:cs="宋体"/>
          <w:szCs w:val="21"/>
        </w:rPr>
        <w:t>2</w:t>
      </w:r>
      <w:r>
        <w:rPr>
          <w:rFonts w:hint="eastAsia" w:ascii="宋体" w:hAnsi="宋体" w:cs="宋体"/>
          <w:szCs w:val="21"/>
        </w:rPr>
        <w:t>.</w:t>
      </w:r>
      <w:r>
        <w:rPr>
          <w:rFonts w:ascii="宋体" w:hAnsi="宋体" w:cs="宋体"/>
          <w:szCs w:val="21"/>
        </w:rPr>
        <w:t>3</w:t>
      </w:r>
      <w:r>
        <w:rPr>
          <w:rFonts w:hint="eastAsia" w:ascii="宋体" w:hAnsi="宋体" w:cs="宋体"/>
          <w:szCs w:val="21"/>
        </w:rPr>
        <w:t>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公章或电子签章</w:t>
      </w:r>
      <w:r>
        <w:rPr>
          <w:rFonts w:hint="eastAsia" w:ascii="宋体" w:hAnsi="宋体" w:cs="宋体"/>
          <w:spacing w:val="-6"/>
          <w:szCs w:val="21"/>
        </w:rPr>
        <w:t>。</w:t>
      </w:r>
    </w:p>
    <w:p w14:paraId="05B5A16F">
      <w:pPr>
        <w:spacing w:line="360" w:lineRule="auto"/>
        <w:ind w:firstLine="420" w:firstLineChars="200"/>
        <w:rPr>
          <w:rFonts w:ascii="宋体" w:hAnsi="宋体" w:cs="宋体"/>
          <w:spacing w:val="-6"/>
          <w:szCs w:val="21"/>
        </w:rPr>
      </w:pPr>
      <w:r>
        <w:rPr>
          <w:rFonts w:hint="eastAsia" w:ascii="宋体" w:hAnsi="宋体" w:cs="Courier New"/>
          <w:szCs w:val="21"/>
        </w:rPr>
        <w:t>异常情况处理：如遇无法正常使用线上发送澄清函的情况，将启动书面形式办理。启动书面形式办理的情况下，磋商小组以书面形式要求供应商在规定时间内作出必要的澄清、说明或者补正。供应商的澄清、说明或者补正必须采用书面形式，并加盖公章，或者由法定代表人或者其授权的代表签字。</w:t>
      </w:r>
    </w:p>
    <w:p w14:paraId="17324CAD">
      <w:pPr>
        <w:spacing w:line="360" w:lineRule="auto"/>
        <w:ind w:firstLine="396" w:firstLineChars="200"/>
        <w:rPr>
          <w:rFonts w:ascii="宋体" w:hAnsi="宋体" w:cs="宋体"/>
          <w:szCs w:val="21"/>
        </w:rPr>
      </w:pPr>
      <w:r>
        <w:rPr>
          <w:rFonts w:ascii="宋体" w:hAnsi="宋体" w:cs="宋体"/>
          <w:spacing w:val="-6"/>
          <w:szCs w:val="21"/>
        </w:rPr>
        <w:t>2.4</w:t>
      </w:r>
      <w:r>
        <w:rPr>
          <w:rFonts w:hint="eastAsia" w:ascii="宋体" w:hAnsi="宋体" w:cs="宋体"/>
          <w:szCs w:val="21"/>
        </w:rPr>
        <w:t xml:space="preserve">首次响应文件报价出现前后不一致的，按照下列规定修正： </w:t>
      </w:r>
    </w:p>
    <w:p w14:paraId="15C24798">
      <w:pPr>
        <w:spacing w:line="360" w:lineRule="auto"/>
        <w:ind w:firstLine="420" w:firstLineChars="200"/>
        <w:rPr>
          <w:rFonts w:ascii="宋体" w:hAnsi="宋体" w:cs="宋体"/>
          <w:szCs w:val="21"/>
        </w:rPr>
      </w:pPr>
      <w:r>
        <w:rPr>
          <w:rFonts w:hint="eastAsia" w:ascii="宋体" w:hAnsi="宋体" w:cs="宋体"/>
          <w:szCs w:val="21"/>
        </w:rPr>
        <w:t>（1）响应文件中报价表内容与响应文件中相应内容不一致的，以报价表为准；</w:t>
      </w:r>
    </w:p>
    <w:p w14:paraId="55C1C2A9">
      <w:pPr>
        <w:spacing w:line="360" w:lineRule="auto"/>
        <w:ind w:firstLine="420" w:firstLineChars="200"/>
        <w:rPr>
          <w:rFonts w:ascii="宋体" w:hAnsi="宋体" w:cs="宋体"/>
          <w:szCs w:val="21"/>
        </w:rPr>
      </w:pPr>
      <w:r>
        <w:rPr>
          <w:rFonts w:hint="eastAsia" w:ascii="宋体" w:hAnsi="宋体" w:cs="宋体"/>
          <w:szCs w:val="21"/>
        </w:rPr>
        <w:t>（2）大写金额和小写金额不一致的，以大写金额为准；</w:t>
      </w:r>
    </w:p>
    <w:p w14:paraId="51A7D901">
      <w:pPr>
        <w:spacing w:line="360" w:lineRule="auto"/>
        <w:ind w:firstLine="420" w:firstLineChars="200"/>
        <w:rPr>
          <w:rFonts w:ascii="宋体" w:hAnsi="宋体" w:cs="宋体"/>
          <w:szCs w:val="21"/>
        </w:rPr>
      </w:pPr>
      <w:r>
        <w:rPr>
          <w:rFonts w:hint="eastAsia" w:ascii="宋体" w:hAnsi="宋体" w:cs="宋体"/>
          <w:szCs w:val="21"/>
        </w:rPr>
        <w:t>（3）单价金额小数点或者百分比有明显错位的，以报价表的总价为准，并修改单价；</w:t>
      </w:r>
    </w:p>
    <w:p w14:paraId="6A806331">
      <w:pPr>
        <w:spacing w:line="360" w:lineRule="auto"/>
        <w:ind w:firstLine="420" w:firstLineChars="200"/>
        <w:rPr>
          <w:rFonts w:ascii="宋体" w:hAnsi="宋体" w:cs="宋体"/>
          <w:szCs w:val="21"/>
        </w:rPr>
      </w:pPr>
      <w:r>
        <w:rPr>
          <w:rFonts w:hint="eastAsia" w:ascii="宋体" w:hAnsi="宋体" w:cs="宋体"/>
          <w:szCs w:val="21"/>
        </w:rPr>
        <w:t>（4）总价金额与按单价汇总金额不一致的，以单价金额计算结果为准。</w:t>
      </w:r>
    </w:p>
    <w:p w14:paraId="7CFC66A5">
      <w:pPr>
        <w:spacing w:line="360" w:lineRule="auto"/>
        <w:ind w:firstLine="420" w:firstLineChars="200"/>
        <w:rPr>
          <w:rFonts w:ascii="宋体" w:hAnsi="宋体" w:cs="宋体"/>
          <w:szCs w:val="21"/>
        </w:rPr>
      </w:pPr>
      <w:r>
        <w:rPr>
          <w:rFonts w:hint="eastAsia" w:ascii="宋体" w:hAnsi="宋体" w:cs="宋体"/>
          <w:szCs w:val="21"/>
        </w:rPr>
        <w:t>同时出现两种以上不一致的，按照以上（1）-（4）规定的顺序逐条进行修正。修正后的报价经供应商确认后产生约束力，供应商不确认的，其响应文件按无效响应处理。</w:t>
      </w:r>
    </w:p>
    <w:p w14:paraId="14A34CD9">
      <w:pPr>
        <w:spacing w:line="360" w:lineRule="auto"/>
        <w:ind w:firstLine="420" w:firstLineChars="200"/>
        <w:rPr>
          <w:rFonts w:ascii="宋体" w:hAnsi="宋体" w:cs="宋体"/>
          <w:szCs w:val="21"/>
        </w:rPr>
      </w:pPr>
      <w:r>
        <w:rPr>
          <w:rFonts w:ascii="宋体" w:hAnsi="宋体" w:cs="宋体"/>
          <w:szCs w:val="21"/>
        </w:rPr>
        <w:t>2</w:t>
      </w:r>
      <w:r>
        <w:rPr>
          <w:rFonts w:hint="eastAsia" w:ascii="宋体" w:hAnsi="宋体" w:cs="宋体"/>
          <w:szCs w:val="21"/>
        </w:rPr>
        <w:t>.</w:t>
      </w:r>
      <w:r>
        <w:rPr>
          <w:rFonts w:ascii="宋体" w:hAnsi="宋体" w:cs="宋体"/>
          <w:szCs w:val="21"/>
        </w:rPr>
        <w:t>5</w:t>
      </w:r>
      <w:r>
        <w:rPr>
          <w:rFonts w:hint="eastAsia" w:ascii="宋体" w:hAnsi="宋体" w:cs="宋体"/>
          <w:szCs w:val="21"/>
        </w:rPr>
        <w:t>商务技术报价评审</w:t>
      </w:r>
    </w:p>
    <w:p w14:paraId="3544906C">
      <w:pPr>
        <w:spacing w:line="360" w:lineRule="auto"/>
        <w:ind w:firstLine="420" w:firstLineChars="200"/>
        <w:rPr>
          <w:rFonts w:ascii="宋体" w:hAnsi="宋体" w:cs="宋体"/>
          <w:szCs w:val="21"/>
        </w:rPr>
      </w:pPr>
      <w:r>
        <w:rPr>
          <w:rFonts w:hint="eastAsia" w:ascii="宋体" w:hAnsi="宋体" w:cs="宋体"/>
          <w:szCs w:val="21"/>
        </w:rPr>
        <w:t>在评审时，如发现下列情形之一的，将被视为响应文件无效处理：</w:t>
      </w:r>
    </w:p>
    <w:p w14:paraId="092B346A">
      <w:pPr>
        <w:spacing w:line="360" w:lineRule="auto"/>
        <w:ind w:firstLine="420" w:firstLineChars="200"/>
        <w:rPr>
          <w:rFonts w:ascii="宋体" w:hAnsi="宋体" w:cs="宋体"/>
          <w:szCs w:val="21"/>
        </w:rPr>
      </w:pPr>
      <w:r>
        <w:rPr>
          <w:rFonts w:hint="eastAsia" w:ascii="宋体" w:hAnsi="宋体" w:cs="宋体"/>
          <w:szCs w:val="21"/>
        </w:rPr>
        <w:t>（1）商务技术评审</w:t>
      </w:r>
    </w:p>
    <w:p w14:paraId="5AC211A2">
      <w:pPr>
        <w:spacing w:line="360" w:lineRule="auto"/>
        <w:ind w:firstLine="420" w:firstLineChars="200"/>
        <w:rPr>
          <w:rFonts w:ascii="宋体" w:hAnsi="宋体" w:cs="宋体"/>
          <w:szCs w:val="21"/>
        </w:rPr>
      </w:pPr>
      <w:r>
        <w:rPr>
          <w:rFonts w:hint="eastAsia" w:ascii="宋体" w:hAnsi="宋体" w:cs="宋体"/>
          <w:szCs w:val="21"/>
        </w:rPr>
        <w:t>1）响应文件未按磋商文件要求签署、盖章；</w:t>
      </w:r>
    </w:p>
    <w:p w14:paraId="3C4C96CD">
      <w:pPr>
        <w:spacing w:line="360" w:lineRule="auto"/>
        <w:ind w:firstLine="420" w:firstLineChars="200"/>
        <w:rPr>
          <w:rFonts w:ascii="宋体" w:hAnsi="宋体" w:cs="宋体"/>
          <w:szCs w:val="21"/>
        </w:rPr>
      </w:pPr>
      <w:r>
        <w:rPr>
          <w:rFonts w:hint="eastAsia" w:ascii="宋体" w:hAnsi="宋体" w:cs="宋体"/>
          <w:szCs w:val="21"/>
        </w:rPr>
        <w:t xml:space="preserve">2）委托代理人未能出具有效身份证或者出具的身份证与授权委托书中的信息不符的； </w:t>
      </w:r>
    </w:p>
    <w:p w14:paraId="6A0B9142">
      <w:pPr>
        <w:spacing w:line="360" w:lineRule="auto"/>
        <w:ind w:firstLine="420" w:firstLineChars="200"/>
        <w:rPr>
          <w:rFonts w:ascii="宋体" w:hAnsi="宋体" w:cs="宋体"/>
          <w:szCs w:val="21"/>
        </w:rPr>
      </w:pPr>
      <w:r>
        <w:rPr>
          <w:rFonts w:hint="eastAsia" w:ascii="宋体" w:hAnsi="宋体" w:cs="宋体"/>
          <w:szCs w:val="21"/>
        </w:rPr>
        <w:t>3）提交的磋商保证金无效的或者未按照磋商文件的规定提交磋商保证金；</w:t>
      </w:r>
    </w:p>
    <w:p w14:paraId="1EA65B6B">
      <w:pPr>
        <w:spacing w:line="360" w:lineRule="auto"/>
        <w:ind w:firstLine="420" w:firstLineChars="200"/>
        <w:rPr>
          <w:rFonts w:ascii="宋体" w:hAnsi="宋体" w:cs="宋体"/>
          <w:szCs w:val="21"/>
        </w:rPr>
      </w:pPr>
      <w:r>
        <w:rPr>
          <w:rFonts w:hint="eastAsia" w:ascii="宋体" w:hAnsi="宋体" w:cs="宋体"/>
          <w:szCs w:val="21"/>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3D248551">
      <w:pPr>
        <w:spacing w:line="360" w:lineRule="auto"/>
        <w:ind w:firstLine="420" w:firstLineChars="200"/>
        <w:rPr>
          <w:rFonts w:ascii="宋体" w:hAnsi="宋体" w:cs="宋体"/>
          <w:szCs w:val="21"/>
        </w:rPr>
      </w:pPr>
      <w:r>
        <w:rPr>
          <w:rFonts w:hint="eastAsia" w:ascii="宋体" w:hAnsi="宋体" w:cs="宋体"/>
          <w:szCs w:val="21"/>
        </w:rPr>
        <w:t>5）商务要求允许负偏离的条款数超过“供应商须知前附表”规定项数的；</w:t>
      </w:r>
    </w:p>
    <w:p w14:paraId="55628545">
      <w:pPr>
        <w:spacing w:line="360" w:lineRule="auto"/>
        <w:ind w:firstLine="420" w:firstLineChars="200"/>
        <w:rPr>
          <w:rFonts w:ascii="宋体" w:hAnsi="宋体" w:cs="宋体"/>
          <w:szCs w:val="21"/>
        </w:rPr>
      </w:pPr>
      <w:r>
        <w:rPr>
          <w:rFonts w:hint="eastAsia" w:ascii="宋体" w:hAnsi="宋体" w:cs="宋体"/>
          <w:szCs w:val="21"/>
        </w:rPr>
        <w:t>6）未对竞标有效期作出响应或者响应文件承诺的竞标有效期不满足磋商文件要求；</w:t>
      </w:r>
    </w:p>
    <w:p w14:paraId="2522B357">
      <w:pPr>
        <w:spacing w:line="360" w:lineRule="auto"/>
        <w:ind w:firstLine="420" w:firstLineChars="200"/>
        <w:rPr>
          <w:rFonts w:ascii="宋体" w:hAnsi="宋体" w:cs="宋体"/>
          <w:szCs w:val="21"/>
        </w:rPr>
      </w:pPr>
      <w:r>
        <w:rPr>
          <w:rFonts w:hint="eastAsia" w:ascii="宋体" w:hAnsi="宋体" w:cs="宋体"/>
          <w:szCs w:val="21"/>
        </w:rPr>
        <w:t>7）响应文件的实质性内容未使用中文表述、使用计量单位不符合磋商文件要求；</w:t>
      </w:r>
    </w:p>
    <w:p w14:paraId="657BE947">
      <w:pPr>
        <w:spacing w:line="360" w:lineRule="auto"/>
        <w:ind w:firstLine="420" w:firstLineChars="200"/>
        <w:rPr>
          <w:rFonts w:ascii="宋体" w:hAnsi="宋体" w:cs="宋体"/>
          <w:szCs w:val="21"/>
        </w:rPr>
      </w:pPr>
      <w:r>
        <w:rPr>
          <w:rFonts w:hint="eastAsia" w:ascii="宋体" w:hAnsi="宋体" w:cs="宋体"/>
          <w:szCs w:val="21"/>
        </w:rPr>
        <w:t>8）响应文件中的文件资料因填写不齐全或者内容虚假或者出现其他情形而导致被磋商小组认定无效；</w:t>
      </w:r>
    </w:p>
    <w:p w14:paraId="6BB063AC">
      <w:pPr>
        <w:spacing w:line="360" w:lineRule="auto"/>
        <w:ind w:firstLine="420" w:firstLineChars="200"/>
        <w:rPr>
          <w:rFonts w:ascii="宋体" w:hAnsi="宋体" w:cs="宋体"/>
          <w:szCs w:val="21"/>
        </w:rPr>
      </w:pPr>
      <w:r>
        <w:rPr>
          <w:rFonts w:hint="eastAsia" w:ascii="宋体" w:hAnsi="宋体" w:cs="宋体"/>
          <w:szCs w:val="21"/>
        </w:rPr>
        <w:t>9）响应文件含有采购人不能接受的附加条件；</w:t>
      </w:r>
    </w:p>
    <w:p w14:paraId="5DE34BF5">
      <w:pPr>
        <w:spacing w:line="360" w:lineRule="auto"/>
        <w:ind w:firstLine="420" w:firstLineChars="200"/>
        <w:rPr>
          <w:rFonts w:ascii="宋体" w:hAnsi="宋体" w:cs="宋体"/>
          <w:szCs w:val="21"/>
        </w:rPr>
      </w:pPr>
      <w:r>
        <w:rPr>
          <w:rFonts w:hint="eastAsia" w:ascii="宋体" w:hAnsi="宋体" w:cs="宋体"/>
          <w:szCs w:val="21"/>
        </w:rPr>
        <w:t>10）属于“供应商须知正文”第7.</w:t>
      </w:r>
      <w:r>
        <w:rPr>
          <w:rFonts w:ascii="宋体" w:hAnsi="宋体" w:cs="宋体"/>
          <w:szCs w:val="21"/>
        </w:rPr>
        <w:t>5</w:t>
      </w:r>
      <w:r>
        <w:rPr>
          <w:rFonts w:hint="eastAsia" w:ascii="宋体" w:hAnsi="宋体" w:cs="宋体"/>
          <w:szCs w:val="21"/>
        </w:rPr>
        <w:t>条情形；</w:t>
      </w:r>
    </w:p>
    <w:p w14:paraId="5EC0FE78">
      <w:pPr>
        <w:spacing w:line="360" w:lineRule="auto"/>
        <w:ind w:firstLine="420" w:firstLineChars="200"/>
        <w:rPr>
          <w:rFonts w:ascii="宋体" w:hAnsi="宋体" w:cs="宋体"/>
          <w:szCs w:val="21"/>
        </w:rPr>
      </w:pPr>
      <w:r>
        <w:rPr>
          <w:rFonts w:ascii="宋体" w:hAnsi="宋体" w:cs="宋体"/>
          <w:szCs w:val="21"/>
        </w:rPr>
        <w:t>1</w:t>
      </w:r>
      <w:r>
        <w:rPr>
          <w:rFonts w:hint="eastAsia" w:ascii="宋体" w:hAnsi="宋体" w:cs="宋体"/>
          <w:szCs w:val="21"/>
        </w:rPr>
        <w:t>1）技术（服务）要求允许负偏离的条款数超过“供应商须知前附表”规定项数；</w:t>
      </w:r>
    </w:p>
    <w:p w14:paraId="68F62E51">
      <w:pPr>
        <w:spacing w:line="360" w:lineRule="auto"/>
        <w:ind w:firstLine="420" w:firstLineChars="200"/>
        <w:rPr>
          <w:rFonts w:ascii="宋体" w:hAnsi="宋体" w:cs="宋体"/>
          <w:szCs w:val="21"/>
        </w:rPr>
      </w:pPr>
      <w:r>
        <w:rPr>
          <w:rFonts w:ascii="宋体" w:hAnsi="宋体" w:cs="宋体"/>
          <w:szCs w:val="21"/>
        </w:rPr>
        <w:t>1</w:t>
      </w:r>
      <w:r>
        <w:rPr>
          <w:rFonts w:hint="eastAsia" w:ascii="宋体" w:hAnsi="宋体" w:cs="宋体"/>
          <w:szCs w:val="21"/>
        </w:rPr>
        <w:t>2）虚假竞标，或者出现其他情形而导致被磋商小组认定无效；</w:t>
      </w:r>
    </w:p>
    <w:p w14:paraId="6ACF851F">
      <w:pPr>
        <w:spacing w:line="360" w:lineRule="auto"/>
        <w:ind w:firstLine="420" w:firstLineChars="200"/>
        <w:rPr>
          <w:rFonts w:ascii="宋体" w:hAnsi="宋体" w:cs="宋体"/>
          <w:szCs w:val="21"/>
        </w:rPr>
      </w:pPr>
      <w:r>
        <w:rPr>
          <w:rFonts w:ascii="宋体" w:hAnsi="宋体" w:cs="宋体"/>
          <w:szCs w:val="21"/>
        </w:rPr>
        <w:t>1</w:t>
      </w:r>
      <w:r>
        <w:rPr>
          <w:rFonts w:hint="eastAsia" w:ascii="宋体" w:hAnsi="宋体" w:cs="宋体"/>
          <w:szCs w:val="21"/>
        </w:rPr>
        <w:t>3）</w:t>
      </w:r>
      <w:bookmarkStart w:id="90" w:name="_Hlk71704147"/>
      <w:r>
        <w:rPr>
          <w:rFonts w:hint="eastAsia" w:ascii="宋体" w:hAnsi="宋体" w:cs="宋体"/>
          <w:szCs w:val="21"/>
        </w:rPr>
        <w:t>磋商文件未载明允许提供备选（替代）竞标方案或明确不允许提供备选（替代）竞标方案时，供应商提供了备选（替代）竞标方案的；</w:t>
      </w:r>
      <w:bookmarkEnd w:id="90"/>
    </w:p>
    <w:p w14:paraId="73D8CDC8">
      <w:pPr>
        <w:spacing w:line="360" w:lineRule="auto"/>
        <w:ind w:firstLine="420" w:firstLineChars="200"/>
        <w:rPr>
          <w:rFonts w:ascii="宋体" w:hAnsi="宋体" w:cs="宋体"/>
          <w:szCs w:val="21"/>
        </w:rPr>
      </w:pPr>
      <w:r>
        <w:rPr>
          <w:rFonts w:hint="eastAsia" w:ascii="宋体" w:hAnsi="宋体" w:cs="宋体"/>
          <w:szCs w:val="21"/>
        </w:rPr>
        <w:t>1</w:t>
      </w:r>
      <w:r>
        <w:rPr>
          <w:rFonts w:ascii="宋体" w:hAnsi="宋体" w:cs="宋体"/>
          <w:szCs w:val="21"/>
        </w:rPr>
        <w:t>4</w:t>
      </w:r>
      <w:r>
        <w:rPr>
          <w:rFonts w:hint="eastAsia" w:ascii="宋体" w:hAnsi="宋体" w:cs="宋体"/>
          <w:szCs w:val="21"/>
        </w:rPr>
        <w:t>）</w:t>
      </w:r>
      <w:r>
        <w:rPr>
          <w:rFonts w:hint="eastAsia" w:ascii="宋体" w:hAnsi="宋体"/>
          <w:szCs w:val="21"/>
        </w:rPr>
        <w:t>竞争性磋商文件明确不允许分包，响应文件拟分包的；</w:t>
      </w:r>
    </w:p>
    <w:p w14:paraId="5C4C9715">
      <w:pPr>
        <w:spacing w:line="360" w:lineRule="auto"/>
        <w:ind w:firstLine="420" w:firstLineChars="200"/>
        <w:rPr>
          <w:rFonts w:ascii="宋体" w:hAnsi="宋体" w:cs="宋体"/>
          <w:szCs w:val="21"/>
        </w:rPr>
      </w:pPr>
      <w:r>
        <w:rPr>
          <w:rFonts w:ascii="宋体" w:hAnsi="宋体" w:cs="宋体"/>
          <w:szCs w:val="21"/>
        </w:rPr>
        <w:t>15</w:t>
      </w:r>
      <w:r>
        <w:rPr>
          <w:rFonts w:hint="eastAsia" w:ascii="宋体" w:hAnsi="宋体" w:cs="宋体"/>
          <w:szCs w:val="21"/>
        </w:rPr>
        <w:t>）未响应磋商文件实质性要求；</w:t>
      </w:r>
    </w:p>
    <w:p w14:paraId="0090B663">
      <w:pPr>
        <w:spacing w:line="360" w:lineRule="auto"/>
        <w:ind w:firstLine="420" w:firstLineChars="200"/>
        <w:rPr>
          <w:rFonts w:ascii="宋体" w:hAnsi="宋体" w:cs="宋体"/>
          <w:szCs w:val="21"/>
        </w:rPr>
      </w:pPr>
      <w:r>
        <w:rPr>
          <w:rFonts w:hint="eastAsia" w:ascii="宋体" w:hAnsi="宋体" w:cs="宋体"/>
          <w:szCs w:val="21"/>
        </w:rPr>
        <w:t>1</w:t>
      </w:r>
      <w:r>
        <w:rPr>
          <w:rFonts w:ascii="宋体" w:hAnsi="宋体" w:cs="宋体"/>
          <w:szCs w:val="21"/>
        </w:rPr>
        <w:t>6</w:t>
      </w:r>
      <w:r>
        <w:rPr>
          <w:rFonts w:hint="eastAsia" w:ascii="宋体" w:hAnsi="宋体" w:cs="宋体"/>
          <w:szCs w:val="21"/>
        </w:rPr>
        <w:t>）法律、法规和磋商文件规定的其他无效情形。</w:t>
      </w:r>
    </w:p>
    <w:p w14:paraId="411F16D4">
      <w:pPr>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）报价评审</w:t>
      </w:r>
    </w:p>
    <w:p w14:paraId="077B14F7">
      <w:pPr>
        <w:spacing w:line="360" w:lineRule="auto"/>
        <w:ind w:firstLine="420" w:firstLineChars="200"/>
        <w:rPr>
          <w:rFonts w:ascii="宋体" w:hAnsi="宋体" w:cs="宋体"/>
          <w:szCs w:val="21"/>
        </w:rPr>
      </w:pPr>
      <w:r>
        <w:rPr>
          <w:rFonts w:hint="eastAsia" w:ascii="宋体" w:hAnsi="宋体" w:cs="宋体"/>
          <w:szCs w:val="21"/>
        </w:rPr>
        <w:t>1）</w:t>
      </w:r>
      <w:r>
        <w:rPr>
          <w:rFonts w:ascii="宋体" w:hAnsi="宋体" w:cs="宋体"/>
          <w:szCs w:val="21"/>
        </w:rPr>
        <w:t xml:space="preserve"> </w:t>
      </w:r>
      <w:r>
        <w:rPr>
          <w:rFonts w:hint="eastAsia" w:ascii="宋体" w:hAnsi="宋体" w:cs="宋体"/>
          <w:szCs w:val="21"/>
        </w:rPr>
        <w:t>响应文件未提供“供应商须知前附表” 报价文件中规定的“竞标报价表”；</w:t>
      </w:r>
    </w:p>
    <w:p w14:paraId="3C46E5D0">
      <w:pPr>
        <w:spacing w:line="360" w:lineRule="auto"/>
        <w:ind w:firstLine="420" w:firstLineChars="200"/>
        <w:rPr>
          <w:rFonts w:ascii="宋体" w:hAnsi="宋体" w:cs="宋体"/>
          <w:szCs w:val="21"/>
        </w:rPr>
      </w:pPr>
      <w:r>
        <w:rPr>
          <w:rFonts w:hint="eastAsia" w:ascii="宋体" w:hAnsi="宋体" w:cs="宋体"/>
          <w:szCs w:val="21"/>
        </w:rPr>
        <w:t>2）未采用人民币报价或者未按照磋商文件标明的币种报价；</w:t>
      </w:r>
    </w:p>
    <w:p w14:paraId="66AB655A">
      <w:pPr>
        <w:spacing w:line="360" w:lineRule="auto"/>
        <w:ind w:firstLine="420" w:firstLineChars="200"/>
        <w:rPr>
          <w:rFonts w:ascii="宋体" w:hAnsi="宋体" w:cs="宋体"/>
          <w:szCs w:val="21"/>
        </w:rPr>
      </w:pPr>
      <w:r>
        <w:rPr>
          <w:rFonts w:hint="eastAsia" w:ascii="宋体" w:hAnsi="宋体" w:cs="宋体"/>
          <w:szCs w:val="21"/>
        </w:rPr>
        <w:t>3）供应商未就所竞产品进行报价或者存在漏项报价；供应商未就所竞产品的单项内容作唯一报价；供应商未就所竞产品的全部内容作完整唯一总价报价；供应商响应文件中存在有选择、有条件报价的（磋商文件允许有备选方案或者其他约定的除外）；</w:t>
      </w:r>
    </w:p>
    <w:p w14:paraId="64EE6048">
      <w:pPr>
        <w:spacing w:line="360" w:lineRule="auto"/>
        <w:ind w:firstLine="420" w:firstLineChars="200"/>
        <w:rPr>
          <w:rFonts w:ascii="宋体" w:hAnsi="宋体" w:cs="宋体"/>
          <w:szCs w:val="21"/>
        </w:rPr>
      </w:pPr>
      <w:r>
        <w:rPr>
          <w:rFonts w:hint="eastAsia" w:ascii="宋体" w:hAnsi="宋体" w:cs="宋体"/>
          <w:szCs w:val="21"/>
        </w:rPr>
        <w:t>4）竞标报价（包含首次报价、最后报价）超过所竞标项目规定的采购预算金额或者最高限价的（如本项目公布了最高限价）；</w:t>
      </w:r>
      <w:bookmarkStart w:id="91" w:name="_Hlk42596405"/>
      <w:r>
        <w:rPr>
          <w:rFonts w:hint="eastAsia" w:ascii="宋体" w:hAnsi="宋体" w:cs="宋体"/>
          <w:szCs w:val="21"/>
        </w:rPr>
        <w:t>竞标报价（包含首次报价、最后报价）</w:t>
      </w:r>
      <w:bookmarkEnd w:id="91"/>
      <w:bookmarkStart w:id="92" w:name="_Hlk42596276"/>
      <w:r>
        <w:rPr>
          <w:rFonts w:hint="eastAsia" w:ascii="宋体" w:hAnsi="宋体" w:cs="宋体"/>
          <w:szCs w:val="21"/>
        </w:rPr>
        <w:t>超过磋商文件分项采购预算金额或者最高限价的</w:t>
      </w:r>
      <w:bookmarkEnd w:id="92"/>
      <w:r>
        <w:rPr>
          <w:rFonts w:hint="eastAsia" w:ascii="宋体" w:hAnsi="宋体" w:cs="宋体"/>
          <w:szCs w:val="21"/>
        </w:rPr>
        <w:t>（如本项目公布了最高限价）；</w:t>
      </w:r>
    </w:p>
    <w:p w14:paraId="0DD5CE9A">
      <w:pPr>
        <w:spacing w:line="360" w:lineRule="auto"/>
        <w:ind w:firstLine="420" w:firstLineChars="200"/>
        <w:rPr>
          <w:rFonts w:ascii="宋体" w:hAnsi="宋体" w:cs="宋体"/>
          <w:szCs w:val="21"/>
        </w:rPr>
      </w:pPr>
      <w:r>
        <w:rPr>
          <w:rFonts w:hint="eastAsia" w:ascii="宋体" w:hAnsi="宋体" w:cs="宋体"/>
          <w:szCs w:val="21"/>
        </w:rPr>
        <w:t>5）修正后的报价，供应商不确认的；或者经供应商确认修正后的竞标报价（包含首次报价、最后报价）超过所竞标项目规定的采购预算金额或者最高限价（如本项目公布了最高限价）；或者经供应商确认修正后竞标报价（包含首次报价、最后报价）超过磋商文件分项采购预算金额或者最高限价的（如本项目公布了最高限价）。</w:t>
      </w:r>
    </w:p>
    <w:p w14:paraId="45AD05FC">
      <w:pPr>
        <w:spacing w:line="360" w:lineRule="auto"/>
        <w:ind w:firstLine="420" w:firstLineChars="200"/>
        <w:rPr>
          <w:rFonts w:ascii="宋体" w:hAnsi="宋体" w:cs="宋体"/>
          <w:szCs w:val="21"/>
        </w:rPr>
      </w:pPr>
      <w:r>
        <w:rPr>
          <w:rFonts w:hint="eastAsia" w:ascii="宋体" w:hAnsi="宋体" w:cs="宋体"/>
          <w:szCs w:val="21"/>
        </w:rPr>
        <w:t>6）</w:t>
      </w:r>
      <w:r>
        <w:rPr>
          <w:rFonts w:hint="eastAsia" w:ascii="宋体" w:hAnsi="宋体"/>
          <w:szCs w:val="21"/>
        </w:rPr>
        <w:t>响应文件响应的标的数量及单位与竞争性磋商采购文件要求实质性不一致的。</w:t>
      </w:r>
    </w:p>
    <w:p w14:paraId="02226D1E">
      <w:pPr>
        <w:spacing w:line="360" w:lineRule="auto"/>
        <w:ind w:firstLine="420" w:firstLineChars="200"/>
        <w:rPr>
          <w:rFonts w:ascii="宋体" w:hAnsi="宋体" w:cs="宋体"/>
          <w:szCs w:val="21"/>
        </w:rPr>
      </w:pPr>
      <w:r>
        <w:rPr>
          <w:rFonts w:ascii="宋体" w:hAnsi="宋体" w:cs="宋体"/>
          <w:szCs w:val="21"/>
        </w:rPr>
        <w:t>2.6</w:t>
      </w:r>
      <w:r>
        <w:rPr>
          <w:rFonts w:hint="eastAsia" w:ascii="宋体" w:hAnsi="宋体" w:cs="宋体"/>
          <w:szCs w:val="21"/>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338954C8">
      <w:pPr>
        <w:spacing w:line="360" w:lineRule="auto"/>
        <w:ind w:firstLine="420" w:firstLineChars="200"/>
        <w:rPr>
          <w:rFonts w:ascii="宋体" w:hAnsi="宋体" w:cs="宋体"/>
          <w:szCs w:val="21"/>
        </w:rPr>
      </w:pPr>
      <w:r>
        <w:rPr>
          <w:rFonts w:ascii="宋体" w:hAnsi="宋体" w:cs="宋体"/>
          <w:szCs w:val="21"/>
        </w:rPr>
        <w:t>2.7</w:t>
      </w:r>
      <w:r>
        <w:rPr>
          <w:rFonts w:hint="eastAsia" w:ascii="宋体" w:hAnsi="宋体"/>
          <w:szCs w:val="21"/>
        </w:rPr>
        <w:t>通过符合性审查的合格供应商不足3家的，不得进入磋商环节，采购人或者采购代理机构应当重新开展采购活动。</w:t>
      </w:r>
    </w:p>
    <w:p w14:paraId="1F0507FD">
      <w:pPr>
        <w:spacing w:line="360" w:lineRule="auto"/>
        <w:ind w:firstLine="482" w:firstLineChars="200"/>
        <w:rPr>
          <w:rFonts w:ascii="宋体" w:hAnsi="宋体" w:cs="宋体"/>
          <w:b/>
          <w:bCs/>
          <w:sz w:val="24"/>
        </w:rPr>
      </w:pPr>
      <w:r>
        <w:rPr>
          <w:rFonts w:ascii="宋体" w:hAnsi="宋体" w:cs="宋体"/>
          <w:b/>
          <w:bCs/>
          <w:sz w:val="24"/>
        </w:rPr>
        <w:t>3</w:t>
      </w:r>
      <w:r>
        <w:rPr>
          <w:rFonts w:hint="eastAsia" w:ascii="宋体" w:hAnsi="宋体" w:cs="宋体"/>
          <w:b/>
          <w:bCs/>
          <w:sz w:val="24"/>
        </w:rPr>
        <w:t>.磋商程序</w:t>
      </w:r>
    </w:p>
    <w:p w14:paraId="424443A8">
      <w:pPr>
        <w:spacing w:line="360" w:lineRule="auto"/>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.1</w:t>
      </w:r>
      <w:r>
        <w:rPr>
          <w:rFonts w:hint="eastAsia" w:ascii="宋体" w:hAnsi="宋体" w:cs="宋体"/>
          <w:kern w:val="0"/>
          <w:szCs w:val="21"/>
        </w:rPr>
        <w:t>磋商小组</w:t>
      </w:r>
      <w:r>
        <w:rPr>
          <w:rFonts w:hint="eastAsia" w:ascii="宋体" w:hAnsi="宋体" w:cs="宋体"/>
          <w:szCs w:val="21"/>
        </w:rPr>
        <w:t>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5AC88F61">
      <w:pPr>
        <w:spacing w:line="360" w:lineRule="auto"/>
        <w:ind w:firstLine="420" w:firstLineChars="200"/>
        <w:rPr>
          <w:rFonts w:ascii="宋体" w:hAnsi="宋体" w:cs="宋体"/>
          <w:szCs w:val="21"/>
        </w:rPr>
      </w:pPr>
      <w:r>
        <w:rPr>
          <w:rFonts w:ascii="宋体" w:hAnsi="宋体" w:cs="宋体"/>
          <w:szCs w:val="21"/>
        </w:rPr>
        <w:t>3.2</w:t>
      </w:r>
      <w:r>
        <w:rPr>
          <w:rFonts w:hint="eastAsia" w:ascii="宋体" w:hAnsi="宋体" w:cs="宋体"/>
          <w:szCs w:val="21"/>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263798AC">
      <w:pPr>
        <w:spacing w:line="360" w:lineRule="auto"/>
        <w:ind w:firstLine="420" w:firstLineChars="200"/>
        <w:rPr>
          <w:rFonts w:ascii="宋体" w:hAnsi="宋体" w:cs="宋体"/>
          <w:szCs w:val="21"/>
        </w:rPr>
      </w:pPr>
      <w:r>
        <w:rPr>
          <w:rFonts w:ascii="宋体" w:hAnsi="宋体" w:cs="宋体"/>
          <w:szCs w:val="21"/>
        </w:rPr>
        <w:t>3.3</w:t>
      </w:r>
      <w:r>
        <w:rPr>
          <w:rFonts w:hint="eastAsia" w:ascii="宋体" w:hAnsi="宋体" w:cs="宋体"/>
          <w:szCs w:val="21"/>
        </w:rPr>
        <w:t>对磋商文件作出的实质性变动是磋商文件的有效组成部分，由磋商小组及时以电子澄清函形式同时通知所有参加磋商的供应商。</w:t>
      </w:r>
    </w:p>
    <w:p w14:paraId="1DE6D0B2">
      <w:pPr>
        <w:spacing w:line="360" w:lineRule="auto"/>
        <w:ind w:firstLine="420" w:firstLineChars="200"/>
        <w:rPr>
          <w:rFonts w:ascii="宋体" w:hAnsi="宋体" w:cs="宋体"/>
          <w:szCs w:val="21"/>
        </w:rPr>
      </w:pPr>
      <w:r>
        <w:rPr>
          <w:rFonts w:ascii="宋体" w:hAnsi="宋体" w:cs="宋体"/>
          <w:szCs w:val="21"/>
        </w:rPr>
        <w:t>3.4</w:t>
      </w:r>
      <w:r>
        <w:rPr>
          <w:rFonts w:hint="eastAsia" w:ascii="宋体" w:hAnsi="宋体" w:cs="宋体"/>
          <w:szCs w:val="21"/>
        </w:rPr>
        <w:t>供应商必须按照磋商文件的变动情况和磋商小组的要求以回函的形式重新提交响应文件，并加盖公章或电子签章。参加磋商的供应商未在规定时间内重新提交响应文件的，视同退出磋商，其响应文件按无效处理。</w:t>
      </w:r>
    </w:p>
    <w:p w14:paraId="56A55786">
      <w:pPr>
        <w:spacing w:line="360" w:lineRule="auto"/>
        <w:ind w:firstLine="420" w:firstLineChars="200"/>
        <w:rPr>
          <w:rFonts w:ascii="宋体" w:hAnsi="宋体" w:cs="宋体"/>
          <w:szCs w:val="21"/>
        </w:rPr>
      </w:pPr>
      <w:r>
        <w:rPr>
          <w:rFonts w:ascii="宋体" w:hAnsi="宋体" w:cs="宋体"/>
          <w:szCs w:val="21"/>
        </w:rPr>
        <w:t>3.5</w:t>
      </w:r>
      <w:r>
        <w:rPr>
          <w:rFonts w:hint="eastAsia" w:ascii="宋体" w:hAnsi="宋体" w:cs="宋体"/>
          <w:szCs w:val="21"/>
        </w:rPr>
        <w:t>磋商中，</w:t>
      </w:r>
      <w:r>
        <w:rPr>
          <w:rFonts w:hint="eastAsia" w:ascii="宋体" w:hAnsi="宋体" w:cs="宋体"/>
          <w:spacing w:val="-6"/>
          <w:szCs w:val="21"/>
        </w:rPr>
        <w:t>磋商的任何一方不得透露与磋商有关的其他供应商的技术资料、价格和其他信息。</w:t>
      </w:r>
    </w:p>
    <w:p w14:paraId="505E1C23">
      <w:pPr>
        <w:widowControl/>
        <w:tabs>
          <w:tab w:val="left" w:pos="540"/>
        </w:tabs>
        <w:spacing w:line="360" w:lineRule="auto"/>
        <w:ind w:firstLine="420" w:firstLineChars="200"/>
        <w:jc w:val="left"/>
        <w:rPr>
          <w:rFonts w:ascii="宋体" w:hAnsi="宋体" w:cs="宋体"/>
          <w:szCs w:val="21"/>
        </w:rPr>
      </w:pPr>
      <w:r>
        <w:rPr>
          <w:rFonts w:ascii="宋体" w:hAnsi="宋体" w:cs="宋体"/>
          <w:szCs w:val="21"/>
        </w:rPr>
        <w:t>3.6</w:t>
      </w:r>
      <w:r>
        <w:rPr>
          <w:rFonts w:hint="eastAsia" w:ascii="宋体" w:hAnsi="宋体" w:cs="宋体"/>
          <w:szCs w:val="21"/>
        </w:rPr>
        <w:t>采购代理机构对磋商过程和重要磋商内容进行记录。</w:t>
      </w:r>
    </w:p>
    <w:p w14:paraId="519D5ABC">
      <w:pPr>
        <w:tabs>
          <w:tab w:val="left" w:pos="2835"/>
        </w:tabs>
        <w:spacing w:line="360" w:lineRule="auto"/>
        <w:ind w:firstLine="420" w:firstLineChars="200"/>
        <w:rPr>
          <w:rFonts w:ascii="宋体" w:hAnsi="宋体" w:cs="宋体"/>
          <w:szCs w:val="21"/>
        </w:rPr>
      </w:pPr>
      <w:r>
        <w:rPr>
          <w:rFonts w:ascii="宋体" w:hAnsi="宋体" w:cs="宋体"/>
          <w:szCs w:val="21"/>
        </w:rPr>
        <w:t>3.7</w:t>
      </w:r>
      <w:r>
        <w:rPr>
          <w:rFonts w:hint="eastAsia" w:ascii="宋体" w:hAnsi="宋体"/>
          <w:szCs w:val="21"/>
        </w:rPr>
        <w:t>对磋商过程提交的响应文件进行有效性、完整性和响应程度审查，通过审查的合格供应商不足3家的，采购人或者采购代理机构应当重新开展采购活动。</w:t>
      </w:r>
    </w:p>
    <w:p w14:paraId="1BA006B2">
      <w:pPr>
        <w:spacing w:line="360" w:lineRule="auto"/>
        <w:ind w:firstLine="482" w:firstLineChars="200"/>
        <w:rPr>
          <w:rFonts w:ascii="宋体" w:hAnsi="宋体" w:cs="宋体"/>
          <w:szCs w:val="21"/>
        </w:rPr>
      </w:pPr>
      <w:r>
        <w:rPr>
          <w:rFonts w:ascii="宋体" w:hAnsi="宋体" w:cs="宋体"/>
          <w:b/>
          <w:bCs/>
          <w:sz w:val="24"/>
        </w:rPr>
        <w:t>4.</w:t>
      </w:r>
      <w:r>
        <w:rPr>
          <w:rFonts w:hint="eastAsia" w:ascii="宋体" w:hAnsi="宋体" w:cs="宋体"/>
          <w:b/>
          <w:bCs/>
          <w:sz w:val="24"/>
        </w:rPr>
        <w:t>最后报价</w:t>
      </w:r>
    </w:p>
    <w:p w14:paraId="39992A05">
      <w:pPr>
        <w:spacing w:line="360" w:lineRule="auto"/>
        <w:ind w:firstLine="420" w:firstLineChars="200"/>
        <w:rPr>
          <w:rFonts w:ascii="宋体" w:hAnsi="宋体" w:cs="宋体"/>
          <w:szCs w:val="21"/>
        </w:rPr>
      </w:pPr>
      <w:r>
        <w:rPr>
          <w:rFonts w:hint="eastAsia" w:ascii="宋体" w:hAnsi="宋体" w:cs="宋体"/>
          <w:szCs w:val="21"/>
        </w:rPr>
        <w:t>4</w:t>
      </w:r>
      <w:r>
        <w:rPr>
          <w:rFonts w:ascii="宋体" w:hAnsi="宋体" w:cs="宋体"/>
          <w:szCs w:val="21"/>
        </w:rPr>
        <w:t>.1</w:t>
      </w:r>
      <w:r>
        <w:rPr>
          <w:rFonts w:hint="eastAsia" w:ascii="宋体" w:hAnsi="宋体" w:cs="宋体"/>
          <w:szCs w:val="21"/>
        </w:rPr>
        <w:t>磋商文件能够详细列明采购标的的技术、服务要求的，磋商结束后，磋商小组应当要求所有继续参加磋商的供应商在规定时间内在</w:t>
      </w:r>
      <w:r>
        <w:rPr>
          <w:rFonts w:hint="eastAsia" w:ascii="宋体" w:hAnsi="宋体"/>
          <w:szCs w:val="21"/>
        </w:rPr>
        <w:t>广西政府采购云平台</w:t>
      </w:r>
      <w:r>
        <w:rPr>
          <w:rFonts w:hint="eastAsia" w:ascii="宋体" w:hAnsi="宋体" w:cs="宋体"/>
          <w:szCs w:val="21"/>
        </w:rPr>
        <w:t>开标大厅提交最后报价，除本章第</w:t>
      </w:r>
      <w:r>
        <w:rPr>
          <w:rFonts w:ascii="宋体" w:hAnsi="宋体" w:cs="宋体"/>
          <w:szCs w:val="21"/>
        </w:rPr>
        <w:t>4.3</w:t>
      </w:r>
      <w:r>
        <w:rPr>
          <w:rFonts w:hint="eastAsia" w:ascii="宋体" w:hAnsi="宋体" w:cs="宋体"/>
          <w:szCs w:val="21"/>
        </w:rPr>
        <w:t>条外，提交最后报价的供应商不得少于3家，否则必须重新采购。</w:t>
      </w:r>
    </w:p>
    <w:p w14:paraId="4A540E56">
      <w:pPr>
        <w:spacing w:line="360" w:lineRule="auto"/>
        <w:ind w:firstLine="420" w:firstLineChars="200"/>
        <w:rPr>
          <w:rFonts w:ascii="宋体" w:hAnsi="宋体" w:cs="宋体"/>
          <w:szCs w:val="21"/>
        </w:rPr>
      </w:pPr>
      <w:r>
        <w:rPr>
          <w:rFonts w:hint="eastAsia" w:ascii="宋体" w:hAnsi="宋体" w:cs="宋体"/>
          <w:szCs w:val="21"/>
        </w:rPr>
        <w:t>4</w:t>
      </w:r>
      <w:r>
        <w:rPr>
          <w:rFonts w:ascii="宋体" w:hAnsi="宋体" w:cs="宋体"/>
          <w:szCs w:val="21"/>
        </w:rPr>
        <w:t>.2</w:t>
      </w:r>
      <w:r>
        <w:rPr>
          <w:rFonts w:hint="eastAsia" w:ascii="宋体" w:hAnsi="宋体" w:cs="宋体"/>
          <w:szCs w:val="21"/>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在</w:t>
      </w:r>
      <w:r>
        <w:rPr>
          <w:rFonts w:hint="eastAsia" w:ascii="宋体" w:hAnsi="宋体"/>
          <w:szCs w:val="21"/>
        </w:rPr>
        <w:t>广西政府采购云平台</w:t>
      </w:r>
      <w:r>
        <w:rPr>
          <w:rFonts w:hint="eastAsia" w:ascii="宋体" w:hAnsi="宋体" w:cs="宋体"/>
          <w:szCs w:val="21"/>
        </w:rPr>
        <w:t>开标大厅提交最后报价。</w:t>
      </w:r>
    </w:p>
    <w:p w14:paraId="005E98B5">
      <w:pPr>
        <w:spacing w:line="360" w:lineRule="auto"/>
        <w:ind w:firstLine="420" w:firstLineChars="200"/>
        <w:rPr>
          <w:rFonts w:ascii="宋体" w:hAnsi="宋体" w:cs="宋体"/>
          <w:szCs w:val="21"/>
        </w:rPr>
      </w:pPr>
      <w:r>
        <w:rPr>
          <w:rFonts w:ascii="宋体" w:hAnsi="宋体" w:cs="宋体"/>
          <w:szCs w:val="21"/>
        </w:rPr>
        <w:t>4.3</w:t>
      </w:r>
      <w:r>
        <w:rPr>
          <w:rFonts w:hint="eastAsia" w:ascii="宋体" w:hAnsi="宋体" w:cs="宋体"/>
          <w:szCs w:val="21"/>
        </w:rPr>
        <w:t xml:space="preserve">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580C8645">
      <w:pPr>
        <w:spacing w:line="360" w:lineRule="auto"/>
        <w:ind w:firstLine="420" w:firstLineChars="200"/>
        <w:rPr>
          <w:rFonts w:ascii="宋体" w:hAnsi="宋体" w:cs="宋体"/>
          <w:szCs w:val="21"/>
        </w:rPr>
      </w:pPr>
      <w:r>
        <w:rPr>
          <w:rFonts w:ascii="宋体" w:hAnsi="宋体" w:cs="宋体"/>
          <w:szCs w:val="21"/>
        </w:rPr>
        <w:t>4.4</w:t>
      </w:r>
      <w:r>
        <w:rPr>
          <w:rFonts w:hint="eastAsia" w:ascii="宋体" w:hAnsi="宋体" w:cs="宋体"/>
          <w:szCs w:val="21"/>
        </w:rPr>
        <w:t>已经提交响应文件的供应商，在提交最后报价之前，可以根据磋商情况退出磋商，退出磋商的供应商的响应文件按无效响应处理。采购人、采购代理机构将退还退出磋商的供应商的保证金。</w:t>
      </w:r>
    </w:p>
    <w:p w14:paraId="5FDD7D2A">
      <w:pPr>
        <w:spacing w:line="360" w:lineRule="auto"/>
        <w:ind w:firstLine="420" w:firstLineChars="200"/>
        <w:rPr>
          <w:rFonts w:ascii="宋体" w:hAnsi="宋体" w:cs="宋体"/>
          <w:szCs w:val="21"/>
        </w:rPr>
      </w:pPr>
      <w:r>
        <w:rPr>
          <w:rFonts w:ascii="宋体" w:hAnsi="宋体" w:cs="宋体"/>
          <w:szCs w:val="21"/>
        </w:rPr>
        <w:t>4.5</w:t>
      </w:r>
      <w:r>
        <w:rPr>
          <w:rFonts w:hint="eastAsia" w:ascii="宋体" w:hAnsi="宋体" w:cs="宋体"/>
          <w:szCs w:val="21"/>
        </w:rPr>
        <w:t>供应商未在规定时间内提交最后报价的，视同退出磋商，其响应文件按无效处理。</w:t>
      </w:r>
    </w:p>
    <w:p w14:paraId="5B9EB300">
      <w:pPr>
        <w:spacing w:line="360" w:lineRule="auto"/>
        <w:ind w:firstLine="420" w:firstLineChars="200"/>
        <w:rPr>
          <w:rFonts w:ascii="宋体" w:hAnsi="宋体" w:cs="宋体"/>
          <w:szCs w:val="21"/>
        </w:rPr>
      </w:pPr>
      <w:r>
        <w:rPr>
          <w:rFonts w:ascii="宋体" w:hAnsi="宋体" w:cs="宋体"/>
          <w:szCs w:val="21"/>
        </w:rPr>
        <w:t>4.6</w:t>
      </w:r>
      <w:r>
        <w:rPr>
          <w:rFonts w:hint="eastAsia" w:ascii="宋体" w:hAnsi="宋体" w:cs="宋体"/>
          <w:szCs w:val="21"/>
        </w:rPr>
        <w:t>最后报价统一开启后，磋商小组对最后报价进行有效性、完整性和响应程度的审查。</w:t>
      </w:r>
    </w:p>
    <w:p w14:paraId="0F61F425">
      <w:pPr>
        <w:spacing w:line="360" w:lineRule="auto"/>
        <w:ind w:firstLine="420" w:firstLineChars="200"/>
        <w:rPr>
          <w:rFonts w:ascii="宋体" w:hAnsi="宋体" w:cs="宋体"/>
          <w:szCs w:val="21"/>
        </w:rPr>
      </w:pPr>
      <w:r>
        <w:rPr>
          <w:rFonts w:ascii="宋体" w:hAnsi="宋体" w:cs="宋体"/>
          <w:szCs w:val="21"/>
        </w:rPr>
        <w:t>4.7</w:t>
      </w:r>
      <w:r>
        <w:rPr>
          <w:rFonts w:hint="eastAsia" w:ascii="宋体" w:hAnsi="宋体" w:cs="宋体"/>
          <w:szCs w:val="21"/>
        </w:rPr>
        <w:t>最后报价出现前后不一致的，按照本章第</w:t>
      </w:r>
      <w:r>
        <w:rPr>
          <w:rFonts w:ascii="宋体" w:hAnsi="宋体" w:cs="宋体"/>
          <w:szCs w:val="21"/>
        </w:rPr>
        <w:t>2.4</w:t>
      </w:r>
      <w:r>
        <w:rPr>
          <w:rFonts w:hint="eastAsia" w:ascii="宋体" w:hAnsi="宋体" w:cs="宋体"/>
          <w:szCs w:val="21"/>
        </w:rPr>
        <w:t xml:space="preserve">条的规定修正。 </w:t>
      </w:r>
    </w:p>
    <w:p w14:paraId="5AB7729A">
      <w:pPr>
        <w:spacing w:line="360" w:lineRule="auto"/>
        <w:ind w:firstLine="420" w:firstLineChars="200"/>
        <w:rPr>
          <w:rFonts w:ascii="宋体" w:hAnsi="宋体" w:cs="宋体"/>
          <w:szCs w:val="21"/>
        </w:rPr>
      </w:pPr>
      <w:r>
        <w:rPr>
          <w:rFonts w:ascii="宋体" w:hAnsi="宋体" w:cs="宋体"/>
          <w:szCs w:val="21"/>
        </w:rPr>
        <w:t>4.8</w:t>
      </w:r>
      <w:r>
        <w:rPr>
          <w:rFonts w:hint="eastAsia" w:ascii="宋体" w:hAnsi="宋体" w:cs="宋体"/>
          <w:szCs w:val="21"/>
        </w:rPr>
        <w:t>修正后的报价出现下列情形的，按无效响应处理：</w:t>
      </w:r>
    </w:p>
    <w:p w14:paraId="7242249C">
      <w:pPr>
        <w:spacing w:line="360" w:lineRule="auto"/>
        <w:ind w:firstLine="420" w:firstLineChars="200"/>
        <w:rPr>
          <w:rFonts w:ascii="宋体" w:hAnsi="宋体" w:cs="宋体"/>
          <w:szCs w:val="21"/>
        </w:rPr>
      </w:pPr>
      <w:r>
        <w:rPr>
          <w:rFonts w:hint="eastAsia" w:ascii="宋体" w:hAnsi="宋体" w:cs="宋体"/>
          <w:szCs w:val="21"/>
        </w:rPr>
        <w:t>（1）供应商不确认的（全流程电子化评标采取在线确认）；</w:t>
      </w:r>
    </w:p>
    <w:p w14:paraId="2200AE07">
      <w:pPr>
        <w:spacing w:line="360" w:lineRule="auto"/>
        <w:ind w:firstLine="420" w:firstLineChars="200"/>
        <w:rPr>
          <w:rFonts w:ascii="宋体" w:hAnsi="宋体" w:cs="宋体"/>
          <w:szCs w:val="21"/>
        </w:rPr>
      </w:pPr>
      <w:r>
        <w:rPr>
          <w:rFonts w:hint="eastAsia" w:ascii="宋体" w:hAnsi="宋体" w:cs="宋体"/>
          <w:szCs w:val="21"/>
        </w:rPr>
        <w:t>（2）经供应商确认修正后的竞标报价（包含首次报价、最后报价）超过所竞标项目规定的采购预算金额或者最高限价的（如本项目公布了最高限价）；</w:t>
      </w:r>
    </w:p>
    <w:p w14:paraId="4290A931">
      <w:pPr>
        <w:spacing w:line="360" w:lineRule="auto"/>
        <w:ind w:firstLine="420" w:firstLineChars="200"/>
        <w:rPr>
          <w:rFonts w:ascii="宋体" w:hAnsi="宋体" w:cs="宋体"/>
          <w:szCs w:val="21"/>
        </w:rPr>
      </w:pPr>
      <w:r>
        <w:rPr>
          <w:rFonts w:hint="eastAsia" w:ascii="宋体" w:hAnsi="宋体" w:cs="宋体"/>
          <w:szCs w:val="21"/>
        </w:rPr>
        <w:t>（3）经供应商确认修正后的竞标报价（包含首次报价、最后报价）超过分项采购预算金额或者最高限价的（如本项目公布了最高限价）。</w:t>
      </w:r>
    </w:p>
    <w:p w14:paraId="03CF4C9D">
      <w:pPr>
        <w:spacing w:line="360" w:lineRule="auto"/>
        <w:ind w:firstLine="420" w:firstLineChars="200"/>
        <w:rPr>
          <w:rFonts w:ascii="宋体" w:hAnsi="宋体" w:cs="宋体"/>
          <w:szCs w:val="21"/>
        </w:rPr>
      </w:pPr>
      <w:r>
        <w:rPr>
          <w:rFonts w:ascii="宋体" w:hAnsi="宋体" w:cs="宋体"/>
          <w:szCs w:val="21"/>
        </w:rPr>
        <w:t>4.9</w:t>
      </w:r>
      <w:r>
        <w:rPr>
          <w:rFonts w:hint="eastAsia" w:ascii="宋体" w:hAnsi="宋体" w:cs="宋体"/>
          <w:szCs w:val="21"/>
        </w:rPr>
        <w:t>经供应商确认修正后的最后报价作为评审及签订合同的依据。</w:t>
      </w:r>
    </w:p>
    <w:p w14:paraId="74A11356">
      <w:pPr>
        <w:spacing w:line="360" w:lineRule="auto"/>
        <w:ind w:firstLine="420" w:firstLineChars="200"/>
        <w:rPr>
          <w:rFonts w:ascii="宋体" w:hAnsi="宋体" w:cs="宋体"/>
          <w:szCs w:val="21"/>
        </w:rPr>
      </w:pPr>
      <w:r>
        <w:rPr>
          <w:rFonts w:hint="eastAsia" w:ascii="宋体" w:hAnsi="宋体" w:cs="宋体"/>
          <w:szCs w:val="21"/>
        </w:rPr>
        <w:t>4.10供应商出现最后报价按无效响应处理或者响应文件按无效处理时</w:t>
      </w:r>
      <w:r>
        <w:rPr>
          <w:rFonts w:hint="eastAsia" w:ascii="宋体" w:hAnsi="宋体"/>
          <w:sz w:val="22"/>
          <w:szCs w:val="22"/>
        </w:rPr>
        <w:t>，磋商小组应当告知有关供应商</w:t>
      </w:r>
      <w:r>
        <w:rPr>
          <w:rFonts w:hint="eastAsia" w:ascii="宋体" w:hAnsi="宋体" w:cs="宋体"/>
          <w:szCs w:val="21"/>
        </w:rPr>
        <w:t>。</w:t>
      </w:r>
    </w:p>
    <w:p w14:paraId="5D511480">
      <w:pPr>
        <w:spacing w:line="360" w:lineRule="auto"/>
        <w:ind w:firstLine="420" w:firstLineChars="200"/>
        <w:rPr>
          <w:rFonts w:ascii="宋体" w:hAnsi="宋体" w:cs="宋体"/>
          <w:szCs w:val="21"/>
        </w:rPr>
      </w:pPr>
      <w:r>
        <w:rPr>
          <w:rFonts w:hint="eastAsia" w:ascii="宋体" w:hAnsi="宋体" w:cs="宋体"/>
          <w:szCs w:val="21"/>
        </w:rPr>
        <w:t>4</w:t>
      </w:r>
      <w:r>
        <w:rPr>
          <w:rFonts w:ascii="宋体" w:hAnsi="宋体" w:cs="宋体"/>
          <w:szCs w:val="21"/>
        </w:rPr>
        <w:t>.1</w:t>
      </w:r>
      <w:r>
        <w:rPr>
          <w:rFonts w:hint="eastAsia" w:ascii="宋体" w:hAnsi="宋体" w:cs="宋体"/>
          <w:szCs w:val="21"/>
        </w:rPr>
        <w:t>1最后报价结束后，磋商小组不得再与供应商进行任何形式的商谈。</w:t>
      </w:r>
    </w:p>
    <w:p w14:paraId="1C2AE955">
      <w:pPr>
        <w:spacing w:line="360" w:lineRule="auto"/>
        <w:ind w:firstLine="482" w:firstLineChars="200"/>
        <w:rPr>
          <w:rFonts w:ascii="宋体" w:hAnsi="宋体" w:cs="宋体"/>
          <w:b/>
          <w:bCs/>
          <w:sz w:val="24"/>
        </w:rPr>
      </w:pPr>
      <w:r>
        <w:rPr>
          <w:rFonts w:hint="eastAsia" w:ascii="宋体" w:hAnsi="宋体" w:cs="宋体"/>
          <w:b/>
          <w:bCs/>
          <w:sz w:val="24"/>
        </w:rPr>
        <w:t>5</w:t>
      </w:r>
      <w:r>
        <w:rPr>
          <w:rFonts w:ascii="宋体" w:hAnsi="宋体" w:cs="宋体"/>
          <w:b/>
          <w:bCs/>
          <w:sz w:val="24"/>
        </w:rPr>
        <w:t>.</w:t>
      </w:r>
      <w:r>
        <w:rPr>
          <w:rFonts w:hint="eastAsia" w:ascii="宋体" w:hAnsi="宋体" w:cs="宋体"/>
          <w:b/>
          <w:bCs/>
          <w:sz w:val="24"/>
        </w:rPr>
        <w:t>比较与评价</w:t>
      </w:r>
    </w:p>
    <w:p w14:paraId="60F3DF09">
      <w:pPr>
        <w:spacing w:line="360" w:lineRule="auto"/>
        <w:ind w:firstLine="420" w:firstLineChars="200"/>
        <w:rPr>
          <w:rFonts w:ascii="宋体" w:hAnsi="宋体" w:cs="宋体"/>
          <w:szCs w:val="21"/>
        </w:rPr>
      </w:pPr>
      <w:r>
        <w:rPr>
          <w:rFonts w:ascii="宋体" w:hAnsi="宋体" w:cs="宋体"/>
          <w:szCs w:val="21"/>
        </w:rPr>
        <w:t>5.1</w:t>
      </w:r>
      <w:r>
        <w:rPr>
          <w:rFonts w:hint="eastAsia" w:ascii="宋体" w:hAnsi="宋体" w:cs="宋体"/>
          <w:szCs w:val="21"/>
        </w:rPr>
        <w:t>评审方法：综合评分法。</w:t>
      </w:r>
    </w:p>
    <w:p w14:paraId="137DA695">
      <w:pPr>
        <w:spacing w:line="360" w:lineRule="auto"/>
        <w:ind w:firstLine="420" w:firstLineChars="200"/>
        <w:rPr>
          <w:rFonts w:ascii="宋体" w:hAnsi="宋体" w:cs="宋体"/>
          <w:szCs w:val="21"/>
        </w:rPr>
      </w:pPr>
      <w:r>
        <w:rPr>
          <w:rFonts w:ascii="宋体" w:hAnsi="宋体" w:cs="宋体"/>
          <w:szCs w:val="21"/>
        </w:rPr>
        <w:t>5.2</w:t>
      </w:r>
      <w:r>
        <w:rPr>
          <w:rFonts w:hint="eastAsia" w:ascii="宋体" w:hAnsi="宋体" w:cs="宋体"/>
          <w:szCs w:val="21"/>
        </w:rPr>
        <w:t>经磋商确定最终采购需求和提交最后报价的供应商后，由磋商小组采用综合评分法对提交最后报价的供应商的响应文件和最后报价进行综合评分。</w:t>
      </w:r>
    </w:p>
    <w:p w14:paraId="53C997B7">
      <w:pPr>
        <w:spacing w:line="360" w:lineRule="auto"/>
        <w:ind w:firstLine="420" w:firstLineChars="200"/>
        <w:rPr>
          <w:rFonts w:ascii="宋体" w:hAnsi="宋体" w:cs="宋体"/>
          <w:szCs w:val="21"/>
        </w:rPr>
      </w:pPr>
      <w:r>
        <w:rPr>
          <w:rFonts w:ascii="宋体" w:hAnsi="宋体" w:cs="宋体"/>
          <w:szCs w:val="21"/>
        </w:rPr>
        <w:t>5.3</w:t>
      </w:r>
      <w:r>
        <w:rPr>
          <w:rFonts w:hint="eastAsia" w:ascii="宋体" w:hAnsi="宋体" w:cs="宋体"/>
          <w:szCs w:val="21"/>
        </w:rPr>
        <w:t>评审时，磋商小组各成员应当独立对每个有效响应的文件进行评价、打分，然后汇总每个供应商每项评分因素的得分。</w:t>
      </w:r>
    </w:p>
    <w:p w14:paraId="26B56745">
      <w:pPr>
        <w:spacing w:line="360" w:lineRule="auto"/>
        <w:ind w:firstLine="420" w:firstLineChars="200"/>
        <w:rPr>
          <w:rFonts w:ascii="宋体" w:hAnsi="宋体" w:cs="宋体"/>
          <w:szCs w:val="21"/>
        </w:rPr>
      </w:pPr>
      <w:r>
        <w:rPr>
          <w:rFonts w:hint="eastAsia" w:ascii="宋体" w:hAnsi="宋体" w:cs="宋体"/>
          <w:szCs w:val="21"/>
        </w:rPr>
        <w:t>（1）磋商小组按照磋商文件中规定的评审标准计算各供应商的报价得分。项目评审过程中，不得去掉最后报价中的最高报价和最低报价。</w:t>
      </w:r>
    </w:p>
    <w:p w14:paraId="544CAD37">
      <w:pPr>
        <w:spacing w:line="360" w:lineRule="auto"/>
        <w:ind w:firstLine="420" w:firstLineChars="200"/>
        <w:rPr>
          <w:rFonts w:ascii="宋体" w:hAnsi="宋体" w:cs="宋体"/>
          <w:szCs w:val="21"/>
        </w:rPr>
      </w:pPr>
      <w:r>
        <w:rPr>
          <w:rFonts w:hint="eastAsia" w:ascii="宋体" w:hAnsi="宋体" w:cs="宋体"/>
          <w:szCs w:val="21"/>
        </w:rPr>
        <w:t>（2）各供应商的得分为磋商小组所有成员的有效评分的算术平均数。</w:t>
      </w:r>
    </w:p>
    <w:p w14:paraId="35EC33C4">
      <w:pPr>
        <w:spacing w:line="360" w:lineRule="auto"/>
        <w:ind w:firstLine="420" w:firstLineChars="200"/>
        <w:rPr>
          <w:rFonts w:ascii="宋体" w:hAnsi="宋体" w:cs="宋体"/>
          <w:szCs w:val="21"/>
        </w:rPr>
      </w:pPr>
      <w:r>
        <w:rPr>
          <w:rFonts w:ascii="宋体" w:hAnsi="宋体" w:cs="宋体"/>
          <w:szCs w:val="21"/>
        </w:rPr>
        <w:t>5.4</w:t>
      </w:r>
      <w:r>
        <w:rPr>
          <w:rFonts w:hint="eastAsia" w:ascii="宋体" w:hAnsi="宋体" w:cs="宋体"/>
          <w:szCs w:val="21"/>
        </w:rPr>
        <w:t>评审价为供应商的最后报价进行政策性扣除后的价格，评审价只是作为评审时使用。最终成交供应商的成交金额等于最后报价（如有修正，以确认修正后的最后报价为准）。</w:t>
      </w:r>
    </w:p>
    <w:p w14:paraId="414A4630">
      <w:pPr>
        <w:spacing w:line="360" w:lineRule="auto"/>
        <w:ind w:firstLine="420" w:firstLineChars="200"/>
        <w:rPr>
          <w:rFonts w:ascii="宋体" w:hAnsi="宋体"/>
          <w:kern w:val="0"/>
          <w:szCs w:val="21"/>
        </w:rPr>
      </w:pPr>
      <w:r>
        <w:rPr>
          <w:rFonts w:ascii="宋体" w:hAnsi="宋体" w:cs="宋体"/>
          <w:szCs w:val="21"/>
        </w:rPr>
        <w:t>5.5</w:t>
      </w:r>
      <w:r>
        <w:rPr>
          <w:rFonts w:hint="eastAsia" w:ascii="宋体" w:hAnsi="宋体" w:cs="宋体"/>
          <w:szCs w:val="21"/>
        </w:rPr>
        <w:t>由磋商小组根据综合评分情况，按照评审得分由高到低顺序推荐3名以上成交候选供应商，并编写评</w:t>
      </w:r>
      <w:r>
        <w:rPr>
          <w:rFonts w:hint="eastAsia" w:ascii="宋体" w:hAnsi="宋体"/>
          <w:kern w:val="0"/>
          <w:szCs w:val="21"/>
        </w:rPr>
        <w:t>审报告。符合本章第</w:t>
      </w:r>
      <w:r>
        <w:rPr>
          <w:rFonts w:ascii="宋体" w:hAnsi="宋体"/>
          <w:kern w:val="0"/>
          <w:szCs w:val="21"/>
        </w:rPr>
        <w:t>4.3</w:t>
      </w:r>
      <w:r>
        <w:rPr>
          <w:rFonts w:hint="eastAsia" w:ascii="宋体" w:hAnsi="宋体"/>
          <w:kern w:val="0"/>
          <w:szCs w:val="21"/>
        </w:rPr>
        <w:t>条情形的，可以推荐2家成交候选供应商。评审得分相同的，按照最后报价由低到高的顺序推荐。评审得分且最后报价相同的，按照技术指标优劣顺序推荐。</w:t>
      </w:r>
    </w:p>
    <w:p w14:paraId="78092A7D">
      <w:pPr>
        <w:spacing w:line="360" w:lineRule="auto"/>
        <w:ind w:firstLine="420" w:firstLineChars="200"/>
        <w:rPr>
          <w:rFonts w:ascii="宋体" w:hAnsi="宋体" w:cs="宋体"/>
          <w:szCs w:val="21"/>
        </w:rPr>
      </w:pPr>
      <w:r>
        <w:rPr>
          <w:rFonts w:ascii="宋体" w:hAnsi="宋体"/>
          <w:kern w:val="0"/>
          <w:szCs w:val="21"/>
        </w:rPr>
        <w:t>5.6</w:t>
      </w:r>
      <w:r>
        <w:rPr>
          <w:rFonts w:hint="eastAsia" w:ascii="宋体" w:hAnsi="宋体"/>
          <w:kern w:val="0"/>
          <w:szCs w:val="21"/>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12FF7489">
      <w:pPr>
        <w:spacing w:line="360" w:lineRule="auto"/>
        <w:ind w:firstLine="420" w:firstLineChars="200"/>
        <w:rPr>
          <w:rFonts w:ascii="宋体" w:hAnsi="宋体"/>
          <w:kern w:val="0"/>
          <w:szCs w:val="21"/>
        </w:rPr>
      </w:pPr>
      <w:r>
        <w:rPr>
          <w:rFonts w:hint="eastAsia" w:ascii="宋体" w:hAnsi="宋体"/>
          <w:kern w:val="0"/>
          <w:szCs w:val="21"/>
        </w:rPr>
        <w:t>6</w:t>
      </w:r>
      <w:r>
        <w:rPr>
          <w:rFonts w:ascii="宋体" w:hAnsi="宋体"/>
          <w:kern w:val="0"/>
          <w:szCs w:val="21"/>
        </w:rPr>
        <w:t>.</w:t>
      </w:r>
      <w:r>
        <w:rPr>
          <w:rFonts w:hint="eastAsia" w:ascii="宋体" w:hAnsi="宋体"/>
          <w:kern w:val="0"/>
          <w:szCs w:val="21"/>
        </w:rPr>
        <w:t>评审依据：磋商小组将以磋商响应文件为评审依据，对供应商的报价、技术、商务等方面内容按百分制打分。（计分方法按四舍五入取至百分位）</w:t>
      </w:r>
    </w:p>
    <w:p w14:paraId="175FA57A">
      <w:pPr>
        <w:spacing w:line="360" w:lineRule="auto"/>
        <w:ind w:firstLine="420" w:firstLineChars="200"/>
        <w:rPr>
          <w:rFonts w:ascii="宋体" w:hAnsi="宋体"/>
          <w:kern w:val="0"/>
          <w:szCs w:val="21"/>
        </w:rPr>
      </w:pPr>
      <w:r>
        <w:rPr>
          <w:rFonts w:hint="eastAsia" w:ascii="宋体" w:hAnsi="宋体"/>
          <w:kern w:val="0"/>
          <w:szCs w:val="21"/>
        </w:rPr>
        <w:t>7.由磋商小组根据综合评分情况，按照评审得分由高到低顺序推荐3名以上成交候选供应商，并编写评审报告，评审报告通过电子交易平台向采购人、采购代理机构提交。符合本章第4.3条情形的，可以推荐2家成交候选供应商。评审得分相同的，按照最后报价（不计算价格折扣）由低到高的顺序推荐；评审得分且最后报价（不计算价格折扣）相同的，依次按照技术分、项目实施方案分、售后服务方案分、履约能力分顺序推荐，上述得分均相同的由磋商小组随机抽取推荐。</w:t>
      </w:r>
    </w:p>
    <w:p w14:paraId="4912BF23">
      <w:pPr>
        <w:spacing w:line="360" w:lineRule="auto"/>
        <w:jc w:val="center"/>
        <w:rPr>
          <w:rFonts w:ascii="宋体" w:hAnsi="宋体"/>
          <w:b/>
          <w:sz w:val="32"/>
          <w:szCs w:val="32"/>
        </w:rPr>
      </w:pPr>
    </w:p>
    <w:p w14:paraId="5B78109D">
      <w:pPr>
        <w:spacing w:line="360" w:lineRule="auto"/>
        <w:jc w:val="center"/>
        <w:rPr>
          <w:rFonts w:ascii="宋体" w:hAnsi="宋体"/>
          <w:b/>
          <w:sz w:val="32"/>
          <w:szCs w:val="32"/>
        </w:rPr>
      </w:pPr>
    </w:p>
    <w:p w14:paraId="47B6AB98">
      <w:pPr>
        <w:spacing w:line="360" w:lineRule="auto"/>
        <w:jc w:val="center"/>
        <w:rPr>
          <w:rFonts w:ascii="宋体" w:hAnsi="宋体"/>
          <w:b/>
          <w:sz w:val="32"/>
          <w:szCs w:val="32"/>
        </w:rPr>
      </w:pPr>
    </w:p>
    <w:p w14:paraId="6E072952">
      <w:pPr>
        <w:spacing w:line="360" w:lineRule="auto"/>
        <w:jc w:val="center"/>
        <w:rPr>
          <w:rFonts w:ascii="宋体" w:hAnsi="宋体"/>
          <w:b/>
          <w:sz w:val="32"/>
          <w:szCs w:val="32"/>
        </w:rPr>
      </w:pPr>
      <w:r>
        <w:rPr>
          <w:rFonts w:hint="eastAsia" w:ascii="宋体" w:hAnsi="宋体"/>
          <w:b/>
          <w:sz w:val="32"/>
          <w:szCs w:val="32"/>
        </w:rPr>
        <w:t>二、评审标准</w:t>
      </w:r>
    </w:p>
    <w:p w14:paraId="00CC1937">
      <w:pPr>
        <w:spacing w:line="320" w:lineRule="exact"/>
        <w:ind w:firstLine="422" w:firstLineChars="200"/>
        <w:rPr>
          <w:rFonts w:ascii="宋体" w:hAnsi="宋体"/>
          <w:b/>
          <w:bCs/>
          <w:szCs w:val="21"/>
        </w:rPr>
      </w:pPr>
      <w:r>
        <w:rPr>
          <w:rFonts w:hint="eastAsia" w:ascii="宋体" w:hAnsi="宋体"/>
          <w:b/>
          <w:bCs/>
          <w:szCs w:val="21"/>
        </w:rPr>
        <w:t>标项一：数字化教学资源建设服务</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250"/>
        <w:gridCol w:w="6934"/>
      </w:tblGrid>
      <w:tr w14:paraId="2E6FC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1" w:type="dxa"/>
            <w:vAlign w:val="center"/>
          </w:tcPr>
          <w:p w14:paraId="7DBE8058">
            <w:pPr>
              <w:widowControl/>
              <w:spacing w:line="320" w:lineRule="exact"/>
              <w:jc w:val="center"/>
              <w:rPr>
                <w:rFonts w:ascii="宋体" w:hAnsi="宋体" w:cs="Tahoma"/>
                <w:b/>
                <w:bCs/>
                <w:kern w:val="0"/>
                <w:szCs w:val="21"/>
              </w:rPr>
            </w:pPr>
            <w:r>
              <w:rPr>
                <w:rFonts w:hint="eastAsia" w:ascii="宋体" w:hAnsi="宋体" w:cs="Tahoma"/>
                <w:b/>
                <w:bCs/>
                <w:kern w:val="0"/>
                <w:szCs w:val="21"/>
              </w:rPr>
              <w:t>序号</w:t>
            </w:r>
          </w:p>
        </w:tc>
        <w:tc>
          <w:tcPr>
            <w:tcW w:w="1250" w:type="dxa"/>
            <w:vAlign w:val="center"/>
          </w:tcPr>
          <w:p w14:paraId="2AF83D59">
            <w:pPr>
              <w:widowControl/>
              <w:spacing w:line="320" w:lineRule="exact"/>
              <w:jc w:val="center"/>
              <w:rPr>
                <w:rFonts w:ascii="宋体" w:hAnsi="宋体" w:cs="Tahoma"/>
                <w:b/>
                <w:bCs/>
                <w:kern w:val="0"/>
                <w:szCs w:val="21"/>
              </w:rPr>
            </w:pPr>
            <w:r>
              <w:rPr>
                <w:rFonts w:hint="eastAsia" w:ascii="宋体" w:hAnsi="宋体" w:cs="Tahoma"/>
                <w:b/>
                <w:bCs/>
                <w:kern w:val="0"/>
                <w:szCs w:val="21"/>
              </w:rPr>
              <w:t>评审因素</w:t>
            </w:r>
          </w:p>
        </w:tc>
        <w:tc>
          <w:tcPr>
            <w:tcW w:w="6934" w:type="dxa"/>
            <w:vAlign w:val="center"/>
          </w:tcPr>
          <w:p w14:paraId="3047AF54">
            <w:pPr>
              <w:widowControl/>
              <w:spacing w:line="320" w:lineRule="exact"/>
              <w:jc w:val="center"/>
              <w:rPr>
                <w:rFonts w:ascii="宋体" w:hAnsi="宋体" w:cs="Tahoma"/>
                <w:b/>
                <w:bCs/>
                <w:kern w:val="0"/>
                <w:szCs w:val="21"/>
              </w:rPr>
            </w:pPr>
            <w:r>
              <w:rPr>
                <w:rFonts w:hint="eastAsia" w:ascii="宋体" w:hAnsi="宋体" w:cs="Tahoma"/>
                <w:b/>
                <w:bCs/>
                <w:kern w:val="0"/>
                <w:szCs w:val="21"/>
              </w:rPr>
              <w:t>评审因素具体内容</w:t>
            </w:r>
          </w:p>
        </w:tc>
      </w:tr>
      <w:tr w14:paraId="69A6A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1" w:type="dxa"/>
            <w:vAlign w:val="center"/>
          </w:tcPr>
          <w:p w14:paraId="0C281F9D">
            <w:pPr>
              <w:widowControl/>
              <w:spacing w:line="320" w:lineRule="exact"/>
              <w:jc w:val="center"/>
              <w:rPr>
                <w:rFonts w:ascii="宋体" w:hAnsi="宋体" w:cs="Tahoma"/>
                <w:kern w:val="0"/>
                <w:szCs w:val="21"/>
              </w:rPr>
            </w:pPr>
            <w:r>
              <w:rPr>
                <w:rFonts w:hint="eastAsia" w:ascii="宋体" w:hAnsi="宋体" w:cs="Tahoma"/>
                <w:kern w:val="0"/>
                <w:szCs w:val="21"/>
              </w:rPr>
              <w:t>（1）</w:t>
            </w:r>
          </w:p>
        </w:tc>
        <w:tc>
          <w:tcPr>
            <w:tcW w:w="1250" w:type="dxa"/>
            <w:vAlign w:val="center"/>
          </w:tcPr>
          <w:p w14:paraId="1647E3F4">
            <w:pPr>
              <w:widowControl/>
              <w:spacing w:line="360" w:lineRule="auto"/>
              <w:jc w:val="center"/>
              <w:rPr>
                <w:rFonts w:ascii="宋体" w:hAnsi="宋体" w:cs="Tahoma"/>
                <w:kern w:val="0"/>
                <w:szCs w:val="21"/>
              </w:rPr>
            </w:pPr>
            <w:r>
              <w:rPr>
                <w:rFonts w:hint="eastAsia" w:ascii="宋体" w:hAnsi="宋体" w:cs="Tahoma"/>
                <w:kern w:val="0"/>
                <w:szCs w:val="21"/>
              </w:rPr>
              <w:t>价格分</w:t>
            </w:r>
            <w:r>
              <w:rPr>
                <w:rFonts w:hint="eastAsia" w:ascii="宋体" w:hAnsi="宋体"/>
                <w:szCs w:val="21"/>
              </w:rPr>
              <w:t>（满分</w:t>
            </w:r>
            <w:r>
              <w:rPr>
                <w:rFonts w:ascii="宋体" w:hAnsi="宋体"/>
                <w:szCs w:val="21"/>
              </w:rPr>
              <w:t>20</w:t>
            </w:r>
            <w:r>
              <w:rPr>
                <w:rFonts w:hint="eastAsia" w:ascii="宋体" w:hAnsi="宋体"/>
                <w:szCs w:val="21"/>
              </w:rPr>
              <w:t>分）</w:t>
            </w:r>
          </w:p>
        </w:tc>
        <w:tc>
          <w:tcPr>
            <w:tcW w:w="6934" w:type="dxa"/>
          </w:tcPr>
          <w:p w14:paraId="389A07EB">
            <w:pPr>
              <w:widowControl/>
              <w:wordWrap w:val="0"/>
              <w:spacing w:line="360" w:lineRule="auto"/>
              <w:ind w:firstLine="420" w:firstLineChars="200"/>
              <w:jc w:val="left"/>
              <w:rPr>
                <w:rFonts w:ascii="宋体" w:hAnsi="宋体" w:cs="Tahoma"/>
                <w:kern w:val="0"/>
                <w:szCs w:val="21"/>
              </w:rPr>
            </w:pPr>
            <w:r>
              <w:rPr>
                <w:rFonts w:hint="eastAsia" w:ascii="宋体" w:hAnsi="宋体" w:cs="Courier New"/>
                <w:szCs w:val="21"/>
              </w:rPr>
              <w:t>（</w:t>
            </w:r>
            <w:r>
              <w:rPr>
                <w:rFonts w:hint="eastAsia" w:ascii="宋体" w:hAnsi="宋体" w:cs="Tahoma"/>
                <w:kern w:val="0"/>
                <w:szCs w:val="21"/>
              </w:rPr>
              <w:t>1）评审价为供应商的最后报价进行政策性扣除后的价格，评审价只是作为评审时使用。最终成交供应商的成交金额等于最后报价（如有修正，以确认修正后的最后报价为准）。</w:t>
            </w:r>
          </w:p>
          <w:p w14:paraId="358EB257">
            <w:pPr>
              <w:widowControl/>
              <w:wordWrap w:val="0"/>
              <w:spacing w:line="360" w:lineRule="auto"/>
              <w:ind w:firstLine="420" w:firstLineChars="200"/>
              <w:jc w:val="left"/>
              <w:rPr>
                <w:rFonts w:ascii="宋体" w:hAnsi="宋体" w:cs="Tahoma"/>
                <w:kern w:val="0"/>
                <w:szCs w:val="21"/>
              </w:rPr>
            </w:pPr>
            <w:r>
              <w:rPr>
                <w:rFonts w:hint="eastAsia" w:ascii="宋体" w:hAnsi="宋体" w:cs="Tahoma"/>
                <w:kern w:val="0"/>
                <w:szCs w:val="21"/>
              </w:rPr>
              <w:t>（2）政府采购政策性扣除计算方法：/</w:t>
            </w:r>
          </w:p>
          <w:p w14:paraId="70C484BB">
            <w:pPr>
              <w:widowControl/>
              <w:wordWrap w:val="0"/>
              <w:spacing w:line="360" w:lineRule="auto"/>
              <w:ind w:firstLine="420" w:firstLineChars="200"/>
              <w:jc w:val="left"/>
              <w:rPr>
                <w:rFonts w:ascii="宋体" w:hAnsi="宋体" w:cs="Tahoma"/>
                <w:kern w:val="0"/>
                <w:szCs w:val="21"/>
              </w:rPr>
            </w:pPr>
            <w:r>
              <w:rPr>
                <w:rFonts w:hint="eastAsia" w:ascii="宋体" w:hAnsi="宋体" w:cs="Tahoma"/>
                <w:kern w:val="0"/>
                <w:szCs w:val="21"/>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340C500B">
            <w:pPr>
              <w:widowControl/>
              <w:wordWrap w:val="0"/>
              <w:spacing w:line="360" w:lineRule="auto"/>
              <w:ind w:firstLine="420" w:firstLineChars="200"/>
              <w:jc w:val="left"/>
              <w:rPr>
                <w:rFonts w:ascii="宋体" w:hAnsi="宋体" w:cs="Tahoma"/>
                <w:kern w:val="0"/>
                <w:szCs w:val="21"/>
              </w:rPr>
            </w:pPr>
            <w:r>
              <w:rPr>
                <w:rFonts w:hint="eastAsia" w:ascii="宋体" w:hAnsi="宋体" w:cs="Tahoma"/>
                <w:kern w:val="0"/>
                <w:szCs w:val="21"/>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2AF3B8E1">
            <w:pPr>
              <w:widowControl/>
              <w:wordWrap w:val="0"/>
              <w:spacing w:line="360" w:lineRule="auto"/>
              <w:ind w:firstLine="420" w:firstLineChars="200"/>
              <w:jc w:val="left"/>
              <w:rPr>
                <w:rFonts w:ascii="宋体" w:hAnsi="宋体" w:cs="Tahoma"/>
                <w:kern w:val="0"/>
                <w:szCs w:val="21"/>
              </w:rPr>
            </w:pPr>
            <w:r>
              <w:rPr>
                <w:rFonts w:hint="eastAsia" w:ascii="宋体" w:hAnsi="宋体" w:cs="Tahoma"/>
                <w:kern w:val="0"/>
                <w:szCs w:val="21"/>
              </w:rPr>
              <w:t>（5）以进入比较与评价环节的最低的评审价为基准价，基准价得分为</w:t>
            </w:r>
            <w:r>
              <w:rPr>
                <w:rFonts w:hint="eastAsia" w:ascii="宋体" w:hAnsi="宋体" w:cs="Tahoma"/>
                <w:kern w:val="0"/>
                <w:szCs w:val="21"/>
                <w:lang w:val="en-US" w:eastAsia="zh-CN"/>
              </w:rPr>
              <w:t>2</w:t>
            </w:r>
            <w:r>
              <w:rPr>
                <w:rFonts w:ascii="宋体" w:hAnsi="宋体" w:cs="Tahoma"/>
                <w:kern w:val="0"/>
                <w:szCs w:val="21"/>
              </w:rPr>
              <w:t>0</w:t>
            </w:r>
            <w:r>
              <w:rPr>
                <w:rFonts w:hint="eastAsia" w:ascii="宋体" w:hAnsi="宋体" w:cs="Tahoma"/>
                <w:kern w:val="0"/>
                <w:szCs w:val="21"/>
              </w:rPr>
              <w:t>分。</w:t>
            </w:r>
          </w:p>
          <w:p w14:paraId="747D6A19">
            <w:pPr>
              <w:widowControl/>
              <w:wordWrap w:val="0"/>
              <w:spacing w:line="360" w:lineRule="auto"/>
              <w:ind w:firstLine="420" w:firstLineChars="200"/>
              <w:jc w:val="left"/>
              <w:rPr>
                <w:rFonts w:ascii="宋体" w:hAnsi="宋体"/>
                <w:szCs w:val="21"/>
              </w:rPr>
            </w:pPr>
            <w:r>
              <w:rPr>
                <w:rFonts w:hint="eastAsia" w:ascii="宋体" w:hAnsi="宋体" w:cs="Tahoma"/>
                <w:kern w:val="0"/>
                <w:szCs w:val="21"/>
              </w:rPr>
              <w:t>（6）价格分计算公式：报价得分=（基准价/最后报价）×</w:t>
            </w:r>
            <w:r>
              <w:rPr>
                <w:rFonts w:ascii="宋体" w:hAnsi="宋体" w:cs="Tahoma"/>
                <w:kern w:val="0"/>
                <w:szCs w:val="21"/>
              </w:rPr>
              <w:t>20</w:t>
            </w:r>
            <w:r>
              <w:rPr>
                <w:rFonts w:hint="eastAsia" w:ascii="宋体" w:hAnsi="宋体" w:cs="Tahoma"/>
                <w:kern w:val="0"/>
                <w:szCs w:val="21"/>
              </w:rPr>
              <w:t>分</w:t>
            </w:r>
          </w:p>
        </w:tc>
      </w:tr>
      <w:tr w14:paraId="4F46E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1" w:type="dxa"/>
            <w:vAlign w:val="center"/>
          </w:tcPr>
          <w:p w14:paraId="2EB894EC">
            <w:pPr>
              <w:adjustRightInd w:val="0"/>
              <w:spacing w:line="320" w:lineRule="exact"/>
              <w:ind w:left="-105" w:leftChars="-50" w:right="-105" w:rightChars="-50"/>
              <w:jc w:val="center"/>
              <w:textAlignment w:val="baseline"/>
              <w:rPr>
                <w:rFonts w:ascii="宋体" w:hAnsi="宋体"/>
                <w:bCs/>
                <w:kern w:val="0"/>
                <w:szCs w:val="21"/>
              </w:rPr>
            </w:pPr>
            <w:r>
              <w:rPr>
                <w:rFonts w:hint="eastAsia" w:ascii="宋体" w:hAnsi="宋体" w:cs="Tahoma"/>
                <w:kern w:val="0"/>
                <w:szCs w:val="21"/>
              </w:rPr>
              <w:t>（2）</w:t>
            </w:r>
          </w:p>
        </w:tc>
        <w:tc>
          <w:tcPr>
            <w:tcW w:w="1250" w:type="dxa"/>
            <w:vAlign w:val="center"/>
          </w:tcPr>
          <w:p w14:paraId="5878296E">
            <w:pPr>
              <w:adjustRightInd w:val="0"/>
              <w:spacing w:line="360" w:lineRule="auto"/>
              <w:jc w:val="center"/>
              <w:textAlignment w:val="baseline"/>
              <w:rPr>
                <w:rFonts w:ascii="宋体" w:hAnsi="宋体"/>
                <w:bCs/>
                <w:kern w:val="0"/>
                <w:szCs w:val="21"/>
              </w:rPr>
            </w:pPr>
            <w:r>
              <w:rPr>
                <w:rFonts w:hint="eastAsia" w:ascii="宋体" w:hAnsi="宋体"/>
                <w:bCs/>
                <w:kern w:val="0"/>
                <w:szCs w:val="21"/>
              </w:rPr>
              <w:t>技术分</w:t>
            </w:r>
            <w:r>
              <w:rPr>
                <w:rFonts w:hint="eastAsia" w:ascii="宋体" w:hAnsi="宋体"/>
                <w:szCs w:val="21"/>
              </w:rPr>
              <w:t>（满分</w:t>
            </w:r>
            <w:r>
              <w:rPr>
                <w:rFonts w:ascii="宋体" w:hAnsi="宋体"/>
                <w:szCs w:val="21"/>
              </w:rPr>
              <w:t>30</w:t>
            </w:r>
            <w:r>
              <w:rPr>
                <w:rFonts w:hint="eastAsia" w:ascii="宋体" w:hAnsi="宋体"/>
                <w:szCs w:val="21"/>
              </w:rPr>
              <w:t>分）</w:t>
            </w:r>
          </w:p>
        </w:tc>
        <w:tc>
          <w:tcPr>
            <w:tcW w:w="6934" w:type="dxa"/>
            <w:vAlign w:val="center"/>
          </w:tcPr>
          <w:p w14:paraId="620F8474">
            <w:pPr>
              <w:widowControl/>
              <w:wordWrap w:val="0"/>
              <w:spacing w:line="360" w:lineRule="auto"/>
              <w:ind w:firstLine="420" w:firstLineChars="200"/>
              <w:jc w:val="left"/>
              <w:rPr>
                <w:rFonts w:ascii="宋体" w:hAnsi="宋体" w:cs="Tahoma"/>
                <w:kern w:val="0"/>
                <w:szCs w:val="21"/>
              </w:rPr>
            </w:pPr>
            <w:r>
              <w:rPr>
                <w:rFonts w:hint="eastAsia" w:ascii="宋体" w:hAnsi="宋体" w:cs="Tahoma"/>
                <w:kern w:val="0"/>
                <w:szCs w:val="21"/>
              </w:rPr>
              <w:t>评委根据竞争性磋商文件要求，对满足竞争性磋商文件全部实质性要求进入详评的各供应商响应文件对“技术（服务）要求”的响应情况进行独立评审，并按如下计分方式确定得分：</w:t>
            </w:r>
          </w:p>
          <w:p w14:paraId="0667FEB6">
            <w:pPr>
              <w:widowControl/>
              <w:wordWrap w:val="0"/>
              <w:spacing w:line="360" w:lineRule="auto"/>
              <w:ind w:firstLine="420" w:firstLineChars="200"/>
              <w:jc w:val="left"/>
              <w:rPr>
                <w:rFonts w:ascii="宋体" w:hAnsi="宋体" w:cs="Tahoma"/>
                <w:kern w:val="0"/>
                <w:szCs w:val="21"/>
              </w:rPr>
            </w:pPr>
            <w:r>
              <w:rPr>
                <w:rFonts w:hint="eastAsia" w:ascii="宋体" w:hAnsi="宋体" w:cs="Tahoma"/>
                <w:kern w:val="0"/>
                <w:szCs w:val="21"/>
              </w:rPr>
              <w:t>标注“★”号的参数为评分技术指标，共20项，全部满足得</w:t>
            </w:r>
            <w:r>
              <w:rPr>
                <w:rFonts w:ascii="宋体" w:hAnsi="宋体" w:cs="Tahoma"/>
                <w:kern w:val="0"/>
                <w:szCs w:val="21"/>
              </w:rPr>
              <w:t>3</w:t>
            </w:r>
            <w:r>
              <w:rPr>
                <w:rFonts w:hint="eastAsia" w:ascii="宋体" w:hAnsi="宋体" w:cs="Tahoma"/>
                <w:kern w:val="0"/>
                <w:szCs w:val="21"/>
              </w:rPr>
              <w:t>0分。须按要求提供证明材料予以佐证，每提供一项证明材料得</w:t>
            </w:r>
            <w:r>
              <w:rPr>
                <w:rFonts w:ascii="宋体" w:hAnsi="宋体" w:cs="Tahoma"/>
                <w:kern w:val="0"/>
                <w:szCs w:val="21"/>
              </w:rPr>
              <w:t>1.5</w:t>
            </w:r>
            <w:r>
              <w:rPr>
                <w:rFonts w:hint="eastAsia" w:ascii="宋体" w:hAnsi="宋体" w:cs="Tahoma"/>
                <w:kern w:val="0"/>
                <w:szCs w:val="21"/>
              </w:rPr>
              <w:t>分，未按要求提供证明材料，不得分。</w:t>
            </w:r>
          </w:p>
          <w:p w14:paraId="041550DD">
            <w:pPr>
              <w:wordWrap w:val="0"/>
              <w:spacing w:line="360" w:lineRule="auto"/>
              <w:ind w:firstLine="422" w:firstLineChars="200"/>
              <w:rPr>
                <w:rFonts w:ascii="宋体" w:hAnsi="宋体" w:cs="宋体"/>
                <w:szCs w:val="21"/>
              </w:rPr>
            </w:pPr>
            <w:r>
              <w:rPr>
                <w:rFonts w:hint="eastAsia" w:ascii="宋体" w:hAnsi="宋体" w:cs="宋体"/>
                <w:b/>
                <w:bCs/>
                <w:szCs w:val="21"/>
              </w:rPr>
              <w:t>注：标注</w:t>
            </w:r>
            <w:r>
              <w:rPr>
                <w:rFonts w:hint="eastAsia" w:ascii="宋体" w:hAnsi="宋体" w:cs="Segoe UI Symbol"/>
                <w:kern w:val="0"/>
                <w:szCs w:val="21"/>
              </w:rPr>
              <w:t>★</w:t>
            </w:r>
            <w:r>
              <w:rPr>
                <w:rFonts w:hint="eastAsia" w:ascii="宋体" w:hAnsi="宋体" w:cs="宋体"/>
                <w:b/>
                <w:bCs/>
                <w:szCs w:val="21"/>
              </w:rPr>
              <w:t>号的证明材料可以是彩页、官网截图、功能截图其中任意一种，以上材料均需加盖供应商C</w:t>
            </w:r>
            <w:r>
              <w:rPr>
                <w:rFonts w:ascii="宋体" w:hAnsi="宋体" w:cs="宋体"/>
                <w:b/>
                <w:bCs/>
                <w:szCs w:val="21"/>
              </w:rPr>
              <w:t>A</w:t>
            </w:r>
            <w:r>
              <w:rPr>
                <w:rFonts w:hint="eastAsia" w:ascii="宋体" w:hAnsi="宋体" w:cs="宋体"/>
                <w:b/>
                <w:bCs/>
                <w:szCs w:val="21"/>
              </w:rPr>
              <w:t>签章，否则磋商小组有权不接受。</w:t>
            </w:r>
          </w:p>
        </w:tc>
      </w:tr>
      <w:tr w14:paraId="49EF8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1" w:type="dxa"/>
            <w:vAlign w:val="center"/>
          </w:tcPr>
          <w:p w14:paraId="16567163">
            <w:pPr>
              <w:adjustRightInd w:val="0"/>
              <w:spacing w:line="320" w:lineRule="exact"/>
              <w:ind w:left="-105" w:leftChars="-50" w:right="-105" w:rightChars="-50"/>
              <w:jc w:val="center"/>
              <w:textAlignment w:val="baseline"/>
              <w:rPr>
                <w:rFonts w:ascii="宋体" w:hAnsi="宋体"/>
                <w:bCs/>
                <w:kern w:val="0"/>
                <w:szCs w:val="21"/>
              </w:rPr>
            </w:pPr>
            <w:r>
              <w:rPr>
                <w:rFonts w:hint="eastAsia" w:ascii="宋体" w:hAnsi="宋体"/>
                <w:bCs/>
                <w:kern w:val="0"/>
                <w:szCs w:val="21"/>
              </w:rPr>
              <w:t>（3）</w:t>
            </w:r>
          </w:p>
        </w:tc>
        <w:tc>
          <w:tcPr>
            <w:tcW w:w="1250" w:type="dxa"/>
            <w:vAlign w:val="center"/>
          </w:tcPr>
          <w:p w14:paraId="787F480F">
            <w:pPr>
              <w:adjustRightInd w:val="0"/>
              <w:spacing w:line="320" w:lineRule="exact"/>
              <w:jc w:val="center"/>
              <w:textAlignment w:val="baseline"/>
              <w:rPr>
                <w:rFonts w:ascii="宋体" w:hAnsi="宋体"/>
                <w:bCs/>
                <w:kern w:val="0"/>
                <w:szCs w:val="21"/>
              </w:rPr>
            </w:pPr>
            <w:r>
              <w:rPr>
                <w:rFonts w:hint="eastAsia" w:ascii="宋体" w:hAnsi="宋体"/>
                <w:bCs/>
                <w:kern w:val="0"/>
                <w:szCs w:val="21"/>
              </w:rPr>
              <w:t>项目实施方案分（满</w:t>
            </w:r>
            <w:r>
              <w:rPr>
                <w:rFonts w:ascii="宋体" w:hAnsi="宋体"/>
                <w:bCs/>
                <w:kern w:val="0"/>
                <w:szCs w:val="21"/>
              </w:rPr>
              <w:t>15</w:t>
            </w:r>
            <w:r>
              <w:rPr>
                <w:rFonts w:hint="eastAsia" w:ascii="宋体" w:hAnsi="宋体"/>
                <w:bCs/>
                <w:kern w:val="0"/>
                <w:szCs w:val="21"/>
              </w:rPr>
              <w:t>分）</w:t>
            </w:r>
          </w:p>
        </w:tc>
        <w:tc>
          <w:tcPr>
            <w:tcW w:w="6934" w:type="dxa"/>
            <w:vAlign w:val="center"/>
          </w:tcPr>
          <w:p w14:paraId="5D9AB269">
            <w:pPr>
              <w:pStyle w:val="107"/>
              <w:spacing w:line="360" w:lineRule="auto"/>
              <w:ind w:firstLine="452"/>
              <w:rPr>
                <w:spacing w:val="8"/>
                <w:sz w:val="21"/>
                <w:szCs w:val="21"/>
                <w:lang w:eastAsia="zh-CN"/>
              </w:rPr>
            </w:pPr>
            <w:r>
              <w:rPr>
                <w:rFonts w:hint="eastAsia"/>
                <w:spacing w:val="8"/>
                <w:sz w:val="21"/>
                <w:szCs w:val="21"/>
                <w:lang w:eastAsia="zh-CN"/>
              </w:rPr>
              <w:t>由磋商小组根据供应商提供的项目实施方案中内容进行综合评审并独立打分：</w:t>
            </w:r>
          </w:p>
          <w:p w14:paraId="4564274A">
            <w:pPr>
              <w:pStyle w:val="107"/>
              <w:spacing w:line="360" w:lineRule="auto"/>
              <w:ind w:firstLine="256"/>
              <w:rPr>
                <w:rFonts w:cstheme="minorEastAsia"/>
                <w:spacing w:val="8"/>
                <w:sz w:val="21"/>
                <w:szCs w:val="21"/>
                <w:lang w:eastAsia="zh-CN"/>
              </w:rPr>
            </w:pPr>
            <w:r>
              <w:rPr>
                <w:rFonts w:hint="eastAsia" w:cstheme="minorEastAsia"/>
                <w:spacing w:val="8"/>
                <w:sz w:val="21"/>
                <w:szCs w:val="21"/>
                <w:lang w:eastAsia="zh-CN"/>
              </w:rPr>
              <w:t>一档（0分）：</w:t>
            </w:r>
            <w:r>
              <w:rPr>
                <w:rFonts w:hint="eastAsia" w:cstheme="minorEastAsia"/>
                <w:spacing w:val="6"/>
                <w:sz w:val="21"/>
                <w:szCs w:val="21"/>
                <w:lang w:eastAsia="zh-CN"/>
              </w:rPr>
              <w:t>未提供</w:t>
            </w:r>
            <w:r>
              <w:rPr>
                <w:rFonts w:hint="eastAsia" w:cstheme="minorEastAsia"/>
                <w:spacing w:val="8"/>
                <w:sz w:val="21"/>
                <w:szCs w:val="21"/>
                <w:lang w:eastAsia="zh-CN"/>
              </w:rPr>
              <w:t>相应评审内容，不得分。</w:t>
            </w:r>
          </w:p>
          <w:p w14:paraId="2C3C0364">
            <w:pPr>
              <w:pStyle w:val="107"/>
              <w:spacing w:line="360" w:lineRule="auto"/>
              <w:ind w:firstLine="260"/>
              <w:rPr>
                <w:rFonts w:cstheme="minorEastAsia"/>
                <w:sz w:val="21"/>
                <w:szCs w:val="21"/>
                <w:lang w:eastAsia="zh-CN"/>
              </w:rPr>
            </w:pPr>
            <w:r>
              <w:rPr>
                <w:rFonts w:hint="eastAsia" w:cstheme="minorEastAsia"/>
                <w:spacing w:val="10"/>
                <w:sz w:val="21"/>
                <w:szCs w:val="21"/>
                <w:lang w:eastAsia="zh-CN"/>
              </w:rPr>
              <w:t>二档（5分）：提供项目实施方案，有基本内容架构</w:t>
            </w:r>
            <w:r>
              <w:rPr>
                <w:rFonts w:hint="eastAsia" w:cstheme="minorEastAsia"/>
                <w:spacing w:val="1"/>
                <w:sz w:val="21"/>
                <w:szCs w:val="21"/>
                <w:lang w:eastAsia="zh-CN"/>
              </w:rPr>
              <w:t>。</w:t>
            </w:r>
          </w:p>
          <w:p w14:paraId="42488094">
            <w:pPr>
              <w:pStyle w:val="107"/>
              <w:spacing w:line="360" w:lineRule="auto"/>
              <w:ind w:firstLine="260"/>
              <w:rPr>
                <w:rFonts w:hint="eastAsia" w:cstheme="minorEastAsia"/>
                <w:spacing w:val="5"/>
                <w:sz w:val="21"/>
                <w:szCs w:val="21"/>
                <w:lang w:eastAsia="zh-CN"/>
              </w:rPr>
            </w:pPr>
            <w:r>
              <w:rPr>
                <w:rFonts w:hint="eastAsia" w:cstheme="minorEastAsia"/>
                <w:spacing w:val="10"/>
                <w:sz w:val="21"/>
                <w:szCs w:val="21"/>
                <w:lang w:eastAsia="zh-CN"/>
              </w:rPr>
              <w:t>三档（10分）：提供项目实施方案，较详细描述和展示了</w:t>
            </w:r>
            <w:r>
              <w:rPr>
                <w:rFonts w:hint="eastAsia" w:cstheme="minorEastAsia"/>
                <w:spacing w:val="10"/>
                <w:sz w:val="21"/>
                <w:szCs w:val="21"/>
                <w:lang w:eastAsia="zh-Hans"/>
              </w:rPr>
              <w:t>课程</w:t>
            </w:r>
            <w:r>
              <w:rPr>
                <w:rFonts w:hint="eastAsia" w:cstheme="minorEastAsia"/>
                <w:spacing w:val="10"/>
                <w:sz w:val="21"/>
                <w:szCs w:val="21"/>
                <w:lang w:eastAsia="zh-CN"/>
              </w:rPr>
              <w:t>建设的内容、建设流程、项目进度计划以及培训方案，项目实施方案可行，项目实施有详细计划，分工和进度分配合理</w:t>
            </w:r>
            <w:r>
              <w:rPr>
                <w:rFonts w:hint="eastAsia" w:cstheme="minorEastAsia"/>
                <w:spacing w:val="5"/>
                <w:sz w:val="21"/>
                <w:szCs w:val="21"/>
                <w:lang w:eastAsia="zh-CN"/>
              </w:rPr>
              <w:t>。</w:t>
            </w:r>
          </w:p>
          <w:p w14:paraId="4B5AF062">
            <w:pPr>
              <w:pStyle w:val="107"/>
              <w:spacing w:line="360" w:lineRule="auto"/>
              <w:ind w:firstLine="260"/>
              <w:rPr>
                <w:bCs/>
                <w:kern w:val="0"/>
                <w:szCs w:val="21"/>
                <w:lang w:eastAsia="zh-CN"/>
              </w:rPr>
            </w:pPr>
            <w:r>
              <w:rPr>
                <w:rFonts w:hint="eastAsia" w:cstheme="minorEastAsia"/>
                <w:spacing w:val="4"/>
                <w:sz w:val="21"/>
                <w:szCs w:val="21"/>
                <w:lang w:eastAsia="zh-CN"/>
              </w:rPr>
              <w:t>四档（1</w:t>
            </w:r>
            <w:r>
              <w:rPr>
                <w:rFonts w:cstheme="minorEastAsia"/>
                <w:spacing w:val="4"/>
                <w:sz w:val="21"/>
                <w:szCs w:val="21"/>
                <w:lang w:eastAsia="zh-CN"/>
              </w:rPr>
              <w:t>5</w:t>
            </w:r>
            <w:r>
              <w:rPr>
                <w:rFonts w:hint="eastAsia" w:cstheme="minorEastAsia"/>
                <w:spacing w:val="4"/>
                <w:sz w:val="21"/>
                <w:szCs w:val="21"/>
                <w:lang w:eastAsia="zh-CN"/>
              </w:rPr>
              <w:t>分）：提供项目实施方案，详细描述和展示了</w:t>
            </w:r>
            <w:r>
              <w:rPr>
                <w:rFonts w:hint="eastAsia" w:cstheme="minorEastAsia"/>
                <w:spacing w:val="4"/>
                <w:sz w:val="21"/>
                <w:szCs w:val="21"/>
                <w:lang w:eastAsia="zh-Hans"/>
              </w:rPr>
              <w:t>在线课程和智慧课程</w:t>
            </w:r>
            <w:r>
              <w:rPr>
                <w:rFonts w:hint="eastAsia" w:cstheme="minorEastAsia"/>
                <w:spacing w:val="4"/>
                <w:sz w:val="21"/>
                <w:szCs w:val="21"/>
                <w:lang w:eastAsia="zh-CN"/>
              </w:rPr>
              <w:t>建设的内容、建设流程、项目进度计划以及培训方案；项目实施方案科学可行，对所采用技术的优势有充分的分析和体现，对课程设计、课程特色等方面有全面而详细的描述；项目实施有详细完善的计划，任务分配和进度安排科学合理。</w:t>
            </w:r>
          </w:p>
        </w:tc>
      </w:tr>
      <w:tr w14:paraId="5DCE6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11" w:type="dxa"/>
            <w:vAlign w:val="center"/>
          </w:tcPr>
          <w:p w14:paraId="552E1BC8">
            <w:pPr>
              <w:widowControl/>
              <w:spacing w:line="320" w:lineRule="exact"/>
              <w:jc w:val="center"/>
              <w:rPr>
                <w:rFonts w:ascii="宋体" w:hAnsi="宋体" w:cs="Tahoma"/>
                <w:kern w:val="0"/>
                <w:szCs w:val="21"/>
              </w:rPr>
            </w:pPr>
            <w:r>
              <w:rPr>
                <w:rFonts w:hint="eastAsia" w:ascii="宋体" w:hAnsi="宋体" w:cs="Tahoma"/>
                <w:kern w:val="0"/>
                <w:szCs w:val="21"/>
              </w:rPr>
              <w:t>（4）</w:t>
            </w:r>
          </w:p>
        </w:tc>
        <w:tc>
          <w:tcPr>
            <w:tcW w:w="1250" w:type="dxa"/>
            <w:vAlign w:val="center"/>
          </w:tcPr>
          <w:p w14:paraId="180FF0EC">
            <w:pPr>
              <w:adjustRightInd w:val="0"/>
              <w:spacing w:line="320" w:lineRule="exact"/>
              <w:jc w:val="center"/>
              <w:textAlignment w:val="baseline"/>
              <w:rPr>
                <w:rFonts w:ascii="宋体" w:hAnsi="宋体"/>
                <w:bCs/>
                <w:kern w:val="0"/>
                <w:szCs w:val="21"/>
              </w:rPr>
            </w:pPr>
            <w:r>
              <w:rPr>
                <w:rFonts w:hint="eastAsia" w:ascii="宋体" w:hAnsi="宋体" w:cs="Arial"/>
                <w:szCs w:val="21"/>
              </w:rPr>
              <w:t>平台运行能力分</w:t>
            </w:r>
            <w:r>
              <w:rPr>
                <w:rFonts w:hint="eastAsia" w:ascii="宋体" w:hAnsi="宋体"/>
                <w:bCs/>
                <w:kern w:val="0"/>
                <w:szCs w:val="21"/>
              </w:rPr>
              <w:t>（</w:t>
            </w:r>
            <w:r>
              <w:rPr>
                <w:rFonts w:ascii="宋体" w:hAnsi="宋体"/>
                <w:bCs/>
                <w:kern w:val="0"/>
                <w:szCs w:val="21"/>
              </w:rPr>
              <w:t>20</w:t>
            </w:r>
            <w:r>
              <w:rPr>
                <w:rFonts w:hint="eastAsia" w:ascii="宋体" w:hAnsi="宋体"/>
                <w:bCs/>
                <w:kern w:val="0"/>
                <w:szCs w:val="21"/>
              </w:rPr>
              <w:t>分）</w:t>
            </w:r>
          </w:p>
        </w:tc>
        <w:tc>
          <w:tcPr>
            <w:tcW w:w="6934" w:type="dxa"/>
            <w:vAlign w:val="center"/>
          </w:tcPr>
          <w:p w14:paraId="23D7439E">
            <w:pPr>
              <w:pStyle w:val="107"/>
              <w:spacing w:line="360" w:lineRule="auto"/>
              <w:ind w:firstLine="460"/>
              <w:rPr>
                <w:rFonts w:cstheme="minorEastAsia"/>
                <w:spacing w:val="4"/>
                <w:sz w:val="21"/>
                <w:szCs w:val="21"/>
                <w:lang w:eastAsia="zh-CN"/>
              </w:rPr>
            </w:pPr>
            <w:r>
              <w:rPr>
                <w:rFonts w:hint="eastAsia" w:cstheme="minorEastAsia"/>
                <w:spacing w:val="4"/>
                <w:sz w:val="21"/>
                <w:szCs w:val="21"/>
                <w:lang w:eastAsia="zh-CN"/>
              </w:rPr>
              <w:t>供应商自有/提供的课程平台优质课程资源丰富。具有一定数量国家级线上一流课程（含 2017、2018 年国家级精品在线开放课程）</w:t>
            </w:r>
          </w:p>
          <w:p w14:paraId="0C35C701">
            <w:pPr>
              <w:pStyle w:val="107"/>
              <w:spacing w:line="360" w:lineRule="auto"/>
              <w:ind w:firstLine="460"/>
              <w:rPr>
                <w:lang w:eastAsia="zh-CN"/>
              </w:rPr>
            </w:pPr>
            <w:r>
              <w:rPr>
                <w:rFonts w:hint="eastAsia" w:cstheme="minorEastAsia"/>
                <w:spacing w:val="4"/>
                <w:sz w:val="21"/>
                <w:szCs w:val="21"/>
                <w:lang w:eastAsia="zh-CN"/>
              </w:rPr>
              <w:t>具有100门国家级线上一流课程（含 2017、2018 年国家级精品在线开放课程），得4分；每增加100门，加4分，满分20分。（须提供2017年以来国家级线上一流课程及国家级精品在线开放课程清单、认定文件）。</w:t>
            </w:r>
          </w:p>
        </w:tc>
      </w:tr>
      <w:tr w14:paraId="5CDC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11" w:type="dxa"/>
            <w:vAlign w:val="center"/>
          </w:tcPr>
          <w:p w14:paraId="1EC36A2D">
            <w:pPr>
              <w:spacing w:line="320" w:lineRule="exact"/>
              <w:jc w:val="center"/>
              <w:rPr>
                <w:rFonts w:ascii="宋体" w:hAnsi="宋体"/>
                <w:bCs/>
                <w:kern w:val="0"/>
                <w:szCs w:val="21"/>
              </w:rPr>
            </w:pPr>
            <w:r>
              <w:rPr>
                <w:rFonts w:hint="eastAsia" w:ascii="宋体" w:hAnsi="宋体"/>
                <w:bCs/>
                <w:kern w:val="0"/>
                <w:szCs w:val="21"/>
              </w:rPr>
              <w:t>（</w:t>
            </w:r>
            <w:r>
              <w:rPr>
                <w:rFonts w:ascii="宋体" w:hAnsi="宋体"/>
                <w:bCs/>
                <w:kern w:val="0"/>
                <w:szCs w:val="21"/>
              </w:rPr>
              <w:t>5</w:t>
            </w:r>
            <w:r>
              <w:rPr>
                <w:rFonts w:hint="eastAsia" w:ascii="宋体" w:hAnsi="宋体"/>
                <w:bCs/>
                <w:kern w:val="0"/>
                <w:szCs w:val="21"/>
              </w:rPr>
              <w:t>）</w:t>
            </w:r>
          </w:p>
        </w:tc>
        <w:tc>
          <w:tcPr>
            <w:tcW w:w="1250" w:type="dxa"/>
            <w:vAlign w:val="center"/>
          </w:tcPr>
          <w:p w14:paraId="53B03E43">
            <w:pPr>
              <w:adjustRightInd w:val="0"/>
              <w:spacing w:line="360" w:lineRule="auto"/>
              <w:jc w:val="center"/>
              <w:textAlignment w:val="baseline"/>
              <w:rPr>
                <w:rFonts w:ascii="宋体" w:hAnsi="宋体"/>
                <w:bCs/>
                <w:kern w:val="0"/>
                <w:szCs w:val="21"/>
              </w:rPr>
            </w:pPr>
            <w:r>
              <w:rPr>
                <w:rFonts w:hint="eastAsia" w:ascii="宋体" w:hAnsi="宋体"/>
                <w:bCs/>
                <w:kern w:val="0"/>
                <w:szCs w:val="21"/>
              </w:rPr>
              <w:t>履约能力分（</w:t>
            </w:r>
            <w:r>
              <w:rPr>
                <w:rFonts w:ascii="宋体" w:hAnsi="宋体"/>
                <w:bCs/>
                <w:kern w:val="0"/>
                <w:szCs w:val="21"/>
              </w:rPr>
              <w:t>15</w:t>
            </w:r>
            <w:r>
              <w:rPr>
                <w:rFonts w:hint="eastAsia" w:ascii="宋体" w:hAnsi="宋体"/>
                <w:bCs/>
                <w:kern w:val="0"/>
                <w:szCs w:val="21"/>
              </w:rPr>
              <w:t>分）</w:t>
            </w:r>
          </w:p>
        </w:tc>
        <w:tc>
          <w:tcPr>
            <w:tcW w:w="6934" w:type="dxa"/>
          </w:tcPr>
          <w:p w14:paraId="5A9B9411">
            <w:pPr>
              <w:wordWrap w:val="0"/>
              <w:spacing w:line="360" w:lineRule="auto"/>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 xml:space="preserve"> 业绩分：供应商自</w:t>
            </w:r>
            <w:r>
              <w:rPr>
                <w:rFonts w:ascii="宋体" w:hAnsi="宋体" w:cs="Arial"/>
                <w:szCs w:val="21"/>
              </w:rPr>
              <w:t>2022年1月1日</w:t>
            </w:r>
            <w:r>
              <w:rPr>
                <w:rFonts w:hint="eastAsia" w:ascii="宋体" w:hAnsi="宋体"/>
                <w:szCs w:val="21"/>
              </w:rPr>
              <w:t>以来具有完成同类项目的业绩【</w:t>
            </w:r>
            <w:r>
              <w:rPr>
                <w:rFonts w:hint="eastAsia" w:ascii="宋体" w:hAnsi="宋体"/>
              </w:rPr>
              <w:t>以中标（成交）通知书复印件（或合同复印件）及验收证明为准（能清晰反映相应的项目内容或合同标的，否则将不予评审。同一个编号的项目有两个或两个以上的分标中标/成交的只算一次</w:t>
            </w:r>
            <w:r>
              <w:rPr>
                <w:rFonts w:hint="eastAsia" w:ascii="宋体" w:hAnsi="宋体"/>
                <w:szCs w:val="21"/>
              </w:rPr>
              <w:t>）】的，每提供一项业绩的得</w:t>
            </w:r>
            <w:r>
              <w:rPr>
                <w:rFonts w:ascii="宋体" w:hAnsi="宋体"/>
                <w:szCs w:val="21"/>
              </w:rPr>
              <w:t>1</w:t>
            </w:r>
            <w:r>
              <w:rPr>
                <w:rFonts w:hint="eastAsia" w:ascii="宋体" w:hAnsi="宋体"/>
                <w:szCs w:val="21"/>
              </w:rPr>
              <w:t>分，本条最多得</w:t>
            </w:r>
            <w:r>
              <w:rPr>
                <w:rFonts w:ascii="宋体" w:hAnsi="宋体"/>
                <w:szCs w:val="21"/>
              </w:rPr>
              <w:t>5</w:t>
            </w:r>
            <w:r>
              <w:rPr>
                <w:rFonts w:hint="eastAsia" w:ascii="宋体" w:hAnsi="宋体"/>
                <w:szCs w:val="21"/>
              </w:rPr>
              <w:t>分。</w:t>
            </w:r>
          </w:p>
          <w:p w14:paraId="5BA92588">
            <w:pPr>
              <w:wordWrap w:val="0"/>
              <w:spacing w:line="360" w:lineRule="auto"/>
              <w:rPr>
                <w:rFonts w:ascii="宋体" w:hAnsi="宋体"/>
                <w:szCs w:val="21"/>
              </w:rPr>
            </w:pPr>
            <w:r>
              <w:rPr>
                <w:rFonts w:ascii="宋体" w:hAnsi="宋体"/>
                <w:szCs w:val="21"/>
              </w:rPr>
              <w:t>2</w:t>
            </w:r>
            <w:r>
              <w:rPr>
                <w:rFonts w:hint="eastAsia" w:ascii="宋体" w:hAnsi="宋体"/>
                <w:szCs w:val="21"/>
              </w:rPr>
              <w:t>.磋商供应商具有一流课程建设管理平台、教学成果展示门户、课程中心软件、学科知识中心平台、教学资源管理平台相关的计算机软件著作权登记证书，每提供一个得</w:t>
            </w:r>
            <w:r>
              <w:rPr>
                <w:rFonts w:ascii="宋体" w:hAnsi="宋体"/>
                <w:szCs w:val="21"/>
              </w:rPr>
              <w:t>2</w:t>
            </w:r>
            <w:r>
              <w:rPr>
                <w:rFonts w:hint="eastAsia" w:ascii="宋体" w:hAnsi="宋体"/>
                <w:szCs w:val="21"/>
              </w:rPr>
              <w:t>分，满分1</w:t>
            </w:r>
            <w:r>
              <w:rPr>
                <w:rFonts w:ascii="宋体" w:hAnsi="宋体"/>
                <w:szCs w:val="21"/>
              </w:rPr>
              <w:t>0</w:t>
            </w:r>
            <w:r>
              <w:rPr>
                <w:rFonts w:hint="eastAsia" w:ascii="宋体" w:hAnsi="宋体"/>
                <w:szCs w:val="21"/>
              </w:rPr>
              <w:t>分。</w:t>
            </w:r>
          </w:p>
        </w:tc>
      </w:tr>
      <w:tr w14:paraId="468B3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895" w:type="dxa"/>
            <w:gridSpan w:val="3"/>
            <w:vAlign w:val="center"/>
          </w:tcPr>
          <w:p w14:paraId="54DE2D7E">
            <w:pPr>
              <w:spacing w:line="320" w:lineRule="exact"/>
              <w:rPr>
                <w:rFonts w:ascii="宋体" w:hAnsi="宋体"/>
              </w:rPr>
            </w:pPr>
            <w:r>
              <w:rPr>
                <w:rFonts w:hint="eastAsia" w:ascii="宋体" w:hAnsi="宋体"/>
                <w:b/>
                <w:szCs w:val="21"/>
              </w:rPr>
              <w:t>（</w:t>
            </w:r>
            <w:r>
              <w:rPr>
                <w:rFonts w:hint="eastAsia" w:ascii="宋体" w:hAnsi="宋体"/>
                <w:b/>
                <w:szCs w:val="21"/>
                <w:lang w:val="en-US" w:eastAsia="zh-CN"/>
              </w:rPr>
              <w:t>6</w:t>
            </w:r>
            <w:r>
              <w:rPr>
                <w:rFonts w:hint="eastAsia" w:ascii="宋体" w:hAnsi="宋体"/>
                <w:b/>
                <w:szCs w:val="21"/>
              </w:rPr>
              <w:t>）综合得分为以上各项评审因素得分合计。</w:t>
            </w:r>
          </w:p>
        </w:tc>
      </w:tr>
    </w:tbl>
    <w:p w14:paraId="638ACD44">
      <w:pPr>
        <w:pStyle w:val="3"/>
        <w:jc w:val="center"/>
        <w:rPr>
          <w:rFonts w:ascii="宋体" w:hAnsi="宋体"/>
        </w:rPr>
      </w:pPr>
      <w:bookmarkStart w:id="93" w:name="_Toc74322609"/>
    </w:p>
    <w:p w14:paraId="7A1B0CF9">
      <w:pPr>
        <w:widowControl/>
        <w:jc w:val="left"/>
        <w:rPr>
          <w:rFonts w:ascii="宋体" w:hAnsi="宋体"/>
          <w:b/>
          <w:bCs/>
          <w:kern w:val="44"/>
          <w:sz w:val="44"/>
          <w:szCs w:val="44"/>
        </w:rPr>
      </w:pPr>
      <w:r>
        <w:rPr>
          <w:rFonts w:ascii="宋体" w:hAnsi="宋体"/>
        </w:rPr>
        <w:br w:type="page"/>
      </w:r>
    </w:p>
    <w:p w14:paraId="7A476304">
      <w:pPr>
        <w:spacing w:line="320" w:lineRule="exact"/>
        <w:ind w:firstLine="422" w:firstLineChars="200"/>
        <w:rPr>
          <w:rFonts w:ascii="宋体" w:hAnsi="宋体"/>
          <w:b/>
          <w:bCs/>
          <w:szCs w:val="21"/>
        </w:rPr>
      </w:pPr>
      <w:r>
        <w:rPr>
          <w:rFonts w:hint="eastAsia" w:ascii="宋体" w:hAnsi="宋体"/>
          <w:b/>
          <w:bCs/>
          <w:szCs w:val="21"/>
        </w:rPr>
        <w:t>标项二：师范生教学能力AI测评系统</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250"/>
        <w:gridCol w:w="6934"/>
      </w:tblGrid>
      <w:tr w14:paraId="4D8A8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1" w:type="dxa"/>
            <w:vAlign w:val="center"/>
          </w:tcPr>
          <w:p w14:paraId="0439074D">
            <w:pPr>
              <w:widowControl/>
              <w:spacing w:line="320" w:lineRule="exact"/>
              <w:jc w:val="center"/>
              <w:rPr>
                <w:rFonts w:asciiTheme="minorEastAsia" w:hAnsiTheme="minorEastAsia" w:eastAsiaTheme="minorEastAsia" w:cstheme="minorEastAsia"/>
                <w:b/>
                <w:bCs/>
                <w:kern w:val="0"/>
                <w:szCs w:val="21"/>
              </w:rPr>
            </w:pPr>
            <w:r>
              <w:rPr>
                <w:rFonts w:hint="eastAsia" w:asciiTheme="minorEastAsia" w:hAnsiTheme="minorEastAsia" w:eastAsiaTheme="minorEastAsia" w:cstheme="minorEastAsia"/>
                <w:b/>
                <w:bCs/>
                <w:kern w:val="0"/>
                <w:szCs w:val="21"/>
              </w:rPr>
              <w:t>序号</w:t>
            </w:r>
          </w:p>
        </w:tc>
        <w:tc>
          <w:tcPr>
            <w:tcW w:w="1250" w:type="dxa"/>
            <w:vAlign w:val="center"/>
          </w:tcPr>
          <w:p w14:paraId="40E7F57A">
            <w:pPr>
              <w:widowControl/>
              <w:spacing w:line="320" w:lineRule="exact"/>
              <w:jc w:val="center"/>
              <w:rPr>
                <w:rFonts w:asciiTheme="minorEastAsia" w:hAnsiTheme="minorEastAsia" w:eastAsiaTheme="minorEastAsia" w:cstheme="minorEastAsia"/>
                <w:b/>
                <w:bCs/>
                <w:kern w:val="0"/>
                <w:szCs w:val="21"/>
              </w:rPr>
            </w:pPr>
            <w:r>
              <w:rPr>
                <w:rFonts w:hint="eastAsia" w:asciiTheme="minorEastAsia" w:hAnsiTheme="minorEastAsia" w:eastAsiaTheme="minorEastAsia" w:cstheme="minorEastAsia"/>
                <w:b/>
                <w:bCs/>
                <w:kern w:val="0"/>
                <w:szCs w:val="21"/>
              </w:rPr>
              <w:t>评审因素</w:t>
            </w:r>
          </w:p>
        </w:tc>
        <w:tc>
          <w:tcPr>
            <w:tcW w:w="6934" w:type="dxa"/>
            <w:vAlign w:val="center"/>
          </w:tcPr>
          <w:p w14:paraId="6CD89EED">
            <w:pPr>
              <w:widowControl/>
              <w:spacing w:line="320" w:lineRule="exact"/>
              <w:jc w:val="center"/>
              <w:rPr>
                <w:rFonts w:asciiTheme="minorEastAsia" w:hAnsiTheme="minorEastAsia" w:eastAsiaTheme="minorEastAsia" w:cstheme="minorEastAsia"/>
                <w:b/>
                <w:bCs/>
                <w:kern w:val="0"/>
                <w:szCs w:val="21"/>
              </w:rPr>
            </w:pPr>
            <w:r>
              <w:rPr>
                <w:rFonts w:hint="eastAsia" w:asciiTheme="minorEastAsia" w:hAnsiTheme="minorEastAsia" w:eastAsiaTheme="minorEastAsia" w:cstheme="minorEastAsia"/>
                <w:b/>
                <w:bCs/>
                <w:kern w:val="0"/>
                <w:szCs w:val="21"/>
              </w:rPr>
              <w:t>评审因素具体内容</w:t>
            </w:r>
          </w:p>
        </w:tc>
      </w:tr>
      <w:tr w14:paraId="7DFB5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1" w:type="dxa"/>
            <w:vAlign w:val="center"/>
          </w:tcPr>
          <w:p w14:paraId="1E970E62">
            <w:pPr>
              <w:widowControl/>
              <w:spacing w:line="320" w:lineRule="exact"/>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1250" w:type="dxa"/>
            <w:vAlign w:val="center"/>
          </w:tcPr>
          <w:p w14:paraId="6B3290E8">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价格分</w:t>
            </w:r>
            <w:r>
              <w:rPr>
                <w:rFonts w:hint="eastAsia" w:asciiTheme="minorEastAsia" w:hAnsiTheme="minorEastAsia" w:eastAsiaTheme="minorEastAsia" w:cstheme="minorEastAsia"/>
                <w:szCs w:val="21"/>
              </w:rPr>
              <w:t>（满分</w:t>
            </w:r>
            <w:r>
              <w:rPr>
                <w:rFonts w:asciiTheme="minorEastAsia" w:hAnsiTheme="minorEastAsia" w:eastAsiaTheme="minorEastAsia" w:cstheme="minorEastAsia"/>
                <w:szCs w:val="21"/>
              </w:rPr>
              <w:t>20</w:t>
            </w:r>
            <w:r>
              <w:rPr>
                <w:rFonts w:hint="eastAsia" w:asciiTheme="minorEastAsia" w:hAnsiTheme="minorEastAsia" w:eastAsiaTheme="minorEastAsia" w:cstheme="minorEastAsia"/>
                <w:szCs w:val="21"/>
              </w:rPr>
              <w:t>分）</w:t>
            </w:r>
          </w:p>
        </w:tc>
        <w:tc>
          <w:tcPr>
            <w:tcW w:w="6934" w:type="dxa"/>
          </w:tcPr>
          <w:p w14:paraId="4515573B">
            <w:pPr>
              <w:widowControl/>
              <w:wordWrap w:val="0"/>
              <w:spacing w:line="360" w:lineRule="auto"/>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kern w:val="0"/>
                <w:szCs w:val="21"/>
              </w:rPr>
              <w:t>1）评审价为供应商的最后报价进行政策性扣除后的价格，评审价只是作为评审时使用。最终成交供应商的成交金额等于最后报价（如有修正，以确认修正后的最后报价为准）。</w:t>
            </w:r>
          </w:p>
          <w:p w14:paraId="76978DB1">
            <w:pPr>
              <w:widowControl/>
              <w:wordWrap w:val="0"/>
              <w:spacing w:line="360" w:lineRule="auto"/>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（2）政府采购政策性扣除计算方法：/</w:t>
            </w:r>
          </w:p>
          <w:p w14:paraId="5AE195BE">
            <w:pPr>
              <w:widowControl/>
              <w:wordWrap w:val="0"/>
              <w:spacing w:line="360" w:lineRule="auto"/>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1BA5160C">
            <w:pPr>
              <w:widowControl/>
              <w:wordWrap w:val="0"/>
              <w:spacing w:line="360" w:lineRule="auto"/>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53BF0F3F">
            <w:pPr>
              <w:widowControl/>
              <w:wordWrap w:val="0"/>
              <w:spacing w:line="360" w:lineRule="auto"/>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（5）以进入比较与评价环节的最低的评审价为基准价，基准价得分为</w:t>
            </w:r>
            <w:r>
              <w:rPr>
                <w:rFonts w:hint="eastAsia" w:asciiTheme="minorEastAsia" w:hAnsiTheme="minorEastAsia" w:eastAsiaTheme="minorEastAsia" w:cstheme="minorEastAsia"/>
                <w:kern w:val="0"/>
                <w:szCs w:val="21"/>
                <w:lang w:val="en-US" w:eastAsia="zh-CN"/>
              </w:rPr>
              <w:t>2</w:t>
            </w:r>
            <w:r>
              <w:rPr>
                <w:rFonts w:hint="eastAsia" w:asciiTheme="minorEastAsia" w:hAnsiTheme="minorEastAsia" w:eastAsiaTheme="minorEastAsia" w:cstheme="minorEastAsia"/>
                <w:kern w:val="0"/>
                <w:szCs w:val="21"/>
              </w:rPr>
              <w:t>0分。</w:t>
            </w:r>
          </w:p>
          <w:p w14:paraId="4948D4B3">
            <w:pPr>
              <w:widowControl/>
              <w:wordWrap w:val="0"/>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（6）价格分计算公式：报价得分=（基准价/最后报价）×</w:t>
            </w:r>
            <w:r>
              <w:rPr>
                <w:rFonts w:asciiTheme="minorEastAsia" w:hAnsiTheme="minorEastAsia" w:eastAsiaTheme="minorEastAsia" w:cstheme="minorEastAsia"/>
                <w:kern w:val="0"/>
                <w:szCs w:val="21"/>
              </w:rPr>
              <w:t>20</w:t>
            </w:r>
            <w:r>
              <w:rPr>
                <w:rFonts w:hint="eastAsia" w:asciiTheme="minorEastAsia" w:hAnsiTheme="minorEastAsia" w:eastAsiaTheme="minorEastAsia" w:cstheme="minorEastAsia"/>
                <w:kern w:val="0"/>
                <w:szCs w:val="21"/>
              </w:rPr>
              <w:t>分</w:t>
            </w:r>
          </w:p>
        </w:tc>
      </w:tr>
      <w:tr w14:paraId="5F2EA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1" w:type="dxa"/>
            <w:vAlign w:val="center"/>
          </w:tcPr>
          <w:p w14:paraId="7719701D">
            <w:pPr>
              <w:adjustRightInd w:val="0"/>
              <w:spacing w:line="320" w:lineRule="exact"/>
              <w:ind w:left="-105" w:leftChars="-50" w:right="-105" w:rightChars="-50"/>
              <w:jc w:val="center"/>
              <w:textAlignment w:val="baseline"/>
              <w:rPr>
                <w:rFonts w:asciiTheme="minorEastAsia" w:hAnsiTheme="minorEastAsia" w:eastAsiaTheme="minorEastAsia" w:cstheme="minorEastAsia"/>
                <w:bCs/>
                <w:kern w:val="0"/>
                <w:szCs w:val="21"/>
              </w:rPr>
            </w:pPr>
            <w:r>
              <w:rPr>
                <w:rFonts w:hint="eastAsia" w:asciiTheme="minorEastAsia" w:hAnsiTheme="minorEastAsia" w:eastAsiaTheme="minorEastAsia" w:cstheme="minorEastAsia"/>
                <w:kern w:val="0"/>
                <w:szCs w:val="21"/>
              </w:rPr>
              <w:t>（2）</w:t>
            </w:r>
          </w:p>
        </w:tc>
        <w:tc>
          <w:tcPr>
            <w:tcW w:w="1250" w:type="dxa"/>
            <w:vAlign w:val="center"/>
          </w:tcPr>
          <w:p w14:paraId="193C4EE3">
            <w:pPr>
              <w:adjustRightInd w:val="0"/>
              <w:spacing w:line="360" w:lineRule="auto"/>
              <w:jc w:val="center"/>
              <w:textAlignment w:val="baseline"/>
              <w:rPr>
                <w:rFonts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技术分</w:t>
            </w:r>
            <w:r>
              <w:rPr>
                <w:rFonts w:hint="eastAsia" w:asciiTheme="minorEastAsia" w:hAnsiTheme="minorEastAsia" w:eastAsiaTheme="minorEastAsia" w:cstheme="minorEastAsia"/>
                <w:szCs w:val="21"/>
              </w:rPr>
              <w:t>（满分</w:t>
            </w:r>
            <w:r>
              <w:rPr>
                <w:rFonts w:asciiTheme="minorEastAsia" w:hAnsiTheme="minorEastAsia" w:eastAsiaTheme="minorEastAsia" w:cstheme="minorEastAsia"/>
                <w:szCs w:val="21"/>
              </w:rPr>
              <w:t>30</w:t>
            </w:r>
            <w:r>
              <w:rPr>
                <w:rFonts w:hint="eastAsia" w:asciiTheme="minorEastAsia" w:hAnsiTheme="minorEastAsia" w:eastAsiaTheme="minorEastAsia" w:cstheme="minorEastAsia"/>
                <w:szCs w:val="21"/>
              </w:rPr>
              <w:t>分）</w:t>
            </w:r>
          </w:p>
        </w:tc>
        <w:tc>
          <w:tcPr>
            <w:tcW w:w="6934" w:type="dxa"/>
            <w:vAlign w:val="center"/>
          </w:tcPr>
          <w:p w14:paraId="6F9B5A97">
            <w:pPr>
              <w:widowControl/>
              <w:wordWrap w:val="0"/>
              <w:spacing w:line="360" w:lineRule="auto"/>
              <w:ind w:firstLine="420" w:firstLineChars="200"/>
              <w:jc w:val="left"/>
              <w:rPr>
                <w:rFonts w:ascii="宋体" w:hAnsi="宋体" w:cs="Tahoma"/>
                <w:kern w:val="0"/>
                <w:szCs w:val="21"/>
              </w:rPr>
            </w:pPr>
            <w:r>
              <w:rPr>
                <w:rFonts w:hint="eastAsia" w:ascii="宋体" w:hAnsi="宋体" w:cs="Tahoma"/>
                <w:kern w:val="0"/>
                <w:szCs w:val="21"/>
              </w:rPr>
              <w:t>评委根据竞争性磋商文件要求，对满足竞争性磋商文件全部实质性要求进入详评的各供应商响应文件对“技术（服务）要求”的响应情况进行独立评审，并按如下计分方式确定得分：</w:t>
            </w:r>
          </w:p>
          <w:p w14:paraId="2FB71311">
            <w:pPr>
              <w:widowControl/>
              <w:wordWrap w:val="0"/>
              <w:spacing w:line="360" w:lineRule="auto"/>
              <w:ind w:firstLine="420" w:firstLineChars="200"/>
              <w:jc w:val="left"/>
              <w:rPr>
                <w:rFonts w:ascii="宋体" w:hAnsi="宋体" w:cs="Tahoma"/>
                <w:kern w:val="0"/>
                <w:szCs w:val="21"/>
              </w:rPr>
            </w:pPr>
            <w:r>
              <w:rPr>
                <w:rFonts w:hint="eastAsia" w:ascii="宋体" w:hAnsi="宋体" w:cs="Tahoma"/>
                <w:kern w:val="0"/>
                <w:szCs w:val="21"/>
              </w:rPr>
              <w:t>经评委独立评审，供应商响应文件满足竞争性磋商文件全部实质性要求的，得基本分</w:t>
            </w:r>
            <w:r>
              <w:rPr>
                <w:rFonts w:ascii="宋体" w:hAnsi="宋体" w:cs="Tahoma"/>
                <w:kern w:val="0"/>
                <w:szCs w:val="21"/>
              </w:rPr>
              <w:t>30</w:t>
            </w:r>
            <w:r>
              <w:rPr>
                <w:rFonts w:hint="eastAsia" w:ascii="宋体" w:hAnsi="宋体" w:cs="Tahoma"/>
                <w:kern w:val="0"/>
                <w:szCs w:val="21"/>
              </w:rPr>
              <w:t>分；供应商对本项目“技术（服务）要求”中未标注“▲”符号项的</w:t>
            </w:r>
            <w:r>
              <w:rPr>
                <w:rFonts w:hint="eastAsia" w:ascii="宋体" w:hAnsi="宋体" w:cs="宋体"/>
                <w:szCs w:val="21"/>
              </w:rPr>
              <w:t>技术（服务）要求</w:t>
            </w:r>
            <w:r>
              <w:rPr>
                <w:rFonts w:hint="eastAsia" w:ascii="宋体" w:hAnsi="宋体" w:cs="Tahoma"/>
                <w:kern w:val="0"/>
                <w:szCs w:val="21"/>
              </w:rPr>
              <w:t>响应存在负偏离的，每有一项扣基本分5分，最多扣30分。</w:t>
            </w:r>
          </w:p>
          <w:p w14:paraId="600C8EC9">
            <w:pPr>
              <w:wordWrap w:val="0"/>
              <w:spacing w:line="360" w:lineRule="auto"/>
              <w:ind w:firstLine="422" w:firstLineChars="200"/>
              <w:rPr>
                <w:rFonts w:asciiTheme="minorEastAsia" w:hAnsiTheme="minorEastAsia" w:eastAsiaTheme="minorEastAsia" w:cstheme="minorEastAsia"/>
                <w:szCs w:val="21"/>
              </w:rPr>
            </w:pPr>
            <w:r>
              <w:rPr>
                <w:rFonts w:hint="eastAsia" w:hAnsi="宋体" w:cs="宋体"/>
                <w:b/>
                <w:bCs/>
                <w:szCs w:val="21"/>
              </w:rPr>
              <w:t>注：供应商提交的响应文件未按竞争性磋商文件要求提供相关证明材料的或所提供的证明材料不满足相应技术需求的，相应视为负偏离；响应文件中响应承诺与证明材料不一致的以证明材料为准。</w:t>
            </w:r>
          </w:p>
        </w:tc>
      </w:tr>
      <w:tr w14:paraId="23C0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1" w:type="dxa"/>
            <w:vAlign w:val="center"/>
          </w:tcPr>
          <w:p w14:paraId="73E4FBCB">
            <w:pPr>
              <w:adjustRightInd w:val="0"/>
              <w:spacing w:line="320" w:lineRule="exact"/>
              <w:ind w:left="-105" w:leftChars="-50" w:right="-105" w:rightChars="-50"/>
              <w:jc w:val="center"/>
              <w:textAlignment w:val="baseline"/>
              <w:rPr>
                <w:rFonts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（3）</w:t>
            </w:r>
          </w:p>
        </w:tc>
        <w:tc>
          <w:tcPr>
            <w:tcW w:w="1250" w:type="dxa"/>
            <w:vAlign w:val="center"/>
          </w:tcPr>
          <w:p w14:paraId="39CBD29F">
            <w:pPr>
              <w:adjustRightInd w:val="0"/>
              <w:spacing w:line="320" w:lineRule="exact"/>
              <w:jc w:val="center"/>
              <w:textAlignment w:val="baseline"/>
              <w:rPr>
                <w:rFonts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项目实施方案分（满1</w:t>
            </w:r>
            <w:r>
              <w:rPr>
                <w:rFonts w:asciiTheme="minorEastAsia" w:hAnsiTheme="minorEastAsia" w:eastAsiaTheme="minorEastAsia" w:cstheme="minorEastAsia"/>
                <w:bCs/>
                <w:kern w:val="0"/>
                <w:szCs w:val="21"/>
              </w:rPr>
              <w:t>2</w:t>
            </w:r>
            <w:r>
              <w:rPr>
                <w:rFonts w:hint="eastAsia" w:asciiTheme="minorEastAsia" w:hAnsiTheme="minorEastAsia" w:eastAsiaTheme="minorEastAsia" w:cstheme="minorEastAsia"/>
                <w:bCs/>
                <w:kern w:val="0"/>
                <w:szCs w:val="21"/>
              </w:rPr>
              <w:t>分）</w:t>
            </w:r>
          </w:p>
        </w:tc>
        <w:tc>
          <w:tcPr>
            <w:tcW w:w="6934" w:type="dxa"/>
            <w:vAlign w:val="center"/>
          </w:tcPr>
          <w:p w14:paraId="5E0133C2">
            <w:pPr>
              <w:pStyle w:val="107"/>
              <w:spacing w:line="360" w:lineRule="auto"/>
              <w:ind w:firstLine="452"/>
              <w:rPr>
                <w:rFonts w:asciiTheme="minorEastAsia" w:hAnsiTheme="minorEastAsia" w:eastAsiaTheme="minorEastAsia" w:cstheme="minorEastAsia"/>
                <w:spacing w:val="8"/>
                <w:sz w:val="21"/>
                <w:szCs w:val="21"/>
                <w:lang w:eastAsia="zh-CN"/>
              </w:rPr>
            </w:pPr>
            <w:r>
              <w:rPr>
                <w:rFonts w:hint="eastAsia" w:asciiTheme="minorEastAsia" w:hAnsiTheme="minorEastAsia" w:eastAsiaTheme="minorEastAsia" w:cstheme="minorEastAsia"/>
                <w:spacing w:val="8"/>
                <w:sz w:val="21"/>
                <w:szCs w:val="21"/>
                <w:lang w:eastAsia="zh-CN"/>
              </w:rPr>
              <w:t>评委对供应商提供的项目实施方案（包含但不限于：①项目进度计划及服务期保证措施；②安装、调试、验收的方案和措施；③项目管理组织方案；④应急处理措施等）内容进行独立评审打分：</w:t>
            </w:r>
          </w:p>
          <w:p w14:paraId="52AE612C">
            <w:pPr>
              <w:pStyle w:val="107"/>
              <w:spacing w:line="360" w:lineRule="auto"/>
              <w:ind w:firstLine="452"/>
              <w:rPr>
                <w:rFonts w:asciiTheme="minorEastAsia" w:hAnsiTheme="minorEastAsia" w:eastAsiaTheme="minorEastAsia" w:cstheme="minorEastAsia"/>
                <w:spacing w:val="8"/>
                <w:sz w:val="21"/>
                <w:szCs w:val="21"/>
                <w:lang w:eastAsia="zh-CN"/>
              </w:rPr>
            </w:pPr>
            <w:r>
              <w:rPr>
                <w:rFonts w:hint="eastAsia" w:asciiTheme="minorEastAsia" w:hAnsiTheme="minorEastAsia" w:eastAsiaTheme="minorEastAsia" w:cstheme="minorEastAsia"/>
                <w:spacing w:val="8"/>
                <w:sz w:val="21"/>
                <w:szCs w:val="21"/>
                <w:lang w:eastAsia="zh-CN"/>
              </w:rPr>
              <w:t>一档（4分）：项目进度计划及服务期保证措施不完整并缺乏可行性，安装、调试、验收的方案和措施缺乏针对性、可操作性；项目管理组织方案及应急处理措施不全面、缺乏可行性。</w:t>
            </w:r>
          </w:p>
          <w:p w14:paraId="6AD74329">
            <w:pPr>
              <w:pStyle w:val="107"/>
              <w:spacing w:line="360" w:lineRule="auto"/>
              <w:ind w:firstLine="452"/>
              <w:rPr>
                <w:rFonts w:asciiTheme="minorEastAsia" w:hAnsiTheme="minorEastAsia" w:eastAsiaTheme="minorEastAsia" w:cstheme="minorEastAsia"/>
                <w:spacing w:val="8"/>
                <w:sz w:val="21"/>
                <w:szCs w:val="21"/>
                <w:lang w:eastAsia="zh-CN"/>
              </w:rPr>
            </w:pPr>
            <w:r>
              <w:rPr>
                <w:rFonts w:hint="eastAsia" w:asciiTheme="minorEastAsia" w:hAnsiTheme="minorEastAsia" w:eastAsiaTheme="minorEastAsia" w:cstheme="minorEastAsia"/>
                <w:spacing w:val="8"/>
                <w:sz w:val="21"/>
                <w:szCs w:val="21"/>
                <w:lang w:eastAsia="zh-CN"/>
              </w:rPr>
              <w:t>二档（8分）：在优于一档的基础上，项目进度计划及服务期保证措施完整、有一定的可行性，安装、调试、验收的方案和措施有一定的针对性、可操作性；项目管理组织方案及应急处理措施基本全面、有一定的可行性。</w:t>
            </w:r>
          </w:p>
          <w:p w14:paraId="17AEAC9F">
            <w:pPr>
              <w:pStyle w:val="107"/>
              <w:spacing w:line="360" w:lineRule="auto"/>
              <w:ind w:firstLine="460"/>
              <w:rPr>
                <w:rFonts w:asciiTheme="minorEastAsia" w:hAnsiTheme="minorEastAsia" w:eastAsiaTheme="minorEastAsia" w:cstheme="minorEastAsia"/>
                <w:bCs/>
                <w:kern w:val="0"/>
                <w:szCs w:val="21"/>
                <w:lang w:eastAsia="zh-CN"/>
              </w:rPr>
            </w:pPr>
            <w:r>
              <w:rPr>
                <w:rFonts w:hint="eastAsia" w:asciiTheme="minorEastAsia" w:hAnsiTheme="minorEastAsia" w:eastAsiaTheme="minorEastAsia" w:cstheme="minorEastAsia"/>
                <w:spacing w:val="8"/>
                <w:sz w:val="21"/>
                <w:szCs w:val="21"/>
                <w:lang w:eastAsia="zh-CN"/>
              </w:rPr>
              <w:t>三档（12分）：在优于二档的基础上，项目进度计划及服务期保证措施周密、完善、可行，安装、调试、验收的方案和措施针对性及可操作性强；项目管理组织方案及应急处理措施周全、切实可行。</w:t>
            </w:r>
          </w:p>
        </w:tc>
      </w:tr>
      <w:tr w14:paraId="35EC8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11" w:type="dxa"/>
            <w:vAlign w:val="center"/>
          </w:tcPr>
          <w:p w14:paraId="3DC4DDB8">
            <w:pPr>
              <w:widowControl/>
              <w:spacing w:line="320" w:lineRule="exact"/>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（4）</w:t>
            </w:r>
          </w:p>
        </w:tc>
        <w:tc>
          <w:tcPr>
            <w:tcW w:w="1250" w:type="dxa"/>
            <w:vAlign w:val="center"/>
          </w:tcPr>
          <w:p w14:paraId="1661159E">
            <w:pPr>
              <w:adjustRightInd w:val="0"/>
              <w:spacing w:line="320" w:lineRule="exact"/>
              <w:jc w:val="center"/>
              <w:textAlignment w:val="baseline"/>
              <w:rPr>
                <w:rFonts w:asciiTheme="minorEastAsia" w:hAnsiTheme="minorEastAsia" w:eastAsiaTheme="minorEastAsia" w:cstheme="minorEastAsia"/>
                <w:bCs/>
                <w:kern w:val="0"/>
                <w:szCs w:val="21"/>
              </w:rPr>
            </w:pPr>
            <w:r>
              <w:rPr>
                <w:rFonts w:hint="eastAsia" w:cs="Arial"/>
                <w:szCs w:val="21"/>
              </w:rPr>
              <w:t>后续</w:t>
            </w:r>
            <w:r>
              <w:rPr>
                <w:rFonts w:cs="Arial"/>
                <w:szCs w:val="21"/>
              </w:rPr>
              <w:t>服务及培训</w:t>
            </w:r>
            <w:r>
              <w:rPr>
                <w:rFonts w:hint="eastAsia" w:cs="Arial"/>
                <w:szCs w:val="21"/>
              </w:rPr>
              <w:t>方案分</w:t>
            </w:r>
            <w:r>
              <w:rPr>
                <w:rFonts w:hint="eastAsia" w:ascii="宋体" w:hAnsi="宋体"/>
                <w:bCs/>
                <w:kern w:val="0"/>
                <w:szCs w:val="21"/>
              </w:rPr>
              <w:t>（12分）</w:t>
            </w:r>
          </w:p>
        </w:tc>
        <w:tc>
          <w:tcPr>
            <w:tcW w:w="6934" w:type="dxa"/>
            <w:vAlign w:val="center"/>
          </w:tcPr>
          <w:p w14:paraId="0AAADD31">
            <w:pPr>
              <w:pStyle w:val="107"/>
              <w:spacing w:line="360" w:lineRule="auto"/>
              <w:ind w:firstLine="452"/>
              <w:rPr>
                <w:rFonts w:asciiTheme="minorEastAsia" w:hAnsiTheme="minorEastAsia" w:eastAsiaTheme="minorEastAsia" w:cstheme="minorEastAsia"/>
                <w:color w:val="000000"/>
                <w:kern w:val="0"/>
                <w:sz w:val="21"/>
                <w:szCs w:val="21"/>
                <w:lang w:eastAsia="zh-CN"/>
              </w:rPr>
            </w:pPr>
            <w:r>
              <w:rPr>
                <w:rFonts w:hint="eastAsia" w:asciiTheme="minorEastAsia" w:hAnsiTheme="minorEastAsia" w:eastAsiaTheme="minorEastAsia" w:cstheme="minorEastAsia"/>
                <w:color w:val="000000"/>
                <w:kern w:val="0"/>
                <w:sz w:val="21"/>
                <w:szCs w:val="21"/>
                <w:lang w:eastAsia="zh-CN"/>
              </w:rPr>
              <w:t>评委对供应商提供的后续服务及培训方案（包含但不限于：①服务范围及内容、服务方式、服务流程、出现故障和处理时间、突发情况时的应对措施；②培训目标、培训方式、培训内容、培训对象、培训资料等）内容的进行独立评审打分：</w:t>
            </w:r>
          </w:p>
          <w:p w14:paraId="207371E9">
            <w:pPr>
              <w:pStyle w:val="107"/>
              <w:spacing w:line="360" w:lineRule="auto"/>
              <w:ind w:firstLine="452"/>
              <w:rPr>
                <w:rFonts w:hint="eastAsia" w:asciiTheme="minorEastAsia" w:hAnsiTheme="minorEastAsia" w:eastAsiaTheme="minorEastAsia" w:cstheme="minorEastAsia"/>
                <w:color w:val="000000"/>
                <w:kern w:val="0"/>
                <w:sz w:val="21"/>
                <w:szCs w:val="21"/>
                <w:lang w:eastAsia="zh-CN"/>
              </w:rPr>
            </w:pPr>
            <w:r>
              <w:rPr>
                <w:rFonts w:hint="eastAsia" w:asciiTheme="minorEastAsia" w:hAnsiTheme="minorEastAsia" w:eastAsiaTheme="minorEastAsia" w:cstheme="minorEastAsia"/>
                <w:color w:val="000000"/>
                <w:kern w:val="0"/>
                <w:sz w:val="21"/>
                <w:szCs w:val="21"/>
                <w:lang w:eastAsia="zh-CN"/>
              </w:rPr>
              <w:t>一档（4分）：后续服务及培训方案不完整，缺乏针对性及可行性，基本满足采购人要求。</w:t>
            </w:r>
          </w:p>
          <w:p w14:paraId="5BBF7322">
            <w:pPr>
              <w:pStyle w:val="107"/>
              <w:spacing w:line="360" w:lineRule="auto"/>
              <w:ind w:firstLine="452"/>
              <w:rPr>
                <w:rFonts w:hint="eastAsia" w:asciiTheme="minorEastAsia" w:hAnsiTheme="minorEastAsia" w:eastAsiaTheme="minorEastAsia" w:cstheme="minorEastAsia"/>
                <w:color w:val="000000"/>
                <w:kern w:val="0"/>
                <w:sz w:val="21"/>
                <w:szCs w:val="21"/>
                <w:lang w:eastAsia="zh-CN"/>
              </w:rPr>
            </w:pPr>
            <w:r>
              <w:rPr>
                <w:rFonts w:hint="eastAsia" w:asciiTheme="minorEastAsia" w:hAnsiTheme="minorEastAsia" w:eastAsiaTheme="minorEastAsia" w:cstheme="minorEastAsia"/>
                <w:color w:val="000000"/>
                <w:kern w:val="0"/>
                <w:sz w:val="21"/>
                <w:szCs w:val="21"/>
                <w:lang w:eastAsia="zh-CN"/>
              </w:rPr>
              <w:t>二档（8分）：在优于一档的基础上，后续服务及培训方案完整，有一定的针对性及可行性，满足采购人要求。</w:t>
            </w:r>
          </w:p>
          <w:p w14:paraId="64E3447D">
            <w:pPr>
              <w:pStyle w:val="107"/>
              <w:spacing w:line="360" w:lineRule="auto"/>
              <w:ind w:firstLine="452"/>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 w:val="21"/>
                <w:szCs w:val="21"/>
                <w:lang w:eastAsia="zh-CN"/>
              </w:rPr>
              <w:t>三档（12分）：在优于二档的基础上，后续服务及培训方案周密、完善、针对性强、切实可行，充分满足采购人需求。</w:t>
            </w:r>
          </w:p>
        </w:tc>
      </w:tr>
      <w:tr w14:paraId="74B60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11" w:type="dxa"/>
            <w:vAlign w:val="center"/>
          </w:tcPr>
          <w:p w14:paraId="07494733">
            <w:pPr>
              <w:widowControl/>
              <w:spacing w:line="320" w:lineRule="exact"/>
              <w:jc w:val="center"/>
              <w:rPr>
                <w:rFonts w:asciiTheme="minorEastAsia" w:hAnsiTheme="minorEastAsia" w:eastAsiaTheme="minorEastAsia" w:cstheme="minorEastAsia"/>
                <w:kern w:val="0"/>
                <w:szCs w:val="21"/>
              </w:rPr>
            </w:pPr>
            <w:r>
              <w:rPr>
                <w:rFonts w:hint="eastAsia" w:ascii="宋体" w:hAnsi="宋体" w:cs="Tahoma"/>
                <w:kern w:val="0"/>
                <w:szCs w:val="21"/>
              </w:rPr>
              <w:t>（5）</w:t>
            </w:r>
          </w:p>
        </w:tc>
        <w:tc>
          <w:tcPr>
            <w:tcW w:w="1250" w:type="dxa"/>
            <w:vAlign w:val="center"/>
          </w:tcPr>
          <w:p w14:paraId="7B22F632">
            <w:pPr>
              <w:adjustRightInd w:val="0"/>
              <w:spacing w:line="320" w:lineRule="exact"/>
              <w:jc w:val="center"/>
              <w:textAlignment w:val="baseline"/>
              <w:rPr>
                <w:rFonts w:cs="Arial"/>
                <w:szCs w:val="21"/>
              </w:rPr>
            </w:pPr>
            <w:r>
              <w:rPr>
                <w:rFonts w:hint="eastAsia" w:ascii="宋体" w:hAnsi="宋体"/>
                <w:bCs/>
                <w:kern w:val="0"/>
                <w:szCs w:val="21"/>
              </w:rPr>
              <w:t>系统功能演示分（20分）</w:t>
            </w:r>
          </w:p>
        </w:tc>
        <w:tc>
          <w:tcPr>
            <w:tcW w:w="6934" w:type="dxa"/>
            <w:vAlign w:val="center"/>
          </w:tcPr>
          <w:p w14:paraId="487C1445">
            <w:pPr>
              <w:pStyle w:val="107"/>
              <w:spacing w:line="360" w:lineRule="auto"/>
              <w:ind w:firstLine="452"/>
              <w:rPr>
                <w:rFonts w:asciiTheme="minorEastAsia" w:hAnsiTheme="minorEastAsia" w:eastAsiaTheme="minorEastAsia" w:cstheme="minorEastAsia"/>
                <w:color w:val="000000"/>
                <w:kern w:val="0"/>
                <w:sz w:val="21"/>
                <w:szCs w:val="21"/>
                <w:lang w:eastAsia="zh-CN"/>
              </w:rPr>
            </w:pPr>
            <w:r>
              <w:rPr>
                <w:rFonts w:hint="eastAsia" w:asciiTheme="minorEastAsia" w:hAnsiTheme="minorEastAsia" w:eastAsiaTheme="minorEastAsia" w:cstheme="minorEastAsia"/>
                <w:color w:val="000000"/>
                <w:kern w:val="0"/>
                <w:sz w:val="21"/>
                <w:szCs w:val="21"/>
                <w:lang w:eastAsia="zh-CN"/>
              </w:rPr>
              <w:t>供应商就所竞第1项号标的“AI测评运行管理服务平台（云端平台）”“二、AI测评运行管理服务云平台管理需求”中第2、3、5、8、11项的功能进行系统功能演示，每完整演示出一项功能的得4分，本条最多得20分，未演示或未完整演示相关功能的，相应不予得分。</w:t>
            </w:r>
          </w:p>
        </w:tc>
      </w:tr>
      <w:tr w14:paraId="65C69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11" w:type="dxa"/>
            <w:vAlign w:val="center"/>
          </w:tcPr>
          <w:p w14:paraId="7F29BA8A">
            <w:pPr>
              <w:spacing w:line="320" w:lineRule="exact"/>
              <w:jc w:val="center"/>
              <w:rPr>
                <w:rFonts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（6）</w:t>
            </w:r>
          </w:p>
        </w:tc>
        <w:tc>
          <w:tcPr>
            <w:tcW w:w="1250" w:type="dxa"/>
            <w:vAlign w:val="center"/>
          </w:tcPr>
          <w:p w14:paraId="787C944D">
            <w:pPr>
              <w:adjustRightInd w:val="0"/>
              <w:spacing w:line="360" w:lineRule="auto"/>
              <w:jc w:val="center"/>
              <w:textAlignment w:val="baseline"/>
              <w:rPr>
                <w:rFonts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履约能力分（6分）</w:t>
            </w:r>
          </w:p>
        </w:tc>
        <w:tc>
          <w:tcPr>
            <w:tcW w:w="6934" w:type="dxa"/>
          </w:tcPr>
          <w:p w14:paraId="3F9A6ECB">
            <w:pPr>
              <w:wordWrap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1.业绩分：供应商自202</w:t>
            </w:r>
            <w:r>
              <w:rPr>
                <w:rFonts w:asciiTheme="minorEastAsia" w:hAnsiTheme="minorEastAsia" w:eastAsiaTheme="minorEastAsia" w:cstheme="minorEastAsia"/>
                <w:szCs w:val="21"/>
              </w:rPr>
              <w:t>2</w:t>
            </w:r>
            <w:r>
              <w:rPr>
                <w:rFonts w:hint="eastAsia" w:asciiTheme="minorEastAsia" w:hAnsiTheme="minorEastAsia" w:eastAsiaTheme="minorEastAsia" w:cstheme="minorEastAsia"/>
                <w:szCs w:val="21"/>
              </w:rPr>
              <w:t>年1月1日以来具有完成同类项目的业绩【</w:t>
            </w:r>
            <w:r>
              <w:rPr>
                <w:rFonts w:hint="eastAsia" w:asciiTheme="minorEastAsia" w:hAnsiTheme="minorEastAsia" w:eastAsiaTheme="minorEastAsia" w:cstheme="minorEastAsia"/>
              </w:rPr>
              <w:t>以中标（成交）通知书复印件（或合同复印件）及验收证明为准（能清晰反映相应的项目内容或合同标的，否则将不予评审。同一个编号的项目有两个或两个以上的分标中标/成交的只算一次</w:t>
            </w:r>
            <w:r>
              <w:rPr>
                <w:rFonts w:hint="eastAsia" w:asciiTheme="minorEastAsia" w:hAnsiTheme="minorEastAsia" w:eastAsiaTheme="minorEastAsia" w:cstheme="minorEastAsia"/>
                <w:szCs w:val="21"/>
              </w:rPr>
              <w:t>）】的，每提供一项业绩的得</w:t>
            </w:r>
            <w:r>
              <w:rPr>
                <w:rFonts w:asciiTheme="minorEastAsia" w:hAnsiTheme="minorEastAsia" w:eastAsiaTheme="minorEastAsia" w:cstheme="minorEastAsia"/>
                <w:szCs w:val="21"/>
              </w:rPr>
              <w:t>2</w:t>
            </w:r>
            <w:r>
              <w:rPr>
                <w:rFonts w:hint="eastAsia" w:asciiTheme="minorEastAsia" w:hAnsiTheme="minorEastAsia" w:eastAsiaTheme="minorEastAsia" w:cstheme="minorEastAsia"/>
                <w:szCs w:val="21"/>
              </w:rPr>
              <w:t>分，本条最多得</w:t>
            </w:r>
            <w:r>
              <w:rPr>
                <w:rFonts w:asciiTheme="minorEastAsia" w:hAnsiTheme="minorEastAsia" w:eastAsiaTheme="minorEastAsia" w:cstheme="minorEastAsia"/>
                <w:szCs w:val="21"/>
              </w:rPr>
              <w:t>6</w:t>
            </w:r>
            <w:r>
              <w:rPr>
                <w:rFonts w:hint="eastAsia" w:asciiTheme="minorEastAsia" w:hAnsiTheme="minorEastAsia" w:eastAsiaTheme="minorEastAsia" w:cstheme="minorEastAsia"/>
                <w:szCs w:val="21"/>
              </w:rPr>
              <w:t>分。</w:t>
            </w:r>
          </w:p>
        </w:tc>
      </w:tr>
      <w:tr w14:paraId="03F2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895" w:type="dxa"/>
            <w:gridSpan w:val="3"/>
            <w:vAlign w:val="center"/>
          </w:tcPr>
          <w:p w14:paraId="0D07CC2E">
            <w:pPr>
              <w:spacing w:line="320" w:lineRule="exact"/>
              <w:rPr>
                <w:rFonts w:asciiTheme="minorEastAsia" w:hAnsiTheme="minorEastAsia" w:eastAsiaTheme="minorEastAsia" w:cstheme="minorEastAsia"/>
              </w:rPr>
            </w:pPr>
            <w:r>
              <w:rPr>
                <w:rFonts w:hint="eastAsia" w:asciiTheme="minorEastAsia" w:hAnsiTheme="minorEastAsia" w:eastAsiaTheme="minorEastAsia" w:cstheme="minorEastAsia"/>
                <w:b/>
                <w:szCs w:val="21"/>
              </w:rPr>
              <w:t>（7）综合得分为以上各项评审因素得分合计。</w:t>
            </w:r>
          </w:p>
        </w:tc>
      </w:tr>
    </w:tbl>
    <w:p w14:paraId="2D0B5F6F">
      <w:pPr>
        <w:rPr>
          <w:rFonts w:ascii="宋体" w:hAnsi="宋体"/>
        </w:rPr>
      </w:pPr>
    </w:p>
    <w:p w14:paraId="1BC938B7">
      <w:pPr>
        <w:widowControl/>
        <w:jc w:val="left"/>
        <w:rPr>
          <w:rFonts w:ascii="宋体" w:hAnsi="宋体"/>
        </w:rPr>
      </w:pPr>
      <w:r>
        <w:rPr>
          <w:rFonts w:ascii="宋体" w:hAnsi="宋体"/>
        </w:rPr>
        <w:br w:type="page"/>
      </w:r>
    </w:p>
    <w:p w14:paraId="754C51D8">
      <w:pPr>
        <w:rPr>
          <w:rFonts w:ascii="宋体" w:hAnsi="宋体"/>
        </w:rPr>
      </w:pPr>
    </w:p>
    <w:p w14:paraId="19BA5BC4">
      <w:pPr>
        <w:pStyle w:val="3"/>
        <w:jc w:val="center"/>
        <w:rPr>
          <w:rFonts w:ascii="宋体" w:hAnsi="宋体"/>
        </w:rPr>
      </w:pPr>
    </w:p>
    <w:p w14:paraId="5C919125">
      <w:pPr>
        <w:pStyle w:val="3"/>
        <w:jc w:val="center"/>
        <w:rPr>
          <w:rFonts w:ascii="宋体" w:hAnsi="宋体"/>
        </w:rPr>
      </w:pPr>
      <w:r>
        <w:rPr>
          <w:rFonts w:hint="eastAsia" w:ascii="宋体" w:hAnsi="宋体"/>
        </w:rPr>
        <w:t>第五章 响应文件格式</w:t>
      </w:r>
      <w:bookmarkEnd w:id="93"/>
    </w:p>
    <w:p w14:paraId="1CF011EF">
      <w:pPr>
        <w:spacing w:line="240" w:lineRule="atLeast"/>
        <w:rPr>
          <w:rFonts w:ascii="宋体" w:hAnsi="宋体"/>
          <w:b/>
          <w:sz w:val="32"/>
          <w:szCs w:val="32"/>
        </w:rPr>
      </w:pPr>
    </w:p>
    <w:p w14:paraId="6A8269D5">
      <w:pPr>
        <w:spacing w:line="240" w:lineRule="atLeast"/>
        <w:rPr>
          <w:rFonts w:ascii="宋体" w:hAnsi="宋体"/>
          <w:b/>
          <w:sz w:val="32"/>
          <w:szCs w:val="32"/>
        </w:rPr>
      </w:pPr>
    </w:p>
    <w:p w14:paraId="3FB0F3ED">
      <w:pPr>
        <w:spacing w:line="240" w:lineRule="atLeast"/>
        <w:rPr>
          <w:rFonts w:ascii="宋体" w:hAnsi="宋体"/>
          <w:b/>
          <w:sz w:val="32"/>
          <w:szCs w:val="32"/>
        </w:rPr>
      </w:pPr>
    </w:p>
    <w:p w14:paraId="47E6E865">
      <w:pPr>
        <w:spacing w:line="240" w:lineRule="atLeast"/>
        <w:rPr>
          <w:rFonts w:ascii="宋体" w:hAnsi="宋体"/>
          <w:b/>
          <w:sz w:val="32"/>
          <w:szCs w:val="32"/>
        </w:rPr>
      </w:pPr>
    </w:p>
    <w:p w14:paraId="5748A464">
      <w:pPr>
        <w:spacing w:line="240" w:lineRule="atLeast"/>
        <w:rPr>
          <w:rFonts w:ascii="宋体" w:hAnsi="宋体"/>
          <w:b/>
          <w:sz w:val="32"/>
          <w:szCs w:val="32"/>
        </w:rPr>
      </w:pPr>
    </w:p>
    <w:p w14:paraId="16E7877F">
      <w:pPr>
        <w:spacing w:line="240" w:lineRule="atLeast"/>
        <w:rPr>
          <w:rFonts w:ascii="宋体" w:hAnsi="宋体"/>
          <w:b/>
          <w:sz w:val="32"/>
          <w:szCs w:val="32"/>
        </w:rPr>
      </w:pPr>
    </w:p>
    <w:p w14:paraId="1717C49E">
      <w:pPr>
        <w:spacing w:line="240" w:lineRule="atLeast"/>
        <w:rPr>
          <w:rFonts w:ascii="宋体" w:hAnsi="宋体"/>
          <w:b/>
          <w:sz w:val="32"/>
          <w:szCs w:val="32"/>
        </w:rPr>
      </w:pPr>
    </w:p>
    <w:p w14:paraId="45E96F83">
      <w:pPr>
        <w:spacing w:line="240" w:lineRule="atLeast"/>
        <w:rPr>
          <w:rFonts w:ascii="宋体" w:hAnsi="宋体"/>
          <w:b/>
          <w:sz w:val="32"/>
          <w:szCs w:val="32"/>
        </w:rPr>
      </w:pPr>
    </w:p>
    <w:p w14:paraId="1FB7A442">
      <w:pPr>
        <w:spacing w:line="240" w:lineRule="atLeast"/>
        <w:rPr>
          <w:rFonts w:ascii="宋体" w:hAnsi="宋体"/>
          <w:b/>
          <w:sz w:val="32"/>
          <w:szCs w:val="32"/>
        </w:rPr>
      </w:pPr>
    </w:p>
    <w:p w14:paraId="06BF0636">
      <w:pPr>
        <w:spacing w:line="240" w:lineRule="atLeast"/>
        <w:rPr>
          <w:rFonts w:ascii="宋体" w:hAnsi="宋体"/>
          <w:b/>
          <w:sz w:val="32"/>
          <w:szCs w:val="32"/>
        </w:rPr>
      </w:pPr>
    </w:p>
    <w:p w14:paraId="51DED8F6">
      <w:pPr>
        <w:spacing w:line="240" w:lineRule="atLeast"/>
        <w:rPr>
          <w:rFonts w:ascii="宋体" w:hAnsi="宋体"/>
          <w:b/>
          <w:sz w:val="32"/>
          <w:szCs w:val="32"/>
        </w:rPr>
      </w:pPr>
    </w:p>
    <w:p w14:paraId="050470F3">
      <w:pPr>
        <w:spacing w:line="240" w:lineRule="atLeast"/>
        <w:rPr>
          <w:rFonts w:ascii="宋体" w:hAnsi="宋体"/>
          <w:b/>
          <w:sz w:val="32"/>
          <w:szCs w:val="32"/>
        </w:rPr>
      </w:pPr>
    </w:p>
    <w:p w14:paraId="0CD3884C">
      <w:pPr>
        <w:spacing w:line="240" w:lineRule="atLeast"/>
        <w:rPr>
          <w:rFonts w:ascii="宋体" w:hAnsi="宋体"/>
          <w:b/>
          <w:sz w:val="32"/>
          <w:szCs w:val="32"/>
        </w:rPr>
      </w:pPr>
    </w:p>
    <w:p w14:paraId="6A2FC8A3">
      <w:pPr>
        <w:rPr>
          <w:rFonts w:ascii="宋体" w:hAnsi="宋体" w:cs="仿宋_GB2312"/>
          <w:bCs/>
          <w:sz w:val="32"/>
          <w:szCs w:val="32"/>
        </w:rPr>
      </w:pPr>
      <w:bookmarkStart w:id="94" w:name="_Toc31723070"/>
      <w:bookmarkStart w:id="95" w:name="_Toc35611516"/>
      <w:bookmarkStart w:id="96" w:name="_Toc44229899"/>
      <w:bookmarkStart w:id="97" w:name="_Toc31728084"/>
      <w:bookmarkStart w:id="98" w:name="_Toc35611438"/>
      <w:bookmarkStart w:id="99" w:name="_Toc71366186"/>
    </w:p>
    <w:p w14:paraId="67B92BEE">
      <w:pPr>
        <w:rPr>
          <w:rFonts w:ascii="宋体" w:hAnsi="宋体"/>
          <w:b/>
          <w:sz w:val="32"/>
          <w:szCs w:val="32"/>
        </w:rPr>
      </w:pPr>
      <w:r>
        <w:rPr>
          <w:rFonts w:ascii="宋体" w:hAnsi="宋体"/>
          <w:b/>
          <w:sz w:val="32"/>
          <w:szCs w:val="32"/>
        </w:rPr>
        <w:br w:type="page"/>
      </w:r>
      <w:r>
        <w:rPr>
          <w:rFonts w:hint="eastAsia" w:ascii="宋体" w:hAnsi="宋体"/>
          <w:b/>
          <w:sz w:val="32"/>
          <w:szCs w:val="32"/>
        </w:rPr>
        <w:t>一、资格证明文件格式</w:t>
      </w:r>
      <w:bookmarkEnd w:id="94"/>
      <w:bookmarkEnd w:id="95"/>
      <w:bookmarkEnd w:id="96"/>
      <w:bookmarkEnd w:id="97"/>
      <w:bookmarkEnd w:id="98"/>
      <w:bookmarkEnd w:id="99"/>
    </w:p>
    <w:p w14:paraId="185440DD">
      <w:pPr>
        <w:snapToGrid w:val="0"/>
        <w:spacing w:before="120" w:beforeLines="50" w:after="50" w:line="360" w:lineRule="auto"/>
        <w:jc w:val="left"/>
        <w:rPr>
          <w:rFonts w:ascii="宋体" w:hAnsi="宋体"/>
          <w:b/>
          <w:sz w:val="24"/>
        </w:rPr>
      </w:pPr>
      <w:r>
        <w:rPr>
          <w:rFonts w:hint="eastAsia" w:ascii="宋体" w:hAnsi="宋体"/>
          <w:b/>
          <w:sz w:val="32"/>
          <w:szCs w:val="32"/>
        </w:rPr>
        <w:t>1.资格证明文件封面格式：</w:t>
      </w:r>
      <w:r>
        <w:rPr>
          <w:rFonts w:hint="eastAsia" w:ascii="宋体" w:hAnsi="宋体"/>
          <w:b/>
          <w:sz w:val="24"/>
        </w:rPr>
        <w:t xml:space="preserve"> </w:t>
      </w:r>
    </w:p>
    <w:p w14:paraId="1253EAD3">
      <w:pPr>
        <w:snapToGrid w:val="0"/>
        <w:spacing w:before="120" w:beforeLines="50" w:after="50"/>
        <w:jc w:val="center"/>
        <w:rPr>
          <w:rFonts w:ascii="宋体" w:hAnsi="宋体"/>
          <w:sz w:val="44"/>
          <w:szCs w:val="44"/>
        </w:rPr>
      </w:pPr>
    </w:p>
    <w:p w14:paraId="264EEF26">
      <w:pPr>
        <w:snapToGrid w:val="0"/>
        <w:spacing w:before="120" w:beforeLines="50" w:after="50"/>
        <w:jc w:val="center"/>
        <w:rPr>
          <w:rFonts w:ascii="宋体" w:hAnsi="宋体"/>
          <w:sz w:val="44"/>
          <w:szCs w:val="44"/>
        </w:rPr>
      </w:pPr>
      <w:r>
        <w:rPr>
          <w:rFonts w:hint="eastAsia" w:ascii="宋体" w:hAnsi="宋体"/>
          <w:sz w:val="44"/>
          <w:szCs w:val="44"/>
        </w:rPr>
        <w:t>电 子 响 应 文 件</w:t>
      </w:r>
    </w:p>
    <w:p w14:paraId="3990E7A2">
      <w:pPr>
        <w:snapToGrid w:val="0"/>
        <w:spacing w:before="120" w:beforeLines="50" w:after="50"/>
        <w:rPr>
          <w:rFonts w:ascii="宋体" w:hAnsi="宋体"/>
          <w:sz w:val="24"/>
          <w:szCs w:val="20"/>
        </w:rPr>
      </w:pPr>
    </w:p>
    <w:p w14:paraId="2DD2C3F6">
      <w:pPr>
        <w:snapToGrid w:val="0"/>
        <w:spacing w:before="120" w:beforeLines="50" w:after="50"/>
        <w:jc w:val="center"/>
        <w:rPr>
          <w:rFonts w:ascii="宋体" w:hAnsi="宋体" w:cs="方正小标宋简体"/>
          <w:bCs/>
          <w:sz w:val="44"/>
          <w:szCs w:val="44"/>
        </w:rPr>
      </w:pPr>
      <w:r>
        <w:rPr>
          <w:rFonts w:hint="eastAsia" w:ascii="宋体" w:hAnsi="宋体" w:cs="方正小标宋简体"/>
          <w:bCs/>
          <w:sz w:val="44"/>
          <w:szCs w:val="44"/>
        </w:rPr>
        <w:t>资  格  证  明  文  件</w:t>
      </w:r>
    </w:p>
    <w:p w14:paraId="1B0B62CE">
      <w:pPr>
        <w:snapToGrid w:val="0"/>
        <w:spacing w:before="120" w:beforeLines="50" w:after="50"/>
        <w:rPr>
          <w:rFonts w:ascii="宋体" w:hAnsi="宋体"/>
          <w:bCs/>
          <w:sz w:val="24"/>
          <w:szCs w:val="20"/>
        </w:rPr>
      </w:pPr>
    </w:p>
    <w:p w14:paraId="409D4F8A">
      <w:pPr>
        <w:snapToGrid w:val="0"/>
        <w:spacing w:before="120" w:beforeLines="50" w:after="50"/>
        <w:rPr>
          <w:rFonts w:ascii="宋体" w:hAnsi="宋体"/>
          <w:bCs/>
          <w:sz w:val="24"/>
          <w:szCs w:val="20"/>
        </w:rPr>
      </w:pPr>
    </w:p>
    <w:p w14:paraId="6471255B">
      <w:pPr>
        <w:snapToGrid w:val="0"/>
        <w:spacing w:before="120" w:beforeLines="50" w:after="50"/>
        <w:rPr>
          <w:rFonts w:ascii="宋体" w:hAnsi="宋体"/>
          <w:bCs/>
          <w:sz w:val="24"/>
          <w:szCs w:val="20"/>
        </w:rPr>
      </w:pPr>
    </w:p>
    <w:p w14:paraId="4A957057">
      <w:pPr>
        <w:snapToGrid w:val="0"/>
        <w:spacing w:before="120" w:beforeLines="50" w:after="50"/>
        <w:rPr>
          <w:rFonts w:ascii="宋体" w:hAnsi="宋体"/>
          <w:bCs/>
          <w:sz w:val="24"/>
          <w:szCs w:val="20"/>
        </w:rPr>
      </w:pPr>
    </w:p>
    <w:p w14:paraId="5094A7CC">
      <w:pPr>
        <w:snapToGrid w:val="0"/>
        <w:spacing w:before="120" w:beforeLines="50" w:after="50"/>
        <w:rPr>
          <w:rFonts w:ascii="宋体" w:hAnsi="宋体"/>
          <w:bCs/>
          <w:sz w:val="24"/>
          <w:szCs w:val="20"/>
        </w:rPr>
      </w:pPr>
    </w:p>
    <w:p w14:paraId="740A7A56">
      <w:pPr>
        <w:snapToGrid w:val="0"/>
        <w:spacing w:before="120" w:beforeLines="50" w:after="50"/>
        <w:ind w:firstLine="707" w:firstLineChars="221"/>
        <w:rPr>
          <w:rFonts w:ascii="宋体" w:hAnsi="宋体" w:cs="仿宋_GB2312"/>
          <w:bCs/>
          <w:sz w:val="32"/>
          <w:szCs w:val="32"/>
        </w:rPr>
      </w:pPr>
      <w:r>
        <w:rPr>
          <w:rFonts w:hint="eastAsia" w:ascii="宋体" w:hAnsi="宋体" w:cs="仿宋_GB2312"/>
          <w:bCs/>
          <w:sz w:val="32"/>
          <w:szCs w:val="32"/>
        </w:rPr>
        <w:t>项目名称：</w:t>
      </w:r>
    </w:p>
    <w:p w14:paraId="591D8A28">
      <w:pPr>
        <w:snapToGrid w:val="0"/>
        <w:spacing w:before="120" w:beforeLines="50" w:after="50"/>
        <w:ind w:firstLine="720" w:firstLineChars="225"/>
        <w:rPr>
          <w:rFonts w:ascii="宋体" w:hAnsi="宋体" w:cs="仿宋_GB2312"/>
          <w:bCs/>
          <w:sz w:val="32"/>
          <w:szCs w:val="32"/>
        </w:rPr>
      </w:pPr>
    </w:p>
    <w:p w14:paraId="71C5E884">
      <w:pPr>
        <w:snapToGrid w:val="0"/>
        <w:spacing w:before="120" w:beforeLines="50" w:after="50"/>
        <w:ind w:firstLine="707" w:firstLineChars="221"/>
        <w:rPr>
          <w:rFonts w:ascii="宋体" w:hAnsi="宋体" w:cs="仿宋_GB2312"/>
          <w:bCs/>
          <w:sz w:val="32"/>
          <w:szCs w:val="32"/>
        </w:rPr>
      </w:pPr>
      <w:r>
        <w:rPr>
          <w:rFonts w:hint="eastAsia" w:ascii="宋体" w:hAnsi="宋体" w:cs="仿宋_GB2312"/>
          <w:bCs/>
          <w:sz w:val="32"/>
          <w:szCs w:val="32"/>
        </w:rPr>
        <w:t>项目编号：</w:t>
      </w:r>
    </w:p>
    <w:p w14:paraId="6ED15E92">
      <w:pPr>
        <w:snapToGrid w:val="0"/>
        <w:spacing w:before="120" w:beforeLines="50" w:after="50"/>
        <w:ind w:firstLine="720" w:firstLineChars="225"/>
        <w:rPr>
          <w:rFonts w:ascii="宋体" w:hAnsi="宋体" w:cs="仿宋_GB2312"/>
          <w:bCs/>
          <w:sz w:val="32"/>
          <w:szCs w:val="32"/>
        </w:rPr>
      </w:pPr>
    </w:p>
    <w:p w14:paraId="724B8078">
      <w:pPr>
        <w:pStyle w:val="8"/>
        <w:snapToGrid w:val="0"/>
        <w:spacing w:before="50" w:after="50"/>
        <w:ind w:firstLine="0"/>
        <w:rPr>
          <w:rFonts w:ascii="宋体" w:hAnsi="宋体" w:cs="仿宋_GB2312"/>
          <w:bCs/>
          <w:sz w:val="32"/>
          <w:szCs w:val="32"/>
        </w:rPr>
      </w:pPr>
      <w:r>
        <w:rPr>
          <w:rFonts w:hint="eastAsia" w:ascii="宋体" w:hAnsi="宋体" w:cs="仿宋_GB2312"/>
          <w:bCs/>
          <w:sz w:val="32"/>
          <w:szCs w:val="32"/>
        </w:rPr>
        <w:t xml:space="preserve">    供应商名称：</w:t>
      </w:r>
    </w:p>
    <w:p w14:paraId="1E5BA3E8">
      <w:pPr>
        <w:snapToGrid w:val="0"/>
        <w:spacing w:before="120" w:beforeLines="50" w:after="50"/>
        <w:ind w:firstLine="640" w:firstLineChars="200"/>
        <w:rPr>
          <w:rFonts w:ascii="宋体" w:hAnsi="宋体" w:cs="仿宋_GB2312"/>
          <w:bCs/>
          <w:sz w:val="32"/>
          <w:szCs w:val="32"/>
        </w:rPr>
      </w:pPr>
    </w:p>
    <w:p w14:paraId="2102A93B">
      <w:pPr>
        <w:pStyle w:val="8"/>
        <w:snapToGrid w:val="0"/>
        <w:spacing w:before="50" w:after="50"/>
        <w:ind w:firstLine="720" w:firstLineChars="225"/>
        <w:rPr>
          <w:rFonts w:ascii="宋体" w:hAnsi="宋体" w:cs="仿宋_GB2312"/>
          <w:bCs/>
          <w:sz w:val="32"/>
          <w:szCs w:val="32"/>
        </w:rPr>
      </w:pPr>
    </w:p>
    <w:p w14:paraId="46475D2F">
      <w:pPr>
        <w:pStyle w:val="8"/>
        <w:snapToGrid w:val="0"/>
        <w:spacing w:before="50" w:after="50"/>
        <w:ind w:firstLine="720" w:firstLineChars="225"/>
        <w:rPr>
          <w:rFonts w:ascii="宋体" w:hAnsi="宋体" w:cs="仿宋_GB2312"/>
          <w:bCs/>
          <w:sz w:val="32"/>
          <w:szCs w:val="32"/>
        </w:rPr>
      </w:pPr>
    </w:p>
    <w:p w14:paraId="3E988118">
      <w:pPr>
        <w:pStyle w:val="8"/>
        <w:snapToGrid w:val="0"/>
        <w:spacing w:before="50" w:after="50"/>
        <w:ind w:firstLine="1280" w:firstLineChars="400"/>
        <w:rPr>
          <w:rFonts w:ascii="宋体" w:hAnsi="宋体" w:cs="仿宋_GB2312"/>
          <w:bCs/>
          <w:sz w:val="32"/>
          <w:szCs w:val="32"/>
        </w:rPr>
      </w:pPr>
    </w:p>
    <w:p w14:paraId="711379EE">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14:paraId="2CDB3C84">
      <w:pPr>
        <w:snapToGrid w:val="0"/>
        <w:spacing w:before="120" w:beforeLines="50" w:after="50"/>
        <w:rPr>
          <w:rFonts w:ascii="宋体" w:hAnsi="宋体"/>
          <w:b/>
          <w:bCs/>
          <w:sz w:val="32"/>
          <w:szCs w:val="32"/>
        </w:rPr>
      </w:pPr>
      <w:r>
        <w:rPr>
          <w:rFonts w:ascii="宋体" w:hAnsi="宋体"/>
          <w:sz w:val="24"/>
        </w:rPr>
        <w:br w:type="page"/>
      </w:r>
      <w:r>
        <w:rPr>
          <w:rFonts w:hint="eastAsia" w:ascii="宋体" w:hAnsi="宋体"/>
          <w:b/>
          <w:bCs/>
          <w:sz w:val="32"/>
          <w:szCs w:val="32"/>
        </w:rPr>
        <w:t>2.资格证明文件目录</w:t>
      </w:r>
    </w:p>
    <w:p w14:paraId="036F498C">
      <w:pPr>
        <w:snapToGrid w:val="0"/>
        <w:spacing w:before="120" w:beforeLines="50" w:after="50"/>
        <w:rPr>
          <w:rFonts w:ascii="宋体" w:hAnsi="宋体"/>
          <w:b/>
          <w:bCs/>
          <w:sz w:val="32"/>
          <w:szCs w:val="32"/>
        </w:rPr>
      </w:pPr>
      <w:r>
        <w:rPr>
          <w:rFonts w:hint="eastAsia" w:ascii="宋体" w:hAnsi="宋体"/>
          <w:b/>
          <w:bCs/>
          <w:sz w:val="32"/>
          <w:szCs w:val="32"/>
        </w:rPr>
        <w:t xml:space="preserve">  </w:t>
      </w:r>
      <w:r>
        <w:rPr>
          <w:rFonts w:hint="eastAsia" w:ascii="宋体" w:hAnsi="宋体"/>
          <w:sz w:val="32"/>
          <w:szCs w:val="32"/>
        </w:rPr>
        <w:t>根据磋商文件规定及供应商提供的材料自行编写目录（部分格式后附）。</w:t>
      </w:r>
    </w:p>
    <w:p w14:paraId="7962CD18">
      <w:pPr>
        <w:snapToGrid w:val="0"/>
        <w:spacing w:before="120" w:beforeLines="50" w:after="50"/>
        <w:rPr>
          <w:rFonts w:ascii="宋体" w:hAnsi="宋体"/>
          <w:sz w:val="24"/>
          <w:szCs w:val="20"/>
        </w:rPr>
      </w:pPr>
      <w:r>
        <w:rPr>
          <w:rFonts w:ascii="宋体" w:hAnsi="宋体"/>
          <w:sz w:val="24"/>
          <w:szCs w:val="20"/>
        </w:rPr>
        <w:t xml:space="preserve"> </w:t>
      </w:r>
    </w:p>
    <w:p w14:paraId="7B1CECE4">
      <w:pPr>
        <w:spacing w:line="300" w:lineRule="auto"/>
        <w:rPr>
          <w:rFonts w:ascii="宋体" w:hAnsi="宋体"/>
          <w:szCs w:val="21"/>
        </w:rPr>
      </w:pPr>
    </w:p>
    <w:p w14:paraId="1A5D32EA">
      <w:pPr>
        <w:spacing w:line="300" w:lineRule="auto"/>
        <w:rPr>
          <w:rFonts w:ascii="宋体" w:hAnsi="宋体"/>
          <w:szCs w:val="21"/>
        </w:rPr>
      </w:pPr>
    </w:p>
    <w:p w14:paraId="533F3E32">
      <w:pPr>
        <w:spacing w:line="300" w:lineRule="auto"/>
        <w:rPr>
          <w:rFonts w:ascii="宋体" w:hAnsi="宋体"/>
          <w:szCs w:val="21"/>
        </w:rPr>
      </w:pPr>
    </w:p>
    <w:p w14:paraId="5FD06B09">
      <w:pPr>
        <w:spacing w:line="300" w:lineRule="auto"/>
        <w:rPr>
          <w:rFonts w:ascii="宋体" w:hAnsi="宋体"/>
          <w:szCs w:val="21"/>
        </w:rPr>
      </w:pPr>
    </w:p>
    <w:p w14:paraId="45F03217">
      <w:pPr>
        <w:spacing w:line="300" w:lineRule="auto"/>
        <w:rPr>
          <w:rFonts w:ascii="宋体" w:hAnsi="宋体"/>
          <w:szCs w:val="21"/>
        </w:rPr>
      </w:pPr>
    </w:p>
    <w:p w14:paraId="26D4AABD">
      <w:pPr>
        <w:spacing w:line="300" w:lineRule="auto"/>
        <w:rPr>
          <w:rFonts w:ascii="宋体" w:hAnsi="宋体"/>
          <w:szCs w:val="21"/>
        </w:rPr>
      </w:pPr>
    </w:p>
    <w:p w14:paraId="10900DD4">
      <w:pPr>
        <w:spacing w:line="300" w:lineRule="auto"/>
        <w:rPr>
          <w:rFonts w:ascii="宋体" w:hAnsi="宋体"/>
          <w:szCs w:val="21"/>
        </w:rPr>
      </w:pPr>
    </w:p>
    <w:p w14:paraId="150E57F4">
      <w:pPr>
        <w:spacing w:line="300" w:lineRule="auto"/>
        <w:rPr>
          <w:rFonts w:ascii="宋体" w:hAnsi="宋体"/>
          <w:szCs w:val="21"/>
        </w:rPr>
      </w:pPr>
    </w:p>
    <w:p w14:paraId="355AC9D6">
      <w:pPr>
        <w:spacing w:line="300" w:lineRule="auto"/>
        <w:rPr>
          <w:rFonts w:ascii="宋体" w:hAnsi="宋体"/>
          <w:szCs w:val="21"/>
        </w:rPr>
      </w:pPr>
    </w:p>
    <w:p w14:paraId="690ECD5B">
      <w:pPr>
        <w:spacing w:line="300" w:lineRule="auto"/>
        <w:rPr>
          <w:rFonts w:ascii="宋体" w:hAnsi="宋体"/>
          <w:szCs w:val="21"/>
        </w:rPr>
      </w:pPr>
    </w:p>
    <w:p w14:paraId="6435E6E6">
      <w:pPr>
        <w:spacing w:line="300" w:lineRule="auto"/>
        <w:rPr>
          <w:rFonts w:ascii="宋体" w:hAnsi="宋体"/>
          <w:szCs w:val="21"/>
        </w:rPr>
      </w:pPr>
    </w:p>
    <w:p w14:paraId="65B2F146">
      <w:pPr>
        <w:spacing w:line="300" w:lineRule="auto"/>
        <w:rPr>
          <w:rFonts w:ascii="宋体" w:hAnsi="宋体"/>
          <w:szCs w:val="21"/>
        </w:rPr>
      </w:pPr>
    </w:p>
    <w:p w14:paraId="35AD42FC">
      <w:pPr>
        <w:spacing w:line="300" w:lineRule="auto"/>
        <w:rPr>
          <w:rFonts w:ascii="宋体" w:hAnsi="宋体"/>
          <w:szCs w:val="21"/>
        </w:rPr>
      </w:pPr>
    </w:p>
    <w:p w14:paraId="3442B81C">
      <w:pPr>
        <w:spacing w:line="300" w:lineRule="auto"/>
        <w:rPr>
          <w:rFonts w:ascii="宋体" w:hAnsi="宋体"/>
          <w:szCs w:val="21"/>
        </w:rPr>
      </w:pPr>
    </w:p>
    <w:p w14:paraId="43625065">
      <w:pPr>
        <w:spacing w:line="300" w:lineRule="auto"/>
        <w:rPr>
          <w:rFonts w:ascii="宋体" w:hAnsi="宋体"/>
          <w:szCs w:val="21"/>
        </w:rPr>
      </w:pPr>
    </w:p>
    <w:p w14:paraId="40AEBC0E">
      <w:pPr>
        <w:spacing w:line="320" w:lineRule="exact"/>
        <w:jc w:val="left"/>
        <w:rPr>
          <w:rFonts w:ascii="宋体" w:hAnsi="宋体"/>
          <w:szCs w:val="21"/>
        </w:rPr>
      </w:pPr>
      <w:r>
        <w:rPr>
          <w:rFonts w:ascii="宋体" w:hAnsi="宋体"/>
          <w:szCs w:val="21"/>
        </w:rPr>
        <w:br w:type="page"/>
      </w:r>
      <w:r>
        <w:rPr>
          <w:rFonts w:hint="eastAsia" w:ascii="宋体" w:hAnsi="宋体"/>
          <w:szCs w:val="21"/>
        </w:rPr>
        <w:t xml:space="preserve"> </w:t>
      </w:r>
    </w:p>
    <w:p w14:paraId="7365A7FD">
      <w:pPr>
        <w:spacing w:line="320" w:lineRule="exact"/>
        <w:jc w:val="center"/>
        <w:rPr>
          <w:rFonts w:ascii="宋体" w:hAnsi="宋体"/>
          <w:b/>
          <w:sz w:val="32"/>
          <w:szCs w:val="32"/>
        </w:rPr>
      </w:pPr>
      <w:r>
        <w:rPr>
          <w:rFonts w:hint="eastAsia" w:ascii="宋体" w:hAnsi="宋体"/>
          <w:b/>
          <w:sz w:val="32"/>
          <w:szCs w:val="32"/>
        </w:rPr>
        <w:t>供应商直接控股、管理关系信息表</w:t>
      </w:r>
    </w:p>
    <w:p w14:paraId="03F1D904">
      <w:pPr>
        <w:snapToGrid w:val="0"/>
        <w:spacing w:before="120" w:beforeLines="50" w:after="50" w:line="360" w:lineRule="auto"/>
        <w:jc w:val="center"/>
        <w:rPr>
          <w:rFonts w:ascii="宋体" w:hAnsi="宋体"/>
          <w:b/>
          <w:sz w:val="24"/>
        </w:rPr>
      </w:pPr>
    </w:p>
    <w:p w14:paraId="5DE691E0">
      <w:pPr>
        <w:spacing w:line="320" w:lineRule="exact"/>
        <w:jc w:val="center"/>
        <w:rPr>
          <w:rFonts w:ascii="宋体" w:hAnsi="宋体"/>
          <w:b/>
          <w:sz w:val="32"/>
          <w:szCs w:val="32"/>
        </w:rPr>
      </w:pPr>
      <w:r>
        <w:rPr>
          <w:rFonts w:hint="eastAsia" w:ascii="宋体" w:hAnsi="宋体"/>
          <w:b/>
          <w:sz w:val="32"/>
          <w:szCs w:val="32"/>
        </w:rPr>
        <w:t>（1）供应商直接控股股东信息表</w:t>
      </w:r>
    </w:p>
    <w:p w14:paraId="1849A3DE">
      <w:pPr>
        <w:snapToGrid w:val="0"/>
        <w:spacing w:before="50" w:after="120" w:afterLines="50" w:line="360" w:lineRule="auto"/>
        <w:jc w:val="center"/>
        <w:rPr>
          <w:rFonts w:ascii="宋体" w:hAnsi="宋体"/>
          <w:b/>
          <w:sz w:val="24"/>
        </w:rPr>
      </w:pPr>
    </w:p>
    <w:tbl>
      <w:tblPr>
        <w:tblStyle w:val="29"/>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6A133647">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F44C17F">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58FB133">
            <w:pPr>
              <w:widowControl/>
              <w:spacing w:line="360" w:lineRule="auto"/>
              <w:jc w:val="center"/>
              <w:rPr>
                <w:rFonts w:ascii="宋体" w:hAnsi="宋体" w:cs="宋体"/>
                <w:b/>
                <w:bCs/>
                <w:kern w:val="0"/>
                <w:sz w:val="24"/>
              </w:rPr>
            </w:pPr>
            <w:r>
              <w:rPr>
                <w:rFonts w:hint="eastAsia" w:ascii="宋体" w:hAnsi="宋体" w:cs="宋体"/>
                <w:b/>
                <w:bCs/>
                <w:kern w:val="0"/>
                <w:sz w:val="24"/>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CD0A14D">
            <w:pPr>
              <w:widowControl/>
              <w:spacing w:line="360" w:lineRule="auto"/>
              <w:jc w:val="center"/>
              <w:rPr>
                <w:rFonts w:ascii="宋体" w:hAnsi="宋体" w:cs="宋体"/>
                <w:b/>
                <w:bCs/>
                <w:kern w:val="0"/>
                <w:sz w:val="24"/>
              </w:rPr>
            </w:pPr>
            <w:r>
              <w:rPr>
                <w:rFonts w:hint="eastAsia" w:ascii="宋体" w:hAnsi="宋体" w:cs="宋体"/>
                <w:b/>
                <w:bCs/>
                <w:kern w:val="0"/>
                <w:sz w:val="24"/>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771B5C8">
            <w:pPr>
              <w:widowControl/>
              <w:spacing w:line="360" w:lineRule="auto"/>
              <w:jc w:val="center"/>
              <w:rPr>
                <w:rFonts w:ascii="宋体" w:hAnsi="宋体" w:cs="宋体"/>
                <w:b/>
                <w:bCs/>
                <w:kern w:val="0"/>
                <w:sz w:val="24"/>
              </w:rPr>
            </w:pPr>
            <w:r>
              <w:rPr>
                <w:rFonts w:hint="eastAsia" w:ascii="宋体" w:hAnsi="宋体" w:cs="宋体"/>
                <w:b/>
                <w:bCs/>
                <w:kern w:val="0"/>
                <w:sz w:val="24"/>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66B3F2C">
            <w:pPr>
              <w:widowControl/>
              <w:spacing w:line="360" w:lineRule="auto"/>
              <w:jc w:val="center"/>
              <w:rPr>
                <w:rFonts w:ascii="宋体" w:hAnsi="宋体" w:cs="宋体"/>
                <w:b/>
                <w:bCs/>
                <w:kern w:val="0"/>
                <w:sz w:val="24"/>
              </w:rPr>
            </w:pPr>
            <w:r>
              <w:rPr>
                <w:rFonts w:hint="eastAsia" w:ascii="宋体" w:hAnsi="宋体" w:cs="宋体"/>
                <w:b/>
                <w:bCs/>
                <w:kern w:val="0"/>
                <w:sz w:val="24"/>
              </w:rPr>
              <w:t>备注</w:t>
            </w:r>
          </w:p>
        </w:tc>
      </w:tr>
      <w:tr w14:paraId="59874932">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001F642">
            <w:pPr>
              <w:widowControl/>
              <w:spacing w:line="360" w:lineRule="auto"/>
              <w:jc w:val="center"/>
              <w:rPr>
                <w:rFonts w:ascii="宋体" w:hAnsi="宋体" w:cs="宋体"/>
                <w:kern w:val="0"/>
                <w:sz w:val="24"/>
              </w:rPr>
            </w:pPr>
            <w:r>
              <w:rPr>
                <w:rFonts w:hint="eastAsia" w:ascii="宋体" w:hAnsi="宋体" w:cs="宋体"/>
                <w:kern w:val="0"/>
                <w:sz w:val="24"/>
              </w:rPr>
              <w:t>1</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1FC034E">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9B5D612">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E1E5841">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5CDDC51">
            <w:pPr>
              <w:widowControl/>
              <w:spacing w:line="360" w:lineRule="auto"/>
              <w:jc w:val="center"/>
              <w:rPr>
                <w:rFonts w:ascii="宋体" w:hAnsi="宋体" w:cs="宋体"/>
                <w:kern w:val="0"/>
                <w:sz w:val="24"/>
              </w:rPr>
            </w:pPr>
          </w:p>
        </w:tc>
      </w:tr>
      <w:tr w14:paraId="6212CAF6">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3CE3D26">
            <w:pPr>
              <w:widowControl/>
              <w:spacing w:line="360" w:lineRule="auto"/>
              <w:jc w:val="center"/>
              <w:rPr>
                <w:rFonts w:ascii="宋体" w:hAnsi="宋体" w:cs="宋体"/>
                <w:kern w:val="0"/>
                <w:sz w:val="24"/>
              </w:rPr>
            </w:pPr>
            <w:r>
              <w:rPr>
                <w:rFonts w:hint="eastAsia" w:ascii="宋体" w:hAnsi="宋体" w:cs="宋体"/>
                <w:kern w:val="0"/>
                <w:sz w:val="24"/>
              </w:rPr>
              <w:t>2</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02DF633">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ADD030C">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53717E3">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A92F1B8">
            <w:pPr>
              <w:widowControl/>
              <w:spacing w:line="360" w:lineRule="auto"/>
              <w:jc w:val="center"/>
              <w:rPr>
                <w:rFonts w:ascii="宋体" w:hAnsi="宋体" w:cs="宋体"/>
                <w:kern w:val="0"/>
                <w:sz w:val="24"/>
              </w:rPr>
            </w:pPr>
          </w:p>
        </w:tc>
      </w:tr>
      <w:tr w14:paraId="0C4C061A">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445D586">
            <w:pPr>
              <w:widowControl/>
              <w:spacing w:line="360" w:lineRule="auto"/>
              <w:jc w:val="center"/>
              <w:rPr>
                <w:rFonts w:ascii="宋体" w:hAnsi="宋体" w:cs="宋体"/>
                <w:kern w:val="0"/>
                <w:sz w:val="24"/>
              </w:rPr>
            </w:pPr>
            <w:r>
              <w:rPr>
                <w:rFonts w:hint="eastAsia" w:ascii="宋体" w:hAnsi="宋体" w:cs="宋体"/>
                <w:kern w:val="0"/>
                <w:sz w:val="24"/>
              </w:rPr>
              <w:t>3</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4A33D96">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548D75A">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526699D">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5212429">
            <w:pPr>
              <w:widowControl/>
              <w:spacing w:line="360" w:lineRule="auto"/>
              <w:jc w:val="center"/>
              <w:rPr>
                <w:rFonts w:ascii="宋体" w:hAnsi="宋体" w:cs="宋体"/>
                <w:kern w:val="0"/>
                <w:sz w:val="24"/>
              </w:rPr>
            </w:pPr>
          </w:p>
        </w:tc>
      </w:tr>
      <w:tr w14:paraId="7842082D">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A41D449">
            <w:pPr>
              <w:widowControl/>
              <w:spacing w:line="360" w:lineRule="auto"/>
              <w:jc w:val="center"/>
              <w:rPr>
                <w:rFonts w:ascii="宋体" w:hAnsi="宋体" w:cs="宋体"/>
                <w:kern w:val="0"/>
                <w:sz w:val="24"/>
              </w:rPr>
            </w:pPr>
            <w:r>
              <w:rPr>
                <w:rFonts w:hint="eastAsia" w:ascii="宋体" w:hAnsi="宋体" w:cs="宋体"/>
                <w:kern w:val="0"/>
                <w:sz w:val="24"/>
              </w:rPr>
              <w:t>……</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B8F345D">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205CB9C">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A34B6D9">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E759DB5">
            <w:pPr>
              <w:widowControl/>
              <w:spacing w:line="360" w:lineRule="auto"/>
              <w:jc w:val="center"/>
              <w:rPr>
                <w:rFonts w:ascii="宋体" w:hAnsi="宋体" w:cs="宋体"/>
                <w:kern w:val="0"/>
                <w:sz w:val="24"/>
              </w:rPr>
            </w:pPr>
          </w:p>
        </w:tc>
      </w:tr>
    </w:tbl>
    <w:p w14:paraId="57E4D8D3">
      <w:pPr>
        <w:spacing w:line="360" w:lineRule="auto"/>
        <w:contextualSpacing/>
        <w:jc w:val="left"/>
        <w:rPr>
          <w:rFonts w:ascii="宋体" w:hAnsi="宋体" w:cs="宋体"/>
          <w:sz w:val="24"/>
        </w:rPr>
      </w:pPr>
      <w:r>
        <w:rPr>
          <w:rFonts w:hint="eastAsia" w:ascii="宋体" w:hAnsi="宋体" w:cs="宋体"/>
          <w:sz w:val="24"/>
        </w:rPr>
        <w:t>注：</w:t>
      </w:r>
    </w:p>
    <w:p w14:paraId="7ACE057E">
      <w:pPr>
        <w:spacing w:line="360" w:lineRule="auto"/>
        <w:ind w:firstLine="480" w:firstLineChars="200"/>
        <w:contextualSpacing/>
        <w:jc w:val="left"/>
        <w:rPr>
          <w:rFonts w:ascii="宋体" w:hAnsi="宋体" w:cs="宋体"/>
          <w:sz w:val="24"/>
        </w:rPr>
      </w:pPr>
      <w:r>
        <w:rPr>
          <w:rFonts w:hint="eastAsia" w:ascii="宋体" w:hAnsi="宋体" w:cs="宋体"/>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D685643">
      <w:pPr>
        <w:spacing w:line="360" w:lineRule="auto"/>
        <w:ind w:firstLine="480" w:firstLineChars="200"/>
        <w:contextualSpacing/>
        <w:jc w:val="left"/>
        <w:rPr>
          <w:rFonts w:ascii="宋体" w:hAnsi="宋体" w:cs="宋体"/>
          <w:sz w:val="24"/>
        </w:rPr>
      </w:pPr>
      <w:r>
        <w:rPr>
          <w:rFonts w:hint="eastAsia" w:ascii="宋体" w:hAnsi="宋体" w:cs="宋体"/>
          <w:sz w:val="24"/>
        </w:rPr>
        <w:t>2.本表所指的控股关系仅限于直接控股关系，不包括间接的控股关系。公司实际控制人与公司之间的关系不属于本表所指的直接控股关系。</w:t>
      </w:r>
    </w:p>
    <w:p w14:paraId="09D995E7">
      <w:pPr>
        <w:spacing w:line="360" w:lineRule="auto"/>
        <w:ind w:firstLine="480" w:firstLineChars="200"/>
        <w:contextualSpacing/>
        <w:jc w:val="left"/>
        <w:rPr>
          <w:rFonts w:ascii="宋体" w:hAnsi="宋体" w:cs="宋体"/>
          <w:sz w:val="24"/>
        </w:rPr>
      </w:pPr>
      <w:r>
        <w:rPr>
          <w:rFonts w:hint="eastAsia" w:ascii="宋体" w:hAnsi="宋体" w:cs="宋体"/>
          <w:sz w:val="24"/>
        </w:rPr>
        <w:t>3.供应商不存在直接控股股东的，</w:t>
      </w:r>
      <w:r>
        <w:rPr>
          <w:rFonts w:hint="eastAsia" w:ascii="宋体" w:hAnsi="宋体"/>
          <w:sz w:val="24"/>
        </w:rPr>
        <w:t>则在“直接控股股东名称”填“无”</w:t>
      </w:r>
      <w:r>
        <w:rPr>
          <w:rFonts w:hint="eastAsia" w:ascii="宋体" w:hAnsi="宋体" w:cs="宋体"/>
          <w:sz w:val="24"/>
        </w:rPr>
        <w:t>。</w:t>
      </w:r>
    </w:p>
    <w:p w14:paraId="24101802">
      <w:pPr>
        <w:spacing w:line="360" w:lineRule="auto"/>
        <w:ind w:firstLine="420" w:firstLineChars="200"/>
        <w:contextualSpacing/>
        <w:jc w:val="left"/>
        <w:rPr>
          <w:rFonts w:ascii="宋体" w:hAnsi="宋体" w:cs="宋体"/>
          <w:szCs w:val="21"/>
        </w:rPr>
      </w:pPr>
    </w:p>
    <w:p w14:paraId="4FE77FBA">
      <w:pPr>
        <w:spacing w:line="360" w:lineRule="auto"/>
        <w:ind w:firstLine="560" w:firstLineChars="200"/>
        <w:contextualSpacing/>
        <w:jc w:val="left"/>
        <w:rPr>
          <w:rFonts w:ascii="宋体" w:hAnsi="宋体" w:cs="宋体"/>
          <w:sz w:val="28"/>
          <w:szCs w:val="28"/>
        </w:rPr>
      </w:pPr>
    </w:p>
    <w:p w14:paraId="61C3B344">
      <w:pPr>
        <w:spacing w:line="360" w:lineRule="auto"/>
        <w:ind w:right="480"/>
        <w:contextualSpacing/>
        <w:jc w:val="center"/>
        <w:rPr>
          <w:rFonts w:ascii="宋体" w:hAnsi="宋体" w:cs="宋体"/>
          <w:sz w:val="24"/>
          <w:u w:val="single"/>
        </w:rPr>
      </w:pPr>
      <w:r>
        <w:rPr>
          <w:rFonts w:hint="eastAsia" w:ascii="宋体" w:hAnsi="宋体" w:cs="宋体"/>
          <w:sz w:val="24"/>
        </w:rPr>
        <w:t xml:space="preserve"> </w:t>
      </w:r>
      <w:r>
        <w:rPr>
          <w:rFonts w:ascii="宋体" w:hAnsi="宋体" w:cs="宋体"/>
          <w:sz w:val="24"/>
        </w:rPr>
        <w:t xml:space="preserve">       </w:t>
      </w:r>
      <w:r>
        <w:rPr>
          <w:rFonts w:hint="eastAsia" w:ascii="宋体" w:hAnsi="宋体" w:cs="宋体"/>
          <w:sz w:val="24"/>
        </w:rPr>
        <w:t>法定代表人或者委托代理人</w:t>
      </w:r>
      <w:r>
        <w:rPr>
          <w:rFonts w:hint="eastAsia" w:ascii="宋体" w:hAnsi="宋体"/>
          <w:sz w:val="24"/>
        </w:rPr>
        <w:t>签字（或者电子签名）</w:t>
      </w:r>
      <w:r>
        <w:rPr>
          <w:rFonts w:hint="eastAsia" w:ascii="宋体" w:hAnsi="宋体" w:cs="宋体"/>
          <w:sz w:val="24"/>
        </w:rPr>
        <w:t>：</w:t>
      </w:r>
      <w:r>
        <w:rPr>
          <w:rFonts w:hint="eastAsia" w:ascii="宋体" w:hAnsi="宋体" w:cs="宋体"/>
          <w:sz w:val="24"/>
          <w:u w:val="single"/>
        </w:rPr>
        <w:t xml:space="preserve"> </w:t>
      </w:r>
      <w:r>
        <w:rPr>
          <w:rFonts w:ascii="宋体" w:hAnsi="宋体" w:cs="宋体"/>
          <w:sz w:val="24"/>
          <w:u w:val="single"/>
        </w:rPr>
        <w:t xml:space="preserve">                   </w:t>
      </w:r>
    </w:p>
    <w:p w14:paraId="36E1DE49">
      <w:pPr>
        <w:spacing w:line="360" w:lineRule="auto"/>
        <w:ind w:right="480" w:firstLine="3000" w:firstLineChars="1250"/>
        <w:contextualSpacing/>
        <w:rPr>
          <w:rFonts w:ascii="宋体" w:hAnsi="宋体" w:cs="宋体"/>
          <w:sz w:val="24"/>
          <w:u w:val="single"/>
        </w:rPr>
      </w:pPr>
      <w:r>
        <w:rPr>
          <w:rFonts w:hint="eastAsia" w:ascii="宋体" w:hAnsi="宋体" w:cs="宋体"/>
          <w:sz w:val="24"/>
        </w:rPr>
        <w:t>供应商</w:t>
      </w:r>
      <w:r>
        <w:rPr>
          <w:rFonts w:hint="eastAsia" w:ascii="宋体" w:hAnsi="宋体"/>
          <w:sz w:val="24"/>
        </w:rPr>
        <w:t>电子签章</w:t>
      </w:r>
      <w:r>
        <w:rPr>
          <w:rFonts w:hint="eastAsia" w:ascii="宋体" w:hAnsi="宋体" w:cs="宋体"/>
          <w:sz w:val="24"/>
        </w:rPr>
        <w:t xml:space="preserve">： </w:t>
      </w:r>
      <w:r>
        <w:rPr>
          <w:rFonts w:hint="eastAsia" w:ascii="宋体" w:hAnsi="宋体" w:cs="宋体"/>
          <w:sz w:val="24"/>
          <w:u w:val="single"/>
        </w:rPr>
        <w:t xml:space="preserve">                              </w:t>
      </w:r>
    </w:p>
    <w:p w14:paraId="79D6C99E">
      <w:pPr>
        <w:spacing w:line="360" w:lineRule="auto"/>
        <w:ind w:firstLine="480" w:firstLineChars="200"/>
        <w:contextualSpacing/>
        <w:jc w:val="right"/>
        <w:rPr>
          <w:rFonts w:ascii="宋体" w:hAnsi="宋体" w:cs="宋体"/>
          <w:sz w:val="28"/>
          <w:szCs w:val="28"/>
        </w:rPr>
      </w:pPr>
      <w:r>
        <w:rPr>
          <w:rFonts w:hint="eastAsia" w:ascii="宋体" w:hAnsi="宋体" w:cs="宋体"/>
          <w:sz w:val="24"/>
        </w:rPr>
        <w:t>年    月    日</w:t>
      </w:r>
    </w:p>
    <w:p w14:paraId="5C2860D1">
      <w:pPr>
        <w:snapToGrid w:val="0"/>
        <w:jc w:val="center"/>
        <w:rPr>
          <w:rFonts w:ascii="宋体" w:hAnsi="宋体"/>
          <w:b/>
          <w:sz w:val="28"/>
          <w:szCs w:val="28"/>
        </w:rPr>
      </w:pPr>
      <w:r>
        <w:rPr>
          <w:rFonts w:ascii="宋体" w:hAnsi="宋体"/>
          <w:b/>
          <w:sz w:val="28"/>
          <w:szCs w:val="28"/>
        </w:rPr>
        <w:br w:type="page"/>
      </w:r>
    </w:p>
    <w:p w14:paraId="5C7F9817">
      <w:pPr>
        <w:spacing w:line="320" w:lineRule="exact"/>
        <w:jc w:val="center"/>
        <w:rPr>
          <w:rFonts w:ascii="宋体" w:hAnsi="宋体"/>
          <w:b/>
          <w:sz w:val="32"/>
          <w:szCs w:val="32"/>
        </w:rPr>
      </w:pPr>
      <w:r>
        <w:rPr>
          <w:rFonts w:hint="eastAsia" w:ascii="宋体" w:hAnsi="宋体"/>
          <w:b/>
          <w:sz w:val="32"/>
          <w:szCs w:val="32"/>
        </w:rPr>
        <w:t>（2）供应商直接管理关系信息表</w:t>
      </w:r>
    </w:p>
    <w:p w14:paraId="68B74C8F">
      <w:pPr>
        <w:snapToGrid w:val="0"/>
        <w:spacing w:line="360" w:lineRule="auto"/>
        <w:jc w:val="center"/>
        <w:rPr>
          <w:rFonts w:ascii="宋体" w:hAnsi="宋体"/>
          <w:b/>
          <w:sz w:val="24"/>
        </w:rPr>
      </w:pPr>
    </w:p>
    <w:tbl>
      <w:tblPr>
        <w:tblStyle w:val="29"/>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6A4ACF5F">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A2F8F83">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86EC94E">
            <w:pPr>
              <w:widowControl/>
              <w:spacing w:line="360" w:lineRule="auto"/>
              <w:jc w:val="center"/>
              <w:rPr>
                <w:rFonts w:ascii="宋体" w:hAnsi="宋体" w:cs="宋体"/>
                <w:b/>
                <w:bCs/>
                <w:kern w:val="0"/>
                <w:sz w:val="24"/>
              </w:rPr>
            </w:pPr>
            <w:r>
              <w:rPr>
                <w:rFonts w:hint="eastAsia" w:ascii="宋体" w:hAnsi="宋体" w:cs="宋体"/>
                <w:b/>
                <w:bCs/>
                <w:kern w:val="0"/>
                <w:sz w:val="24"/>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0EF02BC">
            <w:pPr>
              <w:widowControl/>
              <w:spacing w:line="360" w:lineRule="auto"/>
              <w:jc w:val="center"/>
              <w:rPr>
                <w:rFonts w:ascii="宋体" w:hAnsi="宋体" w:cs="宋体"/>
                <w:b/>
                <w:bCs/>
                <w:kern w:val="0"/>
                <w:sz w:val="24"/>
              </w:rPr>
            </w:pPr>
            <w:r>
              <w:rPr>
                <w:rFonts w:hint="eastAsia" w:ascii="宋体" w:hAnsi="宋体" w:cs="宋体"/>
                <w:b/>
                <w:bCs/>
                <w:kern w:val="0"/>
                <w:sz w:val="24"/>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E7F7F6F">
            <w:pPr>
              <w:widowControl/>
              <w:spacing w:line="360" w:lineRule="auto"/>
              <w:jc w:val="center"/>
              <w:rPr>
                <w:rFonts w:ascii="宋体" w:hAnsi="宋体" w:cs="宋体"/>
                <w:b/>
                <w:bCs/>
                <w:kern w:val="0"/>
                <w:sz w:val="24"/>
              </w:rPr>
            </w:pPr>
            <w:r>
              <w:rPr>
                <w:rFonts w:hint="eastAsia" w:ascii="宋体" w:hAnsi="宋体" w:cs="宋体"/>
                <w:b/>
                <w:bCs/>
                <w:kern w:val="0"/>
                <w:sz w:val="24"/>
              </w:rPr>
              <w:t>备注</w:t>
            </w:r>
          </w:p>
        </w:tc>
      </w:tr>
      <w:tr w14:paraId="59CEE424">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B5626DA">
            <w:pPr>
              <w:widowControl/>
              <w:spacing w:line="360" w:lineRule="auto"/>
              <w:jc w:val="center"/>
              <w:rPr>
                <w:rFonts w:ascii="宋体" w:hAnsi="宋体" w:cs="宋体"/>
                <w:kern w:val="0"/>
                <w:sz w:val="24"/>
              </w:rPr>
            </w:pPr>
            <w:r>
              <w:rPr>
                <w:rFonts w:hint="eastAsia" w:ascii="宋体" w:hAnsi="宋体" w:cs="宋体"/>
                <w:kern w:val="0"/>
                <w:sz w:val="24"/>
              </w:rPr>
              <w:t>1</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9D48FFE">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CA84851">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A1CD8F1">
            <w:pPr>
              <w:widowControl/>
              <w:spacing w:line="360" w:lineRule="auto"/>
              <w:jc w:val="center"/>
              <w:rPr>
                <w:rFonts w:ascii="宋体" w:hAnsi="宋体" w:cs="宋体"/>
                <w:kern w:val="0"/>
                <w:sz w:val="24"/>
              </w:rPr>
            </w:pPr>
          </w:p>
        </w:tc>
      </w:tr>
      <w:tr w14:paraId="52549217">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FD27CB9">
            <w:pPr>
              <w:widowControl/>
              <w:spacing w:line="360" w:lineRule="auto"/>
              <w:jc w:val="center"/>
              <w:rPr>
                <w:rFonts w:ascii="宋体" w:hAnsi="宋体" w:cs="宋体"/>
                <w:kern w:val="0"/>
                <w:sz w:val="24"/>
              </w:rPr>
            </w:pPr>
            <w:r>
              <w:rPr>
                <w:rFonts w:hint="eastAsia" w:ascii="宋体" w:hAnsi="宋体" w:cs="宋体"/>
                <w:kern w:val="0"/>
                <w:sz w:val="24"/>
              </w:rPr>
              <w:t>2</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47AB162">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B6A3D79">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64D9EA6">
            <w:pPr>
              <w:widowControl/>
              <w:spacing w:line="360" w:lineRule="auto"/>
              <w:jc w:val="center"/>
              <w:rPr>
                <w:rFonts w:ascii="宋体" w:hAnsi="宋体" w:cs="宋体"/>
                <w:kern w:val="0"/>
                <w:sz w:val="24"/>
              </w:rPr>
            </w:pPr>
          </w:p>
        </w:tc>
      </w:tr>
      <w:tr w14:paraId="7816A723">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B48CC92">
            <w:pPr>
              <w:widowControl/>
              <w:spacing w:line="360" w:lineRule="auto"/>
              <w:jc w:val="center"/>
              <w:rPr>
                <w:rFonts w:ascii="宋体" w:hAnsi="宋体" w:cs="宋体"/>
                <w:kern w:val="0"/>
                <w:sz w:val="24"/>
              </w:rPr>
            </w:pPr>
            <w:r>
              <w:rPr>
                <w:rFonts w:hint="eastAsia" w:ascii="宋体" w:hAnsi="宋体" w:cs="宋体"/>
                <w:kern w:val="0"/>
                <w:sz w:val="24"/>
              </w:rPr>
              <w:t>3</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A1A362B">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B21F684">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B356695">
            <w:pPr>
              <w:widowControl/>
              <w:spacing w:line="360" w:lineRule="auto"/>
              <w:jc w:val="center"/>
              <w:rPr>
                <w:rFonts w:ascii="宋体" w:hAnsi="宋体" w:cs="宋体"/>
                <w:kern w:val="0"/>
                <w:sz w:val="24"/>
              </w:rPr>
            </w:pPr>
          </w:p>
        </w:tc>
      </w:tr>
      <w:tr w14:paraId="32A1E352">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0D6C86D">
            <w:pPr>
              <w:widowControl/>
              <w:spacing w:line="360" w:lineRule="auto"/>
              <w:jc w:val="center"/>
              <w:rPr>
                <w:rFonts w:ascii="宋体" w:hAnsi="宋体" w:cs="宋体"/>
                <w:kern w:val="0"/>
                <w:sz w:val="24"/>
              </w:rPr>
            </w:pPr>
            <w:r>
              <w:rPr>
                <w:rFonts w:hint="eastAsia" w:ascii="宋体" w:hAnsi="宋体" w:cs="宋体"/>
                <w:kern w:val="0"/>
                <w:sz w:val="24"/>
              </w:rPr>
              <w:t>……</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2A53823">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E3CBBB5">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15FD957">
            <w:pPr>
              <w:widowControl/>
              <w:spacing w:line="360" w:lineRule="auto"/>
              <w:jc w:val="center"/>
              <w:rPr>
                <w:rFonts w:ascii="宋体" w:hAnsi="宋体" w:cs="宋体"/>
                <w:kern w:val="0"/>
                <w:sz w:val="24"/>
              </w:rPr>
            </w:pPr>
          </w:p>
        </w:tc>
      </w:tr>
    </w:tbl>
    <w:p w14:paraId="4D5DE835">
      <w:pPr>
        <w:spacing w:line="360" w:lineRule="auto"/>
        <w:contextualSpacing/>
        <w:jc w:val="left"/>
        <w:rPr>
          <w:rFonts w:ascii="宋体" w:hAnsi="宋体"/>
          <w:sz w:val="24"/>
        </w:rPr>
      </w:pPr>
      <w:r>
        <w:rPr>
          <w:rFonts w:hint="eastAsia" w:ascii="宋体" w:hAnsi="宋体"/>
          <w:sz w:val="24"/>
        </w:rPr>
        <w:t>注：</w:t>
      </w:r>
    </w:p>
    <w:p w14:paraId="22E7600B">
      <w:pPr>
        <w:spacing w:line="360" w:lineRule="auto"/>
        <w:ind w:firstLine="480" w:firstLineChars="200"/>
        <w:contextualSpacing/>
        <w:jc w:val="left"/>
        <w:rPr>
          <w:rFonts w:ascii="宋体" w:hAnsi="宋体"/>
          <w:sz w:val="24"/>
        </w:rPr>
      </w:pPr>
      <w:r>
        <w:rPr>
          <w:rFonts w:hint="eastAsia" w:ascii="宋体" w:hAnsi="宋体"/>
          <w:sz w:val="24"/>
        </w:rPr>
        <w:t>1.管理关系：是指不具有出资持股关系的其他单位之间存在的管理与被管理关系，如一些上下级关系的事业单位和团体组织。</w:t>
      </w:r>
    </w:p>
    <w:p w14:paraId="102E5902">
      <w:pPr>
        <w:spacing w:line="360" w:lineRule="auto"/>
        <w:ind w:firstLine="480" w:firstLineChars="200"/>
        <w:contextualSpacing/>
        <w:jc w:val="left"/>
        <w:rPr>
          <w:rFonts w:ascii="宋体" w:hAnsi="宋体"/>
          <w:sz w:val="24"/>
        </w:rPr>
      </w:pPr>
      <w:r>
        <w:rPr>
          <w:rFonts w:hint="eastAsia" w:ascii="宋体" w:hAnsi="宋体"/>
          <w:sz w:val="24"/>
        </w:rPr>
        <w:t>2.</w:t>
      </w:r>
      <w:r>
        <w:rPr>
          <w:rFonts w:hint="eastAsia" w:ascii="宋体" w:hAnsi="宋体"/>
          <w:spacing w:val="-6"/>
          <w:sz w:val="24"/>
        </w:rPr>
        <w:t>本表所指的管理关系仅限于直接管理关系，不包括间接的管理关系。</w:t>
      </w:r>
    </w:p>
    <w:p w14:paraId="63787523">
      <w:pPr>
        <w:spacing w:line="360" w:lineRule="auto"/>
        <w:ind w:firstLine="480" w:firstLineChars="200"/>
        <w:contextualSpacing/>
        <w:jc w:val="left"/>
        <w:rPr>
          <w:rFonts w:ascii="宋体" w:hAnsi="宋体"/>
          <w:sz w:val="24"/>
        </w:rPr>
      </w:pPr>
      <w:r>
        <w:rPr>
          <w:rFonts w:hint="eastAsia" w:ascii="宋体" w:hAnsi="宋体"/>
          <w:sz w:val="24"/>
        </w:rPr>
        <w:t>3.供应商不存在直接管理关系的，则在“直接管理关系单位名称”填“无”。</w:t>
      </w:r>
    </w:p>
    <w:p w14:paraId="7D830948">
      <w:pPr>
        <w:spacing w:line="360" w:lineRule="auto"/>
        <w:contextualSpacing/>
        <w:jc w:val="left"/>
        <w:rPr>
          <w:rFonts w:ascii="宋体" w:hAnsi="宋体"/>
          <w:sz w:val="28"/>
          <w:szCs w:val="28"/>
        </w:rPr>
      </w:pPr>
    </w:p>
    <w:p w14:paraId="317677DD">
      <w:pPr>
        <w:spacing w:line="360" w:lineRule="auto"/>
        <w:contextualSpacing/>
        <w:jc w:val="left"/>
        <w:rPr>
          <w:rFonts w:ascii="宋体" w:hAnsi="宋体"/>
          <w:sz w:val="28"/>
          <w:szCs w:val="28"/>
        </w:rPr>
      </w:pPr>
    </w:p>
    <w:p w14:paraId="133CF109">
      <w:pPr>
        <w:spacing w:line="360" w:lineRule="auto"/>
        <w:contextualSpacing/>
        <w:jc w:val="left"/>
        <w:rPr>
          <w:rFonts w:ascii="宋体" w:hAnsi="宋体"/>
          <w:sz w:val="28"/>
          <w:szCs w:val="28"/>
        </w:rPr>
      </w:pPr>
    </w:p>
    <w:p w14:paraId="05496726">
      <w:pPr>
        <w:spacing w:line="360" w:lineRule="auto"/>
        <w:contextualSpacing/>
        <w:jc w:val="left"/>
        <w:rPr>
          <w:rFonts w:ascii="宋体" w:hAnsi="宋体"/>
          <w:sz w:val="28"/>
          <w:szCs w:val="28"/>
        </w:rPr>
      </w:pPr>
    </w:p>
    <w:p w14:paraId="3C577A3B">
      <w:pPr>
        <w:spacing w:line="360" w:lineRule="auto"/>
        <w:contextualSpacing/>
        <w:jc w:val="left"/>
        <w:rPr>
          <w:rFonts w:ascii="宋体" w:hAnsi="宋体"/>
          <w:sz w:val="28"/>
          <w:szCs w:val="28"/>
        </w:rPr>
      </w:pPr>
    </w:p>
    <w:p w14:paraId="48DFE6DF">
      <w:pPr>
        <w:spacing w:line="360" w:lineRule="auto"/>
        <w:contextualSpacing/>
        <w:jc w:val="left"/>
        <w:rPr>
          <w:rFonts w:ascii="宋体" w:hAnsi="宋体"/>
          <w:sz w:val="28"/>
          <w:szCs w:val="28"/>
        </w:rPr>
      </w:pPr>
    </w:p>
    <w:p w14:paraId="442CC7F3">
      <w:pPr>
        <w:spacing w:line="360" w:lineRule="auto"/>
        <w:ind w:right="480"/>
        <w:contextualSpacing/>
        <w:jc w:val="center"/>
        <w:rPr>
          <w:rFonts w:ascii="宋体" w:hAnsi="宋体"/>
          <w:sz w:val="24"/>
          <w:u w:val="single"/>
        </w:rPr>
      </w:pPr>
      <w:r>
        <w:rPr>
          <w:rFonts w:hint="eastAsia" w:ascii="宋体" w:hAnsi="宋体"/>
          <w:sz w:val="24"/>
        </w:rPr>
        <w:t xml:space="preserve"> </w:t>
      </w:r>
      <w:r>
        <w:rPr>
          <w:rFonts w:ascii="宋体" w:hAnsi="宋体"/>
          <w:sz w:val="24"/>
        </w:rPr>
        <w:t xml:space="preserve">             </w:t>
      </w:r>
      <w:r>
        <w:rPr>
          <w:rFonts w:hint="eastAsia" w:ascii="宋体" w:hAnsi="宋体"/>
          <w:sz w:val="24"/>
        </w:rPr>
        <w:t>法定代表人或者委托代理人签字（或者电子签名）：</w:t>
      </w:r>
      <w:r>
        <w:rPr>
          <w:rFonts w:hint="eastAsia" w:ascii="宋体" w:hAnsi="宋体"/>
          <w:sz w:val="24"/>
          <w:u w:val="single"/>
        </w:rPr>
        <w:t xml:space="preserve"> </w:t>
      </w:r>
      <w:r>
        <w:rPr>
          <w:rFonts w:ascii="宋体" w:hAnsi="宋体"/>
          <w:sz w:val="24"/>
          <w:u w:val="single"/>
        </w:rPr>
        <w:t xml:space="preserve">                  </w:t>
      </w:r>
    </w:p>
    <w:p w14:paraId="6271B5BD">
      <w:pPr>
        <w:spacing w:line="360" w:lineRule="auto"/>
        <w:ind w:right="480" w:firstLine="3360" w:firstLineChars="1400"/>
        <w:contextualSpacing/>
        <w:rPr>
          <w:rFonts w:ascii="宋体" w:hAnsi="宋体"/>
          <w:sz w:val="24"/>
        </w:rPr>
      </w:pPr>
      <w:r>
        <w:rPr>
          <w:rFonts w:hint="eastAsia" w:ascii="宋体" w:hAnsi="宋体"/>
          <w:sz w:val="24"/>
        </w:rPr>
        <w:t>供应商电子签章：</w:t>
      </w:r>
      <w:r>
        <w:rPr>
          <w:rFonts w:hint="eastAsia" w:ascii="宋体" w:hAnsi="宋体"/>
          <w:sz w:val="24"/>
          <w:u w:val="single"/>
        </w:rPr>
        <w:t xml:space="preserve">                </w:t>
      </w:r>
    </w:p>
    <w:p w14:paraId="1582F6F6">
      <w:pPr>
        <w:spacing w:line="360" w:lineRule="auto"/>
        <w:ind w:firstLine="480" w:firstLineChars="200"/>
        <w:contextualSpacing/>
        <w:jc w:val="left"/>
        <w:rPr>
          <w:rFonts w:ascii="宋体" w:hAnsi="宋体"/>
          <w:sz w:val="28"/>
          <w:szCs w:val="28"/>
        </w:rPr>
      </w:pPr>
      <w:r>
        <w:rPr>
          <w:rFonts w:hint="eastAsia" w:ascii="宋体" w:hAnsi="宋体"/>
          <w:sz w:val="24"/>
        </w:rPr>
        <w:t xml:space="preserve">                                        年    月    日</w:t>
      </w:r>
    </w:p>
    <w:p w14:paraId="7F65D70B">
      <w:pPr>
        <w:spacing w:line="320" w:lineRule="exact"/>
        <w:jc w:val="center"/>
        <w:rPr>
          <w:rFonts w:ascii="宋体" w:hAnsi="宋体"/>
          <w:b/>
          <w:sz w:val="32"/>
          <w:szCs w:val="32"/>
        </w:rPr>
      </w:pPr>
      <w:r>
        <w:rPr>
          <w:rFonts w:ascii="宋体" w:hAnsi="宋体"/>
          <w:sz w:val="28"/>
          <w:szCs w:val="28"/>
        </w:rPr>
        <w:br w:type="page"/>
      </w:r>
      <w:r>
        <w:rPr>
          <w:rFonts w:hint="eastAsia" w:ascii="宋体" w:hAnsi="宋体"/>
          <w:b/>
          <w:sz w:val="32"/>
          <w:szCs w:val="32"/>
        </w:rPr>
        <w:t>竞标声明</w:t>
      </w:r>
    </w:p>
    <w:p w14:paraId="11D792D6">
      <w:pPr>
        <w:spacing w:line="320" w:lineRule="exact"/>
        <w:jc w:val="center"/>
        <w:rPr>
          <w:rFonts w:ascii="宋体" w:hAnsi="宋体"/>
          <w:sz w:val="24"/>
          <w:szCs w:val="20"/>
        </w:rPr>
      </w:pPr>
    </w:p>
    <w:p w14:paraId="69E0755D">
      <w:pPr>
        <w:spacing w:line="360" w:lineRule="auto"/>
        <w:contextualSpacing/>
        <w:rPr>
          <w:rFonts w:ascii="宋体" w:hAnsi="宋体" w:cs="宋体"/>
          <w:sz w:val="24"/>
        </w:rPr>
      </w:pPr>
      <w:r>
        <w:rPr>
          <w:rFonts w:hint="eastAsia" w:ascii="宋体" w:hAnsi="宋体" w:cs="宋体"/>
          <w:sz w:val="24"/>
        </w:rPr>
        <w:t>致：</w:t>
      </w:r>
      <w:r>
        <w:rPr>
          <w:rFonts w:hint="eastAsia" w:ascii="宋体" w:hAnsi="宋体" w:cs="宋体"/>
          <w:sz w:val="24"/>
          <w:u w:val="single"/>
        </w:rPr>
        <w:t>（采购人名称）</w:t>
      </w:r>
      <w:r>
        <w:rPr>
          <w:rFonts w:hint="eastAsia" w:ascii="宋体" w:hAnsi="宋体" w:cs="宋体"/>
          <w:sz w:val="24"/>
        </w:rPr>
        <w:t>：</w:t>
      </w:r>
    </w:p>
    <w:p w14:paraId="669FF746">
      <w:pPr>
        <w:spacing w:line="360" w:lineRule="auto"/>
        <w:ind w:firstLine="480" w:firstLineChars="200"/>
        <w:contextualSpacing/>
        <w:jc w:val="left"/>
        <w:rPr>
          <w:rFonts w:ascii="宋体" w:hAnsi="宋体" w:cs="宋体"/>
          <w:sz w:val="24"/>
        </w:rPr>
      </w:pPr>
      <w:r>
        <w:rPr>
          <w:rFonts w:hint="eastAsia" w:ascii="宋体" w:hAnsi="宋体" w:cs="宋体"/>
          <w:sz w:val="24"/>
          <w:u w:val="single"/>
        </w:rPr>
        <w:t>（供应商名称）</w:t>
      </w:r>
      <w:r>
        <w:rPr>
          <w:rFonts w:hint="eastAsia" w:ascii="宋体" w:hAnsi="宋体" w:cs="宋体"/>
          <w:sz w:val="24"/>
        </w:rPr>
        <w:t>系中华人民共和国合法供应商，经营地址</w:t>
      </w:r>
      <w:r>
        <w:rPr>
          <w:rFonts w:hint="eastAsia" w:ascii="宋体" w:hAnsi="宋体" w:cs="宋体"/>
          <w:sz w:val="24"/>
          <w:u w:val="single"/>
        </w:rPr>
        <w:t xml:space="preserve">                  </w:t>
      </w:r>
      <w:r>
        <w:rPr>
          <w:rFonts w:hint="eastAsia" w:ascii="宋体" w:hAnsi="宋体" w:cs="宋体"/>
          <w:sz w:val="24"/>
        </w:rPr>
        <w:t>。</w:t>
      </w:r>
    </w:p>
    <w:p w14:paraId="0D0839F2">
      <w:pPr>
        <w:spacing w:line="360" w:lineRule="auto"/>
        <w:ind w:firstLine="480" w:firstLineChars="200"/>
        <w:contextualSpacing/>
        <w:rPr>
          <w:rFonts w:ascii="宋体" w:hAnsi="宋体" w:cs="宋体"/>
          <w:sz w:val="24"/>
        </w:rPr>
      </w:pPr>
      <w:r>
        <w:rPr>
          <w:rFonts w:hint="eastAsia" w:ascii="宋体" w:hAnsi="宋体" w:cs="宋体"/>
          <w:sz w:val="24"/>
        </w:rPr>
        <w:t>我方愿意参加贵方组织的</w:t>
      </w:r>
      <w:r>
        <w:rPr>
          <w:rFonts w:hint="eastAsia" w:ascii="宋体" w:hAnsi="宋体" w:cs="宋体"/>
          <w:sz w:val="24"/>
          <w:u w:val="single"/>
        </w:rPr>
        <w:t>（项目名称）</w:t>
      </w:r>
      <w:r>
        <w:rPr>
          <w:rFonts w:hint="eastAsia" w:ascii="宋体" w:hAnsi="宋体" w:cs="宋体"/>
          <w:sz w:val="24"/>
        </w:rPr>
        <w:t>项目</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标项的竞标，为便于贵方公正、择优地确定成交供应商及其竞标产品和服务，我方就本次竞标有关事项郑重声明如下：</w:t>
      </w:r>
    </w:p>
    <w:p w14:paraId="6A2090A4">
      <w:pPr>
        <w:spacing w:line="360" w:lineRule="auto"/>
        <w:ind w:firstLine="480" w:firstLineChars="200"/>
        <w:contextualSpacing/>
        <w:rPr>
          <w:rFonts w:ascii="宋体" w:hAnsi="宋体" w:cs="宋体"/>
          <w:sz w:val="24"/>
        </w:rPr>
      </w:pPr>
      <w:r>
        <w:rPr>
          <w:rFonts w:hint="eastAsia" w:ascii="宋体" w:hAnsi="宋体" w:cs="宋体"/>
          <w:sz w:val="24"/>
        </w:rPr>
        <w:t>1.我方向贵方提交的所有响应文件、资料都是准确的和真实的。</w:t>
      </w:r>
    </w:p>
    <w:p w14:paraId="28EA1EB3">
      <w:pPr>
        <w:spacing w:line="360" w:lineRule="auto"/>
        <w:ind w:firstLine="480" w:firstLineChars="200"/>
        <w:contextualSpacing/>
        <w:rPr>
          <w:rFonts w:ascii="宋体" w:hAnsi="宋体" w:cs="宋体"/>
          <w:sz w:val="24"/>
        </w:rPr>
      </w:pPr>
      <w:r>
        <w:rPr>
          <w:rFonts w:hint="eastAsia" w:ascii="宋体" w:hAnsi="宋体" w:cs="宋体"/>
          <w:sz w:val="24"/>
        </w:rPr>
        <w:t>2.我方不是为本次采购项目提供整体设计、规范编制或者项目管理、监理、检测等服务的供应商。</w:t>
      </w:r>
    </w:p>
    <w:p w14:paraId="62F845DB">
      <w:pPr>
        <w:spacing w:line="360" w:lineRule="auto"/>
        <w:ind w:firstLine="480" w:firstLineChars="200"/>
        <w:contextualSpacing/>
        <w:rPr>
          <w:rFonts w:ascii="宋体" w:hAnsi="宋体" w:cs="宋体"/>
          <w:sz w:val="24"/>
        </w:rPr>
      </w:pPr>
      <w:r>
        <w:rPr>
          <w:rFonts w:hint="eastAsia" w:ascii="宋体" w:hAnsi="宋体" w:cs="宋体"/>
          <w:sz w:val="24"/>
        </w:rPr>
        <w:t>3.在此，我方宣布同意如下：</w:t>
      </w:r>
    </w:p>
    <w:p w14:paraId="4891C6C2">
      <w:pPr>
        <w:spacing w:line="360" w:lineRule="auto"/>
        <w:ind w:firstLine="480" w:firstLineChars="200"/>
        <w:contextualSpacing/>
        <w:rPr>
          <w:rFonts w:ascii="宋体" w:hAnsi="宋体" w:cs="宋体"/>
          <w:sz w:val="24"/>
        </w:rPr>
      </w:pPr>
      <w:r>
        <w:rPr>
          <w:rFonts w:hint="eastAsia" w:ascii="宋体" w:hAnsi="宋体" w:cs="宋体"/>
          <w:sz w:val="24"/>
        </w:rPr>
        <w:t>（1）将按磋商文件的约定履行合同责任和义务；</w:t>
      </w:r>
    </w:p>
    <w:p w14:paraId="290F1DA5">
      <w:pPr>
        <w:spacing w:line="360" w:lineRule="auto"/>
        <w:ind w:firstLine="480" w:firstLineChars="200"/>
        <w:contextualSpacing/>
        <w:rPr>
          <w:rFonts w:ascii="宋体" w:hAnsi="宋体" w:cs="宋体"/>
          <w:sz w:val="24"/>
        </w:rPr>
      </w:pPr>
      <w:r>
        <w:rPr>
          <w:rFonts w:hint="eastAsia" w:ascii="宋体" w:hAnsi="宋体" w:cs="宋体"/>
          <w:sz w:val="24"/>
        </w:rPr>
        <w:t>（2）已详细审查全部磋商文件，包括澄清或者更正公告（如有）；</w:t>
      </w:r>
    </w:p>
    <w:p w14:paraId="3F4A0BB8">
      <w:pPr>
        <w:spacing w:line="360" w:lineRule="auto"/>
        <w:ind w:firstLine="480" w:firstLineChars="200"/>
        <w:contextualSpacing/>
        <w:rPr>
          <w:rFonts w:ascii="宋体" w:hAnsi="宋体" w:cs="宋体"/>
          <w:sz w:val="24"/>
        </w:rPr>
      </w:pPr>
      <w:r>
        <w:rPr>
          <w:rFonts w:hint="eastAsia" w:ascii="宋体" w:hAnsi="宋体" w:cs="宋体"/>
          <w:sz w:val="24"/>
        </w:rPr>
        <w:t>（3）同意提供按照贵方可能要求的与磋商有关的一切数据或者资料；</w:t>
      </w:r>
    </w:p>
    <w:p w14:paraId="422A8C99">
      <w:pPr>
        <w:spacing w:line="360" w:lineRule="auto"/>
        <w:ind w:firstLine="480" w:firstLineChars="200"/>
        <w:contextualSpacing/>
        <w:rPr>
          <w:rFonts w:ascii="宋体" w:hAnsi="宋体" w:cs="宋体"/>
          <w:sz w:val="24"/>
        </w:rPr>
      </w:pPr>
      <w:r>
        <w:rPr>
          <w:rFonts w:hint="eastAsia" w:ascii="宋体" w:hAnsi="宋体" w:cs="宋体"/>
          <w:sz w:val="24"/>
        </w:rPr>
        <w:t>（4）响应磋商文件规定的竞标有效期。</w:t>
      </w:r>
    </w:p>
    <w:p w14:paraId="35AA806E">
      <w:pPr>
        <w:spacing w:line="360" w:lineRule="auto"/>
        <w:ind w:firstLine="480" w:firstLineChars="200"/>
        <w:contextualSpacing/>
        <w:rPr>
          <w:rFonts w:ascii="宋体" w:hAnsi="宋体" w:cs="宋体"/>
          <w:sz w:val="24"/>
        </w:rPr>
      </w:pPr>
      <w:r>
        <w:rPr>
          <w:rFonts w:hint="eastAsia" w:ascii="宋体" w:hAnsi="宋体" w:cs="宋体"/>
          <w:sz w:val="24"/>
        </w:rPr>
        <w:t>4.我方承诺符合《中华人民共和国政府采购法》第二十二条规定：</w:t>
      </w:r>
    </w:p>
    <w:p w14:paraId="0886D386">
      <w:pPr>
        <w:spacing w:line="360" w:lineRule="auto"/>
        <w:ind w:firstLine="480" w:firstLineChars="200"/>
        <w:contextualSpacing/>
        <w:rPr>
          <w:rFonts w:ascii="宋体" w:hAnsi="宋体" w:cs="宋体"/>
          <w:sz w:val="24"/>
        </w:rPr>
      </w:pPr>
      <w:r>
        <w:rPr>
          <w:rFonts w:hint="eastAsia" w:ascii="宋体" w:hAnsi="宋体" w:cs="宋体"/>
          <w:sz w:val="24"/>
        </w:rPr>
        <w:t>（1）具有独立承担民事责任的能力；</w:t>
      </w:r>
    </w:p>
    <w:p w14:paraId="4DA01C69">
      <w:pPr>
        <w:spacing w:line="360" w:lineRule="auto"/>
        <w:ind w:firstLine="480" w:firstLineChars="200"/>
        <w:contextualSpacing/>
        <w:rPr>
          <w:rFonts w:ascii="宋体" w:hAnsi="宋体" w:cs="宋体"/>
          <w:sz w:val="24"/>
        </w:rPr>
      </w:pPr>
      <w:r>
        <w:rPr>
          <w:rFonts w:hint="eastAsia" w:ascii="宋体" w:hAnsi="宋体" w:cs="宋体"/>
          <w:sz w:val="24"/>
        </w:rPr>
        <w:t>（2）具有良好的商业信誉和健全的财务会计制度；</w:t>
      </w:r>
    </w:p>
    <w:p w14:paraId="5D919CA5">
      <w:pPr>
        <w:spacing w:line="360" w:lineRule="auto"/>
        <w:ind w:firstLine="480" w:firstLineChars="200"/>
        <w:contextualSpacing/>
        <w:rPr>
          <w:rFonts w:ascii="宋体" w:hAnsi="宋体" w:cs="宋体"/>
          <w:sz w:val="24"/>
        </w:rPr>
      </w:pPr>
      <w:r>
        <w:rPr>
          <w:rFonts w:hint="eastAsia" w:ascii="宋体" w:hAnsi="宋体" w:cs="宋体"/>
          <w:sz w:val="24"/>
        </w:rPr>
        <w:t>（3）具有履行合同所必需的设备和专业技术能力；</w:t>
      </w:r>
    </w:p>
    <w:p w14:paraId="56CC21A3">
      <w:pPr>
        <w:spacing w:line="360" w:lineRule="auto"/>
        <w:ind w:firstLine="480" w:firstLineChars="200"/>
        <w:contextualSpacing/>
        <w:rPr>
          <w:rFonts w:ascii="宋体" w:hAnsi="宋体" w:cs="宋体"/>
          <w:sz w:val="24"/>
        </w:rPr>
      </w:pPr>
      <w:r>
        <w:rPr>
          <w:rFonts w:hint="eastAsia" w:ascii="宋体" w:hAnsi="宋体" w:cs="宋体"/>
          <w:sz w:val="24"/>
        </w:rPr>
        <w:t>（4）有依法缴纳税收和社会保障资金的良好记录；</w:t>
      </w:r>
    </w:p>
    <w:p w14:paraId="78BBB75E">
      <w:pPr>
        <w:spacing w:line="360" w:lineRule="auto"/>
        <w:ind w:firstLine="480" w:firstLineChars="200"/>
        <w:contextualSpacing/>
        <w:rPr>
          <w:rFonts w:ascii="宋体" w:hAnsi="宋体" w:cs="宋体"/>
          <w:sz w:val="24"/>
        </w:rPr>
      </w:pPr>
      <w:r>
        <w:rPr>
          <w:rFonts w:hint="eastAsia" w:ascii="宋体" w:hAnsi="宋体" w:cs="宋体"/>
          <w:sz w:val="24"/>
        </w:rPr>
        <w:t>（5）参加政府采购活动前三年内，在经营活动中没有重大违法记录；</w:t>
      </w:r>
    </w:p>
    <w:p w14:paraId="6A5AFFDF">
      <w:pPr>
        <w:spacing w:line="360" w:lineRule="auto"/>
        <w:ind w:firstLine="480" w:firstLineChars="200"/>
        <w:contextualSpacing/>
        <w:rPr>
          <w:rFonts w:ascii="宋体" w:hAnsi="宋体" w:cs="宋体"/>
          <w:sz w:val="24"/>
        </w:rPr>
      </w:pPr>
      <w:r>
        <w:rPr>
          <w:rFonts w:hint="eastAsia" w:ascii="宋体" w:hAnsi="宋体" w:cs="宋体"/>
          <w:sz w:val="24"/>
        </w:rPr>
        <w:t>（6）法律、行政法规规定的其他条件。</w:t>
      </w:r>
    </w:p>
    <w:p w14:paraId="4C0A2D59">
      <w:pPr>
        <w:spacing w:line="360" w:lineRule="auto"/>
        <w:ind w:firstLine="480" w:firstLineChars="200"/>
        <w:contextualSpacing/>
        <w:rPr>
          <w:rFonts w:ascii="宋体" w:hAnsi="宋体" w:cs="宋体"/>
          <w:sz w:val="24"/>
        </w:rPr>
      </w:pPr>
      <w:r>
        <w:rPr>
          <w:rFonts w:hint="eastAsia" w:ascii="宋体" w:hAnsi="宋体" w:cs="宋体"/>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67443358">
      <w:pPr>
        <w:spacing w:line="360" w:lineRule="auto"/>
        <w:ind w:firstLine="480" w:firstLineChars="200"/>
        <w:contextualSpacing/>
        <w:rPr>
          <w:rFonts w:ascii="宋体" w:hAnsi="宋体" w:cs="宋体"/>
          <w:sz w:val="24"/>
        </w:rPr>
      </w:pPr>
      <w:r>
        <w:rPr>
          <w:rFonts w:hint="eastAsia" w:ascii="宋体" w:hAnsi="宋体" w:cs="宋体"/>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6C5135CB">
      <w:pPr>
        <w:spacing w:line="360" w:lineRule="auto"/>
        <w:ind w:firstLine="480" w:firstLineChars="200"/>
        <w:contextualSpacing/>
        <w:rPr>
          <w:rFonts w:ascii="宋体" w:hAnsi="宋体" w:cs="宋体"/>
          <w:sz w:val="24"/>
        </w:rPr>
      </w:pPr>
      <w:r>
        <w:rPr>
          <w:rFonts w:hint="eastAsia" w:ascii="宋体" w:hAnsi="宋体" w:cs="宋体"/>
          <w:sz w:val="24"/>
        </w:rPr>
        <w:t>□我方本次响应文件</w:t>
      </w:r>
      <w:r>
        <w:rPr>
          <w:rFonts w:hint="eastAsia" w:ascii="宋体" w:hAnsi="宋体" w:cs="宋体"/>
          <w:kern w:val="0"/>
          <w:sz w:val="24"/>
        </w:rPr>
        <w:t>内容中</w:t>
      </w:r>
      <w:r>
        <w:rPr>
          <w:rFonts w:hint="eastAsia" w:ascii="宋体" w:hAnsi="宋体" w:cs="宋体"/>
          <w:sz w:val="24"/>
        </w:rPr>
        <w:t>未</w:t>
      </w:r>
      <w:r>
        <w:rPr>
          <w:rFonts w:hint="eastAsia" w:ascii="宋体" w:hAnsi="宋体" w:cs="宋体"/>
          <w:kern w:val="0"/>
          <w:sz w:val="24"/>
        </w:rPr>
        <w:t>涉及商业秘密；</w:t>
      </w:r>
    </w:p>
    <w:p w14:paraId="2C15B69E">
      <w:pPr>
        <w:spacing w:line="360" w:lineRule="auto"/>
        <w:ind w:firstLine="480" w:firstLineChars="200"/>
        <w:contextualSpacing/>
        <w:rPr>
          <w:rFonts w:ascii="宋体" w:hAnsi="宋体" w:cs="宋体"/>
          <w:sz w:val="24"/>
        </w:rPr>
      </w:pPr>
      <w:r>
        <w:rPr>
          <w:rFonts w:hint="eastAsia" w:ascii="宋体" w:hAnsi="宋体" w:cs="宋体"/>
          <w:sz w:val="24"/>
        </w:rPr>
        <w:t>□我方本次响应文件</w:t>
      </w:r>
      <w:r>
        <w:rPr>
          <w:rFonts w:hint="eastAsia" w:ascii="宋体" w:hAnsi="宋体" w:cs="宋体"/>
          <w:kern w:val="0"/>
          <w:sz w:val="24"/>
        </w:rPr>
        <w:t>涉及商业秘密的内容有：</w:t>
      </w:r>
      <w:r>
        <w:rPr>
          <w:rFonts w:hint="eastAsia" w:ascii="宋体" w:hAnsi="宋体" w:cs="宋体"/>
          <w:kern w:val="0"/>
          <w:sz w:val="24"/>
          <w:u w:val="single"/>
        </w:rPr>
        <w:t xml:space="preserve">                         </w:t>
      </w:r>
      <w:r>
        <w:rPr>
          <w:rFonts w:hint="eastAsia" w:ascii="宋体" w:hAnsi="宋体" w:cs="宋体"/>
          <w:kern w:val="0"/>
          <w:sz w:val="24"/>
        </w:rPr>
        <w:t>；</w:t>
      </w:r>
    </w:p>
    <w:p w14:paraId="070A6BED">
      <w:pPr>
        <w:pStyle w:val="18"/>
        <w:spacing w:line="360" w:lineRule="auto"/>
        <w:ind w:firstLine="480" w:firstLineChars="200"/>
        <w:contextualSpacing/>
        <w:rPr>
          <w:rFonts w:hAnsi="宋体" w:cs="宋体"/>
          <w:sz w:val="24"/>
          <w:szCs w:val="24"/>
          <w:u w:val="single"/>
        </w:rPr>
      </w:pPr>
      <w:r>
        <w:rPr>
          <w:rFonts w:hint="eastAsia" w:hAnsi="宋体" w:cs="宋体"/>
          <w:sz w:val="24"/>
          <w:szCs w:val="24"/>
        </w:rPr>
        <w:t>7.与本磋商有关的一切正式往来信函请寄：</w:t>
      </w:r>
      <w:r>
        <w:rPr>
          <w:rFonts w:hint="eastAsia" w:hAnsi="宋体" w:cs="宋体"/>
          <w:sz w:val="24"/>
          <w:szCs w:val="24"/>
          <w:u w:val="single"/>
        </w:rPr>
        <w:t xml:space="preserve">                  </w:t>
      </w:r>
      <w:r>
        <w:rPr>
          <w:rFonts w:hint="eastAsia" w:hAnsi="宋体" w:cs="宋体"/>
          <w:sz w:val="24"/>
          <w:szCs w:val="24"/>
        </w:rPr>
        <w:t>邮政编号：</w:t>
      </w:r>
      <w:r>
        <w:rPr>
          <w:rFonts w:hint="eastAsia" w:hAnsi="宋体" w:cs="宋体"/>
          <w:sz w:val="24"/>
          <w:szCs w:val="24"/>
          <w:u w:val="single"/>
        </w:rPr>
        <w:t xml:space="preserve">        </w:t>
      </w:r>
    </w:p>
    <w:p w14:paraId="23F88C18">
      <w:pPr>
        <w:pStyle w:val="18"/>
        <w:spacing w:line="360" w:lineRule="auto"/>
        <w:ind w:firstLine="480" w:firstLineChars="200"/>
        <w:contextualSpacing/>
        <w:rPr>
          <w:rFonts w:hAnsi="宋体" w:cs="宋体"/>
          <w:sz w:val="24"/>
          <w:szCs w:val="24"/>
        </w:rPr>
      </w:pPr>
      <w:r>
        <w:rPr>
          <w:rFonts w:hint="eastAsia" w:hAnsi="宋体" w:cs="宋体"/>
          <w:sz w:val="24"/>
          <w:szCs w:val="24"/>
        </w:rPr>
        <w:t>电话/传真：</w:t>
      </w:r>
      <w:r>
        <w:rPr>
          <w:rFonts w:hint="eastAsia" w:hAnsi="宋体" w:cs="宋体"/>
          <w:sz w:val="24"/>
          <w:szCs w:val="24"/>
          <w:u w:val="single"/>
        </w:rPr>
        <w:t xml:space="preserve">                        </w:t>
      </w:r>
      <w:r>
        <w:rPr>
          <w:rFonts w:hint="eastAsia" w:hAnsi="宋体" w:cs="宋体"/>
          <w:sz w:val="24"/>
          <w:szCs w:val="24"/>
        </w:rPr>
        <w:t xml:space="preserve"> 电子邮箱：</w:t>
      </w:r>
      <w:r>
        <w:rPr>
          <w:rFonts w:hint="eastAsia" w:hAnsi="宋体" w:cs="宋体"/>
          <w:sz w:val="24"/>
          <w:szCs w:val="24"/>
          <w:u w:val="single"/>
        </w:rPr>
        <w:t xml:space="preserve">                            </w:t>
      </w:r>
      <w:r>
        <w:rPr>
          <w:rFonts w:hint="eastAsia" w:hAnsi="宋体" w:cs="宋体"/>
          <w:sz w:val="24"/>
          <w:szCs w:val="24"/>
        </w:rPr>
        <w:t xml:space="preserve">    </w:t>
      </w:r>
    </w:p>
    <w:p w14:paraId="2FE3F179">
      <w:pPr>
        <w:pStyle w:val="17"/>
        <w:tabs>
          <w:tab w:val="left" w:pos="939"/>
        </w:tabs>
        <w:spacing w:line="360" w:lineRule="auto"/>
        <w:ind w:left="141" w:leftChars="67" w:firstLine="360" w:firstLineChars="150"/>
        <w:rPr>
          <w:rFonts w:ascii="宋体" w:hAnsi="宋体" w:cs="宋体"/>
          <w:sz w:val="24"/>
        </w:rPr>
      </w:pPr>
      <w:r>
        <w:rPr>
          <w:rFonts w:hint="eastAsia" w:ascii="宋体" w:hAnsi="宋体" w:cs="宋体"/>
          <w:sz w:val="24"/>
        </w:rPr>
        <w:t>开户银行：</w:t>
      </w:r>
      <w:r>
        <w:rPr>
          <w:rFonts w:hint="eastAsia" w:ascii="宋体" w:hAnsi="宋体" w:cs="宋体"/>
          <w:sz w:val="24"/>
          <w:u w:val="single"/>
        </w:rPr>
        <w:t xml:space="preserve">                         </w:t>
      </w:r>
      <w:r>
        <w:rPr>
          <w:rFonts w:hint="eastAsia" w:ascii="宋体" w:hAnsi="宋体" w:cs="宋体"/>
          <w:sz w:val="24"/>
        </w:rPr>
        <w:t xml:space="preserve"> 账号：</w:t>
      </w:r>
      <w:r>
        <w:rPr>
          <w:rFonts w:hint="eastAsia" w:ascii="宋体" w:hAnsi="宋体" w:cs="宋体"/>
          <w:sz w:val="24"/>
          <w:u w:val="single"/>
        </w:rPr>
        <w:t xml:space="preserve">                               </w:t>
      </w:r>
    </w:p>
    <w:p w14:paraId="26931162">
      <w:pPr>
        <w:pStyle w:val="17"/>
        <w:tabs>
          <w:tab w:val="left" w:pos="939"/>
        </w:tabs>
        <w:spacing w:line="360" w:lineRule="auto"/>
        <w:ind w:left="0" w:leftChars="0" w:firstLine="480" w:firstLineChars="200"/>
        <w:rPr>
          <w:rFonts w:ascii="宋体" w:hAnsi="宋体" w:cs="宋体"/>
          <w:sz w:val="24"/>
        </w:rPr>
      </w:pPr>
      <w:r>
        <w:rPr>
          <w:rFonts w:hint="eastAsia" w:ascii="宋体" w:hAnsi="宋体" w:cs="宋体"/>
          <w:sz w:val="24"/>
        </w:rPr>
        <w:t>8.以上事项如有虚假或者隐瞒，我方愿意承担一切后果，并不再寻求任何旨在减轻或者免除法律责任的辩解。</w:t>
      </w:r>
    </w:p>
    <w:p w14:paraId="5564F528">
      <w:pPr>
        <w:pStyle w:val="17"/>
        <w:tabs>
          <w:tab w:val="left" w:pos="939"/>
        </w:tabs>
        <w:spacing w:line="360" w:lineRule="auto"/>
        <w:ind w:left="141" w:leftChars="67" w:firstLine="360" w:firstLineChars="150"/>
        <w:rPr>
          <w:rFonts w:ascii="宋体" w:hAnsi="宋体" w:cs="宋体"/>
          <w:sz w:val="24"/>
        </w:rPr>
      </w:pPr>
      <w:r>
        <w:rPr>
          <w:rFonts w:hint="eastAsia" w:ascii="宋体" w:hAnsi="宋体" w:cs="宋体"/>
          <w:sz w:val="24"/>
        </w:rPr>
        <w:t>特此承诺。</w:t>
      </w:r>
    </w:p>
    <w:p w14:paraId="4F210586">
      <w:pPr>
        <w:spacing w:line="360" w:lineRule="auto"/>
        <w:contextualSpacing/>
        <w:jc w:val="left"/>
        <w:rPr>
          <w:rFonts w:ascii="宋体" w:hAnsi="宋体"/>
          <w:b/>
          <w:sz w:val="24"/>
        </w:rPr>
      </w:pPr>
      <w:r>
        <w:rPr>
          <w:rFonts w:hint="eastAsia" w:ascii="宋体" w:hAnsi="宋体" w:cs="宋体"/>
          <w:b/>
          <w:sz w:val="24"/>
        </w:rPr>
        <w:t>注：</w:t>
      </w:r>
      <w:r>
        <w:rPr>
          <w:rFonts w:hint="eastAsia" w:ascii="宋体" w:hAnsi="宋体"/>
          <w:b/>
          <w:sz w:val="24"/>
        </w:rPr>
        <w:t>如为联合体竞标，盖章处须加盖联合体牵头人公章（或电子签章）并由联合体牵头人法定代表人分别签字（或者盖章或者电子签名），否则响应文件按无效处理。</w:t>
      </w:r>
    </w:p>
    <w:p w14:paraId="610CF404">
      <w:pPr>
        <w:spacing w:line="360" w:lineRule="auto"/>
        <w:contextualSpacing/>
        <w:jc w:val="left"/>
        <w:rPr>
          <w:rFonts w:ascii="宋体" w:hAnsi="宋体" w:cs="宋体"/>
          <w:szCs w:val="21"/>
        </w:rPr>
      </w:pPr>
    </w:p>
    <w:p w14:paraId="7D2692A6">
      <w:pPr>
        <w:spacing w:line="360" w:lineRule="auto"/>
        <w:ind w:firstLine="1800" w:firstLineChars="750"/>
        <w:contextualSpacing/>
        <w:rPr>
          <w:rFonts w:ascii="宋体" w:hAnsi="宋体"/>
          <w:sz w:val="24"/>
        </w:rPr>
      </w:pPr>
      <w:r>
        <w:rPr>
          <w:rFonts w:hint="eastAsia" w:ascii="宋体" w:hAnsi="宋体"/>
          <w:sz w:val="24"/>
        </w:rPr>
        <w:t>法定代表人签字（或者盖章或者电子签名）：</w:t>
      </w:r>
      <w:r>
        <w:rPr>
          <w:rFonts w:hint="eastAsia" w:ascii="宋体" w:hAnsi="宋体"/>
          <w:sz w:val="24"/>
          <w:u w:val="single"/>
        </w:rPr>
        <w:t xml:space="preserve">           </w:t>
      </w:r>
      <w:r>
        <w:rPr>
          <w:rFonts w:hint="eastAsia" w:ascii="宋体" w:hAnsi="宋体"/>
          <w:sz w:val="24"/>
        </w:rPr>
        <w:t xml:space="preserve">                                     </w:t>
      </w:r>
    </w:p>
    <w:p w14:paraId="7878B5DB">
      <w:pPr>
        <w:spacing w:line="360" w:lineRule="auto"/>
        <w:contextualSpacing/>
        <w:rPr>
          <w:rFonts w:ascii="宋体" w:hAnsi="宋体" w:cs="宋体"/>
          <w:sz w:val="24"/>
          <w:u w:val="single"/>
        </w:rPr>
      </w:pPr>
      <w:r>
        <w:rPr>
          <w:rFonts w:hint="eastAsia" w:ascii="宋体" w:hAnsi="宋体"/>
          <w:sz w:val="24"/>
        </w:rPr>
        <w:t xml:space="preserve">          供应商电子签章：</w:t>
      </w:r>
      <w:r>
        <w:rPr>
          <w:rFonts w:hint="eastAsia" w:ascii="宋体" w:hAnsi="宋体"/>
          <w:sz w:val="24"/>
          <w:u w:val="single"/>
        </w:rPr>
        <w:t xml:space="preserve">                               </w:t>
      </w:r>
      <w:r>
        <w:rPr>
          <w:rFonts w:hint="eastAsia" w:ascii="宋体" w:hAnsi="宋体"/>
          <w:sz w:val="24"/>
        </w:rPr>
        <w:t xml:space="preserve">       </w:t>
      </w:r>
      <w:r>
        <w:rPr>
          <w:rFonts w:hint="eastAsia" w:ascii="宋体" w:hAnsi="宋体" w:cs="宋体"/>
          <w:sz w:val="24"/>
        </w:rPr>
        <w:t xml:space="preserve">    </w:t>
      </w:r>
    </w:p>
    <w:p w14:paraId="365FCFB6">
      <w:pPr>
        <w:pStyle w:val="17"/>
        <w:tabs>
          <w:tab w:val="left" w:pos="939"/>
        </w:tabs>
        <w:spacing w:line="360" w:lineRule="auto"/>
        <w:ind w:left="0" w:leftChars="0" w:firstLine="480" w:firstLineChars="200"/>
        <w:rPr>
          <w:rFonts w:ascii="宋体" w:hAnsi="宋体"/>
          <w:sz w:val="24"/>
        </w:rPr>
      </w:pPr>
      <w:r>
        <w:rPr>
          <w:rFonts w:hint="eastAsia" w:ascii="宋体" w:hAnsi="宋体" w:cs="宋体"/>
          <w:sz w:val="24"/>
        </w:rPr>
        <w:t xml:space="preserve">                                            </w:t>
      </w:r>
      <w:r>
        <w:rPr>
          <w:rFonts w:hint="eastAsia" w:ascii="宋体" w:hAnsi="宋体"/>
          <w:sz w:val="24"/>
        </w:rPr>
        <w:t xml:space="preserve"> 年    月    日</w:t>
      </w:r>
    </w:p>
    <w:p w14:paraId="7DAC980D">
      <w:pPr>
        <w:pStyle w:val="8"/>
        <w:overflowPunct w:val="0"/>
        <w:spacing w:line="520" w:lineRule="exact"/>
        <w:ind w:firstLine="0"/>
        <w:jc w:val="center"/>
        <w:rPr>
          <w:rFonts w:ascii="宋体" w:hAnsi="宋体" w:cs="方正小标宋简体"/>
          <w:sz w:val="44"/>
          <w:szCs w:val="44"/>
        </w:rPr>
      </w:pPr>
      <w:r>
        <w:rPr>
          <w:rFonts w:hint="eastAsia" w:ascii="宋体" w:hAnsi="宋体"/>
          <w:sz w:val="24"/>
        </w:rPr>
        <w:br w:type="page"/>
      </w:r>
      <w:r>
        <w:rPr>
          <w:rFonts w:hint="eastAsia" w:ascii="宋体" w:hAnsi="宋体" w:cs="方正小标宋简体"/>
          <w:sz w:val="44"/>
          <w:szCs w:val="44"/>
        </w:rPr>
        <w:t>联合体竞标协议书</w:t>
      </w:r>
    </w:p>
    <w:p w14:paraId="3B736A19">
      <w:pPr>
        <w:pStyle w:val="8"/>
        <w:overflowPunct w:val="0"/>
        <w:spacing w:line="360" w:lineRule="auto"/>
        <w:ind w:firstLine="0"/>
        <w:rPr>
          <w:rFonts w:ascii="宋体" w:hAnsi="宋体"/>
          <w:sz w:val="24"/>
          <w:szCs w:val="24"/>
        </w:rPr>
      </w:pPr>
    </w:p>
    <w:p w14:paraId="2E6B64E2">
      <w:pPr>
        <w:pStyle w:val="8"/>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u w:val="single"/>
        </w:rPr>
        <w:t xml:space="preserve">             </w:t>
      </w:r>
      <w:r>
        <w:rPr>
          <w:rFonts w:hint="eastAsia" w:ascii="宋体" w:hAnsi="宋体" w:cs="仿宋_GB2312"/>
          <w:sz w:val="24"/>
          <w:szCs w:val="24"/>
        </w:rPr>
        <w:t>（所有成员单位名称）自愿组成</w:t>
      </w:r>
      <w:r>
        <w:rPr>
          <w:rFonts w:hint="eastAsia" w:ascii="宋体" w:hAnsi="宋体" w:cs="仿宋_GB2312"/>
          <w:sz w:val="24"/>
          <w:szCs w:val="24"/>
          <w:u w:val="single"/>
        </w:rPr>
        <w:t xml:space="preserve">      </w:t>
      </w:r>
      <w:r>
        <w:rPr>
          <w:rFonts w:hint="eastAsia" w:ascii="宋体" w:hAnsi="宋体" w:cs="仿宋_GB2312"/>
          <w:sz w:val="24"/>
          <w:szCs w:val="24"/>
        </w:rPr>
        <w:t>（联合体名称）联合体，共同参加</w:t>
      </w:r>
      <w:r>
        <w:rPr>
          <w:rFonts w:hint="eastAsia" w:ascii="宋体" w:hAnsi="宋体" w:cs="仿宋_GB2312"/>
          <w:sz w:val="24"/>
          <w:szCs w:val="24"/>
          <w:u w:val="single"/>
        </w:rPr>
        <w:t xml:space="preserve">      </w:t>
      </w:r>
      <w:r>
        <w:rPr>
          <w:rFonts w:hint="eastAsia" w:ascii="宋体" w:hAnsi="宋体" w:cs="仿宋_GB2312"/>
          <w:sz w:val="24"/>
          <w:szCs w:val="24"/>
        </w:rPr>
        <w:t>（项目名称）采购项目竞标。现就联合体竞标事宜订立如下协议。</w:t>
      </w:r>
    </w:p>
    <w:p w14:paraId="0339556D">
      <w:pPr>
        <w:pStyle w:val="8"/>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1.</w:t>
      </w:r>
      <w:r>
        <w:rPr>
          <w:rFonts w:hint="eastAsia" w:ascii="宋体" w:hAnsi="宋体" w:cs="仿宋_GB2312"/>
          <w:sz w:val="24"/>
          <w:szCs w:val="24"/>
          <w:u w:val="single"/>
        </w:rPr>
        <w:t xml:space="preserve"> </w:t>
      </w:r>
      <w:r>
        <w:rPr>
          <w:rFonts w:hint="eastAsia" w:ascii="宋体" w:hAnsi="宋体" w:cs="仿宋_GB2312"/>
          <w:sz w:val="24"/>
          <w:szCs w:val="24"/>
          <w:u w:val="single"/>
        </w:rPr>
        <w:tab/>
      </w:r>
      <w:r>
        <w:rPr>
          <w:rFonts w:hint="eastAsia" w:ascii="宋体" w:hAnsi="宋体" w:cs="仿宋_GB2312"/>
          <w:sz w:val="24"/>
          <w:szCs w:val="24"/>
          <w:u w:val="single"/>
        </w:rPr>
        <w:t xml:space="preserve">   </w:t>
      </w:r>
      <w:r>
        <w:rPr>
          <w:rFonts w:hint="eastAsia" w:ascii="宋体" w:hAnsi="宋体" w:cs="仿宋_GB2312"/>
          <w:sz w:val="24"/>
          <w:szCs w:val="24"/>
        </w:rPr>
        <w:t>（某成员单位名称）为</w:t>
      </w:r>
      <w:r>
        <w:rPr>
          <w:rFonts w:hint="eastAsia" w:ascii="宋体" w:hAnsi="宋体" w:cs="仿宋_GB2312"/>
          <w:sz w:val="24"/>
          <w:szCs w:val="24"/>
          <w:u w:val="single"/>
        </w:rPr>
        <w:t xml:space="preserve">     </w:t>
      </w:r>
      <w:r>
        <w:rPr>
          <w:rFonts w:hint="eastAsia" w:ascii="宋体" w:hAnsi="宋体" w:cs="仿宋_GB2312"/>
          <w:sz w:val="24"/>
          <w:szCs w:val="24"/>
        </w:rPr>
        <w:t>（联合体名称）牵头人。</w:t>
      </w:r>
    </w:p>
    <w:p w14:paraId="6585286C">
      <w:pPr>
        <w:pStyle w:val="8"/>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2.联合体各成员授权牵头人代表联合体参加竞标活动，签署文件及对文件的盖章，提交和接收相关的资料、信息及指示，进行合同磋商活动，负责合同实施阶段的组织和协调工作，以及处理与本竞标项目有关的一切事宜。</w:t>
      </w:r>
    </w:p>
    <w:p w14:paraId="068B12C5">
      <w:pPr>
        <w:pStyle w:val="8"/>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3.联合体牵头人在本项目中签署和盖章的一切文件和处理的一切事宜，联合体各成员均予以承认。联合体各成员将严格按照磋商文件、响应文件和合同的要求全面履行义务，并向采购人承担连带责任。</w:t>
      </w:r>
    </w:p>
    <w:p w14:paraId="3135509D">
      <w:pPr>
        <w:pStyle w:val="8"/>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4.联合体各成员单位内部的职责分工如下：</w:t>
      </w:r>
      <w:r>
        <w:rPr>
          <w:rFonts w:hint="eastAsia" w:ascii="宋体" w:hAnsi="宋体" w:cs="仿宋_GB2312"/>
          <w:sz w:val="24"/>
          <w:szCs w:val="24"/>
          <w:u w:val="single"/>
        </w:rPr>
        <w:t xml:space="preserve">       </w:t>
      </w:r>
      <w:r>
        <w:rPr>
          <w:rFonts w:hint="eastAsia" w:ascii="宋体" w:hAnsi="宋体" w:cs="仿宋_GB2312"/>
          <w:sz w:val="24"/>
          <w:szCs w:val="24"/>
        </w:rPr>
        <w:t>。</w:t>
      </w:r>
    </w:p>
    <w:p w14:paraId="3875A769">
      <w:pPr>
        <w:pStyle w:val="8"/>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5.本</w:t>
      </w:r>
      <w:r>
        <w:rPr>
          <w:rFonts w:hint="eastAsia" w:ascii="宋体" w:hAnsi="宋体" w:cs="仿宋_GB2312"/>
          <w:spacing w:val="-6"/>
          <w:sz w:val="24"/>
          <w:szCs w:val="24"/>
        </w:rPr>
        <w:t>协议书自所有成员单位法定代表人（单位负责人）或者其委托代理人签字或者盖单位章之日起生效，合同履行完毕后自动失效。</w:t>
      </w:r>
    </w:p>
    <w:p w14:paraId="4F9DD813">
      <w:pPr>
        <w:pStyle w:val="8"/>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6.本协议书一式</w:t>
      </w:r>
      <w:r>
        <w:rPr>
          <w:rFonts w:hint="eastAsia" w:ascii="宋体" w:hAnsi="宋体" w:cs="仿宋_GB2312"/>
          <w:sz w:val="24"/>
          <w:szCs w:val="24"/>
          <w:u w:val="single"/>
        </w:rPr>
        <w:t xml:space="preserve"> </w:t>
      </w:r>
      <w:r>
        <w:rPr>
          <w:rFonts w:hint="eastAsia" w:ascii="宋体" w:hAnsi="宋体" w:cs="仿宋_GB2312"/>
          <w:sz w:val="24"/>
          <w:szCs w:val="24"/>
          <w:u w:val="single"/>
        </w:rPr>
        <w:tab/>
      </w:r>
      <w:r>
        <w:rPr>
          <w:rFonts w:hint="eastAsia" w:ascii="宋体" w:hAnsi="宋体" w:cs="仿宋_GB2312"/>
          <w:sz w:val="24"/>
          <w:szCs w:val="24"/>
        </w:rPr>
        <w:t>份，联合体成员和采购人各执一份。</w:t>
      </w:r>
    </w:p>
    <w:p w14:paraId="3A6D3CB6">
      <w:pPr>
        <w:pStyle w:val="8"/>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注：本协议书应附法定代表人身份证明书；有委托代理的，应附权委托书（格式自拟）。</w:t>
      </w:r>
    </w:p>
    <w:p w14:paraId="778C0C0E">
      <w:pPr>
        <w:pStyle w:val="8"/>
        <w:overflowPunct w:val="0"/>
        <w:spacing w:line="360" w:lineRule="auto"/>
        <w:ind w:firstLineChars="175"/>
        <w:contextualSpacing/>
        <w:rPr>
          <w:rFonts w:ascii="宋体" w:hAnsi="宋体" w:cs="仿宋_GB2312"/>
          <w:sz w:val="24"/>
          <w:szCs w:val="24"/>
        </w:rPr>
      </w:pPr>
    </w:p>
    <w:p w14:paraId="6FC22059">
      <w:pPr>
        <w:pStyle w:val="8"/>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联合体牵头人名称（电子签章）：</w:t>
      </w:r>
    </w:p>
    <w:p w14:paraId="6363EFD6">
      <w:pPr>
        <w:pStyle w:val="8"/>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法定代表人或者其委托代理人签字（或者电子签名）：</w:t>
      </w:r>
    </w:p>
    <w:p w14:paraId="2122EFB3">
      <w:pPr>
        <w:pStyle w:val="8"/>
        <w:overflowPunct w:val="0"/>
        <w:spacing w:line="360" w:lineRule="auto"/>
        <w:ind w:firstLine="0"/>
        <w:contextualSpacing/>
        <w:rPr>
          <w:rFonts w:ascii="宋体" w:hAnsi="宋体" w:cs="仿宋_GB2312"/>
          <w:sz w:val="24"/>
          <w:szCs w:val="24"/>
        </w:rPr>
      </w:pPr>
    </w:p>
    <w:p w14:paraId="05D228B8">
      <w:pPr>
        <w:pStyle w:val="8"/>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联合体成员名称（电子签章）：</w:t>
      </w:r>
    </w:p>
    <w:p w14:paraId="7A593D3F">
      <w:pPr>
        <w:pStyle w:val="8"/>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法定代表人或者其委托代理人签字（或者电子签名）：</w:t>
      </w:r>
    </w:p>
    <w:p w14:paraId="682D464D">
      <w:pPr>
        <w:pStyle w:val="8"/>
        <w:overflowPunct w:val="0"/>
        <w:spacing w:line="360" w:lineRule="auto"/>
        <w:ind w:firstLine="0"/>
        <w:contextualSpacing/>
        <w:rPr>
          <w:rFonts w:ascii="宋体" w:hAnsi="宋体" w:cs="仿宋_GB2312"/>
          <w:sz w:val="24"/>
          <w:szCs w:val="24"/>
        </w:rPr>
      </w:pPr>
    </w:p>
    <w:p w14:paraId="7D8F20FF">
      <w:pPr>
        <w:pStyle w:val="8"/>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联合体成员名称（电子签章）：</w:t>
      </w:r>
    </w:p>
    <w:p w14:paraId="2F53D9F4">
      <w:pPr>
        <w:pStyle w:val="8"/>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法定代表人或者其委托代理人签字（或者电子签名）：</w:t>
      </w:r>
    </w:p>
    <w:p w14:paraId="7D669118">
      <w:pPr>
        <w:pStyle w:val="8"/>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w:t>
      </w:r>
    </w:p>
    <w:p w14:paraId="3804B7EF">
      <w:pPr>
        <w:spacing w:line="360" w:lineRule="auto"/>
        <w:ind w:right="480" w:firstLine="240" w:firstLineChars="100"/>
        <w:contextualSpacing/>
        <w:jc w:val="center"/>
        <w:rPr>
          <w:rFonts w:ascii="宋体" w:hAnsi="宋体" w:cs="仿宋_GB2312"/>
          <w:sz w:val="24"/>
        </w:rPr>
      </w:pPr>
      <w:r>
        <w:rPr>
          <w:rFonts w:hint="eastAsia" w:ascii="宋体" w:hAnsi="宋体" w:cs="仿宋_GB2312"/>
          <w:sz w:val="24"/>
        </w:rPr>
        <w:t xml:space="preserve"> </w:t>
      </w:r>
    </w:p>
    <w:p w14:paraId="26263697">
      <w:pPr>
        <w:spacing w:line="360" w:lineRule="auto"/>
        <w:ind w:right="480" w:firstLine="240" w:firstLineChars="100"/>
        <w:contextualSpacing/>
        <w:jc w:val="center"/>
        <w:rPr>
          <w:rFonts w:ascii="宋体" w:hAnsi="宋体" w:cs="仿宋_GB2312"/>
          <w:sz w:val="32"/>
          <w:szCs w:val="32"/>
        </w:rPr>
      </w:pPr>
      <w:r>
        <w:rPr>
          <w:rFonts w:hint="eastAsia" w:ascii="宋体" w:hAnsi="宋体" w:cs="仿宋_GB2312"/>
          <w:sz w:val="24"/>
        </w:rPr>
        <w:t xml:space="preserve">                                                年  </w:t>
      </w:r>
      <w:r>
        <w:rPr>
          <w:rFonts w:hint="eastAsia" w:ascii="宋体" w:hAnsi="宋体" w:cs="仿宋_GB2312"/>
          <w:sz w:val="24"/>
        </w:rPr>
        <w:tab/>
      </w:r>
      <w:r>
        <w:rPr>
          <w:rFonts w:hint="eastAsia" w:ascii="宋体" w:hAnsi="宋体" w:cs="仿宋_GB2312"/>
          <w:sz w:val="24"/>
        </w:rPr>
        <w:t xml:space="preserve">月  </w:t>
      </w:r>
      <w:r>
        <w:rPr>
          <w:rFonts w:hint="eastAsia" w:ascii="宋体" w:hAnsi="宋体" w:cs="仿宋_GB2312"/>
          <w:sz w:val="24"/>
        </w:rPr>
        <w:tab/>
      </w:r>
      <w:r>
        <w:rPr>
          <w:rFonts w:hint="eastAsia" w:ascii="宋体" w:hAnsi="宋体" w:cs="仿宋_GB2312"/>
          <w:sz w:val="24"/>
        </w:rPr>
        <w:t>日</w:t>
      </w:r>
    </w:p>
    <w:p w14:paraId="17860607">
      <w:pPr>
        <w:spacing w:line="360" w:lineRule="auto"/>
        <w:ind w:right="420"/>
        <w:contextualSpacing/>
        <w:jc w:val="left"/>
        <w:rPr>
          <w:rFonts w:ascii="宋体" w:hAnsi="宋体"/>
          <w:b/>
          <w:sz w:val="32"/>
          <w:szCs w:val="32"/>
        </w:rPr>
      </w:pPr>
      <w:r>
        <w:rPr>
          <w:rFonts w:hint="eastAsia" w:ascii="宋体" w:hAnsi="宋体"/>
          <w:b/>
          <w:bCs/>
          <w:sz w:val="32"/>
          <w:szCs w:val="32"/>
        </w:rPr>
        <w:t>二、</w:t>
      </w:r>
      <w:r>
        <w:rPr>
          <w:rFonts w:hint="eastAsia" w:ascii="宋体" w:hAnsi="宋体"/>
          <w:b/>
          <w:sz w:val="32"/>
          <w:szCs w:val="32"/>
        </w:rPr>
        <w:t xml:space="preserve">报价文件格式 </w:t>
      </w:r>
    </w:p>
    <w:p w14:paraId="149F40B7">
      <w:pPr>
        <w:snapToGrid w:val="0"/>
        <w:spacing w:before="120" w:beforeLines="50" w:after="50" w:line="360" w:lineRule="auto"/>
        <w:jc w:val="left"/>
        <w:rPr>
          <w:rFonts w:ascii="宋体" w:hAnsi="宋体"/>
          <w:b/>
          <w:sz w:val="32"/>
          <w:szCs w:val="32"/>
        </w:rPr>
      </w:pPr>
      <w:r>
        <w:rPr>
          <w:rFonts w:hint="eastAsia" w:ascii="宋体" w:hAnsi="宋体"/>
          <w:b/>
          <w:sz w:val="32"/>
          <w:szCs w:val="32"/>
        </w:rPr>
        <w:t>1.报价文件封面格式</w:t>
      </w:r>
    </w:p>
    <w:p w14:paraId="62626599">
      <w:pPr>
        <w:snapToGrid w:val="0"/>
        <w:spacing w:before="120" w:beforeLines="50" w:after="50"/>
        <w:rPr>
          <w:rFonts w:ascii="宋体" w:hAnsi="宋体"/>
          <w:bCs/>
          <w:sz w:val="32"/>
          <w:szCs w:val="20"/>
        </w:rPr>
      </w:pPr>
      <w:r>
        <w:rPr>
          <w:rFonts w:hint="eastAsia" w:ascii="宋体" w:hAnsi="宋体"/>
          <w:sz w:val="24"/>
        </w:rPr>
        <w:t xml:space="preserve">                                                    </w:t>
      </w:r>
    </w:p>
    <w:p w14:paraId="00463FE0">
      <w:pPr>
        <w:snapToGrid w:val="0"/>
        <w:spacing w:before="120" w:beforeLines="50" w:after="50"/>
        <w:jc w:val="center"/>
        <w:rPr>
          <w:rFonts w:ascii="宋体" w:hAnsi="宋体"/>
          <w:sz w:val="24"/>
          <w:szCs w:val="20"/>
        </w:rPr>
      </w:pPr>
      <w:r>
        <w:rPr>
          <w:rFonts w:hint="eastAsia" w:ascii="宋体" w:hAnsi="宋体"/>
          <w:sz w:val="44"/>
          <w:szCs w:val="44"/>
        </w:rPr>
        <w:t>电 子 响 应 文 件</w:t>
      </w:r>
    </w:p>
    <w:p w14:paraId="57C12886">
      <w:pPr>
        <w:snapToGrid w:val="0"/>
        <w:spacing w:before="120" w:beforeLines="50" w:after="50"/>
        <w:rPr>
          <w:rFonts w:ascii="宋体" w:hAnsi="宋体"/>
          <w:sz w:val="24"/>
          <w:szCs w:val="20"/>
        </w:rPr>
      </w:pPr>
    </w:p>
    <w:p w14:paraId="491136EF">
      <w:pPr>
        <w:snapToGrid w:val="0"/>
        <w:spacing w:before="120" w:beforeLines="50" w:after="50"/>
        <w:rPr>
          <w:rFonts w:ascii="宋体" w:hAnsi="宋体"/>
          <w:sz w:val="24"/>
          <w:szCs w:val="20"/>
        </w:rPr>
      </w:pPr>
    </w:p>
    <w:p w14:paraId="37FE1438">
      <w:pPr>
        <w:snapToGrid w:val="0"/>
        <w:spacing w:before="120" w:beforeLines="50" w:after="50"/>
        <w:jc w:val="center"/>
        <w:rPr>
          <w:rFonts w:ascii="宋体" w:hAnsi="宋体" w:cs="方正小标宋简体"/>
          <w:bCs/>
          <w:sz w:val="44"/>
          <w:szCs w:val="44"/>
        </w:rPr>
      </w:pPr>
      <w:r>
        <w:rPr>
          <w:rFonts w:hint="eastAsia" w:ascii="宋体" w:hAnsi="宋体" w:cs="方正小标宋简体"/>
          <w:bCs/>
          <w:sz w:val="44"/>
          <w:szCs w:val="44"/>
        </w:rPr>
        <w:t>报  价  文  件</w:t>
      </w:r>
    </w:p>
    <w:p w14:paraId="0658AC8B">
      <w:pPr>
        <w:snapToGrid w:val="0"/>
        <w:spacing w:before="120" w:beforeLines="50" w:after="50"/>
        <w:rPr>
          <w:rFonts w:ascii="宋体" w:hAnsi="宋体"/>
          <w:bCs/>
          <w:sz w:val="24"/>
          <w:szCs w:val="20"/>
        </w:rPr>
      </w:pPr>
    </w:p>
    <w:p w14:paraId="03ADCFFC">
      <w:pPr>
        <w:snapToGrid w:val="0"/>
        <w:spacing w:before="120" w:beforeLines="50" w:after="50"/>
        <w:rPr>
          <w:rFonts w:ascii="宋体" w:hAnsi="宋体"/>
          <w:bCs/>
          <w:sz w:val="24"/>
          <w:szCs w:val="20"/>
        </w:rPr>
      </w:pPr>
    </w:p>
    <w:p w14:paraId="40329544">
      <w:pPr>
        <w:snapToGrid w:val="0"/>
        <w:spacing w:before="120" w:beforeLines="50" w:after="50"/>
        <w:rPr>
          <w:rFonts w:ascii="宋体" w:hAnsi="宋体"/>
          <w:bCs/>
          <w:sz w:val="24"/>
          <w:szCs w:val="20"/>
        </w:rPr>
      </w:pPr>
    </w:p>
    <w:p w14:paraId="0BF29F3E">
      <w:pPr>
        <w:snapToGrid w:val="0"/>
        <w:spacing w:before="120" w:beforeLines="50" w:after="50"/>
        <w:rPr>
          <w:rFonts w:ascii="宋体" w:hAnsi="宋体"/>
          <w:bCs/>
          <w:sz w:val="24"/>
          <w:szCs w:val="20"/>
        </w:rPr>
      </w:pPr>
    </w:p>
    <w:p w14:paraId="205FD21A">
      <w:pPr>
        <w:snapToGrid w:val="0"/>
        <w:spacing w:before="120" w:beforeLines="50" w:after="50"/>
        <w:rPr>
          <w:rFonts w:ascii="宋体" w:hAnsi="宋体"/>
          <w:bCs/>
          <w:sz w:val="24"/>
          <w:szCs w:val="20"/>
        </w:rPr>
      </w:pPr>
    </w:p>
    <w:p w14:paraId="2995E51E">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项目名称：</w:t>
      </w:r>
    </w:p>
    <w:p w14:paraId="59B3EF3D">
      <w:pPr>
        <w:snapToGrid w:val="0"/>
        <w:spacing w:before="120" w:beforeLines="50" w:after="50"/>
        <w:ind w:firstLine="720" w:firstLineChars="225"/>
        <w:rPr>
          <w:rFonts w:ascii="宋体" w:hAnsi="宋体" w:cs="仿宋_GB2312"/>
          <w:bCs/>
          <w:sz w:val="32"/>
          <w:szCs w:val="32"/>
        </w:rPr>
      </w:pPr>
    </w:p>
    <w:p w14:paraId="2A2E6B3C">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项目编号：</w:t>
      </w:r>
    </w:p>
    <w:p w14:paraId="1715779E">
      <w:pPr>
        <w:snapToGrid w:val="0"/>
        <w:spacing w:before="120" w:beforeLines="50" w:after="50"/>
        <w:ind w:firstLine="720" w:firstLineChars="225"/>
        <w:rPr>
          <w:rFonts w:ascii="宋体" w:hAnsi="宋体" w:cs="仿宋_GB2312"/>
          <w:bCs/>
          <w:sz w:val="32"/>
          <w:szCs w:val="32"/>
        </w:rPr>
      </w:pPr>
    </w:p>
    <w:p w14:paraId="25182644">
      <w:pPr>
        <w:pStyle w:val="8"/>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14:paraId="604475AD">
      <w:pPr>
        <w:pStyle w:val="8"/>
        <w:snapToGrid w:val="0"/>
        <w:spacing w:before="50" w:after="50"/>
        <w:ind w:firstLine="640" w:firstLineChars="200"/>
        <w:rPr>
          <w:rFonts w:ascii="宋体" w:hAnsi="宋体" w:cs="仿宋_GB2312"/>
          <w:bCs/>
          <w:sz w:val="32"/>
          <w:szCs w:val="32"/>
        </w:rPr>
      </w:pPr>
    </w:p>
    <w:p w14:paraId="60CD3BD1">
      <w:pPr>
        <w:pStyle w:val="8"/>
        <w:snapToGrid w:val="0"/>
        <w:spacing w:before="50" w:after="50"/>
        <w:ind w:firstLine="720" w:firstLineChars="225"/>
        <w:rPr>
          <w:rFonts w:ascii="宋体" w:hAnsi="宋体" w:cs="仿宋_GB2312"/>
          <w:bCs/>
          <w:sz w:val="32"/>
          <w:szCs w:val="32"/>
        </w:rPr>
      </w:pPr>
    </w:p>
    <w:p w14:paraId="4B696C20">
      <w:pPr>
        <w:pStyle w:val="8"/>
        <w:snapToGrid w:val="0"/>
        <w:spacing w:before="50" w:after="50"/>
        <w:ind w:firstLine="0"/>
        <w:rPr>
          <w:rFonts w:ascii="宋体" w:hAnsi="宋体" w:cs="仿宋_GB2312"/>
          <w:bCs/>
          <w:sz w:val="32"/>
          <w:szCs w:val="32"/>
        </w:rPr>
      </w:pPr>
    </w:p>
    <w:p w14:paraId="02A998D5">
      <w:pPr>
        <w:pStyle w:val="8"/>
        <w:snapToGrid w:val="0"/>
        <w:spacing w:before="50" w:after="50"/>
        <w:ind w:firstLine="1280" w:firstLineChars="400"/>
        <w:rPr>
          <w:rFonts w:ascii="宋体" w:hAnsi="宋体" w:cs="仿宋_GB2312"/>
          <w:bCs/>
          <w:sz w:val="32"/>
          <w:szCs w:val="32"/>
        </w:rPr>
      </w:pPr>
    </w:p>
    <w:p w14:paraId="34E029B9">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14:paraId="4EA7AF2B">
      <w:pPr>
        <w:snapToGrid w:val="0"/>
        <w:spacing w:before="120" w:beforeLines="50" w:after="50" w:line="360" w:lineRule="auto"/>
        <w:jc w:val="left"/>
        <w:rPr>
          <w:rFonts w:ascii="宋体" w:hAnsi="宋体"/>
          <w:b/>
          <w:bCs/>
          <w:sz w:val="24"/>
        </w:rPr>
      </w:pPr>
      <w:r>
        <w:rPr>
          <w:rFonts w:hint="eastAsia" w:ascii="宋体" w:hAnsi="宋体"/>
          <w:szCs w:val="21"/>
        </w:rPr>
        <w:br w:type="page"/>
      </w:r>
      <w:r>
        <w:rPr>
          <w:rFonts w:hint="eastAsia" w:ascii="宋体" w:hAnsi="宋体"/>
          <w:b/>
          <w:bCs/>
          <w:sz w:val="32"/>
          <w:szCs w:val="32"/>
        </w:rPr>
        <w:t>2.报价文件目录</w:t>
      </w:r>
    </w:p>
    <w:p w14:paraId="082DB170">
      <w:pPr>
        <w:spacing w:line="360" w:lineRule="auto"/>
        <w:contextualSpacing/>
        <w:jc w:val="left"/>
        <w:rPr>
          <w:rFonts w:ascii="宋体" w:hAnsi="宋体"/>
          <w:sz w:val="32"/>
          <w:szCs w:val="32"/>
        </w:rPr>
      </w:pPr>
      <w:r>
        <w:rPr>
          <w:rFonts w:hint="eastAsia" w:ascii="宋体" w:hAnsi="宋体"/>
          <w:sz w:val="32"/>
          <w:szCs w:val="32"/>
        </w:rPr>
        <w:t xml:space="preserve">  根据磋商文件规定及供应商提供的材料自行编写目录（部分格式后附）。</w:t>
      </w:r>
    </w:p>
    <w:p w14:paraId="08032499">
      <w:pPr>
        <w:spacing w:line="360" w:lineRule="auto"/>
        <w:contextualSpacing/>
        <w:jc w:val="center"/>
        <w:rPr>
          <w:rFonts w:ascii="宋体" w:hAnsi="宋体" w:cs="方正小标宋简体"/>
          <w:bCs/>
          <w:sz w:val="32"/>
          <w:szCs w:val="32"/>
        </w:rPr>
      </w:pPr>
      <w:r>
        <w:rPr>
          <w:rFonts w:ascii="宋体" w:hAnsi="宋体"/>
          <w:b/>
          <w:bCs/>
          <w:sz w:val="32"/>
          <w:szCs w:val="32"/>
        </w:rPr>
        <w:br w:type="page"/>
      </w:r>
      <w:r>
        <w:rPr>
          <w:rFonts w:hint="eastAsia" w:ascii="宋体" w:hAnsi="宋体" w:cs="方正小标宋简体"/>
          <w:bCs/>
          <w:sz w:val="44"/>
          <w:szCs w:val="44"/>
        </w:rPr>
        <w:t>竞  标  报  价  表</w:t>
      </w:r>
    </w:p>
    <w:p w14:paraId="14A08874">
      <w:pPr>
        <w:snapToGrid w:val="0"/>
        <w:spacing w:before="50" w:after="50" w:line="360" w:lineRule="auto"/>
        <w:rPr>
          <w:rFonts w:ascii="宋体" w:hAnsi="宋体" w:cs="仿宋_GB2312"/>
          <w:sz w:val="24"/>
        </w:rPr>
      </w:pPr>
      <w:r>
        <w:rPr>
          <w:rFonts w:hint="eastAsia" w:ascii="宋体" w:hAnsi="宋体" w:cs="仿宋_GB2312"/>
          <w:sz w:val="24"/>
        </w:rPr>
        <w:t>项目名称：</w:t>
      </w:r>
      <w:r>
        <w:rPr>
          <w:rFonts w:hint="eastAsia" w:ascii="宋体" w:hAnsi="宋体" w:cs="仿宋_GB2312"/>
          <w:sz w:val="24"/>
          <w:u w:val="single"/>
        </w:rPr>
        <w:t xml:space="preserve">                </w:t>
      </w:r>
      <w:r>
        <w:rPr>
          <w:rFonts w:hint="eastAsia" w:ascii="宋体" w:hAnsi="宋体" w:cs="仿宋_GB2312"/>
          <w:sz w:val="24"/>
        </w:rPr>
        <w:t>项目编号：</w:t>
      </w:r>
      <w:r>
        <w:rPr>
          <w:rFonts w:hint="eastAsia" w:ascii="宋体" w:hAnsi="宋体" w:cs="仿宋_GB2312"/>
          <w:sz w:val="24"/>
          <w:u w:val="single"/>
        </w:rPr>
        <w:t xml:space="preserve">                   </w:t>
      </w:r>
      <w:r>
        <w:rPr>
          <w:rFonts w:hint="eastAsia" w:ascii="宋体" w:hAnsi="宋体" w:cs="仿宋_GB2312"/>
          <w:sz w:val="24"/>
        </w:rPr>
        <w:t xml:space="preserve">     </w:t>
      </w:r>
    </w:p>
    <w:p w14:paraId="1E33F244">
      <w:pPr>
        <w:snapToGrid w:val="0"/>
        <w:spacing w:before="50" w:after="50" w:line="360" w:lineRule="auto"/>
        <w:rPr>
          <w:rFonts w:ascii="宋体" w:hAnsi="宋体" w:cs="仿宋_GB2312"/>
          <w:sz w:val="24"/>
        </w:rPr>
      </w:pPr>
      <w:r>
        <w:rPr>
          <w:rFonts w:hint="eastAsia" w:ascii="宋体" w:hAnsi="宋体" w:cs="仿宋_GB2312"/>
          <w:sz w:val="24"/>
        </w:rPr>
        <w:t>供应商名称：</w:t>
      </w:r>
      <w:r>
        <w:rPr>
          <w:rFonts w:hint="eastAsia" w:ascii="宋体" w:hAnsi="宋体" w:cs="仿宋_GB2312"/>
          <w:sz w:val="24"/>
          <w:u w:val="single"/>
        </w:rPr>
        <w:t xml:space="preserve">                                           </w:t>
      </w:r>
      <w:r>
        <w:rPr>
          <w:rFonts w:hint="eastAsia" w:ascii="宋体" w:hAnsi="宋体" w:cs="仿宋_GB2312"/>
          <w:sz w:val="24"/>
        </w:rPr>
        <w:t xml:space="preserve">   </w:t>
      </w:r>
    </w:p>
    <w:p w14:paraId="01F62420">
      <w:pPr>
        <w:snapToGrid w:val="0"/>
        <w:spacing w:before="50" w:after="50" w:line="360" w:lineRule="auto"/>
        <w:rPr>
          <w:rFonts w:ascii="宋体" w:hAnsi="宋体" w:cs="仿宋_GB2312"/>
          <w:sz w:val="24"/>
        </w:rPr>
      </w:pPr>
      <w:r>
        <w:rPr>
          <w:rFonts w:hint="eastAsia" w:ascii="宋体" w:hAnsi="宋体" w:cs="仿宋_GB2312"/>
          <w:sz w:val="24"/>
        </w:rPr>
        <w:t>标项：</w:t>
      </w:r>
      <w:r>
        <w:rPr>
          <w:rFonts w:hint="eastAsia" w:ascii="宋体" w:hAnsi="宋体" w:cs="仿宋_GB2312"/>
          <w:sz w:val="24"/>
          <w:u w:val="single"/>
        </w:rPr>
        <w:t xml:space="preserve">           </w:t>
      </w:r>
    </w:p>
    <w:p w14:paraId="40667A02">
      <w:pPr>
        <w:snapToGrid w:val="0"/>
        <w:spacing w:before="50" w:after="50" w:line="360" w:lineRule="auto"/>
        <w:rPr>
          <w:rFonts w:ascii="宋体" w:hAnsi="宋体" w:cs="仿宋_GB2312"/>
          <w:sz w:val="24"/>
        </w:rPr>
      </w:pPr>
      <w:r>
        <w:rPr>
          <w:rFonts w:hint="eastAsia" w:ascii="宋体" w:hAnsi="宋体" w:cs="仿宋_GB2312"/>
          <w:sz w:val="24"/>
        </w:rPr>
        <w:t xml:space="preserve">                                               单位：元</w:t>
      </w:r>
    </w:p>
    <w:tbl>
      <w:tblPr>
        <w:tblStyle w:val="29"/>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90"/>
        <w:gridCol w:w="1371"/>
        <w:gridCol w:w="1110"/>
        <w:gridCol w:w="1130"/>
        <w:gridCol w:w="1572"/>
        <w:gridCol w:w="1519"/>
        <w:gridCol w:w="1803"/>
      </w:tblGrid>
      <w:tr w14:paraId="7D1EE9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88" w:hRule="atLeast"/>
        </w:trPr>
        <w:tc>
          <w:tcPr>
            <w:tcW w:w="325" w:type="pct"/>
            <w:tcBorders>
              <w:top w:val="single" w:color="auto" w:sz="4" w:space="0"/>
              <w:left w:val="single" w:color="auto" w:sz="4" w:space="0"/>
              <w:bottom w:val="single" w:color="auto" w:sz="4" w:space="0"/>
              <w:right w:val="single" w:color="auto" w:sz="4" w:space="0"/>
            </w:tcBorders>
            <w:vAlign w:val="center"/>
          </w:tcPr>
          <w:p w14:paraId="4A7C0A25">
            <w:pPr>
              <w:spacing w:line="320" w:lineRule="exact"/>
              <w:jc w:val="center"/>
              <w:rPr>
                <w:rFonts w:ascii="宋体" w:hAnsi="宋体"/>
              </w:rPr>
            </w:pPr>
            <w:r>
              <w:rPr>
                <w:rFonts w:hint="eastAsia" w:ascii="宋体" w:hAnsi="宋体"/>
              </w:rPr>
              <w:t>项号</w:t>
            </w:r>
          </w:p>
        </w:tc>
        <w:tc>
          <w:tcPr>
            <w:tcW w:w="754" w:type="pct"/>
            <w:tcBorders>
              <w:top w:val="single" w:color="auto" w:sz="4" w:space="0"/>
              <w:left w:val="single" w:color="auto" w:sz="4" w:space="0"/>
              <w:bottom w:val="single" w:color="auto" w:sz="4" w:space="0"/>
              <w:right w:val="single" w:color="auto" w:sz="4" w:space="0"/>
            </w:tcBorders>
            <w:vAlign w:val="center"/>
          </w:tcPr>
          <w:p w14:paraId="1FC5FFF7">
            <w:pPr>
              <w:spacing w:line="320" w:lineRule="exact"/>
              <w:jc w:val="center"/>
              <w:rPr>
                <w:rFonts w:ascii="宋体" w:hAnsi="宋体"/>
              </w:rPr>
            </w:pPr>
            <w:r>
              <w:rPr>
                <w:rFonts w:hint="eastAsia" w:ascii="宋体" w:hAnsi="宋体"/>
              </w:rPr>
              <w:t>标的名称</w:t>
            </w:r>
          </w:p>
        </w:tc>
        <w:tc>
          <w:tcPr>
            <w:tcW w:w="610" w:type="pct"/>
            <w:tcBorders>
              <w:top w:val="single" w:color="auto" w:sz="4" w:space="0"/>
              <w:left w:val="single" w:color="auto" w:sz="4" w:space="0"/>
              <w:bottom w:val="single" w:color="auto" w:sz="4" w:space="0"/>
              <w:right w:val="single" w:color="auto" w:sz="4" w:space="0"/>
            </w:tcBorders>
            <w:vAlign w:val="center"/>
          </w:tcPr>
          <w:p w14:paraId="41C1AB72">
            <w:pPr>
              <w:spacing w:line="320" w:lineRule="exact"/>
              <w:jc w:val="center"/>
              <w:rPr>
                <w:rFonts w:ascii="宋体" w:hAnsi="宋体"/>
              </w:rPr>
            </w:pPr>
            <w:r>
              <w:rPr>
                <w:rFonts w:hint="eastAsia" w:ascii="宋体" w:hAnsi="宋体"/>
              </w:rPr>
              <w:t>数量①</w:t>
            </w:r>
          </w:p>
        </w:tc>
        <w:tc>
          <w:tcPr>
            <w:tcW w:w="621" w:type="pct"/>
            <w:tcBorders>
              <w:top w:val="single" w:color="auto" w:sz="4" w:space="0"/>
              <w:left w:val="single" w:color="auto" w:sz="4" w:space="0"/>
              <w:bottom w:val="single" w:color="auto" w:sz="4" w:space="0"/>
              <w:right w:val="single" w:color="auto" w:sz="4" w:space="0"/>
            </w:tcBorders>
            <w:vAlign w:val="center"/>
          </w:tcPr>
          <w:p w14:paraId="38472065">
            <w:pPr>
              <w:spacing w:line="320" w:lineRule="exact"/>
              <w:jc w:val="center"/>
              <w:rPr>
                <w:rFonts w:ascii="宋体" w:hAnsi="宋体"/>
              </w:rPr>
            </w:pPr>
            <w:r>
              <w:rPr>
                <w:rFonts w:hint="eastAsia" w:ascii="宋体" w:hAnsi="宋体"/>
              </w:rPr>
              <w:t>单位</w:t>
            </w:r>
          </w:p>
        </w:tc>
        <w:tc>
          <w:tcPr>
            <w:tcW w:w="864" w:type="pct"/>
            <w:tcBorders>
              <w:top w:val="single" w:color="auto" w:sz="4" w:space="0"/>
              <w:left w:val="nil"/>
              <w:bottom w:val="single" w:color="auto" w:sz="4" w:space="0"/>
              <w:right w:val="single" w:color="auto" w:sz="4" w:space="0"/>
            </w:tcBorders>
            <w:vAlign w:val="center"/>
          </w:tcPr>
          <w:p w14:paraId="1A29CCEB">
            <w:pPr>
              <w:spacing w:line="320" w:lineRule="exact"/>
              <w:jc w:val="center"/>
              <w:rPr>
                <w:rFonts w:ascii="宋体" w:hAnsi="宋体"/>
              </w:rPr>
            </w:pPr>
            <w:r>
              <w:rPr>
                <w:rFonts w:hint="eastAsia" w:ascii="宋体" w:hAnsi="宋体"/>
              </w:rPr>
              <w:t>单价（元）②</w:t>
            </w:r>
          </w:p>
        </w:tc>
        <w:tc>
          <w:tcPr>
            <w:tcW w:w="835" w:type="pct"/>
            <w:tcBorders>
              <w:top w:val="single" w:color="auto" w:sz="4" w:space="0"/>
              <w:left w:val="single" w:color="auto" w:sz="4" w:space="0"/>
              <w:bottom w:val="single" w:color="auto" w:sz="4" w:space="0"/>
              <w:right w:val="single" w:color="auto" w:sz="4" w:space="0"/>
            </w:tcBorders>
            <w:vAlign w:val="center"/>
          </w:tcPr>
          <w:p w14:paraId="1C309D41">
            <w:pPr>
              <w:spacing w:line="320" w:lineRule="exact"/>
              <w:jc w:val="center"/>
              <w:rPr>
                <w:rFonts w:ascii="宋体" w:hAnsi="宋体"/>
              </w:rPr>
            </w:pPr>
            <w:r>
              <w:rPr>
                <w:rFonts w:hint="eastAsia" w:ascii="宋体" w:hAnsi="宋体"/>
              </w:rPr>
              <w:t>小计（元）</w:t>
            </w:r>
          </w:p>
          <w:p w14:paraId="634BAABD">
            <w:pPr>
              <w:spacing w:line="320" w:lineRule="exact"/>
              <w:jc w:val="center"/>
              <w:rPr>
                <w:rFonts w:ascii="宋体" w:hAnsi="宋体"/>
              </w:rPr>
            </w:pPr>
            <w:r>
              <w:rPr>
                <w:rFonts w:hint="eastAsia" w:ascii="宋体" w:hAnsi="宋体"/>
              </w:rPr>
              <w:t>③=①×②</w:t>
            </w:r>
          </w:p>
        </w:tc>
        <w:tc>
          <w:tcPr>
            <w:tcW w:w="989" w:type="pct"/>
            <w:tcBorders>
              <w:top w:val="single" w:color="auto" w:sz="4" w:space="0"/>
              <w:left w:val="nil"/>
              <w:bottom w:val="single" w:color="auto" w:sz="4" w:space="0"/>
              <w:right w:val="single" w:color="auto" w:sz="4" w:space="0"/>
            </w:tcBorders>
            <w:vAlign w:val="center"/>
          </w:tcPr>
          <w:p w14:paraId="33DDE0FB">
            <w:pPr>
              <w:spacing w:line="320" w:lineRule="exact"/>
              <w:jc w:val="center"/>
              <w:rPr>
                <w:rFonts w:ascii="宋体" w:hAnsi="宋体"/>
              </w:rPr>
            </w:pPr>
            <w:r>
              <w:rPr>
                <w:rFonts w:hint="eastAsia" w:ascii="宋体" w:hAnsi="宋体"/>
              </w:rPr>
              <w:t>备注</w:t>
            </w:r>
          </w:p>
        </w:tc>
      </w:tr>
      <w:tr w14:paraId="4D9E09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8" w:hRule="atLeast"/>
        </w:trPr>
        <w:tc>
          <w:tcPr>
            <w:tcW w:w="325" w:type="pct"/>
            <w:tcBorders>
              <w:top w:val="single" w:color="auto" w:sz="4" w:space="0"/>
              <w:left w:val="single" w:color="auto" w:sz="4" w:space="0"/>
              <w:bottom w:val="single" w:color="auto" w:sz="4" w:space="0"/>
              <w:right w:val="single" w:color="auto" w:sz="4" w:space="0"/>
            </w:tcBorders>
            <w:vAlign w:val="center"/>
          </w:tcPr>
          <w:p w14:paraId="7AC10D79">
            <w:pPr>
              <w:tabs>
                <w:tab w:val="left" w:pos="180"/>
                <w:tab w:val="left" w:pos="1620"/>
              </w:tabs>
              <w:spacing w:line="340" w:lineRule="exact"/>
              <w:jc w:val="center"/>
              <w:rPr>
                <w:rFonts w:ascii="宋体" w:hAnsi="宋体"/>
              </w:rPr>
            </w:pPr>
            <w:r>
              <w:rPr>
                <w:rFonts w:hint="eastAsia" w:ascii="宋体" w:hAnsi="宋体" w:cs="宋体"/>
                <w:szCs w:val="21"/>
              </w:rPr>
              <w:t>1</w:t>
            </w:r>
          </w:p>
        </w:tc>
        <w:tc>
          <w:tcPr>
            <w:tcW w:w="754" w:type="pct"/>
            <w:tcBorders>
              <w:top w:val="single" w:color="auto" w:sz="4" w:space="0"/>
              <w:left w:val="single" w:color="auto" w:sz="4" w:space="0"/>
              <w:bottom w:val="single" w:color="auto" w:sz="4" w:space="0"/>
              <w:right w:val="single" w:color="auto" w:sz="4" w:space="0"/>
            </w:tcBorders>
            <w:vAlign w:val="center"/>
          </w:tcPr>
          <w:p w14:paraId="0B09A2C0">
            <w:pPr>
              <w:tabs>
                <w:tab w:val="left" w:pos="180"/>
                <w:tab w:val="left" w:pos="1620"/>
              </w:tabs>
              <w:spacing w:line="340" w:lineRule="exact"/>
              <w:jc w:val="center"/>
              <w:rPr>
                <w:rFonts w:ascii="宋体" w:hAnsi="宋体"/>
              </w:rPr>
            </w:pPr>
          </w:p>
        </w:tc>
        <w:tc>
          <w:tcPr>
            <w:tcW w:w="610" w:type="pct"/>
            <w:tcBorders>
              <w:top w:val="single" w:color="auto" w:sz="4" w:space="0"/>
              <w:left w:val="single" w:color="auto" w:sz="4" w:space="0"/>
              <w:bottom w:val="single" w:color="auto" w:sz="4" w:space="0"/>
              <w:right w:val="single" w:color="auto" w:sz="4" w:space="0"/>
            </w:tcBorders>
            <w:vAlign w:val="center"/>
          </w:tcPr>
          <w:p w14:paraId="1A2B4DDA">
            <w:pPr>
              <w:tabs>
                <w:tab w:val="left" w:pos="180"/>
                <w:tab w:val="left" w:pos="1620"/>
              </w:tabs>
              <w:spacing w:line="340" w:lineRule="exact"/>
              <w:jc w:val="center"/>
              <w:rPr>
                <w:rFonts w:ascii="宋体" w:hAnsi="宋体"/>
              </w:rPr>
            </w:pPr>
          </w:p>
        </w:tc>
        <w:tc>
          <w:tcPr>
            <w:tcW w:w="621" w:type="pct"/>
            <w:tcBorders>
              <w:top w:val="single" w:color="auto" w:sz="4" w:space="0"/>
              <w:left w:val="single" w:color="auto" w:sz="4" w:space="0"/>
              <w:bottom w:val="single" w:color="auto" w:sz="4" w:space="0"/>
              <w:right w:val="single" w:color="auto" w:sz="4" w:space="0"/>
            </w:tcBorders>
            <w:vAlign w:val="center"/>
          </w:tcPr>
          <w:p w14:paraId="6DC207C5">
            <w:pPr>
              <w:widowControl/>
              <w:snapToGrid w:val="0"/>
              <w:spacing w:before="50" w:after="50" w:line="340" w:lineRule="exact"/>
              <w:jc w:val="center"/>
              <w:rPr>
                <w:rFonts w:ascii="宋体" w:hAnsi="宋体"/>
              </w:rPr>
            </w:pPr>
          </w:p>
        </w:tc>
        <w:tc>
          <w:tcPr>
            <w:tcW w:w="864" w:type="pct"/>
            <w:tcBorders>
              <w:top w:val="nil"/>
              <w:left w:val="nil"/>
              <w:bottom w:val="single" w:color="auto" w:sz="4" w:space="0"/>
              <w:right w:val="single" w:color="auto" w:sz="4" w:space="0"/>
            </w:tcBorders>
            <w:vAlign w:val="center"/>
          </w:tcPr>
          <w:p w14:paraId="71B39D10">
            <w:pPr>
              <w:snapToGrid w:val="0"/>
              <w:spacing w:before="50" w:after="50" w:line="340" w:lineRule="exact"/>
              <w:jc w:val="center"/>
              <w:rPr>
                <w:rFonts w:ascii="宋体" w:hAnsi="宋体"/>
              </w:rPr>
            </w:pPr>
          </w:p>
        </w:tc>
        <w:tc>
          <w:tcPr>
            <w:tcW w:w="835" w:type="pct"/>
            <w:tcBorders>
              <w:top w:val="nil"/>
              <w:left w:val="single" w:color="auto" w:sz="4" w:space="0"/>
              <w:bottom w:val="single" w:color="auto" w:sz="4" w:space="0"/>
              <w:right w:val="single" w:color="auto" w:sz="4" w:space="0"/>
            </w:tcBorders>
            <w:vAlign w:val="center"/>
          </w:tcPr>
          <w:p w14:paraId="1595F3C1">
            <w:pPr>
              <w:snapToGrid w:val="0"/>
              <w:spacing w:before="50" w:after="50" w:line="340" w:lineRule="exact"/>
              <w:jc w:val="center"/>
              <w:rPr>
                <w:rFonts w:ascii="宋体" w:hAnsi="宋体"/>
              </w:rPr>
            </w:pPr>
          </w:p>
        </w:tc>
        <w:tc>
          <w:tcPr>
            <w:tcW w:w="989" w:type="pct"/>
            <w:tcBorders>
              <w:top w:val="nil"/>
              <w:left w:val="nil"/>
              <w:bottom w:val="single" w:color="auto" w:sz="4" w:space="0"/>
              <w:right w:val="single" w:color="auto" w:sz="4" w:space="0"/>
            </w:tcBorders>
          </w:tcPr>
          <w:p w14:paraId="4796C513">
            <w:pPr>
              <w:snapToGrid w:val="0"/>
              <w:spacing w:before="50" w:after="50" w:line="340" w:lineRule="exact"/>
              <w:jc w:val="center"/>
              <w:rPr>
                <w:rFonts w:ascii="宋体" w:hAnsi="宋体"/>
              </w:rPr>
            </w:pPr>
          </w:p>
        </w:tc>
      </w:tr>
      <w:tr w14:paraId="0B3BD3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8" w:hRule="atLeast"/>
        </w:trPr>
        <w:tc>
          <w:tcPr>
            <w:tcW w:w="325" w:type="pct"/>
            <w:tcBorders>
              <w:top w:val="single" w:color="auto" w:sz="4" w:space="0"/>
              <w:left w:val="single" w:color="auto" w:sz="4" w:space="0"/>
              <w:bottom w:val="single" w:color="auto" w:sz="4" w:space="0"/>
              <w:right w:val="single" w:color="auto" w:sz="4" w:space="0"/>
            </w:tcBorders>
            <w:vAlign w:val="center"/>
          </w:tcPr>
          <w:p w14:paraId="0143EB24">
            <w:pPr>
              <w:tabs>
                <w:tab w:val="left" w:pos="180"/>
                <w:tab w:val="left" w:pos="1620"/>
              </w:tabs>
              <w:spacing w:line="340" w:lineRule="exact"/>
              <w:jc w:val="center"/>
              <w:rPr>
                <w:rFonts w:ascii="宋体" w:hAnsi="宋体"/>
              </w:rPr>
            </w:pPr>
            <w:r>
              <w:rPr>
                <w:rFonts w:hint="eastAsia" w:ascii="宋体" w:hAnsi="宋体" w:cs="宋体"/>
                <w:szCs w:val="21"/>
              </w:rPr>
              <w:t>2</w:t>
            </w:r>
          </w:p>
        </w:tc>
        <w:tc>
          <w:tcPr>
            <w:tcW w:w="754" w:type="pct"/>
            <w:tcBorders>
              <w:top w:val="single" w:color="auto" w:sz="4" w:space="0"/>
              <w:left w:val="single" w:color="auto" w:sz="4" w:space="0"/>
              <w:bottom w:val="single" w:color="auto" w:sz="4" w:space="0"/>
              <w:right w:val="single" w:color="auto" w:sz="4" w:space="0"/>
            </w:tcBorders>
            <w:vAlign w:val="center"/>
          </w:tcPr>
          <w:p w14:paraId="2128C6D1">
            <w:pPr>
              <w:tabs>
                <w:tab w:val="left" w:pos="180"/>
                <w:tab w:val="left" w:pos="1620"/>
              </w:tabs>
              <w:spacing w:line="340" w:lineRule="exact"/>
              <w:jc w:val="center"/>
              <w:rPr>
                <w:rFonts w:ascii="宋体" w:hAnsi="宋体"/>
              </w:rPr>
            </w:pPr>
          </w:p>
        </w:tc>
        <w:tc>
          <w:tcPr>
            <w:tcW w:w="610" w:type="pct"/>
            <w:tcBorders>
              <w:top w:val="single" w:color="auto" w:sz="4" w:space="0"/>
              <w:left w:val="single" w:color="auto" w:sz="4" w:space="0"/>
              <w:bottom w:val="single" w:color="auto" w:sz="4" w:space="0"/>
              <w:right w:val="single" w:color="auto" w:sz="4" w:space="0"/>
            </w:tcBorders>
            <w:vAlign w:val="center"/>
          </w:tcPr>
          <w:p w14:paraId="08B7FB82">
            <w:pPr>
              <w:tabs>
                <w:tab w:val="left" w:pos="180"/>
                <w:tab w:val="left" w:pos="1620"/>
              </w:tabs>
              <w:spacing w:line="340" w:lineRule="exact"/>
              <w:jc w:val="center"/>
              <w:rPr>
                <w:rFonts w:ascii="宋体" w:hAnsi="宋体"/>
              </w:rPr>
            </w:pPr>
          </w:p>
        </w:tc>
        <w:tc>
          <w:tcPr>
            <w:tcW w:w="621" w:type="pct"/>
            <w:tcBorders>
              <w:top w:val="single" w:color="auto" w:sz="4" w:space="0"/>
              <w:left w:val="single" w:color="auto" w:sz="4" w:space="0"/>
              <w:bottom w:val="single" w:color="auto" w:sz="4" w:space="0"/>
              <w:right w:val="single" w:color="auto" w:sz="4" w:space="0"/>
            </w:tcBorders>
            <w:vAlign w:val="center"/>
          </w:tcPr>
          <w:p w14:paraId="258FB0B9">
            <w:pPr>
              <w:widowControl/>
              <w:snapToGrid w:val="0"/>
              <w:spacing w:before="50" w:after="50" w:line="340" w:lineRule="exact"/>
              <w:jc w:val="center"/>
              <w:rPr>
                <w:rFonts w:ascii="宋体" w:hAnsi="宋体"/>
              </w:rPr>
            </w:pPr>
          </w:p>
        </w:tc>
        <w:tc>
          <w:tcPr>
            <w:tcW w:w="864" w:type="pct"/>
            <w:tcBorders>
              <w:top w:val="nil"/>
              <w:left w:val="nil"/>
              <w:bottom w:val="single" w:color="auto" w:sz="4" w:space="0"/>
              <w:right w:val="single" w:color="auto" w:sz="4" w:space="0"/>
            </w:tcBorders>
            <w:vAlign w:val="center"/>
          </w:tcPr>
          <w:p w14:paraId="5C647352">
            <w:pPr>
              <w:snapToGrid w:val="0"/>
              <w:spacing w:before="50" w:after="50" w:line="340" w:lineRule="exact"/>
              <w:jc w:val="center"/>
              <w:rPr>
                <w:rFonts w:ascii="宋体" w:hAnsi="宋体"/>
              </w:rPr>
            </w:pPr>
          </w:p>
        </w:tc>
        <w:tc>
          <w:tcPr>
            <w:tcW w:w="835" w:type="pct"/>
            <w:tcBorders>
              <w:top w:val="nil"/>
              <w:left w:val="single" w:color="auto" w:sz="4" w:space="0"/>
              <w:bottom w:val="single" w:color="auto" w:sz="4" w:space="0"/>
              <w:right w:val="single" w:color="auto" w:sz="4" w:space="0"/>
            </w:tcBorders>
            <w:vAlign w:val="center"/>
          </w:tcPr>
          <w:p w14:paraId="7AF99171">
            <w:pPr>
              <w:snapToGrid w:val="0"/>
              <w:spacing w:before="50" w:after="50" w:line="340" w:lineRule="exact"/>
              <w:jc w:val="center"/>
              <w:rPr>
                <w:rFonts w:ascii="宋体" w:hAnsi="宋体"/>
              </w:rPr>
            </w:pPr>
          </w:p>
        </w:tc>
        <w:tc>
          <w:tcPr>
            <w:tcW w:w="989" w:type="pct"/>
            <w:tcBorders>
              <w:top w:val="nil"/>
              <w:left w:val="nil"/>
              <w:bottom w:val="single" w:color="auto" w:sz="4" w:space="0"/>
              <w:right w:val="single" w:color="auto" w:sz="4" w:space="0"/>
            </w:tcBorders>
          </w:tcPr>
          <w:p w14:paraId="3D4C00B3">
            <w:pPr>
              <w:snapToGrid w:val="0"/>
              <w:spacing w:before="50" w:after="50" w:line="340" w:lineRule="exact"/>
              <w:jc w:val="center"/>
              <w:rPr>
                <w:rFonts w:ascii="宋体" w:hAnsi="宋体"/>
              </w:rPr>
            </w:pPr>
          </w:p>
        </w:tc>
      </w:tr>
      <w:tr w14:paraId="5A3A37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71" w:hRule="atLeast"/>
        </w:trPr>
        <w:tc>
          <w:tcPr>
            <w:tcW w:w="5000" w:type="pct"/>
            <w:gridSpan w:val="7"/>
            <w:tcBorders>
              <w:top w:val="single" w:color="auto" w:sz="4" w:space="0"/>
              <w:left w:val="single" w:color="auto" w:sz="4" w:space="0"/>
              <w:bottom w:val="single" w:color="auto" w:sz="4" w:space="0"/>
              <w:right w:val="single" w:color="auto" w:sz="4" w:space="0"/>
            </w:tcBorders>
            <w:vAlign w:val="center"/>
          </w:tcPr>
          <w:p w14:paraId="140AAA5B">
            <w:pPr>
              <w:spacing w:line="320" w:lineRule="exact"/>
              <w:rPr>
                <w:rFonts w:ascii="宋体" w:hAnsi="宋体"/>
                <w:szCs w:val="21"/>
              </w:rPr>
            </w:pPr>
            <w:r>
              <w:rPr>
                <w:rFonts w:hint="eastAsia" w:ascii="宋体" w:hAnsi="宋体"/>
                <w:szCs w:val="21"/>
              </w:rPr>
              <w:t>磋商报价：</w:t>
            </w: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w:t>
            </w:r>
            <w:r>
              <w:rPr>
                <w:rFonts w:hint="eastAsia" w:ascii="宋体" w:hAnsi="宋体" w:cs="华文细黑"/>
                <w:szCs w:val="21"/>
              </w:rPr>
              <w:t>￥</w:t>
            </w:r>
            <w:r>
              <w:rPr>
                <w:rFonts w:hint="eastAsia" w:ascii="宋体" w:hAnsi="宋体" w:cs="宋体"/>
                <w:szCs w:val="21"/>
                <w:u w:val="single"/>
              </w:rPr>
              <w:t xml:space="preserve">                 </w:t>
            </w:r>
            <w:r>
              <w:rPr>
                <w:rFonts w:hint="eastAsia" w:ascii="宋体" w:hAnsi="宋体" w:cs="宋体"/>
                <w:szCs w:val="21"/>
              </w:rPr>
              <w:t>）</w:t>
            </w:r>
          </w:p>
        </w:tc>
      </w:tr>
      <w:tr w14:paraId="1B9DB1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71" w:hRule="atLeast"/>
        </w:trPr>
        <w:tc>
          <w:tcPr>
            <w:tcW w:w="5000" w:type="pct"/>
            <w:gridSpan w:val="7"/>
            <w:tcBorders>
              <w:top w:val="single" w:color="auto" w:sz="4" w:space="0"/>
              <w:left w:val="single" w:color="auto" w:sz="4" w:space="0"/>
              <w:bottom w:val="single" w:color="auto" w:sz="4" w:space="0"/>
              <w:right w:val="single" w:color="auto" w:sz="4" w:space="0"/>
            </w:tcBorders>
            <w:vAlign w:val="center"/>
          </w:tcPr>
          <w:p w14:paraId="22C72417">
            <w:pPr>
              <w:spacing w:line="320" w:lineRule="exact"/>
              <w:rPr>
                <w:rFonts w:ascii="宋体" w:hAnsi="宋体"/>
                <w:szCs w:val="21"/>
              </w:rPr>
            </w:pPr>
            <w:r>
              <w:rPr>
                <w:rFonts w:hint="eastAsia" w:ascii="宋体" w:hAnsi="宋体"/>
                <w:szCs w:val="21"/>
              </w:rPr>
              <w:t>磋商报价是履行合同的最终价格，</w:t>
            </w:r>
            <w:r>
              <w:rPr>
                <w:rFonts w:hint="eastAsia" w:ascii="宋体" w:hAnsi="宋体" w:cs="宋体"/>
                <w:szCs w:val="21"/>
              </w:rPr>
              <w:t>供应商磋商报价应</w:t>
            </w:r>
            <w:r>
              <w:rPr>
                <w:rFonts w:hint="eastAsia" w:ascii="宋体" w:hAnsi="宋体"/>
                <w:szCs w:val="21"/>
              </w:rPr>
              <w:t>包含其承诺的提供本次采购范围的所有内容产生的成本、税金、利润、项目验收、</w:t>
            </w:r>
            <w:r>
              <w:rPr>
                <w:rFonts w:hint="eastAsia" w:ascii="宋体" w:hAnsi="宋体"/>
              </w:rPr>
              <w:t>检验、售后服务、培训、维护、升级</w:t>
            </w:r>
            <w:r>
              <w:rPr>
                <w:rFonts w:hint="eastAsia" w:ascii="宋体" w:hAnsi="宋体"/>
                <w:szCs w:val="21"/>
              </w:rPr>
              <w:t>等费用</w:t>
            </w:r>
            <w:r>
              <w:rPr>
                <w:rFonts w:hint="eastAsia" w:ascii="宋体" w:hAnsi="宋体" w:cs="宋体"/>
                <w:szCs w:val="21"/>
              </w:rPr>
              <w:t>，对于本文件中未列明，而供应商认为必须的费用也需列入报价。在合同实施时，采购人将不予支付成交供应商没有列入的项目费用，并认为此项目的费用已包括在磋商报价中。</w:t>
            </w:r>
          </w:p>
        </w:tc>
      </w:tr>
    </w:tbl>
    <w:p w14:paraId="60D3C6FE">
      <w:pPr>
        <w:snapToGrid w:val="0"/>
        <w:spacing w:before="50" w:after="50" w:line="360" w:lineRule="auto"/>
        <w:jc w:val="left"/>
        <w:rPr>
          <w:rFonts w:ascii="宋体" w:hAnsi="宋体" w:cs="仿宋_GB2312"/>
          <w:sz w:val="24"/>
        </w:rPr>
      </w:pPr>
      <w:r>
        <w:rPr>
          <w:rFonts w:hint="eastAsia" w:ascii="宋体" w:hAnsi="宋体" w:cs="仿宋_GB2312"/>
          <w:sz w:val="24"/>
        </w:rPr>
        <w:t xml:space="preserve">注: </w:t>
      </w:r>
    </w:p>
    <w:p w14:paraId="7B20E111">
      <w:pPr>
        <w:spacing w:line="360" w:lineRule="auto"/>
        <w:ind w:firstLine="480" w:firstLineChars="200"/>
        <w:contextualSpacing/>
        <w:jc w:val="left"/>
        <w:rPr>
          <w:rFonts w:ascii="宋体" w:hAnsi="宋体" w:cs="仿宋_GB2312"/>
          <w:sz w:val="24"/>
        </w:rPr>
      </w:pPr>
      <w:r>
        <w:rPr>
          <w:rFonts w:hint="eastAsia" w:ascii="宋体" w:hAnsi="宋体"/>
          <w:sz w:val="24"/>
        </w:rPr>
        <w:t>1.供应商的报价表必须加盖供应商电子签章并由法定代表人或者委托代理人签</w:t>
      </w:r>
      <w:r>
        <w:rPr>
          <w:rFonts w:hint="eastAsia" w:ascii="宋体" w:hAnsi="宋体" w:cs="仿宋_GB2312"/>
          <w:sz w:val="24"/>
        </w:rPr>
        <w:t>字或者电子签名，</w:t>
      </w:r>
      <w:r>
        <w:rPr>
          <w:rFonts w:hint="eastAsia" w:ascii="宋体" w:hAnsi="宋体" w:cs="仿宋_GB2312"/>
          <w:b/>
          <w:sz w:val="24"/>
        </w:rPr>
        <w:t>否则其响应文件按无效处理</w:t>
      </w:r>
      <w:r>
        <w:rPr>
          <w:rFonts w:hint="eastAsia" w:ascii="宋体" w:hAnsi="宋体" w:cs="仿宋_GB2312"/>
          <w:sz w:val="24"/>
        </w:rPr>
        <w:t>。</w:t>
      </w:r>
    </w:p>
    <w:p w14:paraId="004B79AA">
      <w:pPr>
        <w:spacing w:line="360" w:lineRule="auto"/>
        <w:ind w:firstLine="480" w:firstLineChars="200"/>
        <w:contextualSpacing/>
        <w:jc w:val="left"/>
        <w:rPr>
          <w:rFonts w:ascii="宋体" w:hAnsi="宋体" w:cs="仿宋_GB2312"/>
          <w:b/>
          <w:sz w:val="24"/>
        </w:rPr>
      </w:pPr>
      <w:r>
        <w:rPr>
          <w:rFonts w:hint="eastAsia" w:ascii="宋体" w:hAnsi="宋体" w:cs="仿宋_GB2312"/>
          <w:bCs/>
          <w:sz w:val="24"/>
        </w:rPr>
        <w:t>2.</w:t>
      </w:r>
      <w:r>
        <w:rPr>
          <w:rFonts w:hint="eastAsia" w:ascii="宋体" w:hAnsi="宋体" w:cs="仿宋_GB2312"/>
          <w:sz w:val="24"/>
        </w:rPr>
        <w:t>报价一经涂改，应在涂改处加盖供应商公章或者加盖电子签章或者由法定代表人或者授权委托人签字</w:t>
      </w:r>
      <w:r>
        <w:rPr>
          <w:rFonts w:hint="eastAsia" w:ascii="宋体" w:hAnsi="宋体"/>
          <w:sz w:val="24"/>
        </w:rPr>
        <w:t>（或者电子签名）</w:t>
      </w:r>
      <w:r>
        <w:rPr>
          <w:rFonts w:hint="eastAsia" w:ascii="宋体" w:hAnsi="宋体" w:cs="仿宋_GB2312"/>
          <w:b/>
          <w:sz w:val="24"/>
        </w:rPr>
        <w:t>，否则其响应文件按无效处理。</w:t>
      </w:r>
    </w:p>
    <w:p w14:paraId="4BE726A9">
      <w:pPr>
        <w:spacing w:line="360" w:lineRule="auto"/>
        <w:ind w:firstLine="480" w:firstLineChars="200"/>
        <w:contextualSpacing/>
        <w:jc w:val="left"/>
        <w:rPr>
          <w:rFonts w:ascii="宋体" w:hAnsi="宋体" w:cs="仿宋_GB2312"/>
          <w:b/>
          <w:sz w:val="24"/>
        </w:rPr>
      </w:pPr>
      <w:r>
        <w:rPr>
          <w:rFonts w:hint="eastAsia" w:ascii="宋体" w:hAnsi="宋体" w:cs="仿宋_GB2312"/>
          <w:sz w:val="24"/>
        </w:rPr>
        <w:t>3.如为联合体竞标,“供应商名称”处必须列明联合体各方名称，标注联合体牵头人名称，</w:t>
      </w:r>
      <w:r>
        <w:rPr>
          <w:rFonts w:hint="eastAsia" w:ascii="宋体" w:hAnsi="宋体" w:cs="仿宋_GB2312"/>
          <w:b/>
          <w:sz w:val="24"/>
        </w:rPr>
        <w:t>否则其响应文件按无效处理。</w:t>
      </w:r>
    </w:p>
    <w:p w14:paraId="241F7730">
      <w:pPr>
        <w:spacing w:line="360" w:lineRule="auto"/>
        <w:ind w:firstLine="480" w:firstLineChars="200"/>
        <w:contextualSpacing/>
        <w:jc w:val="left"/>
        <w:rPr>
          <w:rFonts w:ascii="宋体" w:hAnsi="宋体" w:cs="仿宋_GB2312"/>
          <w:sz w:val="24"/>
        </w:rPr>
      </w:pPr>
      <w:r>
        <w:rPr>
          <w:rFonts w:hint="eastAsia" w:ascii="宋体" w:hAnsi="宋体"/>
          <w:sz w:val="24"/>
        </w:rPr>
        <w:t>4.如为联合体竞标，盖章处须加盖联合体牵头人公章（或电子签章）</w:t>
      </w:r>
      <w:r>
        <w:rPr>
          <w:rFonts w:hint="eastAsia" w:ascii="宋体" w:hAnsi="宋体" w:cs="仿宋_GB2312"/>
          <w:sz w:val="24"/>
        </w:rPr>
        <w:t>，</w:t>
      </w:r>
      <w:r>
        <w:rPr>
          <w:rFonts w:hint="eastAsia" w:ascii="宋体" w:hAnsi="宋体" w:cs="仿宋_GB2312"/>
          <w:b/>
          <w:sz w:val="24"/>
        </w:rPr>
        <w:t>否则其响应文件按无效处理。</w:t>
      </w:r>
    </w:p>
    <w:p w14:paraId="0A9A80C9">
      <w:pPr>
        <w:spacing w:line="360" w:lineRule="auto"/>
        <w:ind w:right="-817" w:rightChars="-389" w:firstLine="2640" w:firstLineChars="1100"/>
        <w:contextualSpacing/>
        <w:rPr>
          <w:rFonts w:ascii="宋体" w:hAnsi="宋体" w:cs="仿宋_GB2312"/>
          <w:sz w:val="24"/>
        </w:rPr>
      </w:pPr>
      <w:r>
        <w:rPr>
          <w:rFonts w:hint="eastAsia" w:ascii="宋体" w:hAnsi="宋体" w:cs="仿宋_GB2312"/>
          <w:sz w:val="24"/>
        </w:rPr>
        <w:t xml:space="preserve">法定代表人或者委托代理人签字（或者电子签名）：                    </w:t>
      </w:r>
    </w:p>
    <w:p w14:paraId="0685E9F7">
      <w:pPr>
        <w:snapToGrid w:val="0"/>
        <w:spacing w:before="50" w:after="50" w:line="360" w:lineRule="auto"/>
        <w:ind w:left="-3" w:leftChars="-15" w:right="-817" w:rightChars="-389" w:hanging="28" w:hangingChars="12"/>
        <w:jc w:val="center"/>
        <w:rPr>
          <w:rFonts w:ascii="宋体" w:hAnsi="宋体"/>
          <w:sz w:val="24"/>
        </w:rPr>
      </w:pPr>
      <w:r>
        <w:rPr>
          <w:rFonts w:hint="eastAsia" w:ascii="宋体" w:hAnsi="宋体" w:cs="仿宋_GB2312"/>
          <w:sz w:val="24"/>
        </w:rPr>
        <w:t>供应商电子签章：</w:t>
      </w:r>
    </w:p>
    <w:p w14:paraId="55A78420">
      <w:pPr>
        <w:spacing w:line="360" w:lineRule="auto"/>
        <w:ind w:right="420"/>
        <w:contextualSpacing/>
        <w:jc w:val="left"/>
        <w:rPr>
          <w:rFonts w:ascii="宋体" w:hAnsi="宋体"/>
          <w:b/>
          <w:sz w:val="32"/>
          <w:szCs w:val="32"/>
        </w:rPr>
      </w:pPr>
      <w:r>
        <w:rPr>
          <w:rFonts w:hint="eastAsia" w:ascii="宋体" w:hAnsi="宋体"/>
          <w:sz w:val="24"/>
        </w:rPr>
        <w:t xml:space="preserve">                              日期：    年   月   日</w:t>
      </w:r>
      <w:r>
        <w:rPr>
          <w:rFonts w:ascii="宋体" w:hAnsi="宋体"/>
          <w:b/>
          <w:bCs/>
          <w:sz w:val="32"/>
          <w:szCs w:val="32"/>
        </w:rPr>
        <w:br w:type="page"/>
      </w:r>
      <w:r>
        <w:rPr>
          <w:rFonts w:hint="eastAsia" w:ascii="宋体" w:hAnsi="宋体"/>
          <w:b/>
          <w:bCs/>
          <w:sz w:val="32"/>
          <w:szCs w:val="32"/>
        </w:rPr>
        <w:t>三、</w:t>
      </w:r>
      <w:r>
        <w:rPr>
          <w:rFonts w:hint="eastAsia" w:ascii="宋体" w:hAnsi="宋体"/>
          <w:b/>
          <w:sz w:val="32"/>
          <w:szCs w:val="32"/>
        </w:rPr>
        <w:t xml:space="preserve">商务技术文件格式 </w:t>
      </w:r>
    </w:p>
    <w:p w14:paraId="15DECC13">
      <w:pPr>
        <w:snapToGrid w:val="0"/>
        <w:spacing w:before="120" w:beforeLines="50" w:after="50" w:line="360" w:lineRule="auto"/>
        <w:jc w:val="left"/>
        <w:rPr>
          <w:rFonts w:ascii="宋体" w:hAnsi="宋体"/>
          <w:b/>
          <w:sz w:val="32"/>
          <w:szCs w:val="32"/>
        </w:rPr>
      </w:pPr>
      <w:r>
        <w:rPr>
          <w:rFonts w:hint="eastAsia" w:ascii="宋体" w:hAnsi="宋体"/>
          <w:b/>
          <w:sz w:val="32"/>
          <w:szCs w:val="32"/>
        </w:rPr>
        <w:t>1.商务技术文件封面格式</w:t>
      </w:r>
    </w:p>
    <w:p w14:paraId="5F4F776F">
      <w:pPr>
        <w:snapToGrid w:val="0"/>
        <w:spacing w:before="120" w:beforeLines="50" w:after="50"/>
        <w:rPr>
          <w:rFonts w:ascii="宋体" w:hAnsi="宋体"/>
          <w:bCs/>
          <w:sz w:val="32"/>
          <w:szCs w:val="20"/>
        </w:rPr>
      </w:pPr>
      <w:r>
        <w:rPr>
          <w:rFonts w:hint="eastAsia" w:ascii="宋体" w:hAnsi="宋体"/>
          <w:sz w:val="24"/>
        </w:rPr>
        <w:t xml:space="preserve">                                                    </w:t>
      </w:r>
    </w:p>
    <w:p w14:paraId="079A9E31">
      <w:pPr>
        <w:snapToGrid w:val="0"/>
        <w:spacing w:before="120" w:beforeLines="50" w:after="50"/>
        <w:jc w:val="center"/>
        <w:rPr>
          <w:rFonts w:ascii="宋体" w:hAnsi="宋体"/>
          <w:sz w:val="24"/>
          <w:szCs w:val="20"/>
        </w:rPr>
      </w:pPr>
      <w:r>
        <w:rPr>
          <w:rFonts w:hint="eastAsia" w:ascii="宋体" w:hAnsi="宋体"/>
          <w:sz w:val="44"/>
          <w:szCs w:val="44"/>
        </w:rPr>
        <w:t>电 子 响 应 文 件</w:t>
      </w:r>
    </w:p>
    <w:p w14:paraId="32EBAF7C">
      <w:pPr>
        <w:snapToGrid w:val="0"/>
        <w:spacing w:before="120" w:beforeLines="50" w:after="50"/>
        <w:rPr>
          <w:rFonts w:ascii="宋体" w:hAnsi="宋体"/>
          <w:sz w:val="24"/>
          <w:szCs w:val="20"/>
        </w:rPr>
      </w:pPr>
    </w:p>
    <w:p w14:paraId="68749206">
      <w:pPr>
        <w:snapToGrid w:val="0"/>
        <w:spacing w:before="120" w:beforeLines="50" w:after="50"/>
        <w:rPr>
          <w:rFonts w:ascii="宋体" w:hAnsi="宋体"/>
          <w:sz w:val="24"/>
          <w:szCs w:val="20"/>
        </w:rPr>
      </w:pPr>
    </w:p>
    <w:p w14:paraId="2BB9FB33">
      <w:pPr>
        <w:snapToGrid w:val="0"/>
        <w:spacing w:before="120" w:beforeLines="50" w:after="50"/>
        <w:jc w:val="center"/>
        <w:rPr>
          <w:rFonts w:ascii="宋体" w:hAnsi="宋体" w:cs="方正小标宋简体"/>
          <w:bCs/>
          <w:sz w:val="44"/>
          <w:szCs w:val="44"/>
        </w:rPr>
      </w:pPr>
      <w:r>
        <w:rPr>
          <w:rFonts w:hint="eastAsia" w:ascii="宋体" w:hAnsi="宋体" w:cs="方正小标宋简体"/>
          <w:bCs/>
          <w:sz w:val="44"/>
          <w:szCs w:val="44"/>
        </w:rPr>
        <w:t>商  务  技  术  文  件</w:t>
      </w:r>
    </w:p>
    <w:p w14:paraId="75612A2C">
      <w:pPr>
        <w:snapToGrid w:val="0"/>
        <w:spacing w:before="120" w:beforeLines="50" w:after="50"/>
        <w:rPr>
          <w:rFonts w:ascii="宋体" w:hAnsi="宋体"/>
          <w:bCs/>
          <w:sz w:val="24"/>
          <w:szCs w:val="20"/>
        </w:rPr>
      </w:pPr>
    </w:p>
    <w:p w14:paraId="06FBC2F2">
      <w:pPr>
        <w:snapToGrid w:val="0"/>
        <w:spacing w:before="120" w:beforeLines="50" w:after="50"/>
        <w:rPr>
          <w:rFonts w:ascii="宋体" w:hAnsi="宋体"/>
          <w:bCs/>
          <w:sz w:val="24"/>
          <w:szCs w:val="20"/>
        </w:rPr>
      </w:pPr>
    </w:p>
    <w:p w14:paraId="1732D1CD">
      <w:pPr>
        <w:snapToGrid w:val="0"/>
        <w:spacing w:before="120" w:beforeLines="50" w:after="50"/>
        <w:rPr>
          <w:rFonts w:ascii="宋体" w:hAnsi="宋体"/>
          <w:bCs/>
          <w:sz w:val="24"/>
          <w:szCs w:val="20"/>
        </w:rPr>
      </w:pPr>
    </w:p>
    <w:p w14:paraId="56380892">
      <w:pPr>
        <w:snapToGrid w:val="0"/>
        <w:spacing w:before="120" w:beforeLines="50" w:after="50"/>
        <w:rPr>
          <w:rFonts w:ascii="宋体" w:hAnsi="宋体"/>
          <w:bCs/>
          <w:sz w:val="24"/>
          <w:szCs w:val="20"/>
        </w:rPr>
      </w:pPr>
    </w:p>
    <w:p w14:paraId="19294525">
      <w:pPr>
        <w:snapToGrid w:val="0"/>
        <w:spacing w:before="120" w:beforeLines="50" w:after="50"/>
        <w:rPr>
          <w:rFonts w:ascii="宋体" w:hAnsi="宋体"/>
          <w:bCs/>
          <w:sz w:val="24"/>
          <w:szCs w:val="20"/>
        </w:rPr>
      </w:pPr>
    </w:p>
    <w:p w14:paraId="59127779">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项目名称：</w:t>
      </w:r>
    </w:p>
    <w:p w14:paraId="6C509396">
      <w:pPr>
        <w:snapToGrid w:val="0"/>
        <w:spacing w:before="120" w:beforeLines="50" w:after="50"/>
        <w:ind w:firstLine="720" w:firstLineChars="225"/>
        <w:rPr>
          <w:rFonts w:ascii="宋体" w:hAnsi="宋体" w:cs="仿宋_GB2312"/>
          <w:bCs/>
          <w:sz w:val="32"/>
          <w:szCs w:val="32"/>
        </w:rPr>
      </w:pPr>
    </w:p>
    <w:p w14:paraId="7D02759A">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项目编号：</w:t>
      </w:r>
    </w:p>
    <w:p w14:paraId="7D0DE00B">
      <w:pPr>
        <w:snapToGrid w:val="0"/>
        <w:spacing w:before="120" w:beforeLines="50" w:after="50"/>
        <w:ind w:firstLine="707" w:firstLineChars="221"/>
        <w:rPr>
          <w:rFonts w:ascii="宋体" w:hAnsi="宋体" w:cs="仿宋_GB2312"/>
          <w:bCs/>
          <w:sz w:val="32"/>
          <w:szCs w:val="32"/>
        </w:rPr>
      </w:pPr>
    </w:p>
    <w:p w14:paraId="3D5C4235">
      <w:pPr>
        <w:pStyle w:val="8"/>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14:paraId="3995F349">
      <w:pPr>
        <w:pStyle w:val="8"/>
        <w:snapToGrid w:val="0"/>
        <w:spacing w:before="50" w:after="50"/>
        <w:ind w:firstLine="640" w:firstLineChars="200"/>
        <w:rPr>
          <w:rFonts w:ascii="宋体" w:hAnsi="宋体" w:cs="仿宋_GB2312"/>
          <w:bCs/>
          <w:sz w:val="32"/>
          <w:szCs w:val="32"/>
        </w:rPr>
      </w:pPr>
    </w:p>
    <w:p w14:paraId="7A0506B0">
      <w:pPr>
        <w:pStyle w:val="8"/>
        <w:snapToGrid w:val="0"/>
        <w:spacing w:before="50" w:after="50"/>
        <w:ind w:firstLine="720" w:firstLineChars="225"/>
        <w:rPr>
          <w:rFonts w:ascii="宋体" w:hAnsi="宋体" w:cs="仿宋_GB2312"/>
          <w:bCs/>
          <w:sz w:val="32"/>
          <w:szCs w:val="32"/>
        </w:rPr>
      </w:pPr>
    </w:p>
    <w:p w14:paraId="64CBF435">
      <w:pPr>
        <w:pStyle w:val="8"/>
        <w:snapToGrid w:val="0"/>
        <w:spacing w:before="50" w:after="50"/>
        <w:ind w:firstLine="0"/>
        <w:rPr>
          <w:rFonts w:ascii="宋体" w:hAnsi="宋体" w:cs="仿宋_GB2312"/>
          <w:bCs/>
          <w:sz w:val="32"/>
          <w:szCs w:val="32"/>
        </w:rPr>
      </w:pPr>
    </w:p>
    <w:p w14:paraId="55B59CBF">
      <w:pPr>
        <w:pStyle w:val="8"/>
        <w:snapToGrid w:val="0"/>
        <w:spacing w:before="50" w:after="50"/>
        <w:ind w:firstLine="1280" w:firstLineChars="400"/>
        <w:rPr>
          <w:rFonts w:ascii="宋体" w:hAnsi="宋体" w:cs="仿宋_GB2312"/>
          <w:bCs/>
          <w:sz w:val="32"/>
          <w:szCs w:val="32"/>
        </w:rPr>
      </w:pPr>
    </w:p>
    <w:p w14:paraId="75898857">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14:paraId="5D4D0226">
      <w:pPr>
        <w:snapToGrid w:val="0"/>
        <w:spacing w:before="120" w:beforeLines="50" w:after="50" w:line="360" w:lineRule="auto"/>
        <w:ind w:left="142"/>
        <w:jc w:val="left"/>
        <w:rPr>
          <w:rFonts w:ascii="宋体" w:hAnsi="宋体"/>
          <w:b/>
          <w:bCs/>
          <w:sz w:val="24"/>
        </w:rPr>
      </w:pPr>
      <w:r>
        <w:rPr>
          <w:rFonts w:ascii="宋体" w:hAnsi="宋体"/>
          <w:sz w:val="24"/>
        </w:rPr>
        <w:br w:type="page"/>
      </w:r>
      <w:r>
        <w:rPr>
          <w:rFonts w:hint="eastAsia" w:ascii="宋体" w:hAnsi="宋体"/>
          <w:b/>
          <w:bCs/>
          <w:sz w:val="32"/>
          <w:szCs w:val="32"/>
        </w:rPr>
        <w:t>2.商务技术文件目录</w:t>
      </w:r>
    </w:p>
    <w:p w14:paraId="56421BF6">
      <w:pPr>
        <w:snapToGrid w:val="0"/>
        <w:spacing w:before="120" w:beforeLines="50" w:after="50" w:line="360" w:lineRule="auto"/>
        <w:ind w:left="142"/>
        <w:jc w:val="left"/>
        <w:rPr>
          <w:rFonts w:ascii="宋体" w:hAnsi="宋体"/>
          <w:b/>
          <w:bCs/>
          <w:sz w:val="24"/>
        </w:rPr>
      </w:pPr>
      <w:r>
        <w:rPr>
          <w:rFonts w:hint="eastAsia" w:ascii="宋体" w:hAnsi="宋体"/>
          <w:b/>
          <w:bCs/>
          <w:sz w:val="24"/>
        </w:rPr>
        <w:t xml:space="preserve">   </w:t>
      </w:r>
      <w:r>
        <w:rPr>
          <w:rFonts w:hint="eastAsia" w:ascii="宋体" w:hAnsi="宋体"/>
          <w:sz w:val="32"/>
          <w:szCs w:val="32"/>
        </w:rPr>
        <w:t>根据磋商文件规定及供应商提供的材料自行编写目录（部分格式后附）。</w:t>
      </w:r>
    </w:p>
    <w:p w14:paraId="5812EE05">
      <w:pPr>
        <w:spacing w:line="400" w:lineRule="exact"/>
        <w:rPr>
          <w:rFonts w:ascii="宋体" w:hAnsi="宋体" w:cs="仿宋_GB2312"/>
          <w:sz w:val="32"/>
          <w:szCs w:val="32"/>
        </w:rPr>
      </w:pPr>
    </w:p>
    <w:p w14:paraId="00B21B81">
      <w:pPr>
        <w:spacing w:line="520" w:lineRule="exact"/>
        <w:jc w:val="center"/>
        <w:rPr>
          <w:rFonts w:ascii="宋体" w:hAnsi="宋体" w:cs="仿宋_GB2312"/>
          <w:sz w:val="32"/>
          <w:szCs w:val="32"/>
        </w:rPr>
      </w:pPr>
      <w:r>
        <w:rPr>
          <w:rFonts w:hint="eastAsia" w:ascii="宋体" w:hAnsi="宋体" w:cs="方正小标宋简体"/>
          <w:sz w:val="44"/>
          <w:szCs w:val="44"/>
        </w:rPr>
        <w:br w:type="page"/>
      </w:r>
      <w:r>
        <w:rPr>
          <w:rFonts w:hint="eastAsia" w:ascii="宋体" w:hAnsi="宋体" w:cs="方正小标宋简体"/>
          <w:sz w:val="44"/>
          <w:szCs w:val="44"/>
        </w:rPr>
        <w:t>无串通竞标行为的承诺函</w:t>
      </w:r>
    </w:p>
    <w:p w14:paraId="5B7A72E4">
      <w:pPr>
        <w:spacing w:line="400" w:lineRule="exact"/>
        <w:ind w:firstLine="640" w:firstLineChars="200"/>
        <w:rPr>
          <w:rFonts w:ascii="宋体" w:hAnsi="宋体" w:cs="仿宋_GB2312"/>
          <w:sz w:val="32"/>
          <w:szCs w:val="32"/>
        </w:rPr>
      </w:pPr>
    </w:p>
    <w:p w14:paraId="14DB764A">
      <w:pPr>
        <w:spacing w:line="360" w:lineRule="auto"/>
        <w:ind w:firstLine="482" w:firstLineChars="200"/>
        <w:contextualSpacing/>
        <w:rPr>
          <w:rFonts w:ascii="宋体" w:hAnsi="宋体" w:cs="仿宋_GB2312"/>
          <w:b/>
          <w:bCs/>
          <w:sz w:val="24"/>
        </w:rPr>
      </w:pPr>
      <w:r>
        <w:rPr>
          <w:rFonts w:hint="eastAsia" w:ascii="宋体" w:hAnsi="宋体" w:cs="仿宋_GB2312"/>
          <w:b/>
          <w:bCs/>
          <w:sz w:val="24"/>
        </w:rPr>
        <w:t>一、我方承诺无下列相互串通竞标的情形：</w:t>
      </w:r>
    </w:p>
    <w:p w14:paraId="49D5F169">
      <w:pPr>
        <w:spacing w:line="360" w:lineRule="auto"/>
        <w:ind w:firstLine="480" w:firstLineChars="200"/>
        <w:contextualSpacing/>
        <w:rPr>
          <w:rFonts w:ascii="宋体" w:hAnsi="宋体" w:cs="仿宋_GB2312"/>
          <w:sz w:val="24"/>
        </w:rPr>
      </w:pPr>
      <w:r>
        <w:rPr>
          <w:rFonts w:hint="eastAsia" w:ascii="宋体" w:hAnsi="宋体" w:cs="仿宋_GB2312"/>
          <w:sz w:val="24"/>
        </w:rPr>
        <w:t>1.不同供应商的响应文件由同一单位或者个人编制；</w:t>
      </w:r>
    </w:p>
    <w:p w14:paraId="64379FEE">
      <w:pPr>
        <w:spacing w:line="360" w:lineRule="auto"/>
        <w:ind w:firstLine="480" w:firstLineChars="200"/>
        <w:contextualSpacing/>
        <w:rPr>
          <w:rFonts w:ascii="宋体" w:hAnsi="宋体" w:cs="仿宋_GB2312"/>
          <w:sz w:val="24"/>
        </w:rPr>
      </w:pPr>
      <w:r>
        <w:rPr>
          <w:rFonts w:hint="eastAsia" w:ascii="宋体" w:hAnsi="宋体" w:cs="仿宋_GB2312"/>
          <w:sz w:val="24"/>
        </w:rPr>
        <w:t>2.不同供应商委托同一单位或者个人办理竞标事宜；</w:t>
      </w:r>
    </w:p>
    <w:p w14:paraId="23CBF89B">
      <w:pPr>
        <w:spacing w:line="360" w:lineRule="auto"/>
        <w:ind w:firstLine="480" w:firstLineChars="200"/>
        <w:contextualSpacing/>
        <w:rPr>
          <w:rFonts w:ascii="宋体" w:hAnsi="宋体" w:cs="仿宋_GB2312"/>
          <w:sz w:val="24"/>
        </w:rPr>
      </w:pPr>
      <w:r>
        <w:rPr>
          <w:rFonts w:hint="eastAsia" w:ascii="宋体" w:hAnsi="宋体" w:cs="仿宋_GB2312"/>
          <w:sz w:val="24"/>
        </w:rPr>
        <w:t>3.不同供应商的响应文件载明的项目管理员为同一个人；</w:t>
      </w:r>
    </w:p>
    <w:p w14:paraId="799B9F37">
      <w:pPr>
        <w:spacing w:line="360" w:lineRule="auto"/>
        <w:ind w:firstLine="480" w:firstLineChars="200"/>
        <w:contextualSpacing/>
        <w:rPr>
          <w:rFonts w:ascii="宋体" w:hAnsi="宋体" w:cs="仿宋_GB2312"/>
          <w:sz w:val="24"/>
        </w:rPr>
      </w:pPr>
      <w:r>
        <w:rPr>
          <w:rFonts w:hint="eastAsia" w:ascii="宋体" w:hAnsi="宋体" w:cs="仿宋_GB2312"/>
          <w:sz w:val="24"/>
        </w:rPr>
        <w:t>4.不</w:t>
      </w:r>
      <w:r>
        <w:rPr>
          <w:rFonts w:hint="eastAsia" w:ascii="宋体" w:hAnsi="宋体" w:cs="仿宋_GB2312"/>
          <w:spacing w:val="-6"/>
          <w:sz w:val="24"/>
        </w:rPr>
        <w:t>同供应商的响应文件异常一致或者竞标报价呈规律性差异；</w:t>
      </w:r>
    </w:p>
    <w:p w14:paraId="26F14749">
      <w:pPr>
        <w:spacing w:line="360" w:lineRule="auto"/>
        <w:ind w:firstLine="480" w:firstLineChars="200"/>
        <w:contextualSpacing/>
        <w:rPr>
          <w:rFonts w:ascii="宋体" w:hAnsi="宋体" w:cs="仿宋_GB2312"/>
          <w:sz w:val="24"/>
        </w:rPr>
      </w:pPr>
      <w:r>
        <w:rPr>
          <w:rFonts w:hint="eastAsia" w:ascii="宋体" w:hAnsi="宋体" w:cs="仿宋_GB2312"/>
          <w:sz w:val="24"/>
        </w:rPr>
        <w:t>5.不同供应商的响应文件相互混装；</w:t>
      </w:r>
    </w:p>
    <w:p w14:paraId="0B176594">
      <w:pPr>
        <w:spacing w:line="360" w:lineRule="auto"/>
        <w:ind w:firstLine="480" w:firstLineChars="200"/>
        <w:contextualSpacing/>
        <w:rPr>
          <w:rFonts w:ascii="宋体" w:hAnsi="宋体" w:cs="仿宋_GB2312"/>
          <w:sz w:val="24"/>
        </w:rPr>
      </w:pPr>
      <w:r>
        <w:rPr>
          <w:rFonts w:hint="eastAsia" w:ascii="宋体" w:hAnsi="宋体" w:cs="仿宋_GB2312"/>
          <w:sz w:val="24"/>
        </w:rPr>
        <w:t>6.不同供应商的磋商保证金从同一单位或者个人账户转出。</w:t>
      </w:r>
    </w:p>
    <w:p w14:paraId="75EE11FE">
      <w:pPr>
        <w:spacing w:line="360" w:lineRule="auto"/>
        <w:ind w:firstLine="482" w:firstLineChars="200"/>
        <w:contextualSpacing/>
        <w:rPr>
          <w:rFonts w:ascii="宋体" w:hAnsi="宋体" w:cs="仿宋_GB2312"/>
          <w:b/>
          <w:bCs/>
          <w:sz w:val="24"/>
        </w:rPr>
      </w:pPr>
      <w:r>
        <w:rPr>
          <w:rFonts w:hint="eastAsia" w:ascii="宋体" w:hAnsi="宋体" w:cs="仿宋_GB2312"/>
          <w:b/>
          <w:bCs/>
          <w:sz w:val="24"/>
        </w:rPr>
        <w:t>二、我方承诺无下列恶意串通的情形：</w:t>
      </w:r>
    </w:p>
    <w:p w14:paraId="32C9D288">
      <w:pPr>
        <w:spacing w:line="360" w:lineRule="auto"/>
        <w:ind w:firstLine="480" w:firstLineChars="200"/>
        <w:contextualSpacing/>
        <w:rPr>
          <w:rFonts w:ascii="宋体" w:hAnsi="宋体" w:cs="仿宋_GB2312"/>
          <w:sz w:val="24"/>
        </w:rPr>
      </w:pPr>
      <w:r>
        <w:rPr>
          <w:rFonts w:hint="eastAsia" w:ascii="宋体" w:hAnsi="宋体" w:cs="仿宋_GB2312"/>
          <w:sz w:val="24"/>
        </w:rPr>
        <w:t>1.供应商直接或者间接从采购人或者采购代理机构处获得其他供应商的相关信息并修改其响应文件；</w:t>
      </w:r>
    </w:p>
    <w:p w14:paraId="6E62DF83">
      <w:pPr>
        <w:spacing w:line="360" w:lineRule="auto"/>
        <w:ind w:firstLine="480" w:firstLineChars="200"/>
        <w:contextualSpacing/>
        <w:rPr>
          <w:rFonts w:ascii="宋体" w:hAnsi="宋体" w:cs="仿宋_GB2312"/>
          <w:sz w:val="24"/>
        </w:rPr>
      </w:pPr>
      <w:r>
        <w:rPr>
          <w:rFonts w:hint="eastAsia" w:ascii="宋体" w:hAnsi="宋体" w:cs="仿宋_GB2312"/>
          <w:sz w:val="24"/>
        </w:rPr>
        <w:t>2.供应商按照采购人或者采购代理机构的授意撤换、修改响应文件；</w:t>
      </w:r>
    </w:p>
    <w:p w14:paraId="41B0AC37">
      <w:pPr>
        <w:spacing w:line="360" w:lineRule="auto"/>
        <w:ind w:firstLine="480" w:firstLineChars="200"/>
        <w:contextualSpacing/>
        <w:rPr>
          <w:rFonts w:ascii="宋体" w:hAnsi="宋体" w:cs="仿宋_GB2312"/>
          <w:sz w:val="24"/>
        </w:rPr>
      </w:pPr>
      <w:r>
        <w:rPr>
          <w:rFonts w:hint="eastAsia" w:ascii="宋体" w:hAnsi="宋体" w:cs="仿宋_GB2312"/>
          <w:sz w:val="24"/>
        </w:rPr>
        <w:t>3.供</w:t>
      </w:r>
      <w:r>
        <w:rPr>
          <w:rFonts w:hint="eastAsia" w:ascii="宋体" w:hAnsi="宋体" w:cs="仿宋_GB2312"/>
          <w:spacing w:val="-6"/>
          <w:sz w:val="24"/>
        </w:rPr>
        <w:t>应商之间协商报价、技术方案等响应文件的实质性内容；</w:t>
      </w:r>
    </w:p>
    <w:p w14:paraId="064089FB">
      <w:pPr>
        <w:spacing w:line="360" w:lineRule="auto"/>
        <w:ind w:firstLine="480" w:firstLineChars="200"/>
        <w:contextualSpacing/>
        <w:rPr>
          <w:rFonts w:ascii="宋体" w:hAnsi="宋体" w:cs="仿宋_GB2312"/>
          <w:sz w:val="24"/>
        </w:rPr>
      </w:pPr>
      <w:r>
        <w:rPr>
          <w:rFonts w:hint="eastAsia" w:ascii="宋体" w:hAnsi="宋体" w:cs="仿宋_GB2312"/>
          <w:sz w:val="24"/>
        </w:rPr>
        <w:t>4.属于同一集团、协会、商会等组织成员的供应商按照该组织要求协同参加政府采购活动；</w:t>
      </w:r>
    </w:p>
    <w:p w14:paraId="5C1E624E">
      <w:pPr>
        <w:spacing w:line="360" w:lineRule="auto"/>
        <w:ind w:firstLine="480" w:firstLineChars="200"/>
        <w:contextualSpacing/>
        <w:rPr>
          <w:rFonts w:ascii="宋体" w:hAnsi="宋体" w:cs="仿宋_GB2312"/>
          <w:sz w:val="24"/>
        </w:rPr>
      </w:pPr>
      <w:r>
        <w:rPr>
          <w:rFonts w:hint="eastAsia" w:ascii="宋体" w:hAnsi="宋体" w:cs="仿宋_GB2312"/>
          <w:sz w:val="24"/>
        </w:rPr>
        <w:t>5.供应商之间事先约定一致抬高或者压低竞标报价，或者在竞争性磋商项目中事先约定轮流以高价位或者低价位成交，或者事先约定由某一特定供应商成交，然后再参加竞标；</w:t>
      </w:r>
    </w:p>
    <w:p w14:paraId="729DBCC3">
      <w:pPr>
        <w:spacing w:line="360" w:lineRule="auto"/>
        <w:ind w:firstLine="480" w:firstLineChars="200"/>
        <w:contextualSpacing/>
        <w:rPr>
          <w:rFonts w:ascii="宋体" w:hAnsi="宋体" w:cs="仿宋_GB2312"/>
          <w:sz w:val="24"/>
        </w:rPr>
      </w:pPr>
      <w:r>
        <w:rPr>
          <w:rFonts w:hint="eastAsia" w:ascii="宋体" w:hAnsi="宋体" w:cs="仿宋_GB2312"/>
          <w:sz w:val="24"/>
        </w:rPr>
        <w:t>6.供应商之间商定部分供应商放弃参加政府采购活动或者放弃成交；</w:t>
      </w:r>
    </w:p>
    <w:p w14:paraId="04729947">
      <w:pPr>
        <w:spacing w:line="360" w:lineRule="auto"/>
        <w:ind w:firstLine="480" w:firstLineChars="200"/>
        <w:contextualSpacing/>
        <w:rPr>
          <w:rFonts w:ascii="宋体" w:hAnsi="宋体" w:cs="仿宋_GB2312"/>
          <w:sz w:val="24"/>
        </w:rPr>
      </w:pPr>
      <w:r>
        <w:rPr>
          <w:rFonts w:hint="eastAsia" w:ascii="宋体" w:hAnsi="宋体" w:cs="仿宋_GB2312"/>
          <w:sz w:val="24"/>
        </w:rPr>
        <w:t>7.供应商与采购人或者采购代理机构之间、供应商相互之间，为</w:t>
      </w:r>
      <w:r>
        <w:rPr>
          <w:rFonts w:hint="eastAsia" w:ascii="宋体" w:hAnsi="宋体" w:cs="仿宋_GB2312"/>
          <w:spacing w:val="-6"/>
          <w:sz w:val="24"/>
        </w:rPr>
        <w:t>谋求特定供应商成交或者排斥其他供应商的其他串通行为。</w:t>
      </w:r>
    </w:p>
    <w:p w14:paraId="272605AD">
      <w:pPr>
        <w:spacing w:line="360" w:lineRule="auto"/>
        <w:ind w:firstLine="480" w:firstLineChars="200"/>
        <w:contextualSpacing/>
        <w:rPr>
          <w:rFonts w:ascii="宋体" w:hAnsi="宋体" w:cs="仿宋_GB2312"/>
          <w:sz w:val="24"/>
        </w:rPr>
      </w:pPr>
    </w:p>
    <w:p w14:paraId="30F9B286">
      <w:pPr>
        <w:spacing w:line="360" w:lineRule="auto"/>
        <w:ind w:firstLine="482" w:firstLineChars="200"/>
        <w:contextualSpacing/>
        <w:rPr>
          <w:rFonts w:ascii="宋体" w:hAnsi="宋体" w:cs="仿宋_GB2312"/>
          <w:b/>
          <w:bCs/>
          <w:sz w:val="24"/>
        </w:rPr>
      </w:pPr>
      <w:r>
        <w:rPr>
          <w:rFonts w:hint="eastAsia" w:ascii="宋体" w:hAnsi="宋体" w:cs="仿宋_GB2312"/>
          <w:b/>
          <w:bCs/>
          <w:sz w:val="24"/>
        </w:rPr>
        <w:t>以上情形一经核查属实，我方愿意承担一切后果，并不再寻求任何旨在减轻或者免除法律责任的辩解。</w:t>
      </w:r>
    </w:p>
    <w:p w14:paraId="4E2EB433">
      <w:pPr>
        <w:spacing w:line="360" w:lineRule="auto"/>
        <w:contextualSpacing/>
        <w:rPr>
          <w:rFonts w:ascii="宋体" w:hAnsi="宋体" w:cs="仿宋_GB2312"/>
          <w:sz w:val="24"/>
        </w:rPr>
      </w:pPr>
    </w:p>
    <w:p w14:paraId="23E29257">
      <w:pPr>
        <w:spacing w:line="360" w:lineRule="auto"/>
        <w:ind w:firstLine="3600" w:firstLineChars="1500"/>
        <w:contextualSpacing/>
        <w:rPr>
          <w:rFonts w:ascii="宋体" w:hAnsi="宋体" w:cs="仿宋_GB2312"/>
          <w:sz w:val="24"/>
        </w:rPr>
      </w:pPr>
      <w:r>
        <w:rPr>
          <w:rFonts w:hint="eastAsia" w:ascii="宋体" w:hAnsi="宋体" w:cs="仿宋_GB2312"/>
          <w:sz w:val="24"/>
        </w:rPr>
        <w:t>供应商电子签章：</w:t>
      </w:r>
    </w:p>
    <w:p w14:paraId="2419A5F5">
      <w:pPr>
        <w:spacing w:line="360" w:lineRule="auto"/>
        <w:ind w:firstLine="480" w:firstLineChars="200"/>
        <w:contextualSpacing/>
        <w:jc w:val="center"/>
        <w:rPr>
          <w:rFonts w:ascii="宋体" w:hAnsi="宋体" w:cs="仿宋_GB2312"/>
          <w:sz w:val="32"/>
          <w:szCs w:val="32"/>
        </w:rPr>
      </w:pPr>
      <w:r>
        <w:rPr>
          <w:rFonts w:hint="eastAsia" w:ascii="宋体" w:hAnsi="宋体" w:cs="仿宋_GB2312"/>
          <w:sz w:val="24"/>
        </w:rPr>
        <w:t xml:space="preserve">                               年   月   日</w:t>
      </w:r>
    </w:p>
    <w:p w14:paraId="76D882D4">
      <w:pPr>
        <w:spacing w:line="360" w:lineRule="auto"/>
        <w:contextualSpacing/>
        <w:jc w:val="center"/>
        <w:rPr>
          <w:rFonts w:ascii="宋体" w:hAnsi="宋体"/>
          <w:szCs w:val="21"/>
        </w:rPr>
      </w:pPr>
      <w:r>
        <w:rPr>
          <w:rFonts w:hint="eastAsia" w:ascii="宋体" w:hAnsi="宋体" w:cs="方正小标宋简体"/>
          <w:bCs/>
          <w:sz w:val="44"/>
          <w:szCs w:val="44"/>
        </w:rPr>
        <w:br w:type="page"/>
      </w:r>
      <w:r>
        <w:rPr>
          <w:rFonts w:ascii="宋体" w:hAnsi="宋体"/>
          <w:szCs w:val="21"/>
        </w:rPr>
        <w:t xml:space="preserve"> </w:t>
      </w:r>
    </w:p>
    <w:p w14:paraId="6F95F329">
      <w:pPr>
        <w:spacing w:before="240" w:beforeLines="100" w:after="120" w:afterLines="50" w:line="520" w:lineRule="exact"/>
        <w:ind w:left="540"/>
        <w:jc w:val="center"/>
        <w:rPr>
          <w:rFonts w:ascii="宋体" w:hAnsi="宋体" w:cs="仿宋_GB2312"/>
          <w:sz w:val="32"/>
          <w:szCs w:val="32"/>
        </w:rPr>
      </w:pPr>
      <w:r>
        <w:rPr>
          <w:rFonts w:hint="eastAsia" w:ascii="宋体" w:hAnsi="宋体" w:cs="方正小标宋简体"/>
          <w:bCs/>
          <w:sz w:val="44"/>
          <w:szCs w:val="44"/>
        </w:rPr>
        <w:t>法定代表人证明书</w:t>
      </w:r>
    </w:p>
    <w:p w14:paraId="0D94F2E1">
      <w:pPr>
        <w:spacing w:line="520" w:lineRule="exact"/>
        <w:ind w:left="540"/>
        <w:rPr>
          <w:rFonts w:ascii="宋体" w:hAnsi="宋体" w:cs="仿宋_GB2312"/>
          <w:sz w:val="32"/>
          <w:szCs w:val="32"/>
        </w:rPr>
      </w:pPr>
    </w:p>
    <w:p w14:paraId="35621D1C">
      <w:pPr>
        <w:spacing w:line="360" w:lineRule="auto"/>
        <w:ind w:left="540"/>
        <w:contextualSpacing/>
        <w:rPr>
          <w:rFonts w:ascii="宋体" w:hAnsi="宋体" w:cs="仿宋_GB2312"/>
          <w:sz w:val="24"/>
        </w:rPr>
      </w:pPr>
      <w:r>
        <w:rPr>
          <w:rFonts w:hint="eastAsia" w:ascii="宋体" w:hAnsi="宋体" w:cs="仿宋_GB2312"/>
          <w:sz w:val="24"/>
        </w:rPr>
        <w:t>供应商名称：</w:t>
      </w:r>
      <w:r>
        <w:rPr>
          <w:rFonts w:hint="eastAsia" w:ascii="宋体" w:hAnsi="宋体" w:cs="仿宋_GB2312"/>
          <w:sz w:val="24"/>
          <w:u w:val="single"/>
        </w:rPr>
        <w:t xml:space="preserve">                                                 </w:t>
      </w:r>
    </w:p>
    <w:p w14:paraId="6BF38B60">
      <w:pPr>
        <w:spacing w:line="360" w:lineRule="auto"/>
        <w:ind w:left="540"/>
        <w:contextualSpacing/>
        <w:rPr>
          <w:rFonts w:ascii="宋体" w:hAnsi="宋体" w:cs="仿宋_GB2312"/>
          <w:sz w:val="24"/>
        </w:rPr>
      </w:pPr>
      <w:r>
        <w:rPr>
          <w:rFonts w:hint="eastAsia" w:ascii="宋体" w:hAnsi="宋体" w:cs="仿宋_GB2312"/>
          <w:sz w:val="24"/>
        </w:rPr>
        <w:t>地    址：</w:t>
      </w:r>
      <w:r>
        <w:rPr>
          <w:rFonts w:hint="eastAsia" w:ascii="宋体" w:hAnsi="宋体" w:cs="仿宋_GB2312"/>
          <w:sz w:val="24"/>
          <w:u w:val="single"/>
        </w:rPr>
        <w:t xml:space="preserve">                                                   </w:t>
      </w:r>
    </w:p>
    <w:p w14:paraId="24AE942D">
      <w:pPr>
        <w:spacing w:line="360" w:lineRule="auto"/>
        <w:ind w:left="540"/>
        <w:contextualSpacing/>
        <w:rPr>
          <w:rFonts w:ascii="宋体" w:hAnsi="宋体" w:cs="仿宋_GB2312"/>
          <w:sz w:val="24"/>
        </w:rPr>
      </w:pPr>
      <w:r>
        <w:rPr>
          <w:rFonts w:hint="eastAsia" w:ascii="宋体" w:hAnsi="宋体" w:cs="仿宋_GB2312"/>
          <w:sz w:val="24"/>
        </w:rPr>
        <w:t>姓    名：</w:t>
      </w:r>
      <w:r>
        <w:rPr>
          <w:rFonts w:hint="eastAsia" w:ascii="宋体" w:hAnsi="宋体" w:cs="仿宋_GB2312"/>
          <w:sz w:val="24"/>
          <w:u w:val="single"/>
        </w:rPr>
        <w:t xml:space="preserve">                </w:t>
      </w:r>
      <w:r>
        <w:rPr>
          <w:rFonts w:hint="eastAsia" w:ascii="宋体" w:hAnsi="宋体" w:cs="仿宋_GB2312"/>
          <w:sz w:val="24"/>
        </w:rPr>
        <w:t>性     别：</w:t>
      </w:r>
      <w:r>
        <w:rPr>
          <w:rFonts w:hint="eastAsia" w:ascii="宋体" w:hAnsi="宋体" w:cs="仿宋_GB2312"/>
          <w:sz w:val="24"/>
          <w:u w:val="single"/>
        </w:rPr>
        <w:t xml:space="preserve">                </w:t>
      </w:r>
    </w:p>
    <w:p w14:paraId="3A0065CB">
      <w:pPr>
        <w:spacing w:line="360" w:lineRule="auto"/>
        <w:ind w:left="540"/>
        <w:contextualSpacing/>
        <w:rPr>
          <w:rFonts w:ascii="宋体" w:hAnsi="宋体" w:cs="仿宋_GB2312"/>
          <w:sz w:val="24"/>
          <w:u w:val="single"/>
        </w:rPr>
      </w:pPr>
      <w:r>
        <w:rPr>
          <w:rFonts w:hint="eastAsia" w:ascii="宋体" w:hAnsi="宋体" w:cs="仿宋_GB2312"/>
          <w:sz w:val="24"/>
        </w:rPr>
        <w:t>年    龄：</w:t>
      </w:r>
      <w:r>
        <w:rPr>
          <w:rFonts w:hint="eastAsia" w:ascii="宋体" w:hAnsi="宋体" w:cs="仿宋_GB2312"/>
          <w:sz w:val="24"/>
          <w:u w:val="single"/>
        </w:rPr>
        <w:t xml:space="preserve">                </w:t>
      </w:r>
      <w:r>
        <w:rPr>
          <w:rFonts w:hint="eastAsia" w:ascii="宋体" w:hAnsi="宋体" w:cs="仿宋_GB2312"/>
          <w:sz w:val="24"/>
        </w:rPr>
        <w:t>职     务：</w:t>
      </w:r>
      <w:r>
        <w:rPr>
          <w:rFonts w:hint="eastAsia" w:ascii="宋体" w:hAnsi="宋体" w:cs="仿宋_GB2312"/>
          <w:sz w:val="24"/>
          <w:u w:val="single"/>
        </w:rPr>
        <w:t xml:space="preserve">                </w:t>
      </w:r>
    </w:p>
    <w:p w14:paraId="5AC27D00">
      <w:pPr>
        <w:spacing w:line="360" w:lineRule="auto"/>
        <w:ind w:left="540"/>
        <w:contextualSpacing/>
        <w:rPr>
          <w:rFonts w:ascii="宋体" w:hAnsi="宋体" w:cs="仿宋_GB2312"/>
          <w:sz w:val="24"/>
        </w:rPr>
      </w:pPr>
      <w:r>
        <w:rPr>
          <w:rFonts w:hint="eastAsia" w:ascii="宋体" w:hAnsi="宋体" w:cs="仿宋_GB2312"/>
          <w:sz w:val="24"/>
        </w:rPr>
        <w:t>身份证号码：</w:t>
      </w:r>
      <w:r>
        <w:rPr>
          <w:rFonts w:hint="eastAsia" w:ascii="宋体" w:hAnsi="宋体" w:cs="仿宋_GB2312"/>
          <w:sz w:val="24"/>
          <w:u w:val="single"/>
        </w:rPr>
        <w:t xml:space="preserve">                                        </w:t>
      </w:r>
    </w:p>
    <w:p w14:paraId="278211EA">
      <w:pPr>
        <w:spacing w:line="360" w:lineRule="auto"/>
        <w:ind w:firstLine="480" w:firstLineChars="200"/>
        <w:contextualSpacing/>
        <w:rPr>
          <w:rFonts w:ascii="宋体" w:hAnsi="宋体" w:cs="仿宋_GB2312"/>
          <w:sz w:val="24"/>
        </w:rPr>
      </w:pPr>
      <w:r>
        <w:rPr>
          <w:rFonts w:hint="eastAsia" w:ascii="宋体" w:hAnsi="宋体" w:cs="仿宋_GB2312"/>
          <w:sz w:val="24"/>
        </w:rPr>
        <w:t>系</w:t>
      </w:r>
      <w:r>
        <w:rPr>
          <w:rFonts w:hint="eastAsia" w:ascii="宋体" w:hAnsi="宋体" w:cs="仿宋_GB2312"/>
          <w:sz w:val="24"/>
          <w:u w:val="single"/>
        </w:rPr>
        <w:t>（供应商名称）</w:t>
      </w:r>
      <w:r>
        <w:rPr>
          <w:rFonts w:hint="eastAsia" w:ascii="宋体" w:hAnsi="宋体" w:cs="仿宋_GB2312"/>
          <w:sz w:val="24"/>
        </w:rPr>
        <w:t>的法定代表人。</w:t>
      </w:r>
    </w:p>
    <w:p w14:paraId="54874964">
      <w:pPr>
        <w:spacing w:line="360" w:lineRule="auto"/>
        <w:ind w:left="540"/>
        <w:contextualSpacing/>
        <w:rPr>
          <w:rFonts w:ascii="宋体" w:hAnsi="宋体" w:cs="仿宋_GB2312"/>
          <w:sz w:val="24"/>
        </w:rPr>
      </w:pPr>
      <w:r>
        <w:rPr>
          <w:rFonts w:hint="eastAsia" w:ascii="宋体" w:hAnsi="宋体" w:cs="仿宋_GB2312"/>
          <w:sz w:val="24"/>
        </w:rPr>
        <w:t>特此证明。</w:t>
      </w:r>
    </w:p>
    <w:p w14:paraId="4B744C74">
      <w:pPr>
        <w:spacing w:line="360" w:lineRule="auto"/>
        <w:ind w:left="540"/>
        <w:contextualSpacing/>
        <w:rPr>
          <w:rFonts w:ascii="宋体" w:hAnsi="宋体" w:cs="仿宋_GB2312"/>
          <w:sz w:val="24"/>
        </w:rPr>
      </w:pPr>
    </w:p>
    <w:p w14:paraId="2180B612">
      <w:pPr>
        <w:spacing w:line="360" w:lineRule="auto"/>
        <w:ind w:left="540"/>
        <w:contextualSpacing/>
        <w:rPr>
          <w:rFonts w:ascii="宋体" w:hAnsi="宋体" w:cs="仿宋_GB2312"/>
          <w:sz w:val="24"/>
        </w:rPr>
      </w:pPr>
    </w:p>
    <w:p w14:paraId="7AED9F68">
      <w:pPr>
        <w:spacing w:line="360" w:lineRule="auto"/>
        <w:ind w:left="540"/>
        <w:contextualSpacing/>
        <w:rPr>
          <w:rFonts w:ascii="宋体" w:hAnsi="宋体" w:cs="仿宋_GB2312"/>
          <w:sz w:val="24"/>
        </w:rPr>
      </w:pPr>
    </w:p>
    <w:p w14:paraId="3A6A1F79">
      <w:pPr>
        <w:spacing w:line="360" w:lineRule="auto"/>
        <w:ind w:left="540"/>
        <w:contextualSpacing/>
        <w:rPr>
          <w:rFonts w:ascii="宋体" w:hAnsi="宋体" w:cs="仿宋_GB2312"/>
          <w:sz w:val="24"/>
        </w:rPr>
      </w:pPr>
      <w:r>
        <w:rPr>
          <w:rFonts w:hint="eastAsia" w:ascii="宋体" w:hAnsi="宋体" w:cs="仿宋_GB2312"/>
          <w:sz w:val="24"/>
        </w:rPr>
        <w:t>附件：法定代表人有效身份证正反面复印件</w:t>
      </w:r>
    </w:p>
    <w:p w14:paraId="1BE02B73">
      <w:pPr>
        <w:spacing w:line="360" w:lineRule="auto"/>
        <w:ind w:left="540"/>
        <w:contextualSpacing/>
        <w:jc w:val="right"/>
        <w:rPr>
          <w:rFonts w:ascii="宋体" w:hAnsi="宋体" w:cs="仿宋_GB2312"/>
          <w:sz w:val="24"/>
        </w:rPr>
      </w:pPr>
    </w:p>
    <w:p w14:paraId="61FACE48">
      <w:pPr>
        <w:rPr>
          <w:rFonts w:ascii="宋体" w:hAnsi="宋体"/>
          <w:sz w:val="24"/>
        </w:rPr>
      </w:pPr>
      <w:r>
        <w:rPr>
          <w:rFonts w:hint="eastAsia" w:ascii="宋体" w:hAnsi="宋体"/>
          <w:sz w:val="24"/>
        </w:rPr>
        <w:t xml:space="preserve">                                  供应商电子签章：               </w:t>
      </w:r>
    </w:p>
    <w:p w14:paraId="77388EEA">
      <w:pPr>
        <w:spacing w:line="360" w:lineRule="auto"/>
        <w:ind w:firstLine="4080" w:firstLineChars="1700"/>
        <w:contextualSpacing/>
        <w:rPr>
          <w:rFonts w:ascii="宋体" w:hAnsi="宋体" w:cs="仿宋_GB2312"/>
          <w:sz w:val="24"/>
        </w:rPr>
      </w:pPr>
      <w:r>
        <w:rPr>
          <w:rFonts w:hint="eastAsia" w:ascii="宋体" w:hAnsi="宋体" w:cs="仿宋_GB2312"/>
          <w:sz w:val="24"/>
          <w:u w:val="single"/>
        </w:rPr>
        <w:t xml:space="preserve">     </w:t>
      </w:r>
      <w:r>
        <w:rPr>
          <w:rFonts w:hint="eastAsia" w:ascii="宋体" w:hAnsi="宋体" w:cs="仿宋_GB2312"/>
          <w:sz w:val="24"/>
        </w:rPr>
        <w:t>年</w:t>
      </w:r>
      <w:r>
        <w:rPr>
          <w:rFonts w:hint="eastAsia" w:ascii="宋体" w:hAnsi="宋体" w:cs="仿宋_GB2312"/>
          <w:sz w:val="24"/>
          <w:u w:val="single"/>
        </w:rPr>
        <w:t xml:space="preserve">     </w:t>
      </w:r>
      <w:r>
        <w:rPr>
          <w:rFonts w:hint="eastAsia" w:ascii="宋体" w:hAnsi="宋体" w:cs="仿宋_GB2312"/>
          <w:sz w:val="24"/>
        </w:rPr>
        <w:t>月</w:t>
      </w:r>
      <w:r>
        <w:rPr>
          <w:rFonts w:hint="eastAsia" w:ascii="宋体" w:hAnsi="宋体" w:cs="仿宋_GB2312"/>
          <w:sz w:val="24"/>
          <w:u w:val="single"/>
        </w:rPr>
        <w:t xml:space="preserve">     </w:t>
      </w:r>
      <w:r>
        <w:rPr>
          <w:rFonts w:hint="eastAsia" w:ascii="宋体" w:hAnsi="宋体" w:cs="仿宋_GB2312"/>
          <w:sz w:val="24"/>
        </w:rPr>
        <w:t>日</w:t>
      </w:r>
    </w:p>
    <w:p w14:paraId="0009418A">
      <w:pPr>
        <w:spacing w:line="360" w:lineRule="auto"/>
        <w:contextualSpacing/>
        <w:jc w:val="center"/>
        <w:rPr>
          <w:rFonts w:ascii="宋体" w:hAnsi="宋体" w:cs="仿宋_GB2312"/>
          <w:b/>
          <w:sz w:val="24"/>
        </w:rPr>
      </w:pPr>
    </w:p>
    <w:p w14:paraId="24A4E7B9">
      <w:pPr>
        <w:spacing w:line="360" w:lineRule="auto"/>
        <w:contextualSpacing/>
        <w:jc w:val="left"/>
        <w:rPr>
          <w:rFonts w:ascii="宋体" w:hAnsi="宋体" w:cs="仿宋_GB2312"/>
          <w:sz w:val="24"/>
        </w:rPr>
      </w:pPr>
    </w:p>
    <w:p w14:paraId="4EAEAA21">
      <w:pPr>
        <w:spacing w:line="360" w:lineRule="auto"/>
        <w:contextualSpacing/>
        <w:jc w:val="left"/>
        <w:rPr>
          <w:rFonts w:ascii="宋体" w:hAnsi="宋体" w:cs="仿宋_GB2312"/>
          <w:sz w:val="24"/>
        </w:rPr>
      </w:pPr>
      <w:r>
        <w:rPr>
          <w:rFonts w:hint="eastAsia" w:ascii="宋体" w:hAnsi="宋体" w:cs="仿宋_GB2312"/>
          <w:sz w:val="24"/>
        </w:rPr>
        <w:t>注：自然人竞标的无需提供，联合体竞标的只需牵头人出具。</w:t>
      </w:r>
    </w:p>
    <w:p w14:paraId="35AEB332">
      <w:pPr>
        <w:adjustRightInd w:val="0"/>
        <w:snapToGrid w:val="0"/>
        <w:spacing w:line="300" w:lineRule="auto"/>
        <w:jc w:val="left"/>
        <w:rPr>
          <w:rFonts w:ascii="宋体" w:hAnsi="宋体"/>
          <w:b/>
          <w:szCs w:val="21"/>
        </w:rPr>
      </w:pPr>
    </w:p>
    <w:p w14:paraId="14B81ADA">
      <w:pPr>
        <w:spacing w:line="500" w:lineRule="exact"/>
        <w:jc w:val="center"/>
        <w:rPr>
          <w:rFonts w:ascii="宋体" w:hAnsi="宋体" w:cs="方正小标宋简体"/>
          <w:sz w:val="44"/>
          <w:szCs w:val="44"/>
        </w:rPr>
      </w:pPr>
      <w:r>
        <w:rPr>
          <w:rFonts w:hint="eastAsia" w:ascii="宋体" w:hAnsi="宋体" w:cs="方正小标宋简体"/>
          <w:sz w:val="44"/>
          <w:szCs w:val="44"/>
        </w:rPr>
        <w:br w:type="page"/>
      </w:r>
      <w:r>
        <w:rPr>
          <w:rFonts w:ascii="宋体" w:hAnsi="宋体" w:cs="方正小标宋简体"/>
          <w:sz w:val="44"/>
          <w:szCs w:val="44"/>
        </w:rPr>
        <w:t xml:space="preserve"> </w:t>
      </w:r>
    </w:p>
    <w:p w14:paraId="07B996A7">
      <w:pPr>
        <w:spacing w:line="520" w:lineRule="exact"/>
        <w:jc w:val="center"/>
        <w:rPr>
          <w:rFonts w:ascii="宋体" w:hAnsi="宋体" w:cs="方正小标宋简体"/>
          <w:sz w:val="44"/>
          <w:szCs w:val="44"/>
        </w:rPr>
      </w:pPr>
      <w:r>
        <w:rPr>
          <w:rFonts w:hint="eastAsia" w:ascii="宋体" w:hAnsi="宋体" w:cs="方正小标宋简体"/>
          <w:sz w:val="44"/>
          <w:szCs w:val="44"/>
        </w:rPr>
        <w:t>授权委托书（非联合体竞标格式）</w:t>
      </w:r>
    </w:p>
    <w:p w14:paraId="5785D30A">
      <w:pPr>
        <w:spacing w:line="520" w:lineRule="exact"/>
        <w:jc w:val="center"/>
        <w:rPr>
          <w:rFonts w:ascii="宋体" w:hAnsi="宋体" w:cs="方正小标宋简体"/>
          <w:sz w:val="44"/>
          <w:szCs w:val="44"/>
        </w:rPr>
      </w:pPr>
      <w:r>
        <w:rPr>
          <w:rFonts w:hint="eastAsia" w:ascii="宋体" w:hAnsi="宋体" w:cs="方正小标宋简体"/>
          <w:sz w:val="44"/>
          <w:szCs w:val="44"/>
        </w:rPr>
        <w:t>（如有委托时）</w:t>
      </w:r>
    </w:p>
    <w:p w14:paraId="2306CCEA">
      <w:pPr>
        <w:spacing w:line="520" w:lineRule="exact"/>
        <w:rPr>
          <w:rFonts w:ascii="宋体" w:hAnsi="宋体" w:cs="仿宋_GB2312"/>
          <w:sz w:val="32"/>
          <w:szCs w:val="32"/>
        </w:rPr>
      </w:pPr>
    </w:p>
    <w:p w14:paraId="5DAD95E7">
      <w:pPr>
        <w:spacing w:line="360" w:lineRule="auto"/>
        <w:contextualSpacing/>
        <w:rPr>
          <w:rFonts w:ascii="宋体" w:hAnsi="宋体" w:cs="仿宋_GB2312"/>
          <w:sz w:val="24"/>
        </w:rPr>
      </w:pPr>
      <w:r>
        <w:rPr>
          <w:rFonts w:hint="eastAsia" w:ascii="宋体" w:hAnsi="宋体" w:cs="仿宋_GB2312"/>
          <w:sz w:val="24"/>
        </w:rPr>
        <w:t>致：</w:t>
      </w:r>
      <w:r>
        <w:rPr>
          <w:rFonts w:hint="eastAsia" w:ascii="宋体" w:hAnsi="宋体" w:cs="仿宋_GB2312"/>
          <w:sz w:val="24"/>
          <w:u w:val="single"/>
        </w:rPr>
        <w:t>（采购人名称）</w:t>
      </w:r>
      <w:r>
        <w:rPr>
          <w:rFonts w:hint="eastAsia" w:ascii="宋体" w:hAnsi="宋体" w:cs="仿宋_GB2312"/>
          <w:sz w:val="24"/>
        </w:rPr>
        <w:t>：</w:t>
      </w:r>
    </w:p>
    <w:p w14:paraId="1529139E">
      <w:pPr>
        <w:spacing w:line="360" w:lineRule="auto"/>
        <w:ind w:firstLine="480" w:firstLineChars="200"/>
        <w:contextualSpacing/>
        <w:rPr>
          <w:rFonts w:ascii="宋体" w:hAnsi="宋体" w:cs="仿宋_GB2312"/>
          <w:sz w:val="24"/>
        </w:rPr>
      </w:pPr>
      <w:r>
        <w:rPr>
          <w:rFonts w:hint="eastAsia" w:ascii="宋体" w:hAnsi="宋体" w:cs="仿宋_GB2312"/>
          <w:sz w:val="24"/>
        </w:rPr>
        <w:t>我</w:t>
      </w:r>
      <w:r>
        <w:rPr>
          <w:rFonts w:hint="eastAsia" w:ascii="宋体" w:hAnsi="宋体" w:cs="仿宋_GB2312"/>
          <w:sz w:val="24"/>
          <w:u w:val="single"/>
        </w:rPr>
        <w:t xml:space="preserve">  （姓名）  </w:t>
      </w:r>
      <w:r>
        <w:rPr>
          <w:rFonts w:hint="eastAsia" w:ascii="宋体" w:hAnsi="宋体" w:cs="仿宋_GB2312"/>
          <w:sz w:val="24"/>
        </w:rPr>
        <w:t>系</w:t>
      </w:r>
      <w:r>
        <w:rPr>
          <w:rFonts w:hint="eastAsia" w:ascii="宋体" w:hAnsi="宋体" w:cs="仿宋_GB2312"/>
          <w:sz w:val="24"/>
          <w:u w:val="single"/>
        </w:rPr>
        <w:t xml:space="preserve">  （供应商名称）  </w:t>
      </w:r>
      <w:r>
        <w:rPr>
          <w:rFonts w:hint="eastAsia" w:ascii="宋体" w:hAnsi="宋体" w:cs="仿宋_GB2312"/>
          <w:sz w:val="24"/>
        </w:rPr>
        <w:t>的（</w:t>
      </w:r>
      <w:r>
        <w:rPr>
          <w:rFonts w:hint="eastAsia" w:ascii="宋体" w:hAnsi="宋体" w:cs="仿宋_GB2312"/>
          <w:sz w:val="24"/>
          <w:u w:val="single"/>
        </w:rPr>
        <w:t>□法定代表人/□负责人/□自然人本人</w:t>
      </w:r>
      <w:r>
        <w:rPr>
          <w:rFonts w:hint="eastAsia" w:ascii="宋体" w:hAnsi="宋体" w:cs="仿宋_GB2312"/>
          <w:sz w:val="24"/>
        </w:rPr>
        <w:t>），现授权</w:t>
      </w:r>
      <w:r>
        <w:rPr>
          <w:rFonts w:hint="eastAsia" w:ascii="宋体" w:hAnsi="宋体" w:cs="仿宋_GB2312"/>
          <w:sz w:val="24"/>
          <w:u w:val="single"/>
        </w:rPr>
        <w:t xml:space="preserve"> （姓名） </w:t>
      </w:r>
      <w:r>
        <w:rPr>
          <w:rFonts w:hint="eastAsia" w:ascii="宋体" w:hAnsi="宋体" w:cs="仿宋_GB2312"/>
          <w:sz w:val="24"/>
        </w:rPr>
        <w:t>以我方的名义参加</w:t>
      </w:r>
      <w:r>
        <w:rPr>
          <w:rFonts w:hint="eastAsia" w:ascii="宋体" w:hAnsi="宋体" w:cs="仿宋_GB2312"/>
          <w:sz w:val="24"/>
          <w:u w:val="single"/>
        </w:rPr>
        <w:t xml:space="preserve">              </w:t>
      </w:r>
      <w:r>
        <w:rPr>
          <w:rFonts w:hint="eastAsia" w:ascii="宋体" w:hAnsi="宋体" w:cs="仿宋_GB2312"/>
          <w:sz w:val="24"/>
        </w:rPr>
        <w:t>项目</w:t>
      </w:r>
      <w:r>
        <w:rPr>
          <w:rFonts w:hint="eastAsia" w:ascii="宋体" w:hAnsi="宋体" w:cs="仿宋_GB2312"/>
          <w:sz w:val="24"/>
          <w:u w:val="single"/>
        </w:rPr>
        <w:t xml:space="preserve"> </w:t>
      </w:r>
      <w:r>
        <w:rPr>
          <w:rFonts w:ascii="宋体" w:hAnsi="宋体" w:cs="仿宋_GB2312"/>
          <w:sz w:val="24"/>
          <w:u w:val="single"/>
        </w:rPr>
        <w:t xml:space="preserve">   </w:t>
      </w:r>
      <w:r>
        <w:rPr>
          <w:rFonts w:hint="eastAsia" w:ascii="宋体" w:hAnsi="宋体" w:cs="仿宋_GB2312"/>
          <w:sz w:val="24"/>
        </w:rPr>
        <w:t>标项的竞标活动，并代表我方全权办理针对上述项目的所有采购程序和环节的具体事务和签署相关文件。</w:t>
      </w:r>
    </w:p>
    <w:p w14:paraId="6191AAD9">
      <w:pPr>
        <w:spacing w:line="360" w:lineRule="auto"/>
        <w:contextualSpacing/>
        <w:rPr>
          <w:rFonts w:ascii="宋体" w:hAnsi="宋体" w:cs="仿宋_GB2312"/>
          <w:sz w:val="24"/>
        </w:rPr>
      </w:pPr>
      <w:r>
        <w:rPr>
          <w:rFonts w:hint="eastAsia" w:ascii="宋体" w:hAnsi="宋体" w:cs="仿宋_GB2312"/>
          <w:sz w:val="24"/>
        </w:rPr>
        <w:t xml:space="preserve">    我方对委托代理人的签字</w:t>
      </w:r>
      <w:r>
        <w:rPr>
          <w:rFonts w:hint="eastAsia" w:ascii="宋体" w:hAnsi="宋体"/>
          <w:sz w:val="24"/>
        </w:rPr>
        <w:t>或者电子签名</w:t>
      </w:r>
      <w:r>
        <w:rPr>
          <w:rFonts w:hint="eastAsia" w:ascii="宋体" w:hAnsi="宋体" w:cs="仿宋_GB2312"/>
          <w:sz w:val="24"/>
        </w:rPr>
        <w:t>事项负全部责任。</w:t>
      </w:r>
    </w:p>
    <w:p w14:paraId="01752F7B">
      <w:pPr>
        <w:spacing w:line="360" w:lineRule="auto"/>
        <w:ind w:firstLine="480" w:firstLineChars="200"/>
        <w:contextualSpacing/>
        <w:rPr>
          <w:rFonts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14:paraId="36E21505">
      <w:pPr>
        <w:spacing w:line="360" w:lineRule="auto"/>
        <w:ind w:firstLine="480" w:firstLineChars="200"/>
        <w:contextualSpacing/>
        <w:rPr>
          <w:rFonts w:ascii="宋体" w:hAnsi="宋体" w:cs="仿宋_GB2312"/>
          <w:sz w:val="24"/>
        </w:rPr>
      </w:pPr>
      <w:r>
        <w:rPr>
          <w:rFonts w:hint="eastAsia" w:ascii="宋体" w:hAnsi="宋体" w:cs="仿宋_GB2312"/>
          <w:sz w:val="24"/>
        </w:rPr>
        <w:t>委托代理人无转委托权，特此委托。</w:t>
      </w:r>
    </w:p>
    <w:p w14:paraId="5CE5842E">
      <w:pPr>
        <w:spacing w:line="360" w:lineRule="auto"/>
        <w:ind w:firstLine="480" w:firstLineChars="200"/>
        <w:contextualSpacing/>
        <w:rPr>
          <w:rFonts w:ascii="宋体" w:hAnsi="宋体" w:cs="仿宋_GB2312"/>
          <w:sz w:val="24"/>
        </w:rPr>
      </w:pPr>
      <w:r>
        <w:rPr>
          <w:rFonts w:hint="eastAsia" w:ascii="宋体" w:hAnsi="宋体" w:cs="仿宋_GB2312"/>
          <w:sz w:val="24"/>
        </w:rPr>
        <w:t>附：法定代表人身份证明书及委托代理人有效身份证正反面复印件</w:t>
      </w:r>
    </w:p>
    <w:p w14:paraId="73AB0F01">
      <w:pPr>
        <w:spacing w:line="360" w:lineRule="auto"/>
        <w:contextualSpacing/>
        <w:rPr>
          <w:rFonts w:ascii="宋体" w:hAnsi="宋体" w:cs="仿宋_GB2312"/>
          <w:sz w:val="24"/>
        </w:rPr>
      </w:pPr>
    </w:p>
    <w:p w14:paraId="40A85717">
      <w:pPr>
        <w:spacing w:line="360" w:lineRule="auto"/>
        <w:contextualSpacing/>
        <w:rPr>
          <w:rFonts w:ascii="宋体" w:hAnsi="宋体" w:cs="仿宋_GB2312"/>
          <w:sz w:val="24"/>
        </w:rPr>
      </w:pPr>
      <w:r>
        <w:rPr>
          <w:rFonts w:hint="eastAsia" w:ascii="宋体" w:hAnsi="宋体" w:cs="仿宋_GB2312"/>
          <w:sz w:val="24"/>
        </w:rPr>
        <w:t>委托代理人</w:t>
      </w:r>
      <w:r>
        <w:rPr>
          <w:rFonts w:hint="eastAsia" w:ascii="宋体" w:hAnsi="宋体"/>
          <w:sz w:val="24"/>
        </w:rPr>
        <w:t>签字</w:t>
      </w:r>
      <w:r>
        <w:rPr>
          <w:rFonts w:hint="eastAsia" w:ascii="宋体" w:hAnsi="宋体" w:cs="仿宋_GB2312"/>
          <w:sz w:val="24"/>
        </w:rPr>
        <w:t>（</w:t>
      </w:r>
      <w:r>
        <w:rPr>
          <w:rFonts w:hint="eastAsia" w:ascii="宋体" w:hAnsi="宋体"/>
          <w:sz w:val="24"/>
        </w:rPr>
        <w:t>或者电子签名</w:t>
      </w:r>
      <w:r>
        <w:rPr>
          <w:rFonts w:hint="eastAsia" w:ascii="宋体" w:hAnsi="宋体" w:cs="仿宋_GB2312"/>
          <w:sz w:val="24"/>
        </w:rPr>
        <w:t xml:space="preserve">）：     法定代表人签字（或者盖章或者电子签名）：                    </w:t>
      </w:r>
    </w:p>
    <w:p w14:paraId="74FC3AE4">
      <w:pPr>
        <w:spacing w:line="360" w:lineRule="auto"/>
        <w:contextualSpacing/>
        <w:rPr>
          <w:rFonts w:ascii="宋体" w:hAnsi="宋体" w:cs="仿宋_GB2312"/>
          <w:sz w:val="24"/>
        </w:rPr>
      </w:pPr>
      <w:r>
        <w:rPr>
          <w:rFonts w:hint="eastAsia" w:ascii="宋体" w:hAnsi="宋体" w:cs="仿宋_GB2312"/>
          <w:sz w:val="24"/>
        </w:rPr>
        <w:t xml:space="preserve">委托代理人身份证号码：                              </w:t>
      </w:r>
    </w:p>
    <w:p w14:paraId="7DAEF650">
      <w:pPr>
        <w:spacing w:line="360" w:lineRule="auto"/>
        <w:contextualSpacing/>
        <w:rPr>
          <w:rFonts w:ascii="宋体" w:hAnsi="宋体" w:cs="仿宋_GB2312"/>
          <w:sz w:val="24"/>
        </w:rPr>
      </w:pPr>
      <w:r>
        <w:rPr>
          <w:rFonts w:hint="eastAsia" w:ascii="宋体" w:hAnsi="宋体" w:cs="仿宋_GB2312"/>
          <w:sz w:val="24"/>
        </w:rPr>
        <w:t xml:space="preserve">                                </w:t>
      </w:r>
    </w:p>
    <w:p w14:paraId="519854FD">
      <w:pPr>
        <w:spacing w:line="360" w:lineRule="auto"/>
        <w:contextualSpacing/>
        <w:rPr>
          <w:rFonts w:ascii="宋体" w:hAnsi="宋体" w:cs="仿宋_GB2312"/>
          <w:sz w:val="24"/>
        </w:rPr>
      </w:pPr>
      <w:r>
        <w:rPr>
          <w:rFonts w:hint="eastAsia" w:ascii="宋体" w:hAnsi="宋体" w:cs="仿宋_GB2312"/>
          <w:sz w:val="24"/>
        </w:rPr>
        <w:t xml:space="preserve">                         供应商电子签章：                      </w:t>
      </w:r>
    </w:p>
    <w:p w14:paraId="6395A983">
      <w:pPr>
        <w:spacing w:line="360" w:lineRule="auto"/>
        <w:contextualSpacing/>
        <w:rPr>
          <w:rFonts w:ascii="宋体" w:hAnsi="宋体" w:cs="仿宋_GB2312"/>
          <w:sz w:val="24"/>
        </w:rPr>
      </w:pPr>
      <w:r>
        <w:rPr>
          <w:rFonts w:hint="eastAsia" w:ascii="宋体" w:hAnsi="宋体" w:cs="仿宋_GB2312"/>
          <w:sz w:val="24"/>
        </w:rPr>
        <w:t xml:space="preserve">                                         年    月    日</w:t>
      </w:r>
    </w:p>
    <w:p w14:paraId="0456F267">
      <w:pPr>
        <w:spacing w:line="360" w:lineRule="auto"/>
        <w:contextualSpacing/>
        <w:rPr>
          <w:rFonts w:ascii="宋体" w:hAnsi="宋体" w:cs="仿宋_GB2312"/>
          <w:sz w:val="24"/>
        </w:rPr>
      </w:pPr>
    </w:p>
    <w:p w14:paraId="10D60F9B">
      <w:pPr>
        <w:spacing w:line="360" w:lineRule="auto"/>
        <w:contextualSpacing/>
        <w:rPr>
          <w:rFonts w:ascii="宋体" w:hAnsi="宋体" w:cs="仿宋_GB2312"/>
          <w:sz w:val="24"/>
        </w:rPr>
      </w:pPr>
      <w:r>
        <w:rPr>
          <w:rFonts w:hint="eastAsia" w:ascii="宋体" w:hAnsi="宋体" w:cs="仿宋_GB2312"/>
          <w:sz w:val="24"/>
        </w:rPr>
        <w:t>注：1.法定代表人必须在授权委托书上签字（或者盖章</w:t>
      </w:r>
      <w:r>
        <w:rPr>
          <w:rFonts w:hint="eastAsia" w:ascii="宋体" w:hAnsi="宋体"/>
          <w:sz w:val="24"/>
        </w:rPr>
        <w:t>或者电子签名</w:t>
      </w:r>
      <w:r>
        <w:rPr>
          <w:rFonts w:hint="eastAsia" w:ascii="宋体" w:hAnsi="宋体" w:cs="仿宋_GB2312"/>
          <w:sz w:val="24"/>
        </w:rPr>
        <w:t>），委托代理人必须在授权委托书上签字（或者电子签名），</w:t>
      </w:r>
      <w:r>
        <w:rPr>
          <w:rFonts w:hint="eastAsia" w:ascii="宋体" w:hAnsi="宋体" w:cs="仿宋_GB2312"/>
          <w:b/>
          <w:sz w:val="24"/>
        </w:rPr>
        <w:t>否则其响应文件按无效响应处理。</w:t>
      </w:r>
    </w:p>
    <w:p w14:paraId="407368E1">
      <w:pPr>
        <w:spacing w:line="360" w:lineRule="auto"/>
        <w:ind w:firstLine="480" w:firstLineChars="200"/>
        <w:contextualSpacing/>
        <w:jc w:val="left"/>
        <w:rPr>
          <w:rFonts w:ascii="宋体" w:hAnsi="宋体" w:cs="仿宋_GB2312"/>
          <w:sz w:val="24"/>
        </w:rPr>
      </w:pPr>
      <w:r>
        <w:rPr>
          <w:rFonts w:ascii="宋体" w:hAnsi="宋体" w:cs="仿宋_GB2312"/>
          <w:sz w:val="24"/>
        </w:rPr>
        <w:t>2.</w:t>
      </w:r>
      <w:bookmarkStart w:id="100" w:name="_Hlk65853109"/>
      <w:bookmarkStart w:id="101" w:name="_Hlk65853542"/>
      <w:r>
        <w:rPr>
          <w:rFonts w:hint="eastAsia" w:ascii="宋体" w:hAnsi="宋体" w:cs="仿宋_GB2312"/>
          <w:sz w:val="24"/>
        </w:rPr>
        <w:t>法人、其他组织竞标时“我方”是指“我单位”，自然人竞标时“我方”是指“本人”。</w:t>
      </w:r>
      <w:bookmarkEnd w:id="100"/>
    </w:p>
    <w:bookmarkEnd w:id="101"/>
    <w:p w14:paraId="08715556">
      <w:pPr>
        <w:spacing w:line="360" w:lineRule="auto"/>
        <w:ind w:firstLine="420" w:firstLineChars="200"/>
        <w:jc w:val="left"/>
        <w:rPr>
          <w:rFonts w:ascii="宋体" w:hAnsi="宋体" w:cs="仿宋_GB2312"/>
          <w:szCs w:val="21"/>
        </w:rPr>
      </w:pPr>
    </w:p>
    <w:p w14:paraId="1CE6CAB4">
      <w:pPr>
        <w:spacing w:line="500" w:lineRule="exact"/>
        <w:jc w:val="center"/>
        <w:rPr>
          <w:rFonts w:ascii="宋体" w:hAnsi="宋体" w:cs="方正小标宋简体"/>
          <w:sz w:val="44"/>
          <w:szCs w:val="44"/>
        </w:rPr>
      </w:pPr>
      <w:r>
        <w:rPr>
          <w:rFonts w:ascii="宋体" w:hAnsi="宋体" w:cs="仿宋_GB2312"/>
          <w:szCs w:val="21"/>
        </w:rPr>
        <w:br w:type="page"/>
      </w:r>
      <w:r>
        <w:rPr>
          <w:rFonts w:hint="eastAsia" w:ascii="宋体" w:hAnsi="宋体" w:cs="方正小标宋简体"/>
          <w:sz w:val="44"/>
          <w:szCs w:val="44"/>
        </w:rPr>
        <w:t>授权委托书（联合体竞标格式）</w:t>
      </w:r>
    </w:p>
    <w:p w14:paraId="34A0E759">
      <w:pPr>
        <w:spacing w:line="500" w:lineRule="exact"/>
        <w:jc w:val="center"/>
        <w:rPr>
          <w:rFonts w:ascii="宋体" w:hAnsi="宋体" w:cs="方正小标宋简体"/>
          <w:sz w:val="44"/>
          <w:szCs w:val="44"/>
        </w:rPr>
      </w:pPr>
      <w:r>
        <w:rPr>
          <w:rFonts w:hint="eastAsia" w:ascii="宋体" w:hAnsi="宋体" w:cs="方正小标宋简体"/>
          <w:sz w:val="44"/>
          <w:szCs w:val="44"/>
        </w:rPr>
        <w:t>（如有委托时）</w:t>
      </w:r>
    </w:p>
    <w:p w14:paraId="5251DE19">
      <w:pPr>
        <w:spacing w:line="500" w:lineRule="exact"/>
        <w:jc w:val="center"/>
        <w:rPr>
          <w:rFonts w:ascii="宋体" w:hAnsi="宋体" w:cs="方正小标宋简体"/>
          <w:sz w:val="44"/>
          <w:szCs w:val="44"/>
        </w:rPr>
      </w:pPr>
    </w:p>
    <w:p w14:paraId="5D8141FD">
      <w:pPr>
        <w:spacing w:line="500" w:lineRule="exact"/>
        <w:jc w:val="center"/>
        <w:rPr>
          <w:rFonts w:ascii="宋体" w:hAnsi="宋体" w:cs="仿宋_GB2312"/>
          <w:sz w:val="32"/>
          <w:szCs w:val="32"/>
        </w:rPr>
      </w:pPr>
    </w:p>
    <w:p w14:paraId="462F892F">
      <w:pPr>
        <w:spacing w:line="360" w:lineRule="auto"/>
        <w:ind w:firstLine="480" w:firstLineChars="200"/>
        <w:contextualSpacing/>
        <w:jc w:val="left"/>
        <w:rPr>
          <w:rFonts w:ascii="宋体" w:hAnsi="宋体" w:cs="仿宋_GB2312"/>
          <w:sz w:val="24"/>
        </w:rPr>
      </w:pPr>
      <w:r>
        <w:rPr>
          <w:rFonts w:hint="eastAsia" w:ascii="宋体" w:hAnsi="宋体" w:cs="仿宋_GB2312"/>
          <w:sz w:val="24"/>
        </w:rPr>
        <w:t>本授权委托书声明：根据</w:t>
      </w:r>
      <w:r>
        <w:rPr>
          <w:rFonts w:hint="eastAsia" w:ascii="宋体" w:hAnsi="宋体" w:cs="仿宋_GB2312"/>
          <w:sz w:val="24"/>
          <w:u w:val="single"/>
        </w:rPr>
        <w:t xml:space="preserve">                </w:t>
      </w:r>
      <w:r>
        <w:rPr>
          <w:rFonts w:hint="eastAsia" w:ascii="宋体" w:hAnsi="宋体" w:cs="仿宋_GB2312"/>
          <w:sz w:val="24"/>
        </w:rPr>
        <w:t>（牵头人名称）与</w:t>
      </w:r>
      <w:r>
        <w:rPr>
          <w:rFonts w:hint="eastAsia" w:ascii="宋体" w:hAnsi="宋体" w:cs="仿宋_GB2312"/>
          <w:sz w:val="24"/>
          <w:u w:val="single"/>
        </w:rPr>
        <w:t xml:space="preserve">              </w:t>
      </w:r>
      <w:r>
        <w:rPr>
          <w:rFonts w:hint="eastAsia" w:ascii="宋体" w:hAnsi="宋体" w:cs="仿宋_GB2312"/>
          <w:sz w:val="24"/>
        </w:rPr>
        <w:t>（联合体其他成员名称）签订的《联合体竞标协议书》的内容，</w:t>
      </w:r>
      <w:r>
        <w:rPr>
          <w:rFonts w:hint="eastAsia" w:ascii="宋体" w:hAnsi="宋体" w:cs="仿宋_GB2312"/>
          <w:sz w:val="24"/>
          <w:u w:val="single"/>
        </w:rPr>
        <w:t xml:space="preserve">                       </w:t>
      </w:r>
      <w:r>
        <w:rPr>
          <w:rFonts w:hint="eastAsia" w:ascii="宋体" w:hAnsi="宋体" w:cs="仿宋_GB2312"/>
          <w:sz w:val="24"/>
        </w:rPr>
        <w:t>（牵头人名称）的法定代表人</w:t>
      </w:r>
      <w:r>
        <w:rPr>
          <w:rFonts w:hint="eastAsia" w:ascii="宋体" w:hAnsi="宋体" w:cs="仿宋_GB2312"/>
          <w:sz w:val="24"/>
          <w:u w:val="single"/>
        </w:rPr>
        <w:t xml:space="preserve">      </w:t>
      </w:r>
      <w:r>
        <w:rPr>
          <w:rFonts w:hint="eastAsia" w:ascii="宋体" w:hAnsi="宋体" w:cs="仿宋_GB2312"/>
          <w:sz w:val="24"/>
        </w:rPr>
        <w:t>（姓名）现授权</w:t>
      </w:r>
      <w:r>
        <w:rPr>
          <w:rFonts w:hint="eastAsia" w:ascii="宋体" w:hAnsi="宋体" w:cs="仿宋_GB2312"/>
          <w:sz w:val="24"/>
          <w:u w:val="single"/>
        </w:rPr>
        <w:t xml:space="preserve">      </w:t>
      </w:r>
      <w:r>
        <w:rPr>
          <w:rFonts w:hint="eastAsia" w:ascii="宋体" w:hAnsi="宋体" w:cs="仿宋_GB2312"/>
          <w:sz w:val="24"/>
        </w:rPr>
        <w:t>（姓名）为联合委托代理人，并代表我方全权办理针对上述项目的所有采购程序和环节的具体事务和签署相关文件。</w:t>
      </w:r>
    </w:p>
    <w:p w14:paraId="35C77F33">
      <w:pPr>
        <w:spacing w:line="360" w:lineRule="auto"/>
        <w:ind w:firstLine="480" w:firstLineChars="200"/>
        <w:contextualSpacing/>
        <w:rPr>
          <w:rFonts w:ascii="宋体" w:hAnsi="宋体" w:cs="仿宋_GB2312"/>
          <w:sz w:val="24"/>
        </w:rPr>
      </w:pPr>
      <w:r>
        <w:rPr>
          <w:rFonts w:hint="eastAsia" w:ascii="宋体" w:hAnsi="宋体" w:cs="仿宋_GB2312"/>
          <w:sz w:val="24"/>
        </w:rPr>
        <w:t>我方对委托代理人的</w:t>
      </w:r>
      <w:r>
        <w:rPr>
          <w:rFonts w:hint="eastAsia" w:ascii="宋体" w:hAnsi="宋体"/>
          <w:sz w:val="24"/>
        </w:rPr>
        <w:t>签字或者电子签名</w:t>
      </w:r>
      <w:r>
        <w:rPr>
          <w:rFonts w:hint="eastAsia" w:ascii="宋体" w:hAnsi="宋体" w:cs="仿宋_GB2312"/>
          <w:sz w:val="24"/>
        </w:rPr>
        <w:t>事项负全部责任。</w:t>
      </w:r>
    </w:p>
    <w:p w14:paraId="04059D04">
      <w:pPr>
        <w:spacing w:line="360" w:lineRule="auto"/>
        <w:ind w:firstLine="480" w:firstLineChars="200"/>
        <w:contextualSpacing/>
        <w:rPr>
          <w:rFonts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14:paraId="5DDD4F83">
      <w:pPr>
        <w:spacing w:line="360" w:lineRule="auto"/>
        <w:ind w:firstLine="480" w:firstLineChars="200"/>
        <w:contextualSpacing/>
        <w:rPr>
          <w:rFonts w:ascii="宋体" w:hAnsi="宋体" w:cs="仿宋_GB2312"/>
          <w:sz w:val="24"/>
        </w:rPr>
      </w:pPr>
      <w:r>
        <w:rPr>
          <w:rFonts w:hint="eastAsia" w:ascii="宋体" w:hAnsi="宋体" w:cs="仿宋_GB2312"/>
          <w:sz w:val="24"/>
        </w:rPr>
        <w:t>委托代理人无转委托权，特此委托。</w:t>
      </w:r>
    </w:p>
    <w:p w14:paraId="01EC1232">
      <w:pPr>
        <w:spacing w:line="360" w:lineRule="auto"/>
        <w:contextualSpacing/>
        <w:rPr>
          <w:rFonts w:ascii="宋体" w:hAnsi="宋体" w:cs="仿宋_GB2312"/>
          <w:sz w:val="24"/>
        </w:rPr>
      </w:pPr>
      <w:r>
        <w:rPr>
          <w:rFonts w:hint="eastAsia" w:ascii="宋体" w:hAnsi="宋体" w:cs="仿宋_GB2312"/>
          <w:sz w:val="24"/>
        </w:rPr>
        <w:t xml:space="preserve">    附：法定代表人身份证明书及委托代理人有效身份证正反面复印件</w:t>
      </w:r>
    </w:p>
    <w:p w14:paraId="021EE322">
      <w:pPr>
        <w:spacing w:line="360" w:lineRule="auto"/>
        <w:ind w:firstLine="480" w:firstLineChars="200"/>
        <w:contextualSpacing/>
        <w:rPr>
          <w:rFonts w:ascii="宋体" w:hAnsi="宋体" w:cs="仿宋_GB2312"/>
          <w:sz w:val="24"/>
        </w:rPr>
      </w:pPr>
      <w:r>
        <w:rPr>
          <w:rFonts w:hint="eastAsia" w:ascii="宋体" w:hAnsi="宋体" w:cs="仿宋_GB2312"/>
          <w:sz w:val="24"/>
        </w:rPr>
        <w:t>牵头人法定代表人签字（或者盖章或者电子签名）：</w:t>
      </w:r>
    </w:p>
    <w:p w14:paraId="3C66E4EB">
      <w:pPr>
        <w:spacing w:line="360" w:lineRule="auto"/>
        <w:ind w:firstLine="3120" w:firstLineChars="1300"/>
        <w:contextualSpacing/>
        <w:rPr>
          <w:rFonts w:ascii="宋体" w:hAnsi="宋体" w:cs="仿宋_GB2312"/>
          <w:sz w:val="24"/>
        </w:rPr>
      </w:pPr>
      <w:r>
        <w:rPr>
          <w:rFonts w:hint="eastAsia" w:ascii="宋体" w:hAnsi="宋体" w:cs="仿宋_GB2312"/>
          <w:sz w:val="24"/>
        </w:rPr>
        <w:t>牵头人公章（或者电子签章）：</w:t>
      </w:r>
    </w:p>
    <w:p w14:paraId="4D18A14D">
      <w:pPr>
        <w:spacing w:line="360" w:lineRule="auto"/>
        <w:ind w:firstLine="3840" w:firstLineChars="1600"/>
        <w:contextualSpacing/>
        <w:rPr>
          <w:rFonts w:ascii="宋体" w:hAnsi="宋体" w:cs="仿宋_GB2312"/>
          <w:sz w:val="24"/>
        </w:rPr>
      </w:pPr>
      <w:r>
        <w:rPr>
          <w:rFonts w:hint="eastAsia" w:ascii="宋体" w:hAnsi="宋体" w:cs="仿宋_GB2312"/>
          <w:sz w:val="24"/>
        </w:rPr>
        <w:t>日期：    年   月   日</w:t>
      </w:r>
    </w:p>
    <w:p w14:paraId="0D7BA3BE">
      <w:pPr>
        <w:spacing w:line="360" w:lineRule="auto"/>
        <w:contextualSpacing/>
        <w:rPr>
          <w:rFonts w:ascii="宋体" w:hAnsi="宋体" w:cs="仿宋_GB2312"/>
          <w:sz w:val="24"/>
        </w:rPr>
      </w:pPr>
    </w:p>
    <w:p w14:paraId="2F16928B">
      <w:pPr>
        <w:spacing w:line="360" w:lineRule="auto"/>
        <w:ind w:firstLine="3120" w:firstLineChars="1300"/>
        <w:contextualSpacing/>
        <w:rPr>
          <w:rFonts w:ascii="宋体" w:hAnsi="宋体" w:cs="仿宋_GB2312"/>
          <w:sz w:val="24"/>
        </w:rPr>
      </w:pPr>
      <w:r>
        <w:rPr>
          <w:rFonts w:hint="eastAsia" w:ascii="宋体" w:hAnsi="宋体" w:cs="仿宋_GB2312"/>
          <w:sz w:val="24"/>
        </w:rPr>
        <w:t>被授权人签字（或者电子签名）：</w:t>
      </w:r>
    </w:p>
    <w:p w14:paraId="51C4B3EB">
      <w:pPr>
        <w:spacing w:line="360" w:lineRule="auto"/>
        <w:ind w:firstLine="3840" w:firstLineChars="1600"/>
        <w:contextualSpacing/>
        <w:rPr>
          <w:rFonts w:ascii="宋体" w:hAnsi="宋体" w:cs="仿宋_GB2312"/>
          <w:sz w:val="24"/>
        </w:rPr>
      </w:pPr>
      <w:r>
        <w:rPr>
          <w:rFonts w:hint="eastAsia" w:ascii="宋体" w:hAnsi="宋体" w:cs="仿宋_GB2312"/>
          <w:sz w:val="24"/>
        </w:rPr>
        <w:t>日期：    年   月   日</w:t>
      </w:r>
    </w:p>
    <w:p w14:paraId="37FD00A6">
      <w:pPr>
        <w:spacing w:line="360" w:lineRule="auto"/>
        <w:contextualSpacing/>
        <w:rPr>
          <w:rFonts w:ascii="宋体" w:hAnsi="宋体" w:cs="仿宋_GB2312"/>
          <w:sz w:val="24"/>
        </w:rPr>
      </w:pPr>
    </w:p>
    <w:p w14:paraId="15754E7F">
      <w:pPr>
        <w:spacing w:line="360" w:lineRule="auto"/>
        <w:contextualSpacing/>
        <w:rPr>
          <w:rFonts w:ascii="宋体" w:hAnsi="宋体" w:cs="仿宋_GB2312"/>
          <w:sz w:val="24"/>
        </w:rPr>
      </w:pPr>
      <w:r>
        <w:rPr>
          <w:rFonts w:hint="eastAsia" w:ascii="宋体" w:hAnsi="宋体" w:cs="仿宋_GB2312"/>
          <w:sz w:val="24"/>
        </w:rPr>
        <w:t>注：1.法定代表人必须在授权委托书上签字（或者盖章</w:t>
      </w:r>
      <w:r>
        <w:rPr>
          <w:rFonts w:hint="eastAsia" w:ascii="宋体" w:hAnsi="宋体"/>
          <w:sz w:val="24"/>
        </w:rPr>
        <w:t>或者电子签名</w:t>
      </w:r>
      <w:r>
        <w:rPr>
          <w:rFonts w:hint="eastAsia" w:ascii="宋体" w:hAnsi="宋体" w:cs="仿宋_GB2312"/>
          <w:sz w:val="24"/>
        </w:rPr>
        <w:t>），委托代理人必须在授权委托书上签字（或者电子签名），</w:t>
      </w:r>
      <w:r>
        <w:rPr>
          <w:rFonts w:hint="eastAsia" w:ascii="宋体" w:hAnsi="宋体" w:cs="仿宋_GB2312"/>
          <w:b/>
          <w:sz w:val="24"/>
        </w:rPr>
        <w:t>否则其响应文件按无效响应处理。</w:t>
      </w:r>
    </w:p>
    <w:p w14:paraId="491F67E9">
      <w:pPr>
        <w:spacing w:line="360" w:lineRule="auto"/>
        <w:ind w:firstLine="480" w:firstLineChars="200"/>
        <w:contextualSpacing/>
        <w:jc w:val="left"/>
        <w:rPr>
          <w:rFonts w:ascii="宋体" w:hAnsi="宋体" w:cs="仿宋_GB2312"/>
          <w:sz w:val="24"/>
        </w:rPr>
      </w:pPr>
      <w:r>
        <w:rPr>
          <w:rFonts w:ascii="宋体" w:hAnsi="宋体" w:cs="仿宋_GB2312"/>
          <w:sz w:val="24"/>
        </w:rPr>
        <w:t>2.</w:t>
      </w:r>
      <w:r>
        <w:rPr>
          <w:rFonts w:hint="eastAsia" w:ascii="宋体" w:hAnsi="宋体" w:cs="仿宋_GB2312"/>
          <w:sz w:val="24"/>
        </w:rPr>
        <w:t>法人、其他组织竞标时“我方”是指“我单位”，自然人竞标时“我方”是指“本人”。</w:t>
      </w:r>
    </w:p>
    <w:p w14:paraId="2B78BBFA">
      <w:pPr>
        <w:spacing w:line="500" w:lineRule="exact"/>
        <w:jc w:val="center"/>
        <w:rPr>
          <w:rFonts w:ascii="宋体" w:hAnsi="宋体" w:cs="方正小标宋简体"/>
          <w:bCs/>
          <w:sz w:val="44"/>
          <w:szCs w:val="44"/>
        </w:rPr>
      </w:pPr>
      <w:r>
        <w:rPr>
          <w:rFonts w:hint="eastAsia" w:ascii="宋体" w:hAnsi="宋体" w:cs="仿宋_GB2312"/>
          <w:sz w:val="32"/>
          <w:szCs w:val="32"/>
        </w:rPr>
        <w:br w:type="page"/>
      </w:r>
      <w:r>
        <w:rPr>
          <w:rFonts w:hint="eastAsia" w:ascii="宋体" w:hAnsi="宋体" w:cs="方正小标宋简体"/>
          <w:bCs/>
          <w:sz w:val="44"/>
          <w:szCs w:val="44"/>
        </w:rPr>
        <w:t>商务要求响应承诺书</w:t>
      </w:r>
    </w:p>
    <w:p w14:paraId="68DFB4C4">
      <w:pPr>
        <w:spacing w:line="500" w:lineRule="exact"/>
        <w:jc w:val="left"/>
        <w:rPr>
          <w:rFonts w:ascii="宋体" w:hAnsi="宋体"/>
          <w:b/>
          <w:sz w:val="32"/>
          <w:szCs w:val="32"/>
        </w:rPr>
      </w:pPr>
      <w:r>
        <w:rPr>
          <w:rFonts w:hint="eastAsia" w:ascii="宋体" w:hAnsi="宋体"/>
          <w:b/>
          <w:sz w:val="32"/>
          <w:szCs w:val="32"/>
          <w:u w:val="single"/>
        </w:rPr>
        <w:t xml:space="preserve"> </w:t>
      </w:r>
      <w:r>
        <w:rPr>
          <w:rFonts w:ascii="宋体" w:hAnsi="宋体"/>
          <w:b/>
          <w:sz w:val="32"/>
          <w:szCs w:val="32"/>
          <w:u w:val="single"/>
        </w:rPr>
        <w:t xml:space="preserve">    </w:t>
      </w:r>
      <w:r>
        <w:rPr>
          <w:rFonts w:hint="eastAsia" w:ascii="宋体" w:hAnsi="宋体"/>
          <w:b/>
          <w:sz w:val="32"/>
          <w:szCs w:val="32"/>
        </w:rPr>
        <w:t>标项</w:t>
      </w:r>
    </w:p>
    <w:tbl>
      <w:tblPr>
        <w:tblStyle w:val="29"/>
        <w:tblW w:w="486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7474"/>
      </w:tblGrid>
      <w:tr w14:paraId="40759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781" w:type="pct"/>
            <w:tcBorders>
              <w:top w:val="single" w:color="auto" w:sz="4" w:space="0"/>
              <w:left w:val="single" w:color="auto" w:sz="4" w:space="0"/>
              <w:bottom w:val="single" w:color="auto" w:sz="4" w:space="0"/>
              <w:right w:val="single" w:color="auto" w:sz="4" w:space="0"/>
            </w:tcBorders>
            <w:vAlign w:val="center"/>
          </w:tcPr>
          <w:p w14:paraId="1F23BA8E">
            <w:pPr>
              <w:snapToGrid w:val="0"/>
              <w:spacing w:before="50"/>
              <w:jc w:val="center"/>
              <w:rPr>
                <w:rFonts w:ascii="宋体" w:hAnsi="宋体"/>
                <w:sz w:val="24"/>
              </w:rPr>
            </w:pPr>
            <w:r>
              <w:rPr>
                <w:rFonts w:hint="eastAsia" w:ascii="宋体" w:hAnsi="宋体"/>
                <w:sz w:val="24"/>
              </w:rPr>
              <w:t>条款</w:t>
            </w:r>
          </w:p>
        </w:tc>
        <w:tc>
          <w:tcPr>
            <w:tcW w:w="4219" w:type="pct"/>
            <w:tcBorders>
              <w:top w:val="single" w:color="auto" w:sz="4" w:space="0"/>
              <w:left w:val="single" w:color="auto" w:sz="4" w:space="0"/>
              <w:bottom w:val="single" w:color="auto" w:sz="4" w:space="0"/>
              <w:right w:val="single" w:color="auto" w:sz="4" w:space="0"/>
            </w:tcBorders>
            <w:vAlign w:val="center"/>
          </w:tcPr>
          <w:p w14:paraId="6686776E">
            <w:pPr>
              <w:snapToGrid w:val="0"/>
              <w:spacing w:before="50"/>
              <w:jc w:val="center"/>
              <w:rPr>
                <w:rFonts w:ascii="宋体" w:hAnsi="宋体"/>
                <w:sz w:val="24"/>
              </w:rPr>
            </w:pPr>
            <w:r>
              <w:rPr>
                <w:rFonts w:hint="eastAsia" w:ascii="宋体" w:hAnsi="宋体"/>
                <w:sz w:val="24"/>
              </w:rPr>
              <w:t>对照第三章采购需求中的“商务要求”，供应商的详细商务响应情况</w:t>
            </w:r>
          </w:p>
        </w:tc>
      </w:tr>
      <w:tr w14:paraId="08E43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83" w:type="dxa"/>
            <w:tcBorders>
              <w:top w:val="single" w:color="auto" w:sz="4" w:space="0"/>
              <w:left w:val="single" w:color="auto" w:sz="4" w:space="0"/>
              <w:bottom w:val="single" w:color="auto" w:sz="4" w:space="0"/>
              <w:right w:val="single" w:color="auto" w:sz="4" w:space="0"/>
            </w:tcBorders>
            <w:vAlign w:val="center"/>
          </w:tcPr>
          <w:p w14:paraId="1C05946C">
            <w:pPr>
              <w:snapToGrid w:val="0"/>
              <w:spacing w:before="50"/>
              <w:jc w:val="center"/>
              <w:rPr>
                <w:rFonts w:ascii="宋体" w:hAnsi="宋体"/>
                <w:sz w:val="24"/>
              </w:rPr>
            </w:pPr>
            <w:r>
              <w:rPr>
                <w:rFonts w:hint="eastAsia" w:ascii="宋体" w:hAnsi="宋体"/>
                <w:sz w:val="24"/>
              </w:rPr>
              <w:t>（一）售后要求</w:t>
            </w:r>
          </w:p>
        </w:tc>
        <w:tc>
          <w:tcPr>
            <w:tcW w:w="4219" w:type="pct"/>
            <w:tcBorders>
              <w:top w:val="single" w:color="auto" w:sz="4" w:space="0"/>
              <w:left w:val="single" w:color="auto" w:sz="4" w:space="0"/>
              <w:bottom w:val="single" w:color="auto" w:sz="4" w:space="0"/>
              <w:right w:val="single" w:color="auto" w:sz="4" w:space="0"/>
            </w:tcBorders>
            <w:vAlign w:val="center"/>
          </w:tcPr>
          <w:p w14:paraId="5827E8BA">
            <w:pPr>
              <w:snapToGrid w:val="0"/>
              <w:spacing w:before="50"/>
              <w:jc w:val="center"/>
              <w:rPr>
                <w:rFonts w:ascii="宋体" w:hAnsi="宋体"/>
                <w:sz w:val="24"/>
              </w:rPr>
            </w:pPr>
          </w:p>
        </w:tc>
      </w:tr>
      <w:tr w14:paraId="3B5E5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83" w:type="dxa"/>
            <w:tcBorders>
              <w:top w:val="single" w:color="auto" w:sz="4" w:space="0"/>
              <w:left w:val="single" w:color="auto" w:sz="4" w:space="0"/>
              <w:bottom w:val="single" w:color="auto" w:sz="4" w:space="0"/>
              <w:right w:val="single" w:color="auto" w:sz="4" w:space="0"/>
            </w:tcBorders>
            <w:vAlign w:val="center"/>
          </w:tcPr>
          <w:p w14:paraId="555205DC">
            <w:pPr>
              <w:snapToGrid w:val="0"/>
              <w:spacing w:before="50"/>
              <w:jc w:val="center"/>
              <w:rPr>
                <w:rFonts w:ascii="宋体" w:hAnsi="宋体"/>
                <w:sz w:val="24"/>
              </w:rPr>
            </w:pPr>
            <w:r>
              <w:rPr>
                <w:rFonts w:hint="eastAsia" w:ascii="宋体" w:hAnsi="宋体"/>
                <w:sz w:val="24"/>
              </w:rPr>
              <w:t>（二）交付时间和地点</w:t>
            </w:r>
          </w:p>
        </w:tc>
        <w:tc>
          <w:tcPr>
            <w:tcW w:w="4219" w:type="pct"/>
            <w:tcBorders>
              <w:top w:val="single" w:color="auto" w:sz="4" w:space="0"/>
              <w:left w:val="single" w:color="auto" w:sz="4" w:space="0"/>
              <w:bottom w:val="single" w:color="auto" w:sz="4" w:space="0"/>
              <w:right w:val="single" w:color="auto" w:sz="4" w:space="0"/>
            </w:tcBorders>
            <w:vAlign w:val="center"/>
          </w:tcPr>
          <w:p w14:paraId="04B0FDD9">
            <w:pPr>
              <w:snapToGrid w:val="0"/>
              <w:spacing w:before="50"/>
              <w:jc w:val="center"/>
              <w:rPr>
                <w:rFonts w:ascii="宋体" w:hAnsi="宋体"/>
                <w:sz w:val="24"/>
              </w:rPr>
            </w:pPr>
          </w:p>
        </w:tc>
      </w:tr>
      <w:tr w14:paraId="0616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83" w:type="dxa"/>
            <w:tcBorders>
              <w:top w:val="single" w:color="auto" w:sz="4" w:space="0"/>
              <w:left w:val="single" w:color="auto" w:sz="4" w:space="0"/>
              <w:bottom w:val="single" w:color="auto" w:sz="4" w:space="0"/>
              <w:right w:val="single" w:color="auto" w:sz="4" w:space="0"/>
            </w:tcBorders>
            <w:vAlign w:val="center"/>
          </w:tcPr>
          <w:p w14:paraId="3B03EC0E">
            <w:pPr>
              <w:snapToGrid w:val="0"/>
              <w:spacing w:before="50"/>
              <w:jc w:val="center"/>
              <w:rPr>
                <w:rFonts w:ascii="宋体" w:hAnsi="宋体"/>
                <w:sz w:val="24"/>
              </w:rPr>
            </w:pPr>
            <w:r>
              <w:rPr>
                <w:rFonts w:hint="eastAsia" w:ascii="宋体" w:hAnsi="宋体"/>
                <w:sz w:val="24"/>
              </w:rPr>
              <w:t>（三）合同签订时间</w:t>
            </w:r>
          </w:p>
        </w:tc>
        <w:tc>
          <w:tcPr>
            <w:tcW w:w="4219" w:type="pct"/>
            <w:tcBorders>
              <w:top w:val="single" w:color="auto" w:sz="4" w:space="0"/>
              <w:left w:val="single" w:color="auto" w:sz="4" w:space="0"/>
              <w:bottom w:val="single" w:color="auto" w:sz="4" w:space="0"/>
              <w:right w:val="single" w:color="auto" w:sz="4" w:space="0"/>
            </w:tcBorders>
            <w:vAlign w:val="center"/>
          </w:tcPr>
          <w:p w14:paraId="6D465D61">
            <w:pPr>
              <w:snapToGrid w:val="0"/>
              <w:spacing w:before="50"/>
              <w:jc w:val="center"/>
              <w:rPr>
                <w:rFonts w:ascii="宋体" w:hAnsi="宋体"/>
                <w:sz w:val="24"/>
              </w:rPr>
            </w:pPr>
          </w:p>
        </w:tc>
      </w:tr>
      <w:tr w14:paraId="10AA9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83" w:type="dxa"/>
            <w:tcBorders>
              <w:top w:val="single" w:color="auto" w:sz="4" w:space="0"/>
              <w:left w:val="single" w:color="auto" w:sz="4" w:space="0"/>
              <w:bottom w:val="single" w:color="auto" w:sz="4" w:space="0"/>
              <w:right w:val="single" w:color="auto" w:sz="4" w:space="0"/>
            </w:tcBorders>
            <w:vAlign w:val="center"/>
          </w:tcPr>
          <w:p w14:paraId="6122836B">
            <w:pPr>
              <w:snapToGrid w:val="0"/>
              <w:spacing w:before="50"/>
              <w:jc w:val="center"/>
              <w:rPr>
                <w:rFonts w:ascii="宋体" w:hAnsi="宋体"/>
                <w:sz w:val="24"/>
              </w:rPr>
            </w:pPr>
            <w:r>
              <w:rPr>
                <w:rFonts w:hint="eastAsia" w:ascii="宋体" w:hAnsi="宋体"/>
                <w:sz w:val="24"/>
              </w:rPr>
              <w:t>（四）履约保证金</w:t>
            </w:r>
          </w:p>
        </w:tc>
        <w:tc>
          <w:tcPr>
            <w:tcW w:w="4219" w:type="pct"/>
            <w:tcBorders>
              <w:top w:val="single" w:color="auto" w:sz="4" w:space="0"/>
              <w:left w:val="single" w:color="auto" w:sz="4" w:space="0"/>
              <w:bottom w:val="single" w:color="auto" w:sz="4" w:space="0"/>
              <w:right w:val="single" w:color="auto" w:sz="4" w:space="0"/>
            </w:tcBorders>
            <w:vAlign w:val="center"/>
          </w:tcPr>
          <w:p w14:paraId="695AE299">
            <w:pPr>
              <w:snapToGrid w:val="0"/>
              <w:spacing w:before="50"/>
              <w:jc w:val="center"/>
              <w:rPr>
                <w:rFonts w:ascii="宋体" w:hAnsi="宋体"/>
                <w:sz w:val="24"/>
              </w:rPr>
            </w:pPr>
          </w:p>
        </w:tc>
      </w:tr>
      <w:tr w14:paraId="79711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83" w:type="dxa"/>
            <w:tcBorders>
              <w:top w:val="single" w:color="auto" w:sz="4" w:space="0"/>
              <w:left w:val="single" w:color="auto" w:sz="4" w:space="0"/>
              <w:bottom w:val="single" w:color="auto" w:sz="4" w:space="0"/>
              <w:right w:val="single" w:color="auto" w:sz="4" w:space="0"/>
            </w:tcBorders>
            <w:vAlign w:val="center"/>
          </w:tcPr>
          <w:p w14:paraId="5BA2970D">
            <w:pPr>
              <w:snapToGrid w:val="0"/>
              <w:spacing w:before="50"/>
              <w:jc w:val="center"/>
              <w:rPr>
                <w:rFonts w:ascii="宋体" w:hAnsi="宋体"/>
                <w:sz w:val="24"/>
              </w:rPr>
            </w:pPr>
            <w:r>
              <w:rPr>
                <w:rFonts w:hint="eastAsia" w:ascii="宋体" w:hAnsi="宋体"/>
                <w:sz w:val="24"/>
              </w:rPr>
              <w:t>（五）付款方式</w:t>
            </w:r>
          </w:p>
        </w:tc>
        <w:tc>
          <w:tcPr>
            <w:tcW w:w="4219" w:type="pct"/>
            <w:tcBorders>
              <w:top w:val="single" w:color="auto" w:sz="4" w:space="0"/>
              <w:left w:val="single" w:color="auto" w:sz="4" w:space="0"/>
              <w:bottom w:val="single" w:color="auto" w:sz="4" w:space="0"/>
              <w:right w:val="single" w:color="auto" w:sz="4" w:space="0"/>
            </w:tcBorders>
            <w:vAlign w:val="center"/>
          </w:tcPr>
          <w:p w14:paraId="34EB49A0">
            <w:pPr>
              <w:snapToGrid w:val="0"/>
              <w:spacing w:before="50"/>
              <w:jc w:val="center"/>
              <w:rPr>
                <w:rFonts w:ascii="宋体" w:hAnsi="宋体"/>
                <w:sz w:val="24"/>
              </w:rPr>
            </w:pPr>
          </w:p>
        </w:tc>
      </w:tr>
      <w:tr w14:paraId="0AD7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83" w:type="dxa"/>
            <w:tcBorders>
              <w:top w:val="single" w:color="auto" w:sz="4" w:space="0"/>
              <w:left w:val="single" w:color="auto" w:sz="4" w:space="0"/>
              <w:bottom w:val="single" w:color="auto" w:sz="4" w:space="0"/>
              <w:right w:val="single" w:color="auto" w:sz="4" w:space="0"/>
            </w:tcBorders>
            <w:vAlign w:val="center"/>
          </w:tcPr>
          <w:p w14:paraId="7BE30D97">
            <w:pPr>
              <w:snapToGrid w:val="0"/>
              <w:spacing w:before="50"/>
              <w:jc w:val="center"/>
              <w:rPr>
                <w:rFonts w:ascii="宋体" w:hAnsi="宋体"/>
                <w:sz w:val="24"/>
              </w:rPr>
            </w:pPr>
            <w:r>
              <w:rPr>
                <w:rFonts w:hint="eastAsia" w:ascii="宋体" w:hAnsi="宋体"/>
                <w:sz w:val="24"/>
              </w:rPr>
              <w:t>（六）保险</w:t>
            </w:r>
          </w:p>
        </w:tc>
        <w:tc>
          <w:tcPr>
            <w:tcW w:w="4219" w:type="pct"/>
            <w:tcBorders>
              <w:top w:val="single" w:color="auto" w:sz="4" w:space="0"/>
              <w:left w:val="single" w:color="auto" w:sz="4" w:space="0"/>
              <w:bottom w:val="single" w:color="auto" w:sz="4" w:space="0"/>
              <w:right w:val="single" w:color="auto" w:sz="4" w:space="0"/>
            </w:tcBorders>
            <w:vAlign w:val="center"/>
          </w:tcPr>
          <w:p w14:paraId="0FAA2CC1">
            <w:pPr>
              <w:snapToGrid w:val="0"/>
              <w:spacing w:before="50"/>
              <w:jc w:val="center"/>
              <w:rPr>
                <w:rFonts w:ascii="宋体" w:hAnsi="宋体"/>
                <w:sz w:val="24"/>
              </w:rPr>
            </w:pPr>
          </w:p>
        </w:tc>
      </w:tr>
      <w:tr w14:paraId="7BB4F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83" w:type="dxa"/>
            <w:tcBorders>
              <w:top w:val="single" w:color="auto" w:sz="4" w:space="0"/>
              <w:left w:val="single" w:color="auto" w:sz="4" w:space="0"/>
              <w:bottom w:val="single" w:color="auto" w:sz="4" w:space="0"/>
              <w:right w:val="single" w:color="auto" w:sz="4" w:space="0"/>
            </w:tcBorders>
            <w:vAlign w:val="center"/>
          </w:tcPr>
          <w:p w14:paraId="024CA239">
            <w:pPr>
              <w:snapToGrid w:val="0"/>
              <w:spacing w:before="50"/>
              <w:jc w:val="center"/>
              <w:rPr>
                <w:rFonts w:ascii="宋体" w:hAnsi="宋体"/>
                <w:sz w:val="24"/>
              </w:rPr>
            </w:pPr>
            <w:r>
              <w:rPr>
                <w:rFonts w:hint="eastAsia" w:ascii="宋体" w:hAnsi="宋体"/>
                <w:sz w:val="24"/>
              </w:rPr>
              <w:t>（七）验收标准</w:t>
            </w:r>
          </w:p>
        </w:tc>
        <w:tc>
          <w:tcPr>
            <w:tcW w:w="4219" w:type="pct"/>
            <w:tcBorders>
              <w:top w:val="single" w:color="auto" w:sz="4" w:space="0"/>
              <w:left w:val="single" w:color="auto" w:sz="4" w:space="0"/>
              <w:bottom w:val="single" w:color="auto" w:sz="4" w:space="0"/>
              <w:right w:val="single" w:color="auto" w:sz="4" w:space="0"/>
            </w:tcBorders>
            <w:vAlign w:val="center"/>
          </w:tcPr>
          <w:p w14:paraId="09EC13F0">
            <w:pPr>
              <w:snapToGrid w:val="0"/>
              <w:spacing w:before="50"/>
              <w:jc w:val="center"/>
              <w:rPr>
                <w:rFonts w:ascii="宋体" w:hAnsi="宋体"/>
                <w:sz w:val="24"/>
              </w:rPr>
            </w:pPr>
          </w:p>
        </w:tc>
      </w:tr>
      <w:tr w14:paraId="5B9FF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83" w:type="dxa"/>
            <w:tcBorders>
              <w:top w:val="single" w:color="auto" w:sz="4" w:space="0"/>
              <w:left w:val="single" w:color="auto" w:sz="4" w:space="0"/>
              <w:bottom w:val="single" w:color="auto" w:sz="4" w:space="0"/>
              <w:right w:val="single" w:color="auto" w:sz="4" w:space="0"/>
            </w:tcBorders>
            <w:vAlign w:val="center"/>
          </w:tcPr>
          <w:p w14:paraId="3589B94A">
            <w:pPr>
              <w:snapToGrid w:val="0"/>
              <w:spacing w:before="50"/>
              <w:jc w:val="center"/>
              <w:rPr>
                <w:rFonts w:ascii="宋体" w:hAnsi="宋体"/>
                <w:sz w:val="24"/>
              </w:rPr>
            </w:pPr>
            <w:r>
              <w:rPr>
                <w:rFonts w:ascii="宋体" w:hAnsi="宋体"/>
                <w:sz w:val="24"/>
              </w:rPr>
              <w:t>……</w:t>
            </w:r>
          </w:p>
        </w:tc>
        <w:tc>
          <w:tcPr>
            <w:tcW w:w="4219" w:type="pct"/>
            <w:tcBorders>
              <w:top w:val="single" w:color="auto" w:sz="4" w:space="0"/>
              <w:left w:val="single" w:color="auto" w:sz="4" w:space="0"/>
              <w:bottom w:val="single" w:color="auto" w:sz="4" w:space="0"/>
              <w:right w:val="single" w:color="auto" w:sz="4" w:space="0"/>
            </w:tcBorders>
            <w:vAlign w:val="center"/>
          </w:tcPr>
          <w:p w14:paraId="427EC7E5">
            <w:pPr>
              <w:snapToGrid w:val="0"/>
              <w:spacing w:before="50"/>
              <w:jc w:val="center"/>
              <w:rPr>
                <w:rFonts w:ascii="宋体" w:hAnsi="宋体"/>
                <w:sz w:val="24"/>
              </w:rPr>
            </w:pPr>
            <w:r>
              <w:rPr>
                <w:rFonts w:ascii="宋体" w:hAnsi="宋体"/>
                <w:sz w:val="24"/>
              </w:rPr>
              <w:t>……</w:t>
            </w:r>
          </w:p>
        </w:tc>
      </w:tr>
    </w:tbl>
    <w:p w14:paraId="3B138198">
      <w:pPr>
        <w:pStyle w:val="13"/>
        <w:spacing w:after="0" w:line="360" w:lineRule="auto"/>
        <w:contextualSpacing/>
        <w:rPr>
          <w:rFonts w:ascii="宋体" w:hAnsi="宋体"/>
          <w:kern w:val="0"/>
          <w:sz w:val="24"/>
          <w:szCs w:val="24"/>
        </w:rPr>
      </w:pPr>
    </w:p>
    <w:p w14:paraId="04BB160B">
      <w:pPr>
        <w:pStyle w:val="13"/>
        <w:spacing w:after="0" w:line="360" w:lineRule="auto"/>
        <w:contextualSpacing/>
        <w:rPr>
          <w:rFonts w:ascii="宋体" w:hAnsi="宋体"/>
          <w:kern w:val="0"/>
          <w:sz w:val="24"/>
          <w:szCs w:val="24"/>
        </w:rPr>
      </w:pPr>
      <w:r>
        <w:rPr>
          <w:rFonts w:hint="eastAsia" w:ascii="宋体" w:hAnsi="宋体"/>
          <w:kern w:val="0"/>
          <w:sz w:val="24"/>
          <w:szCs w:val="24"/>
        </w:rPr>
        <w:t>注：应对照磋商文件“第三章 采购需求”中的商务要求逐条作出明确响应。</w:t>
      </w:r>
    </w:p>
    <w:p w14:paraId="3AFFB681">
      <w:pPr>
        <w:spacing w:line="360" w:lineRule="auto"/>
        <w:ind w:right="-817" w:rightChars="-389"/>
        <w:contextualSpacing/>
        <w:rPr>
          <w:rFonts w:ascii="宋体" w:hAnsi="宋体" w:cs="仿宋_GB2312"/>
          <w:sz w:val="24"/>
        </w:rPr>
      </w:pPr>
    </w:p>
    <w:p w14:paraId="3C354088">
      <w:pPr>
        <w:spacing w:line="360" w:lineRule="auto"/>
        <w:ind w:right="-817" w:rightChars="-389"/>
        <w:contextualSpacing/>
        <w:jc w:val="center"/>
        <w:rPr>
          <w:rFonts w:ascii="宋体" w:hAnsi="宋体" w:cs="仿宋_GB2312"/>
          <w:sz w:val="24"/>
        </w:rPr>
      </w:pPr>
      <w:r>
        <w:rPr>
          <w:rFonts w:hint="eastAsia" w:ascii="宋体" w:hAnsi="宋体" w:cs="仿宋_GB2312"/>
          <w:sz w:val="24"/>
        </w:rPr>
        <w:t>法定代表人或者委托代理人签字（或者电子签名）：</w:t>
      </w:r>
    </w:p>
    <w:p w14:paraId="54AEDF78">
      <w:pPr>
        <w:spacing w:line="360" w:lineRule="auto"/>
        <w:ind w:right="-817" w:rightChars="-389" w:firstLine="2880" w:firstLineChars="1200"/>
        <w:contextualSpacing/>
        <w:rPr>
          <w:rFonts w:ascii="宋体" w:hAnsi="宋体" w:cs="仿宋_GB2312"/>
          <w:sz w:val="24"/>
        </w:rPr>
      </w:pPr>
      <w:r>
        <w:rPr>
          <w:rFonts w:hint="eastAsia" w:ascii="宋体" w:hAnsi="宋体" w:cs="仿宋_GB2312"/>
          <w:sz w:val="24"/>
        </w:rPr>
        <w:t xml:space="preserve">供应商电子签章：      </w:t>
      </w:r>
    </w:p>
    <w:p w14:paraId="1E1DE5ED">
      <w:pPr>
        <w:spacing w:line="360" w:lineRule="auto"/>
        <w:ind w:right="-817" w:rightChars="-389" w:firstLine="4080" w:firstLineChars="1700"/>
        <w:contextualSpacing/>
        <w:rPr>
          <w:rFonts w:ascii="宋体" w:hAnsi="宋体" w:cs="仿宋_GB2312"/>
          <w:b/>
          <w:sz w:val="32"/>
          <w:szCs w:val="32"/>
        </w:rPr>
      </w:pPr>
      <w:r>
        <w:rPr>
          <w:rFonts w:hint="eastAsia" w:ascii="宋体" w:hAnsi="宋体" w:cs="仿宋_GB2312"/>
          <w:sz w:val="24"/>
        </w:rPr>
        <w:t>日期：   年   月   日</w:t>
      </w:r>
    </w:p>
    <w:p w14:paraId="75BDE658">
      <w:pPr>
        <w:adjustRightInd w:val="0"/>
        <w:snapToGrid w:val="0"/>
        <w:spacing w:line="520" w:lineRule="exact"/>
        <w:ind w:firstLine="7040" w:firstLineChars="1600"/>
        <w:jc w:val="center"/>
        <w:rPr>
          <w:rFonts w:ascii="宋体" w:hAnsi="宋体" w:cs="方正小标宋简体"/>
          <w:bCs/>
          <w:sz w:val="44"/>
          <w:szCs w:val="44"/>
        </w:rPr>
      </w:pPr>
    </w:p>
    <w:p w14:paraId="35BB904F">
      <w:pPr>
        <w:adjustRightInd w:val="0"/>
        <w:snapToGrid w:val="0"/>
        <w:spacing w:line="520" w:lineRule="exact"/>
        <w:ind w:firstLine="7040" w:firstLineChars="1600"/>
        <w:jc w:val="center"/>
        <w:rPr>
          <w:rFonts w:ascii="宋体" w:hAnsi="宋体" w:cs="方正小标宋简体"/>
          <w:bCs/>
          <w:sz w:val="44"/>
          <w:szCs w:val="44"/>
        </w:rPr>
      </w:pPr>
    </w:p>
    <w:p w14:paraId="3900F056">
      <w:pPr>
        <w:spacing w:line="500" w:lineRule="exact"/>
        <w:jc w:val="center"/>
        <w:rPr>
          <w:rFonts w:ascii="宋体" w:hAnsi="宋体" w:cs="方正小标宋简体"/>
          <w:bCs/>
          <w:sz w:val="44"/>
          <w:szCs w:val="44"/>
        </w:rPr>
      </w:pPr>
      <w:r>
        <w:rPr>
          <w:rFonts w:ascii="宋体" w:hAnsi="宋体" w:cs="方正小标宋简体"/>
          <w:bCs/>
          <w:sz w:val="44"/>
          <w:szCs w:val="44"/>
        </w:rPr>
        <w:br w:type="page"/>
      </w:r>
      <w:r>
        <w:rPr>
          <w:rFonts w:hint="eastAsia" w:ascii="宋体" w:hAnsi="宋体" w:cs="方正小标宋简体"/>
          <w:bCs/>
          <w:sz w:val="44"/>
          <w:szCs w:val="44"/>
        </w:rPr>
        <w:t>技术（服务）要求响应表格式</w:t>
      </w:r>
    </w:p>
    <w:p w14:paraId="6B13CA92">
      <w:pPr>
        <w:spacing w:line="500" w:lineRule="exact"/>
        <w:jc w:val="left"/>
        <w:rPr>
          <w:rFonts w:ascii="宋体" w:hAnsi="宋体"/>
          <w:b/>
          <w:sz w:val="32"/>
          <w:szCs w:val="32"/>
        </w:rPr>
      </w:pPr>
      <w:r>
        <w:rPr>
          <w:rFonts w:hint="eastAsia" w:ascii="宋体" w:hAnsi="宋体"/>
          <w:b/>
          <w:sz w:val="32"/>
          <w:szCs w:val="32"/>
          <w:u w:val="single"/>
        </w:rPr>
        <w:t xml:space="preserve"> </w:t>
      </w:r>
      <w:r>
        <w:rPr>
          <w:rFonts w:ascii="宋体" w:hAnsi="宋体"/>
          <w:b/>
          <w:sz w:val="32"/>
          <w:szCs w:val="32"/>
          <w:u w:val="single"/>
        </w:rPr>
        <w:t xml:space="preserve">    </w:t>
      </w:r>
      <w:r>
        <w:rPr>
          <w:rFonts w:hint="eastAsia" w:ascii="宋体" w:hAnsi="宋体"/>
          <w:b/>
          <w:sz w:val="32"/>
          <w:szCs w:val="32"/>
        </w:rPr>
        <w:t>标项</w:t>
      </w:r>
    </w:p>
    <w:p w14:paraId="1D6F83B0">
      <w:pPr>
        <w:spacing w:line="500" w:lineRule="exact"/>
        <w:rPr>
          <w:rFonts w:ascii="宋体" w:hAnsi="宋体"/>
          <w:sz w:val="24"/>
        </w:rPr>
      </w:pPr>
      <w:r>
        <w:rPr>
          <w:rFonts w:hint="eastAsia" w:ascii="宋体" w:hAnsi="宋体"/>
          <w:sz w:val="32"/>
          <w:szCs w:val="32"/>
        </w:rPr>
        <w:t xml:space="preserve"> </w:t>
      </w:r>
    </w:p>
    <w:tbl>
      <w:tblPr>
        <w:tblStyle w:val="29"/>
        <w:tblpPr w:leftFromText="180" w:rightFromText="180" w:vertAnchor="text" w:horzAnchor="margin" w:tblpY="-9"/>
        <w:tblOverlap w:val="never"/>
        <w:tblW w:w="937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26"/>
        <w:gridCol w:w="1512"/>
        <w:gridCol w:w="1890"/>
        <w:gridCol w:w="1519"/>
        <w:gridCol w:w="2925"/>
      </w:tblGrid>
      <w:tr w14:paraId="14B116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4" w:hRule="atLeast"/>
        </w:trPr>
        <w:tc>
          <w:tcPr>
            <w:tcW w:w="1526" w:type="dxa"/>
            <w:tcBorders>
              <w:top w:val="single" w:color="auto" w:sz="4" w:space="0"/>
              <w:left w:val="single" w:color="auto" w:sz="4" w:space="0"/>
              <w:bottom w:val="single" w:color="auto" w:sz="4" w:space="0"/>
              <w:right w:val="single" w:color="auto" w:sz="4" w:space="0"/>
            </w:tcBorders>
            <w:vAlign w:val="center"/>
          </w:tcPr>
          <w:p w14:paraId="63EC1A07">
            <w:pPr>
              <w:snapToGrid w:val="0"/>
              <w:spacing w:line="400" w:lineRule="exact"/>
              <w:jc w:val="center"/>
              <w:rPr>
                <w:rFonts w:ascii="宋体" w:hAnsi="宋体" w:cs="宋体"/>
                <w:sz w:val="32"/>
                <w:szCs w:val="32"/>
              </w:rPr>
            </w:pPr>
            <w:r>
              <w:rPr>
                <w:rFonts w:hint="eastAsia" w:ascii="宋体" w:hAnsi="宋体" w:cs="宋体"/>
                <w:sz w:val="32"/>
                <w:szCs w:val="32"/>
              </w:rPr>
              <w:t>项号</w:t>
            </w:r>
          </w:p>
        </w:tc>
        <w:tc>
          <w:tcPr>
            <w:tcW w:w="1512" w:type="dxa"/>
            <w:tcBorders>
              <w:top w:val="single" w:color="auto" w:sz="4" w:space="0"/>
              <w:left w:val="single" w:color="auto" w:sz="4" w:space="0"/>
              <w:bottom w:val="single" w:color="auto" w:sz="4" w:space="0"/>
              <w:right w:val="single" w:color="auto" w:sz="4" w:space="0"/>
            </w:tcBorders>
            <w:vAlign w:val="center"/>
          </w:tcPr>
          <w:p w14:paraId="0F6CCC3D">
            <w:pPr>
              <w:snapToGrid w:val="0"/>
              <w:spacing w:line="400" w:lineRule="exact"/>
              <w:jc w:val="center"/>
              <w:rPr>
                <w:rFonts w:ascii="宋体" w:hAnsi="宋体" w:cs="宋体"/>
                <w:sz w:val="32"/>
                <w:szCs w:val="32"/>
              </w:rPr>
            </w:pPr>
            <w:r>
              <w:rPr>
                <w:rFonts w:hint="eastAsia" w:ascii="宋体" w:hAnsi="宋体" w:cs="宋体"/>
                <w:sz w:val="32"/>
                <w:szCs w:val="32"/>
              </w:rPr>
              <w:t>标的名称</w:t>
            </w:r>
          </w:p>
        </w:tc>
        <w:tc>
          <w:tcPr>
            <w:tcW w:w="1890" w:type="dxa"/>
            <w:tcBorders>
              <w:top w:val="single" w:color="auto" w:sz="4" w:space="0"/>
              <w:left w:val="single" w:color="auto" w:sz="4" w:space="0"/>
              <w:bottom w:val="single" w:color="auto" w:sz="4" w:space="0"/>
              <w:right w:val="single" w:color="auto" w:sz="4" w:space="0"/>
            </w:tcBorders>
            <w:vAlign w:val="center"/>
          </w:tcPr>
          <w:p w14:paraId="41B1F543">
            <w:pPr>
              <w:snapToGrid w:val="0"/>
              <w:spacing w:line="400" w:lineRule="exact"/>
              <w:jc w:val="center"/>
              <w:rPr>
                <w:rFonts w:ascii="宋体" w:hAnsi="宋体" w:cs="宋体"/>
                <w:sz w:val="32"/>
                <w:szCs w:val="32"/>
              </w:rPr>
            </w:pPr>
            <w:r>
              <w:rPr>
                <w:rFonts w:hint="eastAsia" w:ascii="宋体" w:hAnsi="宋体" w:cs="宋体"/>
                <w:sz w:val="32"/>
                <w:szCs w:val="32"/>
              </w:rPr>
              <w:t>竞争性磋商文件的“技术（服务）要求”</w:t>
            </w:r>
          </w:p>
        </w:tc>
        <w:tc>
          <w:tcPr>
            <w:tcW w:w="1519" w:type="dxa"/>
            <w:tcBorders>
              <w:top w:val="single" w:color="auto" w:sz="4" w:space="0"/>
              <w:left w:val="single" w:color="auto" w:sz="4" w:space="0"/>
              <w:bottom w:val="single" w:color="auto" w:sz="4" w:space="0"/>
              <w:right w:val="single" w:color="auto" w:sz="4" w:space="0"/>
            </w:tcBorders>
            <w:vAlign w:val="center"/>
          </w:tcPr>
          <w:p w14:paraId="70418F3B">
            <w:pPr>
              <w:snapToGrid w:val="0"/>
              <w:spacing w:line="400" w:lineRule="exact"/>
              <w:jc w:val="center"/>
              <w:rPr>
                <w:rFonts w:ascii="宋体" w:hAnsi="宋体" w:cs="宋体"/>
                <w:sz w:val="32"/>
                <w:szCs w:val="32"/>
              </w:rPr>
            </w:pPr>
            <w:r>
              <w:rPr>
                <w:rFonts w:hint="eastAsia" w:ascii="宋体" w:hAnsi="宋体" w:cs="宋体"/>
                <w:sz w:val="32"/>
                <w:szCs w:val="32"/>
              </w:rPr>
              <w:t>是否偏离</w:t>
            </w:r>
          </w:p>
        </w:tc>
        <w:tc>
          <w:tcPr>
            <w:tcW w:w="2925" w:type="dxa"/>
            <w:tcBorders>
              <w:top w:val="single" w:color="auto" w:sz="4" w:space="0"/>
              <w:left w:val="single" w:color="auto" w:sz="4" w:space="0"/>
              <w:bottom w:val="single" w:color="auto" w:sz="4" w:space="0"/>
              <w:right w:val="single" w:color="auto" w:sz="4" w:space="0"/>
            </w:tcBorders>
            <w:vAlign w:val="center"/>
          </w:tcPr>
          <w:p w14:paraId="5C0FB860">
            <w:pPr>
              <w:snapToGrid w:val="0"/>
              <w:spacing w:line="400" w:lineRule="exact"/>
              <w:jc w:val="center"/>
              <w:rPr>
                <w:rFonts w:ascii="宋体" w:hAnsi="宋体" w:cs="宋体"/>
                <w:sz w:val="32"/>
                <w:szCs w:val="32"/>
              </w:rPr>
            </w:pPr>
            <w:r>
              <w:rPr>
                <w:rFonts w:hint="eastAsia" w:ascii="宋体" w:hAnsi="宋体" w:cs="宋体"/>
                <w:sz w:val="32"/>
                <w:szCs w:val="32"/>
              </w:rPr>
              <w:t>供应商对应“技术（服务）要求”的详细承诺或响应</w:t>
            </w:r>
          </w:p>
        </w:tc>
      </w:tr>
      <w:tr w14:paraId="167618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05" w:hRule="atLeast"/>
        </w:trPr>
        <w:tc>
          <w:tcPr>
            <w:tcW w:w="1526" w:type="dxa"/>
            <w:tcBorders>
              <w:top w:val="single" w:color="auto" w:sz="4" w:space="0"/>
              <w:left w:val="single" w:color="auto" w:sz="4" w:space="0"/>
              <w:bottom w:val="single" w:color="auto" w:sz="4" w:space="0"/>
              <w:right w:val="single" w:color="auto" w:sz="4" w:space="0"/>
            </w:tcBorders>
            <w:vAlign w:val="center"/>
          </w:tcPr>
          <w:p w14:paraId="47A7AB74">
            <w:pPr>
              <w:snapToGrid w:val="0"/>
              <w:spacing w:line="400" w:lineRule="exact"/>
              <w:jc w:val="center"/>
              <w:rPr>
                <w:rFonts w:ascii="宋体" w:hAnsi="宋体" w:cs="宋体"/>
                <w:sz w:val="32"/>
                <w:szCs w:val="32"/>
              </w:rPr>
            </w:pPr>
            <w:r>
              <w:rPr>
                <w:rFonts w:hint="eastAsia" w:ascii="宋体" w:hAnsi="宋体" w:cs="宋体"/>
                <w:sz w:val="32"/>
                <w:szCs w:val="32"/>
              </w:rPr>
              <w:t>1</w:t>
            </w:r>
          </w:p>
        </w:tc>
        <w:tc>
          <w:tcPr>
            <w:tcW w:w="1512" w:type="dxa"/>
            <w:tcBorders>
              <w:top w:val="single" w:color="auto" w:sz="4" w:space="0"/>
              <w:left w:val="single" w:color="auto" w:sz="4" w:space="0"/>
              <w:bottom w:val="single" w:color="auto" w:sz="4" w:space="0"/>
              <w:right w:val="single" w:color="auto" w:sz="4" w:space="0"/>
            </w:tcBorders>
            <w:vAlign w:val="center"/>
          </w:tcPr>
          <w:p w14:paraId="782DB5FF">
            <w:pPr>
              <w:snapToGrid w:val="0"/>
              <w:spacing w:line="400" w:lineRule="exact"/>
              <w:jc w:val="center"/>
              <w:rPr>
                <w:rFonts w:ascii="宋体" w:hAnsi="宋体" w:cs="宋体"/>
                <w:sz w:val="32"/>
                <w:szCs w:val="32"/>
              </w:rPr>
            </w:pPr>
          </w:p>
        </w:tc>
        <w:tc>
          <w:tcPr>
            <w:tcW w:w="1890" w:type="dxa"/>
            <w:tcBorders>
              <w:top w:val="single" w:color="auto" w:sz="4" w:space="0"/>
              <w:left w:val="single" w:color="auto" w:sz="4" w:space="0"/>
              <w:bottom w:val="single" w:color="auto" w:sz="4" w:space="0"/>
              <w:right w:val="single" w:color="auto" w:sz="4" w:space="0"/>
            </w:tcBorders>
            <w:vAlign w:val="center"/>
          </w:tcPr>
          <w:p w14:paraId="71310634">
            <w:pPr>
              <w:snapToGrid w:val="0"/>
              <w:spacing w:line="400" w:lineRule="exact"/>
              <w:jc w:val="center"/>
              <w:rPr>
                <w:rFonts w:ascii="宋体" w:hAnsi="宋体" w:cs="宋体"/>
                <w:sz w:val="32"/>
                <w:szCs w:val="32"/>
              </w:rPr>
            </w:pPr>
          </w:p>
        </w:tc>
        <w:tc>
          <w:tcPr>
            <w:tcW w:w="1519" w:type="dxa"/>
            <w:tcBorders>
              <w:top w:val="single" w:color="auto" w:sz="4" w:space="0"/>
              <w:left w:val="single" w:color="auto" w:sz="4" w:space="0"/>
              <w:bottom w:val="single" w:color="auto" w:sz="4" w:space="0"/>
              <w:right w:val="single" w:color="auto" w:sz="4" w:space="0"/>
            </w:tcBorders>
            <w:vAlign w:val="center"/>
          </w:tcPr>
          <w:p w14:paraId="27E1D8D5">
            <w:pPr>
              <w:snapToGrid w:val="0"/>
              <w:spacing w:line="400" w:lineRule="exact"/>
              <w:ind w:left="43"/>
              <w:jc w:val="center"/>
              <w:rPr>
                <w:rFonts w:ascii="宋体" w:hAnsi="宋体" w:cs="宋体"/>
                <w:sz w:val="32"/>
                <w:szCs w:val="32"/>
              </w:rPr>
            </w:pPr>
          </w:p>
        </w:tc>
        <w:tc>
          <w:tcPr>
            <w:tcW w:w="2925" w:type="dxa"/>
            <w:tcBorders>
              <w:top w:val="single" w:color="auto" w:sz="4" w:space="0"/>
              <w:left w:val="single" w:color="auto" w:sz="4" w:space="0"/>
              <w:bottom w:val="single" w:color="auto" w:sz="4" w:space="0"/>
              <w:right w:val="single" w:color="auto" w:sz="4" w:space="0"/>
            </w:tcBorders>
            <w:vAlign w:val="center"/>
          </w:tcPr>
          <w:p w14:paraId="54F12A7C">
            <w:pPr>
              <w:snapToGrid w:val="0"/>
              <w:spacing w:line="400" w:lineRule="exact"/>
              <w:ind w:left="43"/>
              <w:jc w:val="center"/>
              <w:rPr>
                <w:rFonts w:ascii="宋体" w:hAnsi="宋体" w:cs="宋体"/>
                <w:sz w:val="32"/>
                <w:szCs w:val="32"/>
              </w:rPr>
            </w:pPr>
          </w:p>
        </w:tc>
      </w:tr>
      <w:tr w14:paraId="36DF06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80" w:hRule="atLeast"/>
        </w:trPr>
        <w:tc>
          <w:tcPr>
            <w:tcW w:w="1526" w:type="dxa"/>
            <w:tcBorders>
              <w:top w:val="single" w:color="auto" w:sz="4" w:space="0"/>
              <w:left w:val="single" w:color="auto" w:sz="4" w:space="0"/>
              <w:right w:val="single" w:color="auto" w:sz="4" w:space="0"/>
            </w:tcBorders>
            <w:vAlign w:val="center"/>
          </w:tcPr>
          <w:p w14:paraId="31216C6B">
            <w:pPr>
              <w:snapToGrid w:val="0"/>
              <w:spacing w:line="400" w:lineRule="exact"/>
              <w:jc w:val="center"/>
              <w:rPr>
                <w:rFonts w:ascii="宋体" w:hAnsi="宋体" w:cs="宋体"/>
                <w:sz w:val="32"/>
                <w:szCs w:val="32"/>
              </w:rPr>
            </w:pPr>
            <w:r>
              <w:rPr>
                <w:rFonts w:hint="eastAsia" w:ascii="宋体" w:hAnsi="宋体" w:cs="宋体"/>
                <w:sz w:val="32"/>
                <w:szCs w:val="32"/>
              </w:rPr>
              <w:t>2</w:t>
            </w:r>
          </w:p>
        </w:tc>
        <w:tc>
          <w:tcPr>
            <w:tcW w:w="1512" w:type="dxa"/>
            <w:tcBorders>
              <w:top w:val="single" w:color="auto" w:sz="4" w:space="0"/>
              <w:left w:val="single" w:color="auto" w:sz="4" w:space="0"/>
              <w:right w:val="single" w:color="auto" w:sz="4" w:space="0"/>
            </w:tcBorders>
            <w:vAlign w:val="center"/>
          </w:tcPr>
          <w:p w14:paraId="32741D87">
            <w:pPr>
              <w:snapToGrid w:val="0"/>
              <w:spacing w:line="400" w:lineRule="exact"/>
              <w:jc w:val="center"/>
              <w:rPr>
                <w:rFonts w:ascii="宋体" w:hAnsi="宋体" w:cs="宋体"/>
                <w:sz w:val="32"/>
                <w:szCs w:val="32"/>
              </w:rPr>
            </w:pPr>
          </w:p>
        </w:tc>
        <w:tc>
          <w:tcPr>
            <w:tcW w:w="1890" w:type="dxa"/>
            <w:tcBorders>
              <w:top w:val="single" w:color="auto" w:sz="4" w:space="0"/>
              <w:left w:val="single" w:color="auto" w:sz="4" w:space="0"/>
              <w:right w:val="single" w:color="auto" w:sz="4" w:space="0"/>
            </w:tcBorders>
            <w:vAlign w:val="center"/>
          </w:tcPr>
          <w:p w14:paraId="0B91FD6A">
            <w:pPr>
              <w:snapToGrid w:val="0"/>
              <w:spacing w:line="400" w:lineRule="exact"/>
              <w:jc w:val="center"/>
              <w:rPr>
                <w:rFonts w:ascii="宋体" w:hAnsi="宋体" w:cs="宋体"/>
                <w:sz w:val="32"/>
                <w:szCs w:val="32"/>
              </w:rPr>
            </w:pPr>
          </w:p>
        </w:tc>
        <w:tc>
          <w:tcPr>
            <w:tcW w:w="1519" w:type="dxa"/>
            <w:tcBorders>
              <w:top w:val="single" w:color="auto" w:sz="4" w:space="0"/>
              <w:left w:val="single" w:color="auto" w:sz="4" w:space="0"/>
              <w:right w:val="single" w:color="auto" w:sz="4" w:space="0"/>
            </w:tcBorders>
            <w:vAlign w:val="center"/>
          </w:tcPr>
          <w:p w14:paraId="0C3ED2A4">
            <w:pPr>
              <w:snapToGrid w:val="0"/>
              <w:spacing w:line="400" w:lineRule="exact"/>
              <w:ind w:left="43"/>
              <w:jc w:val="center"/>
              <w:rPr>
                <w:rFonts w:ascii="宋体" w:hAnsi="宋体" w:cs="宋体"/>
                <w:sz w:val="32"/>
                <w:szCs w:val="32"/>
              </w:rPr>
            </w:pPr>
          </w:p>
        </w:tc>
        <w:tc>
          <w:tcPr>
            <w:tcW w:w="2925" w:type="dxa"/>
            <w:tcBorders>
              <w:top w:val="single" w:color="auto" w:sz="4" w:space="0"/>
              <w:left w:val="single" w:color="auto" w:sz="4" w:space="0"/>
              <w:right w:val="single" w:color="auto" w:sz="4" w:space="0"/>
            </w:tcBorders>
            <w:vAlign w:val="center"/>
          </w:tcPr>
          <w:p w14:paraId="64DF5718">
            <w:pPr>
              <w:snapToGrid w:val="0"/>
              <w:spacing w:line="400" w:lineRule="exact"/>
              <w:ind w:left="43"/>
              <w:jc w:val="center"/>
              <w:rPr>
                <w:rFonts w:ascii="宋体" w:hAnsi="宋体" w:cs="宋体"/>
                <w:sz w:val="32"/>
                <w:szCs w:val="32"/>
              </w:rPr>
            </w:pPr>
          </w:p>
        </w:tc>
      </w:tr>
    </w:tbl>
    <w:p w14:paraId="4B1789B4">
      <w:pPr>
        <w:spacing w:line="360" w:lineRule="auto"/>
        <w:contextualSpacing/>
        <w:rPr>
          <w:rFonts w:ascii="宋体" w:hAnsi="宋体"/>
          <w:kern w:val="0"/>
          <w:sz w:val="24"/>
        </w:rPr>
      </w:pPr>
      <w:r>
        <w:rPr>
          <w:rFonts w:hint="eastAsia" w:ascii="宋体" w:hAnsi="宋体"/>
          <w:kern w:val="0"/>
          <w:sz w:val="24"/>
        </w:rPr>
        <w:t>注：</w:t>
      </w:r>
    </w:p>
    <w:p w14:paraId="41E26AB6">
      <w:pPr>
        <w:spacing w:line="360" w:lineRule="auto"/>
        <w:contextualSpacing/>
        <w:rPr>
          <w:rFonts w:ascii="宋体" w:hAnsi="宋体"/>
          <w:kern w:val="0"/>
          <w:sz w:val="24"/>
        </w:rPr>
      </w:pPr>
      <w:r>
        <w:rPr>
          <w:rFonts w:hint="eastAsia" w:ascii="宋体" w:hAnsi="宋体"/>
          <w:kern w:val="0"/>
          <w:sz w:val="24"/>
        </w:rPr>
        <w:t>1.说明：供应商应对照磋商文件“第三章 采购需求”中“技术（服务）要求”逐条作出明确响应，并作出偏离说明。</w:t>
      </w:r>
    </w:p>
    <w:p w14:paraId="45C04E59">
      <w:pPr>
        <w:spacing w:line="360" w:lineRule="auto"/>
        <w:contextualSpacing/>
        <w:jc w:val="left"/>
        <w:rPr>
          <w:rFonts w:ascii="宋体" w:hAnsi="宋体" w:cs="仿宋_GB2312"/>
          <w:sz w:val="24"/>
          <w:u w:val="single"/>
        </w:rPr>
      </w:pPr>
      <w:r>
        <w:rPr>
          <w:rFonts w:hint="eastAsia" w:ascii="宋体" w:hAnsi="宋体"/>
          <w:kern w:val="0"/>
          <w:sz w:val="24"/>
        </w:rPr>
        <w:t>2.供应商应根据自身的承诺，对照磋商文件要求在“偏离说明”中注明“正偏离”、“负偏离”或者“无偏离”。既不属于“正偏离”也不属于“负偏离”即为“无偏离”。</w:t>
      </w:r>
    </w:p>
    <w:p w14:paraId="141E1A4E">
      <w:pPr>
        <w:spacing w:line="360" w:lineRule="auto"/>
        <w:ind w:right="-817" w:rightChars="-389"/>
        <w:contextualSpacing/>
        <w:rPr>
          <w:rFonts w:ascii="宋体" w:hAnsi="宋体" w:cs="仿宋_GB2312"/>
          <w:sz w:val="24"/>
        </w:rPr>
      </w:pPr>
      <w:r>
        <w:rPr>
          <w:rFonts w:hint="eastAsia" w:ascii="宋体" w:hAnsi="宋体" w:cs="仿宋_GB2312"/>
          <w:sz w:val="24"/>
        </w:rPr>
        <w:t>3.供应商认为其竞标响应有正偏离的，请在技术（服务）要求响应表中列明，且在响应文件中提供相应证明材料作为佐证。</w:t>
      </w:r>
    </w:p>
    <w:p w14:paraId="7E900DD8">
      <w:pPr>
        <w:spacing w:line="360" w:lineRule="auto"/>
        <w:ind w:right="-817" w:rightChars="-389"/>
        <w:contextualSpacing/>
        <w:jc w:val="center"/>
        <w:rPr>
          <w:rFonts w:ascii="宋体" w:hAnsi="宋体" w:cs="仿宋_GB2312"/>
          <w:sz w:val="24"/>
        </w:rPr>
      </w:pPr>
    </w:p>
    <w:p w14:paraId="56C903B1">
      <w:pPr>
        <w:spacing w:line="360" w:lineRule="auto"/>
        <w:ind w:right="-817" w:rightChars="-389"/>
        <w:contextualSpacing/>
        <w:jc w:val="center"/>
        <w:rPr>
          <w:rFonts w:ascii="宋体" w:hAnsi="宋体" w:cs="仿宋_GB2312"/>
          <w:sz w:val="24"/>
        </w:rPr>
      </w:pPr>
      <w:r>
        <w:rPr>
          <w:rFonts w:hint="eastAsia" w:ascii="宋体" w:hAnsi="宋体" w:cs="仿宋_GB2312"/>
          <w:sz w:val="24"/>
        </w:rPr>
        <w:t>法定代表人或者委托代理人（签字或者电子签名）：</w:t>
      </w:r>
    </w:p>
    <w:p w14:paraId="7365A7A3">
      <w:pPr>
        <w:spacing w:line="360" w:lineRule="auto"/>
        <w:ind w:right="-817" w:rightChars="-389" w:firstLine="2640" w:firstLineChars="1100"/>
        <w:contextualSpacing/>
        <w:rPr>
          <w:rFonts w:ascii="宋体" w:hAnsi="宋体" w:cs="仿宋_GB2312"/>
          <w:sz w:val="24"/>
        </w:rPr>
      </w:pPr>
      <w:r>
        <w:rPr>
          <w:rFonts w:hint="eastAsia" w:ascii="宋体" w:hAnsi="宋体" w:cs="仿宋_GB2312"/>
          <w:sz w:val="24"/>
        </w:rPr>
        <w:t xml:space="preserve">供应商（电子签章）：      </w:t>
      </w:r>
    </w:p>
    <w:p w14:paraId="337602B5">
      <w:pPr>
        <w:adjustRightInd w:val="0"/>
        <w:snapToGrid w:val="0"/>
        <w:spacing w:line="300" w:lineRule="auto"/>
        <w:jc w:val="center"/>
        <w:rPr>
          <w:rFonts w:ascii="宋体" w:hAnsi="宋体" w:cs="仿宋_GB2312"/>
          <w:sz w:val="24"/>
        </w:rPr>
      </w:pPr>
      <w:r>
        <w:rPr>
          <w:rFonts w:hint="eastAsia" w:ascii="宋体" w:hAnsi="宋体" w:cs="仿宋_GB2312"/>
          <w:sz w:val="24"/>
        </w:rPr>
        <w:t>日期：   年   月   日</w:t>
      </w:r>
    </w:p>
    <w:p w14:paraId="4170FECE">
      <w:pPr>
        <w:spacing w:line="500" w:lineRule="exact"/>
        <w:jc w:val="center"/>
        <w:rPr>
          <w:rFonts w:ascii="宋体" w:hAnsi="宋体"/>
          <w:b/>
          <w:bCs/>
          <w:sz w:val="24"/>
        </w:rPr>
      </w:pPr>
      <w:r>
        <w:rPr>
          <w:rFonts w:ascii="宋体" w:hAnsi="宋体" w:cs="方正小标宋简体"/>
          <w:bCs/>
          <w:sz w:val="44"/>
          <w:szCs w:val="44"/>
        </w:rPr>
        <w:br w:type="page"/>
      </w:r>
      <w:r>
        <w:rPr>
          <w:rFonts w:hint="eastAsia" w:ascii="宋体" w:hAnsi="宋体" w:cs="方正小标宋简体"/>
          <w:bCs/>
          <w:sz w:val="44"/>
          <w:szCs w:val="44"/>
        </w:rPr>
        <w:t>项目实施方案</w:t>
      </w:r>
    </w:p>
    <w:p w14:paraId="7BE29BBE">
      <w:pPr>
        <w:spacing w:line="360" w:lineRule="auto"/>
        <w:contextualSpacing/>
        <w:jc w:val="left"/>
        <w:rPr>
          <w:rFonts w:ascii="宋体" w:hAnsi="宋体"/>
          <w:b/>
          <w:bCs/>
          <w:sz w:val="24"/>
        </w:rPr>
      </w:pPr>
    </w:p>
    <w:p w14:paraId="065D544A">
      <w:pPr>
        <w:spacing w:line="360" w:lineRule="auto"/>
        <w:contextualSpacing/>
        <w:jc w:val="left"/>
        <w:rPr>
          <w:rFonts w:ascii="宋体" w:hAnsi="宋体"/>
          <w:b/>
          <w:bCs/>
          <w:sz w:val="24"/>
        </w:rPr>
      </w:pPr>
    </w:p>
    <w:p w14:paraId="662A4C97">
      <w:pPr>
        <w:spacing w:line="360" w:lineRule="auto"/>
        <w:contextualSpacing/>
        <w:jc w:val="left"/>
        <w:rPr>
          <w:rFonts w:ascii="宋体" w:hAnsi="宋体"/>
          <w:b/>
          <w:bCs/>
          <w:sz w:val="24"/>
        </w:rPr>
      </w:pPr>
      <w:r>
        <w:rPr>
          <w:rFonts w:hint="eastAsia" w:ascii="宋体" w:hAnsi="宋体"/>
          <w:b/>
          <w:bCs/>
          <w:sz w:val="24"/>
        </w:rPr>
        <w:t>……</w:t>
      </w:r>
    </w:p>
    <w:p w14:paraId="2122A0B6">
      <w:pPr>
        <w:spacing w:line="360" w:lineRule="auto"/>
        <w:contextualSpacing/>
        <w:jc w:val="left"/>
        <w:rPr>
          <w:rFonts w:ascii="宋体" w:hAnsi="宋体"/>
          <w:b/>
          <w:bCs/>
          <w:sz w:val="24"/>
        </w:rPr>
      </w:pPr>
    </w:p>
    <w:p w14:paraId="6D48B71E">
      <w:pPr>
        <w:spacing w:line="360" w:lineRule="auto"/>
        <w:contextualSpacing/>
        <w:jc w:val="left"/>
        <w:rPr>
          <w:rFonts w:ascii="宋体" w:hAnsi="宋体"/>
          <w:b/>
          <w:bCs/>
          <w:sz w:val="24"/>
        </w:rPr>
      </w:pPr>
    </w:p>
    <w:p w14:paraId="24E7AC1A">
      <w:pPr>
        <w:spacing w:line="360" w:lineRule="auto"/>
        <w:ind w:right="-817" w:rightChars="-389"/>
        <w:contextualSpacing/>
        <w:jc w:val="center"/>
        <w:rPr>
          <w:rFonts w:ascii="宋体" w:hAnsi="宋体" w:cs="仿宋_GB2312"/>
          <w:sz w:val="24"/>
        </w:rPr>
      </w:pPr>
      <w:r>
        <w:rPr>
          <w:rFonts w:hint="eastAsia" w:ascii="宋体" w:hAnsi="宋体" w:cs="仿宋_GB2312"/>
          <w:sz w:val="24"/>
        </w:rPr>
        <w:t>法定代表人或者委托代理人签字（或者电子签名）：</w:t>
      </w:r>
    </w:p>
    <w:p w14:paraId="589A97E5">
      <w:pPr>
        <w:spacing w:line="360" w:lineRule="auto"/>
        <w:ind w:right="-817" w:rightChars="-389" w:firstLine="2880" w:firstLineChars="1200"/>
        <w:contextualSpacing/>
        <w:rPr>
          <w:rFonts w:ascii="宋体" w:hAnsi="宋体" w:cs="仿宋_GB2312"/>
          <w:sz w:val="24"/>
        </w:rPr>
      </w:pPr>
      <w:r>
        <w:rPr>
          <w:rFonts w:hint="eastAsia" w:ascii="宋体" w:hAnsi="宋体" w:cs="宋体"/>
          <w:sz w:val="24"/>
        </w:rPr>
        <w:t>供应商</w:t>
      </w:r>
      <w:r>
        <w:rPr>
          <w:rFonts w:hint="eastAsia" w:ascii="宋体" w:hAnsi="宋体"/>
          <w:sz w:val="24"/>
        </w:rPr>
        <w:t>电子签章</w:t>
      </w:r>
      <w:r>
        <w:rPr>
          <w:rFonts w:hint="eastAsia" w:ascii="宋体" w:hAnsi="宋体" w:cs="仿宋_GB2312"/>
          <w:sz w:val="24"/>
        </w:rPr>
        <w:t xml:space="preserve">：      </w:t>
      </w:r>
    </w:p>
    <w:p w14:paraId="3E856337">
      <w:pPr>
        <w:spacing w:line="360" w:lineRule="auto"/>
        <w:ind w:right="480" w:firstLine="3840" w:firstLineChars="1600"/>
        <w:contextualSpacing/>
        <w:rPr>
          <w:rFonts w:ascii="宋体" w:hAnsi="宋体" w:cs="仿宋_GB2312"/>
          <w:sz w:val="24"/>
        </w:rPr>
      </w:pPr>
      <w:r>
        <w:rPr>
          <w:rFonts w:hint="eastAsia" w:ascii="宋体" w:hAnsi="宋体" w:cs="仿宋_GB2312"/>
          <w:sz w:val="24"/>
        </w:rPr>
        <w:t>日期：   年   月   日</w:t>
      </w:r>
    </w:p>
    <w:p w14:paraId="71B553E5">
      <w:pPr>
        <w:spacing w:line="360" w:lineRule="auto"/>
        <w:ind w:right="480" w:firstLine="3840" w:firstLineChars="1600"/>
        <w:contextualSpacing/>
        <w:rPr>
          <w:rFonts w:ascii="宋体" w:hAnsi="宋体" w:cs="仿宋_GB2312"/>
          <w:sz w:val="24"/>
        </w:rPr>
      </w:pPr>
    </w:p>
    <w:p w14:paraId="480F17DA">
      <w:pPr>
        <w:spacing w:line="360" w:lineRule="auto"/>
        <w:ind w:right="480" w:firstLine="7040" w:firstLineChars="1600"/>
        <w:contextualSpacing/>
        <w:rPr>
          <w:rFonts w:ascii="宋体" w:hAnsi="宋体" w:cs="方正小标宋简体"/>
          <w:bCs/>
          <w:sz w:val="44"/>
          <w:szCs w:val="44"/>
        </w:rPr>
      </w:pPr>
    </w:p>
    <w:p w14:paraId="2CF908A0">
      <w:pPr>
        <w:spacing w:line="360" w:lineRule="auto"/>
        <w:ind w:right="480"/>
        <w:contextualSpacing/>
        <w:jc w:val="center"/>
        <w:rPr>
          <w:rFonts w:ascii="宋体" w:hAnsi="宋体" w:cs="方正小标宋简体"/>
          <w:bCs/>
          <w:sz w:val="44"/>
          <w:szCs w:val="44"/>
        </w:rPr>
      </w:pPr>
      <w:r>
        <w:rPr>
          <w:rFonts w:ascii="宋体" w:hAnsi="宋体" w:cs="方正小标宋简体"/>
          <w:bCs/>
          <w:sz w:val="44"/>
          <w:szCs w:val="44"/>
        </w:rPr>
        <w:br w:type="page"/>
      </w:r>
      <w:r>
        <w:rPr>
          <w:rFonts w:hint="eastAsia" w:ascii="宋体" w:hAnsi="宋体" w:cs="方正小标宋简体"/>
          <w:bCs/>
          <w:sz w:val="44"/>
          <w:szCs w:val="44"/>
        </w:rPr>
        <w:t>售后服务方案</w:t>
      </w:r>
    </w:p>
    <w:p w14:paraId="4B304853">
      <w:pPr>
        <w:spacing w:line="300" w:lineRule="auto"/>
        <w:rPr>
          <w:rFonts w:ascii="宋体" w:hAnsi="宋体"/>
          <w:szCs w:val="21"/>
        </w:rPr>
      </w:pPr>
    </w:p>
    <w:p w14:paraId="66B287D5">
      <w:pPr>
        <w:spacing w:line="360" w:lineRule="auto"/>
        <w:contextualSpacing/>
        <w:jc w:val="left"/>
        <w:rPr>
          <w:rFonts w:ascii="宋体" w:hAnsi="宋体"/>
          <w:b/>
          <w:bCs/>
          <w:sz w:val="24"/>
        </w:rPr>
      </w:pPr>
    </w:p>
    <w:p w14:paraId="0E3A5202">
      <w:pPr>
        <w:spacing w:line="360" w:lineRule="auto"/>
        <w:contextualSpacing/>
        <w:jc w:val="left"/>
        <w:rPr>
          <w:rFonts w:ascii="宋体" w:hAnsi="宋体"/>
          <w:b/>
          <w:bCs/>
          <w:sz w:val="24"/>
        </w:rPr>
      </w:pPr>
      <w:r>
        <w:rPr>
          <w:rFonts w:hint="eastAsia" w:ascii="宋体" w:hAnsi="宋体"/>
          <w:b/>
          <w:bCs/>
          <w:sz w:val="24"/>
        </w:rPr>
        <w:t>一、服务范围及内容、服务方式、服务流程、出现故障和处理时间、突发情况时的应对措施</w:t>
      </w:r>
    </w:p>
    <w:p w14:paraId="7ADE637F">
      <w:pPr>
        <w:spacing w:line="360" w:lineRule="auto"/>
        <w:contextualSpacing/>
        <w:jc w:val="left"/>
        <w:rPr>
          <w:rFonts w:ascii="宋体" w:hAnsi="宋体"/>
          <w:b/>
          <w:bCs/>
          <w:sz w:val="24"/>
        </w:rPr>
      </w:pPr>
      <w:r>
        <w:rPr>
          <w:rFonts w:hint="eastAsia" w:ascii="宋体" w:hAnsi="宋体"/>
          <w:b/>
          <w:bCs/>
          <w:sz w:val="24"/>
        </w:rPr>
        <w:t>……</w:t>
      </w:r>
    </w:p>
    <w:p w14:paraId="72BE1217">
      <w:pPr>
        <w:spacing w:line="360" w:lineRule="auto"/>
        <w:contextualSpacing/>
        <w:jc w:val="left"/>
        <w:rPr>
          <w:rFonts w:ascii="宋体" w:hAnsi="宋体"/>
          <w:b/>
          <w:bCs/>
          <w:sz w:val="24"/>
        </w:rPr>
      </w:pPr>
      <w:r>
        <w:rPr>
          <w:rFonts w:hint="eastAsia" w:ascii="宋体" w:hAnsi="宋体"/>
          <w:b/>
          <w:bCs/>
          <w:sz w:val="24"/>
        </w:rPr>
        <w:t>二、培训目标、培训方式、培训内容、培训对象、培训资料</w:t>
      </w:r>
    </w:p>
    <w:p w14:paraId="7BF111DD">
      <w:pPr>
        <w:spacing w:line="360" w:lineRule="auto"/>
        <w:contextualSpacing/>
        <w:jc w:val="left"/>
        <w:rPr>
          <w:rFonts w:ascii="宋体" w:hAnsi="宋体"/>
          <w:b/>
          <w:bCs/>
          <w:sz w:val="24"/>
        </w:rPr>
      </w:pPr>
      <w:r>
        <w:rPr>
          <w:rFonts w:hint="eastAsia" w:ascii="宋体" w:hAnsi="宋体"/>
          <w:b/>
          <w:bCs/>
          <w:sz w:val="24"/>
        </w:rPr>
        <w:t>……</w:t>
      </w:r>
    </w:p>
    <w:p w14:paraId="3784ECE8">
      <w:pPr>
        <w:spacing w:line="360" w:lineRule="auto"/>
        <w:contextualSpacing/>
        <w:jc w:val="left"/>
        <w:rPr>
          <w:rFonts w:ascii="宋体" w:hAnsi="宋体"/>
          <w:sz w:val="24"/>
          <w:szCs w:val="20"/>
        </w:rPr>
      </w:pPr>
    </w:p>
    <w:p w14:paraId="24DEC95F">
      <w:pPr>
        <w:spacing w:line="360" w:lineRule="auto"/>
        <w:contextualSpacing/>
        <w:jc w:val="left"/>
        <w:rPr>
          <w:rFonts w:ascii="宋体" w:hAnsi="宋体"/>
          <w:sz w:val="24"/>
          <w:szCs w:val="20"/>
        </w:rPr>
      </w:pPr>
    </w:p>
    <w:p w14:paraId="3946171B">
      <w:pPr>
        <w:spacing w:line="360" w:lineRule="auto"/>
        <w:ind w:right="-817" w:rightChars="-389"/>
        <w:contextualSpacing/>
        <w:jc w:val="center"/>
        <w:rPr>
          <w:rFonts w:ascii="宋体" w:hAnsi="宋体" w:cs="仿宋_GB2312"/>
          <w:sz w:val="24"/>
        </w:rPr>
      </w:pPr>
      <w:r>
        <w:rPr>
          <w:rFonts w:hint="eastAsia" w:ascii="宋体" w:hAnsi="宋体" w:cs="仿宋_GB2312"/>
          <w:sz w:val="24"/>
        </w:rPr>
        <w:t>法定代表人或者委托代理人签字（或者电子签名）：</w:t>
      </w:r>
    </w:p>
    <w:p w14:paraId="093DE9D0">
      <w:pPr>
        <w:spacing w:line="360" w:lineRule="auto"/>
        <w:ind w:right="-817" w:rightChars="-389" w:firstLine="2880" w:firstLineChars="1200"/>
        <w:contextualSpacing/>
        <w:rPr>
          <w:rFonts w:ascii="宋体" w:hAnsi="宋体" w:cs="仿宋_GB2312"/>
          <w:sz w:val="24"/>
        </w:rPr>
      </w:pPr>
      <w:r>
        <w:rPr>
          <w:rFonts w:hint="eastAsia" w:ascii="宋体" w:hAnsi="宋体" w:cs="宋体"/>
          <w:sz w:val="24"/>
        </w:rPr>
        <w:t>供应商</w:t>
      </w:r>
      <w:r>
        <w:rPr>
          <w:rFonts w:hint="eastAsia" w:ascii="宋体" w:hAnsi="宋体"/>
          <w:sz w:val="24"/>
        </w:rPr>
        <w:t>电子签章</w:t>
      </w:r>
      <w:r>
        <w:rPr>
          <w:rFonts w:hint="eastAsia" w:ascii="宋体" w:hAnsi="宋体" w:cs="仿宋_GB2312"/>
          <w:sz w:val="24"/>
        </w:rPr>
        <w:t xml:space="preserve">：      </w:t>
      </w:r>
    </w:p>
    <w:p w14:paraId="72E5D06E">
      <w:pPr>
        <w:spacing w:line="360" w:lineRule="auto"/>
        <w:contextualSpacing/>
        <w:jc w:val="center"/>
        <w:rPr>
          <w:rFonts w:ascii="宋体" w:hAnsi="宋体"/>
          <w:sz w:val="24"/>
          <w:szCs w:val="20"/>
        </w:rPr>
      </w:pPr>
      <w:r>
        <w:rPr>
          <w:rFonts w:hint="eastAsia" w:ascii="宋体" w:hAnsi="宋体" w:cs="仿宋_GB2312"/>
          <w:sz w:val="24"/>
        </w:rPr>
        <w:t>日期：   年   月   日</w:t>
      </w:r>
    </w:p>
    <w:p w14:paraId="43765C52">
      <w:pPr>
        <w:adjustRightInd w:val="0"/>
        <w:snapToGrid w:val="0"/>
        <w:spacing w:line="520" w:lineRule="exact"/>
        <w:jc w:val="center"/>
        <w:rPr>
          <w:rFonts w:ascii="宋体" w:hAnsi="宋体"/>
          <w:b/>
          <w:bCs/>
          <w:sz w:val="24"/>
        </w:rPr>
      </w:pPr>
    </w:p>
    <w:p w14:paraId="1B985B36">
      <w:pPr>
        <w:adjustRightInd w:val="0"/>
        <w:snapToGrid w:val="0"/>
        <w:spacing w:line="520" w:lineRule="exact"/>
        <w:jc w:val="center"/>
        <w:rPr>
          <w:rFonts w:ascii="宋体" w:hAnsi="宋体"/>
          <w:b/>
          <w:bCs/>
          <w:sz w:val="24"/>
        </w:rPr>
      </w:pPr>
    </w:p>
    <w:p w14:paraId="6F5A11BB">
      <w:pPr>
        <w:adjustRightInd w:val="0"/>
        <w:snapToGrid w:val="0"/>
        <w:spacing w:line="520" w:lineRule="exact"/>
        <w:jc w:val="center"/>
        <w:rPr>
          <w:rFonts w:ascii="宋体" w:hAnsi="宋体"/>
          <w:b/>
          <w:bCs/>
          <w:sz w:val="24"/>
        </w:rPr>
      </w:pPr>
    </w:p>
    <w:p w14:paraId="7E9EDF85">
      <w:pPr>
        <w:adjustRightInd w:val="0"/>
        <w:snapToGrid w:val="0"/>
        <w:spacing w:line="520" w:lineRule="exact"/>
        <w:jc w:val="center"/>
        <w:rPr>
          <w:rFonts w:ascii="宋体" w:hAnsi="宋体"/>
          <w:b/>
          <w:bCs/>
          <w:sz w:val="24"/>
        </w:rPr>
      </w:pPr>
    </w:p>
    <w:p w14:paraId="1CDD1798">
      <w:pPr>
        <w:adjustRightInd w:val="0"/>
        <w:snapToGrid w:val="0"/>
        <w:spacing w:line="520" w:lineRule="exact"/>
        <w:jc w:val="center"/>
        <w:rPr>
          <w:rFonts w:ascii="宋体" w:hAnsi="宋体"/>
          <w:b/>
          <w:bCs/>
          <w:sz w:val="24"/>
        </w:rPr>
      </w:pPr>
    </w:p>
    <w:p w14:paraId="4D9EAF30">
      <w:pPr>
        <w:adjustRightInd w:val="0"/>
        <w:snapToGrid w:val="0"/>
        <w:spacing w:line="520" w:lineRule="exact"/>
        <w:jc w:val="center"/>
        <w:rPr>
          <w:rFonts w:ascii="宋体" w:hAnsi="宋体"/>
          <w:b/>
          <w:bCs/>
          <w:sz w:val="24"/>
        </w:rPr>
      </w:pPr>
    </w:p>
    <w:p w14:paraId="5F11B21F">
      <w:pPr>
        <w:adjustRightInd w:val="0"/>
        <w:snapToGrid w:val="0"/>
        <w:spacing w:line="520" w:lineRule="exact"/>
        <w:jc w:val="center"/>
        <w:rPr>
          <w:rFonts w:ascii="宋体" w:hAnsi="宋体"/>
          <w:b/>
          <w:bCs/>
          <w:sz w:val="24"/>
        </w:rPr>
      </w:pPr>
    </w:p>
    <w:p w14:paraId="53ABDAC6">
      <w:pPr>
        <w:spacing w:line="300" w:lineRule="auto"/>
        <w:rPr>
          <w:rFonts w:ascii="宋体" w:hAnsi="宋体"/>
          <w:szCs w:val="21"/>
        </w:rPr>
      </w:pPr>
      <w:r>
        <w:rPr>
          <w:rFonts w:ascii="宋体" w:hAnsi="宋体"/>
          <w:b/>
          <w:bCs/>
          <w:sz w:val="24"/>
        </w:rPr>
        <w:br w:type="page"/>
      </w:r>
      <w:r>
        <w:rPr>
          <w:rFonts w:hint="eastAsia" w:ascii="宋体" w:hAnsi="宋体"/>
          <w:b/>
          <w:bCs/>
          <w:sz w:val="24"/>
        </w:rPr>
        <w:t>其他文书、文件格式</w:t>
      </w:r>
    </w:p>
    <w:p w14:paraId="1F4C2D85">
      <w:pPr>
        <w:jc w:val="center"/>
        <w:rPr>
          <w:rFonts w:ascii="宋体" w:hAnsi="宋体" w:cs="方正小标宋简体"/>
          <w:sz w:val="44"/>
          <w:szCs w:val="44"/>
        </w:rPr>
      </w:pPr>
      <w:r>
        <w:rPr>
          <w:rFonts w:hint="eastAsia" w:ascii="宋体" w:hAnsi="宋体" w:cs="方正小标宋简体"/>
          <w:sz w:val="44"/>
          <w:szCs w:val="44"/>
        </w:rPr>
        <w:t>中小企业声明函（服务）</w:t>
      </w:r>
    </w:p>
    <w:p w14:paraId="6CD26D38">
      <w:pPr>
        <w:spacing w:before="2" w:line="500" w:lineRule="exact"/>
        <w:ind w:firstLine="708" w:firstLineChars="294"/>
        <w:rPr>
          <w:rFonts w:ascii="宋体" w:hAnsi="宋体" w:cs="宋体"/>
          <w:b/>
          <w:bCs/>
          <w:sz w:val="24"/>
        </w:rPr>
      </w:pPr>
    </w:p>
    <w:p w14:paraId="23FBFBE7">
      <w:pPr>
        <w:spacing w:line="480" w:lineRule="exact"/>
        <w:ind w:firstLine="482"/>
        <w:rPr>
          <w:rFonts w:ascii="宋体" w:hAnsi="宋体"/>
          <w:kern w:val="0"/>
          <w:sz w:val="24"/>
        </w:rPr>
      </w:pPr>
      <w:r>
        <w:rPr>
          <w:rFonts w:hint="eastAsia" w:ascii="宋体" w:hAnsi="宋体"/>
          <w:kern w:val="0"/>
          <w:sz w:val="24"/>
        </w:rPr>
        <w:t>本公司郑重声明，根据《政府采购促进中小企业发展管理办法》（财库﹝2020﹞46 号）的规定，本公司参加</w:t>
      </w:r>
      <w:r>
        <w:rPr>
          <w:rFonts w:hint="eastAsia" w:ascii="宋体" w:hAnsi="宋体"/>
          <w:kern w:val="0"/>
          <w:sz w:val="24"/>
          <w:u w:val="single"/>
        </w:rPr>
        <w:t>（单位名称）</w:t>
      </w:r>
      <w:r>
        <w:rPr>
          <w:rFonts w:hint="eastAsia" w:ascii="宋体" w:hAnsi="宋体"/>
          <w:kern w:val="0"/>
          <w:sz w:val="24"/>
        </w:rPr>
        <w:t>的</w:t>
      </w:r>
      <w:r>
        <w:rPr>
          <w:rFonts w:hint="eastAsia" w:ascii="宋体" w:hAnsi="宋体"/>
          <w:kern w:val="0"/>
          <w:sz w:val="24"/>
          <w:u w:val="single"/>
        </w:rPr>
        <w:t>（项目名称）</w:t>
      </w:r>
      <w:r>
        <w:rPr>
          <w:rFonts w:hint="eastAsia" w:ascii="宋体" w:hAnsi="宋体"/>
          <w:kern w:val="0"/>
          <w:sz w:val="24"/>
        </w:rPr>
        <w:t>采购活动，服务全部由符合政策要求的中小企业承接）。相关企业的具体情况如下：</w:t>
      </w:r>
    </w:p>
    <w:p w14:paraId="3D2240E7">
      <w:pPr>
        <w:spacing w:line="480" w:lineRule="exact"/>
        <w:ind w:firstLine="482"/>
        <w:rPr>
          <w:rFonts w:ascii="宋体" w:hAnsi="宋体"/>
          <w:kern w:val="0"/>
          <w:sz w:val="24"/>
        </w:rPr>
      </w:pPr>
      <w:r>
        <w:rPr>
          <w:rFonts w:hint="eastAsia" w:ascii="宋体" w:hAnsi="宋体"/>
          <w:kern w:val="0"/>
          <w:sz w:val="24"/>
          <w:u w:val="single"/>
        </w:rPr>
        <w:t>（标的名称）</w:t>
      </w:r>
      <w:r>
        <w:rPr>
          <w:rFonts w:hint="eastAsia" w:ascii="宋体" w:hAnsi="宋体"/>
          <w:kern w:val="0"/>
          <w:sz w:val="24"/>
        </w:rPr>
        <w:t>，属于</w:t>
      </w:r>
      <w:r>
        <w:rPr>
          <w:rFonts w:hint="eastAsia" w:ascii="宋体" w:hAnsi="宋体"/>
          <w:kern w:val="0"/>
          <w:sz w:val="24"/>
          <w:u w:val="single"/>
        </w:rPr>
        <w:t xml:space="preserve">         </w:t>
      </w:r>
      <w:r>
        <w:rPr>
          <w:rFonts w:hint="eastAsia" w:ascii="宋体" w:hAnsi="宋体"/>
          <w:kern w:val="0"/>
          <w:sz w:val="24"/>
        </w:rPr>
        <w:t xml:space="preserve"> 行业；承接企业为</w:t>
      </w:r>
      <w:r>
        <w:rPr>
          <w:rFonts w:hint="eastAsia" w:ascii="宋体" w:hAnsi="宋体"/>
          <w:kern w:val="0"/>
          <w:sz w:val="24"/>
          <w:u w:val="single"/>
        </w:rPr>
        <w:t>（企业名称）</w:t>
      </w:r>
      <w:r>
        <w:rPr>
          <w:rFonts w:hint="eastAsia" w:ascii="宋体" w:hAnsi="宋体"/>
          <w:kern w:val="0"/>
          <w:sz w:val="24"/>
        </w:rPr>
        <w:t>，从业人员</w:t>
      </w:r>
      <w:r>
        <w:rPr>
          <w:rFonts w:hint="eastAsia" w:ascii="宋体" w:hAnsi="宋体"/>
          <w:kern w:val="0"/>
          <w:sz w:val="24"/>
          <w:u w:val="single"/>
        </w:rPr>
        <w:t xml:space="preserve">   </w:t>
      </w:r>
      <w:r>
        <w:rPr>
          <w:rFonts w:hint="eastAsia" w:ascii="宋体" w:hAnsi="宋体"/>
          <w:kern w:val="0"/>
          <w:sz w:val="24"/>
        </w:rPr>
        <w:t>人，营业收入为</w:t>
      </w:r>
      <w:r>
        <w:rPr>
          <w:rFonts w:hint="eastAsia" w:ascii="宋体" w:hAnsi="宋体"/>
          <w:kern w:val="0"/>
          <w:sz w:val="24"/>
          <w:u w:val="single"/>
        </w:rPr>
        <w:t xml:space="preserve">    </w:t>
      </w:r>
      <w:r>
        <w:rPr>
          <w:rFonts w:hint="eastAsia" w:ascii="宋体" w:hAnsi="宋体"/>
          <w:kern w:val="0"/>
          <w:sz w:val="24"/>
        </w:rPr>
        <w:t>万元，资产总额为</w:t>
      </w:r>
      <w:r>
        <w:rPr>
          <w:rFonts w:hint="eastAsia" w:ascii="宋体" w:hAnsi="宋体"/>
          <w:kern w:val="0"/>
          <w:sz w:val="24"/>
          <w:u w:val="single"/>
        </w:rPr>
        <w:t xml:space="preserve">     </w:t>
      </w:r>
      <w:r>
        <w:rPr>
          <w:rFonts w:hint="eastAsia" w:ascii="宋体" w:hAnsi="宋体"/>
          <w:kern w:val="0"/>
          <w:sz w:val="24"/>
        </w:rPr>
        <w:t>万元，属于</w:t>
      </w:r>
      <w:r>
        <w:rPr>
          <w:rFonts w:hint="eastAsia" w:ascii="宋体" w:hAnsi="宋体"/>
          <w:kern w:val="0"/>
          <w:sz w:val="24"/>
          <w:u w:val="single"/>
        </w:rPr>
        <w:t>（中型企业、小型企业、微型企业）</w:t>
      </w:r>
      <w:r>
        <w:rPr>
          <w:rFonts w:hint="eastAsia" w:ascii="宋体" w:hAnsi="宋体"/>
          <w:kern w:val="0"/>
          <w:sz w:val="24"/>
        </w:rPr>
        <w:t>；</w:t>
      </w:r>
    </w:p>
    <w:p w14:paraId="08AF9790">
      <w:pPr>
        <w:spacing w:line="480" w:lineRule="exact"/>
        <w:ind w:firstLine="482"/>
        <w:rPr>
          <w:rFonts w:ascii="宋体" w:hAnsi="宋体"/>
          <w:kern w:val="0"/>
          <w:sz w:val="24"/>
        </w:rPr>
      </w:pPr>
      <w:r>
        <w:rPr>
          <w:rFonts w:hint="eastAsia" w:ascii="宋体" w:hAnsi="宋体"/>
          <w:kern w:val="0"/>
          <w:sz w:val="24"/>
        </w:rPr>
        <w:t>以上企业，不属于大企业的分支机构，不存在控股股东为大企业的情形，也不存在与大企业的负责人为同一人的情形。</w:t>
      </w:r>
    </w:p>
    <w:p w14:paraId="4393527A">
      <w:pPr>
        <w:spacing w:line="480" w:lineRule="exact"/>
        <w:ind w:firstLine="482"/>
        <w:rPr>
          <w:rFonts w:ascii="宋体" w:hAnsi="宋体"/>
          <w:kern w:val="0"/>
          <w:sz w:val="24"/>
        </w:rPr>
      </w:pPr>
      <w:r>
        <w:rPr>
          <w:rFonts w:hint="eastAsia" w:ascii="宋体" w:hAnsi="宋体"/>
          <w:kern w:val="0"/>
          <w:sz w:val="24"/>
        </w:rPr>
        <w:t>本企业对上述声明内容的真实性负责。如有虚假，将依法承担相应责任。</w:t>
      </w:r>
    </w:p>
    <w:p w14:paraId="22DE6A61">
      <w:pPr>
        <w:pStyle w:val="14"/>
        <w:spacing w:before="25" w:line="500" w:lineRule="exact"/>
        <w:ind w:right="142" w:firstLine="705" w:firstLineChars="294"/>
        <w:rPr>
          <w:rFonts w:ascii="宋体" w:hAnsi="宋体"/>
          <w:sz w:val="24"/>
        </w:rPr>
      </w:pPr>
    </w:p>
    <w:p w14:paraId="340F8454">
      <w:pPr>
        <w:pStyle w:val="14"/>
        <w:spacing w:before="56" w:line="500" w:lineRule="exact"/>
        <w:ind w:right="1808" w:firstLine="705" w:firstLineChars="294"/>
        <w:rPr>
          <w:rFonts w:ascii="宋体" w:hAnsi="宋体"/>
          <w:sz w:val="24"/>
        </w:rPr>
      </w:pPr>
    </w:p>
    <w:p w14:paraId="5F67FC30">
      <w:pPr>
        <w:pStyle w:val="14"/>
        <w:spacing w:before="56" w:line="500" w:lineRule="exact"/>
        <w:ind w:right="650" w:firstLine="5625" w:firstLineChars="2344"/>
        <w:rPr>
          <w:rFonts w:ascii="宋体" w:hAnsi="宋体"/>
          <w:sz w:val="24"/>
        </w:rPr>
      </w:pPr>
      <w:r>
        <w:rPr>
          <w:rFonts w:ascii="宋体" w:hAnsi="宋体"/>
          <w:sz w:val="24"/>
        </w:rPr>
        <w:t>企业名称（</w:t>
      </w:r>
      <w:r>
        <w:rPr>
          <w:rFonts w:hint="eastAsia" w:ascii="宋体" w:hAnsi="宋体"/>
          <w:sz w:val="24"/>
        </w:rPr>
        <w:t>电子签章</w:t>
      </w:r>
      <w:r>
        <w:rPr>
          <w:rFonts w:ascii="宋体" w:hAnsi="宋体"/>
          <w:sz w:val="24"/>
        </w:rPr>
        <w:t xml:space="preserve">）： </w:t>
      </w:r>
    </w:p>
    <w:p w14:paraId="0A51B79C">
      <w:pPr>
        <w:pStyle w:val="14"/>
        <w:spacing w:before="56" w:line="500" w:lineRule="exact"/>
        <w:ind w:right="1808" w:firstLine="5625" w:firstLineChars="2344"/>
        <w:rPr>
          <w:rFonts w:ascii="宋体" w:hAnsi="宋体"/>
          <w:sz w:val="24"/>
        </w:rPr>
      </w:pPr>
      <w:r>
        <w:rPr>
          <w:rFonts w:ascii="宋体" w:hAnsi="宋体"/>
          <w:sz w:val="24"/>
        </w:rPr>
        <w:t>日 期：</w:t>
      </w:r>
    </w:p>
    <w:p w14:paraId="6E4AADED">
      <w:pPr>
        <w:spacing w:line="360" w:lineRule="auto"/>
        <w:contextualSpacing/>
        <w:jc w:val="left"/>
        <w:rPr>
          <w:rFonts w:ascii="宋体" w:hAnsi="宋体" w:cs="仿宋_GB2312"/>
          <w:sz w:val="24"/>
        </w:rPr>
      </w:pPr>
      <w:r>
        <w:rPr>
          <w:rFonts w:hint="eastAsia" w:ascii="宋体" w:hAnsi="宋体" w:cs="仿宋_GB2312"/>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4D9B42E3">
      <w:pPr>
        <w:spacing w:line="360" w:lineRule="auto"/>
        <w:contextualSpacing/>
        <w:jc w:val="center"/>
        <w:rPr>
          <w:rFonts w:ascii="宋体" w:hAnsi="宋体" w:cs="仿宋_GB2312"/>
          <w:sz w:val="32"/>
          <w:szCs w:val="32"/>
        </w:rPr>
      </w:pPr>
      <w:r>
        <w:rPr>
          <w:rFonts w:ascii="宋体" w:hAnsi="宋体" w:cs="仿宋_GB2312"/>
          <w:sz w:val="24"/>
        </w:rPr>
        <w:br w:type="page"/>
      </w:r>
      <w:r>
        <w:rPr>
          <w:rFonts w:hint="eastAsia" w:ascii="宋体" w:hAnsi="宋体" w:cs="方正小标宋简体"/>
          <w:sz w:val="44"/>
          <w:szCs w:val="44"/>
        </w:rPr>
        <w:t>残疾人福利性单位声明函</w:t>
      </w:r>
    </w:p>
    <w:p w14:paraId="2F4A8B43">
      <w:pPr>
        <w:spacing w:line="360" w:lineRule="auto"/>
        <w:contextualSpacing/>
        <w:rPr>
          <w:rFonts w:ascii="宋体" w:hAnsi="宋体" w:cs="仿宋_GB2312"/>
          <w:sz w:val="32"/>
          <w:szCs w:val="32"/>
        </w:rPr>
      </w:pPr>
    </w:p>
    <w:p w14:paraId="2DCB9B3C">
      <w:pPr>
        <w:spacing w:line="360" w:lineRule="auto"/>
        <w:ind w:firstLine="480" w:firstLineChars="200"/>
        <w:contextualSpacing/>
        <w:rPr>
          <w:rFonts w:ascii="宋体" w:hAnsi="宋体" w:cs="仿宋_GB2312"/>
          <w:sz w:val="24"/>
        </w:rPr>
      </w:pPr>
      <w:r>
        <w:rPr>
          <w:rFonts w:hint="eastAsia" w:ascii="宋体" w:hAnsi="宋体" w:cs="仿宋_GB2312"/>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sz w:val="24"/>
          <w:u w:val="single"/>
        </w:rPr>
        <w:t xml:space="preserve">       </w:t>
      </w:r>
      <w:r>
        <w:rPr>
          <w:rFonts w:hint="eastAsia" w:ascii="宋体" w:hAnsi="宋体" w:cs="仿宋_GB2312"/>
          <w:sz w:val="24"/>
        </w:rPr>
        <w:t>单位的</w:t>
      </w:r>
      <w:r>
        <w:rPr>
          <w:rFonts w:hint="eastAsia" w:ascii="宋体" w:hAnsi="宋体" w:cs="仿宋_GB2312"/>
          <w:sz w:val="24"/>
          <w:u w:val="single"/>
        </w:rPr>
        <w:t xml:space="preserve">        </w:t>
      </w:r>
      <w:r>
        <w:rPr>
          <w:rFonts w:hint="eastAsia" w:ascii="宋体" w:hAnsi="宋体" w:cs="仿宋_GB2312"/>
          <w:sz w:val="24"/>
        </w:rPr>
        <w:t>项目采购活动提供本单位制造的货物（由本单位承担工程/提供服务），或者提供其他残疾人福利性单位制造的货物（不包括使用非残疾人福利性单位注册商标的货物）。</w:t>
      </w:r>
    </w:p>
    <w:p w14:paraId="50DDAE9D">
      <w:pPr>
        <w:spacing w:line="360" w:lineRule="auto"/>
        <w:ind w:firstLine="480" w:firstLineChars="200"/>
        <w:contextualSpacing/>
        <w:rPr>
          <w:rFonts w:ascii="宋体" w:hAnsi="宋体" w:cs="仿宋_GB2312"/>
          <w:sz w:val="24"/>
        </w:rPr>
      </w:pPr>
      <w:r>
        <w:rPr>
          <w:rFonts w:hint="eastAsia" w:ascii="宋体" w:hAnsi="宋体" w:cs="仿宋_GB2312"/>
          <w:sz w:val="24"/>
        </w:rPr>
        <w:t>本单位对上述声明的真实性负责。如有虚假，将依法承担相应责任。</w:t>
      </w:r>
    </w:p>
    <w:p w14:paraId="264917D8">
      <w:pPr>
        <w:spacing w:line="360" w:lineRule="auto"/>
        <w:contextualSpacing/>
        <w:rPr>
          <w:rFonts w:ascii="宋体" w:hAnsi="宋体" w:cs="仿宋_GB2312"/>
          <w:sz w:val="24"/>
        </w:rPr>
      </w:pPr>
    </w:p>
    <w:p w14:paraId="5F49BF8B">
      <w:pPr>
        <w:spacing w:line="360" w:lineRule="auto"/>
        <w:contextualSpacing/>
        <w:rPr>
          <w:rFonts w:ascii="宋体" w:hAnsi="宋体" w:cs="仿宋_GB2312"/>
          <w:sz w:val="24"/>
        </w:rPr>
      </w:pPr>
    </w:p>
    <w:p w14:paraId="68B615C4">
      <w:pPr>
        <w:spacing w:line="360" w:lineRule="auto"/>
        <w:contextualSpacing/>
        <w:rPr>
          <w:rFonts w:ascii="宋体" w:hAnsi="宋体" w:cs="仿宋_GB2312"/>
          <w:sz w:val="24"/>
        </w:rPr>
      </w:pPr>
    </w:p>
    <w:p w14:paraId="301AF32B">
      <w:pPr>
        <w:spacing w:line="360" w:lineRule="auto"/>
        <w:ind w:firstLine="2640" w:firstLineChars="1100"/>
        <w:contextualSpacing/>
        <w:rPr>
          <w:rFonts w:ascii="宋体" w:hAnsi="宋体" w:cs="仿宋_GB2312"/>
          <w:sz w:val="24"/>
        </w:rPr>
      </w:pPr>
      <w:r>
        <w:rPr>
          <w:rFonts w:hint="eastAsia" w:ascii="宋体" w:hAnsi="宋体" w:cs="宋体"/>
          <w:sz w:val="24"/>
        </w:rPr>
        <w:t>供应商</w:t>
      </w:r>
      <w:r>
        <w:rPr>
          <w:rFonts w:hint="eastAsia" w:ascii="宋体" w:hAnsi="宋体"/>
          <w:sz w:val="24"/>
        </w:rPr>
        <w:t>电子签章</w:t>
      </w:r>
      <w:r>
        <w:rPr>
          <w:rFonts w:hint="eastAsia" w:ascii="宋体" w:hAnsi="宋体" w:cs="仿宋_GB2312"/>
          <w:sz w:val="24"/>
        </w:rPr>
        <w:t>：</w:t>
      </w:r>
    </w:p>
    <w:p w14:paraId="21F3F49C">
      <w:pPr>
        <w:spacing w:line="360" w:lineRule="auto"/>
        <w:ind w:firstLine="3600" w:firstLineChars="1500"/>
        <w:contextualSpacing/>
        <w:rPr>
          <w:rFonts w:ascii="宋体" w:hAnsi="宋体" w:cs="仿宋_GB2312"/>
          <w:sz w:val="24"/>
        </w:rPr>
      </w:pPr>
      <w:r>
        <w:rPr>
          <w:rFonts w:hint="eastAsia" w:ascii="宋体" w:hAnsi="宋体" w:cs="仿宋_GB2312"/>
          <w:sz w:val="24"/>
        </w:rPr>
        <w:t>日  期：</w:t>
      </w:r>
    </w:p>
    <w:p w14:paraId="4D78D3BE">
      <w:pPr>
        <w:spacing w:line="360" w:lineRule="auto"/>
        <w:rPr>
          <w:rFonts w:ascii="宋体" w:hAnsi="宋体" w:cs="仿宋_GB2312"/>
          <w:sz w:val="24"/>
        </w:rPr>
      </w:pPr>
    </w:p>
    <w:p w14:paraId="7F5BBC57">
      <w:pPr>
        <w:spacing w:line="360" w:lineRule="auto"/>
        <w:rPr>
          <w:rFonts w:ascii="宋体" w:hAnsi="宋体" w:cs="仿宋_GB2312"/>
          <w:sz w:val="24"/>
        </w:rPr>
      </w:pPr>
    </w:p>
    <w:p w14:paraId="79A2B128">
      <w:pPr>
        <w:spacing w:line="360" w:lineRule="auto"/>
        <w:contextualSpacing/>
        <w:rPr>
          <w:rFonts w:ascii="宋体" w:hAnsi="宋体" w:cs="仿宋_GB2312"/>
          <w:sz w:val="24"/>
        </w:rPr>
      </w:pPr>
    </w:p>
    <w:p w14:paraId="3D3D94A7">
      <w:pPr>
        <w:spacing w:line="360" w:lineRule="auto"/>
        <w:contextualSpacing/>
        <w:rPr>
          <w:rFonts w:ascii="宋体" w:hAnsi="宋体" w:cs="仿宋_GB2312"/>
          <w:sz w:val="24"/>
        </w:rPr>
      </w:pPr>
      <w:r>
        <w:rPr>
          <w:rFonts w:hint="eastAsia" w:ascii="宋体" w:hAnsi="宋体" w:cs="仿宋_GB2312"/>
          <w:sz w:val="24"/>
        </w:rPr>
        <w:t>注：请根据自己的真实情况出具《残疾人福利性单位声明函》。依法享受中小企业优惠政策的，采购人或者采购代理机构在公告成交结果时，同时公告其《残疾人福利性单位声明函》，接受社会监督。</w:t>
      </w:r>
    </w:p>
    <w:p w14:paraId="62245922">
      <w:pPr>
        <w:spacing w:line="360" w:lineRule="auto"/>
        <w:jc w:val="center"/>
        <w:rPr>
          <w:rFonts w:ascii="宋体" w:hAnsi="宋体"/>
          <w:b/>
          <w:bCs/>
          <w:sz w:val="32"/>
          <w:szCs w:val="32"/>
        </w:rPr>
      </w:pPr>
      <w:r>
        <w:rPr>
          <w:rFonts w:ascii="宋体" w:hAnsi="宋体" w:cs="仿宋_GB2312"/>
          <w:sz w:val="24"/>
        </w:rPr>
        <w:br w:type="page"/>
      </w:r>
      <w:r>
        <w:rPr>
          <w:rFonts w:hint="eastAsia" w:ascii="宋体" w:hAnsi="宋体" w:cs="方正小标宋简体"/>
          <w:sz w:val="44"/>
          <w:szCs w:val="44"/>
        </w:rPr>
        <w:t>质疑函（格式）</w:t>
      </w:r>
    </w:p>
    <w:p w14:paraId="07D5B057">
      <w:pPr>
        <w:pStyle w:val="18"/>
        <w:snapToGrid w:val="0"/>
        <w:spacing w:line="360" w:lineRule="auto"/>
        <w:ind w:firstLine="482" w:firstLineChars="200"/>
        <w:rPr>
          <w:rFonts w:hAnsi="宋体"/>
          <w:b/>
          <w:bCs/>
          <w:sz w:val="24"/>
          <w:szCs w:val="24"/>
        </w:rPr>
      </w:pPr>
      <w:r>
        <w:rPr>
          <w:rFonts w:hint="eastAsia" w:hAnsi="宋体"/>
          <w:b/>
          <w:bCs/>
          <w:sz w:val="24"/>
          <w:szCs w:val="24"/>
        </w:rPr>
        <w:t>一、质疑供应商基本信息：</w:t>
      </w:r>
    </w:p>
    <w:p w14:paraId="074AE322">
      <w:pPr>
        <w:pStyle w:val="18"/>
        <w:snapToGrid w:val="0"/>
        <w:spacing w:line="360" w:lineRule="auto"/>
        <w:ind w:firstLine="480" w:firstLineChars="200"/>
        <w:rPr>
          <w:rFonts w:hAnsi="宋体"/>
          <w:bCs/>
          <w:sz w:val="24"/>
          <w:szCs w:val="24"/>
          <w:u w:val="single"/>
        </w:rPr>
      </w:pPr>
      <w:r>
        <w:rPr>
          <w:rFonts w:hint="eastAsia" w:hAnsi="宋体"/>
          <w:bCs/>
          <w:sz w:val="24"/>
          <w:szCs w:val="24"/>
        </w:rPr>
        <w:t>质疑供应商：</w:t>
      </w:r>
      <w:r>
        <w:rPr>
          <w:rFonts w:hint="eastAsia" w:hAnsi="宋体"/>
          <w:bCs/>
          <w:sz w:val="24"/>
          <w:szCs w:val="24"/>
          <w:u w:val="single"/>
        </w:rPr>
        <w:t xml:space="preserve">                                       </w:t>
      </w:r>
      <w:r>
        <w:rPr>
          <w:rFonts w:hint="eastAsia" w:hAnsi="宋体"/>
          <w:bCs/>
          <w:sz w:val="24"/>
          <w:szCs w:val="24"/>
        </w:rPr>
        <w:t xml:space="preserve">                 </w:t>
      </w:r>
    </w:p>
    <w:p w14:paraId="78A33E4D">
      <w:pPr>
        <w:pStyle w:val="18"/>
        <w:snapToGrid w:val="0"/>
        <w:spacing w:line="360" w:lineRule="auto"/>
        <w:ind w:firstLine="480" w:firstLineChars="200"/>
        <w:rPr>
          <w:rFonts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45A7BDE7">
      <w:pPr>
        <w:pStyle w:val="18"/>
        <w:snapToGrid w:val="0"/>
        <w:spacing w:line="360" w:lineRule="auto"/>
        <w:ind w:firstLine="480" w:firstLineChars="200"/>
        <w:rPr>
          <w:rFonts w:hAnsi="宋体"/>
          <w:bCs/>
          <w:sz w:val="24"/>
          <w:szCs w:val="24"/>
        </w:rPr>
      </w:pPr>
      <w:r>
        <w:rPr>
          <w:rFonts w:hAnsi="宋体"/>
          <w:bCs/>
          <w:sz w:val="24"/>
          <w:szCs w:val="24"/>
        </w:rPr>
        <w:t>联系人</w:t>
      </w:r>
      <w:r>
        <w:rPr>
          <w:rFonts w:hint="eastAsia" w:hAnsi="宋体"/>
          <w:bCs/>
          <w:sz w:val="24"/>
          <w:szCs w:val="24"/>
        </w:rPr>
        <w:t>：</w:t>
      </w:r>
      <w:r>
        <w:rPr>
          <w:rFonts w:hint="eastAsia" w:hAnsi="宋体"/>
          <w:bCs/>
          <w:sz w:val="24"/>
          <w:szCs w:val="24"/>
          <w:u w:val="single"/>
        </w:rPr>
        <w:t xml:space="preserve">                     </w:t>
      </w:r>
      <w:r>
        <w:rPr>
          <w:rFonts w:hAnsi="宋体"/>
          <w:bCs/>
          <w:sz w:val="24"/>
          <w:szCs w:val="24"/>
        </w:rPr>
        <w:t>联系电话</w:t>
      </w:r>
      <w:r>
        <w:rPr>
          <w:rFonts w:hint="eastAsia" w:hAnsi="宋体"/>
          <w:bCs/>
          <w:sz w:val="24"/>
          <w:szCs w:val="24"/>
        </w:rPr>
        <w:t>：</w:t>
      </w:r>
      <w:r>
        <w:rPr>
          <w:rFonts w:hint="eastAsia" w:hAnsi="宋体"/>
          <w:bCs/>
          <w:sz w:val="24"/>
          <w:szCs w:val="24"/>
          <w:u w:val="single"/>
        </w:rPr>
        <w:t xml:space="preserve">                 </w:t>
      </w:r>
    </w:p>
    <w:p w14:paraId="503DBCC5">
      <w:pPr>
        <w:pStyle w:val="18"/>
        <w:snapToGrid w:val="0"/>
        <w:spacing w:line="360" w:lineRule="auto"/>
        <w:ind w:firstLine="480" w:firstLineChars="200"/>
        <w:rPr>
          <w:rFonts w:hAnsi="宋体"/>
          <w:bCs/>
          <w:sz w:val="24"/>
          <w:szCs w:val="24"/>
        </w:rPr>
      </w:pPr>
      <w:r>
        <w:rPr>
          <w:rFonts w:hint="eastAsia" w:hAnsi="宋体"/>
          <w:bCs/>
          <w:sz w:val="24"/>
          <w:szCs w:val="24"/>
        </w:rPr>
        <w:t>授权代表：</w:t>
      </w:r>
      <w:r>
        <w:rPr>
          <w:rFonts w:hint="eastAsia" w:hAnsi="宋体"/>
          <w:bCs/>
          <w:sz w:val="24"/>
          <w:szCs w:val="24"/>
          <w:u w:val="single"/>
        </w:rPr>
        <w:t xml:space="preserve">                      </w:t>
      </w:r>
    </w:p>
    <w:p w14:paraId="413140F1">
      <w:pPr>
        <w:pStyle w:val="18"/>
        <w:snapToGrid w:val="0"/>
        <w:spacing w:line="360" w:lineRule="auto"/>
        <w:ind w:firstLine="480" w:firstLineChars="200"/>
        <w:rPr>
          <w:rFonts w:hAnsi="宋体"/>
          <w:bCs/>
          <w:sz w:val="24"/>
          <w:szCs w:val="24"/>
          <w:u w:val="single"/>
        </w:rPr>
      </w:pP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14:paraId="7A0413B8">
      <w:pPr>
        <w:pStyle w:val="18"/>
        <w:snapToGrid w:val="0"/>
        <w:spacing w:line="360" w:lineRule="auto"/>
        <w:ind w:firstLine="480" w:firstLineChars="200"/>
        <w:rPr>
          <w:rFonts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55369B49">
      <w:pPr>
        <w:pStyle w:val="18"/>
        <w:snapToGrid w:val="0"/>
        <w:spacing w:line="360" w:lineRule="auto"/>
        <w:ind w:firstLine="482" w:firstLineChars="200"/>
        <w:rPr>
          <w:rFonts w:hAnsi="宋体"/>
          <w:b/>
          <w:bCs/>
          <w:sz w:val="24"/>
          <w:szCs w:val="24"/>
        </w:rPr>
      </w:pPr>
      <w:r>
        <w:rPr>
          <w:rFonts w:hint="eastAsia" w:hAnsi="宋体"/>
          <w:b/>
          <w:bCs/>
          <w:sz w:val="24"/>
          <w:szCs w:val="24"/>
        </w:rPr>
        <w:t>二、质疑项目基本情况：</w:t>
      </w:r>
    </w:p>
    <w:p w14:paraId="4BBAD9AF">
      <w:pPr>
        <w:pStyle w:val="18"/>
        <w:spacing w:line="360" w:lineRule="auto"/>
        <w:ind w:left="25" w:leftChars="12" w:firstLine="472" w:firstLineChars="197"/>
        <w:rPr>
          <w:rFonts w:hAnsi="宋体"/>
          <w:sz w:val="24"/>
          <w:szCs w:val="24"/>
        </w:rPr>
      </w:pPr>
      <w:r>
        <w:rPr>
          <w:rFonts w:hint="eastAsia" w:hAnsi="宋体"/>
          <w:bCs/>
          <w:sz w:val="24"/>
          <w:szCs w:val="24"/>
        </w:rPr>
        <w:t>质疑</w:t>
      </w:r>
      <w:r>
        <w:rPr>
          <w:rFonts w:hint="eastAsia" w:hAnsi="宋体"/>
          <w:sz w:val="24"/>
          <w:szCs w:val="24"/>
        </w:rPr>
        <w:t>项目的名称：</w:t>
      </w:r>
      <w:r>
        <w:rPr>
          <w:rFonts w:hint="eastAsia" w:hAnsi="宋体"/>
          <w:bCs/>
          <w:sz w:val="24"/>
          <w:szCs w:val="24"/>
          <w:u w:val="single"/>
        </w:rPr>
        <w:t xml:space="preserve">                                     </w:t>
      </w:r>
    </w:p>
    <w:p w14:paraId="6ABC4BF5">
      <w:pPr>
        <w:pStyle w:val="18"/>
        <w:spacing w:line="360" w:lineRule="auto"/>
        <w:ind w:left="25" w:leftChars="12" w:firstLine="472" w:firstLineChars="197"/>
        <w:rPr>
          <w:rFonts w:hAnsi="宋体"/>
          <w:sz w:val="24"/>
          <w:szCs w:val="24"/>
        </w:rPr>
      </w:pPr>
      <w:r>
        <w:rPr>
          <w:rFonts w:hint="eastAsia" w:hAnsi="宋体"/>
          <w:bCs/>
          <w:sz w:val="24"/>
          <w:szCs w:val="24"/>
        </w:rPr>
        <w:t>质疑</w:t>
      </w:r>
      <w:r>
        <w:rPr>
          <w:rFonts w:hint="eastAsia" w:hAnsi="宋体"/>
          <w:sz w:val="24"/>
          <w:szCs w:val="24"/>
        </w:rPr>
        <w:t>项目的编号：</w:t>
      </w:r>
      <w:r>
        <w:rPr>
          <w:rFonts w:hint="eastAsia" w:hAnsi="宋体"/>
          <w:bCs/>
          <w:sz w:val="24"/>
          <w:szCs w:val="24"/>
          <w:u w:val="single"/>
        </w:rPr>
        <w:t xml:space="preserve">                                     </w:t>
      </w:r>
    </w:p>
    <w:p w14:paraId="189EF53B">
      <w:pPr>
        <w:pStyle w:val="18"/>
        <w:spacing w:line="360" w:lineRule="auto"/>
        <w:ind w:left="25" w:leftChars="12" w:firstLine="472" w:firstLineChars="197"/>
        <w:rPr>
          <w:rFonts w:hAnsi="宋体"/>
          <w:sz w:val="24"/>
          <w:szCs w:val="24"/>
        </w:rPr>
      </w:pPr>
      <w:r>
        <w:rPr>
          <w:rFonts w:hint="eastAsia" w:hAnsi="宋体"/>
          <w:sz w:val="24"/>
          <w:szCs w:val="24"/>
        </w:rPr>
        <w:t>采购人名称：</w:t>
      </w:r>
      <w:r>
        <w:rPr>
          <w:rFonts w:hint="eastAsia" w:hAnsi="宋体"/>
          <w:bCs/>
          <w:sz w:val="24"/>
          <w:szCs w:val="24"/>
          <w:u w:val="single"/>
        </w:rPr>
        <w:t xml:space="preserve">                                         </w:t>
      </w:r>
    </w:p>
    <w:p w14:paraId="309D6A2A">
      <w:pPr>
        <w:pStyle w:val="18"/>
        <w:spacing w:line="360" w:lineRule="auto"/>
        <w:ind w:left="25" w:leftChars="12" w:firstLine="472" w:firstLineChars="197"/>
        <w:rPr>
          <w:rFonts w:hAnsi="宋体"/>
          <w:sz w:val="24"/>
          <w:szCs w:val="24"/>
        </w:rPr>
      </w:pPr>
      <w:r>
        <w:rPr>
          <w:rFonts w:hint="eastAsia" w:hAnsi="宋体"/>
          <w:sz w:val="24"/>
          <w:szCs w:val="24"/>
        </w:rPr>
        <w:t>质疑事项：</w:t>
      </w:r>
    </w:p>
    <w:p w14:paraId="4032B964">
      <w:pPr>
        <w:pStyle w:val="18"/>
        <w:spacing w:line="360" w:lineRule="auto"/>
        <w:ind w:left="25" w:leftChars="12" w:firstLine="352" w:firstLineChars="147"/>
        <w:rPr>
          <w:rFonts w:hAnsi="宋体"/>
          <w:sz w:val="24"/>
          <w:szCs w:val="24"/>
        </w:rPr>
      </w:pPr>
      <w:r>
        <w:rPr>
          <w:rFonts w:hint="eastAsia" w:hAnsi="宋体"/>
          <w:sz w:val="24"/>
          <w:szCs w:val="24"/>
        </w:rPr>
        <w:t>□采购文件   采购文件获取日期：</w:t>
      </w:r>
      <w:r>
        <w:rPr>
          <w:rFonts w:hint="eastAsia" w:hAnsi="宋体"/>
          <w:bCs/>
          <w:sz w:val="24"/>
          <w:szCs w:val="24"/>
          <w:u w:val="single"/>
        </w:rPr>
        <w:t xml:space="preserve">                                   </w:t>
      </w:r>
    </w:p>
    <w:p w14:paraId="6EA8640F">
      <w:pPr>
        <w:pStyle w:val="18"/>
        <w:spacing w:line="360" w:lineRule="auto"/>
        <w:ind w:left="25" w:leftChars="12" w:firstLine="352" w:firstLineChars="147"/>
        <w:rPr>
          <w:rFonts w:hAnsi="宋体"/>
          <w:sz w:val="24"/>
          <w:szCs w:val="24"/>
        </w:rPr>
      </w:pPr>
      <w:r>
        <w:rPr>
          <w:rFonts w:hint="eastAsia" w:hAnsi="宋体"/>
          <w:sz w:val="24"/>
          <w:szCs w:val="24"/>
        </w:rPr>
        <w:t xml:space="preserve">□采购过程   </w:t>
      </w:r>
    </w:p>
    <w:p w14:paraId="41F01073">
      <w:pPr>
        <w:pStyle w:val="18"/>
        <w:spacing w:line="360" w:lineRule="auto"/>
        <w:ind w:left="25" w:leftChars="12" w:firstLine="352" w:firstLineChars="147"/>
        <w:rPr>
          <w:rFonts w:hAnsi="宋体"/>
          <w:bCs/>
          <w:sz w:val="24"/>
          <w:szCs w:val="24"/>
          <w:u w:val="single"/>
        </w:rPr>
      </w:pPr>
      <w:r>
        <w:rPr>
          <w:rFonts w:hint="eastAsia" w:hAnsi="宋体"/>
          <w:sz w:val="24"/>
          <w:szCs w:val="24"/>
        </w:rPr>
        <w:t xml:space="preserve">□成交结果   </w:t>
      </w:r>
    </w:p>
    <w:p w14:paraId="6EE9F80B">
      <w:pPr>
        <w:pStyle w:val="18"/>
        <w:spacing w:line="360" w:lineRule="auto"/>
        <w:ind w:left="25" w:leftChars="12" w:firstLine="472" w:firstLineChars="196"/>
        <w:rPr>
          <w:rFonts w:hAnsi="宋体"/>
          <w:b/>
          <w:sz w:val="24"/>
          <w:szCs w:val="24"/>
        </w:rPr>
      </w:pPr>
      <w:r>
        <w:rPr>
          <w:rFonts w:hint="eastAsia" w:hAnsi="宋体"/>
          <w:b/>
          <w:sz w:val="24"/>
          <w:szCs w:val="24"/>
        </w:rPr>
        <w:t>三、质疑事项具体内容</w:t>
      </w:r>
    </w:p>
    <w:p w14:paraId="11A89E72">
      <w:pPr>
        <w:pStyle w:val="18"/>
        <w:spacing w:line="360" w:lineRule="auto"/>
        <w:ind w:left="25" w:leftChars="12" w:firstLine="472" w:firstLineChars="197"/>
        <w:rPr>
          <w:rFonts w:hAnsi="宋体"/>
          <w:sz w:val="24"/>
          <w:szCs w:val="24"/>
        </w:rPr>
      </w:pPr>
      <w:r>
        <w:rPr>
          <w:rFonts w:hint="eastAsia" w:hAnsi="宋体"/>
          <w:sz w:val="24"/>
          <w:szCs w:val="24"/>
        </w:rPr>
        <w:t>质疑事项1：</w:t>
      </w:r>
      <w:r>
        <w:rPr>
          <w:rFonts w:hint="eastAsia" w:hAnsi="宋体"/>
          <w:bCs/>
          <w:sz w:val="24"/>
          <w:szCs w:val="24"/>
          <w:u w:val="single"/>
        </w:rPr>
        <w:t xml:space="preserve">                                                                    </w:t>
      </w:r>
    </w:p>
    <w:p w14:paraId="106762A6">
      <w:pPr>
        <w:pStyle w:val="18"/>
        <w:spacing w:line="360" w:lineRule="auto"/>
        <w:ind w:left="25" w:leftChars="12" w:firstLine="472" w:firstLineChars="197"/>
        <w:rPr>
          <w:rFonts w:hAnsi="宋体"/>
          <w:sz w:val="24"/>
          <w:szCs w:val="24"/>
        </w:rPr>
      </w:pPr>
      <w:r>
        <w:rPr>
          <w:rFonts w:hint="eastAsia" w:hAnsi="宋体"/>
          <w:sz w:val="24"/>
          <w:szCs w:val="24"/>
        </w:rPr>
        <w:t>事实依据：</w:t>
      </w:r>
      <w:r>
        <w:rPr>
          <w:rFonts w:hint="eastAsia" w:hAnsi="宋体"/>
          <w:bCs/>
          <w:sz w:val="24"/>
          <w:szCs w:val="24"/>
          <w:u w:val="single"/>
        </w:rPr>
        <w:t xml:space="preserve">                                                                      </w:t>
      </w:r>
    </w:p>
    <w:p w14:paraId="6D5D86FD">
      <w:pPr>
        <w:pStyle w:val="18"/>
        <w:spacing w:line="360" w:lineRule="auto"/>
        <w:ind w:left="25" w:leftChars="12" w:firstLine="472" w:firstLineChars="197"/>
        <w:rPr>
          <w:rFonts w:hAnsi="宋体"/>
          <w:sz w:val="24"/>
          <w:szCs w:val="24"/>
        </w:rPr>
      </w:pPr>
      <w:r>
        <w:rPr>
          <w:rFonts w:hint="eastAsia" w:hAnsi="宋体"/>
          <w:sz w:val="24"/>
          <w:szCs w:val="24"/>
        </w:rPr>
        <w:t>法律依据：</w:t>
      </w:r>
      <w:r>
        <w:rPr>
          <w:rFonts w:hint="eastAsia" w:hAnsi="宋体"/>
          <w:sz w:val="24"/>
          <w:szCs w:val="24"/>
          <w:u w:val="single"/>
        </w:rPr>
        <w:t xml:space="preserve">                                                        </w:t>
      </w:r>
      <w:r>
        <w:rPr>
          <w:rFonts w:hint="eastAsia" w:hAnsi="宋体"/>
          <w:bCs/>
          <w:sz w:val="24"/>
          <w:szCs w:val="24"/>
          <w:u w:val="single"/>
        </w:rPr>
        <w:t xml:space="preserve">               </w:t>
      </w:r>
    </w:p>
    <w:p w14:paraId="044C65F7">
      <w:pPr>
        <w:pStyle w:val="18"/>
        <w:spacing w:line="360" w:lineRule="auto"/>
        <w:ind w:left="25" w:leftChars="12" w:firstLine="472" w:firstLineChars="197"/>
        <w:rPr>
          <w:rFonts w:hAnsi="宋体"/>
          <w:sz w:val="24"/>
          <w:szCs w:val="24"/>
        </w:rPr>
      </w:pPr>
      <w:r>
        <w:rPr>
          <w:rFonts w:hint="eastAsia" w:hAnsi="宋体"/>
          <w:sz w:val="24"/>
          <w:szCs w:val="24"/>
        </w:rPr>
        <w:t>质疑事项2</w:t>
      </w:r>
    </w:p>
    <w:p w14:paraId="50CE0475">
      <w:pPr>
        <w:pStyle w:val="18"/>
        <w:spacing w:line="360" w:lineRule="auto"/>
        <w:ind w:left="25" w:leftChars="12" w:firstLine="472" w:firstLineChars="197"/>
        <w:rPr>
          <w:rFonts w:hAnsi="宋体"/>
          <w:sz w:val="24"/>
          <w:szCs w:val="24"/>
        </w:rPr>
      </w:pPr>
      <w:r>
        <w:rPr>
          <w:rFonts w:hAnsi="宋体"/>
          <w:sz w:val="24"/>
          <w:szCs w:val="24"/>
        </w:rPr>
        <w:t>……</w:t>
      </w:r>
    </w:p>
    <w:p w14:paraId="7CE21C53">
      <w:pPr>
        <w:pStyle w:val="18"/>
        <w:spacing w:line="360" w:lineRule="auto"/>
        <w:ind w:left="25" w:leftChars="12" w:firstLine="472" w:firstLineChars="197"/>
        <w:rPr>
          <w:rFonts w:hAnsi="宋体"/>
          <w:sz w:val="24"/>
          <w:szCs w:val="24"/>
        </w:rPr>
      </w:pPr>
      <w:r>
        <w:rPr>
          <w:rFonts w:hint="eastAsia" w:hAnsi="宋体"/>
          <w:sz w:val="24"/>
          <w:szCs w:val="24"/>
        </w:rPr>
        <w:t>四、与质疑事项相关的质疑请求：</w:t>
      </w:r>
    </w:p>
    <w:p w14:paraId="101BE2D1">
      <w:pPr>
        <w:pStyle w:val="18"/>
        <w:spacing w:line="360" w:lineRule="auto"/>
        <w:ind w:left="25" w:leftChars="12" w:firstLine="472" w:firstLineChars="197"/>
        <w:rPr>
          <w:rFonts w:hAnsi="宋体"/>
          <w:sz w:val="24"/>
          <w:szCs w:val="24"/>
        </w:rPr>
      </w:pPr>
      <w:r>
        <w:rPr>
          <w:rFonts w:hint="eastAsia" w:hAnsi="宋体"/>
          <w:sz w:val="24"/>
          <w:szCs w:val="24"/>
        </w:rPr>
        <w:t>请求：</w:t>
      </w:r>
      <w:r>
        <w:rPr>
          <w:rFonts w:hint="eastAsia" w:hAnsi="宋体"/>
          <w:bCs/>
          <w:sz w:val="24"/>
          <w:szCs w:val="24"/>
          <w:u w:val="single"/>
        </w:rPr>
        <w:t xml:space="preserve">                                                                </w:t>
      </w:r>
    </w:p>
    <w:p w14:paraId="11A1C2FD">
      <w:pPr>
        <w:pStyle w:val="18"/>
        <w:spacing w:line="360" w:lineRule="auto"/>
        <w:ind w:left="25" w:leftChars="12" w:firstLine="352" w:firstLineChars="147"/>
        <w:rPr>
          <w:rFonts w:hAnsi="宋体"/>
          <w:sz w:val="24"/>
          <w:szCs w:val="24"/>
        </w:rPr>
      </w:pPr>
    </w:p>
    <w:p w14:paraId="56498D74">
      <w:pPr>
        <w:pStyle w:val="18"/>
        <w:spacing w:line="360" w:lineRule="auto"/>
        <w:ind w:left="25" w:leftChars="12" w:firstLine="472" w:firstLineChars="197"/>
        <w:rPr>
          <w:rFonts w:hAnsi="宋体"/>
          <w:sz w:val="24"/>
          <w:szCs w:val="24"/>
        </w:rPr>
      </w:pPr>
      <w:r>
        <w:rPr>
          <w:rFonts w:hint="eastAsia" w:hAnsi="宋体"/>
          <w:sz w:val="24"/>
          <w:szCs w:val="24"/>
        </w:rPr>
        <w:t>签字（签章）：                                       公章：</w:t>
      </w:r>
    </w:p>
    <w:p w14:paraId="06D152AD">
      <w:pPr>
        <w:pStyle w:val="18"/>
        <w:spacing w:line="360" w:lineRule="auto"/>
        <w:ind w:left="25" w:leftChars="12" w:firstLine="352" w:firstLineChars="147"/>
        <w:rPr>
          <w:rFonts w:hAnsi="宋体"/>
          <w:sz w:val="24"/>
          <w:szCs w:val="24"/>
        </w:rPr>
      </w:pPr>
    </w:p>
    <w:p w14:paraId="0AE9A502">
      <w:pPr>
        <w:pStyle w:val="18"/>
        <w:spacing w:line="360" w:lineRule="auto"/>
        <w:ind w:left="25" w:leftChars="12" w:firstLine="472" w:firstLineChars="197"/>
        <w:rPr>
          <w:rFonts w:hAnsi="宋体"/>
          <w:sz w:val="24"/>
          <w:szCs w:val="24"/>
        </w:rPr>
      </w:pPr>
      <w:r>
        <w:rPr>
          <w:rFonts w:hint="eastAsia" w:hAnsi="宋体"/>
          <w:sz w:val="24"/>
          <w:szCs w:val="24"/>
        </w:rPr>
        <w:t>日期：</w:t>
      </w:r>
    </w:p>
    <w:p w14:paraId="11435272">
      <w:pPr>
        <w:pStyle w:val="18"/>
        <w:snapToGrid w:val="0"/>
        <w:spacing w:line="360" w:lineRule="auto"/>
        <w:rPr>
          <w:rFonts w:hAnsi="宋体"/>
          <w:b/>
          <w:sz w:val="24"/>
          <w:szCs w:val="24"/>
        </w:rPr>
      </w:pPr>
    </w:p>
    <w:p w14:paraId="55F8C34C">
      <w:pPr>
        <w:pStyle w:val="18"/>
        <w:snapToGrid w:val="0"/>
        <w:spacing w:line="360" w:lineRule="auto"/>
        <w:rPr>
          <w:rFonts w:hAnsi="宋体"/>
          <w:b/>
          <w:sz w:val="24"/>
          <w:szCs w:val="24"/>
        </w:rPr>
      </w:pPr>
      <w:r>
        <w:rPr>
          <w:rFonts w:hint="eastAsia" w:hAnsi="宋体"/>
          <w:b/>
          <w:sz w:val="24"/>
          <w:szCs w:val="24"/>
        </w:rPr>
        <w:t>说明：</w:t>
      </w:r>
    </w:p>
    <w:p w14:paraId="22886BD0">
      <w:pPr>
        <w:pStyle w:val="18"/>
        <w:spacing w:line="360" w:lineRule="auto"/>
        <w:ind w:left="25" w:leftChars="12" w:firstLine="354" w:firstLineChars="147"/>
        <w:rPr>
          <w:rFonts w:hAnsi="宋体"/>
          <w:b/>
          <w:bCs/>
          <w:sz w:val="24"/>
          <w:szCs w:val="24"/>
        </w:rPr>
      </w:pPr>
      <w:r>
        <w:rPr>
          <w:rFonts w:hint="eastAsia" w:hAnsi="宋体"/>
          <w:b/>
          <w:sz w:val="24"/>
          <w:szCs w:val="24"/>
        </w:rPr>
        <w:t>1.供应商提出质疑时，应提交质疑函和必要的证明材料</w:t>
      </w:r>
      <w:r>
        <w:rPr>
          <w:rFonts w:hint="eastAsia" w:hAnsi="宋体"/>
          <w:b/>
          <w:bCs/>
          <w:sz w:val="24"/>
          <w:szCs w:val="24"/>
        </w:rPr>
        <w:t>。</w:t>
      </w:r>
    </w:p>
    <w:p w14:paraId="0FEBEA31">
      <w:pPr>
        <w:pStyle w:val="18"/>
        <w:spacing w:line="360" w:lineRule="auto"/>
        <w:ind w:left="25" w:leftChars="12" w:firstLine="354" w:firstLineChars="147"/>
        <w:rPr>
          <w:rFonts w:hAnsi="宋体"/>
          <w:b/>
          <w:sz w:val="24"/>
          <w:szCs w:val="24"/>
        </w:rPr>
      </w:pPr>
      <w:r>
        <w:rPr>
          <w:rFonts w:hint="eastAsia" w:hAnsi="宋体"/>
          <w:b/>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9DEF891">
      <w:pPr>
        <w:pStyle w:val="18"/>
        <w:spacing w:line="360" w:lineRule="auto"/>
        <w:ind w:left="25" w:leftChars="12" w:firstLine="354" w:firstLineChars="147"/>
        <w:rPr>
          <w:rFonts w:hAnsi="宋体"/>
          <w:b/>
          <w:sz w:val="24"/>
          <w:szCs w:val="24"/>
        </w:rPr>
      </w:pPr>
      <w:r>
        <w:rPr>
          <w:rFonts w:hint="eastAsia" w:hAnsi="宋体"/>
          <w:b/>
          <w:sz w:val="24"/>
          <w:szCs w:val="24"/>
        </w:rPr>
        <w:t>3.质疑函的质疑事项应具体、明确，并有必要的事实依据和法律依据。</w:t>
      </w:r>
    </w:p>
    <w:p w14:paraId="56128C6E">
      <w:pPr>
        <w:pStyle w:val="18"/>
        <w:spacing w:line="360" w:lineRule="auto"/>
        <w:ind w:left="25" w:leftChars="12" w:firstLine="354" w:firstLineChars="147"/>
        <w:rPr>
          <w:rFonts w:hAnsi="宋体"/>
          <w:b/>
          <w:sz w:val="24"/>
          <w:szCs w:val="24"/>
        </w:rPr>
      </w:pPr>
      <w:r>
        <w:rPr>
          <w:rFonts w:hint="eastAsia" w:hAnsi="宋体"/>
          <w:b/>
          <w:sz w:val="24"/>
          <w:szCs w:val="24"/>
        </w:rPr>
        <w:t>4.质疑函的质疑请求应与质疑事项相关。</w:t>
      </w:r>
    </w:p>
    <w:p w14:paraId="4F744783">
      <w:pPr>
        <w:pStyle w:val="18"/>
        <w:spacing w:line="360" w:lineRule="auto"/>
        <w:ind w:left="25" w:leftChars="12" w:firstLine="354" w:firstLineChars="147"/>
        <w:rPr>
          <w:rFonts w:hAnsi="宋体"/>
          <w:b/>
        </w:rPr>
      </w:pPr>
      <w:r>
        <w:rPr>
          <w:rFonts w:hint="eastAsia" w:hAnsi="宋体"/>
          <w:b/>
          <w:sz w:val="24"/>
          <w:szCs w:val="24"/>
        </w:rPr>
        <w:t>5.质疑供应商为法人或者其他组织的，质疑函应由法定代表人、主要负责人，或者其授权代表签字或者盖章，并加盖公章。</w:t>
      </w:r>
    </w:p>
    <w:p w14:paraId="1DFF5E15">
      <w:pPr>
        <w:pStyle w:val="18"/>
        <w:snapToGrid w:val="0"/>
        <w:rPr>
          <w:rFonts w:hAnsi="宋体"/>
          <w:b/>
          <w:sz w:val="24"/>
          <w:szCs w:val="24"/>
        </w:rPr>
      </w:pPr>
    </w:p>
    <w:p w14:paraId="41783A71">
      <w:pPr>
        <w:spacing w:line="460" w:lineRule="exact"/>
        <w:rPr>
          <w:rFonts w:ascii="宋体" w:hAnsi="宋体"/>
          <w:sz w:val="44"/>
        </w:rPr>
      </w:pPr>
    </w:p>
    <w:p w14:paraId="4A33D5BD">
      <w:pPr>
        <w:spacing w:line="460" w:lineRule="exact"/>
        <w:rPr>
          <w:rFonts w:ascii="宋体" w:hAnsi="宋体"/>
          <w:sz w:val="44"/>
        </w:rPr>
      </w:pPr>
    </w:p>
    <w:p w14:paraId="55C4D915">
      <w:pPr>
        <w:spacing w:line="460" w:lineRule="exact"/>
        <w:rPr>
          <w:rFonts w:ascii="宋体" w:hAnsi="宋体"/>
          <w:sz w:val="44"/>
        </w:rPr>
      </w:pPr>
    </w:p>
    <w:p w14:paraId="4C77F9E2">
      <w:pPr>
        <w:spacing w:line="460" w:lineRule="exact"/>
        <w:rPr>
          <w:rFonts w:ascii="宋体" w:hAnsi="宋体"/>
          <w:sz w:val="44"/>
        </w:rPr>
      </w:pPr>
    </w:p>
    <w:p w14:paraId="6040DEC6">
      <w:pPr>
        <w:spacing w:line="460" w:lineRule="exact"/>
        <w:rPr>
          <w:rFonts w:ascii="宋体" w:hAnsi="宋体"/>
          <w:sz w:val="44"/>
        </w:rPr>
      </w:pPr>
    </w:p>
    <w:p w14:paraId="2FD9F97D">
      <w:pPr>
        <w:spacing w:line="460" w:lineRule="exact"/>
        <w:rPr>
          <w:rFonts w:ascii="宋体" w:hAnsi="宋体"/>
          <w:sz w:val="44"/>
        </w:rPr>
      </w:pPr>
    </w:p>
    <w:p w14:paraId="5DDE5C44">
      <w:pPr>
        <w:spacing w:line="460" w:lineRule="exact"/>
        <w:rPr>
          <w:rFonts w:ascii="宋体" w:hAnsi="宋体"/>
          <w:sz w:val="44"/>
        </w:rPr>
      </w:pPr>
    </w:p>
    <w:p w14:paraId="2BEE4A59">
      <w:pPr>
        <w:spacing w:line="460" w:lineRule="exact"/>
        <w:rPr>
          <w:rFonts w:ascii="宋体" w:hAnsi="宋体"/>
          <w:sz w:val="44"/>
        </w:rPr>
      </w:pPr>
    </w:p>
    <w:p w14:paraId="66A59193">
      <w:pPr>
        <w:spacing w:line="460" w:lineRule="exact"/>
        <w:rPr>
          <w:rFonts w:ascii="宋体" w:hAnsi="宋体"/>
          <w:sz w:val="44"/>
        </w:rPr>
      </w:pPr>
    </w:p>
    <w:p w14:paraId="1A9C7DEF">
      <w:pPr>
        <w:spacing w:line="460" w:lineRule="exact"/>
        <w:rPr>
          <w:rFonts w:ascii="宋体" w:hAnsi="宋体"/>
          <w:sz w:val="44"/>
        </w:rPr>
      </w:pPr>
    </w:p>
    <w:p w14:paraId="3D0E45E5">
      <w:pPr>
        <w:spacing w:line="460" w:lineRule="exact"/>
        <w:rPr>
          <w:rFonts w:ascii="宋体" w:hAnsi="宋体"/>
          <w:sz w:val="44"/>
        </w:rPr>
      </w:pPr>
    </w:p>
    <w:p w14:paraId="01BD1A76">
      <w:pPr>
        <w:spacing w:line="460" w:lineRule="exact"/>
        <w:rPr>
          <w:rFonts w:ascii="宋体" w:hAnsi="宋体"/>
          <w:sz w:val="44"/>
        </w:rPr>
      </w:pPr>
    </w:p>
    <w:p w14:paraId="5C94417A">
      <w:pPr>
        <w:spacing w:line="460" w:lineRule="exact"/>
        <w:rPr>
          <w:rFonts w:ascii="宋体" w:hAnsi="宋体"/>
          <w:sz w:val="44"/>
        </w:rPr>
      </w:pPr>
    </w:p>
    <w:p w14:paraId="3D352171">
      <w:pPr>
        <w:spacing w:line="460" w:lineRule="exact"/>
        <w:rPr>
          <w:rFonts w:ascii="宋体" w:hAnsi="宋体"/>
          <w:sz w:val="44"/>
        </w:rPr>
      </w:pPr>
    </w:p>
    <w:p w14:paraId="7C900251">
      <w:pPr>
        <w:spacing w:line="460" w:lineRule="exact"/>
        <w:rPr>
          <w:rFonts w:ascii="宋体" w:hAnsi="宋体"/>
          <w:sz w:val="44"/>
        </w:rPr>
      </w:pPr>
    </w:p>
    <w:p w14:paraId="491B94A3">
      <w:pPr>
        <w:spacing w:line="460" w:lineRule="exact"/>
        <w:rPr>
          <w:rFonts w:ascii="宋体" w:hAnsi="宋体"/>
          <w:sz w:val="44"/>
        </w:rPr>
      </w:pPr>
    </w:p>
    <w:p w14:paraId="3426040C">
      <w:pPr>
        <w:spacing w:line="460" w:lineRule="exact"/>
        <w:rPr>
          <w:rFonts w:ascii="宋体" w:hAnsi="宋体"/>
          <w:sz w:val="44"/>
        </w:rPr>
      </w:pPr>
    </w:p>
    <w:p w14:paraId="00EBA8A0">
      <w:pPr>
        <w:spacing w:line="460" w:lineRule="exact"/>
        <w:rPr>
          <w:rFonts w:ascii="宋体" w:hAnsi="宋体"/>
          <w:sz w:val="44"/>
        </w:rPr>
      </w:pPr>
    </w:p>
    <w:p w14:paraId="0C0F7A94">
      <w:pPr>
        <w:spacing w:line="360" w:lineRule="auto"/>
        <w:jc w:val="center"/>
        <w:rPr>
          <w:rFonts w:ascii="宋体" w:hAnsi="宋体" w:cs="方正小标宋简体"/>
          <w:sz w:val="44"/>
          <w:szCs w:val="44"/>
        </w:rPr>
      </w:pPr>
      <w:r>
        <w:rPr>
          <w:rFonts w:ascii="宋体" w:hAnsi="宋体" w:cs="方正小标宋简体"/>
          <w:sz w:val="44"/>
          <w:szCs w:val="44"/>
        </w:rPr>
        <w:br w:type="page"/>
      </w:r>
      <w:r>
        <w:rPr>
          <w:rFonts w:hint="eastAsia" w:ascii="宋体" w:hAnsi="宋体" w:cs="方正小标宋简体"/>
          <w:sz w:val="44"/>
          <w:szCs w:val="44"/>
        </w:rPr>
        <w:t>投诉书（格式）</w:t>
      </w:r>
    </w:p>
    <w:p w14:paraId="6B7C5752">
      <w:pPr>
        <w:pStyle w:val="18"/>
        <w:snapToGrid w:val="0"/>
        <w:spacing w:line="360" w:lineRule="auto"/>
        <w:ind w:firstLine="482" w:firstLineChars="200"/>
        <w:rPr>
          <w:rFonts w:hAnsi="宋体"/>
          <w:b/>
          <w:bCs/>
          <w:sz w:val="24"/>
          <w:szCs w:val="24"/>
        </w:rPr>
      </w:pPr>
      <w:r>
        <w:rPr>
          <w:rFonts w:hint="eastAsia" w:hAnsi="宋体"/>
          <w:b/>
          <w:bCs/>
          <w:sz w:val="24"/>
          <w:szCs w:val="24"/>
        </w:rPr>
        <w:t>一、投诉相关主体基本情况：</w:t>
      </w:r>
    </w:p>
    <w:p w14:paraId="5FD2732B">
      <w:pPr>
        <w:pStyle w:val="18"/>
        <w:snapToGrid w:val="0"/>
        <w:spacing w:line="360" w:lineRule="auto"/>
        <w:ind w:firstLine="480" w:firstLineChars="200"/>
        <w:rPr>
          <w:rFonts w:hAnsi="宋体"/>
          <w:bCs/>
          <w:sz w:val="24"/>
          <w:szCs w:val="24"/>
          <w:u w:val="single"/>
        </w:rPr>
      </w:pPr>
      <w:r>
        <w:rPr>
          <w:rFonts w:hint="eastAsia" w:hAnsi="宋体"/>
          <w:bCs/>
          <w:sz w:val="24"/>
          <w:szCs w:val="24"/>
        </w:rPr>
        <w:t>供应商：</w:t>
      </w:r>
      <w:r>
        <w:rPr>
          <w:rFonts w:hint="eastAsia" w:hAnsi="宋体"/>
          <w:bCs/>
          <w:sz w:val="24"/>
          <w:szCs w:val="24"/>
          <w:u w:val="single"/>
        </w:rPr>
        <w:t xml:space="preserve">                                                                        </w:t>
      </w:r>
      <w:r>
        <w:rPr>
          <w:rFonts w:hint="eastAsia" w:hAnsi="宋体"/>
          <w:bCs/>
          <w:sz w:val="24"/>
          <w:szCs w:val="24"/>
        </w:rPr>
        <w:t xml:space="preserve">                 </w:t>
      </w:r>
    </w:p>
    <w:p w14:paraId="39F4E823">
      <w:pPr>
        <w:pStyle w:val="18"/>
        <w:snapToGrid w:val="0"/>
        <w:spacing w:line="360" w:lineRule="auto"/>
        <w:ind w:firstLine="480" w:firstLineChars="200"/>
        <w:rPr>
          <w:rFonts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40D8E8E4">
      <w:pPr>
        <w:pStyle w:val="18"/>
        <w:snapToGrid w:val="0"/>
        <w:spacing w:line="360" w:lineRule="auto"/>
        <w:ind w:firstLine="480" w:firstLineChars="200"/>
        <w:rPr>
          <w:rFonts w:hAnsi="宋体"/>
          <w:bCs/>
          <w:sz w:val="24"/>
          <w:szCs w:val="24"/>
          <w:u w:val="single"/>
        </w:rPr>
      </w:pPr>
      <w:r>
        <w:rPr>
          <w:rFonts w:hint="eastAsia" w:hAnsi="宋体"/>
          <w:bCs/>
          <w:sz w:val="24"/>
          <w:szCs w:val="24"/>
        </w:rPr>
        <w:t>法定代表人/主要负责人：</w:t>
      </w:r>
      <w:r>
        <w:rPr>
          <w:rFonts w:hint="eastAsia" w:hAnsi="宋体"/>
          <w:bCs/>
          <w:sz w:val="24"/>
          <w:szCs w:val="24"/>
          <w:u w:val="single"/>
        </w:rPr>
        <w:t xml:space="preserve">                                                         </w:t>
      </w:r>
    </w:p>
    <w:p w14:paraId="22AF0C2E">
      <w:pPr>
        <w:pStyle w:val="18"/>
        <w:snapToGrid w:val="0"/>
        <w:spacing w:line="360" w:lineRule="auto"/>
        <w:ind w:firstLine="480" w:firstLineChars="200"/>
        <w:rPr>
          <w:rFonts w:hAnsi="宋体"/>
          <w:bCs/>
          <w:sz w:val="24"/>
          <w:szCs w:val="24"/>
        </w:rPr>
      </w:pPr>
      <w:r>
        <w:rPr>
          <w:rFonts w:hAnsi="宋体"/>
          <w:bCs/>
          <w:sz w:val="24"/>
          <w:szCs w:val="24"/>
        </w:rPr>
        <w:t>联系电话</w:t>
      </w:r>
      <w:r>
        <w:rPr>
          <w:rFonts w:hint="eastAsia" w:hAnsi="宋体"/>
          <w:bCs/>
          <w:sz w:val="24"/>
          <w:szCs w:val="24"/>
        </w:rPr>
        <w:t>：</w:t>
      </w:r>
      <w:r>
        <w:rPr>
          <w:rFonts w:hint="eastAsia" w:hAnsi="宋体"/>
          <w:bCs/>
          <w:sz w:val="24"/>
          <w:szCs w:val="24"/>
          <w:u w:val="single"/>
        </w:rPr>
        <w:t xml:space="preserve">                                         </w:t>
      </w:r>
    </w:p>
    <w:p w14:paraId="70728117">
      <w:pPr>
        <w:pStyle w:val="18"/>
        <w:snapToGrid w:val="0"/>
        <w:spacing w:line="360" w:lineRule="auto"/>
        <w:ind w:firstLine="480" w:firstLineChars="200"/>
        <w:rPr>
          <w:rFonts w:hAnsi="宋体"/>
          <w:bCs/>
          <w:sz w:val="24"/>
          <w:szCs w:val="24"/>
          <w:u w:val="single"/>
        </w:rPr>
      </w:pPr>
      <w:r>
        <w:rPr>
          <w:rFonts w:hint="eastAsia" w:hAnsi="宋体"/>
          <w:bCs/>
          <w:sz w:val="24"/>
          <w:szCs w:val="24"/>
        </w:rPr>
        <w:t>授权代表：</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14:paraId="3E51E1C7">
      <w:pPr>
        <w:pStyle w:val="18"/>
        <w:snapToGrid w:val="0"/>
        <w:spacing w:line="360" w:lineRule="auto"/>
        <w:ind w:firstLine="480" w:firstLineChars="200"/>
        <w:rPr>
          <w:rFonts w:hAnsi="宋体"/>
          <w:bCs/>
          <w:sz w:val="24"/>
          <w:szCs w:val="24"/>
          <w:u w:val="single"/>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p>
    <w:p w14:paraId="237D068E">
      <w:pPr>
        <w:pStyle w:val="18"/>
        <w:snapToGrid w:val="0"/>
        <w:spacing w:line="360" w:lineRule="auto"/>
        <w:ind w:firstLine="480" w:firstLineChars="200"/>
        <w:rPr>
          <w:rFonts w:hAnsi="宋体"/>
          <w:bCs/>
          <w:sz w:val="24"/>
          <w:szCs w:val="24"/>
        </w:rPr>
      </w:pP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6F64D07A">
      <w:pPr>
        <w:pStyle w:val="18"/>
        <w:snapToGrid w:val="0"/>
        <w:spacing w:line="360" w:lineRule="auto"/>
        <w:ind w:firstLine="480" w:firstLineChars="200"/>
        <w:rPr>
          <w:rFonts w:hAnsi="宋体"/>
          <w:bCs/>
          <w:sz w:val="24"/>
          <w:szCs w:val="24"/>
        </w:rPr>
      </w:pPr>
      <w:r>
        <w:rPr>
          <w:rFonts w:hint="eastAsia" w:hAnsi="宋体"/>
          <w:bCs/>
          <w:sz w:val="24"/>
          <w:szCs w:val="24"/>
        </w:rPr>
        <w:t>被投诉人1：</w:t>
      </w:r>
    </w:p>
    <w:p w14:paraId="2735D0A8">
      <w:pPr>
        <w:pStyle w:val="18"/>
        <w:snapToGrid w:val="0"/>
        <w:spacing w:line="360" w:lineRule="auto"/>
        <w:ind w:firstLine="480" w:firstLineChars="200"/>
        <w:rPr>
          <w:rFonts w:hAnsi="宋体"/>
          <w:bCs/>
          <w:sz w:val="24"/>
          <w:szCs w:val="24"/>
          <w:u w:val="single"/>
        </w:rPr>
      </w:pPr>
      <w:r>
        <w:rPr>
          <w:rFonts w:hint="eastAsia" w:hAnsi="宋体"/>
          <w:bCs/>
          <w:sz w:val="24"/>
          <w:szCs w:val="24"/>
        </w:rPr>
        <w:t>地址：</w:t>
      </w:r>
      <w:r>
        <w:rPr>
          <w:rFonts w:hint="eastAsia" w:hAnsi="宋体"/>
          <w:bCs/>
          <w:sz w:val="24"/>
          <w:szCs w:val="24"/>
          <w:u w:val="single"/>
        </w:rPr>
        <w:t xml:space="preserve">                                                            </w:t>
      </w:r>
    </w:p>
    <w:p w14:paraId="50085734">
      <w:pPr>
        <w:pStyle w:val="18"/>
        <w:snapToGrid w:val="0"/>
        <w:spacing w:line="360" w:lineRule="auto"/>
        <w:ind w:firstLine="480" w:firstLineChars="200"/>
        <w:rPr>
          <w:rFonts w:hAnsi="宋体"/>
          <w:bCs/>
          <w:sz w:val="24"/>
          <w:szCs w:val="24"/>
        </w:rPr>
      </w:pP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46BB012A">
      <w:pPr>
        <w:pStyle w:val="18"/>
        <w:snapToGrid w:val="0"/>
        <w:spacing w:line="360" w:lineRule="auto"/>
        <w:ind w:firstLine="480" w:firstLineChars="200"/>
        <w:rPr>
          <w:rFonts w:hAnsi="宋体"/>
          <w:bCs/>
          <w:sz w:val="24"/>
          <w:szCs w:val="24"/>
          <w:u w:val="single"/>
        </w:rPr>
      </w:pPr>
      <w:r>
        <w:rPr>
          <w:rFonts w:hint="eastAsia" w:hAnsi="宋体"/>
          <w:bCs/>
          <w:sz w:val="24"/>
          <w:szCs w:val="24"/>
        </w:rPr>
        <w:t>联系人：</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14:paraId="24DA074A">
      <w:pPr>
        <w:pStyle w:val="18"/>
        <w:snapToGrid w:val="0"/>
        <w:spacing w:line="360" w:lineRule="auto"/>
        <w:ind w:firstLine="480" w:firstLineChars="200"/>
        <w:rPr>
          <w:rFonts w:hAnsi="宋体"/>
          <w:bCs/>
          <w:sz w:val="24"/>
          <w:szCs w:val="24"/>
        </w:rPr>
      </w:pPr>
      <w:r>
        <w:rPr>
          <w:rFonts w:hint="eastAsia" w:hAnsi="宋体"/>
          <w:bCs/>
          <w:sz w:val="24"/>
          <w:szCs w:val="24"/>
        </w:rPr>
        <w:t>被投诉人2：</w:t>
      </w:r>
    </w:p>
    <w:p w14:paraId="58E65E58">
      <w:pPr>
        <w:pStyle w:val="18"/>
        <w:snapToGrid w:val="0"/>
        <w:spacing w:line="360" w:lineRule="auto"/>
        <w:ind w:firstLine="480" w:firstLineChars="200"/>
        <w:rPr>
          <w:rFonts w:hAnsi="宋体"/>
          <w:bCs/>
          <w:sz w:val="24"/>
          <w:szCs w:val="24"/>
        </w:rPr>
      </w:pPr>
      <w:r>
        <w:rPr>
          <w:rFonts w:hAnsi="宋体"/>
          <w:bCs/>
          <w:sz w:val="24"/>
          <w:szCs w:val="24"/>
        </w:rPr>
        <w:t>……</w:t>
      </w:r>
    </w:p>
    <w:p w14:paraId="66EE90A1">
      <w:pPr>
        <w:pStyle w:val="18"/>
        <w:snapToGrid w:val="0"/>
        <w:spacing w:line="360" w:lineRule="auto"/>
        <w:ind w:firstLine="480" w:firstLineChars="200"/>
        <w:rPr>
          <w:rFonts w:hAnsi="宋体"/>
          <w:bCs/>
          <w:sz w:val="24"/>
          <w:szCs w:val="24"/>
          <w:u w:val="single"/>
        </w:rPr>
      </w:pPr>
      <w:r>
        <w:rPr>
          <w:rFonts w:hint="eastAsia" w:hAnsi="宋体"/>
          <w:bCs/>
          <w:sz w:val="24"/>
          <w:szCs w:val="24"/>
        </w:rPr>
        <w:t>相关供应商：</w:t>
      </w:r>
      <w:r>
        <w:rPr>
          <w:rFonts w:hint="eastAsia" w:hAnsi="宋体"/>
          <w:bCs/>
          <w:sz w:val="24"/>
          <w:szCs w:val="24"/>
          <w:u w:val="single"/>
        </w:rPr>
        <w:t xml:space="preserve">                                                                       </w:t>
      </w:r>
    </w:p>
    <w:p w14:paraId="2CD0AED5">
      <w:pPr>
        <w:pStyle w:val="18"/>
        <w:snapToGrid w:val="0"/>
        <w:spacing w:line="360" w:lineRule="auto"/>
        <w:ind w:firstLine="480" w:firstLineChars="200"/>
        <w:rPr>
          <w:rFonts w:hAnsi="宋体"/>
          <w:bCs/>
          <w:sz w:val="24"/>
          <w:szCs w:val="24"/>
          <w:u w:val="single"/>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p>
    <w:p w14:paraId="1AD90566">
      <w:pPr>
        <w:pStyle w:val="18"/>
        <w:snapToGrid w:val="0"/>
        <w:spacing w:line="360" w:lineRule="auto"/>
        <w:ind w:firstLine="480" w:firstLineChars="200"/>
        <w:rPr>
          <w:rFonts w:hAnsi="宋体"/>
          <w:bCs/>
          <w:sz w:val="24"/>
          <w:szCs w:val="24"/>
        </w:rPr>
      </w:pPr>
      <w:r>
        <w:rPr>
          <w:rFonts w:hint="eastAsia" w:hAnsi="宋体"/>
          <w:bCs/>
          <w:sz w:val="24"/>
          <w:szCs w:val="24"/>
        </w:rPr>
        <w:t>联系人：</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r>
        <w:rPr>
          <w:rFonts w:hint="eastAsia" w:hAnsi="宋体"/>
          <w:bCs/>
          <w:sz w:val="24"/>
          <w:szCs w:val="24"/>
        </w:rPr>
        <w:t xml:space="preserve">                </w:t>
      </w:r>
    </w:p>
    <w:p w14:paraId="6BBF9998">
      <w:pPr>
        <w:pStyle w:val="18"/>
        <w:snapToGrid w:val="0"/>
        <w:spacing w:line="360" w:lineRule="auto"/>
        <w:ind w:firstLine="482" w:firstLineChars="200"/>
        <w:rPr>
          <w:rFonts w:hAnsi="宋体"/>
          <w:b/>
          <w:bCs/>
          <w:sz w:val="24"/>
          <w:szCs w:val="24"/>
        </w:rPr>
      </w:pPr>
      <w:r>
        <w:rPr>
          <w:rFonts w:hint="eastAsia" w:hAnsi="宋体"/>
          <w:b/>
          <w:bCs/>
          <w:sz w:val="24"/>
          <w:szCs w:val="24"/>
        </w:rPr>
        <w:t>二、投诉项目基本情况：</w:t>
      </w:r>
    </w:p>
    <w:p w14:paraId="6F1C6EBC">
      <w:pPr>
        <w:pStyle w:val="18"/>
        <w:spacing w:line="360" w:lineRule="auto"/>
        <w:ind w:left="25" w:leftChars="12" w:firstLine="472" w:firstLineChars="197"/>
        <w:rPr>
          <w:rFonts w:hAnsi="宋体"/>
          <w:sz w:val="24"/>
          <w:szCs w:val="24"/>
        </w:rPr>
      </w:pPr>
      <w:r>
        <w:rPr>
          <w:rFonts w:hint="eastAsia" w:hAnsi="宋体"/>
          <w:bCs/>
          <w:sz w:val="24"/>
          <w:szCs w:val="24"/>
        </w:rPr>
        <w:t>采购</w:t>
      </w:r>
      <w:r>
        <w:rPr>
          <w:rFonts w:hint="eastAsia" w:hAnsi="宋体"/>
          <w:sz w:val="24"/>
          <w:szCs w:val="24"/>
        </w:rPr>
        <w:t>项目的名称：</w:t>
      </w:r>
      <w:r>
        <w:rPr>
          <w:rFonts w:hint="eastAsia" w:hAnsi="宋体"/>
          <w:bCs/>
          <w:sz w:val="24"/>
          <w:szCs w:val="24"/>
          <w:u w:val="single"/>
        </w:rPr>
        <w:t xml:space="preserve">                                                                   </w:t>
      </w:r>
    </w:p>
    <w:p w14:paraId="5C8E7645">
      <w:pPr>
        <w:pStyle w:val="18"/>
        <w:spacing w:line="360" w:lineRule="auto"/>
        <w:ind w:left="25" w:leftChars="12" w:firstLine="472" w:firstLineChars="197"/>
        <w:rPr>
          <w:rFonts w:hAnsi="宋体"/>
          <w:sz w:val="24"/>
          <w:szCs w:val="24"/>
        </w:rPr>
      </w:pPr>
      <w:r>
        <w:rPr>
          <w:rFonts w:hint="eastAsia" w:hAnsi="宋体"/>
          <w:bCs/>
          <w:sz w:val="24"/>
          <w:szCs w:val="24"/>
        </w:rPr>
        <w:t>采购</w:t>
      </w:r>
      <w:r>
        <w:rPr>
          <w:rFonts w:hint="eastAsia" w:hAnsi="宋体"/>
          <w:sz w:val="24"/>
          <w:szCs w:val="24"/>
        </w:rPr>
        <w:t>项目的编号：</w:t>
      </w:r>
      <w:r>
        <w:rPr>
          <w:rFonts w:hint="eastAsia" w:hAnsi="宋体"/>
          <w:bCs/>
          <w:sz w:val="24"/>
          <w:szCs w:val="24"/>
          <w:u w:val="single"/>
        </w:rPr>
        <w:t xml:space="preserve">                                          </w:t>
      </w:r>
    </w:p>
    <w:p w14:paraId="2111ABD3">
      <w:pPr>
        <w:pStyle w:val="18"/>
        <w:spacing w:line="360" w:lineRule="auto"/>
        <w:ind w:left="25" w:leftChars="12" w:firstLine="472" w:firstLineChars="197"/>
        <w:rPr>
          <w:rFonts w:hAnsi="宋体"/>
          <w:bCs/>
          <w:sz w:val="24"/>
          <w:szCs w:val="24"/>
          <w:u w:val="single"/>
        </w:rPr>
      </w:pPr>
      <w:r>
        <w:rPr>
          <w:rFonts w:hint="eastAsia" w:hAnsi="宋体"/>
          <w:sz w:val="24"/>
          <w:szCs w:val="24"/>
        </w:rPr>
        <w:t>采购人名称：</w:t>
      </w:r>
      <w:r>
        <w:rPr>
          <w:rFonts w:hint="eastAsia" w:hAnsi="宋体"/>
          <w:bCs/>
          <w:sz w:val="24"/>
          <w:szCs w:val="24"/>
          <w:u w:val="single"/>
        </w:rPr>
        <w:t xml:space="preserve">                                                                        </w:t>
      </w:r>
    </w:p>
    <w:p w14:paraId="7E698F24">
      <w:pPr>
        <w:pStyle w:val="18"/>
        <w:spacing w:line="360" w:lineRule="auto"/>
        <w:ind w:left="25" w:leftChars="12" w:firstLine="472" w:firstLineChars="197"/>
        <w:rPr>
          <w:rFonts w:hAnsi="宋体"/>
          <w:bCs/>
          <w:sz w:val="24"/>
          <w:szCs w:val="24"/>
          <w:u w:val="single"/>
        </w:rPr>
      </w:pPr>
      <w:r>
        <w:rPr>
          <w:rFonts w:hint="eastAsia" w:hAnsi="宋体"/>
          <w:sz w:val="24"/>
          <w:szCs w:val="24"/>
        </w:rPr>
        <w:t>代理机构名称：</w:t>
      </w:r>
      <w:r>
        <w:rPr>
          <w:rFonts w:hint="eastAsia" w:hAnsi="宋体"/>
          <w:bCs/>
          <w:sz w:val="24"/>
          <w:szCs w:val="24"/>
          <w:u w:val="single"/>
        </w:rPr>
        <w:t xml:space="preserve">                                                                      </w:t>
      </w:r>
    </w:p>
    <w:p w14:paraId="5BC239BB">
      <w:pPr>
        <w:pStyle w:val="18"/>
        <w:spacing w:line="360" w:lineRule="auto"/>
        <w:ind w:left="25" w:leftChars="12" w:firstLine="472" w:firstLineChars="197"/>
        <w:rPr>
          <w:rFonts w:hAnsi="宋体"/>
          <w:bCs/>
          <w:sz w:val="24"/>
          <w:szCs w:val="24"/>
          <w:u w:val="single"/>
        </w:rPr>
      </w:pPr>
      <w:r>
        <w:rPr>
          <w:rFonts w:hint="eastAsia" w:hAnsi="宋体"/>
          <w:bCs/>
          <w:sz w:val="24"/>
          <w:szCs w:val="24"/>
        </w:rPr>
        <w:t>采购文件公告：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14:paraId="26BCB860">
      <w:pPr>
        <w:pStyle w:val="18"/>
        <w:spacing w:line="360" w:lineRule="auto"/>
        <w:ind w:left="25" w:leftChars="12" w:firstLine="472" w:firstLineChars="197"/>
        <w:rPr>
          <w:rFonts w:hAnsi="宋体"/>
          <w:b/>
          <w:sz w:val="24"/>
          <w:szCs w:val="24"/>
        </w:rPr>
      </w:pPr>
      <w:r>
        <w:rPr>
          <w:rFonts w:hint="eastAsia" w:hAnsi="宋体"/>
          <w:bCs/>
          <w:sz w:val="24"/>
          <w:szCs w:val="24"/>
        </w:rPr>
        <w:t>采购结果公告：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14:paraId="01469BDA">
      <w:pPr>
        <w:pStyle w:val="18"/>
        <w:spacing w:line="360" w:lineRule="auto"/>
        <w:ind w:left="25" w:leftChars="12" w:firstLine="472" w:firstLineChars="196"/>
        <w:rPr>
          <w:rFonts w:hAnsi="宋体"/>
          <w:b/>
          <w:sz w:val="24"/>
          <w:szCs w:val="24"/>
        </w:rPr>
      </w:pPr>
      <w:r>
        <w:rPr>
          <w:rFonts w:hint="eastAsia" w:hAnsi="宋体"/>
          <w:b/>
          <w:sz w:val="24"/>
          <w:szCs w:val="24"/>
        </w:rPr>
        <w:t>三、质疑基本情况</w:t>
      </w:r>
    </w:p>
    <w:p w14:paraId="3D729CA8">
      <w:pPr>
        <w:pStyle w:val="18"/>
        <w:spacing w:line="360" w:lineRule="auto"/>
        <w:ind w:left="25" w:leftChars="12" w:firstLine="480" w:firstLineChars="200"/>
        <w:rPr>
          <w:rFonts w:hAnsi="宋体"/>
          <w:sz w:val="24"/>
          <w:szCs w:val="24"/>
        </w:rPr>
      </w:pPr>
      <w:r>
        <w:rPr>
          <w:rFonts w:hint="eastAsia" w:hAnsi="宋体"/>
          <w:sz w:val="24"/>
          <w:szCs w:val="24"/>
        </w:rPr>
        <w:t>投诉人于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日，向</w:t>
      </w:r>
      <w:r>
        <w:rPr>
          <w:rFonts w:hint="eastAsia" w:hAnsi="宋体"/>
          <w:sz w:val="24"/>
          <w:szCs w:val="24"/>
          <w:u w:val="single"/>
        </w:rPr>
        <w:t xml:space="preserve">                                </w:t>
      </w:r>
      <w:r>
        <w:rPr>
          <w:rFonts w:hint="eastAsia" w:hAnsi="宋体"/>
          <w:sz w:val="24"/>
          <w:szCs w:val="24"/>
        </w:rPr>
        <w:t>提出质疑，质疑事项为：</w:t>
      </w:r>
    </w:p>
    <w:p w14:paraId="704A83AD">
      <w:pPr>
        <w:pStyle w:val="18"/>
        <w:spacing w:line="360" w:lineRule="auto"/>
        <w:ind w:firstLine="241"/>
        <w:rPr>
          <w:rFonts w:hAnsi="宋体"/>
          <w:bCs/>
          <w:sz w:val="24"/>
          <w:szCs w:val="24"/>
          <w:u w:val="single"/>
        </w:rPr>
      </w:pPr>
      <w:r>
        <w:rPr>
          <w:rFonts w:hint="eastAsia" w:hAnsi="宋体"/>
          <w:sz w:val="24"/>
          <w:szCs w:val="24"/>
        </w:rPr>
        <w:t xml:space="preserve">    </w:t>
      </w:r>
      <w:r>
        <w:rPr>
          <w:rFonts w:hint="eastAsia" w:hAnsi="宋体"/>
          <w:bCs/>
          <w:sz w:val="24"/>
          <w:szCs w:val="24"/>
          <w:u w:val="single"/>
        </w:rPr>
        <w:t xml:space="preserve">                                                                                      </w:t>
      </w:r>
    </w:p>
    <w:p w14:paraId="4BF7432D">
      <w:pPr>
        <w:pStyle w:val="18"/>
        <w:spacing w:line="360" w:lineRule="auto"/>
        <w:ind w:firstLine="241"/>
        <w:rPr>
          <w:rFonts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14:paraId="4410BEE7">
      <w:pPr>
        <w:pStyle w:val="18"/>
        <w:spacing w:line="360" w:lineRule="auto"/>
        <w:ind w:firstLine="241"/>
        <w:rPr>
          <w:rFonts w:hAnsi="宋体"/>
          <w:sz w:val="24"/>
          <w:szCs w:val="24"/>
        </w:rPr>
      </w:pPr>
      <w:r>
        <w:rPr>
          <w:rFonts w:hint="eastAsia" w:hAnsi="宋体"/>
          <w:bCs/>
          <w:sz w:val="24"/>
          <w:szCs w:val="24"/>
        </w:rPr>
        <w:t xml:space="preserve">  </w:t>
      </w:r>
      <w:r>
        <w:rPr>
          <w:rFonts w:hint="eastAsia" w:hAnsi="宋体"/>
          <w:bCs/>
          <w:sz w:val="24"/>
          <w:szCs w:val="24"/>
          <w:u w:val="single"/>
        </w:rPr>
        <w:t>采购人/代理机构</w:t>
      </w:r>
      <w:r>
        <w:rPr>
          <w:rFonts w:hint="eastAsia" w:hAnsi="宋体"/>
          <w:bCs/>
          <w:sz w:val="24"/>
          <w:szCs w:val="24"/>
        </w:rPr>
        <w:t>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w:t>
      </w:r>
      <w:r>
        <w:rPr>
          <w:rFonts w:hint="eastAsia" w:hAnsi="宋体"/>
          <w:bCs/>
          <w:sz w:val="24"/>
          <w:szCs w:val="24"/>
        </w:rPr>
        <w:t xml:space="preserve">就质疑事项作出了答复/没有在法定期限内作出答复。                                                                                             </w:t>
      </w:r>
    </w:p>
    <w:p w14:paraId="438CC6E1">
      <w:pPr>
        <w:pStyle w:val="18"/>
        <w:spacing w:line="360" w:lineRule="auto"/>
        <w:ind w:left="25" w:leftChars="12" w:firstLine="472" w:firstLineChars="196"/>
        <w:rPr>
          <w:rFonts w:hAnsi="宋体"/>
          <w:b/>
          <w:sz w:val="24"/>
          <w:szCs w:val="24"/>
        </w:rPr>
      </w:pPr>
      <w:r>
        <w:rPr>
          <w:rFonts w:hint="eastAsia" w:hAnsi="宋体"/>
          <w:b/>
          <w:sz w:val="24"/>
          <w:szCs w:val="24"/>
        </w:rPr>
        <w:t>四、投诉事项具体内容</w:t>
      </w:r>
    </w:p>
    <w:p w14:paraId="577318FA">
      <w:pPr>
        <w:pStyle w:val="18"/>
        <w:spacing w:line="360" w:lineRule="auto"/>
        <w:ind w:left="25" w:leftChars="12" w:firstLine="472" w:firstLineChars="197"/>
        <w:rPr>
          <w:rFonts w:hAnsi="宋体"/>
          <w:bCs/>
          <w:sz w:val="24"/>
          <w:szCs w:val="24"/>
          <w:u w:val="single"/>
        </w:rPr>
      </w:pPr>
      <w:r>
        <w:rPr>
          <w:rFonts w:hint="eastAsia" w:hAnsi="宋体"/>
          <w:sz w:val="24"/>
          <w:szCs w:val="24"/>
        </w:rPr>
        <w:t>投诉事项1：</w:t>
      </w:r>
      <w:r>
        <w:rPr>
          <w:rFonts w:hint="eastAsia" w:hAnsi="宋体"/>
          <w:bCs/>
          <w:sz w:val="24"/>
          <w:szCs w:val="24"/>
          <w:u w:val="single"/>
        </w:rPr>
        <w:t xml:space="preserve">                                                                           </w:t>
      </w:r>
    </w:p>
    <w:p w14:paraId="23FB75EF">
      <w:pPr>
        <w:pStyle w:val="18"/>
        <w:spacing w:line="360" w:lineRule="auto"/>
        <w:ind w:firstLine="480" w:firstLineChars="200"/>
        <w:rPr>
          <w:rFonts w:hAnsi="宋体"/>
          <w:bCs/>
          <w:sz w:val="24"/>
          <w:szCs w:val="24"/>
          <w:u w:val="single"/>
        </w:rPr>
      </w:pPr>
      <w:r>
        <w:rPr>
          <w:rFonts w:hint="eastAsia" w:hAnsi="宋体"/>
          <w:bCs/>
          <w:sz w:val="24"/>
          <w:szCs w:val="24"/>
        </w:rPr>
        <w:t>事实依据：</w:t>
      </w:r>
      <w:r>
        <w:rPr>
          <w:rFonts w:hint="eastAsia" w:hAnsi="宋体"/>
          <w:sz w:val="24"/>
          <w:szCs w:val="24"/>
        </w:rPr>
        <w:t xml:space="preserve"> </w:t>
      </w:r>
      <w:r>
        <w:rPr>
          <w:rFonts w:hint="eastAsia" w:hAnsi="宋体"/>
          <w:bCs/>
          <w:sz w:val="24"/>
          <w:szCs w:val="24"/>
          <w:u w:val="single"/>
        </w:rPr>
        <w:t xml:space="preserve">                                                                                      </w:t>
      </w:r>
    </w:p>
    <w:p w14:paraId="344EE302">
      <w:pPr>
        <w:pStyle w:val="18"/>
        <w:spacing w:line="360" w:lineRule="auto"/>
        <w:ind w:left="25" w:leftChars="12" w:firstLine="472" w:firstLineChars="197"/>
        <w:rPr>
          <w:rFonts w:hAnsi="宋体"/>
          <w:sz w:val="24"/>
          <w:szCs w:val="24"/>
        </w:rPr>
      </w:pPr>
      <w:r>
        <w:rPr>
          <w:rFonts w:hint="eastAsia" w:hAnsi="宋体"/>
          <w:bCs/>
          <w:sz w:val="24"/>
          <w:szCs w:val="24"/>
          <w:u w:val="single"/>
        </w:rPr>
        <w:t xml:space="preserve">                                                                                        </w:t>
      </w:r>
    </w:p>
    <w:p w14:paraId="07D5DA57">
      <w:pPr>
        <w:pStyle w:val="18"/>
        <w:spacing w:line="360" w:lineRule="auto"/>
        <w:ind w:firstLine="480" w:firstLineChars="200"/>
        <w:rPr>
          <w:rFonts w:hAnsi="宋体"/>
          <w:bCs/>
          <w:sz w:val="24"/>
          <w:szCs w:val="24"/>
          <w:u w:val="single"/>
        </w:rPr>
      </w:pPr>
      <w:r>
        <w:rPr>
          <w:rFonts w:hint="eastAsia" w:hAnsi="宋体"/>
          <w:bCs/>
          <w:sz w:val="24"/>
          <w:szCs w:val="24"/>
        </w:rPr>
        <w:t>法律依据：</w:t>
      </w:r>
      <w:r>
        <w:rPr>
          <w:rFonts w:hint="eastAsia" w:hAnsi="宋体"/>
          <w:sz w:val="24"/>
          <w:szCs w:val="24"/>
        </w:rPr>
        <w:t xml:space="preserve"> </w:t>
      </w:r>
      <w:r>
        <w:rPr>
          <w:rFonts w:hint="eastAsia" w:hAnsi="宋体"/>
          <w:bCs/>
          <w:sz w:val="24"/>
          <w:szCs w:val="24"/>
          <w:u w:val="single"/>
        </w:rPr>
        <w:t xml:space="preserve">                                                                                      </w:t>
      </w:r>
    </w:p>
    <w:p w14:paraId="501DE08B">
      <w:pPr>
        <w:pStyle w:val="18"/>
        <w:spacing w:line="360" w:lineRule="auto"/>
        <w:ind w:left="25" w:leftChars="12" w:firstLine="352" w:firstLineChars="147"/>
        <w:rPr>
          <w:rFonts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14:paraId="2C2A828E">
      <w:pPr>
        <w:pStyle w:val="18"/>
        <w:spacing w:line="360" w:lineRule="auto"/>
        <w:ind w:left="25" w:leftChars="12" w:firstLine="472" w:firstLineChars="197"/>
        <w:rPr>
          <w:rFonts w:hAnsi="宋体"/>
          <w:bCs/>
          <w:sz w:val="24"/>
          <w:szCs w:val="24"/>
        </w:rPr>
      </w:pPr>
      <w:r>
        <w:rPr>
          <w:rFonts w:hint="eastAsia" w:hAnsi="宋体"/>
          <w:sz w:val="24"/>
          <w:szCs w:val="24"/>
        </w:rPr>
        <w:t xml:space="preserve">投诉事项2  </w:t>
      </w:r>
      <w:r>
        <w:rPr>
          <w:rFonts w:hint="eastAsia" w:hAnsi="宋体"/>
          <w:bCs/>
          <w:sz w:val="24"/>
          <w:szCs w:val="24"/>
        </w:rPr>
        <w:t xml:space="preserve">   </w:t>
      </w:r>
    </w:p>
    <w:p w14:paraId="54EE54E9">
      <w:pPr>
        <w:pStyle w:val="18"/>
        <w:spacing w:line="360" w:lineRule="auto"/>
        <w:ind w:left="25" w:leftChars="12" w:firstLine="472" w:firstLineChars="197"/>
        <w:rPr>
          <w:rFonts w:hAnsi="宋体"/>
          <w:bCs/>
          <w:sz w:val="24"/>
          <w:szCs w:val="24"/>
        </w:rPr>
      </w:pPr>
      <w:r>
        <w:rPr>
          <w:rFonts w:hAnsi="宋体"/>
          <w:bCs/>
          <w:sz w:val="24"/>
          <w:szCs w:val="24"/>
        </w:rPr>
        <w:t>……</w:t>
      </w:r>
    </w:p>
    <w:p w14:paraId="124F480A">
      <w:pPr>
        <w:pStyle w:val="18"/>
        <w:spacing w:line="360" w:lineRule="auto"/>
        <w:ind w:left="25" w:leftChars="12" w:firstLine="472" w:firstLineChars="196"/>
        <w:rPr>
          <w:rFonts w:hAnsi="宋体"/>
          <w:b/>
          <w:sz w:val="24"/>
          <w:szCs w:val="24"/>
        </w:rPr>
      </w:pPr>
      <w:r>
        <w:rPr>
          <w:rFonts w:hint="eastAsia" w:hAnsi="宋体"/>
          <w:b/>
          <w:sz w:val="24"/>
          <w:szCs w:val="24"/>
        </w:rPr>
        <w:t>五、与投诉事项相关的投诉请求：</w:t>
      </w:r>
    </w:p>
    <w:p w14:paraId="3465847A">
      <w:pPr>
        <w:pStyle w:val="18"/>
        <w:spacing w:line="360" w:lineRule="auto"/>
        <w:ind w:left="25" w:leftChars="12" w:firstLine="472" w:firstLineChars="197"/>
        <w:rPr>
          <w:rFonts w:hAnsi="宋体"/>
          <w:sz w:val="24"/>
          <w:szCs w:val="24"/>
        </w:rPr>
      </w:pPr>
      <w:r>
        <w:rPr>
          <w:rFonts w:hint="eastAsia" w:hAnsi="宋体"/>
          <w:sz w:val="24"/>
          <w:szCs w:val="24"/>
        </w:rPr>
        <w:t>请求：</w:t>
      </w:r>
      <w:r>
        <w:rPr>
          <w:rFonts w:hint="eastAsia" w:hAnsi="宋体"/>
          <w:bCs/>
          <w:sz w:val="24"/>
          <w:szCs w:val="24"/>
          <w:u w:val="single"/>
        </w:rPr>
        <w:t xml:space="preserve">                                                                                 </w:t>
      </w:r>
    </w:p>
    <w:p w14:paraId="34AA5A8B">
      <w:pPr>
        <w:pStyle w:val="18"/>
        <w:spacing w:line="360" w:lineRule="auto"/>
        <w:ind w:left="25" w:leftChars="12" w:firstLine="352" w:firstLineChars="147"/>
        <w:rPr>
          <w:rFonts w:hAnsi="宋体"/>
          <w:sz w:val="24"/>
          <w:szCs w:val="24"/>
        </w:rPr>
      </w:pPr>
    </w:p>
    <w:p w14:paraId="58DCBA0D">
      <w:pPr>
        <w:pStyle w:val="18"/>
        <w:spacing w:line="360" w:lineRule="auto"/>
        <w:ind w:left="25" w:leftChars="12" w:firstLine="472" w:firstLineChars="197"/>
        <w:rPr>
          <w:rFonts w:hAnsi="宋体"/>
          <w:sz w:val="24"/>
          <w:szCs w:val="24"/>
        </w:rPr>
      </w:pPr>
      <w:r>
        <w:rPr>
          <w:rFonts w:hint="eastAsia" w:hAnsi="宋体"/>
          <w:sz w:val="24"/>
          <w:szCs w:val="24"/>
        </w:rPr>
        <w:t>签字（签章）：                                       公章：</w:t>
      </w:r>
    </w:p>
    <w:p w14:paraId="04D38B53">
      <w:pPr>
        <w:pStyle w:val="18"/>
        <w:spacing w:line="360" w:lineRule="auto"/>
        <w:ind w:left="25" w:leftChars="12" w:firstLine="352" w:firstLineChars="147"/>
        <w:rPr>
          <w:rFonts w:hAnsi="宋体"/>
          <w:sz w:val="24"/>
          <w:szCs w:val="24"/>
        </w:rPr>
      </w:pPr>
    </w:p>
    <w:p w14:paraId="410984DF">
      <w:pPr>
        <w:pStyle w:val="18"/>
        <w:spacing w:line="360" w:lineRule="auto"/>
        <w:ind w:left="25" w:leftChars="12" w:firstLine="472" w:firstLineChars="197"/>
        <w:rPr>
          <w:rFonts w:hAnsi="宋体"/>
          <w:sz w:val="24"/>
          <w:szCs w:val="24"/>
        </w:rPr>
      </w:pPr>
      <w:r>
        <w:rPr>
          <w:rFonts w:hint="eastAsia" w:hAnsi="宋体"/>
          <w:sz w:val="24"/>
          <w:szCs w:val="24"/>
        </w:rPr>
        <w:t>日期：</w:t>
      </w:r>
    </w:p>
    <w:p w14:paraId="1384A73F">
      <w:pPr>
        <w:pStyle w:val="18"/>
        <w:spacing w:line="360" w:lineRule="auto"/>
        <w:ind w:left="25" w:leftChars="12" w:firstLine="472" w:firstLineChars="197"/>
        <w:rPr>
          <w:rFonts w:hAnsi="宋体"/>
          <w:sz w:val="24"/>
          <w:szCs w:val="24"/>
        </w:rPr>
      </w:pPr>
      <w:r>
        <w:rPr>
          <w:rFonts w:hint="eastAsia" w:hAnsi="宋体"/>
          <w:bCs/>
          <w:sz w:val="24"/>
          <w:szCs w:val="24"/>
        </w:rPr>
        <w:t xml:space="preserve">                                                                                 </w:t>
      </w:r>
    </w:p>
    <w:p w14:paraId="29926A44">
      <w:pPr>
        <w:pStyle w:val="18"/>
        <w:snapToGrid w:val="0"/>
        <w:spacing w:line="440" w:lineRule="exact"/>
        <w:rPr>
          <w:rFonts w:hAnsi="宋体"/>
          <w:b/>
          <w:sz w:val="24"/>
          <w:szCs w:val="24"/>
        </w:rPr>
      </w:pPr>
      <w:r>
        <w:rPr>
          <w:rFonts w:hint="eastAsia" w:hAnsi="宋体"/>
          <w:b/>
          <w:sz w:val="24"/>
          <w:szCs w:val="24"/>
        </w:rPr>
        <w:t>说明：</w:t>
      </w:r>
    </w:p>
    <w:p w14:paraId="685D4B05">
      <w:pPr>
        <w:pStyle w:val="18"/>
        <w:spacing w:line="440" w:lineRule="exact"/>
        <w:ind w:left="25" w:leftChars="12" w:firstLine="354" w:firstLineChars="147"/>
        <w:rPr>
          <w:rFonts w:hAnsi="宋体"/>
          <w:b/>
          <w:bCs/>
          <w:sz w:val="24"/>
          <w:szCs w:val="24"/>
        </w:rPr>
      </w:pPr>
      <w:r>
        <w:rPr>
          <w:rFonts w:hint="eastAsia" w:hAnsi="宋体"/>
          <w:b/>
          <w:sz w:val="24"/>
          <w:szCs w:val="24"/>
        </w:rPr>
        <w:t>1.投诉人提起投诉时，应当提交投诉书和必要的证明材料，并按照被投诉人和与投诉事项有关的供应商数量提供投诉书副本</w:t>
      </w:r>
      <w:r>
        <w:rPr>
          <w:rFonts w:hint="eastAsia" w:hAnsi="宋体"/>
          <w:b/>
          <w:bCs/>
          <w:sz w:val="24"/>
          <w:szCs w:val="24"/>
        </w:rPr>
        <w:t>。</w:t>
      </w:r>
    </w:p>
    <w:p w14:paraId="2889817E">
      <w:pPr>
        <w:pStyle w:val="18"/>
        <w:spacing w:line="440" w:lineRule="exact"/>
        <w:ind w:left="25" w:leftChars="12" w:firstLine="354" w:firstLineChars="147"/>
        <w:rPr>
          <w:rFonts w:hAnsi="宋体"/>
          <w:b/>
          <w:sz w:val="24"/>
          <w:szCs w:val="24"/>
        </w:rPr>
      </w:pPr>
      <w:r>
        <w:rPr>
          <w:rFonts w:hint="eastAsia" w:hAnsi="宋体"/>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BEE8756">
      <w:pPr>
        <w:pStyle w:val="18"/>
        <w:spacing w:line="440" w:lineRule="exact"/>
        <w:ind w:left="25" w:leftChars="12" w:firstLine="354" w:firstLineChars="147"/>
        <w:rPr>
          <w:rFonts w:hAnsi="宋体"/>
          <w:b/>
          <w:sz w:val="24"/>
          <w:szCs w:val="24"/>
        </w:rPr>
      </w:pPr>
      <w:r>
        <w:rPr>
          <w:rFonts w:hint="eastAsia" w:hAnsi="宋体"/>
          <w:b/>
          <w:sz w:val="24"/>
          <w:szCs w:val="24"/>
        </w:rPr>
        <w:t>3.投诉书应简要列明质疑事项，质疑函、质疑答复等作为附件材料提供。</w:t>
      </w:r>
    </w:p>
    <w:p w14:paraId="2B6F55B8">
      <w:pPr>
        <w:pStyle w:val="18"/>
        <w:spacing w:line="440" w:lineRule="exact"/>
        <w:ind w:left="25" w:leftChars="12" w:firstLine="354" w:firstLineChars="147"/>
        <w:rPr>
          <w:rFonts w:hAnsi="宋体"/>
          <w:b/>
          <w:sz w:val="24"/>
          <w:szCs w:val="24"/>
        </w:rPr>
      </w:pPr>
      <w:r>
        <w:rPr>
          <w:rFonts w:hint="eastAsia" w:hAnsi="宋体"/>
          <w:b/>
          <w:sz w:val="24"/>
          <w:szCs w:val="24"/>
        </w:rPr>
        <w:t>4.投诉书的投诉事项应具体、明确，并有必要的事实依据和法律依据。</w:t>
      </w:r>
    </w:p>
    <w:p w14:paraId="6D92E3A3">
      <w:pPr>
        <w:pStyle w:val="18"/>
        <w:spacing w:line="440" w:lineRule="exact"/>
        <w:ind w:left="25" w:leftChars="12" w:firstLine="354" w:firstLineChars="147"/>
        <w:rPr>
          <w:rFonts w:hAnsi="宋体"/>
          <w:b/>
          <w:sz w:val="24"/>
          <w:szCs w:val="24"/>
        </w:rPr>
      </w:pPr>
      <w:r>
        <w:rPr>
          <w:rFonts w:hint="eastAsia" w:hAnsi="宋体"/>
          <w:b/>
          <w:sz w:val="24"/>
          <w:szCs w:val="24"/>
        </w:rPr>
        <w:t>5.投诉书的投诉请求应与投诉事项相关。</w:t>
      </w:r>
    </w:p>
    <w:p w14:paraId="23B96024">
      <w:pPr>
        <w:pStyle w:val="18"/>
        <w:spacing w:line="440" w:lineRule="exact"/>
        <w:ind w:left="25" w:leftChars="12" w:firstLine="354" w:firstLineChars="147"/>
        <w:rPr>
          <w:rFonts w:hAnsi="宋体"/>
          <w:b/>
        </w:rPr>
      </w:pPr>
      <w:r>
        <w:rPr>
          <w:rFonts w:hint="eastAsia" w:hAnsi="宋体"/>
          <w:b/>
          <w:sz w:val="24"/>
          <w:szCs w:val="24"/>
        </w:rPr>
        <w:t>6.投诉人为法人或者其他组织的，投诉书应由法定代表人、主要负责人，或者其授权代表签字或者盖章，并加盖公章。</w:t>
      </w:r>
    </w:p>
    <w:p w14:paraId="1C4E508A">
      <w:pPr>
        <w:pStyle w:val="3"/>
        <w:jc w:val="center"/>
        <w:rPr>
          <w:rFonts w:ascii="宋体" w:hAnsi="宋体"/>
        </w:rPr>
      </w:pPr>
      <w:bookmarkStart w:id="102" w:name="_Toc74322610"/>
    </w:p>
    <w:p w14:paraId="75119A1E">
      <w:pPr>
        <w:pStyle w:val="3"/>
        <w:jc w:val="center"/>
        <w:rPr>
          <w:rFonts w:ascii="宋体" w:hAnsi="宋体"/>
        </w:rPr>
      </w:pPr>
    </w:p>
    <w:p w14:paraId="1EFBBCD7">
      <w:pPr>
        <w:pStyle w:val="3"/>
        <w:jc w:val="center"/>
        <w:rPr>
          <w:rFonts w:ascii="宋体" w:hAnsi="宋体"/>
        </w:rPr>
      </w:pPr>
    </w:p>
    <w:p w14:paraId="33A1743A">
      <w:pPr>
        <w:pStyle w:val="3"/>
        <w:jc w:val="center"/>
        <w:rPr>
          <w:rFonts w:ascii="宋体" w:hAnsi="宋体"/>
        </w:rPr>
      </w:pPr>
    </w:p>
    <w:p w14:paraId="233E7081">
      <w:pPr>
        <w:pStyle w:val="3"/>
        <w:jc w:val="center"/>
        <w:rPr>
          <w:rFonts w:ascii="宋体" w:hAnsi="宋体"/>
        </w:rPr>
      </w:pPr>
      <w:r>
        <w:rPr>
          <w:rFonts w:hint="eastAsia" w:ascii="宋体" w:hAnsi="宋体"/>
        </w:rPr>
        <w:t>第六章 合同文本</w:t>
      </w:r>
      <w:bookmarkEnd w:id="102"/>
    </w:p>
    <w:p w14:paraId="2681F0BF">
      <w:pPr>
        <w:snapToGrid w:val="0"/>
        <w:spacing w:line="400" w:lineRule="exact"/>
        <w:jc w:val="center"/>
        <w:rPr>
          <w:rFonts w:ascii="宋体" w:hAnsi="宋体"/>
          <w:b/>
          <w:bCs/>
          <w:sz w:val="32"/>
          <w:szCs w:val="32"/>
        </w:rPr>
      </w:pPr>
    </w:p>
    <w:p w14:paraId="0CEA36C1">
      <w:pPr>
        <w:snapToGrid w:val="0"/>
        <w:spacing w:line="400" w:lineRule="exact"/>
        <w:jc w:val="center"/>
        <w:rPr>
          <w:rFonts w:ascii="宋体" w:hAnsi="宋体"/>
          <w:b/>
          <w:bCs/>
          <w:sz w:val="32"/>
          <w:szCs w:val="32"/>
        </w:rPr>
      </w:pPr>
    </w:p>
    <w:p w14:paraId="7DE249CF">
      <w:pPr>
        <w:snapToGrid w:val="0"/>
        <w:spacing w:line="400" w:lineRule="exact"/>
        <w:jc w:val="center"/>
        <w:rPr>
          <w:rFonts w:ascii="宋体" w:hAnsi="宋体"/>
          <w:b/>
          <w:bCs/>
          <w:sz w:val="32"/>
          <w:szCs w:val="32"/>
        </w:rPr>
      </w:pPr>
    </w:p>
    <w:p w14:paraId="244E25BE">
      <w:pPr>
        <w:snapToGrid w:val="0"/>
        <w:spacing w:line="400" w:lineRule="exact"/>
        <w:jc w:val="center"/>
        <w:rPr>
          <w:rFonts w:ascii="宋体" w:hAnsi="宋体"/>
          <w:b/>
          <w:bCs/>
          <w:sz w:val="32"/>
          <w:szCs w:val="32"/>
        </w:rPr>
      </w:pPr>
    </w:p>
    <w:p w14:paraId="02D564AF">
      <w:pPr>
        <w:snapToGrid w:val="0"/>
        <w:spacing w:line="400" w:lineRule="exact"/>
        <w:jc w:val="center"/>
        <w:rPr>
          <w:rFonts w:ascii="宋体" w:hAnsi="宋体"/>
          <w:b/>
          <w:bCs/>
          <w:sz w:val="32"/>
          <w:szCs w:val="32"/>
        </w:rPr>
      </w:pPr>
    </w:p>
    <w:p w14:paraId="40DF8B4F">
      <w:pPr>
        <w:snapToGrid w:val="0"/>
        <w:spacing w:line="400" w:lineRule="exact"/>
        <w:jc w:val="center"/>
        <w:rPr>
          <w:rFonts w:ascii="宋体" w:hAnsi="宋体"/>
          <w:b/>
          <w:bCs/>
          <w:sz w:val="32"/>
          <w:szCs w:val="32"/>
        </w:rPr>
      </w:pPr>
    </w:p>
    <w:p w14:paraId="36800768">
      <w:pPr>
        <w:snapToGrid w:val="0"/>
        <w:spacing w:line="400" w:lineRule="exact"/>
        <w:jc w:val="center"/>
        <w:rPr>
          <w:rFonts w:ascii="宋体" w:hAnsi="宋体"/>
          <w:b/>
          <w:bCs/>
          <w:sz w:val="32"/>
          <w:szCs w:val="32"/>
        </w:rPr>
      </w:pPr>
    </w:p>
    <w:p w14:paraId="227CAB12">
      <w:pPr>
        <w:snapToGrid w:val="0"/>
        <w:spacing w:line="400" w:lineRule="exact"/>
        <w:jc w:val="center"/>
        <w:rPr>
          <w:rFonts w:ascii="宋体" w:hAnsi="宋体"/>
          <w:b/>
          <w:bCs/>
          <w:sz w:val="32"/>
          <w:szCs w:val="32"/>
        </w:rPr>
      </w:pPr>
    </w:p>
    <w:p w14:paraId="3E588B78">
      <w:pPr>
        <w:snapToGrid w:val="0"/>
        <w:spacing w:line="400" w:lineRule="exact"/>
        <w:jc w:val="center"/>
        <w:rPr>
          <w:rFonts w:ascii="宋体" w:hAnsi="宋体"/>
          <w:b/>
          <w:bCs/>
          <w:sz w:val="32"/>
          <w:szCs w:val="32"/>
        </w:rPr>
      </w:pPr>
    </w:p>
    <w:p w14:paraId="63249C6B">
      <w:pPr>
        <w:snapToGrid w:val="0"/>
        <w:spacing w:line="400" w:lineRule="exact"/>
        <w:jc w:val="center"/>
        <w:rPr>
          <w:rFonts w:ascii="宋体" w:hAnsi="宋体"/>
          <w:b/>
          <w:bCs/>
          <w:sz w:val="32"/>
          <w:szCs w:val="32"/>
        </w:rPr>
      </w:pPr>
    </w:p>
    <w:p w14:paraId="1EF36497">
      <w:pPr>
        <w:snapToGrid w:val="0"/>
        <w:spacing w:line="400" w:lineRule="exact"/>
        <w:jc w:val="center"/>
        <w:rPr>
          <w:rFonts w:ascii="宋体" w:hAnsi="宋体"/>
          <w:b/>
          <w:bCs/>
          <w:sz w:val="32"/>
          <w:szCs w:val="32"/>
        </w:rPr>
      </w:pPr>
    </w:p>
    <w:p w14:paraId="0C247ADF">
      <w:pPr>
        <w:snapToGrid w:val="0"/>
        <w:spacing w:line="400" w:lineRule="exact"/>
        <w:jc w:val="center"/>
        <w:rPr>
          <w:rFonts w:ascii="宋体" w:hAnsi="宋体"/>
          <w:b/>
          <w:bCs/>
          <w:sz w:val="32"/>
          <w:szCs w:val="32"/>
        </w:rPr>
      </w:pPr>
    </w:p>
    <w:p w14:paraId="2AA3FB02">
      <w:pPr>
        <w:snapToGrid w:val="0"/>
        <w:spacing w:line="400" w:lineRule="exact"/>
        <w:jc w:val="center"/>
        <w:rPr>
          <w:rFonts w:ascii="宋体" w:hAnsi="宋体"/>
          <w:b/>
          <w:bCs/>
          <w:sz w:val="32"/>
          <w:szCs w:val="32"/>
        </w:rPr>
      </w:pPr>
    </w:p>
    <w:p w14:paraId="67996C64">
      <w:pPr>
        <w:snapToGrid w:val="0"/>
        <w:spacing w:line="400" w:lineRule="exact"/>
        <w:jc w:val="center"/>
        <w:rPr>
          <w:rFonts w:ascii="宋体" w:hAnsi="宋体"/>
          <w:b/>
          <w:bCs/>
          <w:sz w:val="32"/>
          <w:szCs w:val="32"/>
        </w:rPr>
      </w:pPr>
      <w:r>
        <w:rPr>
          <w:rFonts w:hint="eastAsia" w:ascii="宋体" w:hAnsi="宋体"/>
          <w:b/>
          <w:bCs/>
          <w:sz w:val="32"/>
          <w:szCs w:val="32"/>
        </w:rPr>
        <w:t>《广西壮族自治区政府采购合同》</w:t>
      </w:r>
    </w:p>
    <w:p w14:paraId="48E945FB">
      <w:pPr>
        <w:snapToGrid w:val="0"/>
        <w:spacing w:line="400" w:lineRule="exact"/>
        <w:jc w:val="center"/>
        <w:rPr>
          <w:rFonts w:ascii="宋体" w:hAnsi="宋体"/>
          <w:b/>
          <w:bCs/>
          <w:sz w:val="32"/>
          <w:szCs w:val="32"/>
        </w:rPr>
      </w:pPr>
      <w:r>
        <w:rPr>
          <w:rFonts w:hint="eastAsia" w:ascii="宋体" w:hAnsi="宋体"/>
          <w:b/>
          <w:sz w:val="32"/>
          <w:szCs w:val="32"/>
        </w:rPr>
        <w:t>文本</w:t>
      </w:r>
    </w:p>
    <w:p w14:paraId="47F48847">
      <w:pPr>
        <w:snapToGrid w:val="0"/>
        <w:spacing w:line="400" w:lineRule="exact"/>
        <w:ind w:right="480" w:firstLine="5250" w:firstLineChars="2500"/>
        <w:rPr>
          <w:rFonts w:ascii="宋体" w:hAnsi="宋体"/>
          <w:bCs/>
          <w:szCs w:val="21"/>
          <w:u w:val="single"/>
        </w:rPr>
      </w:pPr>
      <w:r>
        <w:rPr>
          <w:rFonts w:hint="eastAsia" w:ascii="宋体" w:hAnsi="宋体"/>
          <w:bCs/>
          <w:szCs w:val="21"/>
        </w:rPr>
        <w:t>合同编号：</w:t>
      </w:r>
    </w:p>
    <w:p w14:paraId="31E590D0">
      <w:pPr>
        <w:spacing w:line="360" w:lineRule="auto"/>
        <w:contextualSpacing/>
        <w:rPr>
          <w:rFonts w:ascii="宋体" w:hAnsi="宋体"/>
          <w:szCs w:val="21"/>
        </w:rPr>
      </w:pPr>
    </w:p>
    <w:p w14:paraId="6F712576">
      <w:pPr>
        <w:snapToGrid w:val="0"/>
        <w:spacing w:line="360" w:lineRule="auto"/>
        <w:rPr>
          <w:rFonts w:ascii="宋体" w:hAnsi="宋体"/>
          <w:szCs w:val="21"/>
          <w:u w:val="single"/>
        </w:rPr>
      </w:pPr>
      <w:r>
        <w:rPr>
          <w:rFonts w:hint="eastAsia" w:ascii="宋体" w:hAnsi="宋体"/>
          <w:szCs w:val="21"/>
        </w:rPr>
        <w:t>采购人（甲方）：</w:t>
      </w:r>
      <w:r>
        <w:rPr>
          <w:rFonts w:hint="eastAsia" w:ascii="宋体" w:hAnsi="宋体"/>
          <w:szCs w:val="21"/>
          <w:u w:val="single"/>
        </w:rPr>
        <w:t>广西师范大学</w:t>
      </w:r>
    </w:p>
    <w:p w14:paraId="044F0B44">
      <w:pPr>
        <w:snapToGrid w:val="0"/>
        <w:spacing w:line="360" w:lineRule="auto"/>
        <w:rPr>
          <w:rFonts w:ascii="宋体" w:hAnsi="宋体"/>
          <w:szCs w:val="21"/>
          <w:u w:val="single"/>
        </w:rPr>
      </w:pPr>
      <w:r>
        <w:rPr>
          <w:rFonts w:hint="eastAsia" w:ascii="宋体" w:hAnsi="宋体"/>
          <w:szCs w:val="21"/>
        </w:rPr>
        <w:t>供应商（乙方）：</w:t>
      </w:r>
      <w:r>
        <w:rPr>
          <w:rFonts w:hint="eastAsia" w:ascii="宋体" w:hAnsi="宋体"/>
          <w:szCs w:val="21"/>
          <w:u w:val="single"/>
        </w:rPr>
        <w:t xml:space="preserve">               </w:t>
      </w:r>
    </w:p>
    <w:p w14:paraId="5BA748B1">
      <w:pPr>
        <w:snapToGrid w:val="0"/>
        <w:spacing w:line="360" w:lineRule="auto"/>
        <w:rPr>
          <w:rFonts w:ascii="宋体" w:hAnsi="宋体"/>
          <w:szCs w:val="21"/>
        </w:rPr>
      </w:pPr>
      <w:r>
        <w:rPr>
          <w:rFonts w:hint="eastAsia" w:ascii="宋体" w:hAnsi="宋体"/>
          <w:szCs w:val="21"/>
        </w:rPr>
        <w:t>采购计划号：</w:t>
      </w:r>
      <w:r>
        <w:rPr>
          <w:rFonts w:hint="eastAsia" w:ascii="宋体" w:hAnsi="宋体"/>
          <w:szCs w:val="21"/>
          <w:u w:val="single"/>
        </w:rPr>
        <w:t xml:space="preserve">                   </w:t>
      </w:r>
    </w:p>
    <w:p w14:paraId="6557F6CD">
      <w:pPr>
        <w:snapToGrid w:val="0"/>
        <w:spacing w:line="360" w:lineRule="auto"/>
        <w:rPr>
          <w:rFonts w:ascii="宋体" w:hAnsi="宋体"/>
          <w:szCs w:val="21"/>
          <w:u w:val="single"/>
        </w:rPr>
      </w:pPr>
      <w:r>
        <w:rPr>
          <w:rFonts w:hint="eastAsia" w:ascii="宋体" w:hAnsi="宋体"/>
          <w:szCs w:val="21"/>
        </w:rPr>
        <w:t>项目名称：</w:t>
      </w:r>
      <w:r>
        <w:rPr>
          <w:rFonts w:hint="eastAsia" w:ascii="宋体" w:hAnsi="宋体"/>
          <w:szCs w:val="21"/>
          <w:u w:val="single"/>
        </w:rPr>
        <w:t>数字化教学资源建设及师范生教学能力AI测评系统采购</w:t>
      </w:r>
    </w:p>
    <w:p w14:paraId="6FD8750A">
      <w:pPr>
        <w:snapToGrid w:val="0"/>
        <w:spacing w:line="360" w:lineRule="auto"/>
        <w:rPr>
          <w:rFonts w:ascii="宋体" w:hAnsi="宋体"/>
          <w:szCs w:val="21"/>
        </w:rPr>
      </w:pPr>
      <w:r>
        <w:rPr>
          <w:rFonts w:hint="eastAsia" w:ascii="宋体" w:hAnsi="宋体"/>
          <w:szCs w:val="21"/>
        </w:rPr>
        <w:t xml:space="preserve">标 </w:t>
      </w:r>
      <w:r>
        <w:rPr>
          <w:rFonts w:ascii="宋体" w:hAnsi="宋体"/>
          <w:szCs w:val="21"/>
        </w:rPr>
        <w:t xml:space="preserve">   </w:t>
      </w:r>
      <w:r>
        <w:rPr>
          <w:rFonts w:hint="eastAsia" w:ascii="宋体" w:hAnsi="宋体"/>
          <w:szCs w:val="21"/>
        </w:rPr>
        <w:t>项：</w:t>
      </w:r>
      <w:r>
        <w:rPr>
          <w:rFonts w:hint="eastAsia" w:ascii="宋体" w:hAnsi="宋体"/>
          <w:szCs w:val="21"/>
          <w:u w:val="single"/>
        </w:rPr>
        <w:t xml:space="preserve"> </w:t>
      </w:r>
      <w:r>
        <w:rPr>
          <w:rFonts w:ascii="宋体" w:hAnsi="宋体"/>
          <w:szCs w:val="21"/>
          <w:u w:val="single"/>
        </w:rPr>
        <w:t xml:space="preserve">         </w:t>
      </w:r>
    </w:p>
    <w:p w14:paraId="59A22CB2">
      <w:pPr>
        <w:snapToGrid w:val="0"/>
        <w:spacing w:line="360" w:lineRule="auto"/>
        <w:rPr>
          <w:rFonts w:ascii="宋体" w:hAnsi="宋体"/>
          <w:szCs w:val="21"/>
          <w:u w:val="single"/>
        </w:rPr>
      </w:pPr>
      <w:r>
        <w:rPr>
          <w:rFonts w:hint="eastAsia" w:ascii="宋体" w:hAnsi="宋体"/>
          <w:szCs w:val="21"/>
        </w:rPr>
        <w:t>项目编号：</w:t>
      </w:r>
      <w:r>
        <w:rPr>
          <w:rFonts w:hint="eastAsia" w:ascii="宋体" w:hAnsi="宋体"/>
          <w:szCs w:val="21"/>
          <w:u w:val="single"/>
        </w:rPr>
        <w:t xml:space="preserve">                            </w:t>
      </w:r>
    </w:p>
    <w:p w14:paraId="40EAEF49">
      <w:pPr>
        <w:snapToGrid w:val="0"/>
        <w:spacing w:line="360" w:lineRule="auto"/>
        <w:rPr>
          <w:rFonts w:ascii="宋体" w:hAnsi="宋体"/>
          <w:szCs w:val="21"/>
        </w:rPr>
      </w:pPr>
      <w:r>
        <w:rPr>
          <w:rFonts w:hint="eastAsia" w:ascii="宋体" w:hAnsi="宋体"/>
          <w:szCs w:val="21"/>
        </w:rPr>
        <w:t>合同类型：</w:t>
      </w:r>
      <w:r>
        <w:rPr>
          <w:rFonts w:hint="eastAsia" w:ascii="宋体" w:hAnsi="宋体"/>
          <w:szCs w:val="21"/>
          <w:u w:val="single"/>
        </w:rPr>
        <w:t>买卖合同</w:t>
      </w:r>
    </w:p>
    <w:p w14:paraId="745E6814">
      <w:pPr>
        <w:pStyle w:val="12"/>
        <w:rPr>
          <w:rFonts w:ascii="宋体" w:hAnsi="宋体" w:cs="宋体"/>
          <w:szCs w:val="21"/>
        </w:rPr>
      </w:pPr>
      <w:r>
        <w:rPr>
          <w:rFonts w:hint="eastAsia" w:ascii="宋体" w:hAnsi="宋体" w:cs="宋体"/>
          <w:b/>
          <w:kern w:val="0"/>
          <w:szCs w:val="21"/>
        </w:rPr>
        <w:t>本项目标项一专门面向中小企业采购、标项二专门面向小微企业采购</w:t>
      </w:r>
      <w:r>
        <w:rPr>
          <w:rFonts w:hint="eastAsia" w:ascii="宋体" w:hAnsi="宋体" w:cs="宋体"/>
          <w:szCs w:val="21"/>
        </w:rPr>
        <w:t>。</w:t>
      </w:r>
    </w:p>
    <w:p w14:paraId="2E6230A5">
      <w:pPr>
        <w:pStyle w:val="12"/>
        <w:rPr>
          <w:rFonts w:ascii="宋体" w:hAnsi="宋体" w:cs="宋体"/>
          <w:szCs w:val="21"/>
        </w:rPr>
      </w:pPr>
    </w:p>
    <w:p w14:paraId="340E0F89">
      <w:pPr>
        <w:snapToGrid w:val="0"/>
        <w:spacing w:line="360" w:lineRule="auto"/>
        <w:ind w:firstLine="420" w:firstLineChars="200"/>
        <w:rPr>
          <w:rFonts w:ascii="宋体" w:hAnsi="宋体"/>
          <w:szCs w:val="21"/>
        </w:rPr>
      </w:pPr>
      <w:r>
        <w:rPr>
          <w:rFonts w:hint="eastAsia" w:ascii="宋体" w:hAnsi="宋体"/>
          <w:szCs w:val="21"/>
        </w:rPr>
        <w:t>根据《中华人民共和国政府采购法》、《中华人民共和国民法典》等法律、法规规定，按照采购文件规定条款和乙方响应承诺，甲乙双方签订本合同。</w:t>
      </w:r>
    </w:p>
    <w:p w14:paraId="3F1F8687">
      <w:pPr>
        <w:snapToGrid w:val="0"/>
        <w:spacing w:line="360" w:lineRule="auto"/>
        <w:ind w:firstLine="422" w:firstLineChars="200"/>
        <w:rPr>
          <w:rFonts w:ascii="宋体" w:hAnsi="宋体"/>
          <w:b/>
          <w:szCs w:val="21"/>
        </w:rPr>
      </w:pPr>
      <w:r>
        <w:rPr>
          <w:rFonts w:hint="eastAsia" w:ascii="宋体" w:hAnsi="宋体"/>
          <w:b/>
          <w:szCs w:val="21"/>
        </w:rPr>
        <w:t>第一条　合同标的</w:t>
      </w:r>
    </w:p>
    <w:tbl>
      <w:tblPr>
        <w:tblStyle w:val="29"/>
        <w:tblW w:w="9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33"/>
        <w:gridCol w:w="1297"/>
        <w:gridCol w:w="761"/>
        <w:gridCol w:w="2109"/>
        <w:gridCol w:w="1098"/>
        <w:gridCol w:w="1519"/>
      </w:tblGrid>
      <w:tr w14:paraId="497D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3" w:hRule="atLeast"/>
          <w:jc w:val="center"/>
        </w:trPr>
        <w:tc>
          <w:tcPr>
            <w:tcW w:w="720" w:type="dxa"/>
            <w:vAlign w:val="center"/>
          </w:tcPr>
          <w:p w14:paraId="7EF371ED">
            <w:pPr>
              <w:snapToGrid w:val="0"/>
              <w:spacing w:line="340" w:lineRule="exact"/>
              <w:jc w:val="center"/>
              <w:rPr>
                <w:rFonts w:ascii="宋体" w:hAnsi="宋体"/>
                <w:szCs w:val="21"/>
              </w:rPr>
            </w:pPr>
            <w:r>
              <w:rPr>
                <w:rFonts w:hint="eastAsia" w:ascii="宋体" w:hAnsi="宋体"/>
                <w:szCs w:val="21"/>
              </w:rPr>
              <w:t>项号</w:t>
            </w:r>
          </w:p>
        </w:tc>
        <w:tc>
          <w:tcPr>
            <w:tcW w:w="1633" w:type="dxa"/>
            <w:vAlign w:val="center"/>
          </w:tcPr>
          <w:p w14:paraId="00D82FCA">
            <w:pPr>
              <w:snapToGrid w:val="0"/>
              <w:spacing w:line="340" w:lineRule="exact"/>
              <w:jc w:val="center"/>
              <w:rPr>
                <w:rFonts w:ascii="宋体" w:hAnsi="宋体"/>
                <w:szCs w:val="21"/>
              </w:rPr>
            </w:pPr>
            <w:r>
              <w:rPr>
                <w:rFonts w:hint="eastAsia" w:ascii="宋体" w:hAnsi="宋体"/>
                <w:szCs w:val="21"/>
              </w:rPr>
              <w:t>标的的名称</w:t>
            </w:r>
          </w:p>
        </w:tc>
        <w:tc>
          <w:tcPr>
            <w:tcW w:w="1297" w:type="dxa"/>
            <w:vAlign w:val="center"/>
          </w:tcPr>
          <w:p w14:paraId="727D13A1">
            <w:pPr>
              <w:snapToGrid w:val="0"/>
              <w:spacing w:line="340" w:lineRule="exact"/>
              <w:jc w:val="center"/>
              <w:rPr>
                <w:rFonts w:ascii="宋体" w:hAnsi="宋体"/>
                <w:szCs w:val="21"/>
              </w:rPr>
            </w:pPr>
            <w:r>
              <w:rPr>
                <w:rFonts w:hint="eastAsia" w:ascii="宋体" w:hAnsi="宋体"/>
                <w:szCs w:val="21"/>
              </w:rPr>
              <w:t>数量</w:t>
            </w:r>
          </w:p>
        </w:tc>
        <w:tc>
          <w:tcPr>
            <w:tcW w:w="761" w:type="dxa"/>
            <w:vAlign w:val="center"/>
          </w:tcPr>
          <w:p w14:paraId="46C25B77">
            <w:pPr>
              <w:snapToGrid w:val="0"/>
              <w:spacing w:line="340" w:lineRule="exact"/>
              <w:jc w:val="center"/>
              <w:rPr>
                <w:rFonts w:ascii="宋体" w:hAnsi="宋体"/>
                <w:szCs w:val="21"/>
              </w:rPr>
            </w:pPr>
            <w:r>
              <w:rPr>
                <w:rFonts w:hint="eastAsia" w:ascii="宋体" w:hAnsi="宋体"/>
                <w:szCs w:val="21"/>
              </w:rPr>
              <w:t>单位</w:t>
            </w:r>
          </w:p>
        </w:tc>
        <w:tc>
          <w:tcPr>
            <w:tcW w:w="2109" w:type="dxa"/>
            <w:vAlign w:val="center"/>
          </w:tcPr>
          <w:p w14:paraId="2A914BC8">
            <w:pPr>
              <w:snapToGrid w:val="0"/>
              <w:spacing w:line="340" w:lineRule="exact"/>
              <w:jc w:val="center"/>
              <w:rPr>
                <w:rFonts w:ascii="宋体" w:hAnsi="宋体"/>
                <w:szCs w:val="21"/>
              </w:rPr>
            </w:pPr>
            <w:r>
              <w:rPr>
                <w:rFonts w:hint="eastAsia" w:ascii="宋体" w:hAnsi="宋体" w:cs="宋体"/>
                <w:szCs w:val="21"/>
              </w:rPr>
              <w:t>技术（服务）要求</w:t>
            </w:r>
          </w:p>
        </w:tc>
        <w:tc>
          <w:tcPr>
            <w:tcW w:w="1098" w:type="dxa"/>
            <w:vAlign w:val="center"/>
          </w:tcPr>
          <w:p w14:paraId="503AF0B9">
            <w:pPr>
              <w:snapToGrid w:val="0"/>
              <w:spacing w:line="340" w:lineRule="exact"/>
              <w:jc w:val="center"/>
              <w:rPr>
                <w:rFonts w:ascii="宋体" w:hAnsi="宋体"/>
                <w:szCs w:val="21"/>
              </w:rPr>
            </w:pPr>
            <w:r>
              <w:rPr>
                <w:rFonts w:hint="eastAsia" w:ascii="宋体" w:hAnsi="宋体"/>
                <w:szCs w:val="21"/>
              </w:rPr>
              <w:t>单价（元）</w:t>
            </w:r>
          </w:p>
        </w:tc>
        <w:tc>
          <w:tcPr>
            <w:tcW w:w="1519" w:type="dxa"/>
            <w:vAlign w:val="center"/>
          </w:tcPr>
          <w:p w14:paraId="6DA5C77A">
            <w:pPr>
              <w:snapToGrid w:val="0"/>
              <w:spacing w:line="340" w:lineRule="exact"/>
              <w:jc w:val="center"/>
              <w:rPr>
                <w:rFonts w:ascii="宋体" w:hAnsi="宋体"/>
                <w:szCs w:val="21"/>
              </w:rPr>
            </w:pPr>
            <w:r>
              <w:rPr>
                <w:rFonts w:hint="eastAsia" w:ascii="宋体" w:hAnsi="宋体"/>
                <w:szCs w:val="21"/>
              </w:rPr>
              <w:t>小计金额（元）</w:t>
            </w:r>
          </w:p>
        </w:tc>
      </w:tr>
      <w:tr w14:paraId="25DB1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720" w:type="dxa"/>
            <w:vAlign w:val="center"/>
          </w:tcPr>
          <w:p w14:paraId="112552D5">
            <w:pPr>
              <w:tabs>
                <w:tab w:val="left" w:pos="180"/>
                <w:tab w:val="left" w:pos="1620"/>
              </w:tabs>
              <w:spacing w:line="380" w:lineRule="exact"/>
              <w:jc w:val="center"/>
              <w:rPr>
                <w:rFonts w:ascii="宋体" w:hAnsi="宋体"/>
                <w:szCs w:val="21"/>
              </w:rPr>
            </w:pPr>
            <w:r>
              <w:rPr>
                <w:rFonts w:hint="eastAsia" w:ascii="宋体" w:hAnsi="宋体" w:cs="宋体"/>
                <w:szCs w:val="21"/>
              </w:rPr>
              <w:t>1</w:t>
            </w:r>
          </w:p>
        </w:tc>
        <w:tc>
          <w:tcPr>
            <w:tcW w:w="1633" w:type="dxa"/>
            <w:vAlign w:val="center"/>
          </w:tcPr>
          <w:p w14:paraId="2868DCEF">
            <w:pPr>
              <w:tabs>
                <w:tab w:val="left" w:pos="180"/>
                <w:tab w:val="left" w:pos="1620"/>
              </w:tabs>
              <w:spacing w:line="380" w:lineRule="exact"/>
              <w:jc w:val="center"/>
              <w:rPr>
                <w:rFonts w:ascii="宋体" w:hAnsi="宋体"/>
                <w:szCs w:val="21"/>
              </w:rPr>
            </w:pPr>
          </w:p>
        </w:tc>
        <w:tc>
          <w:tcPr>
            <w:tcW w:w="1297" w:type="dxa"/>
            <w:vAlign w:val="center"/>
          </w:tcPr>
          <w:p w14:paraId="3291F31B">
            <w:pPr>
              <w:tabs>
                <w:tab w:val="left" w:pos="180"/>
                <w:tab w:val="left" w:pos="1620"/>
              </w:tabs>
              <w:spacing w:line="380" w:lineRule="exact"/>
              <w:jc w:val="center"/>
              <w:rPr>
                <w:rFonts w:ascii="宋体" w:hAnsi="宋体"/>
                <w:szCs w:val="21"/>
              </w:rPr>
            </w:pPr>
          </w:p>
        </w:tc>
        <w:tc>
          <w:tcPr>
            <w:tcW w:w="761" w:type="dxa"/>
            <w:vAlign w:val="center"/>
          </w:tcPr>
          <w:p w14:paraId="40965678">
            <w:pPr>
              <w:snapToGrid w:val="0"/>
              <w:spacing w:line="380" w:lineRule="exact"/>
              <w:jc w:val="center"/>
              <w:rPr>
                <w:rFonts w:ascii="宋体" w:hAnsi="宋体"/>
                <w:szCs w:val="21"/>
              </w:rPr>
            </w:pPr>
          </w:p>
        </w:tc>
        <w:tc>
          <w:tcPr>
            <w:tcW w:w="2109" w:type="dxa"/>
            <w:vAlign w:val="center"/>
          </w:tcPr>
          <w:p w14:paraId="5A4A3B91">
            <w:pPr>
              <w:snapToGrid w:val="0"/>
              <w:spacing w:line="380" w:lineRule="exact"/>
              <w:jc w:val="center"/>
              <w:rPr>
                <w:rFonts w:ascii="宋体" w:hAnsi="宋体"/>
                <w:szCs w:val="21"/>
              </w:rPr>
            </w:pPr>
          </w:p>
        </w:tc>
        <w:tc>
          <w:tcPr>
            <w:tcW w:w="1098" w:type="dxa"/>
            <w:vAlign w:val="center"/>
          </w:tcPr>
          <w:p w14:paraId="58FA5CB4">
            <w:pPr>
              <w:snapToGrid w:val="0"/>
              <w:spacing w:line="380" w:lineRule="exact"/>
              <w:jc w:val="center"/>
              <w:rPr>
                <w:rFonts w:ascii="宋体" w:hAnsi="宋体"/>
                <w:szCs w:val="21"/>
              </w:rPr>
            </w:pPr>
          </w:p>
        </w:tc>
        <w:tc>
          <w:tcPr>
            <w:tcW w:w="1519" w:type="dxa"/>
            <w:vAlign w:val="center"/>
          </w:tcPr>
          <w:p w14:paraId="4A0C53C3">
            <w:pPr>
              <w:snapToGrid w:val="0"/>
              <w:spacing w:line="380" w:lineRule="exact"/>
              <w:jc w:val="center"/>
              <w:rPr>
                <w:rFonts w:ascii="宋体" w:hAnsi="宋体"/>
                <w:szCs w:val="21"/>
              </w:rPr>
            </w:pPr>
          </w:p>
        </w:tc>
      </w:tr>
      <w:tr w14:paraId="53EE4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720" w:type="dxa"/>
            <w:vAlign w:val="center"/>
          </w:tcPr>
          <w:p w14:paraId="0162BD97">
            <w:pPr>
              <w:tabs>
                <w:tab w:val="left" w:pos="180"/>
                <w:tab w:val="left" w:pos="1620"/>
              </w:tabs>
              <w:spacing w:line="380" w:lineRule="exact"/>
              <w:jc w:val="center"/>
              <w:rPr>
                <w:rFonts w:ascii="宋体" w:hAnsi="宋体"/>
                <w:szCs w:val="21"/>
              </w:rPr>
            </w:pPr>
            <w:r>
              <w:rPr>
                <w:rFonts w:hint="eastAsia" w:ascii="宋体" w:hAnsi="宋体" w:cs="宋体"/>
                <w:szCs w:val="21"/>
              </w:rPr>
              <w:t>2</w:t>
            </w:r>
          </w:p>
        </w:tc>
        <w:tc>
          <w:tcPr>
            <w:tcW w:w="1633" w:type="dxa"/>
            <w:vAlign w:val="center"/>
          </w:tcPr>
          <w:p w14:paraId="06C5AA12">
            <w:pPr>
              <w:tabs>
                <w:tab w:val="left" w:pos="180"/>
                <w:tab w:val="left" w:pos="1620"/>
              </w:tabs>
              <w:spacing w:line="380" w:lineRule="exact"/>
              <w:jc w:val="center"/>
              <w:rPr>
                <w:rFonts w:ascii="宋体" w:hAnsi="宋体"/>
                <w:szCs w:val="21"/>
              </w:rPr>
            </w:pPr>
          </w:p>
        </w:tc>
        <w:tc>
          <w:tcPr>
            <w:tcW w:w="1297" w:type="dxa"/>
            <w:vAlign w:val="center"/>
          </w:tcPr>
          <w:p w14:paraId="4A21F4F4">
            <w:pPr>
              <w:tabs>
                <w:tab w:val="left" w:pos="180"/>
                <w:tab w:val="left" w:pos="1620"/>
              </w:tabs>
              <w:spacing w:line="380" w:lineRule="exact"/>
              <w:jc w:val="center"/>
              <w:rPr>
                <w:rFonts w:ascii="宋体" w:hAnsi="宋体"/>
                <w:szCs w:val="21"/>
              </w:rPr>
            </w:pPr>
          </w:p>
        </w:tc>
        <w:tc>
          <w:tcPr>
            <w:tcW w:w="761" w:type="dxa"/>
            <w:vAlign w:val="center"/>
          </w:tcPr>
          <w:p w14:paraId="612F5379">
            <w:pPr>
              <w:snapToGrid w:val="0"/>
              <w:spacing w:line="380" w:lineRule="exact"/>
              <w:jc w:val="center"/>
              <w:rPr>
                <w:rFonts w:ascii="宋体" w:hAnsi="宋体"/>
                <w:szCs w:val="21"/>
              </w:rPr>
            </w:pPr>
          </w:p>
        </w:tc>
        <w:tc>
          <w:tcPr>
            <w:tcW w:w="2109" w:type="dxa"/>
            <w:vAlign w:val="center"/>
          </w:tcPr>
          <w:p w14:paraId="6BD3AB18">
            <w:pPr>
              <w:snapToGrid w:val="0"/>
              <w:spacing w:line="380" w:lineRule="exact"/>
              <w:jc w:val="center"/>
              <w:rPr>
                <w:rFonts w:ascii="宋体" w:hAnsi="宋体"/>
                <w:szCs w:val="21"/>
              </w:rPr>
            </w:pPr>
          </w:p>
        </w:tc>
        <w:tc>
          <w:tcPr>
            <w:tcW w:w="1098" w:type="dxa"/>
            <w:vAlign w:val="center"/>
          </w:tcPr>
          <w:p w14:paraId="759DFCC4">
            <w:pPr>
              <w:snapToGrid w:val="0"/>
              <w:spacing w:line="380" w:lineRule="exact"/>
              <w:jc w:val="center"/>
              <w:rPr>
                <w:rFonts w:ascii="宋体" w:hAnsi="宋体"/>
                <w:szCs w:val="21"/>
              </w:rPr>
            </w:pPr>
          </w:p>
        </w:tc>
        <w:tc>
          <w:tcPr>
            <w:tcW w:w="1519" w:type="dxa"/>
            <w:vAlign w:val="center"/>
          </w:tcPr>
          <w:p w14:paraId="3F755140">
            <w:pPr>
              <w:snapToGrid w:val="0"/>
              <w:spacing w:line="380" w:lineRule="exact"/>
              <w:jc w:val="center"/>
              <w:rPr>
                <w:rFonts w:ascii="宋体" w:hAnsi="宋体"/>
                <w:szCs w:val="21"/>
              </w:rPr>
            </w:pPr>
          </w:p>
        </w:tc>
      </w:tr>
      <w:tr w14:paraId="41422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jc w:val="center"/>
        </w:trPr>
        <w:tc>
          <w:tcPr>
            <w:tcW w:w="9137" w:type="dxa"/>
            <w:gridSpan w:val="7"/>
            <w:vAlign w:val="center"/>
          </w:tcPr>
          <w:p w14:paraId="6432C9FD">
            <w:pPr>
              <w:snapToGrid w:val="0"/>
              <w:spacing w:line="360" w:lineRule="auto"/>
              <w:rPr>
                <w:rFonts w:ascii="宋体" w:hAnsi="宋体"/>
                <w:szCs w:val="21"/>
              </w:rPr>
            </w:pPr>
            <w:r>
              <w:rPr>
                <w:rFonts w:hint="eastAsia" w:ascii="宋体" w:hAnsi="宋体"/>
                <w:szCs w:val="21"/>
              </w:rPr>
              <w:t>合计金额（人民币）：</w:t>
            </w:r>
            <w:r>
              <w:rPr>
                <w:rFonts w:hint="eastAsia" w:ascii="宋体" w:hAnsi="宋体"/>
                <w:szCs w:val="21"/>
                <w:u w:val="single"/>
              </w:rPr>
              <w:t>（大写               元整）（小写¥            ）</w:t>
            </w:r>
          </w:p>
        </w:tc>
      </w:tr>
    </w:tbl>
    <w:p w14:paraId="046CD254">
      <w:pPr>
        <w:snapToGrid w:val="0"/>
        <w:spacing w:line="380" w:lineRule="exact"/>
        <w:ind w:firstLine="422" w:firstLineChars="200"/>
        <w:rPr>
          <w:rFonts w:ascii="宋体" w:hAnsi="宋体"/>
          <w:szCs w:val="21"/>
        </w:rPr>
      </w:pPr>
      <w:r>
        <w:rPr>
          <w:rFonts w:hint="eastAsia" w:ascii="宋体" w:hAnsi="宋体"/>
          <w:b/>
          <w:szCs w:val="21"/>
        </w:rPr>
        <w:t>第二条　标的质量</w:t>
      </w:r>
    </w:p>
    <w:p w14:paraId="629FE0CE">
      <w:pPr>
        <w:snapToGrid w:val="0"/>
        <w:spacing w:line="380" w:lineRule="exact"/>
        <w:ind w:firstLine="420" w:firstLineChars="200"/>
        <w:rPr>
          <w:rFonts w:ascii="宋体" w:hAnsi="宋体"/>
          <w:szCs w:val="21"/>
        </w:rPr>
      </w:pPr>
      <w:r>
        <w:rPr>
          <w:rFonts w:hint="eastAsia" w:ascii="宋体" w:hAnsi="宋体"/>
          <w:szCs w:val="21"/>
        </w:rPr>
        <w:t>1.乙方所提供标的的名称、技术参数等内容必须与乙方响应文件及有关承诺相一致，且满足项目实施要求。</w:t>
      </w:r>
    </w:p>
    <w:p w14:paraId="2EBE398F">
      <w:pPr>
        <w:snapToGrid w:val="0"/>
        <w:spacing w:line="380" w:lineRule="exact"/>
        <w:ind w:firstLine="420" w:firstLineChars="200"/>
        <w:rPr>
          <w:rFonts w:ascii="宋体" w:hAnsi="宋体"/>
          <w:szCs w:val="21"/>
        </w:rPr>
      </w:pPr>
      <w:r>
        <w:rPr>
          <w:rFonts w:hint="eastAsia" w:ascii="宋体" w:hAnsi="宋体"/>
          <w:szCs w:val="21"/>
        </w:rPr>
        <w:t>2.乙方所提供的系统必须是全新且未使用的，且在正常安装、使用和保养条件下，其使用寿命期内各项指标均达到响应文件的承诺。</w:t>
      </w:r>
    </w:p>
    <w:p w14:paraId="03CA6D46">
      <w:pPr>
        <w:snapToGrid w:val="0"/>
        <w:spacing w:line="380" w:lineRule="exact"/>
        <w:ind w:firstLine="422" w:firstLineChars="200"/>
        <w:rPr>
          <w:rFonts w:ascii="宋体" w:hAnsi="宋体"/>
          <w:b/>
          <w:szCs w:val="21"/>
        </w:rPr>
      </w:pPr>
      <w:r>
        <w:rPr>
          <w:rFonts w:hint="eastAsia" w:ascii="宋体" w:hAnsi="宋体"/>
          <w:b/>
          <w:szCs w:val="21"/>
        </w:rPr>
        <w:t>第三条　</w:t>
      </w:r>
      <w:r>
        <w:rPr>
          <w:rFonts w:hint="eastAsia" w:ascii="宋体" w:hAnsi="宋体"/>
          <w:b/>
        </w:rPr>
        <w:t>交付时间和地点</w:t>
      </w:r>
    </w:p>
    <w:p w14:paraId="2B134D7C">
      <w:pPr>
        <w:snapToGrid w:val="0"/>
        <w:spacing w:line="380" w:lineRule="exact"/>
        <w:ind w:firstLine="420" w:firstLineChars="200"/>
        <w:rPr>
          <w:rFonts w:ascii="宋体" w:hAnsi="宋体"/>
          <w:i/>
          <w:szCs w:val="21"/>
        </w:rPr>
      </w:pPr>
      <w:r>
        <w:rPr>
          <w:rFonts w:hint="eastAsia" w:ascii="宋体" w:hAnsi="宋体" w:cs="宋体"/>
          <w:szCs w:val="21"/>
        </w:rPr>
        <w:t>1.</w:t>
      </w:r>
      <w:r>
        <w:rPr>
          <w:rFonts w:hint="eastAsia" w:ascii="宋体" w:hAnsi="宋体"/>
        </w:rPr>
        <w:t>交付时间</w:t>
      </w:r>
      <w:r>
        <w:rPr>
          <w:rFonts w:hint="eastAsia" w:ascii="宋体" w:hAnsi="宋体" w:cs="宋体"/>
          <w:szCs w:val="21"/>
        </w:rPr>
        <w:t>：</w:t>
      </w:r>
      <w:r>
        <w:rPr>
          <w:rFonts w:hint="eastAsia" w:ascii="宋体" w:hAnsi="宋体"/>
          <w:szCs w:val="21"/>
          <w:u w:val="single"/>
        </w:rPr>
        <w:t xml:space="preserve">                  </w:t>
      </w:r>
    </w:p>
    <w:p w14:paraId="0CEE6793">
      <w:pPr>
        <w:snapToGrid w:val="0"/>
        <w:spacing w:line="380" w:lineRule="exact"/>
        <w:ind w:firstLine="420" w:firstLineChars="200"/>
        <w:rPr>
          <w:rFonts w:ascii="宋体" w:hAnsi="宋体"/>
          <w:u w:val="single"/>
        </w:rPr>
      </w:pPr>
      <w:r>
        <w:rPr>
          <w:rFonts w:hint="eastAsia" w:ascii="宋体" w:hAnsi="宋体" w:cs="宋体"/>
          <w:szCs w:val="21"/>
        </w:rPr>
        <w:t>2.</w:t>
      </w:r>
      <w:r>
        <w:rPr>
          <w:rFonts w:hint="eastAsia" w:ascii="宋体" w:hAnsi="宋体"/>
        </w:rPr>
        <w:t>交付地点</w:t>
      </w:r>
      <w:r>
        <w:rPr>
          <w:rFonts w:hint="eastAsia" w:ascii="宋体" w:hAnsi="宋体" w:cs="宋体"/>
          <w:szCs w:val="21"/>
        </w:rPr>
        <w:t>：</w:t>
      </w:r>
      <w:r>
        <w:rPr>
          <w:rFonts w:hint="eastAsia" w:ascii="宋体" w:hAnsi="宋体"/>
          <w:u w:val="single"/>
        </w:rPr>
        <w:t>广西桂林市甲方指定地点（广西师范大学）。</w:t>
      </w:r>
    </w:p>
    <w:p w14:paraId="4992735E">
      <w:pPr>
        <w:snapToGrid w:val="0"/>
        <w:spacing w:line="380" w:lineRule="exact"/>
        <w:ind w:firstLine="422" w:firstLineChars="200"/>
        <w:rPr>
          <w:rFonts w:ascii="宋体" w:hAnsi="宋体"/>
          <w:szCs w:val="21"/>
        </w:rPr>
      </w:pPr>
      <w:r>
        <w:rPr>
          <w:rFonts w:hint="eastAsia" w:ascii="宋体" w:hAnsi="宋体"/>
          <w:b/>
          <w:szCs w:val="21"/>
        </w:rPr>
        <w:t>第四条　安装和培训</w:t>
      </w:r>
    </w:p>
    <w:p w14:paraId="2D54186B">
      <w:pPr>
        <w:snapToGrid w:val="0"/>
        <w:spacing w:line="380" w:lineRule="exact"/>
        <w:ind w:firstLine="420" w:firstLineChars="200"/>
        <w:rPr>
          <w:rFonts w:ascii="宋体" w:hAnsi="宋体"/>
          <w:szCs w:val="21"/>
        </w:rPr>
      </w:pPr>
      <w:r>
        <w:rPr>
          <w:rFonts w:hint="eastAsia" w:ascii="宋体" w:hAnsi="宋体"/>
          <w:szCs w:val="21"/>
        </w:rPr>
        <w:t>1.安装时间：</w:t>
      </w:r>
      <w:r>
        <w:rPr>
          <w:rFonts w:hint="eastAsia" w:ascii="宋体" w:hAnsi="宋体"/>
          <w:szCs w:val="21"/>
          <w:u w:val="single"/>
        </w:rPr>
        <w:t xml:space="preserve">                         </w:t>
      </w:r>
      <w:r>
        <w:rPr>
          <w:rFonts w:hint="eastAsia" w:ascii="宋体" w:hAnsi="宋体"/>
          <w:szCs w:val="21"/>
        </w:rPr>
        <w:t>；</w:t>
      </w:r>
    </w:p>
    <w:p w14:paraId="5069E4CF">
      <w:pPr>
        <w:snapToGrid w:val="0"/>
        <w:spacing w:line="380" w:lineRule="exact"/>
        <w:ind w:firstLine="420" w:firstLineChars="200"/>
        <w:rPr>
          <w:rFonts w:ascii="宋体" w:hAnsi="宋体"/>
          <w:szCs w:val="21"/>
        </w:rPr>
      </w:pPr>
      <w:r>
        <w:rPr>
          <w:rFonts w:hint="eastAsia" w:ascii="宋体" w:hAnsi="宋体"/>
          <w:szCs w:val="21"/>
        </w:rPr>
        <w:t xml:space="preserve">  安装地点：</w:t>
      </w:r>
      <w:r>
        <w:rPr>
          <w:rFonts w:hint="eastAsia" w:ascii="宋体" w:hAnsi="宋体"/>
          <w:u w:val="single"/>
        </w:rPr>
        <w:t>广西桂林市甲方指定地点（广西师范大学）</w:t>
      </w:r>
      <w:r>
        <w:rPr>
          <w:rFonts w:hint="eastAsia" w:ascii="宋体" w:hAnsi="宋体"/>
          <w:szCs w:val="21"/>
        </w:rPr>
        <w:t>。</w:t>
      </w:r>
    </w:p>
    <w:p w14:paraId="1C7EF0DA">
      <w:pPr>
        <w:snapToGrid w:val="0"/>
        <w:spacing w:line="380" w:lineRule="exact"/>
        <w:ind w:firstLine="420" w:firstLineChars="200"/>
        <w:rPr>
          <w:rFonts w:ascii="宋体" w:hAnsi="宋体"/>
          <w:szCs w:val="21"/>
        </w:rPr>
      </w:pPr>
      <w:r>
        <w:rPr>
          <w:rFonts w:hint="eastAsia" w:ascii="宋体" w:hAnsi="宋体"/>
          <w:szCs w:val="21"/>
        </w:rPr>
        <w:t>2.安装要求：</w:t>
      </w:r>
      <w:r>
        <w:rPr>
          <w:rFonts w:hint="eastAsia" w:ascii="宋体" w:hAnsi="宋体"/>
          <w:szCs w:val="21"/>
          <w:u w:val="single"/>
        </w:rPr>
        <w:t>乙方应当按甲方要求进行安装</w:t>
      </w:r>
      <w:r>
        <w:rPr>
          <w:rFonts w:hint="eastAsia" w:ascii="宋体" w:hAnsi="宋体"/>
          <w:szCs w:val="21"/>
        </w:rPr>
        <w:t>。</w:t>
      </w:r>
    </w:p>
    <w:p w14:paraId="538D9E09">
      <w:pPr>
        <w:snapToGrid w:val="0"/>
        <w:spacing w:line="380" w:lineRule="exact"/>
        <w:ind w:firstLine="420" w:firstLineChars="200"/>
        <w:rPr>
          <w:rFonts w:ascii="宋体" w:hAnsi="宋体"/>
          <w:szCs w:val="21"/>
        </w:rPr>
      </w:pPr>
      <w:r>
        <w:rPr>
          <w:rFonts w:hint="eastAsia" w:ascii="宋体" w:hAnsi="宋体"/>
          <w:szCs w:val="21"/>
        </w:rPr>
        <w:t>3.甲方应提供必要安装条件（如场地、电源、水源等）。</w:t>
      </w:r>
    </w:p>
    <w:p w14:paraId="01CB8E27">
      <w:pPr>
        <w:pStyle w:val="14"/>
        <w:spacing w:after="0" w:line="380" w:lineRule="exact"/>
        <w:ind w:firstLine="420" w:firstLineChars="200"/>
        <w:rPr>
          <w:rFonts w:ascii="宋体" w:hAnsi="宋体"/>
          <w:szCs w:val="21"/>
        </w:rPr>
      </w:pPr>
      <w:r>
        <w:rPr>
          <w:rFonts w:hint="eastAsia" w:ascii="宋体" w:hAnsi="宋体"/>
          <w:szCs w:val="21"/>
        </w:rPr>
        <w:t>4.乙方应当按照响应文件的承诺对甲方有关人员免费进行培训。</w:t>
      </w:r>
    </w:p>
    <w:p w14:paraId="0C583EF3">
      <w:pPr>
        <w:pStyle w:val="14"/>
        <w:spacing w:after="0" w:line="380" w:lineRule="exact"/>
        <w:ind w:firstLine="420" w:firstLineChars="200"/>
        <w:rPr>
          <w:rFonts w:ascii="宋体" w:hAnsi="宋体"/>
          <w:szCs w:val="21"/>
        </w:rPr>
      </w:pPr>
      <w:r>
        <w:rPr>
          <w:rFonts w:hint="eastAsia" w:ascii="宋体" w:hAnsi="宋体"/>
          <w:szCs w:val="21"/>
        </w:rPr>
        <w:t>培训时间：</w:t>
      </w:r>
      <w:r>
        <w:rPr>
          <w:rFonts w:hint="eastAsia" w:ascii="宋体" w:hAnsi="宋体"/>
          <w:szCs w:val="21"/>
          <w:u w:val="single"/>
        </w:rPr>
        <w:t xml:space="preserve">                        </w:t>
      </w:r>
      <w:r>
        <w:rPr>
          <w:rFonts w:hint="eastAsia" w:ascii="宋体" w:hAnsi="宋体"/>
          <w:szCs w:val="21"/>
        </w:rPr>
        <w:t xml:space="preserve"> ；</w:t>
      </w:r>
    </w:p>
    <w:p w14:paraId="3C7AAC31">
      <w:pPr>
        <w:pStyle w:val="14"/>
        <w:spacing w:after="0" w:line="380" w:lineRule="exact"/>
        <w:ind w:firstLine="420" w:firstLineChars="200"/>
        <w:rPr>
          <w:rFonts w:ascii="宋体" w:hAnsi="宋体"/>
          <w:szCs w:val="21"/>
        </w:rPr>
      </w:pPr>
      <w:r>
        <w:rPr>
          <w:rFonts w:hint="eastAsia" w:ascii="宋体" w:hAnsi="宋体"/>
          <w:szCs w:val="21"/>
        </w:rPr>
        <w:t>培训地点：</w:t>
      </w:r>
      <w:r>
        <w:rPr>
          <w:rFonts w:hint="eastAsia" w:ascii="宋体" w:hAnsi="宋体"/>
          <w:szCs w:val="21"/>
          <w:u w:val="single"/>
        </w:rPr>
        <w:t>广西桂林市甲方指定地点（广西师范大学）</w:t>
      </w:r>
      <w:r>
        <w:rPr>
          <w:rFonts w:hint="eastAsia" w:ascii="宋体" w:hAnsi="宋体"/>
          <w:szCs w:val="21"/>
        </w:rPr>
        <w:t>。</w:t>
      </w:r>
    </w:p>
    <w:p w14:paraId="65A6634A">
      <w:pPr>
        <w:snapToGrid w:val="0"/>
        <w:spacing w:line="380" w:lineRule="exact"/>
        <w:ind w:firstLine="422" w:firstLineChars="200"/>
        <w:rPr>
          <w:rFonts w:ascii="宋体" w:hAnsi="宋体"/>
          <w:b/>
          <w:szCs w:val="21"/>
        </w:rPr>
      </w:pPr>
      <w:r>
        <w:rPr>
          <w:rFonts w:hint="eastAsia" w:ascii="宋体" w:hAnsi="宋体"/>
          <w:b/>
          <w:szCs w:val="21"/>
        </w:rPr>
        <w:t>第五条　合同价款及支付</w:t>
      </w:r>
    </w:p>
    <w:p w14:paraId="6AE5FD80">
      <w:pPr>
        <w:pStyle w:val="18"/>
        <w:snapToGrid w:val="0"/>
        <w:spacing w:line="380" w:lineRule="exact"/>
        <w:ind w:firstLine="420" w:firstLineChars="200"/>
        <w:rPr>
          <w:rFonts w:hAnsi="宋体"/>
          <w:sz w:val="21"/>
        </w:rPr>
      </w:pPr>
      <w:r>
        <w:rPr>
          <w:rFonts w:hint="eastAsia" w:hAnsi="宋体"/>
          <w:sz w:val="21"/>
        </w:rPr>
        <w:t>1.本合同以人民币付款。</w:t>
      </w:r>
    </w:p>
    <w:p w14:paraId="4B3E1DC1">
      <w:pPr>
        <w:pStyle w:val="18"/>
        <w:snapToGrid w:val="0"/>
        <w:spacing w:line="380" w:lineRule="exact"/>
        <w:ind w:firstLine="420" w:firstLineChars="200"/>
        <w:rPr>
          <w:rFonts w:hAnsi="宋体"/>
          <w:sz w:val="21"/>
          <w:u w:val="single"/>
        </w:rPr>
      </w:pPr>
      <w:r>
        <w:rPr>
          <w:rFonts w:hint="eastAsia" w:hAnsi="宋体"/>
          <w:sz w:val="21"/>
        </w:rPr>
        <w:t>2.合同价款：</w:t>
      </w:r>
      <w:r>
        <w:rPr>
          <w:rFonts w:hint="eastAsia" w:hAnsi="宋体"/>
          <w:sz w:val="21"/>
          <w:u w:val="single"/>
        </w:rPr>
        <w:t xml:space="preserve">                 </w:t>
      </w:r>
    </w:p>
    <w:p w14:paraId="3B68D8FC">
      <w:pPr>
        <w:snapToGrid w:val="0"/>
        <w:spacing w:line="380" w:lineRule="exact"/>
        <w:ind w:firstLine="420" w:firstLineChars="200"/>
        <w:rPr>
          <w:rFonts w:ascii="宋体" w:hAnsi="宋体" w:cs="宋体"/>
          <w:szCs w:val="21"/>
          <w:u w:val="single"/>
        </w:rPr>
      </w:pPr>
      <w:r>
        <w:rPr>
          <w:rFonts w:hint="eastAsia" w:ascii="宋体" w:hAnsi="宋体"/>
          <w:szCs w:val="21"/>
        </w:rPr>
        <w:t>3.合同价款</w:t>
      </w:r>
      <w:r>
        <w:rPr>
          <w:rFonts w:hint="eastAsia" w:ascii="宋体" w:hAnsi="宋体" w:cs="宋体"/>
          <w:szCs w:val="21"/>
          <w:u w:val="single"/>
        </w:rPr>
        <w:t>应</w:t>
      </w:r>
      <w:r>
        <w:rPr>
          <w:rFonts w:hint="eastAsia" w:ascii="宋体" w:hAnsi="宋体"/>
          <w:szCs w:val="21"/>
          <w:u w:val="single"/>
        </w:rPr>
        <w:t>包含其承诺的提供本次采购范围的所有内容产生的成本、税金、利润、项目验收、</w:t>
      </w:r>
      <w:r>
        <w:rPr>
          <w:rFonts w:hint="eastAsia" w:ascii="宋体" w:hAnsi="宋体"/>
          <w:u w:val="single"/>
        </w:rPr>
        <w:t>检验、售后服务、培训、维护、升级</w:t>
      </w:r>
      <w:r>
        <w:rPr>
          <w:rFonts w:hint="eastAsia" w:ascii="宋体" w:hAnsi="宋体"/>
          <w:szCs w:val="21"/>
          <w:u w:val="single"/>
        </w:rPr>
        <w:t>等费用</w:t>
      </w:r>
      <w:r>
        <w:rPr>
          <w:rFonts w:hint="eastAsia" w:ascii="宋体" w:hAnsi="宋体" w:cs="宋体"/>
          <w:szCs w:val="21"/>
          <w:u w:val="single"/>
        </w:rPr>
        <w:t>，对于本文件中未列明，而供应商认为必须的费用也需列入报价。在合同实施时，甲方将不予支付乙方没有列入的项目费用，并认为此项目的费用已包括在合同价款中。</w:t>
      </w:r>
    </w:p>
    <w:p w14:paraId="26308A36">
      <w:pPr>
        <w:pStyle w:val="18"/>
        <w:snapToGrid w:val="0"/>
        <w:spacing w:line="380" w:lineRule="exact"/>
        <w:ind w:firstLine="420" w:firstLineChars="200"/>
        <w:rPr>
          <w:rFonts w:hAnsi="宋体" w:cs="宋体"/>
          <w:kern w:val="2"/>
          <w:sz w:val="21"/>
          <w:u w:val="single"/>
        </w:rPr>
      </w:pPr>
      <w:r>
        <w:rPr>
          <w:rFonts w:hint="eastAsia" w:hAnsi="宋体"/>
          <w:bCs/>
          <w:sz w:val="21"/>
        </w:rPr>
        <w:t>4.</w:t>
      </w:r>
      <w:r>
        <w:rPr>
          <w:rFonts w:hint="eastAsia" w:hAnsi="宋体"/>
          <w:sz w:val="21"/>
        </w:rPr>
        <w:t>付款进度安排</w:t>
      </w:r>
      <w:r>
        <w:rPr>
          <w:rFonts w:hint="eastAsia" w:hAnsi="宋体"/>
          <w:i/>
          <w:sz w:val="21"/>
        </w:rPr>
        <w:t>：</w:t>
      </w:r>
      <w:r>
        <w:rPr>
          <w:rFonts w:hint="eastAsia" w:hAnsi="宋体" w:cs="宋体"/>
          <w:kern w:val="2"/>
          <w:sz w:val="21"/>
          <w:u w:val="single"/>
        </w:rPr>
        <w:t>自签订合同之日起七个工作日内，采购人支付合同款总额20%作为预付款，交货核验（含测试或试运行演示）合格后，采购人支付20%合同款，交货甲方经安装试运行一个月，甲方予以最终验收，验收合格后十个工作日内，采购人支付剩余60%的合同款。采购人在付款之前，供应商应开具相应金额正式发票给采购人。</w:t>
      </w:r>
    </w:p>
    <w:p w14:paraId="33488729">
      <w:pPr>
        <w:snapToGrid w:val="0"/>
        <w:spacing w:line="380" w:lineRule="exact"/>
        <w:ind w:firstLine="420" w:firstLineChars="200"/>
        <w:rPr>
          <w:rFonts w:ascii="宋体" w:hAnsi="宋体"/>
          <w:szCs w:val="21"/>
        </w:rPr>
      </w:pPr>
      <w:r>
        <w:rPr>
          <w:rFonts w:hint="eastAsia" w:ascii="宋体" w:hAnsi="宋体"/>
          <w:szCs w:val="21"/>
        </w:rPr>
        <w:t>5.资金支付方式：</w:t>
      </w:r>
      <w:r>
        <w:rPr>
          <w:rFonts w:hint="eastAsia" w:ascii="宋体" w:hAnsi="宋体" w:cs="宋体"/>
          <w:szCs w:val="21"/>
          <w:u w:val="single"/>
        </w:rPr>
        <w:t>银行转账</w:t>
      </w:r>
      <w:r>
        <w:rPr>
          <w:rFonts w:hint="eastAsia" w:ascii="宋体" w:hAnsi="宋体"/>
          <w:szCs w:val="21"/>
        </w:rPr>
        <w:t>。</w:t>
      </w:r>
    </w:p>
    <w:p w14:paraId="09F640B1">
      <w:pPr>
        <w:pStyle w:val="18"/>
        <w:snapToGrid w:val="0"/>
        <w:spacing w:line="380" w:lineRule="exact"/>
        <w:ind w:firstLine="420" w:firstLineChars="200"/>
        <w:rPr>
          <w:rFonts w:hAnsi="宋体" w:cs="宋体"/>
          <w:kern w:val="2"/>
          <w:sz w:val="21"/>
          <w:u w:val="single"/>
        </w:rPr>
      </w:pPr>
      <w:r>
        <w:rPr>
          <w:rFonts w:hint="eastAsia" w:hAnsi="宋体" w:cs="宋体"/>
          <w:kern w:val="2"/>
          <w:sz w:val="21"/>
        </w:rPr>
        <w:t>6.税费：</w:t>
      </w:r>
      <w:r>
        <w:rPr>
          <w:rFonts w:hint="eastAsia" w:hAnsi="宋体" w:cs="宋体"/>
          <w:kern w:val="2"/>
          <w:sz w:val="21"/>
          <w:u w:val="single"/>
        </w:rPr>
        <w:t>本合同执行中相关的一切税费均由乙方负担。</w:t>
      </w:r>
    </w:p>
    <w:p w14:paraId="49C20AC5">
      <w:pPr>
        <w:snapToGrid w:val="0"/>
        <w:spacing w:line="380" w:lineRule="exact"/>
        <w:ind w:firstLine="422" w:firstLineChars="200"/>
        <w:rPr>
          <w:rFonts w:ascii="宋体" w:hAnsi="宋体"/>
          <w:b/>
          <w:szCs w:val="21"/>
        </w:rPr>
      </w:pPr>
      <w:r>
        <w:rPr>
          <w:rFonts w:hint="eastAsia" w:ascii="宋体" w:hAnsi="宋体"/>
          <w:b/>
          <w:szCs w:val="21"/>
        </w:rPr>
        <w:t>第六条　验收、交付标准和方法</w:t>
      </w:r>
    </w:p>
    <w:p w14:paraId="61113D07">
      <w:pPr>
        <w:snapToGrid w:val="0"/>
        <w:spacing w:line="380" w:lineRule="exact"/>
        <w:ind w:firstLine="420" w:firstLineChars="200"/>
        <w:rPr>
          <w:rFonts w:ascii="宋体" w:hAnsi="宋体"/>
          <w:szCs w:val="21"/>
        </w:rPr>
      </w:pPr>
      <w:r>
        <w:rPr>
          <w:rFonts w:hint="eastAsia" w:ascii="宋体" w:hAnsi="宋体"/>
          <w:szCs w:val="21"/>
        </w:rPr>
        <w:t>1.验收标准和方法</w:t>
      </w:r>
    </w:p>
    <w:p w14:paraId="1F9463DC">
      <w:pPr>
        <w:snapToGrid w:val="0"/>
        <w:spacing w:line="380" w:lineRule="exact"/>
        <w:ind w:firstLine="420" w:firstLineChars="200"/>
        <w:rPr>
          <w:rFonts w:ascii="宋体" w:hAnsi="宋体"/>
          <w:szCs w:val="21"/>
        </w:rPr>
      </w:pPr>
      <w:r>
        <w:rPr>
          <w:rFonts w:hint="eastAsia" w:ascii="宋体" w:hAnsi="宋体"/>
          <w:szCs w:val="21"/>
        </w:rPr>
        <w:t>1.1验收标准：</w:t>
      </w:r>
    </w:p>
    <w:p w14:paraId="3FF1FA3E">
      <w:pPr>
        <w:snapToGrid w:val="0"/>
        <w:spacing w:line="380" w:lineRule="exact"/>
        <w:ind w:firstLine="420" w:firstLineChars="200"/>
        <w:rPr>
          <w:rFonts w:ascii="宋体" w:hAnsi="宋体" w:cs="宋体"/>
          <w:szCs w:val="21"/>
          <w:u w:val="single"/>
        </w:rPr>
      </w:pPr>
      <w:r>
        <w:rPr>
          <w:rFonts w:hint="eastAsia" w:ascii="宋体" w:hAnsi="宋体" w:cs="宋体"/>
          <w:szCs w:val="21"/>
          <w:u w:val="single"/>
        </w:rPr>
        <w:t>（1）本项目执行国家相关标准、行业标准、地方标准或者其他标准、规范。如具体采购需求与标准、规范不一致的，高于标准、规范的按具体采购需求执行；低于标准、规范的按标准、规范执行。供应商所提供的系统必须是全新、完好、无破损、未经使用的，在正常安装、使用和保养条件下，其使用寿命期内各项指标均达到质量要求。</w:t>
      </w:r>
    </w:p>
    <w:p w14:paraId="249E18FB">
      <w:pPr>
        <w:snapToGrid w:val="0"/>
        <w:spacing w:line="380" w:lineRule="exact"/>
        <w:ind w:firstLine="420" w:firstLineChars="200"/>
        <w:rPr>
          <w:rFonts w:ascii="宋体" w:hAnsi="宋体" w:cs="宋体"/>
          <w:szCs w:val="21"/>
          <w:u w:val="single"/>
        </w:rPr>
      </w:pPr>
      <w:r>
        <w:rPr>
          <w:rFonts w:hint="eastAsia" w:ascii="宋体" w:hAnsi="宋体" w:cs="宋体"/>
          <w:szCs w:val="21"/>
          <w:u w:val="single"/>
        </w:rPr>
        <w:t>2.产品到货后，甲方现场根据竞争性磋商文件要求及响应文件承诺逐条对应进行核验（含测试或试运行演示），核验不合格的，甲方有权不予验收，同时报相关监督管理部门，若甲方已支付部分款项的，乙方应予以退还，由此造成甲方经济损失的由乙方负责承担全部赔偿责任。</w:t>
      </w:r>
    </w:p>
    <w:p w14:paraId="20CC187E">
      <w:pPr>
        <w:snapToGrid w:val="0"/>
        <w:spacing w:line="380" w:lineRule="exact"/>
        <w:ind w:firstLine="420" w:firstLineChars="200"/>
        <w:rPr>
          <w:rFonts w:ascii="宋体" w:hAnsi="宋体" w:cs="宋体"/>
          <w:szCs w:val="21"/>
          <w:u w:val="single"/>
        </w:rPr>
      </w:pPr>
      <w:r>
        <w:rPr>
          <w:rFonts w:hint="eastAsia" w:ascii="宋体" w:hAnsi="宋体" w:cs="宋体"/>
          <w:szCs w:val="21"/>
          <w:u w:val="single"/>
        </w:rPr>
        <w:t>3.因产品质量问题发生争议的，应邀请国家认可的质量检测机构对产品质量进行鉴定。</w:t>
      </w:r>
    </w:p>
    <w:p w14:paraId="4AD2CC1C">
      <w:pPr>
        <w:snapToGrid w:val="0"/>
        <w:spacing w:line="380" w:lineRule="exact"/>
        <w:ind w:firstLine="420" w:firstLineChars="200"/>
        <w:rPr>
          <w:rFonts w:ascii="宋体" w:hAnsi="宋体" w:cs="宋体"/>
          <w:szCs w:val="21"/>
          <w:u w:val="single"/>
        </w:rPr>
      </w:pPr>
      <w:r>
        <w:rPr>
          <w:rFonts w:hint="eastAsia" w:ascii="宋体" w:hAnsi="宋体" w:cs="宋体"/>
          <w:szCs w:val="21"/>
          <w:u w:val="single"/>
        </w:rPr>
        <w:t>4.相关检验检测鉴定和验收费用全部由乙方承担。</w:t>
      </w:r>
    </w:p>
    <w:p w14:paraId="6C167238">
      <w:pPr>
        <w:snapToGrid w:val="0"/>
        <w:spacing w:line="380" w:lineRule="exact"/>
        <w:ind w:firstLine="420" w:firstLineChars="200"/>
        <w:rPr>
          <w:rFonts w:ascii="宋体" w:hAnsi="宋体"/>
          <w:szCs w:val="21"/>
        </w:rPr>
      </w:pPr>
      <w:r>
        <w:rPr>
          <w:rFonts w:hint="eastAsia" w:ascii="宋体" w:hAnsi="宋体"/>
          <w:szCs w:val="21"/>
        </w:rPr>
        <w:t>1.2验收程序及方法：</w:t>
      </w:r>
    </w:p>
    <w:p w14:paraId="3F159941">
      <w:pPr>
        <w:snapToGrid w:val="0"/>
        <w:spacing w:line="380" w:lineRule="exact"/>
        <w:ind w:firstLine="420" w:firstLineChars="200"/>
        <w:rPr>
          <w:rFonts w:ascii="宋体" w:hAnsi="宋体"/>
          <w:szCs w:val="21"/>
        </w:rPr>
      </w:pPr>
      <w:r>
        <w:rPr>
          <w:rFonts w:hint="eastAsia" w:ascii="宋体" w:hAnsi="宋体"/>
          <w:szCs w:val="21"/>
        </w:rPr>
        <w:t>（1）乙方履行完合同义务，甲方试运行一个月后，乙方书面向甲方提交验收申请。</w:t>
      </w:r>
    </w:p>
    <w:p w14:paraId="13A8A9FC">
      <w:pPr>
        <w:snapToGrid w:val="0"/>
        <w:spacing w:line="380" w:lineRule="exact"/>
        <w:ind w:firstLine="420" w:firstLineChars="200"/>
        <w:rPr>
          <w:rFonts w:ascii="宋体" w:hAnsi="宋体"/>
          <w:szCs w:val="21"/>
        </w:rPr>
      </w:pPr>
      <w:r>
        <w:rPr>
          <w:rFonts w:hint="eastAsia" w:ascii="宋体" w:hAnsi="宋体"/>
          <w:szCs w:val="21"/>
        </w:rPr>
        <w:t>（2）甲方收到乙方验收申请之日起</w:t>
      </w:r>
      <w:r>
        <w:rPr>
          <w:rFonts w:hint="eastAsia" w:ascii="宋体" w:hAnsi="宋体"/>
          <w:szCs w:val="21"/>
          <w:u w:val="single"/>
        </w:rPr>
        <w:t>7</w:t>
      </w:r>
      <w:r>
        <w:rPr>
          <w:rFonts w:hint="eastAsia" w:ascii="宋体" w:hAnsi="宋体"/>
          <w:szCs w:val="21"/>
        </w:rPr>
        <w:t>个工作日进行验收，逾期不验收的，视同验收合格。甲方委托第三方机构组织项目验收的，其验收时间以该项目验收方案确定的验收时间为准。</w:t>
      </w:r>
    </w:p>
    <w:p w14:paraId="60D4DE8C">
      <w:pPr>
        <w:spacing w:line="380" w:lineRule="exact"/>
        <w:ind w:firstLine="420" w:firstLineChars="200"/>
        <w:rPr>
          <w:rFonts w:ascii="宋体" w:hAnsi="宋体"/>
          <w:szCs w:val="21"/>
        </w:rPr>
      </w:pPr>
      <w:r>
        <w:rPr>
          <w:rFonts w:hint="eastAsia" w:ascii="宋体" w:hAnsi="宋体"/>
          <w:szCs w:val="21"/>
        </w:rPr>
        <w:t>（3）本项目验收由验收小组按照采购合同约定对每一项技术和商务要求的履约情况进行确认。</w:t>
      </w:r>
    </w:p>
    <w:p w14:paraId="37008532">
      <w:pPr>
        <w:spacing w:line="380" w:lineRule="exact"/>
        <w:ind w:firstLine="420" w:firstLineChars="200"/>
        <w:rPr>
          <w:rFonts w:ascii="宋体" w:hAnsi="宋体" w:cs="宋体"/>
          <w:kern w:val="0"/>
          <w:szCs w:val="21"/>
        </w:rPr>
      </w:pPr>
      <w:r>
        <w:rPr>
          <w:rFonts w:hint="eastAsia" w:ascii="宋体" w:hAnsi="宋体"/>
          <w:szCs w:val="21"/>
        </w:rPr>
        <w:t>（4）验收结束后，验收小组出具采购验收书，验收书应当包括每一项技术和商务要求的履约情况，并列明项目总体评价，由验收小组、甲方和乙方共同签署。甲方委托第三方机构组织项目验收的，其验收结果以第三方机构出具验收书结论为准，甲方和乙方共同签署确认。</w:t>
      </w:r>
    </w:p>
    <w:p w14:paraId="6D972D05">
      <w:pPr>
        <w:spacing w:line="380" w:lineRule="exact"/>
        <w:ind w:firstLine="420" w:firstLineChars="200"/>
        <w:rPr>
          <w:rFonts w:ascii="宋体" w:hAnsi="宋体"/>
          <w:szCs w:val="21"/>
        </w:rPr>
      </w:pPr>
      <w:r>
        <w:rPr>
          <w:rFonts w:hint="eastAsia" w:ascii="宋体" w:hAnsi="宋体"/>
          <w:szCs w:val="21"/>
        </w:rPr>
        <w:t>（5）验收过程中所产生的一切费用均由乙方承担。</w:t>
      </w:r>
    </w:p>
    <w:p w14:paraId="3788681A">
      <w:pPr>
        <w:spacing w:line="380" w:lineRule="exact"/>
        <w:ind w:firstLine="420" w:firstLineChars="200"/>
        <w:rPr>
          <w:rFonts w:ascii="宋体" w:hAnsi="宋体"/>
          <w:szCs w:val="21"/>
        </w:rPr>
      </w:pPr>
      <w:r>
        <w:rPr>
          <w:rFonts w:hint="eastAsia" w:ascii="宋体" w:hAnsi="宋体"/>
          <w:szCs w:val="21"/>
        </w:rPr>
        <w:t>（6）验收书一式</w:t>
      </w:r>
      <w:r>
        <w:rPr>
          <w:rFonts w:hint="eastAsia" w:ascii="宋体" w:hAnsi="宋体"/>
          <w:szCs w:val="21"/>
          <w:u w:val="single"/>
        </w:rPr>
        <w:t>五</w:t>
      </w:r>
      <w:r>
        <w:rPr>
          <w:rFonts w:hint="eastAsia" w:ascii="宋体" w:hAnsi="宋体"/>
          <w:szCs w:val="21"/>
        </w:rPr>
        <w:t>份，甲乙双方各执</w:t>
      </w:r>
      <w:r>
        <w:rPr>
          <w:rFonts w:hint="eastAsia" w:ascii="宋体" w:hAnsi="宋体"/>
          <w:szCs w:val="21"/>
          <w:u w:val="single"/>
        </w:rPr>
        <w:t>二</w:t>
      </w:r>
      <w:r>
        <w:rPr>
          <w:rFonts w:hint="eastAsia" w:ascii="宋体" w:hAnsi="宋体"/>
          <w:szCs w:val="21"/>
        </w:rPr>
        <w:t>份、受托第三方机构一份（如有）。</w:t>
      </w:r>
    </w:p>
    <w:p w14:paraId="6F98C965">
      <w:pPr>
        <w:spacing w:line="380" w:lineRule="exact"/>
        <w:ind w:firstLine="420" w:firstLineChars="200"/>
        <w:rPr>
          <w:rFonts w:ascii="宋体" w:hAnsi="宋体"/>
          <w:szCs w:val="21"/>
        </w:rPr>
      </w:pPr>
      <w:r>
        <w:rPr>
          <w:rFonts w:hint="eastAsia" w:ascii="宋体" w:hAnsi="宋体"/>
          <w:szCs w:val="21"/>
        </w:rPr>
        <w:t>（7）验收结论不合格的，乙方应自收到验收书后</w:t>
      </w:r>
      <w:r>
        <w:rPr>
          <w:rFonts w:hint="eastAsia" w:ascii="宋体" w:hAnsi="宋体"/>
          <w:szCs w:val="21"/>
          <w:u w:val="single"/>
        </w:rPr>
        <w:t>7</w:t>
      </w:r>
      <w:r>
        <w:rPr>
          <w:rFonts w:hint="eastAsia" w:ascii="宋体" w:hAnsi="宋体"/>
          <w:szCs w:val="21"/>
        </w:rPr>
        <w:t>日内及时予以解决。经乙方对验收结论不合格的货物进行整改后，仍然达不到要求的，甲方有权选择按以下办法之一处理：</w:t>
      </w:r>
    </w:p>
    <w:p w14:paraId="63953F82">
      <w:pPr>
        <w:spacing w:line="380" w:lineRule="exact"/>
        <w:ind w:firstLine="420" w:firstLineChars="200"/>
        <w:rPr>
          <w:rFonts w:ascii="宋体" w:hAnsi="宋体"/>
          <w:szCs w:val="21"/>
        </w:rPr>
      </w:pPr>
      <w:r>
        <w:rPr>
          <w:rFonts w:hint="eastAsia" w:ascii="宋体" w:hAnsi="宋体"/>
          <w:szCs w:val="21"/>
        </w:rPr>
        <w:t>①更换：由乙方承担所发生的全部费用。</w:t>
      </w:r>
    </w:p>
    <w:p w14:paraId="1DCEDE06">
      <w:pPr>
        <w:spacing w:line="380" w:lineRule="exact"/>
        <w:ind w:firstLine="420" w:firstLineChars="200"/>
        <w:rPr>
          <w:rFonts w:ascii="宋体" w:hAnsi="宋体"/>
          <w:szCs w:val="21"/>
        </w:rPr>
      </w:pPr>
      <w:r>
        <w:rPr>
          <w:rFonts w:hint="eastAsia" w:ascii="宋体" w:hAnsi="宋体"/>
          <w:szCs w:val="21"/>
        </w:rPr>
        <w:t>②贬值处理：由甲乙双方合议定价。</w:t>
      </w:r>
    </w:p>
    <w:p w14:paraId="15273221">
      <w:pPr>
        <w:spacing w:line="380" w:lineRule="exact"/>
        <w:ind w:firstLine="420" w:firstLineChars="200"/>
        <w:rPr>
          <w:rFonts w:ascii="宋体" w:hAnsi="宋体"/>
          <w:szCs w:val="21"/>
        </w:rPr>
      </w:pPr>
      <w:r>
        <w:rPr>
          <w:rFonts w:hint="eastAsia" w:ascii="宋体" w:hAnsi="宋体"/>
          <w:szCs w:val="21"/>
        </w:rPr>
        <w:t>③退货处理：乙方应退还甲方已支付的合同款，同时应承担该货物的直接费用（运输、保险、检验、贷款利息及银行手续费等）和停用期间损失（按照每日【  】元计）。</w:t>
      </w:r>
    </w:p>
    <w:p w14:paraId="67F6CE06">
      <w:pPr>
        <w:spacing w:line="380" w:lineRule="exact"/>
        <w:ind w:firstLine="420" w:firstLineChars="200"/>
        <w:rPr>
          <w:rFonts w:ascii="宋体" w:hAnsi="宋体"/>
          <w:szCs w:val="21"/>
        </w:rPr>
      </w:pPr>
      <w:r>
        <w:rPr>
          <w:rFonts w:hint="eastAsia" w:ascii="宋体" w:hAnsi="宋体"/>
          <w:szCs w:val="21"/>
        </w:rPr>
        <w:t>2.交付标准和方法</w:t>
      </w:r>
    </w:p>
    <w:p w14:paraId="4AFABAE7">
      <w:pPr>
        <w:spacing w:line="380" w:lineRule="exact"/>
        <w:ind w:firstLine="420" w:firstLineChars="200"/>
        <w:rPr>
          <w:rFonts w:ascii="宋体" w:hAnsi="宋体"/>
          <w:szCs w:val="21"/>
        </w:rPr>
      </w:pPr>
      <w:r>
        <w:rPr>
          <w:rFonts w:hint="eastAsia" w:ascii="宋体" w:hAnsi="宋体"/>
          <w:szCs w:val="21"/>
        </w:rPr>
        <w:t>（1）除后续服务验收外，验收结论合格的，乙方应自收到验收书后</w:t>
      </w:r>
      <w:r>
        <w:rPr>
          <w:rFonts w:hint="eastAsia" w:ascii="宋体" w:hAnsi="宋体"/>
          <w:szCs w:val="21"/>
          <w:u w:val="single"/>
        </w:rPr>
        <w:t>7</w:t>
      </w:r>
      <w:r>
        <w:rPr>
          <w:rFonts w:hint="eastAsia" w:ascii="宋体" w:hAnsi="宋体"/>
          <w:szCs w:val="21"/>
        </w:rPr>
        <w:t>日内向甲方正式交付使用。</w:t>
      </w:r>
    </w:p>
    <w:p w14:paraId="5197C1E1">
      <w:pPr>
        <w:snapToGrid w:val="0"/>
        <w:spacing w:line="380" w:lineRule="exact"/>
        <w:ind w:firstLine="420" w:firstLineChars="200"/>
        <w:rPr>
          <w:rFonts w:ascii="宋体" w:hAnsi="宋体"/>
          <w:b/>
          <w:szCs w:val="21"/>
        </w:rPr>
      </w:pPr>
      <w:r>
        <w:rPr>
          <w:rFonts w:hint="eastAsia" w:ascii="宋体" w:hAnsi="宋体"/>
          <w:szCs w:val="21"/>
        </w:rPr>
        <w:t>（2）货物的所有权和风险自交付时起由乙方转移至甲方，货物交付给甲方之前所有风险均由乙方承担。</w:t>
      </w:r>
    </w:p>
    <w:p w14:paraId="195FB2B3">
      <w:pPr>
        <w:snapToGrid w:val="0"/>
        <w:spacing w:line="380" w:lineRule="exact"/>
        <w:ind w:firstLine="422" w:firstLineChars="200"/>
        <w:rPr>
          <w:rFonts w:ascii="宋体" w:hAnsi="宋体"/>
          <w:b/>
          <w:spacing w:val="-2"/>
        </w:rPr>
      </w:pPr>
      <w:r>
        <w:rPr>
          <w:rFonts w:hint="eastAsia" w:ascii="宋体" w:hAnsi="宋体"/>
          <w:b/>
          <w:szCs w:val="21"/>
        </w:rPr>
        <w:t>第七条  售后</w:t>
      </w:r>
      <w:r>
        <w:rPr>
          <w:rFonts w:hint="eastAsia" w:ascii="宋体" w:hAnsi="宋体"/>
          <w:b/>
          <w:spacing w:val="-2"/>
        </w:rPr>
        <w:t>服务要求</w:t>
      </w:r>
    </w:p>
    <w:p w14:paraId="479518AB">
      <w:pPr>
        <w:snapToGrid w:val="0"/>
        <w:spacing w:line="380" w:lineRule="exact"/>
        <w:ind w:firstLine="414" w:firstLineChars="200"/>
        <w:rPr>
          <w:rFonts w:ascii="宋体" w:hAnsi="宋体"/>
          <w:b/>
          <w:spacing w:val="-2"/>
        </w:rPr>
      </w:pPr>
      <w:bookmarkStart w:id="103" w:name="OLE_LINK18"/>
      <w:bookmarkStart w:id="104" w:name="OLE_LINK19"/>
      <w:r>
        <w:rPr>
          <w:rFonts w:hint="eastAsia" w:ascii="宋体" w:hAnsi="宋体"/>
          <w:b/>
          <w:spacing w:val="-2"/>
        </w:rPr>
        <w:t>标项一：</w:t>
      </w:r>
    </w:p>
    <w:bookmarkEnd w:id="103"/>
    <w:bookmarkEnd w:id="104"/>
    <w:p w14:paraId="4BF5760C">
      <w:pPr>
        <w:spacing w:line="380" w:lineRule="exact"/>
        <w:ind w:firstLine="420" w:firstLineChars="200"/>
        <w:rPr>
          <w:rFonts w:ascii="宋体" w:hAnsi="宋体"/>
          <w:szCs w:val="21"/>
        </w:rPr>
      </w:pPr>
      <w:r>
        <w:rPr>
          <w:rFonts w:hint="eastAsia" w:ascii="宋体" w:hAnsi="宋体"/>
          <w:szCs w:val="21"/>
        </w:rPr>
        <w:t>（1）质保期：自交付验收通过之日起</w:t>
      </w:r>
      <w:r>
        <w:rPr>
          <w:rFonts w:hint="eastAsia" w:ascii="宋体" w:hAnsi="宋体"/>
          <w:szCs w:val="21"/>
          <w:u w:val="single"/>
        </w:rPr>
        <w:t xml:space="preserve">   </w:t>
      </w:r>
      <w:r>
        <w:rPr>
          <w:rFonts w:hint="eastAsia" w:ascii="宋体" w:hAnsi="宋体"/>
          <w:szCs w:val="21"/>
        </w:rPr>
        <w:t>年</w:t>
      </w:r>
    </w:p>
    <w:p w14:paraId="121DD68D">
      <w:pPr>
        <w:wordWrap w:val="0"/>
        <w:spacing w:line="380" w:lineRule="exact"/>
        <w:ind w:firstLine="420" w:firstLineChars="200"/>
        <w:rPr>
          <w:rFonts w:ascii="宋体" w:hAnsi="宋体"/>
          <w:szCs w:val="21"/>
        </w:rPr>
      </w:pPr>
      <w:r>
        <w:rPr>
          <w:rFonts w:hint="eastAsia" w:ascii="宋体" w:hAnsi="宋体"/>
          <w:szCs w:val="21"/>
        </w:rPr>
        <w:t>（2）在质保期内，课程运行出现故障，接到采购人处理问题通知后，技术工程师必须</w:t>
      </w:r>
      <w:r>
        <w:rPr>
          <w:rFonts w:hint="eastAsia" w:ascii="宋体" w:hAnsi="宋体"/>
          <w:szCs w:val="21"/>
          <w:u w:val="single"/>
        </w:rPr>
        <w:t xml:space="preserve">   </w:t>
      </w:r>
      <w:r>
        <w:rPr>
          <w:rFonts w:hint="eastAsia" w:ascii="宋体" w:hAnsi="宋体"/>
          <w:szCs w:val="21"/>
        </w:rPr>
        <w:t>小时内采取相应响应措施；无法在</w:t>
      </w:r>
      <w:r>
        <w:rPr>
          <w:rFonts w:hint="eastAsia" w:ascii="宋体" w:hAnsi="宋体"/>
          <w:szCs w:val="21"/>
          <w:u w:val="single"/>
        </w:rPr>
        <w:t xml:space="preserve">     </w:t>
      </w:r>
      <w:r>
        <w:rPr>
          <w:rFonts w:hint="eastAsia" w:ascii="宋体" w:hAnsi="宋体"/>
          <w:szCs w:val="21"/>
        </w:rPr>
        <w:t>小时内解决的，应在</w:t>
      </w:r>
      <w:r>
        <w:rPr>
          <w:rFonts w:hint="eastAsia" w:ascii="宋体" w:hAnsi="宋体"/>
          <w:szCs w:val="21"/>
          <w:u w:val="single"/>
        </w:rPr>
        <w:t xml:space="preserve">    </w:t>
      </w:r>
      <w:r>
        <w:rPr>
          <w:rFonts w:hint="eastAsia" w:ascii="宋体" w:hAnsi="宋体"/>
          <w:szCs w:val="21"/>
        </w:rPr>
        <w:t>小时内派出专业人员进行技术支持，</w:t>
      </w:r>
      <w:r>
        <w:rPr>
          <w:rFonts w:hint="eastAsia" w:ascii="宋体" w:hAnsi="宋体"/>
          <w:szCs w:val="21"/>
          <w:u w:val="single"/>
        </w:rPr>
        <w:t xml:space="preserve">   </w:t>
      </w:r>
      <w:r>
        <w:rPr>
          <w:rFonts w:hint="eastAsia" w:ascii="宋体" w:hAnsi="宋体"/>
          <w:szCs w:val="21"/>
        </w:rPr>
        <w:t>小时内解决一般性故障并恢复课程运行，终身提供免费技术支持。</w:t>
      </w:r>
    </w:p>
    <w:p w14:paraId="36B3D295">
      <w:pPr>
        <w:spacing w:line="380" w:lineRule="exact"/>
        <w:ind w:firstLine="420" w:firstLineChars="200"/>
        <w:rPr>
          <w:rFonts w:ascii="宋体" w:hAnsi="宋体"/>
          <w:szCs w:val="21"/>
        </w:rPr>
      </w:pPr>
      <w:r>
        <w:rPr>
          <w:rFonts w:hint="eastAsia" w:ascii="宋体" w:hAnsi="宋体"/>
          <w:szCs w:val="21"/>
        </w:rPr>
        <w:t>（3）成交供应商能提供7×24响应服务，通过远程、上门服务、电话、E-mail等方式为用户提供终身完善的售后技术咨询服务。</w:t>
      </w:r>
    </w:p>
    <w:p w14:paraId="06B49D98">
      <w:pPr>
        <w:spacing w:line="380" w:lineRule="exact"/>
        <w:ind w:firstLine="420" w:firstLineChars="200"/>
        <w:rPr>
          <w:rFonts w:ascii="宋体" w:hAnsi="宋体"/>
          <w:szCs w:val="21"/>
        </w:rPr>
      </w:pPr>
      <w:r>
        <w:rPr>
          <w:rFonts w:hint="eastAsia" w:ascii="宋体" w:hAnsi="宋体"/>
          <w:szCs w:val="21"/>
        </w:rPr>
        <w:t>（4）在质保期内，如果成交供应商产品技术升级，成交供应商应及时通知采购人，如采购人有相应要求，成交供应商应对采购人进行升级服务。</w:t>
      </w:r>
    </w:p>
    <w:p w14:paraId="774C840F">
      <w:pPr>
        <w:pStyle w:val="2"/>
        <w:ind w:left="0" w:leftChars="0" w:firstLine="414" w:firstLineChars="200"/>
        <w:rPr>
          <w:rFonts w:hint="eastAsia" w:ascii="宋体" w:hAnsi="宋体" w:eastAsia="宋体" w:cs="Times New Roman"/>
          <w:b/>
          <w:spacing w:val="-2"/>
          <w:kern w:val="2"/>
          <w:sz w:val="21"/>
          <w:szCs w:val="24"/>
          <w:lang w:val="en-US" w:eastAsia="zh-CN" w:bidi="ar-SA"/>
        </w:rPr>
      </w:pPr>
      <w:r>
        <w:rPr>
          <w:rFonts w:hint="eastAsia" w:ascii="宋体" w:hAnsi="宋体" w:eastAsia="宋体" w:cs="Times New Roman"/>
          <w:b/>
          <w:spacing w:val="-2"/>
          <w:kern w:val="2"/>
          <w:sz w:val="21"/>
          <w:szCs w:val="24"/>
          <w:lang w:val="en-US" w:eastAsia="zh-CN" w:bidi="ar-SA"/>
        </w:rPr>
        <w:t>标项二：</w:t>
      </w:r>
    </w:p>
    <w:p w14:paraId="7AE8BB76">
      <w:pPr>
        <w:spacing w:line="380" w:lineRule="exact"/>
        <w:ind w:firstLine="420" w:firstLineChars="200"/>
        <w:rPr>
          <w:rFonts w:ascii="宋体" w:hAnsi="宋体"/>
          <w:szCs w:val="21"/>
        </w:rPr>
      </w:pPr>
      <w:r>
        <w:rPr>
          <w:rFonts w:hint="eastAsia" w:ascii="宋体" w:hAnsi="宋体"/>
          <w:szCs w:val="21"/>
        </w:rPr>
        <w:t>1、质保期：自交付验收通过之日起</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rPr>
        <w:t>年</w:t>
      </w:r>
    </w:p>
    <w:p w14:paraId="1C0C4044">
      <w:pPr>
        <w:spacing w:line="380" w:lineRule="exact"/>
        <w:ind w:firstLine="420" w:firstLineChars="200"/>
        <w:rPr>
          <w:rFonts w:ascii="宋体" w:hAnsi="宋体"/>
          <w:szCs w:val="21"/>
        </w:rPr>
      </w:pPr>
      <w:r>
        <w:rPr>
          <w:rFonts w:hint="eastAsia" w:ascii="宋体" w:hAnsi="宋体"/>
          <w:szCs w:val="21"/>
        </w:rPr>
        <w:t>2、数据与系统安全保障</w:t>
      </w:r>
    </w:p>
    <w:p w14:paraId="4DDE914B">
      <w:pPr>
        <w:spacing w:line="380" w:lineRule="exact"/>
        <w:ind w:firstLine="420" w:firstLineChars="200"/>
        <w:rPr>
          <w:rFonts w:ascii="宋体" w:hAnsi="宋体"/>
          <w:szCs w:val="21"/>
        </w:rPr>
      </w:pPr>
      <w:r>
        <w:rPr>
          <w:rFonts w:hint="eastAsia" w:ascii="宋体" w:hAnsi="宋体"/>
          <w:szCs w:val="21"/>
        </w:rPr>
        <w:t>2.1数据存储：系统所采集的音视频及系统运行所产生的所有数据，均保存在用户指定的服务器或云平台上。</w:t>
      </w:r>
    </w:p>
    <w:p w14:paraId="4765E9E1">
      <w:pPr>
        <w:spacing w:line="380" w:lineRule="exact"/>
        <w:ind w:firstLine="420" w:firstLineChars="200"/>
        <w:rPr>
          <w:rFonts w:ascii="宋体" w:hAnsi="宋体"/>
          <w:szCs w:val="21"/>
        </w:rPr>
      </w:pPr>
      <w:r>
        <w:rPr>
          <w:rFonts w:hint="eastAsia" w:ascii="宋体" w:hAnsi="宋体"/>
          <w:szCs w:val="21"/>
        </w:rPr>
        <w:t>2.2提供上述云端平台及终端子系统的相关资料，包括但不限于以上云端平台及终端子系统的部署架构、视频音频识别检测模型的用例及训练权重设置说明文件、系统配置手册、用户操作使用手册和系统维护手册等。确保测评相关系统无信息安全隐患和系统漏洞。</w:t>
      </w:r>
    </w:p>
    <w:p w14:paraId="296CFA4F">
      <w:pPr>
        <w:spacing w:line="380" w:lineRule="exact"/>
        <w:ind w:firstLine="420" w:firstLineChars="200"/>
        <w:rPr>
          <w:rFonts w:ascii="宋体" w:hAnsi="宋体"/>
          <w:szCs w:val="21"/>
        </w:rPr>
      </w:pPr>
      <w:r>
        <w:rPr>
          <w:rFonts w:hint="eastAsia" w:ascii="宋体" w:hAnsi="宋体"/>
          <w:szCs w:val="21"/>
        </w:rPr>
        <w:t>3、系统运行支撑服务</w:t>
      </w:r>
    </w:p>
    <w:p w14:paraId="5BF2597F">
      <w:pPr>
        <w:spacing w:line="380" w:lineRule="exact"/>
        <w:ind w:firstLine="420" w:firstLineChars="200"/>
        <w:rPr>
          <w:rFonts w:ascii="宋体" w:hAnsi="宋体"/>
          <w:szCs w:val="21"/>
        </w:rPr>
      </w:pPr>
      <w:r>
        <w:rPr>
          <w:rFonts w:hint="eastAsia" w:ascii="宋体" w:hAnsi="宋体"/>
          <w:szCs w:val="21"/>
        </w:rPr>
        <w:t>3.1每年提供至少【  】次现场系统运维支撑，包括系统调测、系统使用培训、评测结果分析和报告发布等。</w:t>
      </w:r>
    </w:p>
    <w:p w14:paraId="2ED9559B">
      <w:pPr>
        <w:spacing w:line="380" w:lineRule="exact"/>
        <w:ind w:firstLine="420" w:firstLineChars="200"/>
        <w:rPr>
          <w:rFonts w:ascii="宋体" w:hAnsi="宋体"/>
          <w:szCs w:val="21"/>
        </w:rPr>
      </w:pPr>
      <w:r>
        <w:rPr>
          <w:rFonts w:hint="eastAsia" w:ascii="宋体" w:hAnsi="宋体"/>
          <w:szCs w:val="21"/>
        </w:rPr>
        <w:t>4、软件维保期：不少于</w:t>
      </w:r>
      <w:r>
        <w:rPr>
          <w:rFonts w:hint="eastAsia" w:ascii="宋体" w:hAnsi="宋体"/>
          <w:szCs w:val="21"/>
          <w:u w:val="single"/>
        </w:rPr>
        <w:t xml:space="preserve"> </w:t>
      </w:r>
      <w:r>
        <w:rPr>
          <w:rFonts w:ascii="宋体" w:hAnsi="宋体"/>
          <w:szCs w:val="21"/>
          <w:u w:val="single"/>
        </w:rPr>
        <w:t>3</w:t>
      </w:r>
      <w:r>
        <w:rPr>
          <w:rFonts w:hint="eastAsia" w:ascii="宋体" w:hAnsi="宋体"/>
          <w:szCs w:val="21"/>
          <w:u w:val="single"/>
        </w:rPr>
        <w:t xml:space="preserve"> </w:t>
      </w:r>
      <w:r>
        <w:rPr>
          <w:rFonts w:hint="eastAsia" w:ascii="宋体" w:hAnsi="宋体"/>
          <w:szCs w:val="21"/>
        </w:rPr>
        <w:t xml:space="preserve"> 年。</w:t>
      </w:r>
    </w:p>
    <w:p w14:paraId="4D4CE36D">
      <w:pPr>
        <w:spacing w:line="380" w:lineRule="exact"/>
        <w:ind w:firstLine="420" w:firstLineChars="200"/>
        <w:rPr>
          <w:rFonts w:ascii="宋体" w:hAnsi="宋体"/>
          <w:szCs w:val="21"/>
        </w:rPr>
      </w:pPr>
      <w:r>
        <w:rPr>
          <w:rFonts w:hint="eastAsia" w:ascii="宋体" w:hAnsi="宋体"/>
          <w:szCs w:val="21"/>
        </w:rPr>
        <w:t>4.1系统维护服务：合同期内，提供或聘用不少于3人的专职运维团队入驻用户学校提供7×24的现场运维保障服务，如遇技术问题，要求当天予以解决，以保证系统正常运行。</w:t>
      </w:r>
    </w:p>
    <w:p w14:paraId="32830D3E">
      <w:pPr>
        <w:spacing w:line="380" w:lineRule="exact"/>
        <w:ind w:firstLine="420" w:firstLineChars="200"/>
        <w:rPr>
          <w:rFonts w:ascii="宋体" w:hAnsi="宋体"/>
          <w:szCs w:val="21"/>
        </w:rPr>
      </w:pPr>
      <w:r>
        <w:rPr>
          <w:rFonts w:hint="eastAsia" w:ascii="宋体" w:hAnsi="宋体"/>
          <w:szCs w:val="21"/>
        </w:rPr>
        <w:t>4.2质保服务说明：系统软件使用期为永久授权使用，合同期内，软件提供方提供至少5年的软件及数据升级、系统维护和技术支持服务，不再收取任何费用。合同期满后，若涉及软件重大升级更新，升级更新服务费用不超过成交价格的5%，并需另行签订维护和支持协议。</w:t>
      </w:r>
    </w:p>
    <w:p w14:paraId="3DA804B1">
      <w:pPr>
        <w:spacing w:line="380" w:lineRule="exact"/>
        <w:ind w:firstLine="420" w:firstLineChars="200"/>
        <w:rPr>
          <w:rFonts w:ascii="宋体" w:hAnsi="宋体"/>
          <w:szCs w:val="21"/>
        </w:rPr>
      </w:pPr>
      <w:r>
        <w:rPr>
          <w:rFonts w:hint="eastAsia" w:ascii="宋体" w:hAnsi="宋体"/>
          <w:szCs w:val="21"/>
        </w:rPr>
        <w:t>4.3提供完善的培训，培训内容包括：培训计划、培训人员、培训大纲及手册、对培训目标及效果保障措施等，达到相关使用人员能熟练使用、维护及管理的目标。</w:t>
      </w:r>
    </w:p>
    <w:p w14:paraId="0590C94A">
      <w:pPr>
        <w:snapToGrid w:val="0"/>
        <w:spacing w:line="380" w:lineRule="exact"/>
        <w:ind w:left="-61" w:leftChars="-29" w:firstLine="517" w:firstLineChars="245"/>
        <w:rPr>
          <w:rFonts w:ascii="宋体" w:hAnsi="宋体"/>
          <w:b/>
          <w:szCs w:val="21"/>
        </w:rPr>
      </w:pPr>
      <w:r>
        <w:rPr>
          <w:rFonts w:hint="eastAsia" w:ascii="宋体" w:hAnsi="宋体"/>
          <w:b/>
          <w:szCs w:val="21"/>
        </w:rPr>
        <w:t>第八条　履约保证金</w:t>
      </w:r>
    </w:p>
    <w:p w14:paraId="6F209391">
      <w:pPr>
        <w:snapToGrid w:val="0"/>
        <w:spacing w:line="380" w:lineRule="exact"/>
        <w:ind w:firstLine="420" w:firstLineChars="200"/>
        <w:rPr>
          <w:rFonts w:ascii="宋体" w:hAnsi="宋体"/>
          <w:szCs w:val="21"/>
        </w:rPr>
      </w:pPr>
      <w:r>
        <w:rPr>
          <w:rFonts w:hint="eastAsia" w:ascii="宋体" w:hAnsi="宋体"/>
          <w:szCs w:val="21"/>
        </w:rPr>
        <w:t>履约保证金金额：</w:t>
      </w:r>
      <w:r>
        <w:rPr>
          <w:rFonts w:hint="eastAsia" w:ascii="宋体" w:hAnsi="宋体"/>
          <w:szCs w:val="21"/>
          <w:u w:val="single"/>
        </w:rPr>
        <w:t xml:space="preserve">                               </w:t>
      </w:r>
      <w:r>
        <w:rPr>
          <w:rFonts w:hint="eastAsia" w:ascii="宋体" w:hAnsi="宋体"/>
          <w:szCs w:val="21"/>
        </w:rPr>
        <w:t xml:space="preserve"> 。</w:t>
      </w:r>
    </w:p>
    <w:p w14:paraId="0EDC04AD">
      <w:pPr>
        <w:snapToGrid w:val="0"/>
        <w:spacing w:line="380" w:lineRule="exact"/>
        <w:ind w:firstLine="420" w:firstLineChars="200"/>
        <w:rPr>
          <w:rFonts w:ascii="宋体" w:hAnsi="宋体" w:cs="宋体"/>
          <w:szCs w:val="21"/>
        </w:rPr>
      </w:pPr>
      <w:r>
        <w:rPr>
          <w:rFonts w:hint="eastAsia" w:ascii="宋体" w:hAnsi="宋体" w:cs="宋体"/>
          <w:szCs w:val="21"/>
        </w:rPr>
        <w:t>履约保证金金额：履约保证金按成交金额的5%，如乙方为中小企业的，履约保证金按成交金额的2%。</w:t>
      </w:r>
    </w:p>
    <w:p w14:paraId="47E16CA6">
      <w:pPr>
        <w:snapToGrid w:val="0"/>
        <w:spacing w:line="380" w:lineRule="exact"/>
        <w:ind w:firstLine="420" w:firstLineChars="200"/>
        <w:rPr>
          <w:rFonts w:ascii="宋体" w:hAnsi="宋体" w:cs="宋体"/>
          <w:szCs w:val="21"/>
        </w:rPr>
      </w:pPr>
      <w:r>
        <w:rPr>
          <w:rFonts w:hint="eastAsia" w:ascii="宋体" w:hAnsi="宋体" w:cs="宋体"/>
          <w:szCs w:val="21"/>
        </w:rPr>
        <w:t>履约保证金递交方式及时限：供应商必须在成交通知书发出后25日内且必须在签订合同前以银行转账、支票、汇票、本票或者金融、担保机构出具的保函（包含电子保函）等非现金方式向甲方交纳履约保证金，否则，不予签订合同。</w:t>
      </w:r>
    </w:p>
    <w:p w14:paraId="453BAE60">
      <w:pPr>
        <w:snapToGrid w:val="0"/>
        <w:spacing w:line="380" w:lineRule="exact"/>
        <w:rPr>
          <w:rFonts w:ascii="宋体" w:hAnsi="宋体" w:cs="宋体"/>
          <w:szCs w:val="21"/>
        </w:rPr>
      </w:pPr>
      <w:r>
        <w:rPr>
          <w:rFonts w:hint="eastAsia" w:ascii="宋体" w:hAnsi="宋体" w:cs="宋体"/>
          <w:szCs w:val="21"/>
        </w:rPr>
        <w:t>履约保证金退付方式、时间及条件：</w:t>
      </w:r>
    </w:p>
    <w:p w14:paraId="5FDD6126">
      <w:pPr>
        <w:snapToGrid w:val="0"/>
        <w:spacing w:line="380" w:lineRule="exact"/>
        <w:ind w:firstLine="420" w:firstLineChars="200"/>
        <w:rPr>
          <w:rFonts w:ascii="宋体" w:hAnsi="宋体" w:cs="宋体"/>
          <w:szCs w:val="21"/>
        </w:rPr>
      </w:pPr>
      <w:r>
        <w:rPr>
          <w:rFonts w:hint="eastAsia" w:ascii="宋体" w:hAnsi="宋体" w:cs="宋体"/>
          <w:szCs w:val="21"/>
        </w:rPr>
        <w:t>（1）履约保证金在乙方按合同约定履行合同后，由乙方凭《广西壮族自治区政府采购项目合同验收书》（详见附件1）向甲方申请办理履约保证金退还手续，甲方在收到合格材料后5个工作日内以银行转账方式如数退还（不计利息）。</w:t>
      </w:r>
    </w:p>
    <w:p w14:paraId="6EDB7921">
      <w:pPr>
        <w:snapToGrid w:val="0"/>
        <w:spacing w:line="380" w:lineRule="exact"/>
        <w:ind w:firstLine="420" w:firstLineChars="200"/>
        <w:rPr>
          <w:rFonts w:ascii="宋体" w:hAnsi="宋体" w:cs="宋体"/>
          <w:szCs w:val="21"/>
        </w:rPr>
      </w:pPr>
      <w:r>
        <w:rPr>
          <w:rFonts w:hint="eastAsia" w:ascii="宋体" w:hAnsi="宋体" w:cs="宋体"/>
          <w:szCs w:val="21"/>
        </w:rPr>
        <w:t>（2）在履约保证金退还日期前，若乙方的开户名称、开户银行、账号有变动的，请以书面形式通知履约保证金收取单位，否则由此产生的后果由乙方自负。</w:t>
      </w:r>
    </w:p>
    <w:p w14:paraId="175DDBAB">
      <w:pPr>
        <w:snapToGrid w:val="0"/>
        <w:spacing w:line="380" w:lineRule="exact"/>
        <w:ind w:firstLine="420" w:firstLineChars="200"/>
        <w:rPr>
          <w:rFonts w:ascii="宋体" w:hAnsi="宋体" w:cs="宋体"/>
          <w:szCs w:val="21"/>
        </w:rPr>
      </w:pPr>
      <w:r>
        <w:rPr>
          <w:rFonts w:hint="eastAsia" w:ascii="宋体" w:hAnsi="宋体" w:cs="宋体"/>
          <w:szCs w:val="21"/>
        </w:rPr>
        <w:t>（3）乙方在签订合同后存在违约情形的，履约保证金不予退还。履约保证金不足以赔偿损失的，按实际损失赔偿。</w:t>
      </w:r>
    </w:p>
    <w:p w14:paraId="25E79281">
      <w:pPr>
        <w:snapToGrid w:val="0"/>
        <w:spacing w:line="380" w:lineRule="exact"/>
        <w:ind w:firstLine="420" w:firstLineChars="200"/>
        <w:rPr>
          <w:rFonts w:ascii="宋体" w:hAnsi="宋体" w:cs="宋体"/>
          <w:szCs w:val="21"/>
        </w:rPr>
      </w:pPr>
      <w:r>
        <w:rPr>
          <w:rFonts w:hint="eastAsia" w:ascii="宋体" w:hAnsi="宋体" w:cs="宋体"/>
          <w:szCs w:val="21"/>
        </w:rPr>
        <w:t>履约保证金指定账户：</w:t>
      </w:r>
    </w:p>
    <w:p w14:paraId="761D8B4C">
      <w:pPr>
        <w:snapToGrid w:val="0"/>
        <w:spacing w:line="380" w:lineRule="exact"/>
        <w:ind w:firstLine="420" w:firstLineChars="200"/>
        <w:rPr>
          <w:rFonts w:ascii="宋体" w:hAnsi="宋体" w:cs="宋体"/>
          <w:szCs w:val="21"/>
        </w:rPr>
      </w:pPr>
      <w:r>
        <w:rPr>
          <w:rFonts w:hint="eastAsia" w:ascii="宋体" w:hAnsi="宋体" w:cs="宋体"/>
          <w:szCs w:val="21"/>
        </w:rPr>
        <w:t>开户名称：广西师范大学</w:t>
      </w:r>
    </w:p>
    <w:p w14:paraId="3B5A2813">
      <w:pPr>
        <w:snapToGrid w:val="0"/>
        <w:spacing w:line="380" w:lineRule="exact"/>
        <w:ind w:firstLine="420" w:firstLineChars="200"/>
        <w:rPr>
          <w:rFonts w:ascii="宋体" w:hAnsi="宋体" w:cs="宋体"/>
          <w:szCs w:val="21"/>
        </w:rPr>
      </w:pPr>
      <w:r>
        <w:rPr>
          <w:rFonts w:hint="eastAsia" w:ascii="宋体" w:hAnsi="宋体" w:cs="宋体"/>
          <w:szCs w:val="21"/>
        </w:rPr>
        <w:t>开户银行：中国工商银行股份有限公司桂林市高新科技支行</w:t>
      </w:r>
    </w:p>
    <w:p w14:paraId="19A86141">
      <w:pPr>
        <w:snapToGrid w:val="0"/>
        <w:spacing w:line="380" w:lineRule="exact"/>
        <w:ind w:firstLine="420" w:firstLineChars="200"/>
        <w:rPr>
          <w:rFonts w:ascii="宋体" w:hAnsi="宋体" w:cs="宋体"/>
          <w:szCs w:val="21"/>
        </w:rPr>
      </w:pPr>
      <w:r>
        <w:rPr>
          <w:rFonts w:hint="eastAsia" w:ascii="宋体" w:hAnsi="宋体" w:cs="宋体"/>
          <w:szCs w:val="21"/>
        </w:rPr>
        <w:t>账号：2103215109264004618</w:t>
      </w:r>
    </w:p>
    <w:p w14:paraId="1B49DA9D">
      <w:pPr>
        <w:snapToGrid w:val="0"/>
        <w:spacing w:line="380" w:lineRule="exact"/>
        <w:ind w:firstLine="422" w:firstLineChars="200"/>
        <w:rPr>
          <w:rFonts w:ascii="宋体" w:hAnsi="宋体" w:cs="宋体"/>
          <w:b/>
          <w:bCs/>
          <w:szCs w:val="21"/>
        </w:rPr>
      </w:pPr>
      <w:r>
        <w:rPr>
          <w:rFonts w:hint="eastAsia" w:ascii="宋体" w:hAnsi="宋体" w:cs="宋体"/>
          <w:b/>
          <w:bCs/>
          <w:szCs w:val="21"/>
        </w:rPr>
        <w:t>备注：</w:t>
      </w:r>
    </w:p>
    <w:p w14:paraId="5BB38498">
      <w:pPr>
        <w:snapToGrid w:val="0"/>
        <w:spacing w:line="380" w:lineRule="exact"/>
        <w:ind w:firstLine="422" w:firstLineChars="200"/>
        <w:rPr>
          <w:rFonts w:ascii="宋体" w:hAnsi="宋体"/>
          <w:b/>
          <w:bCs/>
          <w:szCs w:val="21"/>
        </w:rPr>
      </w:pPr>
      <w:r>
        <w:rPr>
          <w:rFonts w:hint="eastAsia" w:ascii="宋体" w:hAnsi="宋体" w:cs="宋体"/>
          <w:b/>
          <w:bCs/>
          <w:szCs w:val="21"/>
        </w:rPr>
        <w:t>履约保</w:t>
      </w:r>
      <w:r>
        <w:rPr>
          <w:rFonts w:hint="eastAsia" w:ascii="宋体" w:hAnsi="宋体"/>
          <w:b/>
          <w:bCs/>
          <w:szCs w:val="21"/>
        </w:rPr>
        <w:t>证金不足额缴纳的（包含保函、电子保函额度不足的），或者不按规定提交方式提交的，或者保函（包含电子保函）有效期低于合同履行期限（即合同中规定的当事人履行自己的义务，如交付标的物、价款或者报酬，履行劳务、完成工作的时间界限）的，不予签订合同。</w:t>
      </w:r>
    </w:p>
    <w:p w14:paraId="13A327E2">
      <w:pPr>
        <w:snapToGrid w:val="0"/>
        <w:spacing w:line="380" w:lineRule="exact"/>
        <w:ind w:firstLine="422" w:firstLineChars="200"/>
        <w:rPr>
          <w:rFonts w:ascii="宋体" w:hAnsi="宋体"/>
          <w:b/>
          <w:bCs/>
          <w:szCs w:val="21"/>
        </w:rPr>
      </w:pPr>
      <w:r>
        <w:rPr>
          <w:rFonts w:hint="eastAsia" w:ascii="宋体" w:hAnsi="宋体"/>
          <w:b/>
          <w:bCs/>
          <w:szCs w:val="21"/>
        </w:rPr>
        <w:t>第九条　违约责任</w:t>
      </w:r>
    </w:p>
    <w:p w14:paraId="672118E4">
      <w:pPr>
        <w:snapToGrid w:val="0"/>
        <w:spacing w:line="360" w:lineRule="auto"/>
        <w:ind w:firstLine="420" w:firstLineChars="200"/>
        <w:rPr>
          <w:rFonts w:ascii="宋体" w:hAnsi="宋体"/>
          <w:szCs w:val="21"/>
        </w:rPr>
      </w:pPr>
      <w:r>
        <w:rPr>
          <w:rFonts w:hint="eastAsia" w:ascii="宋体" w:hAnsi="宋体"/>
          <w:szCs w:val="21"/>
        </w:rPr>
        <w:t>1.乙方所提供的货物规格、技术标准、材料等质量不合格的，应及时更换，更换不及时造成逾期交货的，乙方应每日向甲方支付合同金额</w:t>
      </w:r>
      <w:r>
        <w:rPr>
          <w:rFonts w:hint="eastAsia" w:ascii="宋体" w:hAnsi="宋体"/>
          <w:szCs w:val="21"/>
          <w:u w:val="single"/>
        </w:rPr>
        <w:t>　0.02　%</w:t>
      </w:r>
      <w:r>
        <w:rPr>
          <w:rFonts w:hint="eastAsia" w:ascii="宋体" w:hAnsi="宋体"/>
          <w:szCs w:val="21"/>
        </w:rPr>
        <w:t>违约金并赔偿甲方经济损失。</w:t>
      </w:r>
    </w:p>
    <w:p w14:paraId="1BF26F3D">
      <w:pPr>
        <w:snapToGrid w:val="0"/>
        <w:spacing w:line="360" w:lineRule="auto"/>
        <w:ind w:firstLine="420" w:firstLineChars="200"/>
        <w:rPr>
          <w:rFonts w:ascii="宋体" w:hAnsi="宋体"/>
          <w:szCs w:val="21"/>
        </w:rPr>
      </w:pPr>
      <w:r>
        <w:rPr>
          <w:rFonts w:hint="eastAsia" w:ascii="宋体" w:hAnsi="宋体"/>
          <w:szCs w:val="21"/>
        </w:rPr>
        <w:t>2.乙方提供的货物如果侵犯了第三方合法权益而引发的任何纠纷或诉讼，均由乙方负责交涉并承担全部责任。</w:t>
      </w:r>
    </w:p>
    <w:p w14:paraId="569BFD67">
      <w:pPr>
        <w:snapToGrid w:val="0"/>
        <w:spacing w:line="360" w:lineRule="auto"/>
        <w:ind w:firstLine="420" w:firstLineChars="200"/>
        <w:rPr>
          <w:rFonts w:ascii="宋体" w:hAnsi="宋体"/>
          <w:szCs w:val="21"/>
        </w:rPr>
      </w:pPr>
      <w:r>
        <w:rPr>
          <w:rFonts w:hint="eastAsia" w:ascii="宋体" w:hAnsi="宋体"/>
          <w:szCs w:val="21"/>
        </w:rPr>
        <w:t>3.因包装、运输引起的货物损坏，按质量不合格处理。</w:t>
      </w:r>
    </w:p>
    <w:p w14:paraId="4460F560">
      <w:pPr>
        <w:snapToGrid w:val="0"/>
        <w:spacing w:line="360" w:lineRule="auto"/>
        <w:ind w:firstLine="420" w:firstLineChars="200"/>
        <w:rPr>
          <w:rFonts w:ascii="宋体" w:hAnsi="宋体"/>
          <w:szCs w:val="21"/>
        </w:rPr>
      </w:pPr>
      <w:r>
        <w:rPr>
          <w:rFonts w:hint="eastAsia" w:ascii="宋体" w:hAnsi="宋体"/>
          <w:szCs w:val="21"/>
        </w:rPr>
        <w:t>4.乙方逾期交货、逾期完成安装调试申请验收的，每天向甲方偿付合同金额</w:t>
      </w:r>
      <w:r>
        <w:rPr>
          <w:rFonts w:hint="eastAsia" w:ascii="宋体" w:hAnsi="宋体"/>
          <w:szCs w:val="21"/>
          <w:u w:val="single"/>
        </w:rPr>
        <w:t>　0.2　‰</w:t>
      </w:r>
      <w:r>
        <w:rPr>
          <w:rFonts w:hint="eastAsia" w:ascii="宋体" w:hAnsi="宋体"/>
          <w:szCs w:val="21"/>
        </w:rPr>
        <w:t>违约金，但违约金额不得超过合同金额</w:t>
      </w:r>
      <w:r>
        <w:rPr>
          <w:rFonts w:hint="eastAsia" w:ascii="宋体" w:hAnsi="宋体"/>
          <w:szCs w:val="21"/>
          <w:u w:val="single"/>
        </w:rPr>
        <w:t>　5　%</w:t>
      </w:r>
      <w:r>
        <w:rPr>
          <w:rFonts w:hint="eastAsia" w:ascii="宋体" w:hAnsi="宋体"/>
          <w:szCs w:val="21"/>
        </w:rPr>
        <w:t>，超过</w:t>
      </w:r>
      <w:r>
        <w:rPr>
          <w:rFonts w:hint="eastAsia" w:ascii="宋体" w:hAnsi="宋体"/>
          <w:szCs w:val="21"/>
          <w:u w:val="single"/>
        </w:rPr>
        <w:t>　20　</w:t>
      </w:r>
      <w:r>
        <w:rPr>
          <w:rFonts w:hint="eastAsia" w:ascii="宋体" w:hAnsi="宋体"/>
          <w:szCs w:val="21"/>
        </w:rPr>
        <w:t>天甲方有权解除合同，乙方按照合同金额的5%支付违约金。甲方延期付货款的，每天向乙方偿付合同金额</w:t>
      </w:r>
      <w:r>
        <w:rPr>
          <w:rFonts w:hint="eastAsia" w:ascii="宋体" w:hAnsi="宋体"/>
          <w:szCs w:val="21"/>
          <w:u w:val="single"/>
        </w:rPr>
        <w:t>　0.2　‰</w:t>
      </w:r>
      <w:r>
        <w:rPr>
          <w:rFonts w:hint="eastAsia" w:ascii="宋体" w:hAnsi="宋体"/>
          <w:szCs w:val="21"/>
        </w:rPr>
        <w:t>滞纳金，但滞纳金累计不得超过合同金额</w:t>
      </w:r>
      <w:r>
        <w:rPr>
          <w:rFonts w:hint="eastAsia" w:ascii="宋体" w:hAnsi="宋体"/>
          <w:szCs w:val="21"/>
          <w:u w:val="single"/>
        </w:rPr>
        <w:t>　5　%</w:t>
      </w:r>
      <w:r>
        <w:rPr>
          <w:rFonts w:hint="eastAsia" w:ascii="宋体" w:hAnsi="宋体"/>
          <w:szCs w:val="21"/>
        </w:rPr>
        <w:t>。</w:t>
      </w:r>
    </w:p>
    <w:p w14:paraId="286BCD63">
      <w:pPr>
        <w:snapToGrid w:val="0"/>
        <w:spacing w:line="360" w:lineRule="auto"/>
        <w:ind w:firstLine="420" w:firstLineChars="200"/>
        <w:rPr>
          <w:rFonts w:ascii="宋体" w:hAnsi="宋体"/>
          <w:szCs w:val="21"/>
        </w:rPr>
      </w:pPr>
      <w:r>
        <w:rPr>
          <w:rFonts w:hint="eastAsia" w:ascii="宋体" w:hAnsi="宋体"/>
          <w:szCs w:val="21"/>
        </w:rPr>
        <w:t>5.乙方未按本合同和投标文件中规定的服务承诺提供售后服务的（包括未按时响应、未按时完成维修维护等情形），乙方应按1000元/次向甲方支付违约金。</w:t>
      </w:r>
    </w:p>
    <w:p w14:paraId="2C092FE6">
      <w:pPr>
        <w:snapToGrid w:val="0"/>
        <w:spacing w:line="360" w:lineRule="auto"/>
        <w:ind w:firstLine="420" w:firstLineChars="200"/>
        <w:rPr>
          <w:rFonts w:ascii="宋体" w:hAnsi="宋体"/>
          <w:szCs w:val="21"/>
        </w:rPr>
      </w:pPr>
      <w:r>
        <w:rPr>
          <w:rFonts w:hint="eastAsia" w:ascii="宋体" w:hAnsi="宋体"/>
          <w:szCs w:val="21"/>
        </w:rPr>
        <w:t>6.乙方提供的货物在质保期内，因设计、工艺或材料的缺陷和其他质量原因造成的问题，由乙方负责，乙方拒绝处理的，甲方代为处理的费用从质量保证金中扣除，不足另补。</w:t>
      </w:r>
    </w:p>
    <w:p w14:paraId="5EB3F4AD">
      <w:pPr>
        <w:snapToGrid w:val="0"/>
        <w:spacing w:line="360" w:lineRule="auto"/>
        <w:ind w:firstLine="420" w:firstLineChars="200"/>
        <w:rPr>
          <w:rFonts w:ascii="宋体" w:hAnsi="宋体"/>
          <w:szCs w:val="21"/>
        </w:rPr>
      </w:pPr>
      <w:r>
        <w:rPr>
          <w:rFonts w:hint="eastAsia" w:ascii="宋体" w:hAnsi="宋体"/>
          <w:szCs w:val="21"/>
        </w:rPr>
        <w:t>7.其他违约行为按违约所涉金额</w:t>
      </w:r>
      <w:r>
        <w:rPr>
          <w:rFonts w:hint="eastAsia" w:ascii="宋体" w:hAnsi="宋体"/>
          <w:szCs w:val="21"/>
          <w:u w:val="single"/>
        </w:rPr>
        <w:t>　5　%</w:t>
      </w:r>
      <w:r>
        <w:rPr>
          <w:rFonts w:hint="eastAsia" w:ascii="宋体" w:hAnsi="宋体"/>
          <w:szCs w:val="21"/>
        </w:rPr>
        <w:t>收取违约金并赔偿经济损失。</w:t>
      </w:r>
    </w:p>
    <w:p w14:paraId="26BFA226">
      <w:pPr>
        <w:pStyle w:val="18"/>
        <w:snapToGrid w:val="0"/>
        <w:spacing w:line="380" w:lineRule="exact"/>
        <w:ind w:firstLine="413" w:firstLineChars="196"/>
        <w:rPr>
          <w:rFonts w:hAnsi="宋体"/>
          <w:b/>
          <w:sz w:val="21"/>
        </w:rPr>
      </w:pPr>
      <w:r>
        <w:rPr>
          <w:rFonts w:hint="eastAsia" w:hAnsi="宋体"/>
          <w:b/>
          <w:sz w:val="21"/>
        </w:rPr>
        <w:t>第十条  不可抗力事件处理</w:t>
      </w:r>
    </w:p>
    <w:p w14:paraId="2D378EC7">
      <w:pPr>
        <w:pStyle w:val="18"/>
        <w:snapToGrid w:val="0"/>
        <w:spacing w:line="380" w:lineRule="exact"/>
        <w:ind w:firstLine="420" w:firstLineChars="200"/>
        <w:rPr>
          <w:rFonts w:hAnsi="宋体"/>
          <w:sz w:val="21"/>
        </w:rPr>
      </w:pPr>
      <w:r>
        <w:rPr>
          <w:rFonts w:hint="eastAsia" w:hAnsi="宋体"/>
          <w:sz w:val="21"/>
        </w:rPr>
        <w:t>1.在合同有效期内，任何一方因不可抗力事件导致不能履行合同，则合同履行期可延长，其延长期与不可抗力影响期相同。</w:t>
      </w:r>
    </w:p>
    <w:p w14:paraId="67815E78">
      <w:pPr>
        <w:pStyle w:val="18"/>
        <w:snapToGrid w:val="0"/>
        <w:spacing w:line="380" w:lineRule="exact"/>
        <w:ind w:firstLine="420" w:firstLineChars="200"/>
        <w:rPr>
          <w:rFonts w:hAnsi="宋体"/>
          <w:sz w:val="21"/>
        </w:rPr>
      </w:pPr>
      <w:r>
        <w:rPr>
          <w:rFonts w:hint="eastAsia" w:hAnsi="宋体"/>
          <w:sz w:val="21"/>
        </w:rPr>
        <w:t>2.不可抗力事件发生后，应立即通知对方，并寄送有关第三方机构出具的证明。</w:t>
      </w:r>
    </w:p>
    <w:p w14:paraId="068130B6">
      <w:pPr>
        <w:snapToGrid w:val="0"/>
        <w:spacing w:line="380" w:lineRule="exact"/>
        <w:ind w:firstLine="420" w:firstLineChars="200"/>
        <w:rPr>
          <w:rFonts w:ascii="宋体" w:hAnsi="宋体"/>
          <w:szCs w:val="21"/>
        </w:rPr>
      </w:pPr>
      <w:r>
        <w:rPr>
          <w:rFonts w:hint="eastAsia" w:ascii="宋体" w:hAnsi="宋体"/>
          <w:szCs w:val="21"/>
        </w:rPr>
        <w:t>3.不可抗力事件延续一百二十天以上，双方应通过友好协商，确定是否继续履行合同。</w:t>
      </w:r>
    </w:p>
    <w:p w14:paraId="1646D491">
      <w:pPr>
        <w:snapToGrid w:val="0"/>
        <w:spacing w:line="380" w:lineRule="exact"/>
        <w:ind w:firstLine="422" w:firstLineChars="200"/>
        <w:rPr>
          <w:rFonts w:ascii="宋体" w:hAnsi="宋体"/>
          <w:szCs w:val="21"/>
        </w:rPr>
      </w:pPr>
      <w:r>
        <w:rPr>
          <w:rFonts w:hint="eastAsia" w:ascii="宋体" w:hAnsi="宋体"/>
          <w:b/>
          <w:szCs w:val="21"/>
        </w:rPr>
        <w:t>第十一条  合同争议解决</w:t>
      </w:r>
    </w:p>
    <w:p w14:paraId="40F9B1DF">
      <w:pPr>
        <w:snapToGrid w:val="0"/>
        <w:spacing w:line="380" w:lineRule="exact"/>
        <w:ind w:firstLine="420" w:firstLineChars="200"/>
        <w:rPr>
          <w:rFonts w:ascii="宋体" w:hAnsi="宋体"/>
          <w:szCs w:val="21"/>
        </w:rPr>
      </w:pPr>
      <w:r>
        <w:rPr>
          <w:rFonts w:hint="eastAsia" w:ascii="宋体" w:hAnsi="宋体"/>
          <w:szCs w:val="21"/>
        </w:rPr>
        <w:t>1.因货物质量问题发生争议的，应邀请国家认可的质量检测机构对货物质量进行鉴定。相关检验检测鉴定和验收费用全部由乙方承担。</w:t>
      </w:r>
    </w:p>
    <w:p w14:paraId="2DA92975">
      <w:pPr>
        <w:snapToGrid w:val="0"/>
        <w:spacing w:line="380" w:lineRule="exact"/>
        <w:ind w:firstLine="420" w:firstLineChars="200"/>
        <w:rPr>
          <w:rFonts w:ascii="宋体" w:hAnsi="宋体"/>
          <w:szCs w:val="21"/>
        </w:rPr>
      </w:pPr>
      <w:r>
        <w:rPr>
          <w:rFonts w:hint="eastAsia" w:ascii="宋体" w:hAnsi="宋体"/>
          <w:szCs w:val="21"/>
        </w:rPr>
        <w:t>2.因履行本合同引起的或者与本合同有关的争议，甲乙双方应首先通过友好协商解决，如果协商不能解决，按下列</w:t>
      </w:r>
      <w:r>
        <w:rPr>
          <w:rFonts w:hint="eastAsia" w:ascii="宋体" w:hAnsi="宋体"/>
          <w:szCs w:val="21"/>
          <w:u w:val="single"/>
        </w:rPr>
        <w:t>（2）</w:t>
      </w:r>
      <w:r>
        <w:rPr>
          <w:rFonts w:hint="eastAsia" w:ascii="宋体" w:hAnsi="宋体"/>
          <w:szCs w:val="21"/>
        </w:rPr>
        <w:t>方式解决：</w:t>
      </w:r>
    </w:p>
    <w:p w14:paraId="184BC339">
      <w:pPr>
        <w:autoSpaceDE w:val="0"/>
        <w:autoSpaceDN w:val="0"/>
        <w:adjustRightInd w:val="0"/>
        <w:spacing w:line="380" w:lineRule="exact"/>
        <w:ind w:right="40" w:firstLine="420"/>
        <w:rPr>
          <w:rFonts w:ascii="宋体" w:hAnsi="宋体"/>
          <w:szCs w:val="21"/>
        </w:rPr>
      </w:pPr>
      <w:r>
        <w:rPr>
          <w:rFonts w:hint="eastAsia" w:ascii="宋体" w:hAnsi="宋体"/>
          <w:szCs w:val="21"/>
        </w:rPr>
        <w:t>（1）向</w:t>
      </w:r>
      <w:r>
        <w:rPr>
          <w:rFonts w:hint="eastAsia" w:ascii="宋体" w:hAnsi="宋体"/>
          <w:szCs w:val="21"/>
          <w:u w:val="single"/>
        </w:rPr>
        <w:t xml:space="preserve">  /   </w:t>
      </w:r>
      <w:r>
        <w:rPr>
          <w:rFonts w:hint="eastAsia" w:ascii="宋体" w:hAnsi="宋体"/>
          <w:szCs w:val="21"/>
        </w:rPr>
        <w:t>仲裁委员会申请仲裁；</w:t>
      </w:r>
    </w:p>
    <w:p w14:paraId="736D360B">
      <w:pPr>
        <w:autoSpaceDE w:val="0"/>
        <w:autoSpaceDN w:val="0"/>
        <w:adjustRightInd w:val="0"/>
        <w:spacing w:line="380" w:lineRule="exact"/>
        <w:ind w:right="40" w:firstLine="420"/>
        <w:rPr>
          <w:rFonts w:ascii="宋体" w:hAnsi="宋体"/>
          <w:szCs w:val="21"/>
        </w:rPr>
      </w:pPr>
      <w:r>
        <w:rPr>
          <w:rFonts w:hint="eastAsia" w:ascii="宋体" w:hAnsi="宋体"/>
          <w:szCs w:val="21"/>
        </w:rPr>
        <w:t>（2）向甲方所在地有管辖权的人民法院提起诉讼。</w:t>
      </w:r>
    </w:p>
    <w:p w14:paraId="2871211E">
      <w:pPr>
        <w:snapToGrid w:val="0"/>
        <w:spacing w:line="380" w:lineRule="exact"/>
        <w:ind w:firstLine="422" w:firstLineChars="200"/>
        <w:rPr>
          <w:rFonts w:ascii="宋体" w:hAnsi="宋体"/>
          <w:b/>
          <w:szCs w:val="21"/>
        </w:rPr>
      </w:pPr>
      <w:r>
        <w:rPr>
          <w:rFonts w:hint="eastAsia" w:ascii="宋体" w:hAnsi="宋体"/>
          <w:b/>
          <w:szCs w:val="21"/>
        </w:rPr>
        <w:t>第十二条　合同的变更、中止或者终止</w:t>
      </w:r>
    </w:p>
    <w:p w14:paraId="3C664FAF">
      <w:pPr>
        <w:snapToGrid w:val="0"/>
        <w:spacing w:line="380" w:lineRule="exact"/>
        <w:ind w:firstLine="420" w:firstLineChars="200"/>
        <w:rPr>
          <w:rFonts w:ascii="宋体" w:hAnsi="宋体"/>
          <w:szCs w:val="21"/>
        </w:rPr>
      </w:pPr>
      <w:r>
        <w:rPr>
          <w:rFonts w:hint="eastAsia" w:ascii="宋体" w:hAnsi="宋体"/>
          <w:szCs w:val="21"/>
        </w:rPr>
        <w:t>1. 除《中华人民共和国政府采购法》第五十条规定的情形外，本合同一经签订，甲乙双方不得擅自变更、中止或者终止合同。</w:t>
      </w:r>
    </w:p>
    <w:p w14:paraId="546A5979">
      <w:pPr>
        <w:pStyle w:val="14"/>
        <w:spacing w:after="0" w:line="380" w:lineRule="exact"/>
        <w:ind w:firstLine="420" w:firstLineChars="200"/>
        <w:rPr>
          <w:rFonts w:ascii="宋体" w:hAnsi="宋体"/>
          <w:szCs w:val="21"/>
        </w:rPr>
      </w:pPr>
      <w:r>
        <w:rPr>
          <w:rFonts w:hint="eastAsia" w:ascii="宋体" w:hAnsi="宋体"/>
          <w:szCs w:val="21"/>
        </w:rPr>
        <w:t>2.采购合同继续履行将损害国家利益和社会公共利益的，双方当事人应当变更、中止或者终止合同。有过错的一方应当承担赔偿责任，双方都有过错的，各自承担相应的责任。</w:t>
      </w:r>
    </w:p>
    <w:p w14:paraId="50EBD948">
      <w:pPr>
        <w:snapToGrid w:val="0"/>
        <w:spacing w:line="380" w:lineRule="exact"/>
        <w:ind w:firstLine="422" w:firstLineChars="200"/>
        <w:rPr>
          <w:rFonts w:ascii="宋体" w:hAnsi="宋体"/>
          <w:b/>
          <w:szCs w:val="21"/>
        </w:rPr>
      </w:pPr>
      <w:r>
        <w:rPr>
          <w:rFonts w:hint="eastAsia" w:ascii="宋体" w:hAnsi="宋体"/>
          <w:b/>
          <w:szCs w:val="21"/>
        </w:rPr>
        <w:t>第十三条　</w:t>
      </w:r>
      <w:r>
        <w:rPr>
          <w:rFonts w:hint="eastAsia" w:ascii="宋体" w:hAnsi="宋体" w:cs="微软雅黑"/>
          <w:b/>
          <w:kern w:val="0"/>
          <w:szCs w:val="21"/>
        </w:rPr>
        <w:t>合</w:t>
      </w:r>
      <w:r>
        <w:rPr>
          <w:rFonts w:hint="eastAsia" w:ascii="宋体" w:hAnsi="宋体" w:cs="微软雅黑"/>
          <w:b/>
          <w:spacing w:val="-2"/>
          <w:kern w:val="0"/>
          <w:szCs w:val="21"/>
        </w:rPr>
        <w:t>同</w:t>
      </w:r>
      <w:r>
        <w:rPr>
          <w:rFonts w:hint="eastAsia" w:ascii="宋体" w:hAnsi="宋体" w:cs="微软雅黑"/>
          <w:b/>
          <w:kern w:val="0"/>
          <w:szCs w:val="21"/>
        </w:rPr>
        <w:t>文</w:t>
      </w:r>
      <w:r>
        <w:rPr>
          <w:rFonts w:hint="eastAsia" w:ascii="宋体" w:hAnsi="宋体" w:cs="微软雅黑"/>
          <w:b/>
          <w:spacing w:val="-2"/>
          <w:kern w:val="0"/>
          <w:szCs w:val="21"/>
        </w:rPr>
        <w:t>件构成</w:t>
      </w:r>
    </w:p>
    <w:p w14:paraId="653BB1F1">
      <w:pPr>
        <w:pStyle w:val="18"/>
        <w:snapToGrid w:val="0"/>
        <w:spacing w:line="380" w:lineRule="exact"/>
        <w:ind w:left="420" w:leftChars="200"/>
        <w:rPr>
          <w:rFonts w:hAnsi="宋体"/>
          <w:sz w:val="21"/>
        </w:rPr>
      </w:pPr>
      <w:r>
        <w:rPr>
          <w:rFonts w:hint="eastAsia" w:hAnsi="宋体"/>
          <w:sz w:val="21"/>
        </w:rPr>
        <w:t>1.政府采购合同；</w:t>
      </w:r>
    </w:p>
    <w:p w14:paraId="3F499529">
      <w:pPr>
        <w:pStyle w:val="18"/>
        <w:snapToGrid w:val="0"/>
        <w:spacing w:line="380" w:lineRule="exact"/>
        <w:ind w:left="420" w:leftChars="200"/>
        <w:rPr>
          <w:rFonts w:hAnsi="宋体"/>
          <w:sz w:val="21"/>
        </w:rPr>
      </w:pPr>
      <w:r>
        <w:rPr>
          <w:rFonts w:hint="eastAsia" w:hAnsi="宋体"/>
          <w:sz w:val="21"/>
        </w:rPr>
        <w:t>2.成交通知书；</w:t>
      </w:r>
    </w:p>
    <w:p w14:paraId="644E47DB">
      <w:pPr>
        <w:pStyle w:val="18"/>
        <w:snapToGrid w:val="0"/>
        <w:spacing w:line="380" w:lineRule="exact"/>
        <w:ind w:left="420" w:leftChars="200"/>
        <w:rPr>
          <w:rFonts w:hAnsi="宋体"/>
          <w:sz w:val="21"/>
        </w:rPr>
      </w:pPr>
      <w:r>
        <w:rPr>
          <w:rFonts w:hint="eastAsia" w:hAnsi="宋体"/>
          <w:sz w:val="21"/>
        </w:rPr>
        <w:t>3.响应文件；</w:t>
      </w:r>
    </w:p>
    <w:p w14:paraId="78DA2EBD">
      <w:pPr>
        <w:pStyle w:val="18"/>
        <w:snapToGrid w:val="0"/>
        <w:spacing w:line="380" w:lineRule="exact"/>
        <w:ind w:left="420" w:leftChars="200"/>
        <w:rPr>
          <w:rFonts w:hAnsi="宋体"/>
          <w:sz w:val="21"/>
        </w:rPr>
      </w:pPr>
      <w:r>
        <w:rPr>
          <w:rFonts w:hint="eastAsia" w:hAnsi="宋体"/>
          <w:sz w:val="21"/>
        </w:rPr>
        <w:t>4.采购文件；</w:t>
      </w:r>
    </w:p>
    <w:p w14:paraId="5D472F2A">
      <w:pPr>
        <w:pStyle w:val="18"/>
        <w:snapToGrid w:val="0"/>
        <w:spacing w:line="380" w:lineRule="exact"/>
        <w:ind w:left="420" w:leftChars="200"/>
        <w:rPr>
          <w:rFonts w:hAnsi="宋体"/>
          <w:sz w:val="21"/>
        </w:rPr>
      </w:pPr>
      <w:r>
        <w:rPr>
          <w:rFonts w:hint="eastAsia" w:hAnsi="宋体"/>
          <w:sz w:val="21"/>
        </w:rPr>
        <w:t>5.标准、规范及有关技术文件；</w:t>
      </w:r>
    </w:p>
    <w:p w14:paraId="009D1829">
      <w:pPr>
        <w:pStyle w:val="18"/>
        <w:snapToGrid w:val="0"/>
        <w:spacing w:line="380" w:lineRule="exact"/>
        <w:ind w:left="420" w:leftChars="200"/>
        <w:rPr>
          <w:rFonts w:hAnsi="宋体"/>
          <w:sz w:val="21"/>
        </w:rPr>
      </w:pPr>
      <w:r>
        <w:rPr>
          <w:rFonts w:hint="eastAsia" w:hAnsi="宋体"/>
          <w:sz w:val="21"/>
        </w:rPr>
        <w:t>6.竞标声明；</w:t>
      </w:r>
    </w:p>
    <w:p w14:paraId="12229B01">
      <w:pPr>
        <w:pStyle w:val="18"/>
        <w:snapToGrid w:val="0"/>
        <w:spacing w:line="380" w:lineRule="exact"/>
        <w:ind w:left="420" w:leftChars="200"/>
        <w:rPr>
          <w:rFonts w:hAnsi="宋体"/>
          <w:sz w:val="21"/>
        </w:rPr>
      </w:pPr>
      <w:r>
        <w:rPr>
          <w:rFonts w:hint="eastAsia" w:hAnsi="宋体"/>
          <w:sz w:val="21"/>
        </w:rPr>
        <w:t>7.商务要求响应承诺书、技术（服务）要求响应表；</w:t>
      </w:r>
    </w:p>
    <w:p w14:paraId="6A4E99C3">
      <w:pPr>
        <w:pStyle w:val="18"/>
        <w:snapToGrid w:val="0"/>
        <w:spacing w:line="380" w:lineRule="exact"/>
        <w:ind w:left="420" w:leftChars="200"/>
        <w:rPr>
          <w:rFonts w:hAnsi="宋体"/>
          <w:sz w:val="21"/>
        </w:rPr>
      </w:pPr>
      <w:r>
        <w:rPr>
          <w:rFonts w:hint="eastAsia" w:hAnsi="宋体"/>
          <w:sz w:val="21"/>
        </w:rPr>
        <w:t>8.项目实施方案（如有）、售后服务方案（如有）</w:t>
      </w:r>
    </w:p>
    <w:p w14:paraId="3246FD26">
      <w:pPr>
        <w:pStyle w:val="18"/>
        <w:snapToGrid w:val="0"/>
        <w:spacing w:line="380" w:lineRule="exact"/>
        <w:ind w:left="420" w:leftChars="200"/>
        <w:rPr>
          <w:rFonts w:hAnsi="宋体"/>
          <w:sz w:val="21"/>
        </w:rPr>
      </w:pPr>
      <w:r>
        <w:rPr>
          <w:rFonts w:hint="eastAsia" w:hAnsi="宋体"/>
          <w:sz w:val="21"/>
        </w:rPr>
        <w:t>9.采购需求；</w:t>
      </w:r>
    </w:p>
    <w:p w14:paraId="3B5920B3">
      <w:pPr>
        <w:pStyle w:val="18"/>
        <w:snapToGrid w:val="0"/>
        <w:spacing w:line="380" w:lineRule="exact"/>
        <w:ind w:left="420" w:leftChars="200"/>
        <w:rPr>
          <w:rFonts w:hAnsi="宋体"/>
          <w:sz w:val="21"/>
        </w:rPr>
      </w:pPr>
      <w:r>
        <w:rPr>
          <w:rFonts w:hint="eastAsia" w:hAnsi="宋体"/>
          <w:sz w:val="21"/>
        </w:rPr>
        <w:t>10.竞标报价表；</w:t>
      </w:r>
    </w:p>
    <w:p w14:paraId="6F27F797">
      <w:pPr>
        <w:pStyle w:val="18"/>
        <w:snapToGrid w:val="0"/>
        <w:spacing w:line="380" w:lineRule="exact"/>
        <w:ind w:left="420" w:leftChars="200"/>
        <w:rPr>
          <w:rFonts w:hAnsi="宋体"/>
          <w:sz w:val="21"/>
        </w:rPr>
      </w:pPr>
      <w:r>
        <w:rPr>
          <w:rFonts w:hint="eastAsia" w:hAnsi="宋体"/>
          <w:sz w:val="21"/>
        </w:rPr>
        <w:t>11.双方约定的其他合同文件。</w:t>
      </w:r>
    </w:p>
    <w:p w14:paraId="34D7D236">
      <w:pPr>
        <w:pStyle w:val="18"/>
        <w:snapToGrid w:val="0"/>
        <w:spacing w:line="380" w:lineRule="exact"/>
        <w:ind w:firstLine="420" w:firstLineChars="200"/>
        <w:rPr>
          <w:rFonts w:hAnsi="宋体"/>
          <w:sz w:val="21"/>
        </w:rPr>
      </w:pPr>
      <w:r>
        <w:rPr>
          <w:rFonts w:hint="eastAsia" w:hAnsi="宋体"/>
          <w:sz w:val="21"/>
        </w:rPr>
        <w:t>上述合同文件互相补充和解释。如果合同文件之间存在矛盾或者不一致之处，以上述文件的排列顺序在先者为准。</w:t>
      </w:r>
    </w:p>
    <w:p w14:paraId="58C24930">
      <w:pPr>
        <w:snapToGrid w:val="0"/>
        <w:spacing w:line="380" w:lineRule="exact"/>
        <w:ind w:firstLine="422" w:firstLineChars="200"/>
        <w:rPr>
          <w:rFonts w:ascii="宋体" w:hAnsi="宋体"/>
          <w:szCs w:val="21"/>
        </w:rPr>
      </w:pPr>
      <w:r>
        <w:rPr>
          <w:rFonts w:hint="eastAsia" w:ascii="宋体" w:hAnsi="宋体"/>
          <w:b/>
          <w:szCs w:val="21"/>
        </w:rPr>
        <w:t>第十四条　知识产权和保密要求</w:t>
      </w:r>
    </w:p>
    <w:p w14:paraId="5477BF47">
      <w:pPr>
        <w:snapToGrid w:val="0"/>
        <w:spacing w:line="380" w:lineRule="exact"/>
        <w:ind w:firstLine="420" w:firstLineChars="200"/>
        <w:rPr>
          <w:rFonts w:ascii="宋体" w:hAnsi="宋体"/>
          <w:szCs w:val="21"/>
        </w:rPr>
      </w:pPr>
      <w:r>
        <w:rPr>
          <w:rFonts w:hint="eastAsia" w:ascii="宋体" w:hAnsi="宋体"/>
          <w:szCs w:val="21"/>
        </w:rPr>
        <w:t>1.甲方在履行合同过程中提供给乙方的全部图纸、文件和其他含有数据和信息的资料，其知识产权属于甲方。</w:t>
      </w:r>
    </w:p>
    <w:p w14:paraId="2162B8FC">
      <w:pPr>
        <w:snapToGrid w:val="0"/>
        <w:spacing w:line="380" w:lineRule="exact"/>
        <w:ind w:firstLine="420" w:firstLineChars="200"/>
        <w:rPr>
          <w:rFonts w:ascii="宋体" w:hAnsi="宋体"/>
          <w:szCs w:val="21"/>
        </w:rPr>
      </w:pPr>
      <w:r>
        <w:rPr>
          <w:rFonts w:hint="eastAsia" w:ascii="宋体" w:hAnsi="宋体"/>
          <w:szCs w:val="21"/>
        </w:rPr>
        <w:t>2.除采购文件采购需求另有约定外，甲方不因签署和履行合同而享有乙方在履行合同过程中提供给甲方的图纸、文件、配套软件、电子辅助程序和其他含有数据和信息的资料的知识产权。</w:t>
      </w:r>
    </w:p>
    <w:p w14:paraId="13443A70">
      <w:pPr>
        <w:snapToGrid w:val="0"/>
        <w:spacing w:line="380" w:lineRule="exact"/>
        <w:ind w:firstLine="420" w:firstLineChars="200"/>
        <w:rPr>
          <w:rFonts w:ascii="宋体" w:hAnsi="宋体"/>
          <w:szCs w:val="21"/>
        </w:rPr>
      </w:pPr>
      <w:r>
        <w:rPr>
          <w:rFonts w:hint="eastAsia" w:ascii="宋体" w:hAnsi="宋体"/>
          <w:szCs w:val="21"/>
        </w:rPr>
        <w:t>3.乙方应保证所提供货物在使用时不会侵犯任何第三方的知识产权或者其他权利。如合同货物涉及知识产权，则乙方保证甲方在使用合同货物过程中免于受到第三方提出的有关知识产权侵权的主张、索赔或诉讼的伤害。</w:t>
      </w:r>
    </w:p>
    <w:p w14:paraId="410443B7">
      <w:pPr>
        <w:snapToGrid w:val="0"/>
        <w:spacing w:line="380" w:lineRule="exact"/>
        <w:ind w:firstLine="420" w:firstLineChars="200"/>
        <w:rPr>
          <w:rFonts w:ascii="宋体" w:hAnsi="宋体"/>
          <w:szCs w:val="21"/>
        </w:rPr>
      </w:pPr>
      <w:r>
        <w:rPr>
          <w:rFonts w:hint="eastAsia" w:ascii="宋体" w:hAnsi="宋体"/>
          <w:szCs w:val="21"/>
        </w:rPr>
        <w:t>4.如果甲方收到任何第三方有关知识产权的主张、索赔或诉讼，乙方在收到甲方通知后，应以甲方名义并在甲方的协助下，自负费用处理与第三方的索赔或诉讼，并赔偿甲方因此发生的费用和遭受的损失。如果乙方拒绝处理前述索赔或诉讼或在收到甲方通知后28日内未作表示，甲方可以自己的名义进行这些索赔或诉讼，因此发生的费用和遭受的损失均应由乙方承担。</w:t>
      </w:r>
    </w:p>
    <w:p w14:paraId="0EA5E053">
      <w:pPr>
        <w:snapToGrid w:val="0"/>
        <w:spacing w:line="380" w:lineRule="exact"/>
        <w:ind w:firstLine="420" w:firstLineChars="200"/>
        <w:rPr>
          <w:rFonts w:ascii="宋体" w:hAnsi="宋体"/>
          <w:szCs w:val="21"/>
        </w:rPr>
      </w:pPr>
      <w:r>
        <w:rPr>
          <w:rFonts w:hint="eastAsia" w:ascii="宋体" w:hAnsi="宋体"/>
          <w:szCs w:val="21"/>
        </w:rPr>
        <w:t>5.未经甲方书面同意，乙方不得将由甲方提供的有关合同或者任何合同条款、规格、计划、图纸、样品或者资料提供给与履行本合同无关的任何其他人。即使向履行本合同有关的其他人员提供，也应注意保密并限于履行合同的必需范围。</w:t>
      </w:r>
    </w:p>
    <w:p w14:paraId="58FF5401">
      <w:pPr>
        <w:snapToGrid w:val="0"/>
        <w:spacing w:line="380" w:lineRule="exact"/>
        <w:ind w:firstLine="420" w:firstLineChars="200"/>
        <w:rPr>
          <w:rFonts w:ascii="宋体" w:hAnsi="宋体"/>
          <w:szCs w:val="21"/>
        </w:rPr>
      </w:pPr>
      <w:r>
        <w:rPr>
          <w:rFonts w:hint="eastAsia" w:ascii="宋体" w:hAnsi="宋体"/>
          <w:szCs w:val="21"/>
        </w:rPr>
        <w:t>6.乙方保证将要交付的货物的所有权完全属于乙方且无任何抵押、质押、查封等产权瑕疵。</w:t>
      </w:r>
    </w:p>
    <w:p w14:paraId="429BCE23">
      <w:pPr>
        <w:pStyle w:val="18"/>
        <w:snapToGrid w:val="0"/>
        <w:spacing w:line="380" w:lineRule="exact"/>
        <w:ind w:firstLine="413" w:firstLineChars="196"/>
        <w:rPr>
          <w:rFonts w:hAnsi="宋体"/>
          <w:b/>
          <w:sz w:val="21"/>
        </w:rPr>
      </w:pPr>
      <w:r>
        <w:rPr>
          <w:rFonts w:hint="eastAsia" w:hAnsi="宋体"/>
          <w:b/>
          <w:sz w:val="21"/>
        </w:rPr>
        <w:t>第十五条  合同生效及其它</w:t>
      </w:r>
    </w:p>
    <w:p w14:paraId="6DA17DA9">
      <w:pPr>
        <w:pStyle w:val="18"/>
        <w:snapToGrid w:val="0"/>
        <w:spacing w:line="380" w:lineRule="exact"/>
        <w:ind w:firstLine="420" w:firstLineChars="200"/>
        <w:rPr>
          <w:rFonts w:hAnsi="宋体"/>
          <w:sz w:val="21"/>
        </w:rPr>
      </w:pPr>
      <w:r>
        <w:rPr>
          <w:rFonts w:hint="eastAsia" w:hAnsi="宋体"/>
          <w:sz w:val="21"/>
        </w:rPr>
        <w:t>1.合同经双方法定代表人或者委托代理人签字并加盖单位公章后生效（委托代理人签字的需后附授权委托书，格式自拟）。</w:t>
      </w:r>
    </w:p>
    <w:p w14:paraId="4E4BDC5F">
      <w:pPr>
        <w:pStyle w:val="18"/>
        <w:snapToGrid w:val="0"/>
        <w:spacing w:line="380" w:lineRule="exact"/>
        <w:ind w:firstLine="420" w:firstLineChars="200"/>
        <w:rPr>
          <w:rFonts w:hAnsi="宋体"/>
          <w:sz w:val="21"/>
        </w:rPr>
      </w:pPr>
      <w:r>
        <w:rPr>
          <w:rFonts w:hint="eastAsia" w:hAnsi="宋体"/>
          <w:sz w:val="21"/>
        </w:rPr>
        <w:t>2.合同执行中涉及采购资金和采购内容修改或者补充的，并签书面补充协议报财政部门备案，方可作为主合同不可分割的一部分。</w:t>
      </w:r>
    </w:p>
    <w:p w14:paraId="6A343ECB">
      <w:pPr>
        <w:pStyle w:val="18"/>
        <w:snapToGrid w:val="0"/>
        <w:spacing w:line="380" w:lineRule="exact"/>
        <w:ind w:firstLine="420" w:firstLineChars="200"/>
        <w:rPr>
          <w:rFonts w:hAnsi="宋体"/>
          <w:sz w:val="21"/>
        </w:rPr>
      </w:pPr>
      <w:r>
        <w:rPr>
          <w:rFonts w:hint="eastAsia" w:hAnsi="宋体"/>
          <w:sz w:val="21"/>
        </w:rPr>
        <w:t>3.合同生效后，甲乙双方不得因姓名、名称的变更或者法定代表人、负责人、承办人的变动而不履行合同义务。</w:t>
      </w:r>
    </w:p>
    <w:p w14:paraId="52654BFB">
      <w:pPr>
        <w:pStyle w:val="18"/>
        <w:snapToGrid w:val="0"/>
        <w:spacing w:line="380" w:lineRule="exact"/>
        <w:ind w:firstLine="420" w:firstLineChars="200"/>
        <w:rPr>
          <w:rFonts w:hAnsi="宋体"/>
          <w:sz w:val="21"/>
        </w:rPr>
      </w:pPr>
      <w:r>
        <w:rPr>
          <w:rFonts w:hint="eastAsia" w:hAnsi="宋体"/>
          <w:sz w:val="21"/>
        </w:rPr>
        <w:t>4.本合同未尽事宜，遵照《中华人民共和国民法典》有关条文执行。</w:t>
      </w:r>
    </w:p>
    <w:p w14:paraId="3E1E20DB">
      <w:pPr>
        <w:pStyle w:val="18"/>
        <w:snapToGrid w:val="0"/>
        <w:spacing w:line="380" w:lineRule="exact"/>
        <w:ind w:firstLine="420" w:firstLineChars="200"/>
        <w:rPr>
          <w:rFonts w:hAnsi="宋体"/>
          <w:sz w:val="21"/>
        </w:rPr>
      </w:pPr>
      <w:r>
        <w:rPr>
          <w:rFonts w:hAnsi="宋体"/>
          <w:sz w:val="21"/>
        </w:rPr>
        <w:t>5.</w:t>
      </w:r>
      <w:r>
        <w:rPr>
          <w:rFonts w:hint="eastAsia" w:hAnsi="宋体"/>
          <w:sz w:val="21"/>
        </w:rPr>
        <w:t>本合同一式四份，具有同等法律效力，甲方二份，乙方一份，采购代理机构一份（可根据需要另增加） 。</w:t>
      </w:r>
    </w:p>
    <w:p w14:paraId="642AEA57">
      <w:pPr>
        <w:snapToGrid w:val="0"/>
        <w:spacing w:line="360" w:lineRule="auto"/>
        <w:rPr>
          <w:rFonts w:ascii="宋体" w:hAnsi="宋体"/>
          <w:szCs w:val="21"/>
        </w:rPr>
      </w:pPr>
    </w:p>
    <w:p w14:paraId="3B12BF50">
      <w:pPr>
        <w:tabs>
          <w:tab w:val="left" w:pos="4395"/>
        </w:tabs>
        <w:spacing w:line="360" w:lineRule="auto"/>
        <w:rPr>
          <w:rFonts w:ascii="宋体" w:hAnsi="宋体"/>
          <w:b/>
          <w:szCs w:val="21"/>
        </w:rPr>
      </w:pPr>
      <w:r>
        <w:rPr>
          <w:rFonts w:hint="eastAsia" w:ascii="宋体" w:hAnsi="宋体"/>
          <w:b/>
          <w:szCs w:val="21"/>
        </w:rPr>
        <w:t>甲方（盖章）：</w:t>
      </w:r>
      <w:r>
        <w:rPr>
          <w:rFonts w:ascii="宋体" w:hAnsi="宋体"/>
          <w:b/>
          <w:szCs w:val="21"/>
        </w:rPr>
        <w:tab/>
      </w:r>
      <w:r>
        <w:rPr>
          <w:rFonts w:hint="eastAsia" w:ascii="宋体" w:hAnsi="宋体"/>
          <w:b/>
          <w:szCs w:val="21"/>
        </w:rPr>
        <w:t>乙方（盖章）：</w:t>
      </w:r>
    </w:p>
    <w:p w14:paraId="15D3C7A3">
      <w:pPr>
        <w:tabs>
          <w:tab w:val="left" w:pos="4395"/>
        </w:tabs>
        <w:spacing w:line="360" w:lineRule="auto"/>
        <w:rPr>
          <w:rFonts w:ascii="宋体" w:hAnsi="宋体"/>
          <w:b/>
          <w:szCs w:val="21"/>
        </w:rPr>
      </w:pPr>
      <w:r>
        <w:rPr>
          <w:rFonts w:hint="eastAsia" w:ascii="宋体" w:hAnsi="宋体"/>
          <w:b/>
          <w:szCs w:val="21"/>
        </w:rPr>
        <w:t>法定代表人或者委托代理人（签字）：</w:t>
      </w:r>
      <w:r>
        <w:rPr>
          <w:rFonts w:ascii="宋体" w:hAnsi="宋体"/>
          <w:b/>
          <w:szCs w:val="21"/>
        </w:rPr>
        <w:tab/>
      </w:r>
      <w:r>
        <w:rPr>
          <w:rFonts w:hint="eastAsia" w:ascii="宋体" w:hAnsi="宋体"/>
          <w:b/>
          <w:szCs w:val="21"/>
        </w:rPr>
        <w:t>法定代表人或者委托代理人（签字）：</w:t>
      </w:r>
    </w:p>
    <w:p w14:paraId="704A2AE3">
      <w:pPr>
        <w:tabs>
          <w:tab w:val="left" w:pos="4395"/>
        </w:tabs>
        <w:spacing w:line="360" w:lineRule="auto"/>
        <w:rPr>
          <w:rFonts w:ascii="宋体" w:hAnsi="宋体"/>
          <w:b/>
          <w:szCs w:val="21"/>
        </w:rPr>
      </w:pPr>
      <w:r>
        <w:rPr>
          <w:rFonts w:hint="eastAsia" w:ascii="宋体" w:hAnsi="宋体"/>
          <w:b/>
          <w:szCs w:val="21"/>
        </w:rPr>
        <w:t>签定日期：　　　年　　月　　日</w:t>
      </w:r>
      <w:r>
        <w:rPr>
          <w:rFonts w:ascii="宋体" w:hAnsi="宋体"/>
          <w:b/>
          <w:szCs w:val="21"/>
        </w:rPr>
        <w:tab/>
      </w:r>
      <w:r>
        <w:rPr>
          <w:rFonts w:hint="eastAsia" w:ascii="宋体" w:hAnsi="宋体"/>
          <w:b/>
          <w:szCs w:val="21"/>
        </w:rPr>
        <w:t>签定日期：　　　年　　月　　日</w:t>
      </w:r>
    </w:p>
    <w:p w14:paraId="624F38F2">
      <w:pPr>
        <w:tabs>
          <w:tab w:val="left" w:pos="4395"/>
        </w:tabs>
        <w:spacing w:line="360" w:lineRule="auto"/>
        <w:rPr>
          <w:rFonts w:ascii="宋体" w:hAnsi="宋体"/>
          <w:b/>
          <w:szCs w:val="21"/>
        </w:rPr>
      </w:pPr>
      <w:r>
        <w:rPr>
          <w:rFonts w:ascii="宋体" w:hAnsi="宋体"/>
          <w:b/>
          <w:szCs w:val="21"/>
        </w:rPr>
        <w:tab/>
      </w:r>
      <w:r>
        <w:rPr>
          <w:rFonts w:hint="eastAsia" w:ascii="宋体" w:hAnsi="宋体"/>
          <w:b/>
          <w:szCs w:val="21"/>
        </w:rPr>
        <w:t>开户名称：</w:t>
      </w:r>
    </w:p>
    <w:p w14:paraId="0A6B3308">
      <w:pPr>
        <w:tabs>
          <w:tab w:val="left" w:pos="4395"/>
        </w:tabs>
        <w:spacing w:line="360" w:lineRule="auto"/>
        <w:rPr>
          <w:rFonts w:ascii="宋体" w:hAnsi="宋体"/>
          <w:b/>
          <w:szCs w:val="21"/>
        </w:rPr>
      </w:pPr>
      <w:r>
        <w:rPr>
          <w:rFonts w:ascii="宋体" w:hAnsi="宋体"/>
          <w:b/>
          <w:szCs w:val="21"/>
        </w:rPr>
        <w:tab/>
      </w:r>
      <w:r>
        <w:rPr>
          <w:rFonts w:hint="eastAsia" w:ascii="宋体" w:hAnsi="宋体"/>
          <w:b/>
          <w:szCs w:val="21"/>
        </w:rPr>
        <w:t>银行账号：</w:t>
      </w:r>
    </w:p>
    <w:p w14:paraId="74B28CAD">
      <w:pPr>
        <w:tabs>
          <w:tab w:val="left" w:pos="4395"/>
        </w:tabs>
        <w:spacing w:line="360" w:lineRule="auto"/>
        <w:rPr>
          <w:rFonts w:ascii="宋体" w:hAnsi="宋体"/>
          <w:szCs w:val="21"/>
        </w:rPr>
      </w:pPr>
      <w:r>
        <w:rPr>
          <w:rFonts w:ascii="宋体" w:hAnsi="宋体"/>
          <w:b/>
          <w:szCs w:val="21"/>
        </w:rPr>
        <w:tab/>
      </w:r>
      <w:r>
        <w:rPr>
          <w:rFonts w:hint="eastAsia" w:ascii="宋体" w:hAnsi="宋体"/>
          <w:b/>
          <w:szCs w:val="21"/>
        </w:rPr>
        <w:t>开户行：</w:t>
      </w:r>
    </w:p>
    <w:sectPr>
      <w:footerReference r:id="rId7" w:type="first"/>
      <w:footerReference r:id="rId6" w:type="default"/>
      <w:pgSz w:w="11906" w:h="16838"/>
      <w:pgMar w:top="1440" w:right="1440" w:bottom="1440" w:left="1587"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11F2508-733F-459E-B76C-9718625F56E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0956C455-AD9B-4D85-A5EE-81B09FF45B6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embedRegular r:id="rId3" w:fontKey="{8F141158-E947-4E4A-8E5D-ED51B67A5149}"/>
  </w:font>
  <w:font w:name="仿宋">
    <w:panose1 w:val="02010609060101010101"/>
    <w:charset w:val="86"/>
    <w:family w:val="modern"/>
    <w:pitch w:val="default"/>
    <w:sig w:usb0="800002BF" w:usb1="38CF7CFA" w:usb2="00000016" w:usb3="00000000" w:csb0="00040001" w:csb1="00000000"/>
    <w:embedRegular r:id="rId4" w:fontKey="{E7D86549-D9EF-4E00-8261-ACF58FA7D3C1}"/>
  </w:font>
  <w:font w:name="Tahoma">
    <w:panose1 w:val="020B0604030504040204"/>
    <w:charset w:val="00"/>
    <w:family w:val="swiss"/>
    <w:pitch w:val="default"/>
    <w:sig w:usb0="E1002EFF" w:usb1="C000605B" w:usb2="00000029" w:usb3="00000000" w:csb0="200101FF" w:csb1="20280000"/>
    <w:embedRegular r:id="rId5" w:fontKey="{01BA0749-88C6-4A44-B74C-7A75D5027ECF}"/>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roman"/>
    <w:pitch w:val="default"/>
    <w:sig w:usb0="00000000" w:usb1="00000000" w:usb2="00000000" w:usb3="00000000" w:csb0="003E0000" w:csb1="00000000"/>
  </w:font>
  <w:font w:name="MicrosoftYaHei">
    <w:altName w:val="宋体"/>
    <w:panose1 w:val="00000000000000000000"/>
    <w:charset w:val="86"/>
    <w:family w:val="auto"/>
    <w:pitch w:val="default"/>
    <w:sig w:usb0="00000000" w:usb1="00000000" w:usb2="00000000" w:usb3="00000000" w:csb0="00000000" w:csb1="00000000"/>
  </w:font>
  <w:font w:name="方正小标宋简体">
    <w:altName w:val="黑体"/>
    <w:panose1 w:val="00000000000000000000"/>
    <w:charset w:val="86"/>
    <w:family w:val="script"/>
    <w:pitch w:val="default"/>
    <w:sig w:usb0="00000000" w:usb1="00000000" w:usb2="00000010" w:usb3="00000000" w:csb0="00040000" w:csb1="00000000"/>
    <w:embedRegular r:id="rId6" w:fontKey="{DE9CC75B-3BB3-454E-B050-3091B9438EAD}"/>
  </w:font>
  <w:font w:name="微软雅黑">
    <w:panose1 w:val="020B0503020204020204"/>
    <w:charset w:val="86"/>
    <w:family w:val="swiss"/>
    <w:pitch w:val="default"/>
    <w:sig w:usb0="80000287" w:usb1="2ACF3C50" w:usb2="00000016" w:usb3="00000000" w:csb0="0004001F" w:csb1="00000000"/>
    <w:embedRegular r:id="rId7" w:fontKey="{72C5B844-862D-435C-A54F-11D690EDD1B0}"/>
  </w:font>
  <w:font w:name="___WRD_EMBED_SUB_47">
    <w:altName w:val="宋体"/>
    <w:panose1 w:val="00000000000000000000"/>
    <w:charset w:val="86"/>
    <w:family w:val="modern"/>
    <w:pitch w:val="default"/>
    <w:sig w:usb0="00000000" w:usb1="00000000" w:usb2="00000010" w:usb3="00000000" w:csb0="00040000" w:csb1="00000000"/>
    <w:embedRegular r:id="rId8" w:fontKey="{8E46220C-034B-4368-971F-1F52158F0983}"/>
  </w:font>
  <w:font w:name="Segoe UI Symbol">
    <w:panose1 w:val="020B0502040204020203"/>
    <w:charset w:val="00"/>
    <w:family w:val="swiss"/>
    <w:pitch w:val="default"/>
    <w:sig w:usb0="800001E3" w:usb1="1200FFEF" w:usb2="00040000" w:usb3="04000000" w:csb0="00000001" w:csb1="40000000"/>
    <w:embedRegular r:id="rId9" w:fontKey="{4A1F52CB-9055-40DE-B40E-67CC3D37BD37}"/>
  </w:font>
  <w:font w:name="华文细黑">
    <w:altName w:val="微软雅黑"/>
    <w:panose1 w:val="02010600040101010101"/>
    <w:charset w:val="86"/>
    <w:family w:val="auto"/>
    <w:pitch w:val="default"/>
    <w:sig w:usb0="00000000" w:usb1="00000000" w:usb2="00000010" w:usb3="00000000" w:csb0="0004009F" w:csb1="00000000"/>
    <w:embedRegular r:id="rId10" w:fontKey="{6CB814CB-2838-4449-BAE8-BF71970FF0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FE500">
    <w:pPr>
      <w:pStyle w:val="21"/>
      <w:jc w:val="center"/>
    </w:pPr>
    <w:r>
      <w:fldChar w:fldCharType="begin"/>
    </w:r>
    <w:r>
      <w:instrText xml:space="preserve"> PAGE   \* MERGEFORMAT </w:instrText>
    </w:r>
    <w:r>
      <w:fldChar w:fldCharType="separate"/>
    </w:r>
    <w:r>
      <w:rPr>
        <w:lang w:val="zh-CN"/>
      </w:rPr>
      <w:t>1</w:t>
    </w:r>
    <w:r>
      <w:fldChar w:fldCharType="end"/>
    </w:r>
  </w:p>
  <w:p w14:paraId="07014713">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4FB7C">
    <w:pPr>
      <w:pStyle w:val="2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2D6F76">
                          <w:pPr>
                            <w:pStyle w:val="21"/>
                            <w:jc w:val="center"/>
                          </w:pPr>
                          <w:r>
                            <w:fldChar w:fldCharType="begin"/>
                          </w:r>
                          <w:r>
                            <w:instrText xml:space="preserve"> PAGE   \* MERGEFORMAT </w:instrText>
                          </w:r>
                          <w:r>
                            <w:fldChar w:fldCharType="separate"/>
                          </w:r>
                          <w:r>
                            <w:rPr>
                              <w:lang w:val="zh-CN"/>
                            </w:rPr>
                            <w:t>24</w:t>
                          </w:r>
                          <w:r>
                            <w:fldChar w:fldCharType="end"/>
                          </w:r>
                        </w:p>
                      </w:txbxContent>
                    </wps:txbx>
                    <wps:bodyPr wrap="none" lIns="0" tIns="0" rIns="0" bIns="0">
                      <a:spAutoFit/>
                    </wps:bodyPr>
                  </wps:wsp>
                </a:graphicData>
              </a:graphic>
            </wp:anchor>
          </w:drawing>
        </mc:Choice>
        <mc:Fallback>
          <w:pict>
            <v:shape id="文本框 512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gfN8cUBAACQ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YlJZYbHPj5+7fzj1/nn1/J&#10;22W5TAr1HipMfPKYGoc7N+DezH5AZyI+tMGkL1IiGEd9Txd95RCJSI9W5WpVYEhgbL4gPnt+7gPE&#10;99IZkoyaBhxg1pUfHyGOqXNKqmbdvdI6D1HbvxyImTws9T72mKw47IaJ0M41J+TT4+xranHVKdEP&#10;FqVNazIbYTZ2k5FqgL89RCyc+0moI9RUDAeVGU1LlTbhz3vOev6R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FoHzfHFAQAAkAMAAA4AAAAAAAAAAQAgAAAAHgEAAGRycy9lMm9Eb2MueG1s&#10;UEsFBgAAAAAGAAYAWQEAAFUFAAAAAA==&#10;">
              <v:fill on="f" focussize="0,0"/>
              <v:stroke on="f"/>
              <v:imagedata o:title=""/>
              <o:lock v:ext="edit" aspectratio="f"/>
              <v:textbox inset="0mm,0mm,0mm,0mm" style="mso-fit-shape-to-text:t;">
                <w:txbxContent>
                  <w:p w14:paraId="562D6F76">
                    <w:pPr>
                      <w:pStyle w:val="21"/>
                      <w:jc w:val="center"/>
                    </w:pPr>
                    <w:r>
                      <w:fldChar w:fldCharType="begin"/>
                    </w:r>
                    <w:r>
                      <w:instrText xml:space="preserve"> PAGE   \* MERGEFORMAT </w:instrText>
                    </w:r>
                    <w:r>
                      <w:fldChar w:fldCharType="separate"/>
                    </w:r>
                    <w:r>
                      <w:rPr>
                        <w:lang w:val="zh-CN"/>
                      </w:rPr>
                      <w:t>24</w:t>
                    </w:r>
                    <w:r>
                      <w:fldChar w:fldCharType="end"/>
                    </w:r>
                  </w:p>
                </w:txbxContent>
              </v:textbox>
            </v:shape>
          </w:pict>
        </mc:Fallback>
      </mc:AlternateContent>
    </w:r>
  </w:p>
  <w:p w14:paraId="60861213">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B216D">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57A50C">
                          <w:pPr>
                            <w:pStyle w:val="21"/>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wrap="none" lIns="0" tIns="0" rIns="0" bIns="0">
                      <a:spAutoFit/>
                    </wps:bodyPr>
                  </wps:wsp>
                </a:graphicData>
              </a:graphic>
            </wp:anchor>
          </w:drawing>
        </mc:Choice>
        <mc:Fallback>
          <w:pict>
            <v:shape id="文本框 512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M7uMX7FAQAAkAMAAA4AAAAAAAAAAQAgAAAAHgEAAGRycy9lMm9Eb2MueG1s&#10;UEsFBgAAAAAGAAYAWQEAAFUFAAAAAA==&#10;">
              <v:fill on="f" focussize="0,0"/>
              <v:stroke on="f"/>
              <v:imagedata o:title=""/>
              <o:lock v:ext="edit" aspectratio="f"/>
              <v:textbox inset="0mm,0mm,0mm,0mm" style="mso-fit-shape-to-text:t;">
                <w:txbxContent>
                  <w:p w14:paraId="1757A50C">
                    <w:pPr>
                      <w:pStyle w:val="21"/>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2DDEB">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F2826">
    <w:pPr>
      <w:pStyle w:val="22"/>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2ZTQzYmM1OTQzMTRhMzg5NzJmNGVkNTA3ZmNiODMifQ=="/>
  </w:docVars>
  <w:rsids>
    <w:rsidRoot w:val="00F34B14"/>
    <w:rsid w:val="00000672"/>
    <w:rsid w:val="00000795"/>
    <w:rsid w:val="00000B94"/>
    <w:rsid w:val="00000E60"/>
    <w:rsid w:val="00001013"/>
    <w:rsid w:val="00001799"/>
    <w:rsid w:val="00001AF2"/>
    <w:rsid w:val="00001DBD"/>
    <w:rsid w:val="00001ECA"/>
    <w:rsid w:val="00002D29"/>
    <w:rsid w:val="0000375A"/>
    <w:rsid w:val="00003B93"/>
    <w:rsid w:val="0000432C"/>
    <w:rsid w:val="000043CF"/>
    <w:rsid w:val="000045C6"/>
    <w:rsid w:val="0000474D"/>
    <w:rsid w:val="0000585B"/>
    <w:rsid w:val="00005870"/>
    <w:rsid w:val="00005E72"/>
    <w:rsid w:val="00005FDF"/>
    <w:rsid w:val="00006F58"/>
    <w:rsid w:val="000070B3"/>
    <w:rsid w:val="000076B8"/>
    <w:rsid w:val="00007876"/>
    <w:rsid w:val="0000787C"/>
    <w:rsid w:val="00010393"/>
    <w:rsid w:val="000109DC"/>
    <w:rsid w:val="00010D39"/>
    <w:rsid w:val="00010DD2"/>
    <w:rsid w:val="000112B0"/>
    <w:rsid w:val="0001172C"/>
    <w:rsid w:val="00012510"/>
    <w:rsid w:val="00012854"/>
    <w:rsid w:val="00012BAA"/>
    <w:rsid w:val="00012EA6"/>
    <w:rsid w:val="0001364D"/>
    <w:rsid w:val="000139CF"/>
    <w:rsid w:val="00013AA4"/>
    <w:rsid w:val="00013BF8"/>
    <w:rsid w:val="00013DE2"/>
    <w:rsid w:val="00013DFE"/>
    <w:rsid w:val="000141EA"/>
    <w:rsid w:val="000155A2"/>
    <w:rsid w:val="00016479"/>
    <w:rsid w:val="00016ABC"/>
    <w:rsid w:val="000177DB"/>
    <w:rsid w:val="000179C9"/>
    <w:rsid w:val="00017CCC"/>
    <w:rsid w:val="00020227"/>
    <w:rsid w:val="00020455"/>
    <w:rsid w:val="00020813"/>
    <w:rsid w:val="00020B67"/>
    <w:rsid w:val="00020F7F"/>
    <w:rsid w:val="00021E1F"/>
    <w:rsid w:val="000220B2"/>
    <w:rsid w:val="0002264C"/>
    <w:rsid w:val="00022731"/>
    <w:rsid w:val="00022792"/>
    <w:rsid w:val="000228DD"/>
    <w:rsid w:val="00022F5F"/>
    <w:rsid w:val="00024463"/>
    <w:rsid w:val="00024B27"/>
    <w:rsid w:val="00025461"/>
    <w:rsid w:val="000254D9"/>
    <w:rsid w:val="00025636"/>
    <w:rsid w:val="00025B06"/>
    <w:rsid w:val="00025E36"/>
    <w:rsid w:val="00026886"/>
    <w:rsid w:val="00027343"/>
    <w:rsid w:val="0003094F"/>
    <w:rsid w:val="00030A61"/>
    <w:rsid w:val="00030D44"/>
    <w:rsid w:val="0003109D"/>
    <w:rsid w:val="000316FB"/>
    <w:rsid w:val="000329E0"/>
    <w:rsid w:val="00032C2D"/>
    <w:rsid w:val="00033AFB"/>
    <w:rsid w:val="00034AF4"/>
    <w:rsid w:val="0003517D"/>
    <w:rsid w:val="00035214"/>
    <w:rsid w:val="000352E9"/>
    <w:rsid w:val="00035494"/>
    <w:rsid w:val="00035618"/>
    <w:rsid w:val="00036125"/>
    <w:rsid w:val="00036A07"/>
    <w:rsid w:val="00036ABB"/>
    <w:rsid w:val="0003721D"/>
    <w:rsid w:val="00037291"/>
    <w:rsid w:val="0003749B"/>
    <w:rsid w:val="0003780B"/>
    <w:rsid w:val="000403E7"/>
    <w:rsid w:val="00040571"/>
    <w:rsid w:val="00040973"/>
    <w:rsid w:val="00040F3E"/>
    <w:rsid w:val="00041099"/>
    <w:rsid w:val="0004156E"/>
    <w:rsid w:val="00041713"/>
    <w:rsid w:val="000430F9"/>
    <w:rsid w:val="0004397E"/>
    <w:rsid w:val="0004440C"/>
    <w:rsid w:val="00044933"/>
    <w:rsid w:val="00044D42"/>
    <w:rsid w:val="000452AC"/>
    <w:rsid w:val="0004535B"/>
    <w:rsid w:val="0004596B"/>
    <w:rsid w:val="000459CB"/>
    <w:rsid w:val="000468F1"/>
    <w:rsid w:val="00046B5E"/>
    <w:rsid w:val="000470CB"/>
    <w:rsid w:val="00050337"/>
    <w:rsid w:val="000509D9"/>
    <w:rsid w:val="00050AD1"/>
    <w:rsid w:val="000518C7"/>
    <w:rsid w:val="00051ACB"/>
    <w:rsid w:val="00051BCA"/>
    <w:rsid w:val="0005287B"/>
    <w:rsid w:val="000533E7"/>
    <w:rsid w:val="00053514"/>
    <w:rsid w:val="00053BBB"/>
    <w:rsid w:val="00054688"/>
    <w:rsid w:val="00055418"/>
    <w:rsid w:val="00055675"/>
    <w:rsid w:val="00055A31"/>
    <w:rsid w:val="00055D41"/>
    <w:rsid w:val="0005680A"/>
    <w:rsid w:val="000568A8"/>
    <w:rsid w:val="000568DA"/>
    <w:rsid w:val="0005721E"/>
    <w:rsid w:val="00057CD6"/>
    <w:rsid w:val="00060551"/>
    <w:rsid w:val="00060BAE"/>
    <w:rsid w:val="00060DCE"/>
    <w:rsid w:val="000610E3"/>
    <w:rsid w:val="000614F3"/>
    <w:rsid w:val="00061E83"/>
    <w:rsid w:val="00061ED8"/>
    <w:rsid w:val="00062223"/>
    <w:rsid w:val="000623B4"/>
    <w:rsid w:val="00062405"/>
    <w:rsid w:val="00062CB5"/>
    <w:rsid w:val="00062E82"/>
    <w:rsid w:val="000634A7"/>
    <w:rsid w:val="00063B0B"/>
    <w:rsid w:val="00063F81"/>
    <w:rsid w:val="00064847"/>
    <w:rsid w:val="00065573"/>
    <w:rsid w:val="000655B1"/>
    <w:rsid w:val="00065E08"/>
    <w:rsid w:val="00066C21"/>
    <w:rsid w:val="00067093"/>
    <w:rsid w:val="000670E8"/>
    <w:rsid w:val="000672FE"/>
    <w:rsid w:val="000673E2"/>
    <w:rsid w:val="000675B0"/>
    <w:rsid w:val="00067C17"/>
    <w:rsid w:val="00067C7D"/>
    <w:rsid w:val="0007054B"/>
    <w:rsid w:val="0007063F"/>
    <w:rsid w:val="00070949"/>
    <w:rsid w:val="00070B1F"/>
    <w:rsid w:val="000710EF"/>
    <w:rsid w:val="000711E4"/>
    <w:rsid w:val="000711E5"/>
    <w:rsid w:val="00071681"/>
    <w:rsid w:val="00071682"/>
    <w:rsid w:val="000726FD"/>
    <w:rsid w:val="0007284A"/>
    <w:rsid w:val="00072AED"/>
    <w:rsid w:val="00073F47"/>
    <w:rsid w:val="000745AA"/>
    <w:rsid w:val="000745BF"/>
    <w:rsid w:val="0007492F"/>
    <w:rsid w:val="00074ED8"/>
    <w:rsid w:val="00075AF1"/>
    <w:rsid w:val="00075B30"/>
    <w:rsid w:val="00075B7E"/>
    <w:rsid w:val="00077033"/>
    <w:rsid w:val="00077C70"/>
    <w:rsid w:val="00077F0A"/>
    <w:rsid w:val="00080268"/>
    <w:rsid w:val="000806E4"/>
    <w:rsid w:val="000813B5"/>
    <w:rsid w:val="0008184E"/>
    <w:rsid w:val="00081A91"/>
    <w:rsid w:val="00081BA3"/>
    <w:rsid w:val="00081D2E"/>
    <w:rsid w:val="00081F12"/>
    <w:rsid w:val="00081F89"/>
    <w:rsid w:val="00082619"/>
    <w:rsid w:val="00082D02"/>
    <w:rsid w:val="00083177"/>
    <w:rsid w:val="00083871"/>
    <w:rsid w:val="00083A22"/>
    <w:rsid w:val="00083B91"/>
    <w:rsid w:val="00083F72"/>
    <w:rsid w:val="000840C2"/>
    <w:rsid w:val="0008473C"/>
    <w:rsid w:val="000848AB"/>
    <w:rsid w:val="0008520B"/>
    <w:rsid w:val="000853CA"/>
    <w:rsid w:val="00085DF0"/>
    <w:rsid w:val="00085F11"/>
    <w:rsid w:val="000860BD"/>
    <w:rsid w:val="000871B8"/>
    <w:rsid w:val="0008768B"/>
    <w:rsid w:val="00087E81"/>
    <w:rsid w:val="000907C5"/>
    <w:rsid w:val="000916DA"/>
    <w:rsid w:val="00091BE7"/>
    <w:rsid w:val="00091FE0"/>
    <w:rsid w:val="000922D2"/>
    <w:rsid w:val="00092442"/>
    <w:rsid w:val="000929EF"/>
    <w:rsid w:val="00092E76"/>
    <w:rsid w:val="00094B0B"/>
    <w:rsid w:val="00095572"/>
    <w:rsid w:val="0009560F"/>
    <w:rsid w:val="0009588E"/>
    <w:rsid w:val="000959EE"/>
    <w:rsid w:val="00095A35"/>
    <w:rsid w:val="00095DE1"/>
    <w:rsid w:val="000962BE"/>
    <w:rsid w:val="00097183"/>
    <w:rsid w:val="000972CB"/>
    <w:rsid w:val="00097608"/>
    <w:rsid w:val="000A042B"/>
    <w:rsid w:val="000A0AE1"/>
    <w:rsid w:val="000A13F3"/>
    <w:rsid w:val="000A23B1"/>
    <w:rsid w:val="000A2553"/>
    <w:rsid w:val="000A2B0E"/>
    <w:rsid w:val="000A3007"/>
    <w:rsid w:val="000A337B"/>
    <w:rsid w:val="000A36F2"/>
    <w:rsid w:val="000A398F"/>
    <w:rsid w:val="000A39A8"/>
    <w:rsid w:val="000A3EA5"/>
    <w:rsid w:val="000A3FD2"/>
    <w:rsid w:val="000A4145"/>
    <w:rsid w:val="000A4976"/>
    <w:rsid w:val="000A4D96"/>
    <w:rsid w:val="000A4DEE"/>
    <w:rsid w:val="000A509C"/>
    <w:rsid w:val="000A6007"/>
    <w:rsid w:val="000A65A6"/>
    <w:rsid w:val="000A6CC2"/>
    <w:rsid w:val="000A70E3"/>
    <w:rsid w:val="000A7275"/>
    <w:rsid w:val="000A7A12"/>
    <w:rsid w:val="000A7A72"/>
    <w:rsid w:val="000B073B"/>
    <w:rsid w:val="000B11EB"/>
    <w:rsid w:val="000B1202"/>
    <w:rsid w:val="000B1434"/>
    <w:rsid w:val="000B1801"/>
    <w:rsid w:val="000B1D0C"/>
    <w:rsid w:val="000B2113"/>
    <w:rsid w:val="000B2273"/>
    <w:rsid w:val="000B2BC6"/>
    <w:rsid w:val="000B2D03"/>
    <w:rsid w:val="000B3815"/>
    <w:rsid w:val="000B3B64"/>
    <w:rsid w:val="000B3C7B"/>
    <w:rsid w:val="000B47C7"/>
    <w:rsid w:val="000B652F"/>
    <w:rsid w:val="000B6A6B"/>
    <w:rsid w:val="000B6C95"/>
    <w:rsid w:val="000B79FC"/>
    <w:rsid w:val="000C060D"/>
    <w:rsid w:val="000C1300"/>
    <w:rsid w:val="000C1679"/>
    <w:rsid w:val="000C1B94"/>
    <w:rsid w:val="000C1D81"/>
    <w:rsid w:val="000C1EE3"/>
    <w:rsid w:val="000C2F05"/>
    <w:rsid w:val="000C3AE7"/>
    <w:rsid w:val="000C3CC9"/>
    <w:rsid w:val="000C3D7F"/>
    <w:rsid w:val="000C4215"/>
    <w:rsid w:val="000C46C5"/>
    <w:rsid w:val="000C4885"/>
    <w:rsid w:val="000C48E4"/>
    <w:rsid w:val="000C4DC9"/>
    <w:rsid w:val="000C53D7"/>
    <w:rsid w:val="000C5583"/>
    <w:rsid w:val="000C6DE4"/>
    <w:rsid w:val="000C7202"/>
    <w:rsid w:val="000C749B"/>
    <w:rsid w:val="000C74D9"/>
    <w:rsid w:val="000C7AD3"/>
    <w:rsid w:val="000D0243"/>
    <w:rsid w:val="000D0A89"/>
    <w:rsid w:val="000D106C"/>
    <w:rsid w:val="000D1389"/>
    <w:rsid w:val="000D1798"/>
    <w:rsid w:val="000D2039"/>
    <w:rsid w:val="000D2626"/>
    <w:rsid w:val="000D26E7"/>
    <w:rsid w:val="000D29CA"/>
    <w:rsid w:val="000D3A93"/>
    <w:rsid w:val="000D3AD7"/>
    <w:rsid w:val="000D3F76"/>
    <w:rsid w:val="000D411D"/>
    <w:rsid w:val="000D4163"/>
    <w:rsid w:val="000D432A"/>
    <w:rsid w:val="000D4589"/>
    <w:rsid w:val="000D570D"/>
    <w:rsid w:val="000D5E27"/>
    <w:rsid w:val="000D73DD"/>
    <w:rsid w:val="000D7AEC"/>
    <w:rsid w:val="000E0835"/>
    <w:rsid w:val="000E141A"/>
    <w:rsid w:val="000E181F"/>
    <w:rsid w:val="000E1C51"/>
    <w:rsid w:val="000E244D"/>
    <w:rsid w:val="000E28AB"/>
    <w:rsid w:val="000E2AA1"/>
    <w:rsid w:val="000E2E3E"/>
    <w:rsid w:val="000E3583"/>
    <w:rsid w:val="000E36FE"/>
    <w:rsid w:val="000E3AF0"/>
    <w:rsid w:val="000E3D93"/>
    <w:rsid w:val="000E4348"/>
    <w:rsid w:val="000E485B"/>
    <w:rsid w:val="000E490E"/>
    <w:rsid w:val="000E4E04"/>
    <w:rsid w:val="000E6D5C"/>
    <w:rsid w:val="000E6EC9"/>
    <w:rsid w:val="000E70B4"/>
    <w:rsid w:val="000E7523"/>
    <w:rsid w:val="000E7847"/>
    <w:rsid w:val="000E78B2"/>
    <w:rsid w:val="000E7B62"/>
    <w:rsid w:val="000F0E1E"/>
    <w:rsid w:val="000F0E20"/>
    <w:rsid w:val="000F0EE6"/>
    <w:rsid w:val="000F18A8"/>
    <w:rsid w:val="000F1A1B"/>
    <w:rsid w:val="000F2740"/>
    <w:rsid w:val="000F28B2"/>
    <w:rsid w:val="000F2A95"/>
    <w:rsid w:val="000F3281"/>
    <w:rsid w:val="000F32FD"/>
    <w:rsid w:val="000F3733"/>
    <w:rsid w:val="000F375F"/>
    <w:rsid w:val="000F396F"/>
    <w:rsid w:val="000F4754"/>
    <w:rsid w:val="000F499F"/>
    <w:rsid w:val="000F5266"/>
    <w:rsid w:val="000F5509"/>
    <w:rsid w:val="000F5882"/>
    <w:rsid w:val="000F5F8B"/>
    <w:rsid w:val="000F627C"/>
    <w:rsid w:val="000F641E"/>
    <w:rsid w:val="000F64A5"/>
    <w:rsid w:val="000F64AA"/>
    <w:rsid w:val="000F69BC"/>
    <w:rsid w:val="000F6AB1"/>
    <w:rsid w:val="000F7AF4"/>
    <w:rsid w:val="000F7C33"/>
    <w:rsid w:val="000F7E09"/>
    <w:rsid w:val="000F7F0C"/>
    <w:rsid w:val="001004D6"/>
    <w:rsid w:val="001005A7"/>
    <w:rsid w:val="00100982"/>
    <w:rsid w:val="0010176A"/>
    <w:rsid w:val="00102117"/>
    <w:rsid w:val="0010228F"/>
    <w:rsid w:val="00102676"/>
    <w:rsid w:val="00103646"/>
    <w:rsid w:val="00103918"/>
    <w:rsid w:val="00103D46"/>
    <w:rsid w:val="0010478C"/>
    <w:rsid w:val="00104897"/>
    <w:rsid w:val="00104EDE"/>
    <w:rsid w:val="00105CDA"/>
    <w:rsid w:val="00106B0E"/>
    <w:rsid w:val="00106BEE"/>
    <w:rsid w:val="001073C7"/>
    <w:rsid w:val="00107C5E"/>
    <w:rsid w:val="00107C74"/>
    <w:rsid w:val="00110338"/>
    <w:rsid w:val="0011053D"/>
    <w:rsid w:val="0011091C"/>
    <w:rsid w:val="0011108B"/>
    <w:rsid w:val="001112EB"/>
    <w:rsid w:val="001126FC"/>
    <w:rsid w:val="00113390"/>
    <w:rsid w:val="00113678"/>
    <w:rsid w:val="001138CE"/>
    <w:rsid w:val="00113C30"/>
    <w:rsid w:val="00113C3E"/>
    <w:rsid w:val="00113F7A"/>
    <w:rsid w:val="0011489E"/>
    <w:rsid w:val="00115B32"/>
    <w:rsid w:val="00115E11"/>
    <w:rsid w:val="00115EEE"/>
    <w:rsid w:val="00115F56"/>
    <w:rsid w:val="001160DE"/>
    <w:rsid w:val="00116CA9"/>
    <w:rsid w:val="001170A4"/>
    <w:rsid w:val="00117776"/>
    <w:rsid w:val="00117AE7"/>
    <w:rsid w:val="00117B42"/>
    <w:rsid w:val="00117CBD"/>
    <w:rsid w:val="0012006A"/>
    <w:rsid w:val="00120526"/>
    <w:rsid w:val="00120BC9"/>
    <w:rsid w:val="00120C86"/>
    <w:rsid w:val="00120E0D"/>
    <w:rsid w:val="00121979"/>
    <w:rsid w:val="00121AA3"/>
    <w:rsid w:val="00121B9F"/>
    <w:rsid w:val="00122064"/>
    <w:rsid w:val="00122623"/>
    <w:rsid w:val="00122DDD"/>
    <w:rsid w:val="00122FC4"/>
    <w:rsid w:val="0012349B"/>
    <w:rsid w:val="00123E44"/>
    <w:rsid w:val="00123F9C"/>
    <w:rsid w:val="00124341"/>
    <w:rsid w:val="00124492"/>
    <w:rsid w:val="00124B12"/>
    <w:rsid w:val="00124D6D"/>
    <w:rsid w:val="001250A0"/>
    <w:rsid w:val="001263B8"/>
    <w:rsid w:val="00126751"/>
    <w:rsid w:val="00126777"/>
    <w:rsid w:val="00130217"/>
    <w:rsid w:val="00130783"/>
    <w:rsid w:val="001307EB"/>
    <w:rsid w:val="00130A47"/>
    <w:rsid w:val="00130E68"/>
    <w:rsid w:val="001310FC"/>
    <w:rsid w:val="001311DB"/>
    <w:rsid w:val="001318E5"/>
    <w:rsid w:val="00131C59"/>
    <w:rsid w:val="00132688"/>
    <w:rsid w:val="00132B47"/>
    <w:rsid w:val="001337F8"/>
    <w:rsid w:val="00133D3E"/>
    <w:rsid w:val="00133E19"/>
    <w:rsid w:val="001348B4"/>
    <w:rsid w:val="001349CB"/>
    <w:rsid w:val="00134BBF"/>
    <w:rsid w:val="001351CB"/>
    <w:rsid w:val="00135947"/>
    <w:rsid w:val="001359A2"/>
    <w:rsid w:val="00136020"/>
    <w:rsid w:val="00136445"/>
    <w:rsid w:val="00137438"/>
    <w:rsid w:val="001379B3"/>
    <w:rsid w:val="00140132"/>
    <w:rsid w:val="00141C9C"/>
    <w:rsid w:val="00141F34"/>
    <w:rsid w:val="0014277F"/>
    <w:rsid w:val="001431E9"/>
    <w:rsid w:val="001434BE"/>
    <w:rsid w:val="00144050"/>
    <w:rsid w:val="00144753"/>
    <w:rsid w:val="00144795"/>
    <w:rsid w:val="0014479F"/>
    <w:rsid w:val="001452B4"/>
    <w:rsid w:val="00145320"/>
    <w:rsid w:val="001453F1"/>
    <w:rsid w:val="001457AE"/>
    <w:rsid w:val="001467D0"/>
    <w:rsid w:val="001476D3"/>
    <w:rsid w:val="001509CF"/>
    <w:rsid w:val="001509D9"/>
    <w:rsid w:val="001509E4"/>
    <w:rsid w:val="00150BB7"/>
    <w:rsid w:val="00150D1D"/>
    <w:rsid w:val="00150EF2"/>
    <w:rsid w:val="001518FE"/>
    <w:rsid w:val="001525AA"/>
    <w:rsid w:val="00152717"/>
    <w:rsid w:val="00152A87"/>
    <w:rsid w:val="00153BB5"/>
    <w:rsid w:val="00153C29"/>
    <w:rsid w:val="00154518"/>
    <w:rsid w:val="00154A0C"/>
    <w:rsid w:val="00154C38"/>
    <w:rsid w:val="00154CD9"/>
    <w:rsid w:val="00156359"/>
    <w:rsid w:val="00156800"/>
    <w:rsid w:val="00156DD6"/>
    <w:rsid w:val="00156E2F"/>
    <w:rsid w:val="0016056A"/>
    <w:rsid w:val="0016086E"/>
    <w:rsid w:val="00160D0C"/>
    <w:rsid w:val="00161172"/>
    <w:rsid w:val="00161998"/>
    <w:rsid w:val="00161A4D"/>
    <w:rsid w:val="00161E65"/>
    <w:rsid w:val="0016202C"/>
    <w:rsid w:val="00162597"/>
    <w:rsid w:val="001629AF"/>
    <w:rsid w:val="001629FD"/>
    <w:rsid w:val="00162ABF"/>
    <w:rsid w:val="00162CD9"/>
    <w:rsid w:val="0016418E"/>
    <w:rsid w:val="0016428A"/>
    <w:rsid w:val="001647C9"/>
    <w:rsid w:val="00164F71"/>
    <w:rsid w:val="0016501B"/>
    <w:rsid w:val="001654EE"/>
    <w:rsid w:val="00165627"/>
    <w:rsid w:val="001661A3"/>
    <w:rsid w:val="00166394"/>
    <w:rsid w:val="001668AA"/>
    <w:rsid w:val="001668F4"/>
    <w:rsid w:val="00167226"/>
    <w:rsid w:val="0016782B"/>
    <w:rsid w:val="0016784D"/>
    <w:rsid w:val="001678CA"/>
    <w:rsid w:val="001679CB"/>
    <w:rsid w:val="00171409"/>
    <w:rsid w:val="00172E68"/>
    <w:rsid w:val="00172E75"/>
    <w:rsid w:val="00172FE6"/>
    <w:rsid w:val="00173256"/>
    <w:rsid w:val="00173A0C"/>
    <w:rsid w:val="00173A1D"/>
    <w:rsid w:val="00173B0E"/>
    <w:rsid w:val="00173E03"/>
    <w:rsid w:val="0017512C"/>
    <w:rsid w:val="001757AD"/>
    <w:rsid w:val="0017586A"/>
    <w:rsid w:val="00175BA6"/>
    <w:rsid w:val="0017610B"/>
    <w:rsid w:val="001769AC"/>
    <w:rsid w:val="00176CA7"/>
    <w:rsid w:val="00176D95"/>
    <w:rsid w:val="001778C5"/>
    <w:rsid w:val="0017794A"/>
    <w:rsid w:val="00177BE9"/>
    <w:rsid w:val="00177C63"/>
    <w:rsid w:val="00177E56"/>
    <w:rsid w:val="00177F0A"/>
    <w:rsid w:val="00180728"/>
    <w:rsid w:val="00180DA0"/>
    <w:rsid w:val="00181917"/>
    <w:rsid w:val="001819E3"/>
    <w:rsid w:val="00181EAD"/>
    <w:rsid w:val="00182594"/>
    <w:rsid w:val="00182862"/>
    <w:rsid w:val="00184F57"/>
    <w:rsid w:val="00185258"/>
    <w:rsid w:val="00185544"/>
    <w:rsid w:val="00185617"/>
    <w:rsid w:val="00185F26"/>
    <w:rsid w:val="00186A0C"/>
    <w:rsid w:val="0018776C"/>
    <w:rsid w:val="00187971"/>
    <w:rsid w:val="00187A14"/>
    <w:rsid w:val="001904EE"/>
    <w:rsid w:val="001908D7"/>
    <w:rsid w:val="00190DC2"/>
    <w:rsid w:val="00190EB0"/>
    <w:rsid w:val="00190ED3"/>
    <w:rsid w:val="0019171E"/>
    <w:rsid w:val="00192368"/>
    <w:rsid w:val="001923A0"/>
    <w:rsid w:val="0019248A"/>
    <w:rsid w:val="001925BE"/>
    <w:rsid w:val="001927C2"/>
    <w:rsid w:val="001928B1"/>
    <w:rsid w:val="00192E66"/>
    <w:rsid w:val="00193537"/>
    <w:rsid w:val="00193846"/>
    <w:rsid w:val="00193FE1"/>
    <w:rsid w:val="001952AC"/>
    <w:rsid w:val="00195424"/>
    <w:rsid w:val="001955FF"/>
    <w:rsid w:val="001958C8"/>
    <w:rsid w:val="00196B1E"/>
    <w:rsid w:val="00197A9A"/>
    <w:rsid w:val="00197AFB"/>
    <w:rsid w:val="00197B2C"/>
    <w:rsid w:val="00197EDD"/>
    <w:rsid w:val="001A02B3"/>
    <w:rsid w:val="001A04BB"/>
    <w:rsid w:val="001A08D0"/>
    <w:rsid w:val="001A0E74"/>
    <w:rsid w:val="001A1B39"/>
    <w:rsid w:val="001A2120"/>
    <w:rsid w:val="001A28C6"/>
    <w:rsid w:val="001A2CF3"/>
    <w:rsid w:val="001A2E69"/>
    <w:rsid w:val="001A3961"/>
    <w:rsid w:val="001A3B6A"/>
    <w:rsid w:val="001A3C34"/>
    <w:rsid w:val="001A3EDE"/>
    <w:rsid w:val="001A4222"/>
    <w:rsid w:val="001A488B"/>
    <w:rsid w:val="001A4DE2"/>
    <w:rsid w:val="001A4E99"/>
    <w:rsid w:val="001A5027"/>
    <w:rsid w:val="001A50EA"/>
    <w:rsid w:val="001A5DEF"/>
    <w:rsid w:val="001A5E24"/>
    <w:rsid w:val="001A6D8B"/>
    <w:rsid w:val="001A6DAA"/>
    <w:rsid w:val="001A7717"/>
    <w:rsid w:val="001A7B92"/>
    <w:rsid w:val="001A7BBE"/>
    <w:rsid w:val="001B04DB"/>
    <w:rsid w:val="001B08CE"/>
    <w:rsid w:val="001B0CBB"/>
    <w:rsid w:val="001B125A"/>
    <w:rsid w:val="001B19D4"/>
    <w:rsid w:val="001B1B6A"/>
    <w:rsid w:val="001B1EBA"/>
    <w:rsid w:val="001B2142"/>
    <w:rsid w:val="001B216C"/>
    <w:rsid w:val="001B2278"/>
    <w:rsid w:val="001B2F2B"/>
    <w:rsid w:val="001B3061"/>
    <w:rsid w:val="001B30A5"/>
    <w:rsid w:val="001B327A"/>
    <w:rsid w:val="001B35DE"/>
    <w:rsid w:val="001B3A13"/>
    <w:rsid w:val="001B3ABB"/>
    <w:rsid w:val="001B4311"/>
    <w:rsid w:val="001B5153"/>
    <w:rsid w:val="001B59FF"/>
    <w:rsid w:val="001B648F"/>
    <w:rsid w:val="001B6512"/>
    <w:rsid w:val="001B65D7"/>
    <w:rsid w:val="001B6752"/>
    <w:rsid w:val="001B6768"/>
    <w:rsid w:val="001B67E4"/>
    <w:rsid w:val="001B6F1F"/>
    <w:rsid w:val="001B7ECC"/>
    <w:rsid w:val="001C025B"/>
    <w:rsid w:val="001C0730"/>
    <w:rsid w:val="001C115F"/>
    <w:rsid w:val="001C240A"/>
    <w:rsid w:val="001C25A7"/>
    <w:rsid w:val="001C2C51"/>
    <w:rsid w:val="001C2F4D"/>
    <w:rsid w:val="001C318C"/>
    <w:rsid w:val="001C3313"/>
    <w:rsid w:val="001C35C4"/>
    <w:rsid w:val="001C3663"/>
    <w:rsid w:val="001C408A"/>
    <w:rsid w:val="001C4287"/>
    <w:rsid w:val="001C4479"/>
    <w:rsid w:val="001C5190"/>
    <w:rsid w:val="001C606D"/>
    <w:rsid w:val="001C6081"/>
    <w:rsid w:val="001C755B"/>
    <w:rsid w:val="001C7B48"/>
    <w:rsid w:val="001D0273"/>
    <w:rsid w:val="001D02F2"/>
    <w:rsid w:val="001D07E1"/>
    <w:rsid w:val="001D0CFB"/>
    <w:rsid w:val="001D0D81"/>
    <w:rsid w:val="001D0FBB"/>
    <w:rsid w:val="001D15A6"/>
    <w:rsid w:val="001D1A0D"/>
    <w:rsid w:val="001D343C"/>
    <w:rsid w:val="001D35AA"/>
    <w:rsid w:val="001D53FC"/>
    <w:rsid w:val="001D54EE"/>
    <w:rsid w:val="001D58A1"/>
    <w:rsid w:val="001D58C2"/>
    <w:rsid w:val="001D595A"/>
    <w:rsid w:val="001D5A8A"/>
    <w:rsid w:val="001D722F"/>
    <w:rsid w:val="001D735E"/>
    <w:rsid w:val="001D73C8"/>
    <w:rsid w:val="001D7BC6"/>
    <w:rsid w:val="001E129E"/>
    <w:rsid w:val="001E13FD"/>
    <w:rsid w:val="001E175C"/>
    <w:rsid w:val="001E1B0E"/>
    <w:rsid w:val="001E2A4E"/>
    <w:rsid w:val="001E30E7"/>
    <w:rsid w:val="001E388B"/>
    <w:rsid w:val="001E45A0"/>
    <w:rsid w:val="001E5A03"/>
    <w:rsid w:val="001E5A94"/>
    <w:rsid w:val="001E6992"/>
    <w:rsid w:val="001E6E2A"/>
    <w:rsid w:val="001E76EA"/>
    <w:rsid w:val="001E7934"/>
    <w:rsid w:val="001E7F09"/>
    <w:rsid w:val="001F1048"/>
    <w:rsid w:val="001F2A2E"/>
    <w:rsid w:val="001F3356"/>
    <w:rsid w:val="001F3A83"/>
    <w:rsid w:val="001F3C63"/>
    <w:rsid w:val="001F4460"/>
    <w:rsid w:val="001F452C"/>
    <w:rsid w:val="001F51BB"/>
    <w:rsid w:val="001F526C"/>
    <w:rsid w:val="001F711A"/>
    <w:rsid w:val="001F73EE"/>
    <w:rsid w:val="001F75B0"/>
    <w:rsid w:val="00200CE5"/>
    <w:rsid w:val="00200F7C"/>
    <w:rsid w:val="002014DB"/>
    <w:rsid w:val="00201D08"/>
    <w:rsid w:val="00201E12"/>
    <w:rsid w:val="0020228E"/>
    <w:rsid w:val="002033B5"/>
    <w:rsid w:val="0020375B"/>
    <w:rsid w:val="0020382C"/>
    <w:rsid w:val="0020437A"/>
    <w:rsid w:val="0020454C"/>
    <w:rsid w:val="0020521F"/>
    <w:rsid w:val="0020532C"/>
    <w:rsid w:val="00205914"/>
    <w:rsid w:val="00205CD0"/>
    <w:rsid w:val="00205E5D"/>
    <w:rsid w:val="0020602B"/>
    <w:rsid w:val="002072E5"/>
    <w:rsid w:val="00210647"/>
    <w:rsid w:val="002114C7"/>
    <w:rsid w:val="00211CE3"/>
    <w:rsid w:val="002128CC"/>
    <w:rsid w:val="0021302C"/>
    <w:rsid w:val="00213B1C"/>
    <w:rsid w:val="00213CDE"/>
    <w:rsid w:val="00213F72"/>
    <w:rsid w:val="00214202"/>
    <w:rsid w:val="002145F0"/>
    <w:rsid w:val="002148E3"/>
    <w:rsid w:val="0021552D"/>
    <w:rsid w:val="002156AE"/>
    <w:rsid w:val="00215E99"/>
    <w:rsid w:val="0021644F"/>
    <w:rsid w:val="00216978"/>
    <w:rsid w:val="00216DE8"/>
    <w:rsid w:val="00217094"/>
    <w:rsid w:val="0022054D"/>
    <w:rsid w:val="00220C61"/>
    <w:rsid w:val="00221F49"/>
    <w:rsid w:val="002238B2"/>
    <w:rsid w:val="00223DDB"/>
    <w:rsid w:val="00223FA4"/>
    <w:rsid w:val="00224067"/>
    <w:rsid w:val="0022421C"/>
    <w:rsid w:val="00224E83"/>
    <w:rsid w:val="00225664"/>
    <w:rsid w:val="0022663D"/>
    <w:rsid w:val="002266FE"/>
    <w:rsid w:val="00227F2D"/>
    <w:rsid w:val="00230828"/>
    <w:rsid w:val="00230990"/>
    <w:rsid w:val="00230C46"/>
    <w:rsid w:val="00231851"/>
    <w:rsid w:val="002319FB"/>
    <w:rsid w:val="00231B89"/>
    <w:rsid w:val="00231BBE"/>
    <w:rsid w:val="00231F11"/>
    <w:rsid w:val="00231F5E"/>
    <w:rsid w:val="00232010"/>
    <w:rsid w:val="00233051"/>
    <w:rsid w:val="00233660"/>
    <w:rsid w:val="00233732"/>
    <w:rsid w:val="002346B4"/>
    <w:rsid w:val="00234F6E"/>
    <w:rsid w:val="002355BE"/>
    <w:rsid w:val="002358EA"/>
    <w:rsid w:val="00236578"/>
    <w:rsid w:val="00236B68"/>
    <w:rsid w:val="00236DE9"/>
    <w:rsid w:val="00237342"/>
    <w:rsid w:val="00237D5A"/>
    <w:rsid w:val="00240E6D"/>
    <w:rsid w:val="002415AE"/>
    <w:rsid w:val="0024172F"/>
    <w:rsid w:val="00241D02"/>
    <w:rsid w:val="00241D3C"/>
    <w:rsid w:val="00242109"/>
    <w:rsid w:val="00242669"/>
    <w:rsid w:val="002426D4"/>
    <w:rsid w:val="00242E4D"/>
    <w:rsid w:val="00243189"/>
    <w:rsid w:val="002437CA"/>
    <w:rsid w:val="002439AB"/>
    <w:rsid w:val="00243C19"/>
    <w:rsid w:val="00243EA8"/>
    <w:rsid w:val="00244AE8"/>
    <w:rsid w:val="00245587"/>
    <w:rsid w:val="00245F2B"/>
    <w:rsid w:val="002460AF"/>
    <w:rsid w:val="002473DE"/>
    <w:rsid w:val="00247F3A"/>
    <w:rsid w:val="00250122"/>
    <w:rsid w:val="00250755"/>
    <w:rsid w:val="00251043"/>
    <w:rsid w:val="0025153C"/>
    <w:rsid w:val="00251771"/>
    <w:rsid w:val="00251C4A"/>
    <w:rsid w:val="00252098"/>
    <w:rsid w:val="002521D8"/>
    <w:rsid w:val="00252680"/>
    <w:rsid w:val="0025271C"/>
    <w:rsid w:val="00252EFA"/>
    <w:rsid w:val="002533CD"/>
    <w:rsid w:val="00254EA6"/>
    <w:rsid w:val="00254EAB"/>
    <w:rsid w:val="002557AF"/>
    <w:rsid w:val="0025589C"/>
    <w:rsid w:val="00255B62"/>
    <w:rsid w:val="00255E89"/>
    <w:rsid w:val="002566B1"/>
    <w:rsid w:val="002575E3"/>
    <w:rsid w:val="00257A74"/>
    <w:rsid w:val="002603C1"/>
    <w:rsid w:val="002605C5"/>
    <w:rsid w:val="002609A1"/>
    <w:rsid w:val="00260A8B"/>
    <w:rsid w:val="00261171"/>
    <w:rsid w:val="002612B1"/>
    <w:rsid w:val="00263553"/>
    <w:rsid w:val="00263A62"/>
    <w:rsid w:val="00264D4D"/>
    <w:rsid w:val="00264F18"/>
    <w:rsid w:val="0026503E"/>
    <w:rsid w:val="00266165"/>
    <w:rsid w:val="00266973"/>
    <w:rsid w:val="00266F2C"/>
    <w:rsid w:val="002678BC"/>
    <w:rsid w:val="00270356"/>
    <w:rsid w:val="00270FF7"/>
    <w:rsid w:val="0027125E"/>
    <w:rsid w:val="00271767"/>
    <w:rsid w:val="00271E40"/>
    <w:rsid w:val="00272293"/>
    <w:rsid w:val="0027234F"/>
    <w:rsid w:val="002723C8"/>
    <w:rsid w:val="002725D8"/>
    <w:rsid w:val="00272984"/>
    <w:rsid w:val="00272DAB"/>
    <w:rsid w:val="00273C2A"/>
    <w:rsid w:val="00273CBE"/>
    <w:rsid w:val="00274110"/>
    <w:rsid w:val="002742DE"/>
    <w:rsid w:val="002746B1"/>
    <w:rsid w:val="00276D9D"/>
    <w:rsid w:val="002778C4"/>
    <w:rsid w:val="0028047E"/>
    <w:rsid w:val="00280A48"/>
    <w:rsid w:val="002811E8"/>
    <w:rsid w:val="00282D56"/>
    <w:rsid w:val="002834D1"/>
    <w:rsid w:val="002835AB"/>
    <w:rsid w:val="002835B0"/>
    <w:rsid w:val="00283C27"/>
    <w:rsid w:val="00283C74"/>
    <w:rsid w:val="00283F40"/>
    <w:rsid w:val="0028407E"/>
    <w:rsid w:val="0028410F"/>
    <w:rsid w:val="00284572"/>
    <w:rsid w:val="00284C05"/>
    <w:rsid w:val="00284D51"/>
    <w:rsid w:val="002850B3"/>
    <w:rsid w:val="00285221"/>
    <w:rsid w:val="00285B65"/>
    <w:rsid w:val="00285E19"/>
    <w:rsid w:val="00286FB5"/>
    <w:rsid w:val="00287281"/>
    <w:rsid w:val="00287763"/>
    <w:rsid w:val="00287E53"/>
    <w:rsid w:val="00290606"/>
    <w:rsid w:val="002909B2"/>
    <w:rsid w:val="00291D6D"/>
    <w:rsid w:val="00291EA9"/>
    <w:rsid w:val="00291FF1"/>
    <w:rsid w:val="00292634"/>
    <w:rsid w:val="00292AA2"/>
    <w:rsid w:val="00293361"/>
    <w:rsid w:val="00293EB9"/>
    <w:rsid w:val="00294EA5"/>
    <w:rsid w:val="002952B1"/>
    <w:rsid w:val="00295D11"/>
    <w:rsid w:val="00296685"/>
    <w:rsid w:val="00296FB6"/>
    <w:rsid w:val="002970D6"/>
    <w:rsid w:val="0029786F"/>
    <w:rsid w:val="002A0BD9"/>
    <w:rsid w:val="002A0C3A"/>
    <w:rsid w:val="002A1130"/>
    <w:rsid w:val="002A126B"/>
    <w:rsid w:val="002A1880"/>
    <w:rsid w:val="002A23B7"/>
    <w:rsid w:val="002A282A"/>
    <w:rsid w:val="002A303A"/>
    <w:rsid w:val="002A352C"/>
    <w:rsid w:val="002A3A57"/>
    <w:rsid w:val="002A4116"/>
    <w:rsid w:val="002A43CF"/>
    <w:rsid w:val="002A4B4F"/>
    <w:rsid w:val="002A4BEC"/>
    <w:rsid w:val="002A4F86"/>
    <w:rsid w:val="002A4FB3"/>
    <w:rsid w:val="002A5435"/>
    <w:rsid w:val="002A565C"/>
    <w:rsid w:val="002A57A8"/>
    <w:rsid w:val="002A5E16"/>
    <w:rsid w:val="002A686C"/>
    <w:rsid w:val="002A6DEF"/>
    <w:rsid w:val="002A7113"/>
    <w:rsid w:val="002A770B"/>
    <w:rsid w:val="002B013E"/>
    <w:rsid w:val="002B058D"/>
    <w:rsid w:val="002B0C16"/>
    <w:rsid w:val="002B0FD0"/>
    <w:rsid w:val="002B1DFE"/>
    <w:rsid w:val="002B1ED3"/>
    <w:rsid w:val="002B27BF"/>
    <w:rsid w:val="002B28E5"/>
    <w:rsid w:val="002B2AC5"/>
    <w:rsid w:val="002B3528"/>
    <w:rsid w:val="002B3539"/>
    <w:rsid w:val="002B4011"/>
    <w:rsid w:val="002B4921"/>
    <w:rsid w:val="002B5042"/>
    <w:rsid w:val="002B50C9"/>
    <w:rsid w:val="002B5251"/>
    <w:rsid w:val="002B5BA4"/>
    <w:rsid w:val="002B6510"/>
    <w:rsid w:val="002B67ED"/>
    <w:rsid w:val="002B69CC"/>
    <w:rsid w:val="002B6D71"/>
    <w:rsid w:val="002C00F2"/>
    <w:rsid w:val="002C027C"/>
    <w:rsid w:val="002C0676"/>
    <w:rsid w:val="002C0870"/>
    <w:rsid w:val="002C0C1C"/>
    <w:rsid w:val="002C2D91"/>
    <w:rsid w:val="002C38D6"/>
    <w:rsid w:val="002C45EB"/>
    <w:rsid w:val="002C54C2"/>
    <w:rsid w:val="002C54D7"/>
    <w:rsid w:val="002C579C"/>
    <w:rsid w:val="002C57B8"/>
    <w:rsid w:val="002C5C9B"/>
    <w:rsid w:val="002C5D34"/>
    <w:rsid w:val="002C60BB"/>
    <w:rsid w:val="002C661A"/>
    <w:rsid w:val="002C6911"/>
    <w:rsid w:val="002C7102"/>
    <w:rsid w:val="002C7B2D"/>
    <w:rsid w:val="002C7B86"/>
    <w:rsid w:val="002D0600"/>
    <w:rsid w:val="002D0A48"/>
    <w:rsid w:val="002D0D6F"/>
    <w:rsid w:val="002D25FC"/>
    <w:rsid w:val="002D2734"/>
    <w:rsid w:val="002D37E8"/>
    <w:rsid w:val="002D4AC6"/>
    <w:rsid w:val="002D5099"/>
    <w:rsid w:val="002D5BF5"/>
    <w:rsid w:val="002D5C74"/>
    <w:rsid w:val="002D5EE8"/>
    <w:rsid w:val="002D6B30"/>
    <w:rsid w:val="002D7360"/>
    <w:rsid w:val="002D7648"/>
    <w:rsid w:val="002D781E"/>
    <w:rsid w:val="002D7D87"/>
    <w:rsid w:val="002E0CA6"/>
    <w:rsid w:val="002E109C"/>
    <w:rsid w:val="002E1347"/>
    <w:rsid w:val="002E193E"/>
    <w:rsid w:val="002E1A94"/>
    <w:rsid w:val="002E1B5D"/>
    <w:rsid w:val="002E1BDB"/>
    <w:rsid w:val="002E1D55"/>
    <w:rsid w:val="002E1FF3"/>
    <w:rsid w:val="002E2630"/>
    <w:rsid w:val="002E26C4"/>
    <w:rsid w:val="002E2860"/>
    <w:rsid w:val="002E2B15"/>
    <w:rsid w:val="002E30A5"/>
    <w:rsid w:val="002E3806"/>
    <w:rsid w:val="002E3C0E"/>
    <w:rsid w:val="002E47E4"/>
    <w:rsid w:val="002E4BF9"/>
    <w:rsid w:val="002E4D61"/>
    <w:rsid w:val="002E6520"/>
    <w:rsid w:val="002E6E19"/>
    <w:rsid w:val="002E6E6C"/>
    <w:rsid w:val="002E6EE1"/>
    <w:rsid w:val="002E7D08"/>
    <w:rsid w:val="002F0522"/>
    <w:rsid w:val="002F121F"/>
    <w:rsid w:val="002F16DD"/>
    <w:rsid w:val="002F199D"/>
    <w:rsid w:val="002F213C"/>
    <w:rsid w:val="002F2586"/>
    <w:rsid w:val="002F352D"/>
    <w:rsid w:val="002F4084"/>
    <w:rsid w:val="002F4A08"/>
    <w:rsid w:val="002F4A77"/>
    <w:rsid w:val="002F4ADB"/>
    <w:rsid w:val="002F531E"/>
    <w:rsid w:val="002F548D"/>
    <w:rsid w:val="002F5ACC"/>
    <w:rsid w:val="002F5FE5"/>
    <w:rsid w:val="002F66D9"/>
    <w:rsid w:val="002F6A7E"/>
    <w:rsid w:val="002F704B"/>
    <w:rsid w:val="002F72C3"/>
    <w:rsid w:val="002F768C"/>
    <w:rsid w:val="002F7D1E"/>
    <w:rsid w:val="00300201"/>
    <w:rsid w:val="0030025A"/>
    <w:rsid w:val="0030043A"/>
    <w:rsid w:val="003006C1"/>
    <w:rsid w:val="003011CD"/>
    <w:rsid w:val="003019DC"/>
    <w:rsid w:val="00301C83"/>
    <w:rsid w:val="0030241F"/>
    <w:rsid w:val="00302EFC"/>
    <w:rsid w:val="00303243"/>
    <w:rsid w:val="00303BCC"/>
    <w:rsid w:val="00303F2B"/>
    <w:rsid w:val="00303F8D"/>
    <w:rsid w:val="003054E2"/>
    <w:rsid w:val="0030572D"/>
    <w:rsid w:val="0030586A"/>
    <w:rsid w:val="003059F9"/>
    <w:rsid w:val="0030622D"/>
    <w:rsid w:val="00306599"/>
    <w:rsid w:val="00306811"/>
    <w:rsid w:val="00306F32"/>
    <w:rsid w:val="00306FA8"/>
    <w:rsid w:val="003074C5"/>
    <w:rsid w:val="003078D9"/>
    <w:rsid w:val="00307A3C"/>
    <w:rsid w:val="00307FA4"/>
    <w:rsid w:val="00310290"/>
    <w:rsid w:val="003105A7"/>
    <w:rsid w:val="00310CC1"/>
    <w:rsid w:val="00311AE1"/>
    <w:rsid w:val="003121BE"/>
    <w:rsid w:val="00312504"/>
    <w:rsid w:val="00313026"/>
    <w:rsid w:val="0031371C"/>
    <w:rsid w:val="00313913"/>
    <w:rsid w:val="00313C99"/>
    <w:rsid w:val="00314101"/>
    <w:rsid w:val="0031421F"/>
    <w:rsid w:val="00314282"/>
    <w:rsid w:val="00314B31"/>
    <w:rsid w:val="00315A65"/>
    <w:rsid w:val="003176DC"/>
    <w:rsid w:val="003176E9"/>
    <w:rsid w:val="00317BA7"/>
    <w:rsid w:val="00317D62"/>
    <w:rsid w:val="00320312"/>
    <w:rsid w:val="00320454"/>
    <w:rsid w:val="00320BE2"/>
    <w:rsid w:val="00321363"/>
    <w:rsid w:val="00321886"/>
    <w:rsid w:val="00323694"/>
    <w:rsid w:val="003237DA"/>
    <w:rsid w:val="00323BE7"/>
    <w:rsid w:val="00323D95"/>
    <w:rsid w:val="00324B1E"/>
    <w:rsid w:val="00324C3A"/>
    <w:rsid w:val="00324D63"/>
    <w:rsid w:val="003255AF"/>
    <w:rsid w:val="003256EB"/>
    <w:rsid w:val="003259DB"/>
    <w:rsid w:val="00326297"/>
    <w:rsid w:val="0032736D"/>
    <w:rsid w:val="00327408"/>
    <w:rsid w:val="00327409"/>
    <w:rsid w:val="003279D9"/>
    <w:rsid w:val="00330900"/>
    <w:rsid w:val="003314D9"/>
    <w:rsid w:val="00331653"/>
    <w:rsid w:val="00331A3B"/>
    <w:rsid w:val="00331A48"/>
    <w:rsid w:val="00331BCC"/>
    <w:rsid w:val="00331E71"/>
    <w:rsid w:val="0033205D"/>
    <w:rsid w:val="0033244A"/>
    <w:rsid w:val="003330C9"/>
    <w:rsid w:val="0033364C"/>
    <w:rsid w:val="003340B7"/>
    <w:rsid w:val="00334415"/>
    <w:rsid w:val="003346A8"/>
    <w:rsid w:val="00334954"/>
    <w:rsid w:val="00334EE2"/>
    <w:rsid w:val="00334F46"/>
    <w:rsid w:val="00335333"/>
    <w:rsid w:val="00335EA1"/>
    <w:rsid w:val="00336237"/>
    <w:rsid w:val="0033691E"/>
    <w:rsid w:val="00336A6A"/>
    <w:rsid w:val="00336B7D"/>
    <w:rsid w:val="00336C09"/>
    <w:rsid w:val="00336C28"/>
    <w:rsid w:val="00336CCB"/>
    <w:rsid w:val="00337FEB"/>
    <w:rsid w:val="00340499"/>
    <w:rsid w:val="003411D1"/>
    <w:rsid w:val="003416BA"/>
    <w:rsid w:val="00341CA0"/>
    <w:rsid w:val="00342148"/>
    <w:rsid w:val="00342F99"/>
    <w:rsid w:val="00344014"/>
    <w:rsid w:val="00344AC3"/>
    <w:rsid w:val="003453C7"/>
    <w:rsid w:val="003454B1"/>
    <w:rsid w:val="00345F57"/>
    <w:rsid w:val="003463F0"/>
    <w:rsid w:val="00347611"/>
    <w:rsid w:val="00347C0A"/>
    <w:rsid w:val="003509FB"/>
    <w:rsid w:val="00350BF0"/>
    <w:rsid w:val="00350E6C"/>
    <w:rsid w:val="0035157C"/>
    <w:rsid w:val="0035159A"/>
    <w:rsid w:val="003515A4"/>
    <w:rsid w:val="0035171D"/>
    <w:rsid w:val="003517C6"/>
    <w:rsid w:val="003518A6"/>
    <w:rsid w:val="00351E7F"/>
    <w:rsid w:val="0035230D"/>
    <w:rsid w:val="0035244E"/>
    <w:rsid w:val="00352953"/>
    <w:rsid w:val="00354062"/>
    <w:rsid w:val="00355484"/>
    <w:rsid w:val="0035596A"/>
    <w:rsid w:val="00355C0D"/>
    <w:rsid w:val="00355C92"/>
    <w:rsid w:val="00355CEA"/>
    <w:rsid w:val="003566A9"/>
    <w:rsid w:val="00356988"/>
    <w:rsid w:val="003569FF"/>
    <w:rsid w:val="00356CE9"/>
    <w:rsid w:val="003570BB"/>
    <w:rsid w:val="00357128"/>
    <w:rsid w:val="0035755E"/>
    <w:rsid w:val="00357A80"/>
    <w:rsid w:val="00360134"/>
    <w:rsid w:val="00360A8B"/>
    <w:rsid w:val="00360DC3"/>
    <w:rsid w:val="0036112A"/>
    <w:rsid w:val="00361441"/>
    <w:rsid w:val="00361535"/>
    <w:rsid w:val="00361695"/>
    <w:rsid w:val="00361AD4"/>
    <w:rsid w:val="00361B1A"/>
    <w:rsid w:val="00361B8B"/>
    <w:rsid w:val="0036220D"/>
    <w:rsid w:val="00363F39"/>
    <w:rsid w:val="003642E8"/>
    <w:rsid w:val="0036445C"/>
    <w:rsid w:val="00364627"/>
    <w:rsid w:val="00364AB0"/>
    <w:rsid w:val="00364C6F"/>
    <w:rsid w:val="00365A9F"/>
    <w:rsid w:val="00365B4D"/>
    <w:rsid w:val="0036601F"/>
    <w:rsid w:val="00366605"/>
    <w:rsid w:val="003667B0"/>
    <w:rsid w:val="003667DD"/>
    <w:rsid w:val="00366910"/>
    <w:rsid w:val="00366B48"/>
    <w:rsid w:val="003675A2"/>
    <w:rsid w:val="003675C4"/>
    <w:rsid w:val="00367764"/>
    <w:rsid w:val="003701C0"/>
    <w:rsid w:val="00370316"/>
    <w:rsid w:val="00370DC7"/>
    <w:rsid w:val="00371CBD"/>
    <w:rsid w:val="00371F20"/>
    <w:rsid w:val="00372B98"/>
    <w:rsid w:val="003737B7"/>
    <w:rsid w:val="00373F41"/>
    <w:rsid w:val="003740CC"/>
    <w:rsid w:val="003745F4"/>
    <w:rsid w:val="00374E79"/>
    <w:rsid w:val="0037529A"/>
    <w:rsid w:val="00375388"/>
    <w:rsid w:val="00375758"/>
    <w:rsid w:val="00375FB9"/>
    <w:rsid w:val="00376742"/>
    <w:rsid w:val="00376851"/>
    <w:rsid w:val="00376CC3"/>
    <w:rsid w:val="00376FA2"/>
    <w:rsid w:val="003772C8"/>
    <w:rsid w:val="00377A3B"/>
    <w:rsid w:val="00377E3C"/>
    <w:rsid w:val="003802A5"/>
    <w:rsid w:val="00380BBE"/>
    <w:rsid w:val="00380F3E"/>
    <w:rsid w:val="00381299"/>
    <w:rsid w:val="00381B59"/>
    <w:rsid w:val="00381D70"/>
    <w:rsid w:val="0038235E"/>
    <w:rsid w:val="003829D0"/>
    <w:rsid w:val="00383006"/>
    <w:rsid w:val="00383E49"/>
    <w:rsid w:val="0038444F"/>
    <w:rsid w:val="003849F1"/>
    <w:rsid w:val="003861F0"/>
    <w:rsid w:val="00386D56"/>
    <w:rsid w:val="00387051"/>
    <w:rsid w:val="0038724B"/>
    <w:rsid w:val="00387ECF"/>
    <w:rsid w:val="00387F04"/>
    <w:rsid w:val="0039021B"/>
    <w:rsid w:val="00390429"/>
    <w:rsid w:val="003921F5"/>
    <w:rsid w:val="00392995"/>
    <w:rsid w:val="00392FBD"/>
    <w:rsid w:val="0039366C"/>
    <w:rsid w:val="00393EC8"/>
    <w:rsid w:val="0039505B"/>
    <w:rsid w:val="00395C92"/>
    <w:rsid w:val="00395E42"/>
    <w:rsid w:val="00396409"/>
    <w:rsid w:val="00396A2D"/>
    <w:rsid w:val="00396FC3"/>
    <w:rsid w:val="00397357"/>
    <w:rsid w:val="00397621"/>
    <w:rsid w:val="003A15B5"/>
    <w:rsid w:val="003A173A"/>
    <w:rsid w:val="003A1A94"/>
    <w:rsid w:val="003A204E"/>
    <w:rsid w:val="003A222F"/>
    <w:rsid w:val="003A2D25"/>
    <w:rsid w:val="003A3FFC"/>
    <w:rsid w:val="003A425B"/>
    <w:rsid w:val="003A4262"/>
    <w:rsid w:val="003A4FB3"/>
    <w:rsid w:val="003A514E"/>
    <w:rsid w:val="003A5954"/>
    <w:rsid w:val="003A5C48"/>
    <w:rsid w:val="003A5DFF"/>
    <w:rsid w:val="003A5FDB"/>
    <w:rsid w:val="003A60E7"/>
    <w:rsid w:val="003A67BE"/>
    <w:rsid w:val="003A7092"/>
    <w:rsid w:val="003A72A1"/>
    <w:rsid w:val="003A7611"/>
    <w:rsid w:val="003A7694"/>
    <w:rsid w:val="003A774D"/>
    <w:rsid w:val="003A7781"/>
    <w:rsid w:val="003A7D1F"/>
    <w:rsid w:val="003B0B6A"/>
    <w:rsid w:val="003B18C4"/>
    <w:rsid w:val="003B21ED"/>
    <w:rsid w:val="003B22F7"/>
    <w:rsid w:val="003B2444"/>
    <w:rsid w:val="003B29CF"/>
    <w:rsid w:val="003B34EF"/>
    <w:rsid w:val="003B3A90"/>
    <w:rsid w:val="003B452F"/>
    <w:rsid w:val="003B4ED7"/>
    <w:rsid w:val="003B534F"/>
    <w:rsid w:val="003B689D"/>
    <w:rsid w:val="003B788F"/>
    <w:rsid w:val="003B7A79"/>
    <w:rsid w:val="003C007A"/>
    <w:rsid w:val="003C0781"/>
    <w:rsid w:val="003C0AF1"/>
    <w:rsid w:val="003C151A"/>
    <w:rsid w:val="003C1A25"/>
    <w:rsid w:val="003C2548"/>
    <w:rsid w:val="003C2617"/>
    <w:rsid w:val="003C2AB4"/>
    <w:rsid w:val="003C2BF1"/>
    <w:rsid w:val="003C33C2"/>
    <w:rsid w:val="003C350C"/>
    <w:rsid w:val="003C3903"/>
    <w:rsid w:val="003C3BA0"/>
    <w:rsid w:val="003C3E10"/>
    <w:rsid w:val="003C3E37"/>
    <w:rsid w:val="003C3E8F"/>
    <w:rsid w:val="003C3ED8"/>
    <w:rsid w:val="003C3ED9"/>
    <w:rsid w:val="003C3F07"/>
    <w:rsid w:val="003C4580"/>
    <w:rsid w:val="003C46A4"/>
    <w:rsid w:val="003C4E8B"/>
    <w:rsid w:val="003C4F4A"/>
    <w:rsid w:val="003C5775"/>
    <w:rsid w:val="003C5B4D"/>
    <w:rsid w:val="003C5C5E"/>
    <w:rsid w:val="003C6746"/>
    <w:rsid w:val="003C7555"/>
    <w:rsid w:val="003C7898"/>
    <w:rsid w:val="003C7B2A"/>
    <w:rsid w:val="003D06CD"/>
    <w:rsid w:val="003D0FF5"/>
    <w:rsid w:val="003D11A3"/>
    <w:rsid w:val="003D1537"/>
    <w:rsid w:val="003D183C"/>
    <w:rsid w:val="003D2D1B"/>
    <w:rsid w:val="003D3DEB"/>
    <w:rsid w:val="003D48C7"/>
    <w:rsid w:val="003D4C27"/>
    <w:rsid w:val="003D4F94"/>
    <w:rsid w:val="003D57EB"/>
    <w:rsid w:val="003D6998"/>
    <w:rsid w:val="003D7109"/>
    <w:rsid w:val="003D7813"/>
    <w:rsid w:val="003D7CE8"/>
    <w:rsid w:val="003E02FC"/>
    <w:rsid w:val="003E0514"/>
    <w:rsid w:val="003E0886"/>
    <w:rsid w:val="003E1032"/>
    <w:rsid w:val="003E1904"/>
    <w:rsid w:val="003E20C5"/>
    <w:rsid w:val="003E285E"/>
    <w:rsid w:val="003E2951"/>
    <w:rsid w:val="003E3124"/>
    <w:rsid w:val="003E3300"/>
    <w:rsid w:val="003E34F9"/>
    <w:rsid w:val="003E38E9"/>
    <w:rsid w:val="003E43D3"/>
    <w:rsid w:val="003E4793"/>
    <w:rsid w:val="003E48E1"/>
    <w:rsid w:val="003E59BB"/>
    <w:rsid w:val="003E6225"/>
    <w:rsid w:val="003E6271"/>
    <w:rsid w:val="003E65AC"/>
    <w:rsid w:val="003E66AE"/>
    <w:rsid w:val="003E6D55"/>
    <w:rsid w:val="003E720F"/>
    <w:rsid w:val="003E72B9"/>
    <w:rsid w:val="003E78B8"/>
    <w:rsid w:val="003E7ED4"/>
    <w:rsid w:val="003F0985"/>
    <w:rsid w:val="003F0E52"/>
    <w:rsid w:val="003F0F6B"/>
    <w:rsid w:val="003F1702"/>
    <w:rsid w:val="003F1FC6"/>
    <w:rsid w:val="003F1FDE"/>
    <w:rsid w:val="003F1FE3"/>
    <w:rsid w:val="003F2359"/>
    <w:rsid w:val="003F3865"/>
    <w:rsid w:val="003F3B87"/>
    <w:rsid w:val="003F3D55"/>
    <w:rsid w:val="003F4020"/>
    <w:rsid w:val="003F44E2"/>
    <w:rsid w:val="003F4632"/>
    <w:rsid w:val="003F47BA"/>
    <w:rsid w:val="003F4FE6"/>
    <w:rsid w:val="003F50C3"/>
    <w:rsid w:val="003F5689"/>
    <w:rsid w:val="003F6617"/>
    <w:rsid w:val="003F69DF"/>
    <w:rsid w:val="003F7DA7"/>
    <w:rsid w:val="00401126"/>
    <w:rsid w:val="00402332"/>
    <w:rsid w:val="0040247E"/>
    <w:rsid w:val="004025C2"/>
    <w:rsid w:val="00402841"/>
    <w:rsid w:val="00402BB2"/>
    <w:rsid w:val="00403195"/>
    <w:rsid w:val="004033A9"/>
    <w:rsid w:val="00403587"/>
    <w:rsid w:val="00403D1D"/>
    <w:rsid w:val="00403E55"/>
    <w:rsid w:val="0040407C"/>
    <w:rsid w:val="0040416C"/>
    <w:rsid w:val="0040456E"/>
    <w:rsid w:val="00404681"/>
    <w:rsid w:val="00404A88"/>
    <w:rsid w:val="00405AC1"/>
    <w:rsid w:val="00406092"/>
    <w:rsid w:val="00406923"/>
    <w:rsid w:val="00406EB9"/>
    <w:rsid w:val="0040763D"/>
    <w:rsid w:val="00410590"/>
    <w:rsid w:val="00410D17"/>
    <w:rsid w:val="00411190"/>
    <w:rsid w:val="00411588"/>
    <w:rsid w:val="0041180B"/>
    <w:rsid w:val="004118BF"/>
    <w:rsid w:val="00412039"/>
    <w:rsid w:val="00412673"/>
    <w:rsid w:val="00412B25"/>
    <w:rsid w:val="004131E2"/>
    <w:rsid w:val="00413442"/>
    <w:rsid w:val="00413821"/>
    <w:rsid w:val="00413BA5"/>
    <w:rsid w:val="004141A3"/>
    <w:rsid w:val="00414909"/>
    <w:rsid w:val="00415146"/>
    <w:rsid w:val="004156D0"/>
    <w:rsid w:val="004157C6"/>
    <w:rsid w:val="0041582F"/>
    <w:rsid w:val="00415899"/>
    <w:rsid w:val="00415B89"/>
    <w:rsid w:val="00415C0F"/>
    <w:rsid w:val="00416112"/>
    <w:rsid w:val="00416FDD"/>
    <w:rsid w:val="00417AE0"/>
    <w:rsid w:val="00417BAA"/>
    <w:rsid w:val="00417C2B"/>
    <w:rsid w:val="0042034C"/>
    <w:rsid w:val="0042042B"/>
    <w:rsid w:val="00420B45"/>
    <w:rsid w:val="00420D7A"/>
    <w:rsid w:val="00421257"/>
    <w:rsid w:val="004219CC"/>
    <w:rsid w:val="00422193"/>
    <w:rsid w:val="004223DE"/>
    <w:rsid w:val="00422581"/>
    <w:rsid w:val="00422A10"/>
    <w:rsid w:val="004232E7"/>
    <w:rsid w:val="0042362D"/>
    <w:rsid w:val="00423969"/>
    <w:rsid w:val="00423C89"/>
    <w:rsid w:val="00424D17"/>
    <w:rsid w:val="004258A1"/>
    <w:rsid w:val="00425DFD"/>
    <w:rsid w:val="00425F8E"/>
    <w:rsid w:val="004263A3"/>
    <w:rsid w:val="00426AB0"/>
    <w:rsid w:val="00426DE0"/>
    <w:rsid w:val="00427713"/>
    <w:rsid w:val="00427CCC"/>
    <w:rsid w:val="0043013A"/>
    <w:rsid w:val="00430421"/>
    <w:rsid w:val="00430B4F"/>
    <w:rsid w:val="00431084"/>
    <w:rsid w:val="004310D7"/>
    <w:rsid w:val="004319FE"/>
    <w:rsid w:val="004322D6"/>
    <w:rsid w:val="00432589"/>
    <w:rsid w:val="00432A94"/>
    <w:rsid w:val="00432B6A"/>
    <w:rsid w:val="00432C95"/>
    <w:rsid w:val="004330D8"/>
    <w:rsid w:val="00433827"/>
    <w:rsid w:val="00433A40"/>
    <w:rsid w:val="00434B70"/>
    <w:rsid w:val="00435036"/>
    <w:rsid w:val="004350C1"/>
    <w:rsid w:val="00436021"/>
    <w:rsid w:val="004360C8"/>
    <w:rsid w:val="00436485"/>
    <w:rsid w:val="00436A1C"/>
    <w:rsid w:val="0043715C"/>
    <w:rsid w:val="004371D5"/>
    <w:rsid w:val="0044005C"/>
    <w:rsid w:val="0044006B"/>
    <w:rsid w:val="0044020D"/>
    <w:rsid w:val="0044033F"/>
    <w:rsid w:val="00440450"/>
    <w:rsid w:val="00440630"/>
    <w:rsid w:val="004408A0"/>
    <w:rsid w:val="00440A93"/>
    <w:rsid w:val="00441F0F"/>
    <w:rsid w:val="004420EA"/>
    <w:rsid w:val="00442965"/>
    <w:rsid w:val="00444157"/>
    <w:rsid w:val="0044417C"/>
    <w:rsid w:val="004441B8"/>
    <w:rsid w:val="004446BA"/>
    <w:rsid w:val="00444DB3"/>
    <w:rsid w:val="00444FB7"/>
    <w:rsid w:val="00445829"/>
    <w:rsid w:val="00445A2F"/>
    <w:rsid w:val="00445F45"/>
    <w:rsid w:val="0044610C"/>
    <w:rsid w:val="0044684E"/>
    <w:rsid w:val="00446D79"/>
    <w:rsid w:val="00446F22"/>
    <w:rsid w:val="0044762A"/>
    <w:rsid w:val="00447CCD"/>
    <w:rsid w:val="0045019F"/>
    <w:rsid w:val="004503A4"/>
    <w:rsid w:val="00450555"/>
    <w:rsid w:val="004506FA"/>
    <w:rsid w:val="004507BE"/>
    <w:rsid w:val="00450DC6"/>
    <w:rsid w:val="004516A5"/>
    <w:rsid w:val="00451980"/>
    <w:rsid w:val="00451E9C"/>
    <w:rsid w:val="0045280F"/>
    <w:rsid w:val="004528A0"/>
    <w:rsid w:val="0045334D"/>
    <w:rsid w:val="004535AE"/>
    <w:rsid w:val="00453C56"/>
    <w:rsid w:val="0045444D"/>
    <w:rsid w:val="0045463A"/>
    <w:rsid w:val="00454AC9"/>
    <w:rsid w:val="00455050"/>
    <w:rsid w:val="004554A3"/>
    <w:rsid w:val="00455A6E"/>
    <w:rsid w:val="00455B0F"/>
    <w:rsid w:val="00455EAD"/>
    <w:rsid w:val="004560A4"/>
    <w:rsid w:val="0045628B"/>
    <w:rsid w:val="004563D0"/>
    <w:rsid w:val="004578DD"/>
    <w:rsid w:val="004578EB"/>
    <w:rsid w:val="004604D5"/>
    <w:rsid w:val="00460697"/>
    <w:rsid w:val="0046117B"/>
    <w:rsid w:val="00461739"/>
    <w:rsid w:val="004639AF"/>
    <w:rsid w:val="00464003"/>
    <w:rsid w:val="004645A1"/>
    <w:rsid w:val="004648CD"/>
    <w:rsid w:val="00464AB7"/>
    <w:rsid w:val="00464CC2"/>
    <w:rsid w:val="00465CB0"/>
    <w:rsid w:val="00465E9D"/>
    <w:rsid w:val="004661A7"/>
    <w:rsid w:val="00466688"/>
    <w:rsid w:val="00467EF8"/>
    <w:rsid w:val="004710E2"/>
    <w:rsid w:val="004721C8"/>
    <w:rsid w:val="00472429"/>
    <w:rsid w:val="00472444"/>
    <w:rsid w:val="004725E5"/>
    <w:rsid w:val="00472751"/>
    <w:rsid w:val="00473128"/>
    <w:rsid w:val="00473AAB"/>
    <w:rsid w:val="00474C19"/>
    <w:rsid w:val="00475078"/>
    <w:rsid w:val="00475767"/>
    <w:rsid w:val="00476440"/>
    <w:rsid w:val="0047694F"/>
    <w:rsid w:val="00476BE0"/>
    <w:rsid w:val="00476EC6"/>
    <w:rsid w:val="0047787B"/>
    <w:rsid w:val="004779A0"/>
    <w:rsid w:val="00477F58"/>
    <w:rsid w:val="004808E3"/>
    <w:rsid w:val="00480B2A"/>
    <w:rsid w:val="00481016"/>
    <w:rsid w:val="0048204C"/>
    <w:rsid w:val="004821BB"/>
    <w:rsid w:val="004826FE"/>
    <w:rsid w:val="004827D5"/>
    <w:rsid w:val="00482AF2"/>
    <w:rsid w:val="004830C9"/>
    <w:rsid w:val="00483347"/>
    <w:rsid w:val="00483C34"/>
    <w:rsid w:val="00483E2E"/>
    <w:rsid w:val="00484B69"/>
    <w:rsid w:val="00485406"/>
    <w:rsid w:val="00485580"/>
    <w:rsid w:val="0048590F"/>
    <w:rsid w:val="00485E5F"/>
    <w:rsid w:val="0048670E"/>
    <w:rsid w:val="00486A82"/>
    <w:rsid w:val="00486D60"/>
    <w:rsid w:val="00487649"/>
    <w:rsid w:val="0049079E"/>
    <w:rsid w:val="00490C0A"/>
    <w:rsid w:val="00490CA2"/>
    <w:rsid w:val="00491660"/>
    <w:rsid w:val="00491ACC"/>
    <w:rsid w:val="00491C06"/>
    <w:rsid w:val="00491FA1"/>
    <w:rsid w:val="00492A25"/>
    <w:rsid w:val="004938A3"/>
    <w:rsid w:val="004946E3"/>
    <w:rsid w:val="004960CB"/>
    <w:rsid w:val="00496350"/>
    <w:rsid w:val="00496AF0"/>
    <w:rsid w:val="00496D82"/>
    <w:rsid w:val="00496E87"/>
    <w:rsid w:val="0049797C"/>
    <w:rsid w:val="004A0380"/>
    <w:rsid w:val="004A0541"/>
    <w:rsid w:val="004A110D"/>
    <w:rsid w:val="004A1405"/>
    <w:rsid w:val="004A1FC6"/>
    <w:rsid w:val="004A2B8C"/>
    <w:rsid w:val="004A2E5F"/>
    <w:rsid w:val="004A38C2"/>
    <w:rsid w:val="004A3C03"/>
    <w:rsid w:val="004A3DB7"/>
    <w:rsid w:val="004A4B8E"/>
    <w:rsid w:val="004A5088"/>
    <w:rsid w:val="004A5255"/>
    <w:rsid w:val="004A533E"/>
    <w:rsid w:val="004A5880"/>
    <w:rsid w:val="004A62C6"/>
    <w:rsid w:val="004A661B"/>
    <w:rsid w:val="004A6CB0"/>
    <w:rsid w:val="004A6F25"/>
    <w:rsid w:val="004A70FF"/>
    <w:rsid w:val="004A755A"/>
    <w:rsid w:val="004A7EDE"/>
    <w:rsid w:val="004B06DC"/>
    <w:rsid w:val="004B0834"/>
    <w:rsid w:val="004B0D93"/>
    <w:rsid w:val="004B0EA6"/>
    <w:rsid w:val="004B0F18"/>
    <w:rsid w:val="004B13F0"/>
    <w:rsid w:val="004B1480"/>
    <w:rsid w:val="004B151D"/>
    <w:rsid w:val="004B1586"/>
    <w:rsid w:val="004B1FA4"/>
    <w:rsid w:val="004B23CB"/>
    <w:rsid w:val="004B2871"/>
    <w:rsid w:val="004B29AC"/>
    <w:rsid w:val="004B35DF"/>
    <w:rsid w:val="004B3627"/>
    <w:rsid w:val="004B4062"/>
    <w:rsid w:val="004B44B3"/>
    <w:rsid w:val="004B460E"/>
    <w:rsid w:val="004B4922"/>
    <w:rsid w:val="004B4B4A"/>
    <w:rsid w:val="004B50A7"/>
    <w:rsid w:val="004B57DF"/>
    <w:rsid w:val="004B5976"/>
    <w:rsid w:val="004B6790"/>
    <w:rsid w:val="004B722E"/>
    <w:rsid w:val="004B72E8"/>
    <w:rsid w:val="004C01A5"/>
    <w:rsid w:val="004C0412"/>
    <w:rsid w:val="004C083B"/>
    <w:rsid w:val="004C101E"/>
    <w:rsid w:val="004C1261"/>
    <w:rsid w:val="004C1AAE"/>
    <w:rsid w:val="004C1D80"/>
    <w:rsid w:val="004C2138"/>
    <w:rsid w:val="004C2F84"/>
    <w:rsid w:val="004C3935"/>
    <w:rsid w:val="004C3940"/>
    <w:rsid w:val="004C51FD"/>
    <w:rsid w:val="004C5ED7"/>
    <w:rsid w:val="004C641C"/>
    <w:rsid w:val="004C65A8"/>
    <w:rsid w:val="004C6689"/>
    <w:rsid w:val="004C6DA6"/>
    <w:rsid w:val="004C733D"/>
    <w:rsid w:val="004C7508"/>
    <w:rsid w:val="004C792C"/>
    <w:rsid w:val="004C7F66"/>
    <w:rsid w:val="004D0C38"/>
    <w:rsid w:val="004D139A"/>
    <w:rsid w:val="004D1414"/>
    <w:rsid w:val="004D14DC"/>
    <w:rsid w:val="004D17C6"/>
    <w:rsid w:val="004D2858"/>
    <w:rsid w:val="004D35BA"/>
    <w:rsid w:val="004D38E5"/>
    <w:rsid w:val="004D3C5A"/>
    <w:rsid w:val="004D3FE6"/>
    <w:rsid w:val="004D4350"/>
    <w:rsid w:val="004D449A"/>
    <w:rsid w:val="004D4701"/>
    <w:rsid w:val="004D47C7"/>
    <w:rsid w:val="004D4CA1"/>
    <w:rsid w:val="004D4F35"/>
    <w:rsid w:val="004D504F"/>
    <w:rsid w:val="004D516A"/>
    <w:rsid w:val="004D5D45"/>
    <w:rsid w:val="004D618D"/>
    <w:rsid w:val="004D62A9"/>
    <w:rsid w:val="004D6862"/>
    <w:rsid w:val="004D6939"/>
    <w:rsid w:val="004D6C12"/>
    <w:rsid w:val="004D6FC3"/>
    <w:rsid w:val="004D7476"/>
    <w:rsid w:val="004D7716"/>
    <w:rsid w:val="004D7D80"/>
    <w:rsid w:val="004E0288"/>
    <w:rsid w:val="004E02F2"/>
    <w:rsid w:val="004E0306"/>
    <w:rsid w:val="004E0572"/>
    <w:rsid w:val="004E0C2A"/>
    <w:rsid w:val="004E1641"/>
    <w:rsid w:val="004E1818"/>
    <w:rsid w:val="004E1990"/>
    <w:rsid w:val="004E25A8"/>
    <w:rsid w:val="004E3930"/>
    <w:rsid w:val="004E3ED9"/>
    <w:rsid w:val="004E42F4"/>
    <w:rsid w:val="004E4D34"/>
    <w:rsid w:val="004E4D87"/>
    <w:rsid w:val="004E4FE0"/>
    <w:rsid w:val="004E545F"/>
    <w:rsid w:val="004E5866"/>
    <w:rsid w:val="004E592A"/>
    <w:rsid w:val="004E59FC"/>
    <w:rsid w:val="004E5F9F"/>
    <w:rsid w:val="004E6097"/>
    <w:rsid w:val="004E61EF"/>
    <w:rsid w:val="004E63C6"/>
    <w:rsid w:val="004E76A7"/>
    <w:rsid w:val="004E7A60"/>
    <w:rsid w:val="004E7B03"/>
    <w:rsid w:val="004F0064"/>
    <w:rsid w:val="004F0558"/>
    <w:rsid w:val="004F06AC"/>
    <w:rsid w:val="004F1B53"/>
    <w:rsid w:val="004F1D2A"/>
    <w:rsid w:val="004F1E89"/>
    <w:rsid w:val="004F243F"/>
    <w:rsid w:val="004F252C"/>
    <w:rsid w:val="004F36A3"/>
    <w:rsid w:val="004F3E0C"/>
    <w:rsid w:val="004F4377"/>
    <w:rsid w:val="004F625F"/>
    <w:rsid w:val="004F6554"/>
    <w:rsid w:val="004F7160"/>
    <w:rsid w:val="00500258"/>
    <w:rsid w:val="005005DF"/>
    <w:rsid w:val="00500B2D"/>
    <w:rsid w:val="00501804"/>
    <w:rsid w:val="00501A99"/>
    <w:rsid w:val="005024F4"/>
    <w:rsid w:val="00503180"/>
    <w:rsid w:val="005038A4"/>
    <w:rsid w:val="00503B16"/>
    <w:rsid w:val="00503B2A"/>
    <w:rsid w:val="00503C48"/>
    <w:rsid w:val="00503EA2"/>
    <w:rsid w:val="00504CD7"/>
    <w:rsid w:val="00505450"/>
    <w:rsid w:val="00507472"/>
    <w:rsid w:val="005100B7"/>
    <w:rsid w:val="00510CCA"/>
    <w:rsid w:val="005113C9"/>
    <w:rsid w:val="00511460"/>
    <w:rsid w:val="00512025"/>
    <w:rsid w:val="00512050"/>
    <w:rsid w:val="00512055"/>
    <w:rsid w:val="00512179"/>
    <w:rsid w:val="0051280C"/>
    <w:rsid w:val="00512842"/>
    <w:rsid w:val="005128BE"/>
    <w:rsid w:val="00512C20"/>
    <w:rsid w:val="00512E49"/>
    <w:rsid w:val="00513464"/>
    <w:rsid w:val="0051356F"/>
    <w:rsid w:val="00513E7C"/>
    <w:rsid w:val="005140BB"/>
    <w:rsid w:val="00514837"/>
    <w:rsid w:val="00514FD9"/>
    <w:rsid w:val="00515187"/>
    <w:rsid w:val="00515441"/>
    <w:rsid w:val="0051550A"/>
    <w:rsid w:val="0051561D"/>
    <w:rsid w:val="0051608F"/>
    <w:rsid w:val="00517E04"/>
    <w:rsid w:val="00520EF8"/>
    <w:rsid w:val="00520F0C"/>
    <w:rsid w:val="005210F7"/>
    <w:rsid w:val="005214F0"/>
    <w:rsid w:val="00521753"/>
    <w:rsid w:val="005224EE"/>
    <w:rsid w:val="00522879"/>
    <w:rsid w:val="005236DB"/>
    <w:rsid w:val="00523BB1"/>
    <w:rsid w:val="005257F6"/>
    <w:rsid w:val="00525889"/>
    <w:rsid w:val="005260CD"/>
    <w:rsid w:val="00526265"/>
    <w:rsid w:val="0052655D"/>
    <w:rsid w:val="005265E0"/>
    <w:rsid w:val="00526BC3"/>
    <w:rsid w:val="00527505"/>
    <w:rsid w:val="00527AA2"/>
    <w:rsid w:val="00527B05"/>
    <w:rsid w:val="00531761"/>
    <w:rsid w:val="0053248F"/>
    <w:rsid w:val="0053332A"/>
    <w:rsid w:val="00533336"/>
    <w:rsid w:val="00533450"/>
    <w:rsid w:val="0053358A"/>
    <w:rsid w:val="00534668"/>
    <w:rsid w:val="00534723"/>
    <w:rsid w:val="00534ACA"/>
    <w:rsid w:val="00534DDD"/>
    <w:rsid w:val="00535291"/>
    <w:rsid w:val="005352A9"/>
    <w:rsid w:val="00535A94"/>
    <w:rsid w:val="00535F83"/>
    <w:rsid w:val="00536E37"/>
    <w:rsid w:val="00537233"/>
    <w:rsid w:val="00537874"/>
    <w:rsid w:val="0053795F"/>
    <w:rsid w:val="005379C4"/>
    <w:rsid w:val="00540406"/>
    <w:rsid w:val="00540511"/>
    <w:rsid w:val="00540578"/>
    <w:rsid w:val="00540808"/>
    <w:rsid w:val="0054080E"/>
    <w:rsid w:val="00540EA1"/>
    <w:rsid w:val="005411E4"/>
    <w:rsid w:val="00541503"/>
    <w:rsid w:val="00541697"/>
    <w:rsid w:val="005416A8"/>
    <w:rsid w:val="005417BF"/>
    <w:rsid w:val="005420E4"/>
    <w:rsid w:val="0054358E"/>
    <w:rsid w:val="00543950"/>
    <w:rsid w:val="00543AF4"/>
    <w:rsid w:val="00543FD3"/>
    <w:rsid w:val="00544191"/>
    <w:rsid w:val="005443E5"/>
    <w:rsid w:val="005448EC"/>
    <w:rsid w:val="00544931"/>
    <w:rsid w:val="00544A4F"/>
    <w:rsid w:val="00544F39"/>
    <w:rsid w:val="00544F82"/>
    <w:rsid w:val="0054514F"/>
    <w:rsid w:val="005458D8"/>
    <w:rsid w:val="00546F90"/>
    <w:rsid w:val="00547CA1"/>
    <w:rsid w:val="00547EFB"/>
    <w:rsid w:val="0055033C"/>
    <w:rsid w:val="005511C4"/>
    <w:rsid w:val="0055172E"/>
    <w:rsid w:val="00551B86"/>
    <w:rsid w:val="005522F2"/>
    <w:rsid w:val="00552555"/>
    <w:rsid w:val="005525E5"/>
    <w:rsid w:val="005527F5"/>
    <w:rsid w:val="005531DF"/>
    <w:rsid w:val="00553320"/>
    <w:rsid w:val="00553874"/>
    <w:rsid w:val="00553ECF"/>
    <w:rsid w:val="00554AD8"/>
    <w:rsid w:val="00554F78"/>
    <w:rsid w:val="00555565"/>
    <w:rsid w:val="005557BC"/>
    <w:rsid w:val="00555DA1"/>
    <w:rsid w:val="00556BF7"/>
    <w:rsid w:val="00556F14"/>
    <w:rsid w:val="0055737F"/>
    <w:rsid w:val="00557556"/>
    <w:rsid w:val="00557F60"/>
    <w:rsid w:val="0056011B"/>
    <w:rsid w:val="005603F9"/>
    <w:rsid w:val="00560C19"/>
    <w:rsid w:val="005612EB"/>
    <w:rsid w:val="00561602"/>
    <w:rsid w:val="00561730"/>
    <w:rsid w:val="00561B97"/>
    <w:rsid w:val="00562149"/>
    <w:rsid w:val="0056242B"/>
    <w:rsid w:val="00562826"/>
    <w:rsid w:val="00564F6D"/>
    <w:rsid w:val="00566FC1"/>
    <w:rsid w:val="00567B5D"/>
    <w:rsid w:val="005706C1"/>
    <w:rsid w:val="00570757"/>
    <w:rsid w:val="00571243"/>
    <w:rsid w:val="0057148D"/>
    <w:rsid w:val="00571846"/>
    <w:rsid w:val="00572F0A"/>
    <w:rsid w:val="00573733"/>
    <w:rsid w:val="00573F8B"/>
    <w:rsid w:val="00574554"/>
    <w:rsid w:val="005747A8"/>
    <w:rsid w:val="00574E06"/>
    <w:rsid w:val="005751BB"/>
    <w:rsid w:val="00575A87"/>
    <w:rsid w:val="00576089"/>
    <w:rsid w:val="0057611E"/>
    <w:rsid w:val="005764B1"/>
    <w:rsid w:val="00576852"/>
    <w:rsid w:val="00576D06"/>
    <w:rsid w:val="005779E4"/>
    <w:rsid w:val="00577AA5"/>
    <w:rsid w:val="00580664"/>
    <w:rsid w:val="00581D82"/>
    <w:rsid w:val="005825A5"/>
    <w:rsid w:val="0058289C"/>
    <w:rsid w:val="005836C7"/>
    <w:rsid w:val="005838C7"/>
    <w:rsid w:val="00583ADB"/>
    <w:rsid w:val="0058408E"/>
    <w:rsid w:val="00585374"/>
    <w:rsid w:val="005854CA"/>
    <w:rsid w:val="00585FAB"/>
    <w:rsid w:val="00586107"/>
    <w:rsid w:val="00590B77"/>
    <w:rsid w:val="00590D9A"/>
    <w:rsid w:val="005913A3"/>
    <w:rsid w:val="00592BDD"/>
    <w:rsid w:val="005940D4"/>
    <w:rsid w:val="00594A09"/>
    <w:rsid w:val="00594A7B"/>
    <w:rsid w:val="0059580E"/>
    <w:rsid w:val="00595D90"/>
    <w:rsid w:val="00596A6F"/>
    <w:rsid w:val="00596E40"/>
    <w:rsid w:val="00596FCE"/>
    <w:rsid w:val="00597B42"/>
    <w:rsid w:val="005A03AB"/>
    <w:rsid w:val="005A0B9A"/>
    <w:rsid w:val="005A0F60"/>
    <w:rsid w:val="005A11BC"/>
    <w:rsid w:val="005A1525"/>
    <w:rsid w:val="005A1575"/>
    <w:rsid w:val="005A1680"/>
    <w:rsid w:val="005A1904"/>
    <w:rsid w:val="005A1E17"/>
    <w:rsid w:val="005A223D"/>
    <w:rsid w:val="005A252B"/>
    <w:rsid w:val="005A2BD4"/>
    <w:rsid w:val="005A3204"/>
    <w:rsid w:val="005A3341"/>
    <w:rsid w:val="005A3884"/>
    <w:rsid w:val="005A3C3D"/>
    <w:rsid w:val="005A4688"/>
    <w:rsid w:val="005A46EC"/>
    <w:rsid w:val="005A5EAE"/>
    <w:rsid w:val="005A6254"/>
    <w:rsid w:val="005A6407"/>
    <w:rsid w:val="005A7AD2"/>
    <w:rsid w:val="005B0372"/>
    <w:rsid w:val="005B056C"/>
    <w:rsid w:val="005B0735"/>
    <w:rsid w:val="005B07EC"/>
    <w:rsid w:val="005B1AF9"/>
    <w:rsid w:val="005B21B3"/>
    <w:rsid w:val="005B23C1"/>
    <w:rsid w:val="005B29BA"/>
    <w:rsid w:val="005B2B11"/>
    <w:rsid w:val="005B32A4"/>
    <w:rsid w:val="005B3BAF"/>
    <w:rsid w:val="005B4DA3"/>
    <w:rsid w:val="005B5448"/>
    <w:rsid w:val="005B58D5"/>
    <w:rsid w:val="005B5BEE"/>
    <w:rsid w:val="005B6351"/>
    <w:rsid w:val="005B708B"/>
    <w:rsid w:val="005B72FA"/>
    <w:rsid w:val="005B759E"/>
    <w:rsid w:val="005B77D2"/>
    <w:rsid w:val="005C019B"/>
    <w:rsid w:val="005C10A8"/>
    <w:rsid w:val="005C145E"/>
    <w:rsid w:val="005C1AED"/>
    <w:rsid w:val="005C30E7"/>
    <w:rsid w:val="005C30F5"/>
    <w:rsid w:val="005C3B73"/>
    <w:rsid w:val="005C3CA0"/>
    <w:rsid w:val="005C3CCA"/>
    <w:rsid w:val="005C4284"/>
    <w:rsid w:val="005C4DF4"/>
    <w:rsid w:val="005C4FDE"/>
    <w:rsid w:val="005C51A5"/>
    <w:rsid w:val="005C557A"/>
    <w:rsid w:val="005C5BFE"/>
    <w:rsid w:val="005C5C47"/>
    <w:rsid w:val="005C61DD"/>
    <w:rsid w:val="005C6438"/>
    <w:rsid w:val="005C664A"/>
    <w:rsid w:val="005C6B8B"/>
    <w:rsid w:val="005C727F"/>
    <w:rsid w:val="005C7C7F"/>
    <w:rsid w:val="005D02E3"/>
    <w:rsid w:val="005D0FBF"/>
    <w:rsid w:val="005D114E"/>
    <w:rsid w:val="005D1B3F"/>
    <w:rsid w:val="005D1F34"/>
    <w:rsid w:val="005D25ED"/>
    <w:rsid w:val="005D2C1F"/>
    <w:rsid w:val="005D34B2"/>
    <w:rsid w:val="005D38D5"/>
    <w:rsid w:val="005D3967"/>
    <w:rsid w:val="005D3B54"/>
    <w:rsid w:val="005D40CD"/>
    <w:rsid w:val="005D5522"/>
    <w:rsid w:val="005D5751"/>
    <w:rsid w:val="005D6B59"/>
    <w:rsid w:val="005D6B6D"/>
    <w:rsid w:val="005D6CC7"/>
    <w:rsid w:val="005D6EC5"/>
    <w:rsid w:val="005D7334"/>
    <w:rsid w:val="005D784B"/>
    <w:rsid w:val="005E032C"/>
    <w:rsid w:val="005E03E4"/>
    <w:rsid w:val="005E0454"/>
    <w:rsid w:val="005E05F6"/>
    <w:rsid w:val="005E0E17"/>
    <w:rsid w:val="005E0FF8"/>
    <w:rsid w:val="005E1B14"/>
    <w:rsid w:val="005E1CB1"/>
    <w:rsid w:val="005E1E96"/>
    <w:rsid w:val="005E240F"/>
    <w:rsid w:val="005E2442"/>
    <w:rsid w:val="005E2457"/>
    <w:rsid w:val="005E29A1"/>
    <w:rsid w:val="005E3111"/>
    <w:rsid w:val="005E34BF"/>
    <w:rsid w:val="005E37B9"/>
    <w:rsid w:val="005E3F85"/>
    <w:rsid w:val="005E41C9"/>
    <w:rsid w:val="005E4527"/>
    <w:rsid w:val="005E5387"/>
    <w:rsid w:val="005E57B0"/>
    <w:rsid w:val="005E5851"/>
    <w:rsid w:val="005E5B01"/>
    <w:rsid w:val="005E5EE5"/>
    <w:rsid w:val="005E614A"/>
    <w:rsid w:val="005E6D3B"/>
    <w:rsid w:val="005E75CF"/>
    <w:rsid w:val="005F009E"/>
    <w:rsid w:val="005F0DF1"/>
    <w:rsid w:val="005F1516"/>
    <w:rsid w:val="005F1585"/>
    <w:rsid w:val="005F2205"/>
    <w:rsid w:val="005F229E"/>
    <w:rsid w:val="005F2400"/>
    <w:rsid w:val="005F2564"/>
    <w:rsid w:val="005F2694"/>
    <w:rsid w:val="005F318E"/>
    <w:rsid w:val="005F3822"/>
    <w:rsid w:val="005F3901"/>
    <w:rsid w:val="005F39B8"/>
    <w:rsid w:val="005F4352"/>
    <w:rsid w:val="005F43EF"/>
    <w:rsid w:val="005F4635"/>
    <w:rsid w:val="005F4729"/>
    <w:rsid w:val="005F4900"/>
    <w:rsid w:val="005F4E52"/>
    <w:rsid w:val="005F5B2B"/>
    <w:rsid w:val="005F6858"/>
    <w:rsid w:val="005F6DB2"/>
    <w:rsid w:val="005F7383"/>
    <w:rsid w:val="005F7854"/>
    <w:rsid w:val="0060058E"/>
    <w:rsid w:val="006010A8"/>
    <w:rsid w:val="00601260"/>
    <w:rsid w:val="0060161F"/>
    <w:rsid w:val="00601A1D"/>
    <w:rsid w:val="00602049"/>
    <w:rsid w:val="00602A3C"/>
    <w:rsid w:val="00602C6B"/>
    <w:rsid w:val="00602DED"/>
    <w:rsid w:val="00603BF3"/>
    <w:rsid w:val="00603EFD"/>
    <w:rsid w:val="0060475B"/>
    <w:rsid w:val="00604A48"/>
    <w:rsid w:val="00604E05"/>
    <w:rsid w:val="00604FA9"/>
    <w:rsid w:val="00604FB6"/>
    <w:rsid w:val="00605387"/>
    <w:rsid w:val="00605499"/>
    <w:rsid w:val="00605DBE"/>
    <w:rsid w:val="00605E6F"/>
    <w:rsid w:val="00606302"/>
    <w:rsid w:val="00607533"/>
    <w:rsid w:val="006076FD"/>
    <w:rsid w:val="00610E10"/>
    <w:rsid w:val="006113CB"/>
    <w:rsid w:val="0061143F"/>
    <w:rsid w:val="006114D8"/>
    <w:rsid w:val="006116AE"/>
    <w:rsid w:val="00611B31"/>
    <w:rsid w:val="0061203A"/>
    <w:rsid w:val="0061332D"/>
    <w:rsid w:val="00613553"/>
    <w:rsid w:val="00613601"/>
    <w:rsid w:val="00613788"/>
    <w:rsid w:val="00613791"/>
    <w:rsid w:val="00614DF9"/>
    <w:rsid w:val="006150D6"/>
    <w:rsid w:val="00615245"/>
    <w:rsid w:val="0061590D"/>
    <w:rsid w:val="00615B6B"/>
    <w:rsid w:val="00615CC5"/>
    <w:rsid w:val="00615DF2"/>
    <w:rsid w:val="0061676C"/>
    <w:rsid w:val="00616CF9"/>
    <w:rsid w:val="00617750"/>
    <w:rsid w:val="00617EEE"/>
    <w:rsid w:val="0062027D"/>
    <w:rsid w:val="00620A1F"/>
    <w:rsid w:val="00621251"/>
    <w:rsid w:val="006212C4"/>
    <w:rsid w:val="0062169D"/>
    <w:rsid w:val="0062181E"/>
    <w:rsid w:val="00621A27"/>
    <w:rsid w:val="00621E04"/>
    <w:rsid w:val="00622725"/>
    <w:rsid w:val="00622BB7"/>
    <w:rsid w:val="00622C1E"/>
    <w:rsid w:val="0062301B"/>
    <w:rsid w:val="00623389"/>
    <w:rsid w:val="00623DAA"/>
    <w:rsid w:val="00623FAF"/>
    <w:rsid w:val="00624339"/>
    <w:rsid w:val="00625F68"/>
    <w:rsid w:val="006261EC"/>
    <w:rsid w:val="00626485"/>
    <w:rsid w:val="006265C4"/>
    <w:rsid w:val="0062678A"/>
    <w:rsid w:val="006270AF"/>
    <w:rsid w:val="00627583"/>
    <w:rsid w:val="00630684"/>
    <w:rsid w:val="006308A5"/>
    <w:rsid w:val="006319CE"/>
    <w:rsid w:val="00632FE4"/>
    <w:rsid w:val="00633324"/>
    <w:rsid w:val="00633353"/>
    <w:rsid w:val="0063414B"/>
    <w:rsid w:val="00634367"/>
    <w:rsid w:val="00634AD9"/>
    <w:rsid w:val="00634FDB"/>
    <w:rsid w:val="00635CFE"/>
    <w:rsid w:val="00635DEA"/>
    <w:rsid w:val="006363E7"/>
    <w:rsid w:val="00637B5D"/>
    <w:rsid w:val="00640082"/>
    <w:rsid w:val="00640291"/>
    <w:rsid w:val="00640EFE"/>
    <w:rsid w:val="00640FEF"/>
    <w:rsid w:val="006413AB"/>
    <w:rsid w:val="00641711"/>
    <w:rsid w:val="00641CB6"/>
    <w:rsid w:val="00641D6D"/>
    <w:rsid w:val="00641FAC"/>
    <w:rsid w:val="00643135"/>
    <w:rsid w:val="00643664"/>
    <w:rsid w:val="00643CAA"/>
    <w:rsid w:val="00643F69"/>
    <w:rsid w:val="0064482A"/>
    <w:rsid w:val="00644F16"/>
    <w:rsid w:val="006455EB"/>
    <w:rsid w:val="006456C2"/>
    <w:rsid w:val="00645AD8"/>
    <w:rsid w:val="0064648C"/>
    <w:rsid w:val="006466D0"/>
    <w:rsid w:val="00647783"/>
    <w:rsid w:val="006477F0"/>
    <w:rsid w:val="006478E4"/>
    <w:rsid w:val="00647EAF"/>
    <w:rsid w:val="006503A6"/>
    <w:rsid w:val="006506DE"/>
    <w:rsid w:val="00650971"/>
    <w:rsid w:val="00651501"/>
    <w:rsid w:val="0065171A"/>
    <w:rsid w:val="00651732"/>
    <w:rsid w:val="00651959"/>
    <w:rsid w:val="00651FC9"/>
    <w:rsid w:val="006522BB"/>
    <w:rsid w:val="00652680"/>
    <w:rsid w:val="006526A2"/>
    <w:rsid w:val="006530A9"/>
    <w:rsid w:val="0065349E"/>
    <w:rsid w:val="00653CDE"/>
    <w:rsid w:val="00653D93"/>
    <w:rsid w:val="00653DC6"/>
    <w:rsid w:val="00654585"/>
    <w:rsid w:val="006551B0"/>
    <w:rsid w:val="00655AB6"/>
    <w:rsid w:val="00655E59"/>
    <w:rsid w:val="0065636A"/>
    <w:rsid w:val="00656A4A"/>
    <w:rsid w:val="00656F95"/>
    <w:rsid w:val="00657003"/>
    <w:rsid w:val="00657A14"/>
    <w:rsid w:val="00657E61"/>
    <w:rsid w:val="00657EF3"/>
    <w:rsid w:val="0066013F"/>
    <w:rsid w:val="00660238"/>
    <w:rsid w:val="006602EF"/>
    <w:rsid w:val="00661277"/>
    <w:rsid w:val="006619E0"/>
    <w:rsid w:val="0066283F"/>
    <w:rsid w:val="006632BB"/>
    <w:rsid w:val="006638A4"/>
    <w:rsid w:val="00663FEA"/>
    <w:rsid w:val="00664803"/>
    <w:rsid w:val="00664F46"/>
    <w:rsid w:val="0066508D"/>
    <w:rsid w:val="006651D6"/>
    <w:rsid w:val="0066557C"/>
    <w:rsid w:val="006657C5"/>
    <w:rsid w:val="00665F09"/>
    <w:rsid w:val="006661A4"/>
    <w:rsid w:val="00666A54"/>
    <w:rsid w:val="00666AC0"/>
    <w:rsid w:val="006670E0"/>
    <w:rsid w:val="006671B8"/>
    <w:rsid w:val="00667275"/>
    <w:rsid w:val="00667532"/>
    <w:rsid w:val="00667603"/>
    <w:rsid w:val="006677B3"/>
    <w:rsid w:val="0066783E"/>
    <w:rsid w:val="00667E53"/>
    <w:rsid w:val="00670384"/>
    <w:rsid w:val="0067065F"/>
    <w:rsid w:val="006708DC"/>
    <w:rsid w:val="006713AB"/>
    <w:rsid w:val="00671687"/>
    <w:rsid w:val="00672882"/>
    <w:rsid w:val="00672CA5"/>
    <w:rsid w:val="006736A6"/>
    <w:rsid w:val="00673711"/>
    <w:rsid w:val="00673F82"/>
    <w:rsid w:val="006744BC"/>
    <w:rsid w:val="00674F74"/>
    <w:rsid w:val="0067508F"/>
    <w:rsid w:val="006756C3"/>
    <w:rsid w:val="00675881"/>
    <w:rsid w:val="00675C2D"/>
    <w:rsid w:val="00676E55"/>
    <w:rsid w:val="00677576"/>
    <w:rsid w:val="00677EF3"/>
    <w:rsid w:val="0068051E"/>
    <w:rsid w:val="00680B9D"/>
    <w:rsid w:val="00681F13"/>
    <w:rsid w:val="0068231C"/>
    <w:rsid w:val="00682344"/>
    <w:rsid w:val="00682F28"/>
    <w:rsid w:val="006846ED"/>
    <w:rsid w:val="00684842"/>
    <w:rsid w:val="006859AA"/>
    <w:rsid w:val="00685B58"/>
    <w:rsid w:val="00685BD6"/>
    <w:rsid w:val="00687116"/>
    <w:rsid w:val="006875C4"/>
    <w:rsid w:val="006878A6"/>
    <w:rsid w:val="00687D5F"/>
    <w:rsid w:val="006902FB"/>
    <w:rsid w:val="00690437"/>
    <w:rsid w:val="00690468"/>
    <w:rsid w:val="00690BFE"/>
    <w:rsid w:val="00690DC3"/>
    <w:rsid w:val="00690E65"/>
    <w:rsid w:val="006911B7"/>
    <w:rsid w:val="00691387"/>
    <w:rsid w:val="00691641"/>
    <w:rsid w:val="0069188E"/>
    <w:rsid w:val="006918BD"/>
    <w:rsid w:val="00691974"/>
    <w:rsid w:val="006929B2"/>
    <w:rsid w:val="00692BF6"/>
    <w:rsid w:val="00692CE6"/>
    <w:rsid w:val="00692EE1"/>
    <w:rsid w:val="00693186"/>
    <w:rsid w:val="006937D6"/>
    <w:rsid w:val="00693B6C"/>
    <w:rsid w:val="00693F3F"/>
    <w:rsid w:val="006942AE"/>
    <w:rsid w:val="00694E54"/>
    <w:rsid w:val="00695421"/>
    <w:rsid w:val="00696633"/>
    <w:rsid w:val="00696B78"/>
    <w:rsid w:val="00697875"/>
    <w:rsid w:val="00697BD3"/>
    <w:rsid w:val="00697DFA"/>
    <w:rsid w:val="006A16D5"/>
    <w:rsid w:val="006A1772"/>
    <w:rsid w:val="006A1780"/>
    <w:rsid w:val="006A1A4A"/>
    <w:rsid w:val="006A21DD"/>
    <w:rsid w:val="006A26C6"/>
    <w:rsid w:val="006A3772"/>
    <w:rsid w:val="006A385F"/>
    <w:rsid w:val="006A3AC0"/>
    <w:rsid w:val="006A3B28"/>
    <w:rsid w:val="006A3C92"/>
    <w:rsid w:val="006A4BA8"/>
    <w:rsid w:val="006A4DA7"/>
    <w:rsid w:val="006A4FEE"/>
    <w:rsid w:val="006A6F5B"/>
    <w:rsid w:val="006A703E"/>
    <w:rsid w:val="006A736F"/>
    <w:rsid w:val="006A7BE3"/>
    <w:rsid w:val="006A7D32"/>
    <w:rsid w:val="006B0037"/>
    <w:rsid w:val="006B01D1"/>
    <w:rsid w:val="006B079F"/>
    <w:rsid w:val="006B09C7"/>
    <w:rsid w:val="006B101C"/>
    <w:rsid w:val="006B15D3"/>
    <w:rsid w:val="006B16EA"/>
    <w:rsid w:val="006B1780"/>
    <w:rsid w:val="006B17B6"/>
    <w:rsid w:val="006B1A60"/>
    <w:rsid w:val="006B224E"/>
    <w:rsid w:val="006B2FAE"/>
    <w:rsid w:val="006B376E"/>
    <w:rsid w:val="006B3B9B"/>
    <w:rsid w:val="006B40FD"/>
    <w:rsid w:val="006B42D9"/>
    <w:rsid w:val="006B4589"/>
    <w:rsid w:val="006B4D50"/>
    <w:rsid w:val="006B5146"/>
    <w:rsid w:val="006B60DE"/>
    <w:rsid w:val="006B610E"/>
    <w:rsid w:val="006B6805"/>
    <w:rsid w:val="006B6DE0"/>
    <w:rsid w:val="006B71B0"/>
    <w:rsid w:val="006B7AC3"/>
    <w:rsid w:val="006C0220"/>
    <w:rsid w:val="006C0970"/>
    <w:rsid w:val="006C16C3"/>
    <w:rsid w:val="006C2187"/>
    <w:rsid w:val="006C2F31"/>
    <w:rsid w:val="006C308F"/>
    <w:rsid w:val="006C32F4"/>
    <w:rsid w:val="006C35C3"/>
    <w:rsid w:val="006C3C54"/>
    <w:rsid w:val="006C3C59"/>
    <w:rsid w:val="006C43CD"/>
    <w:rsid w:val="006C44B4"/>
    <w:rsid w:val="006C453B"/>
    <w:rsid w:val="006C4F9F"/>
    <w:rsid w:val="006C504D"/>
    <w:rsid w:val="006C582E"/>
    <w:rsid w:val="006C6643"/>
    <w:rsid w:val="006C71A2"/>
    <w:rsid w:val="006C73EC"/>
    <w:rsid w:val="006C76C1"/>
    <w:rsid w:val="006D0C1D"/>
    <w:rsid w:val="006D2066"/>
    <w:rsid w:val="006D2E58"/>
    <w:rsid w:val="006D2E9D"/>
    <w:rsid w:val="006D3068"/>
    <w:rsid w:val="006D34B2"/>
    <w:rsid w:val="006D38F6"/>
    <w:rsid w:val="006D3C5B"/>
    <w:rsid w:val="006D4A4E"/>
    <w:rsid w:val="006D4C42"/>
    <w:rsid w:val="006D5117"/>
    <w:rsid w:val="006D5809"/>
    <w:rsid w:val="006D5D5A"/>
    <w:rsid w:val="006D5DFF"/>
    <w:rsid w:val="006D607E"/>
    <w:rsid w:val="006D6138"/>
    <w:rsid w:val="006D6B58"/>
    <w:rsid w:val="006D6E12"/>
    <w:rsid w:val="006D70CB"/>
    <w:rsid w:val="006D715C"/>
    <w:rsid w:val="006D733F"/>
    <w:rsid w:val="006D7363"/>
    <w:rsid w:val="006D7628"/>
    <w:rsid w:val="006D774E"/>
    <w:rsid w:val="006E05B6"/>
    <w:rsid w:val="006E0754"/>
    <w:rsid w:val="006E0D93"/>
    <w:rsid w:val="006E182F"/>
    <w:rsid w:val="006E2532"/>
    <w:rsid w:val="006E2668"/>
    <w:rsid w:val="006E2D0E"/>
    <w:rsid w:val="006E2D39"/>
    <w:rsid w:val="006E32B0"/>
    <w:rsid w:val="006E348E"/>
    <w:rsid w:val="006E396A"/>
    <w:rsid w:val="006E3D63"/>
    <w:rsid w:val="006E3F34"/>
    <w:rsid w:val="006E5829"/>
    <w:rsid w:val="006E58BF"/>
    <w:rsid w:val="006E595F"/>
    <w:rsid w:val="006E5DD8"/>
    <w:rsid w:val="006E5EA1"/>
    <w:rsid w:val="006E5EBB"/>
    <w:rsid w:val="006E5FA5"/>
    <w:rsid w:val="006E6DEE"/>
    <w:rsid w:val="006E7D4B"/>
    <w:rsid w:val="006F0760"/>
    <w:rsid w:val="006F09F0"/>
    <w:rsid w:val="006F11E2"/>
    <w:rsid w:val="006F1E68"/>
    <w:rsid w:val="006F2574"/>
    <w:rsid w:val="006F3231"/>
    <w:rsid w:val="006F3DE3"/>
    <w:rsid w:val="006F43E6"/>
    <w:rsid w:val="006F4787"/>
    <w:rsid w:val="006F488A"/>
    <w:rsid w:val="006F61D8"/>
    <w:rsid w:val="006F62B7"/>
    <w:rsid w:val="006F6621"/>
    <w:rsid w:val="006F70BC"/>
    <w:rsid w:val="006F7E7C"/>
    <w:rsid w:val="0070024B"/>
    <w:rsid w:val="00701573"/>
    <w:rsid w:val="0070174E"/>
    <w:rsid w:val="00701793"/>
    <w:rsid w:val="007018DB"/>
    <w:rsid w:val="00701DE6"/>
    <w:rsid w:val="00701DEB"/>
    <w:rsid w:val="0070240C"/>
    <w:rsid w:val="0070381B"/>
    <w:rsid w:val="00703C8C"/>
    <w:rsid w:val="00704739"/>
    <w:rsid w:val="00705206"/>
    <w:rsid w:val="0070524E"/>
    <w:rsid w:val="00705366"/>
    <w:rsid w:val="007058F6"/>
    <w:rsid w:val="00705EC0"/>
    <w:rsid w:val="0070660F"/>
    <w:rsid w:val="007067D3"/>
    <w:rsid w:val="0070796C"/>
    <w:rsid w:val="007100A9"/>
    <w:rsid w:val="0071030D"/>
    <w:rsid w:val="00710945"/>
    <w:rsid w:val="00710EBF"/>
    <w:rsid w:val="0071101D"/>
    <w:rsid w:val="007110B8"/>
    <w:rsid w:val="0071209F"/>
    <w:rsid w:val="007125A2"/>
    <w:rsid w:val="0071389C"/>
    <w:rsid w:val="00713F79"/>
    <w:rsid w:val="007148A8"/>
    <w:rsid w:val="0071578A"/>
    <w:rsid w:val="0071641C"/>
    <w:rsid w:val="00716AC8"/>
    <w:rsid w:val="00716CF3"/>
    <w:rsid w:val="00716E54"/>
    <w:rsid w:val="0072033C"/>
    <w:rsid w:val="007207D3"/>
    <w:rsid w:val="00720B1B"/>
    <w:rsid w:val="00721062"/>
    <w:rsid w:val="00721E5D"/>
    <w:rsid w:val="00722005"/>
    <w:rsid w:val="007229D4"/>
    <w:rsid w:val="00722AED"/>
    <w:rsid w:val="007230F8"/>
    <w:rsid w:val="007233F4"/>
    <w:rsid w:val="00723D9B"/>
    <w:rsid w:val="00724044"/>
    <w:rsid w:val="007246D5"/>
    <w:rsid w:val="007248D3"/>
    <w:rsid w:val="00724D4E"/>
    <w:rsid w:val="00724D9E"/>
    <w:rsid w:val="00724EB9"/>
    <w:rsid w:val="00725137"/>
    <w:rsid w:val="00725378"/>
    <w:rsid w:val="007257AA"/>
    <w:rsid w:val="00726A01"/>
    <w:rsid w:val="00726A50"/>
    <w:rsid w:val="00727A43"/>
    <w:rsid w:val="00727B92"/>
    <w:rsid w:val="00727D3F"/>
    <w:rsid w:val="00727FF2"/>
    <w:rsid w:val="00730550"/>
    <w:rsid w:val="00731434"/>
    <w:rsid w:val="007323E0"/>
    <w:rsid w:val="00732911"/>
    <w:rsid w:val="00732B55"/>
    <w:rsid w:val="00733110"/>
    <w:rsid w:val="00733721"/>
    <w:rsid w:val="00733833"/>
    <w:rsid w:val="00733883"/>
    <w:rsid w:val="00733A80"/>
    <w:rsid w:val="00733DE2"/>
    <w:rsid w:val="0073424A"/>
    <w:rsid w:val="00734EA9"/>
    <w:rsid w:val="007352EA"/>
    <w:rsid w:val="00735EE3"/>
    <w:rsid w:val="0073624C"/>
    <w:rsid w:val="00736BFA"/>
    <w:rsid w:val="007374D6"/>
    <w:rsid w:val="007378F8"/>
    <w:rsid w:val="0073792F"/>
    <w:rsid w:val="00740222"/>
    <w:rsid w:val="00740C81"/>
    <w:rsid w:val="00740DA6"/>
    <w:rsid w:val="00741499"/>
    <w:rsid w:val="00741B4B"/>
    <w:rsid w:val="00741C45"/>
    <w:rsid w:val="00741D1E"/>
    <w:rsid w:val="00741DD6"/>
    <w:rsid w:val="00741EE2"/>
    <w:rsid w:val="0074207F"/>
    <w:rsid w:val="00742367"/>
    <w:rsid w:val="00742A12"/>
    <w:rsid w:val="00742DE6"/>
    <w:rsid w:val="00742EAA"/>
    <w:rsid w:val="00743360"/>
    <w:rsid w:val="00743818"/>
    <w:rsid w:val="00743857"/>
    <w:rsid w:val="00743B71"/>
    <w:rsid w:val="007441FB"/>
    <w:rsid w:val="00744517"/>
    <w:rsid w:val="00745197"/>
    <w:rsid w:val="0074522A"/>
    <w:rsid w:val="0074532F"/>
    <w:rsid w:val="00745667"/>
    <w:rsid w:val="00747295"/>
    <w:rsid w:val="007477A8"/>
    <w:rsid w:val="00747829"/>
    <w:rsid w:val="00747D79"/>
    <w:rsid w:val="00747DE2"/>
    <w:rsid w:val="00750012"/>
    <w:rsid w:val="007504BF"/>
    <w:rsid w:val="007506CD"/>
    <w:rsid w:val="00750E5F"/>
    <w:rsid w:val="00751A70"/>
    <w:rsid w:val="0075267F"/>
    <w:rsid w:val="007526EC"/>
    <w:rsid w:val="00752A11"/>
    <w:rsid w:val="007539F8"/>
    <w:rsid w:val="00753ABB"/>
    <w:rsid w:val="00753BA5"/>
    <w:rsid w:val="00753C48"/>
    <w:rsid w:val="00754250"/>
    <w:rsid w:val="00754FE4"/>
    <w:rsid w:val="00755216"/>
    <w:rsid w:val="00755BA6"/>
    <w:rsid w:val="00756236"/>
    <w:rsid w:val="00756271"/>
    <w:rsid w:val="00756348"/>
    <w:rsid w:val="00756521"/>
    <w:rsid w:val="00756AB7"/>
    <w:rsid w:val="00756E60"/>
    <w:rsid w:val="0075725F"/>
    <w:rsid w:val="00757404"/>
    <w:rsid w:val="00760088"/>
    <w:rsid w:val="0076106D"/>
    <w:rsid w:val="0076156E"/>
    <w:rsid w:val="007618B7"/>
    <w:rsid w:val="0076204F"/>
    <w:rsid w:val="007623FB"/>
    <w:rsid w:val="00762517"/>
    <w:rsid w:val="00762753"/>
    <w:rsid w:val="00763240"/>
    <w:rsid w:val="0076376A"/>
    <w:rsid w:val="007648AD"/>
    <w:rsid w:val="00764AA9"/>
    <w:rsid w:val="0076504E"/>
    <w:rsid w:val="0076528E"/>
    <w:rsid w:val="007652D4"/>
    <w:rsid w:val="007664E1"/>
    <w:rsid w:val="00767396"/>
    <w:rsid w:val="007673E8"/>
    <w:rsid w:val="0076764C"/>
    <w:rsid w:val="007679D1"/>
    <w:rsid w:val="00767BFD"/>
    <w:rsid w:val="00767EA0"/>
    <w:rsid w:val="0077068F"/>
    <w:rsid w:val="00770C0C"/>
    <w:rsid w:val="00770C86"/>
    <w:rsid w:val="007710C2"/>
    <w:rsid w:val="00771EDF"/>
    <w:rsid w:val="007720F3"/>
    <w:rsid w:val="007724B2"/>
    <w:rsid w:val="007727CE"/>
    <w:rsid w:val="00772860"/>
    <w:rsid w:val="00772EE2"/>
    <w:rsid w:val="00772F8D"/>
    <w:rsid w:val="00773B85"/>
    <w:rsid w:val="0077408D"/>
    <w:rsid w:val="00774166"/>
    <w:rsid w:val="00774270"/>
    <w:rsid w:val="007743F6"/>
    <w:rsid w:val="00774C9F"/>
    <w:rsid w:val="00775679"/>
    <w:rsid w:val="0077574F"/>
    <w:rsid w:val="00775823"/>
    <w:rsid w:val="0077629E"/>
    <w:rsid w:val="00777B32"/>
    <w:rsid w:val="0078051E"/>
    <w:rsid w:val="00780610"/>
    <w:rsid w:val="00780680"/>
    <w:rsid w:val="00781089"/>
    <w:rsid w:val="00781946"/>
    <w:rsid w:val="00781B5A"/>
    <w:rsid w:val="00781F4B"/>
    <w:rsid w:val="007836D9"/>
    <w:rsid w:val="007838F3"/>
    <w:rsid w:val="007848D1"/>
    <w:rsid w:val="007856FE"/>
    <w:rsid w:val="00785836"/>
    <w:rsid w:val="00785D1B"/>
    <w:rsid w:val="00785F46"/>
    <w:rsid w:val="007865F4"/>
    <w:rsid w:val="00786D5C"/>
    <w:rsid w:val="00786E96"/>
    <w:rsid w:val="00786EF1"/>
    <w:rsid w:val="00787060"/>
    <w:rsid w:val="00787DFF"/>
    <w:rsid w:val="00787F93"/>
    <w:rsid w:val="00791D36"/>
    <w:rsid w:val="00791E6D"/>
    <w:rsid w:val="00791EB5"/>
    <w:rsid w:val="007924CA"/>
    <w:rsid w:val="0079264C"/>
    <w:rsid w:val="00793696"/>
    <w:rsid w:val="0079369F"/>
    <w:rsid w:val="00794039"/>
    <w:rsid w:val="00794135"/>
    <w:rsid w:val="00794E75"/>
    <w:rsid w:val="00795F36"/>
    <w:rsid w:val="007964C5"/>
    <w:rsid w:val="00796F65"/>
    <w:rsid w:val="00797191"/>
    <w:rsid w:val="007A0DEE"/>
    <w:rsid w:val="007A11C2"/>
    <w:rsid w:val="007A11C3"/>
    <w:rsid w:val="007A18BB"/>
    <w:rsid w:val="007A1CE1"/>
    <w:rsid w:val="007A1E88"/>
    <w:rsid w:val="007A25A2"/>
    <w:rsid w:val="007A27DD"/>
    <w:rsid w:val="007A41BF"/>
    <w:rsid w:val="007A4609"/>
    <w:rsid w:val="007A490A"/>
    <w:rsid w:val="007A4927"/>
    <w:rsid w:val="007A5DA4"/>
    <w:rsid w:val="007A5FB5"/>
    <w:rsid w:val="007A75BB"/>
    <w:rsid w:val="007A7B95"/>
    <w:rsid w:val="007B0297"/>
    <w:rsid w:val="007B02FA"/>
    <w:rsid w:val="007B0458"/>
    <w:rsid w:val="007B0F53"/>
    <w:rsid w:val="007B1207"/>
    <w:rsid w:val="007B13B6"/>
    <w:rsid w:val="007B2140"/>
    <w:rsid w:val="007B21AE"/>
    <w:rsid w:val="007B2570"/>
    <w:rsid w:val="007B2979"/>
    <w:rsid w:val="007B3113"/>
    <w:rsid w:val="007B3304"/>
    <w:rsid w:val="007B40D5"/>
    <w:rsid w:val="007B4A5E"/>
    <w:rsid w:val="007B4CEB"/>
    <w:rsid w:val="007B63BF"/>
    <w:rsid w:val="007B6F77"/>
    <w:rsid w:val="007B7490"/>
    <w:rsid w:val="007B7F6A"/>
    <w:rsid w:val="007C0525"/>
    <w:rsid w:val="007C0D5D"/>
    <w:rsid w:val="007C13F7"/>
    <w:rsid w:val="007C1D21"/>
    <w:rsid w:val="007C218D"/>
    <w:rsid w:val="007C2379"/>
    <w:rsid w:val="007C2BED"/>
    <w:rsid w:val="007C2D28"/>
    <w:rsid w:val="007C309A"/>
    <w:rsid w:val="007C324C"/>
    <w:rsid w:val="007C3E22"/>
    <w:rsid w:val="007C3E93"/>
    <w:rsid w:val="007C54A1"/>
    <w:rsid w:val="007C54E0"/>
    <w:rsid w:val="007C595B"/>
    <w:rsid w:val="007C6218"/>
    <w:rsid w:val="007C6484"/>
    <w:rsid w:val="007C67C6"/>
    <w:rsid w:val="007C6A36"/>
    <w:rsid w:val="007C730A"/>
    <w:rsid w:val="007C78BE"/>
    <w:rsid w:val="007C7E59"/>
    <w:rsid w:val="007D0476"/>
    <w:rsid w:val="007D0B91"/>
    <w:rsid w:val="007D1452"/>
    <w:rsid w:val="007D2501"/>
    <w:rsid w:val="007D36E5"/>
    <w:rsid w:val="007D3832"/>
    <w:rsid w:val="007D3BFD"/>
    <w:rsid w:val="007D3C6C"/>
    <w:rsid w:val="007D43D2"/>
    <w:rsid w:val="007D460C"/>
    <w:rsid w:val="007D4996"/>
    <w:rsid w:val="007D4AD3"/>
    <w:rsid w:val="007D528C"/>
    <w:rsid w:val="007D5D19"/>
    <w:rsid w:val="007D5FDC"/>
    <w:rsid w:val="007D6113"/>
    <w:rsid w:val="007D6176"/>
    <w:rsid w:val="007D6D68"/>
    <w:rsid w:val="007D6DC5"/>
    <w:rsid w:val="007D7967"/>
    <w:rsid w:val="007E048D"/>
    <w:rsid w:val="007E0DE8"/>
    <w:rsid w:val="007E1BD2"/>
    <w:rsid w:val="007E22CE"/>
    <w:rsid w:val="007E2A8B"/>
    <w:rsid w:val="007E2D8E"/>
    <w:rsid w:val="007E32DA"/>
    <w:rsid w:val="007E3A34"/>
    <w:rsid w:val="007E3C02"/>
    <w:rsid w:val="007E46F9"/>
    <w:rsid w:val="007E4998"/>
    <w:rsid w:val="007E4A9C"/>
    <w:rsid w:val="007E4E1E"/>
    <w:rsid w:val="007E4E47"/>
    <w:rsid w:val="007E5032"/>
    <w:rsid w:val="007E5795"/>
    <w:rsid w:val="007E6914"/>
    <w:rsid w:val="007E79BF"/>
    <w:rsid w:val="007E7D12"/>
    <w:rsid w:val="007E7F78"/>
    <w:rsid w:val="007F0101"/>
    <w:rsid w:val="007F0179"/>
    <w:rsid w:val="007F0530"/>
    <w:rsid w:val="007F075C"/>
    <w:rsid w:val="007F0DBC"/>
    <w:rsid w:val="007F2C13"/>
    <w:rsid w:val="007F2CEC"/>
    <w:rsid w:val="007F3435"/>
    <w:rsid w:val="007F387E"/>
    <w:rsid w:val="007F4B2B"/>
    <w:rsid w:val="007F4EA8"/>
    <w:rsid w:val="007F55DE"/>
    <w:rsid w:val="007F60A8"/>
    <w:rsid w:val="007F762D"/>
    <w:rsid w:val="007F78F0"/>
    <w:rsid w:val="007F78FF"/>
    <w:rsid w:val="00800060"/>
    <w:rsid w:val="008000B6"/>
    <w:rsid w:val="00800167"/>
    <w:rsid w:val="008001C5"/>
    <w:rsid w:val="00800814"/>
    <w:rsid w:val="00800F6C"/>
    <w:rsid w:val="00801065"/>
    <w:rsid w:val="008016E4"/>
    <w:rsid w:val="00801A53"/>
    <w:rsid w:val="00801EFC"/>
    <w:rsid w:val="008027D2"/>
    <w:rsid w:val="00802C0B"/>
    <w:rsid w:val="00802C9E"/>
    <w:rsid w:val="00803B43"/>
    <w:rsid w:val="00803BFA"/>
    <w:rsid w:val="00803C2C"/>
    <w:rsid w:val="00804753"/>
    <w:rsid w:val="00804E41"/>
    <w:rsid w:val="0080509E"/>
    <w:rsid w:val="008051FC"/>
    <w:rsid w:val="008055A9"/>
    <w:rsid w:val="008056C4"/>
    <w:rsid w:val="00805815"/>
    <w:rsid w:val="00805D8B"/>
    <w:rsid w:val="00807A83"/>
    <w:rsid w:val="00810525"/>
    <w:rsid w:val="00810E8E"/>
    <w:rsid w:val="00812686"/>
    <w:rsid w:val="00812C44"/>
    <w:rsid w:val="008135E1"/>
    <w:rsid w:val="00813779"/>
    <w:rsid w:val="00813A64"/>
    <w:rsid w:val="00813E26"/>
    <w:rsid w:val="00813E95"/>
    <w:rsid w:val="0081481D"/>
    <w:rsid w:val="00814BE8"/>
    <w:rsid w:val="00814DE5"/>
    <w:rsid w:val="00814F6E"/>
    <w:rsid w:val="00815B84"/>
    <w:rsid w:val="00815D2F"/>
    <w:rsid w:val="00816046"/>
    <w:rsid w:val="0081606F"/>
    <w:rsid w:val="00816B69"/>
    <w:rsid w:val="00816BE9"/>
    <w:rsid w:val="008172D6"/>
    <w:rsid w:val="0082080C"/>
    <w:rsid w:val="0082083F"/>
    <w:rsid w:val="0082131E"/>
    <w:rsid w:val="00822518"/>
    <w:rsid w:val="008226F5"/>
    <w:rsid w:val="00822ABF"/>
    <w:rsid w:val="00822FA3"/>
    <w:rsid w:val="00823171"/>
    <w:rsid w:val="0082343E"/>
    <w:rsid w:val="00823F9E"/>
    <w:rsid w:val="00823FC6"/>
    <w:rsid w:val="00824306"/>
    <w:rsid w:val="00825A62"/>
    <w:rsid w:val="00825C74"/>
    <w:rsid w:val="00825CFA"/>
    <w:rsid w:val="00825D61"/>
    <w:rsid w:val="00825FFC"/>
    <w:rsid w:val="008269B7"/>
    <w:rsid w:val="00826AB9"/>
    <w:rsid w:val="00826E0E"/>
    <w:rsid w:val="008270E3"/>
    <w:rsid w:val="0082782C"/>
    <w:rsid w:val="00827AF7"/>
    <w:rsid w:val="00827D11"/>
    <w:rsid w:val="00827E0F"/>
    <w:rsid w:val="00827F6E"/>
    <w:rsid w:val="008302F7"/>
    <w:rsid w:val="00830810"/>
    <w:rsid w:val="00830F25"/>
    <w:rsid w:val="00831758"/>
    <w:rsid w:val="008317D9"/>
    <w:rsid w:val="008321D6"/>
    <w:rsid w:val="008324B5"/>
    <w:rsid w:val="0083278A"/>
    <w:rsid w:val="0083279F"/>
    <w:rsid w:val="00832A5B"/>
    <w:rsid w:val="008334DB"/>
    <w:rsid w:val="00833B7F"/>
    <w:rsid w:val="00834367"/>
    <w:rsid w:val="00834906"/>
    <w:rsid w:val="0083592B"/>
    <w:rsid w:val="00835D71"/>
    <w:rsid w:val="00836075"/>
    <w:rsid w:val="00836417"/>
    <w:rsid w:val="00837526"/>
    <w:rsid w:val="008375B6"/>
    <w:rsid w:val="008407A7"/>
    <w:rsid w:val="0084144E"/>
    <w:rsid w:val="0084322B"/>
    <w:rsid w:val="0084389C"/>
    <w:rsid w:val="00843F81"/>
    <w:rsid w:val="00843F97"/>
    <w:rsid w:val="00844087"/>
    <w:rsid w:val="00844215"/>
    <w:rsid w:val="008448F1"/>
    <w:rsid w:val="0084519E"/>
    <w:rsid w:val="00845CAE"/>
    <w:rsid w:val="00846370"/>
    <w:rsid w:val="008465F8"/>
    <w:rsid w:val="00846F61"/>
    <w:rsid w:val="008477E7"/>
    <w:rsid w:val="00847C2B"/>
    <w:rsid w:val="008501C5"/>
    <w:rsid w:val="008506B9"/>
    <w:rsid w:val="00850B52"/>
    <w:rsid w:val="00850BBC"/>
    <w:rsid w:val="00851822"/>
    <w:rsid w:val="00851B0A"/>
    <w:rsid w:val="00851DB7"/>
    <w:rsid w:val="00852077"/>
    <w:rsid w:val="008532BF"/>
    <w:rsid w:val="0085348D"/>
    <w:rsid w:val="008539B2"/>
    <w:rsid w:val="00853BF4"/>
    <w:rsid w:val="008541FF"/>
    <w:rsid w:val="00854294"/>
    <w:rsid w:val="00854A54"/>
    <w:rsid w:val="008553F2"/>
    <w:rsid w:val="0085572E"/>
    <w:rsid w:val="00856028"/>
    <w:rsid w:val="008568DE"/>
    <w:rsid w:val="00856CF2"/>
    <w:rsid w:val="00857003"/>
    <w:rsid w:val="008575F4"/>
    <w:rsid w:val="0085788B"/>
    <w:rsid w:val="00857A9E"/>
    <w:rsid w:val="00857B1D"/>
    <w:rsid w:val="00857DE2"/>
    <w:rsid w:val="00860038"/>
    <w:rsid w:val="0086004A"/>
    <w:rsid w:val="00860E5A"/>
    <w:rsid w:val="0086244D"/>
    <w:rsid w:val="00862C7A"/>
    <w:rsid w:val="00862EEE"/>
    <w:rsid w:val="008630FD"/>
    <w:rsid w:val="0086367C"/>
    <w:rsid w:val="00863A8E"/>
    <w:rsid w:val="0086407F"/>
    <w:rsid w:val="008645E3"/>
    <w:rsid w:val="00864E79"/>
    <w:rsid w:val="00865E04"/>
    <w:rsid w:val="0086661F"/>
    <w:rsid w:val="00866A0D"/>
    <w:rsid w:val="00866DB5"/>
    <w:rsid w:val="0086701D"/>
    <w:rsid w:val="0086702B"/>
    <w:rsid w:val="008672E2"/>
    <w:rsid w:val="00867424"/>
    <w:rsid w:val="00867438"/>
    <w:rsid w:val="008677BA"/>
    <w:rsid w:val="0086784E"/>
    <w:rsid w:val="0087121C"/>
    <w:rsid w:val="0087182E"/>
    <w:rsid w:val="00871AB8"/>
    <w:rsid w:val="00872084"/>
    <w:rsid w:val="00872827"/>
    <w:rsid w:val="00872A32"/>
    <w:rsid w:val="00873AA9"/>
    <w:rsid w:val="00874911"/>
    <w:rsid w:val="008754E4"/>
    <w:rsid w:val="00875A67"/>
    <w:rsid w:val="00875CA3"/>
    <w:rsid w:val="00876809"/>
    <w:rsid w:val="008768C0"/>
    <w:rsid w:val="00876C74"/>
    <w:rsid w:val="00876EAE"/>
    <w:rsid w:val="008775E5"/>
    <w:rsid w:val="0087768D"/>
    <w:rsid w:val="00880106"/>
    <w:rsid w:val="008802B3"/>
    <w:rsid w:val="0088039D"/>
    <w:rsid w:val="00880E00"/>
    <w:rsid w:val="00880F95"/>
    <w:rsid w:val="008821DB"/>
    <w:rsid w:val="008822E9"/>
    <w:rsid w:val="00882B44"/>
    <w:rsid w:val="00882F12"/>
    <w:rsid w:val="00882F7E"/>
    <w:rsid w:val="008831F3"/>
    <w:rsid w:val="008838AD"/>
    <w:rsid w:val="008838F7"/>
    <w:rsid w:val="008853CB"/>
    <w:rsid w:val="00885943"/>
    <w:rsid w:val="00885E42"/>
    <w:rsid w:val="008864B3"/>
    <w:rsid w:val="008865E5"/>
    <w:rsid w:val="008871B0"/>
    <w:rsid w:val="00887991"/>
    <w:rsid w:val="00890394"/>
    <w:rsid w:val="00890704"/>
    <w:rsid w:val="00890759"/>
    <w:rsid w:val="00890B57"/>
    <w:rsid w:val="00891034"/>
    <w:rsid w:val="008916BA"/>
    <w:rsid w:val="008917C1"/>
    <w:rsid w:val="0089189F"/>
    <w:rsid w:val="0089217C"/>
    <w:rsid w:val="008922AA"/>
    <w:rsid w:val="008925D1"/>
    <w:rsid w:val="00892790"/>
    <w:rsid w:val="0089320D"/>
    <w:rsid w:val="00893671"/>
    <w:rsid w:val="008948D5"/>
    <w:rsid w:val="00895838"/>
    <w:rsid w:val="00895A1E"/>
    <w:rsid w:val="00895A72"/>
    <w:rsid w:val="00895CDF"/>
    <w:rsid w:val="00896679"/>
    <w:rsid w:val="00896D8C"/>
    <w:rsid w:val="00897888"/>
    <w:rsid w:val="008A0009"/>
    <w:rsid w:val="008A021C"/>
    <w:rsid w:val="008A047A"/>
    <w:rsid w:val="008A05A1"/>
    <w:rsid w:val="008A0FC9"/>
    <w:rsid w:val="008A1946"/>
    <w:rsid w:val="008A1956"/>
    <w:rsid w:val="008A1A7C"/>
    <w:rsid w:val="008A1B11"/>
    <w:rsid w:val="008A1B40"/>
    <w:rsid w:val="008A1F8B"/>
    <w:rsid w:val="008A2404"/>
    <w:rsid w:val="008A2BBE"/>
    <w:rsid w:val="008A2CE2"/>
    <w:rsid w:val="008A2DAE"/>
    <w:rsid w:val="008A3797"/>
    <w:rsid w:val="008A40D3"/>
    <w:rsid w:val="008A469C"/>
    <w:rsid w:val="008A51D1"/>
    <w:rsid w:val="008A581D"/>
    <w:rsid w:val="008A59F1"/>
    <w:rsid w:val="008A5BA2"/>
    <w:rsid w:val="008A5DCE"/>
    <w:rsid w:val="008A5FCB"/>
    <w:rsid w:val="008A62D4"/>
    <w:rsid w:val="008A6727"/>
    <w:rsid w:val="008A690B"/>
    <w:rsid w:val="008A6C02"/>
    <w:rsid w:val="008A75D3"/>
    <w:rsid w:val="008A763D"/>
    <w:rsid w:val="008B05DD"/>
    <w:rsid w:val="008B1263"/>
    <w:rsid w:val="008B13AD"/>
    <w:rsid w:val="008B15C7"/>
    <w:rsid w:val="008B17E8"/>
    <w:rsid w:val="008B27CF"/>
    <w:rsid w:val="008B284C"/>
    <w:rsid w:val="008B2E7C"/>
    <w:rsid w:val="008B3948"/>
    <w:rsid w:val="008B43A4"/>
    <w:rsid w:val="008B44C3"/>
    <w:rsid w:val="008B45F0"/>
    <w:rsid w:val="008B4A70"/>
    <w:rsid w:val="008B502F"/>
    <w:rsid w:val="008B564B"/>
    <w:rsid w:val="008B5A30"/>
    <w:rsid w:val="008B5D78"/>
    <w:rsid w:val="008B649C"/>
    <w:rsid w:val="008B6DFC"/>
    <w:rsid w:val="008B7075"/>
    <w:rsid w:val="008B7227"/>
    <w:rsid w:val="008C015D"/>
    <w:rsid w:val="008C04A7"/>
    <w:rsid w:val="008C04E0"/>
    <w:rsid w:val="008C0B9E"/>
    <w:rsid w:val="008C191C"/>
    <w:rsid w:val="008C1BF8"/>
    <w:rsid w:val="008C1DA4"/>
    <w:rsid w:val="008C29B0"/>
    <w:rsid w:val="008C2CD5"/>
    <w:rsid w:val="008C3130"/>
    <w:rsid w:val="008C3618"/>
    <w:rsid w:val="008C407D"/>
    <w:rsid w:val="008C40FA"/>
    <w:rsid w:val="008C41E4"/>
    <w:rsid w:val="008C431C"/>
    <w:rsid w:val="008C43AD"/>
    <w:rsid w:val="008C5E40"/>
    <w:rsid w:val="008C6118"/>
    <w:rsid w:val="008C6341"/>
    <w:rsid w:val="008C6EE0"/>
    <w:rsid w:val="008C731F"/>
    <w:rsid w:val="008C74D9"/>
    <w:rsid w:val="008D05F0"/>
    <w:rsid w:val="008D1A1D"/>
    <w:rsid w:val="008D2144"/>
    <w:rsid w:val="008D2501"/>
    <w:rsid w:val="008D2FD3"/>
    <w:rsid w:val="008D36FC"/>
    <w:rsid w:val="008D3B2D"/>
    <w:rsid w:val="008D3EAA"/>
    <w:rsid w:val="008D4302"/>
    <w:rsid w:val="008D4E24"/>
    <w:rsid w:val="008D58D9"/>
    <w:rsid w:val="008D5AD4"/>
    <w:rsid w:val="008D64FD"/>
    <w:rsid w:val="008D6DD5"/>
    <w:rsid w:val="008D6E59"/>
    <w:rsid w:val="008D7155"/>
    <w:rsid w:val="008E09FF"/>
    <w:rsid w:val="008E0B29"/>
    <w:rsid w:val="008E1286"/>
    <w:rsid w:val="008E141A"/>
    <w:rsid w:val="008E1A44"/>
    <w:rsid w:val="008E28E6"/>
    <w:rsid w:val="008E2F24"/>
    <w:rsid w:val="008E3232"/>
    <w:rsid w:val="008E3674"/>
    <w:rsid w:val="008E3B6C"/>
    <w:rsid w:val="008E3F2B"/>
    <w:rsid w:val="008E3F52"/>
    <w:rsid w:val="008E5467"/>
    <w:rsid w:val="008E562C"/>
    <w:rsid w:val="008E5CC2"/>
    <w:rsid w:val="008E7064"/>
    <w:rsid w:val="008E77D4"/>
    <w:rsid w:val="008E7ADD"/>
    <w:rsid w:val="008F091F"/>
    <w:rsid w:val="008F0E50"/>
    <w:rsid w:val="008F10D1"/>
    <w:rsid w:val="008F17B2"/>
    <w:rsid w:val="008F1F4F"/>
    <w:rsid w:val="008F22B3"/>
    <w:rsid w:val="008F25B1"/>
    <w:rsid w:val="008F2D3A"/>
    <w:rsid w:val="008F2F7A"/>
    <w:rsid w:val="008F34D6"/>
    <w:rsid w:val="008F357B"/>
    <w:rsid w:val="008F44CA"/>
    <w:rsid w:val="008F49D3"/>
    <w:rsid w:val="008F4D7B"/>
    <w:rsid w:val="008F6519"/>
    <w:rsid w:val="008F6A59"/>
    <w:rsid w:val="008F6D04"/>
    <w:rsid w:val="008F7012"/>
    <w:rsid w:val="008F7ADA"/>
    <w:rsid w:val="008F7B17"/>
    <w:rsid w:val="00900042"/>
    <w:rsid w:val="0090034B"/>
    <w:rsid w:val="00901389"/>
    <w:rsid w:val="00901806"/>
    <w:rsid w:val="00901BBC"/>
    <w:rsid w:val="00901D87"/>
    <w:rsid w:val="00902623"/>
    <w:rsid w:val="009027E0"/>
    <w:rsid w:val="00902A67"/>
    <w:rsid w:val="00903179"/>
    <w:rsid w:val="00903501"/>
    <w:rsid w:val="009040DF"/>
    <w:rsid w:val="00904265"/>
    <w:rsid w:val="00904BE4"/>
    <w:rsid w:val="0090504A"/>
    <w:rsid w:val="0090516E"/>
    <w:rsid w:val="009051F5"/>
    <w:rsid w:val="00905221"/>
    <w:rsid w:val="00905A7C"/>
    <w:rsid w:val="00905D7E"/>
    <w:rsid w:val="00907037"/>
    <w:rsid w:val="0091112C"/>
    <w:rsid w:val="0091160A"/>
    <w:rsid w:val="00911FC9"/>
    <w:rsid w:val="00912E04"/>
    <w:rsid w:val="00913258"/>
    <w:rsid w:val="009139D4"/>
    <w:rsid w:val="00913BB0"/>
    <w:rsid w:val="0091456C"/>
    <w:rsid w:val="00914C58"/>
    <w:rsid w:val="0091564D"/>
    <w:rsid w:val="009156DA"/>
    <w:rsid w:val="00915774"/>
    <w:rsid w:val="009162EF"/>
    <w:rsid w:val="00916BC5"/>
    <w:rsid w:val="00916DD2"/>
    <w:rsid w:val="0091726A"/>
    <w:rsid w:val="00917C01"/>
    <w:rsid w:val="00920184"/>
    <w:rsid w:val="009209E2"/>
    <w:rsid w:val="00920A5F"/>
    <w:rsid w:val="00920EA4"/>
    <w:rsid w:val="00920EFA"/>
    <w:rsid w:val="0092138C"/>
    <w:rsid w:val="00921792"/>
    <w:rsid w:val="00921BEA"/>
    <w:rsid w:val="0092209F"/>
    <w:rsid w:val="00923179"/>
    <w:rsid w:val="009238FD"/>
    <w:rsid w:val="00923998"/>
    <w:rsid w:val="00923DB4"/>
    <w:rsid w:val="0092420B"/>
    <w:rsid w:val="0092430E"/>
    <w:rsid w:val="0092456F"/>
    <w:rsid w:val="00924758"/>
    <w:rsid w:val="00925AA4"/>
    <w:rsid w:val="00925D3E"/>
    <w:rsid w:val="00926112"/>
    <w:rsid w:val="0092625F"/>
    <w:rsid w:val="00926457"/>
    <w:rsid w:val="0092650B"/>
    <w:rsid w:val="009268B9"/>
    <w:rsid w:val="00926B28"/>
    <w:rsid w:val="00926D9C"/>
    <w:rsid w:val="00926ED8"/>
    <w:rsid w:val="00927028"/>
    <w:rsid w:val="00927763"/>
    <w:rsid w:val="00927A2D"/>
    <w:rsid w:val="00927B37"/>
    <w:rsid w:val="009321B1"/>
    <w:rsid w:val="0093279D"/>
    <w:rsid w:val="00932ED7"/>
    <w:rsid w:val="0093422D"/>
    <w:rsid w:val="00934237"/>
    <w:rsid w:val="009346CC"/>
    <w:rsid w:val="0093483B"/>
    <w:rsid w:val="00934CF9"/>
    <w:rsid w:val="00934DD7"/>
    <w:rsid w:val="00935905"/>
    <w:rsid w:val="00935C84"/>
    <w:rsid w:val="0093645D"/>
    <w:rsid w:val="009364F3"/>
    <w:rsid w:val="009366C5"/>
    <w:rsid w:val="009369A9"/>
    <w:rsid w:val="00936CF7"/>
    <w:rsid w:val="00936DAE"/>
    <w:rsid w:val="00937783"/>
    <w:rsid w:val="00937EAD"/>
    <w:rsid w:val="00937F28"/>
    <w:rsid w:val="00940A74"/>
    <w:rsid w:val="00940FE1"/>
    <w:rsid w:val="00941087"/>
    <w:rsid w:val="00942306"/>
    <w:rsid w:val="009424B8"/>
    <w:rsid w:val="009426C9"/>
    <w:rsid w:val="00942B18"/>
    <w:rsid w:val="00942D84"/>
    <w:rsid w:val="00942E14"/>
    <w:rsid w:val="009442A7"/>
    <w:rsid w:val="00944668"/>
    <w:rsid w:val="009448E4"/>
    <w:rsid w:val="00944AE8"/>
    <w:rsid w:val="00944DC6"/>
    <w:rsid w:val="0094581C"/>
    <w:rsid w:val="009458B0"/>
    <w:rsid w:val="009459C7"/>
    <w:rsid w:val="00945B2C"/>
    <w:rsid w:val="00945B52"/>
    <w:rsid w:val="00945B7A"/>
    <w:rsid w:val="00945F05"/>
    <w:rsid w:val="00945FB2"/>
    <w:rsid w:val="009461CB"/>
    <w:rsid w:val="00946348"/>
    <w:rsid w:val="009466F0"/>
    <w:rsid w:val="009467EC"/>
    <w:rsid w:val="00947308"/>
    <w:rsid w:val="00947797"/>
    <w:rsid w:val="009478A2"/>
    <w:rsid w:val="00947A97"/>
    <w:rsid w:val="00950066"/>
    <w:rsid w:val="00951467"/>
    <w:rsid w:val="00951784"/>
    <w:rsid w:val="00951C58"/>
    <w:rsid w:val="00951DC2"/>
    <w:rsid w:val="00952796"/>
    <w:rsid w:val="009532B9"/>
    <w:rsid w:val="009539A6"/>
    <w:rsid w:val="00953C13"/>
    <w:rsid w:val="00954032"/>
    <w:rsid w:val="0095408B"/>
    <w:rsid w:val="00955FBB"/>
    <w:rsid w:val="0095675A"/>
    <w:rsid w:val="0095694B"/>
    <w:rsid w:val="00956BD5"/>
    <w:rsid w:val="00956D84"/>
    <w:rsid w:val="009577B5"/>
    <w:rsid w:val="00957BD1"/>
    <w:rsid w:val="009608E6"/>
    <w:rsid w:val="00960F57"/>
    <w:rsid w:val="00960FB1"/>
    <w:rsid w:val="00961C90"/>
    <w:rsid w:val="009629AE"/>
    <w:rsid w:val="00962CB9"/>
    <w:rsid w:val="009640BA"/>
    <w:rsid w:val="00964A5C"/>
    <w:rsid w:val="00964B56"/>
    <w:rsid w:val="00964D38"/>
    <w:rsid w:val="00965276"/>
    <w:rsid w:val="00965443"/>
    <w:rsid w:val="00965954"/>
    <w:rsid w:val="00965E55"/>
    <w:rsid w:val="0096608E"/>
    <w:rsid w:val="00966522"/>
    <w:rsid w:val="00966C33"/>
    <w:rsid w:val="00966E09"/>
    <w:rsid w:val="009706C9"/>
    <w:rsid w:val="00970F18"/>
    <w:rsid w:val="00971CF1"/>
    <w:rsid w:val="00971CF5"/>
    <w:rsid w:val="00971F5D"/>
    <w:rsid w:val="009721E9"/>
    <w:rsid w:val="00973399"/>
    <w:rsid w:val="0097347E"/>
    <w:rsid w:val="0097369A"/>
    <w:rsid w:val="00973772"/>
    <w:rsid w:val="00974F2A"/>
    <w:rsid w:val="00975551"/>
    <w:rsid w:val="0097569E"/>
    <w:rsid w:val="00975E1E"/>
    <w:rsid w:val="00975E38"/>
    <w:rsid w:val="00975E70"/>
    <w:rsid w:val="009761DE"/>
    <w:rsid w:val="009766FA"/>
    <w:rsid w:val="00977701"/>
    <w:rsid w:val="00977B25"/>
    <w:rsid w:val="00977CD6"/>
    <w:rsid w:val="00977D7A"/>
    <w:rsid w:val="00980DF9"/>
    <w:rsid w:val="0098243D"/>
    <w:rsid w:val="00982D26"/>
    <w:rsid w:val="00983B6E"/>
    <w:rsid w:val="00983CC4"/>
    <w:rsid w:val="00983FE5"/>
    <w:rsid w:val="009848A6"/>
    <w:rsid w:val="009849E9"/>
    <w:rsid w:val="00984A24"/>
    <w:rsid w:val="009859E4"/>
    <w:rsid w:val="00985CC2"/>
    <w:rsid w:val="009868E7"/>
    <w:rsid w:val="00987146"/>
    <w:rsid w:val="00987812"/>
    <w:rsid w:val="00990225"/>
    <w:rsid w:val="00990C05"/>
    <w:rsid w:val="009920BB"/>
    <w:rsid w:val="00992A13"/>
    <w:rsid w:val="00992DC7"/>
    <w:rsid w:val="00993153"/>
    <w:rsid w:val="00994A01"/>
    <w:rsid w:val="00994AAD"/>
    <w:rsid w:val="00995150"/>
    <w:rsid w:val="00995B44"/>
    <w:rsid w:val="00995D67"/>
    <w:rsid w:val="00995DEB"/>
    <w:rsid w:val="00995E5F"/>
    <w:rsid w:val="00996479"/>
    <w:rsid w:val="00996ABD"/>
    <w:rsid w:val="00996D55"/>
    <w:rsid w:val="009A013B"/>
    <w:rsid w:val="009A02F4"/>
    <w:rsid w:val="009A06BF"/>
    <w:rsid w:val="009A0CA1"/>
    <w:rsid w:val="009A0D17"/>
    <w:rsid w:val="009A2438"/>
    <w:rsid w:val="009A2494"/>
    <w:rsid w:val="009A2691"/>
    <w:rsid w:val="009A32B1"/>
    <w:rsid w:val="009A36F2"/>
    <w:rsid w:val="009A3C58"/>
    <w:rsid w:val="009A3F71"/>
    <w:rsid w:val="009A40C3"/>
    <w:rsid w:val="009A40D5"/>
    <w:rsid w:val="009A56DD"/>
    <w:rsid w:val="009A57D0"/>
    <w:rsid w:val="009A5D9A"/>
    <w:rsid w:val="009A6559"/>
    <w:rsid w:val="009A68FC"/>
    <w:rsid w:val="009A6CE4"/>
    <w:rsid w:val="009A6D97"/>
    <w:rsid w:val="009A6E31"/>
    <w:rsid w:val="009A7069"/>
    <w:rsid w:val="009A7514"/>
    <w:rsid w:val="009A7E7A"/>
    <w:rsid w:val="009B1584"/>
    <w:rsid w:val="009B15BF"/>
    <w:rsid w:val="009B17F1"/>
    <w:rsid w:val="009B18F0"/>
    <w:rsid w:val="009B2471"/>
    <w:rsid w:val="009B2F5E"/>
    <w:rsid w:val="009B314F"/>
    <w:rsid w:val="009B439C"/>
    <w:rsid w:val="009B489B"/>
    <w:rsid w:val="009B4A6C"/>
    <w:rsid w:val="009B4DA8"/>
    <w:rsid w:val="009B4E73"/>
    <w:rsid w:val="009B615A"/>
    <w:rsid w:val="009B620C"/>
    <w:rsid w:val="009B6652"/>
    <w:rsid w:val="009B6753"/>
    <w:rsid w:val="009B676C"/>
    <w:rsid w:val="009B6A26"/>
    <w:rsid w:val="009B6D2D"/>
    <w:rsid w:val="009B7AC5"/>
    <w:rsid w:val="009C079D"/>
    <w:rsid w:val="009C0D70"/>
    <w:rsid w:val="009C13D1"/>
    <w:rsid w:val="009C1896"/>
    <w:rsid w:val="009C1C3C"/>
    <w:rsid w:val="009C2913"/>
    <w:rsid w:val="009C2AC3"/>
    <w:rsid w:val="009C2BD4"/>
    <w:rsid w:val="009C353C"/>
    <w:rsid w:val="009C5A70"/>
    <w:rsid w:val="009C5AFE"/>
    <w:rsid w:val="009C6325"/>
    <w:rsid w:val="009C6606"/>
    <w:rsid w:val="009C66EB"/>
    <w:rsid w:val="009C6CE5"/>
    <w:rsid w:val="009C6D50"/>
    <w:rsid w:val="009C7547"/>
    <w:rsid w:val="009C774F"/>
    <w:rsid w:val="009C7979"/>
    <w:rsid w:val="009C7DB6"/>
    <w:rsid w:val="009C7E6D"/>
    <w:rsid w:val="009C7EBF"/>
    <w:rsid w:val="009D05EC"/>
    <w:rsid w:val="009D0D0B"/>
    <w:rsid w:val="009D18D4"/>
    <w:rsid w:val="009D2276"/>
    <w:rsid w:val="009D25AD"/>
    <w:rsid w:val="009D2F60"/>
    <w:rsid w:val="009D3A2E"/>
    <w:rsid w:val="009D4140"/>
    <w:rsid w:val="009D4177"/>
    <w:rsid w:val="009D4D49"/>
    <w:rsid w:val="009D51EE"/>
    <w:rsid w:val="009D5982"/>
    <w:rsid w:val="009D5ADE"/>
    <w:rsid w:val="009D5BAC"/>
    <w:rsid w:val="009D5C56"/>
    <w:rsid w:val="009D6265"/>
    <w:rsid w:val="009D64BD"/>
    <w:rsid w:val="009D6BF0"/>
    <w:rsid w:val="009D6CB1"/>
    <w:rsid w:val="009D768F"/>
    <w:rsid w:val="009D7730"/>
    <w:rsid w:val="009E0286"/>
    <w:rsid w:val="009E153F"/>
    <w:rsid w:val="009E19CD"/>
    <w:rsid w:val="009E322A"/>
    <w:rsid w:val="009E393E"/>
    <w:rsid w:val="009E3A42"/>
    <w:rsid w:val="009E3F00"/>
    <w:rsid w:val="009E4224"/>
    <w:rsid w:val="009E444E"/>
    <w:rsid w:val="009E4831"/>
    <w:rsid w:val="009E4968"/>
    <w:rsid w:val="009E500A"/>
    <w:rsid w:val="009E663C"/>
    <w:rsid w:val="009E684A"/>
    <w:rsid w:val="009E6BB1"/>
    <w:rsid w:val="009E6E14"/>
    <w:rsid w:val="009E7543"/>
    <w:rsid w:val="009E7D93"/>
    <w:rsid w:val="009F0494"/>
    <w:rsid w:val="009F0687"/>
    <w:rsid w:val="009F0860"/>
    <w:rsid w:val="009F0CD9"/>
    <w:rsid w:val="009F0D7A"/>
    <w:rsid w:val="009F174B"/>
    <w:rsid w:val="009F1A79"/>
    <w:rsid w:val="009F1EB3"/>
    <w:rsid w:val="009F1F57"/>
    <w:rsid w:val="009F22F5"/>
    <w:rsid w:val="009F2DDD"/>
    <w:rsid w:val="009F3447"/>
    <w:rsid w:val="009F37CC"/>
    <w:rsid w:val="009F3C82"/>
    <w:rsid w:val="009F4B2E"/>
    <w:rsid w:val="009F55D0"/>
    <w:rsid w:val="009F566E"/>
    <w:rsid w:val="009F6156"/>
    <w:rsid w:val="009F65F4"/>
    <w:rsid w:val="009F676B"/>
    <w:rsid w:val="009F6B01"/>
    <w:rsid w:val="009F6D2D"/>
    <w:rsid w:val="009F6D54"/>
    <w:rsid w:val="00A0011A"/>
    <w:rsid w:val="00A004DF"/>
    <w:rsid w:val="00A00ED7"/>
    <w:rsid w:val="00A00FD5"/>
    <w:rsid w:val="00A0104D"/>
    <w:rsid w:val="00A010CE"/>
    <w:rsid w:val="00A019A8"/>
    <w:rsid w:val="00A01B03"/>
    <w:rsid w:val="00A01B89"/>
    <w:rsid w:val="00A02B7A"/>
    <w:rsid w:val="00A02C66"/>
    <w:rsid w:val="00A02C84"/>
    <w:rsid w:val="00A03C49"/>
    <w:rsid w:val="00A04407"/>
    <w:rsid w:val="00A045BC"/>
    <w:rsid w:val="00A0464C"/>
    <w:rsid w:val="00A050BB"/>
    <w:rsid w:val="00A05496"/>
    <w:rsid w:val="00A054E0"/>
    <w:rsid w:val="00A05D91"/>
    <w:rsid w:val="00A07155"/>
    <w:rsid w:val="00A0740B"/>
    <w:rsid w:val="00A07A01"/>
    <w:rsid w:val="00A07D60"/>
    <w:rsid w:val="00A07ED3"/>
    <w:rsid w:val="00A10CA8"/>
    <w:rsid w:val="00A11042"/>
    <w:rsid w:val="00A11503"/>
    <w:rsid w:val="00A12579"/>
    <w:rsid w:val="00A12846"/>
    <w:rsid w:val="00A128B6"/>
    <w:rsid w:val="00A128F3"/>
    <w:rsid w:val="00A133D8"/>
    <w:rsid w:val="00A145A3"/>
    <w:rsid w:val="00A14D42"/>
    <w:rsid w:val="00A15655"/>
    <w:rsid w:val="00A1740C"/>
    <w:rsid w:val="00A17FF3"/>
    <w:rsid w:val="00A20069"/>
    <w:rsid w:val="00A2035A"/>
    <w:rsid w:val="00A2113D"/>
    <w:rsid w:val="00A213BC"/>
    <w:rsid w:val="00A2244D"/>
    <w:rsid w:val="00A2253D"/>
    <w:rsid w:val="00A22D47"/>
    <w:rsid w:val="00A23C65"/>
    <w:rsid w:val="00A247B8"/>
    <w:rsid w:val="00A2495A"/>
    <w:rsid w:val="00A24ADA"/>
    <w:rsid w:val="00A24C7A"/>
    <w:rsid w:val="00A24D8F"/>
    <w:rsid w:val="00A24F4E"/>
    <w:rsid w:val="00A255F2"/>
    <w:rsid w:val="00A25B8B"/>
    <w:rsid w:val="00A25BF9"/>
    <w:rsid w:val="00A2689F"/>
    <w:rsid w:val="00A26ECA"/>
    <w:rsid w:val="00A27461"/>
    <w:rsid w:val="00A27C86"/>
    <w:rsid w:val="00A3082A"/>
    <w:rsid w:val="00A309D3"/>
    <w:rsid w:val="00A30ABC"/>
    <w:rsid w:val="00A31381"/>
    <w:rsid w:val="00A31CE3"/>
    <w:rsid w:val="00A321A9"/>
    <w:rsid w:val="00A32D7B"/>
    <w:rsid w:val="00A32D8D"/>
    <w:rsid w:val="00A3353D"/>
    <w:rsid w:val="00A33800"/>
    <w:rsid w:val="00A34304"/>
    <w:rsid w:val="00A3467F"/>
    <w:rsid w:val="00A34B4C"/>
    <w:rsid w:val="00A35030"/>
    <w:rsid w:val="00A3551A"/>
    <w:rsid w:val="00A369E4"/>
    <w:rsid w:val="00A36E04"/>
    <w:rsid w:val="00A37209"/>
    <w:rsid w:val="00A37584"/>
    <w:rsid w:val="00A376E8"/>
    <w:rsid w:val="00A37E33"/>
    <w:rsid w:val="00A37F8E"/>
    <w:rsid w:val="00A40612"/>
    <w:rsid w:val="00A41063"/>
    <w:rsid w:val="00A41537"/>
    <w:rsid w:val="00A41737"/>
    <w:rsid w:val="00A41F4F"/>
    <w:rsid w:val="00A41F96"/>
    <w:rsid w:val="00A42A5F"/>
    <w:rsid w:val="00A42B8F"/>
    <w:rsid w:val="00A42D8E"/>
    <w:rsid w:val="00A43241"/>
    <w:rsid w:val="00A43254"/>
    <w:rsid w:val="00A43896"/>
    <w:rsid w:val="00A43A26"/>
    <w:rsid w:val="00A43C30"/>
    <w:rsid w:val="00A43CFC"/>
    <w:rsid w:val="00A44739"/>
    <w:rsid w:val="00A447A0"/>
    <w:rsid w:val="00A44EC5"/>
    <w:rsid w:val="00A459F5"/>
    <w:rsid w:val="00A45CA4"/>
    <w:rsid w:val="00A45FC0"/>
    <w:rsid w:val="00A47ECC"/>
    <w:rsid w:val="00A50171"/>
    <w:rsid w:val="00A503CA"/>
    <w:rsid w:val="00A504C3"/>
    <w:rsid w:val="00A504FA"/>
    <w:rsid w:val="00A50D46"/>
    <w:rsid w:val="00A5102E"/>
    <w:rsid w:val="00A5132E"/>
    <w:rsid w:val="00A51375"/>
    <w:rsid w:val="00A51533"/>
    <w:rsid w:val="00A51A44"/>
    <w:rsid w:val="00A531D4"/>
    <w:rsid w:val="00A54572"/>
    <w:rsid w:val="00A55300"/>
    <w:rsid w:val="00A5586B"/>
    <w:rsid w:val="00A56456"/>
    <w:rsid w:val="00A56DB4"/>
    <w:rsid w:val="00A574C9"/>
    <w:rsid w:val="00A575B8"/>
    <w:rsid w:val="00A600F5"/>
    <w:rsid w:val="00A60274"/>
    <w:rsid w:val="00A61071"/>
    <w:rsid w:val="00A616B4"/>
    <w:rsid w:val="00A61C60"/>
    <w:rsid w:val="00A61ECB"/>
    <w:rsid w:val="00A62528"/>
    <w:rsid w:val="00A62928"/>
    <w:rsid w:val="00A62C0B"/>
    <w:rsid w:val="00A62E93"/>
    <w:rsid w:val="00A63002"/>
    <w:rsid w:val="00A630EC"/>
    <w:rsid w:val="00A6410C"/>
    <w:rsid w:val="00A64742"/>
    <w:rsid w:val="00A647B1"/>
    <w:rsid w:val="00A647CA"/>
    <w:rsid w:val="00A64D2A"/>
    <w:rsid w:val="00A64DEF"/>
    <w:rsid w:val="00A654D2"/>
    <w:rsid w:val="00A65F33"/>
    <w:rsid w:val="00A665DF"/>
    <w:rsid w:val="00A66ABC"/>
    <w:rsid w:val="00A67934"/>
    <w:rsid w:val="00A67FCC"/>
    <w:rsid w:val="00A70AA5"/>
    <w:rsid w:val="00A70C03"/>
    <w:rsid w:val="00A70ECB"/>
    <w:rsid w:val="00A71256"/>
    <w:rsid w:val="00A71B72"/>
    <w:rsid w:val="00A7217B"/>
    <w:rsid w:val="00A737EE"/>
    <w:rsid w:val="00A73861"/>
    <w:rsid w:val="00A739A6"/>
    <w:rsid w:val="00A740ED"/>
    <w:rsid w:val="00A74189"/>
    <w:rsid w:val="00A74C62"/>
    <w:rsid w:val="00A75EF9"/>
    <w:rsid w:val="00A76D8B"/>
    <w:rsid w:val="00A80230"/>
    <w:rsid w:val="00A802E1"/>
    <w:rsid w:val="00A803D4"/>
    <w:rsid w:val="00A817FD"/>
    <w:rsid w:val="00A81F88"/>
    <w:rsid w:val="00A82149"/>
    <w:rsid w:val="00A8311C"/>
    <w:rsid w:val="00A833B3"/>
    <w:rsid w:val="00A835D0"/>
    <w:rsid w:val="00A83773"/>
    <w:rsid w:val="00A844FF"/>
    <w:rsid w:val="00A846C7"/>
    <w:rsid w:val="00A8479C"/>
    <w:rsid w:val="00A84C5F"/>
    <w:rsid w:val="00A84DC1"/>
    <w:rsid w:val="00A85930"/>
    <w:rsid w:val="00A85A37"/>
    <w:rsid w:val="00A863F7"/>
    <w:rsid w:val="00A86604"/>
    <w:rsid w:val="00A8718B"/>
    <w:rsid w:val="00A871B4"/>
    <w:rsid w:val="00A87519"/>
    <w:rsid w:val="00A87538"/>
    <w:rsid w:val="00A877A2"/>
    <w:rsid w:val="00A87D86"/>
    <w:rsid w:val="00A90E3A"/>
    <w:rsid w:val="00A9246D"/>
    <w:rsid w:val="00A93901"/>
    <w:rsid w:val="00A93938"/>
    <w:rsid w:val="00A939C8"/>
    <w:rsid w:val="00A93BD0"/>
    <w:rsid w:val="00A93CB0"/>
    <w:rsid w:val="00A93CC2"/>
    <w:rsid w:val="00A94CBC"/>
    <w:rsid w:val="00A9666D"/>
    <w:rsid w:val="00A974CC"/>
    <w:rsid w:val="00A978A8"/>
    <w:rsid w:val="00A97E93"/>
    <w:rsid w:val="00AA007D"/>
    <w:rsid w:val="00AA0AAF"/>
    <w:rsid w:val="00AA0CFB"/>
    <w:rsid w:val="00AA1A46"/>
    <w:rsid w:val="00AA1EB4"/>
    <w:rsid w:val="00AA2001"/>
    <w:rsid w:val="00AA21AE"/>
    <w:rsid w:val="00AA243C"/>
    <w:rsid w:val="00AA2B5C"/>
    <w:rsid w:val="00AA32D2"/>
    <w:rsid w:val="00AA33B8"/>
    <w:rsid w:val="00AA385B"/>
    <w:rsid w:val="00AA4016"/>
    <w:rsid w:val="00AA4C1F"/>
    <w:rsid w:val="00AA5328"/>
    <w:rsid w:val="00AA5393"/>
    <w:rsid w:val="00AA63D4"/>
    <w:rsid w:val="00AA7561"/>
    <w:rsid w:val="00AA7F1E"/>
    <w:rsid w:val="00AB03FD"/>
    <w:rsid w:val="00AB09EC"/>
    <w:rsid w:val="00AB0CAA"/>
    <w:rsid w:val="00AB167E"/>
    <w:rsid w:val="00AB2000"/>
    <w:rsid w:val="00AB2824"/>
    <w:rsid w:val="00AB282C"/>
    <w:rsid w:val="00AB2F57"/>
    <w:rsid w:val="00AB38CB"/>
    <w:rsid w:val="00AB3BEC"/>
    <w:rsid w:val="00AB425E"/>
    <w:rsid w:val="00AB44E4"/>
    <w:rsid w:val="00AB4AEB"/>
    <w:rsid w:val="00AB4E5F"/>
    <w:rsid w:val="00AB5352"/>
    <w:rsid w:val="00AB569B"/>
    <w:rsid w:val="00AB56AE"/>
    <w:rsid w:val="00AB5745"/>
    <w:rsid w:val="00AB5D0E"/>
    <w:rsid w:val="00AB62D5"/>
    <w:rsid w:val="00AB65B5"/>
    <w:rsid w:val="00AB661F"/>
    <w:rsid w:val="00AB6B8F"/>
    <w:rsid w:val="00AB6DCD"/>
    <w:rsid w:val="00AB6EE0"/>
    <w:rsid w:val="00AB7BA1"/>
    <w:rsid w:val="00AC0298"/>
    <w:rsid w:val="00AC0472"/>
    <w:rsid w:val="00AC0516"/>
    <w:rsid w:val="00AC1418"/>
    <w:rsid w:val="00AC1432"/>
    <w:rsid w:val="00AC17A2"/>
    <w:rsid w:val="00AC1A74"/>
    <w:rsid w:val="00AC40B7"/>
    <w:rsid w:val="00AC43F5"/>
    <w:rsid w:val="00AC531F"/>
    <w:rsid w:val="00AC5B36"/>
    <w:rsid w:val="00AC62ED"/>
    <w:rsid w:val="00AC6377"/>
    <w:rsid w:val="00AC6450"/>
    <w:rsid w:val="00AC66A4"/>
    <w:rsid w:val="00AC6CB1"/>
    <w:rsid w:val="00AC7353"/>
    <w:rsid w:val="00AC735F"/>
    <w:rsid w:val="00AC7D6D"/>
    <w:rsid w:val="00AD0091"/>
    <w:rsid w:val="00AD23EF"/>
    <w:rsid w:val="00AD2578"/>
    <w:rsid w:val="00AD2662"/>
    <w:rsid w:val="00AD2A90"/>
    <w:rsid w:val="00AD2B01"/>
    <w:rsid w:val="00AD307B"/>
    <w:rsid w:val="00AD4014"/>
    <w:rsid w:val="00AD41B3"/>
    <w:rsid w:val="00AD4511"/>
    <w:rsid w:val="00AD5059"/>
    <w:rsid w:val="00AD5455"/>
    <w:rsid w:val="00AD5D51"/>
    <w:rsid w:val="00AD69F0"/>
    <w:rsid w:val="00AD7127"/>
    <w:rsid w:val="00AD730C"/>
    <w:rsid w:val="00AD73D4"/>
    <w:rsid w:val="00AD75BD"/>
    <w:rsid w:val="00AE060D"/>
    <w:rsid w:val="00AE123A"/>
    <w:rsid w:val="00AE1539"/>
    <w:rsid w:val="00AE28A7"/>
    <w:rsid w:val="00AE2A98"/>
    <w:rsid w:val="00AE2CF2"/>
    <w:rsid w:val="00AE2F5D"/>
    <w:rsid w:val="00AE3012"/>
    <w:rsid w:val="00AE312C"/>
    <w:rsid w:val="00AE33A6"/>
    <w:rsid w:val="00AE3729"/>
    <w:rsid w:val="00AE47A3"/>
    <w:rsid w:val="00AE4CCE"/>
    <w:rsid w:val="00AE501F"/>
    <w:rsid w:val="00AE559F"/>
    <w:rsid w:val="00AE567A"/>
    <w:rsid w:val="00AE56D5"/>
    <w:rsid w:val="00AE5C6A"/>
    <w:rsid w:val="00AE63C0"/>
    <w:rsid w:val="00AE6E87"/>
    <w:rsid w:val="00AE7280"/>
    <w:rsid w:val="00AE76E4"/>
    <w:rsid w:val="00AE7C1C"/>
    <w:rsid w:val="00AF033A"/>
    <w:rsid w:val="00AF1521"/>
    <w:rsid w:val="00AF1699"/>
    <w:rsid w:val="00AF16ED"/>
    <w:rsid w:val="00AF1FD3"/>
    <w:rsid w:val="00AF1FFC"/>
    <w:rsid w:val="00AF2910"/>
    <w:rsid w:val="00AF34B8"/>
    <w:rsid w:val="00AF36A1"/>
    <w:rsid w:val="00AF36D6"/>
    <w:rsid w:val="00AF3896"/>
    <w:rsid w:val="00AF3911"/>
    <w:rsid w:val="00AF3FC2"/>
    <w:rsid w:val="00AF4105"/>
    <w:rsid w:val="00AF4CC9"/>
    <w:rsid w:val="00AF5134"/>
    <w:rsid w:val="00AF5382"/>
    <w:rsid w:val="00AF55A9"/>
    <w:rsid w:val="00AF6BAF"/>
    <w:rsid w:val="00AF7193"/>
    <w:rsid w:val="00B0098A"/>
    <w:rsid w:val="00B00A5F"/>
    <w:rsid w:val="00B014D9"/>
    <w:rsid w:val="00B01894"/>
    <w:rsid w:val="00B029B8"/>
    <w:rsid w:val="00B02F60"/>
    <w:rsid w:val="00B032B8"/>
    <w:rsid w:val="00B03DCD"/>
    <w:rsid w:val="00B04539"/>
    <w:rsid w:val="00B0455C"/>
    <w:rsid w:val="00B046AF"/>
    <w:rsid w:val="00B04B15"/>
    <w:rsid w:val="00B04B46"/>
    <w:rsid w:val="00B0534D"/>
    <w:rsid w:val="00B054A1"/>
    <w:rsid w:val="00B05685"/>
    <w:rsid w:val="00B05D1A"/>
    <w:rsid w:val="00B05F9F"/>
    <w:rsid w:val="00B06024"/>
    <w:rsid w:val="00B06368"/>
    <w:rsid w:val="00B06695"/>
    <w:rsid w:val="00B068DA"/>
    <w:rsid w:val="00B06FC6"/>
    <w:rsid w:val="00B07281"/>
    <w:rsid w:val="00B074C9"/>
    <w:rsid w:val="00B07B3E"/>
    <w:rsid w:val="00B07D9D"/>
    <w:rsid w:val="00B10933"/>
    <w:rsid w:val="00B11AE5"/>
    <w:rsid w:val="00B11B06"/>
    <w:rsid w:val="00B12133"/>
    <w:rsid w:val="00B12170"/>
    <w:rsid w:val="00B12D2E"/>
    <w:rsid w:val="00B12FE6"/>
    <w:rsid w:val="00B1303F"/>
    <w:rsid w:val="00B13589"/>
    <w:rsid w:val="00B1364A"/>
    <w:rsid w:val="00B13859"/>
    <w:rsid w:val="00B14319"/>
    <w:rsid w:val="00B14875"/>
    <w:rsid w:val="00B148A4"/>
    <w:rsid w:val="00B14A06"/>
    <w:rsid w:val="00B14D80"/>
    <w:rsid w:val="00B158E1"/>
    <w:rsid w:val="00B16337"/>
    <w:rsid w:val="00B16715"/>
    <w:rsid w:val="00B169E0"/>
    <w:rsid w:val="00B1768E"/>
    <w:rsid w:val="00B1778A"/>
    <w:rsid w:val="00B17910"/>
    <w:rsid w:val="00B17F0C"/>
    <w:rsid w:val="00B20BDC"/>
    <w:rsid w:val="00B20F04"/>
    <w:rsid w:val="00B20F18"/>
    <w:rsid w:val="00B21516"/>
    <w:rsid w:val="00B21A37"/>
    <w:rsid w:val="00B21F62"/>
    <w:rsid w:val="00B220CA"/>
    <w:rsid w:val="00B22AD6"/>
    <w:rsid w:val="00B22CE0"/>
    <w:rsid w:val="00B233DF"/>
    <w:rsid w:val="00B23738"/>
    <w:rsid w:val="00B23BEF"/>
    <w:rsid w:val="00B247BB"/>
    <w:rsid w:val="00B2504A"/>
    <w:rsid w:val="00B25EE6"/>
    <w:rsid w:val="00B2708B"/>
    <w:rsid w:val="00B27FE2"/>
    <w:rsid w:val="00B30296"/>
    <w:rsid w:val="00B308CE"/>
    <w:rsid w:val="00B3115A"/>
    <w:rsid w:val="00B31825"/>
    <w:rsid w:val="00B31A5C"/>
    <w:rsid w:val="00B32629"/>
    <w:rsid w:val="00B32E17"/>
    <w:rsid w:val="00B335C0"/>
    <w:rsid w:val="00B3383D"/>
    <w:rsid w:val="00B33901"/>
    <w:rsid w:val="00B33A18"/>
    <w:rsid w:val="00B33B06"/>
    <w:rsid w:val="00B33C19"/>
    <w:rsid w:val="00B33FBB"/>
    <w:rsid w:val="00B340ED"/>
    <w:rsid w:val="00B34383"/>
    <w:rsid w:val="00B34A0D"/>
    <w:rsid w:val="00B34DD8"/>
    <w:rsid w:val="00B34FCD"/>
    <w:rsid w:val="00B35A15"/>
    <w:rsid w:val="00B36A99"/>
    <w:rsid w:val="00B378E1"/>
    <w:rsid w:val="00B40140"/>
    <w:rsid w:val="00B41CCC"/>
    <w:rsid w:val="00B42264"/>
    <w:rsid w:val="00B42278"/>
    <w:rsid w:val="00B42577"/>
    <w:rsid w:val="00B425ED"/>
    <w:rsid w:val="00B428CB"/>
    <w:rsid w:val="00B434B2"/>
    <w:rsid w:val="00B4390A"/>
    <w:rsid w:val="00B43D45"/>
    <w:rsid w:val="00B44244"/>
    <w:rsid w:val="00B449ED"/>
    <w:rsid w:val="00B45A2B"/>
    <w:rsid w:val="00B468F2"/>
    <w:rsid w:val="00B469DE"/>
    <w:rsid w:val="00B46BE2"/>
    <w:rsid w:val="00B47286"/>
    <w:rsid w:val="00B47712"/>
    <w:rsid w:val="00B50234"/>
    <w:rsid w:val="00B50C40"/>
    <w:rsid w:val="00B5180A"/>
    <w:rsid w:val="00B5197F"/>
    <w:rsid w:val="00B51BF4"/>
    <w:rsid w:val="00B52577"/>
    <w:rsid w:val="00B52C68"/>
    <w:rsid w:val="00B5416C"/>
    <w:rsid w:val="00B54288"/>
    <w:rsid w:val="00B542FE"/>
    <w:rsid w:val="00B5458B"/>
    <w:rsid w:val="00B5541F"/>
    <w:rsid w:val="00B55A1B"/>
    <w:rsid w:val="00B561DB"/>
    <w:rsid w:val="00B56DF9"/>
    <w:rsid w:val="00B5739E"/>
    <w:rsid w:val="00B600BD"/>
    <w:rsid w:val="00B60443"/>
    <w:rsid w:val="00B60E4F"/>
    <w:rsid w:val="00B61274"/>
    <w:rsid w:val="00B61DCE"/>
    <w:rsid w:val="00B61F69"/>
    <w:rsid w:val="00B62188"/>
    <w:rsid w:val="00B62C2C"/>
    <w:rsid w:val="00B62F79"/>
    <w:rsid w:val="00B62F82"/>
    <w:rsid w:val="00B6306A"/>
    <w:rsid w:val="00B63277"/>
    <w:rsid w:val="00B635E3"/>
    <w:rsid w:val="00B656B4"/>
    <w:rsid w:val="00B658F7"/>
    <w:rsid w:val="00B662FF"/>
    <w:rsid w:val="00B66679"/>
    <w:rsid w:val="00B678F6"/>
    <w:rsid w:val="00B67EEA"/>
    <w:rsid w:val="00B70145"/>
    <w:rsid w:val="00B70908"/>
    <w:rsid w:val="00B70F88"/>
    <w:rsid w:val="00B71659"/>
    <w:rsid w:val="00B71A92"/>
    <w:rsid w:val="00B721D8"/>
    <w:rsid w:val="00B730CA"/>
    <w:rsid w:val="00B7366F"/>
    <w:rsid w:val="00B747C5"/>
    <w:rsid w:val="00B74CA9"/>
    <w:rsid w:val="00B74F2F"/>
    <w:rsid w:val="00B753ED"/>
    <w:rsid w:val="00B7588E"/>
    <w:rsid w:val="00B769BC"/>
    <w:rsid w:val="00B76AD2"/>
    <w:rsid w:val="00B77349"/>
    <w:rsid w:val="00B7749E"/>
    <w:rsid w:val="00B7761E"/>
    <w:rsid w:val="00B77904"/>
    <w:rsid w:val="00B801EC"/>
    <w:rsid w:val="00B8046D"/>
    <w:rsid w:val="00B80A3D"/>
    <w:rsid w:val="00B80B04"/>
    <w:rsid w:val="00B821E4"/>
    <w:rsid w:val="00B823E0"/>
    <w:rsid w:val="00B8260D"/>
    <w:rsid w:val="00B82B78"/>
    <w:rsid w:val="00B82B91"/>
    <w:rsid w:val="00B8398C"/>
    <w:rsid w:val="00B83A3B"/>
    <w:rsid w:val="00B83CE6"/>
    <w:rsid w:val="00B83FC9"/>
    <w:rsid w:val="00B845B4"/>
    <w:rsid w:val="00B84662"/>
    <w:rsid w:val="00B84C74"/>
    <w:rsid w:val="00B8506E"/>
    <w:rsid w:val="00B85191"/>
    <w:rsid w:val="00B85540"/>
    <w:rsid w:val="00B857CA"/>
    <w:rsid w:val="00B858A1"/>
    <w:rsid w:val="00B859CB"/>
    <w:rsid w:val="00B85FEC"/>
    <w:rsid w:val="00B8612D"/>
    <w:rsid w:val="00B864A3"/>
    <w:rsid w:val="00B86856"/>
    <w:rsid w:val="00B86C2A"/>
    <w:rsid w:val="00B86E19"/>
    <w:rsid w:val="00B87A3E"/>
    <w:rsid w:val="00B87B06"/>
    <w:rsid w:val="00B902A5"/>
    <w:rsid w:val="00B90420"/>
    <w:rsid w:val="00B90848"/>
    <w:rsid w:val="00B91146"/>
    <w:rsid w:val="00B9128C"/>
    <w:rsid w:val="00B912C6"/>
    <w:rsid w:val="00B913E4"/>
    <w:rsid w:val="00B91DB9"/>
    <w:rsid w:val="00B91DD7"/>
    <w:rsid w:val="00B922D8"/>
    <w:rsid w:val="00B938E6"/>
    <w:rsid w:val="00B93BFD"/>
    <w:rsid w:val="00B93D65"/>
    <w:rsid w:val="00B93EFE"/>
    <w:rsid w:val="00B944B9"/>
    <w:rsid w:val="00B94956"/>
    <w:rsid w:val="00B94A8B"/>
    <w:rsid w:val="00B94C7F"/>
    <w:rsid w:val="00B94E93"/>
    <w:rsid w:val="00B95671"/>
    <w:rsid w:val="00B956B5"/>
    <w:rsid w:val="00B95CD9"/>
    <w:rsid w:val="00B95D75"/>
    <w:rsid w:val="00B96D42"/>
    <w:rsid w:val="00B96DF2"/>
    <w:rsid w:val="00B96E18"/>
    <w:rsid w:val="00B96F5A"/>
    <w:rsid w:val="00B97847"/>
    <w:rsid w:val="00B97EA4"/>
    <w:rsid w:val="00BA0B39"/>
    <w:rsid w:val="00BA0CB2"/>
    <w:rsid w:val="00BA0E26"/>
    <w:rsid w:val="00BA138B"/>
    <w:rsid w:val="00BA305B"/>
    <w:rsid w:val="00BA31BF"/>
    <w:rsid w:val="00BA3FC7"/>
    <w:rsid w:val="00BA4074"/>
    <w:rsid w:val="00BA416A"/>
    <w:rsid w:val="00BA4494"/>
    <w:rsid w:val="00BA478B"/>
    <w:rsid w:val="00BA4960"/>
    <w:rsid w:val="00BA50CE"/>
    <w:rsid w:val="00BA5224"/>
    <w:rsid w:val="00BA5427"/>
    <w:rsid w:val="00BA575E"/>
    <w:rsid w:val="00BA6CF9"/>
    <w:rsid w:val="00BA6EEC"/>
    <w:rsid w:val="00BA72EE"/>
    <w:rsid w:val="00BA76B7"/>
    <w:rsid w:val="00BA7DDC"/>
    <w:rsid w:val="00BA7E3B"/>
    <w:rsid w:val="00BB078D"/>
    <w:rsid w:val="00BB079C"/>
    <w:rsid w:val="00BB0D7A"/>
    <w:rsid w:val="00BB0DAF"/>
    <w:rsid w:val="00BB10E1"/>
    <w:rsid w:val="00BB118F"/>
    <w:rsid w:val="00BB2471"/>
    <w:rsid w:val="00BB3035"/>
    <w:rsid w:val="00BB35DB"/>
    <w:rsid w:val="00BB39C1"/>
    <w:rsid w:val="00BB3DF5"/>
    <w:rsid w:val="00BB43DD"/>
    <w:rsid w:val="00BB5D16"/>
    <w:rsid w:val="00BB6180"/>
    <w:rsid w:val="00BB69E6"/>
    <w:rsid w:val="00BB6CAB"/>
    <w:rsid w:val="00BB7BE5"/>
    <w:rsid w:val="00BB7E05"/>
    <w:rsid w:val="00BC0050"/>
    <w:rsid w:val="00BC08BD"/>
    <w:rsid w:val="00BC11E8"/>
    <w:rsid w:val="00BC17BC"/>
    <w:rsid w:val="00BC1A41"/>
    <w:rsid w:val="00BC1B7A"/>
    <w:rsid w:val="00BC2C17"/>
    <w:rsid w:val="00BC34A8"/>
    <w:rsid w:val="00BC3A02"/>
    <w:rsid w:val="00BC3ACD"/>
    <w:rsid w:val="00BC3B20"/>
    <w:rsid w:val="00BC3EE4"/>
    <w:rsid w:val="00BC4387"/>
    <w:rsid w:val="00BC49B3"/>
    <w:rsid w:val="00BC514D"/>
    <w:rsid w:val="00BC57DF"/>
    <w:rsid w:val="00BC588C"/>
    <w:rsid w:val="00BC5B3F"/>
    <w:rsid w:val="00BC6E73"/>
    <w:rsid w:val="00BC745A"/>
    <w:rsid w:val="00BC74D3"/>
    <w:rsid w:val="00BD0014"/>
    <w:rsid w:val="00BD01D8"/>
    <w:rsid w:val="00BD1630"/>
    <w:rsid w:val="00BD2148"/>
    <w:rsid w:val="00BD24F8"/>
    <w:rsid w:val="00BD255F"/>
    <w:rsid w:val="00BD2895"/>
    <w:rsid w:val="00BD4236"/>
    <w:rsid w:val="00BD483B"/>
    <w:rsid w:val="00BD4978"/>
    <w:rsid w:val="00BD5993"/>
    <w:rsid w:val="00BD5A60"/>
    <w:rsid w:val="00BD5CD4"/>
    <w:rsid w:val="00BD65D9"/>
    <w:rsid w:val="00BD6DF3"/>
    <w:rsid w:val="00BD6E09"/>
    <w:rsid w:val="00BD6EF9"/>
    <w:rsid w:val="00BD783B"/>
    <w:rsid w:val="00BE0ACB"/>
    <w:rsid w:val="00BE1A90"/>
    <w:rsid w:val="00BE2260"/>
    <w:rsid w:val="00BE3917"/>
    <w:rsid w:val="00BE4D3E"/>
    <w:rsid w:val="00BE50FD"/>
    <w:rsid w:val="00BE51CA"/>
    <w:rsid w:val="00BE537F"/>
    <w:rsid w:val="00BE5A89"/>
    <w:rsid w:val="00BE5D77"/>
    <w:rsid w:val="00BE6D47"/>
    <w:rsid w:val="00BE7032"/>
    <w:rsid w:val="00BE7330"/>
    <w:rsid w:val="00BE75E3"/>
    <w:rsid w:val="00BF01C5"/>
    <w:rsid w:val="00BF061A"/>
    <w:rsid w:val="00BF066A"/>
    <w:rsid w:val="00BF0E58"/>
    <w:rsid w:val="00BF14CC"/>
    <w:rsid w:val="00BF1821"/>
    <w:rsid w:val="00BF3EB9"/>
    <w:rsid w:val="00BF4256"/>
    <w:rsid w:val="00BF42D2"/>
    <w:rsid w:val="00BF4342"/>
    <w:rsid w:val="00BF4704"/>
    <w:rsid w:val="00BF4CFB"/>
    <w:rsid w:val="00BF4FFC"/>
    <w:rsid w:val="00BF5050"/>
    <w:rsid w:val="00BF50D1"/>
    <w:rsid w:val="00BF5361"/>
    <w:rsid w:val="00BF5422"/>
    <w:rsid w:val="00BF59B1"/>
    <w:rsid w:val="00BF5A15"/>
    <w:rsid w:val="00BF5A81"/>
    <w:rsid w:val="00BF6480"/>
    <w:rsid w:val="00BF6A78"/>
    <w:rsid w:val="00BF6D9A"/>
    <w:rsid w:val="00BF7695"/>
    <w:rsid w:val="00BF79B4"/>
    <w:rsid w:val="00BF7C61"/>
    <w:rsid w:val="00C000D5"/>
    <w:rsid w:val="00C00D29"/>
    <w:rsid w:val="00C01427"/>
    <w:rsid w:val="00C014C7"/>
    <w:rsid w:val="00C031CE"/>
    <w:rsid w:val="00C047AB"/>
    <w:rsid w:val="00C05668"/>
    <w:rsid w:val="00C05704"/>
    <w:rsid w:val="00C058AF"/>
    <w:rsid w:val="00C06B6A"/>
    <w:rsid w:val="00C07AAE"/>
    <w:rsid w:val="00C1067A"/>
    <w:rsid w:val="00C108C8"/>
    <w:rsid w:val="00C11655"/>
    <w:rsid w:val="00C1179B"/>
    <w:rsid w:val="00C124C1"/>
    <w:rsid w:val="00C128AE"/>
    <w:rsid w:val="00C12BA8"/>
    <w:rsid w:val="00C13570"/>
    <w:rsid w:val="00C136D6"/>
    <w:rsid w:val="00C1381C"/>
    <w:rsid w:val="00C13B26"/>
    <w:rsid w:val="00C13D5B"/>
    <w:rsid w:val="00C14083"/>
    <w:rsid w:val="00C141D7"/>
    <w:rsid w:val="00C1433D"/>
    <w:rsid w:val="00C144E4"/>
    <w:rsid w:val="00C15E4C"/>
    <w:rsid w:val="00C16172"/>
    <w:rsid w:val="00C1659C"/>
    <w:rsid w:val="00C1711B"/>
    <w:rsid w:val="00C1715E"/>
    <w:rsid w:val="00C17454"/>
    <w:rsid w:val="00C17AE2"/>
    <w:rsid w:val="00C20140"/>
    <w:rsid w:val="00C20483"/>
    <w:rsid w:val="00C20F27"/>
    <w:rsid w:val="00C215CF"/>
    <w:rsid w:val="00C216E9"/>
    <w:rsid w:val="00C217A0"/>
    <w:rsid w:val="00C2244B"/>
    <w:rsid w:val="00C224CD"/>
    <w:rsid w:val="00C22711"/>
    <w:rsid w:val="00C2280A"/>
    <w:rsid w:val="00C228F8"/>
    <w:rsid w:val="00C22B0D"/>
    <w:rsid w:val="00C23098"/>
    <w:rsid w:val="00C23405"/>
    <w:rsid w:val="00C23522"/>
    <w:rsid w:val="00C240C1"/>
    <w:rsid w:val="00C24AED"/>
    <w:rsid w:val="00C250D0"/>
    <w:rsid w:val="00C252AC"/>
    <w:rsid w:val="00C25934"/>
    <w:rsid w:val="00C25C0F"/>
    <w:rsid w:val="00C25E2B"/>
    <w:rsid w:val="00C26567"/>
    <w:rsid w:val="00C26923"/>
    <w:rsid w:val="00C26C9B"/>
    <w:rsid w:val="00C27214"/>
    <w:rsid w:val="00C27597"/>
    <w:rsid w:val="00C27E5E"/>
    <w:rsid w:val="00C30168"/>
    <w:rsid w:val="00C3018B"/>
    <w:rsid w:val="00C30382"/>
    <w:rsid w:val="00C30772"/>
    <w:rsid w:val="00C30A43"/>
    <w:rsid w:val="00C30BFE"/>
    <w:rsid w:val="00C30D6F"/>
    <w:rsid w:val="00C31063"/>
    <w:rsid w:val="00C312A2"/>
    <w:rsid w:val="00C312CB"/>
    <w:rsid w:val="00C31B7E"/>
    <w:rsid w:val="00C31DDB"/>
    <w:rsid w:val="00C322D1"/>
    <w:rsid w:val="00C3242A"/>
    <w:rsid w:val="00C325D1"/>
    <w:rsid w:val="00C33201"/>
    <w:rsid w:val="00C33796"/>
    <w:rsid w:val="00C33A39"/>
    <w:rsid w:val="00C33F04"/>
    <w:rsid w:val="00C3401A"/>
    <w:rsid w:val="00C34469"/>
    <w:rsid w:val="00C346C8"/>
    <w:rsid w:val="00C34A2C"/>
    <w:rsid w:val="00C34A2F"/>
    <w:rsid w:val="00C35959"/>
    <w:rsid w:val="00C360B3"/>
    <w:rsid w:val="00C37027"/>
    <w:rsid w:val="00C3742B"/>
    <w:rsid w:val="00C37B19"/>
    <w:rsid w:val="00C37C72"/>
    <w:rsid w:val="00C413CB"/>
    <w:rsid w:val="00C41783"/>
    <w:rsid w:val="00C41F54"/>
    <w:rsid w:val="00C42752"/>
    <w:rsid w:val="00C42973"/>
    <w:rsid w:val="00C450C9"/>
    <w:rsid w:val="00C45C2E"/>
    <w:rsid w:val="00C4643C"/>
    <w:rsid w:val="00C464AB"/>
    <w:rsid w:val="00C47B12"/>
    <w:rsid w:val="00C47D76"/>
    <w:rsid w:val="00C5026C"/>
    <w:rsid w:val="00C5034F"/>
    <w:rsid w:val="00C50830"/>
    <w:rsid w:val="00C50B17"/>
    <w:rsid w:val="00C50B62"/>
    <w:rsid w:val="00C5115A"/>
    <w:rsid w:val="00C51706"/>
    <w:rsid w:val="00C51A25"/>
    <w:rsid w:val="00C52479"/>
    <w:rsid w:val="00C5266E"/>
    <w:rsid w:val="00C5279F"/>
    <w:rsid w:val="00C5289F"/>
    <w:rsid w:val="00C52C59"/>
    <w:rsid w:val="00C5318C"/>
    <w:rsid w:val="00C53486"/>
    <w:rsid w:val="00C5349E"/>
    <w:rsid w:val="00C535E1"/>
    <w:rsid w:val="00C539FF"/>
    <w:rsid w:val="00C53DDC"/>
    <w:rsid w:val="00C54414"/>
    <w:rsid w:val="00C544BD"/>
    <w:rsid w:val="00C548EA"/>
    <w:rsid w:val="00C54CF7"/>
    <w:rsid w:val="00C54D3D"/>
    <w:rsid w:val="00C558B2"/>
    <w:rsid w:val="00C55A30"/>
    <w:rsid w:val="00C56384"/>
    <w:rsid w:val="00C56F56"/>
    <w:rsid w:val="00C57156"/>
    <w:rsid w:val="00C5724A"/>
    <w:rsid w:val="00C57964"/>
    <w:rsid w:val="00C60073"/>
    <w:rsid w:val="00C60DAE"/>
    <w:rsid w:val="00C60F8C"/>
    <w:rsid w:val="00C6113A"/>
    <w:rsid w:val="00C612BD"/>
    <w:rsid w:val="00C61A4A"/>
    <w:rsid w:val="00C624E3"/>
    <w:rsid w:val="00C62648"/>
    <w:rsid w:val="00C62806"/>
    <w:rsid w:val="00C62A48"/>
    <w:rsid w:val="00C62AC4"/>
    <w:rsid w:val="00C62B59"/>
    <w:rsid w:val="00C62F96"/>
    <w:rsid w:val="00C631E1"/>
    <w:rsid w:val="00C63778"/>
    <w:rsid w:val="00C63892"/>
    <w:rsid w:val="00C638D8"/>
    <w:rsid w:val="00C63ADD"/>
    <w:rsid w:val="00C63D26"/>
    <w:rsid w:val="00C64769"/>
    <w:rsid w:val="00C6540A"/>
    <w:rsid w:val="00C668A1"/>
    <w:rsid w:val="00C669C4"/>
    <w:rsid w:val="00C67223"/>
    <w:rsid w:val="00C67831"/>
    <w:rsid w:val="00C6788F"/>
    <w:rsid w:val="00C67E72"/>
    <w:rsid w:val="00C67F1C"/>
    <w:rsid w:val="00C70489"/>
    <w:rsid w:val="00C707B8"/>
    <w:rsid w:val="00C70F39"/>
    <w:rsid w:val="00C712AC"/>
    <w:rsid w:val="00C71C15"/>
    <w:rsid w:val="00C71F3D"/>
    <w:rsid w:val="00C7258C"/>
    <w:rsid w:val="00C72F53"/>
    <w:rsid w:val="00C74035"/>
    <w:rsid w:val="00C7445E"/>
    <w:rsid w:val="00C746DC"/>
    <w:rsid w:val="00C748EA"/>
    <w:rsid w:val="00C74C2E"/>
    <w:rsid w:val="00C75947"/>
    <w:rsid w:val="00C77207"/>
    <w:rsid w:val="00C776F3"/>
    <w:rsid w:val="00C77818"/>
    <w:rsid w:val="00C8063F"/>
    <w:rsid w:val="00C81282"/>
    <w:rsid w:val="00C8151C"/>
    <w:rsid w:val="00C824F2"/>
    <w:rsid w:val="00C8281F"/>
    <w:rsid w:val="00C82B77"/>
    <w:rsid w:val="00C82BE5"/>
    <w:rsid w:val="00C82C14"/>
    <w:rsid w:val="00C83214"/>
    <w:rsid w:val="00C8329F"/>
    <w:rsid w:val="00C84F8A"/>
    <w:rsid w:val="00C852F0"/>
    <w:rsid w:val="00C85BA4"/>
    <w:rsid w:val="00C8618F"/>
    <w:rsid w:val="00C8625D"/>
    <w:rsid w:val="00C86A96"/>
    <w:rsid w:val="00C871EB"/>
    <w:rsid w:val="00C900A3"/>
    <w:rsid w:val="00C90372"/>
    <w:rsid w:val="00C9041F"/>
    <w:rsid w:val="00C9060D"/>
    <w:rsid w:val="00C90B0B"/>
    <w:rsid w:val="00C910EE"/>
    <w:rsid w:val="00C9166B"/>
    <w:rsid w:val="00C91A45"/>
    <w:rsid w:val="00C91FB4"/>
    <w:rsid w:val="00C9200F"/>
    <w:rsid w:val="00C92150"/>
    <w:rsid w:val="00C92328"/>
    <w:rsid w:val="00C92AC4"/>
    <w:rsid w:val="00C92D42"/>
    <w:rsid w:val="00C92E16"/>
    <w:rsid w:val="00C93085"/>
    <w:rsid w:val="00C931B7"/>
    <w:rsid w:val="00C93471"/>
    <w:rsid w:val="00C938C2"/>
    <w:rsid w:val="00C93F8A"/>
    <w:rsid w:val="00C94455"/>
    <w:rsid w:val="00C94720"/>
    <w:rsid w:val="00C94EA1"/>
    <w:rsid w:val="00C95745"/>
    <w:rsid w:val="00C95902"/>
    <w:rsid w:val="00C959FE"/>
    <w:rsid w:val="00C962E3"/>
    <w:rsid w:val="00C97661"/>
    <w:rsid w:val="00C978E2"/>
    <w:rsid w:val="00C97997"/>
    <w:rsid w:val="00CA0FFC"/>
    <w:rsid w:val="00CA10A2"/>
    <w:rsid w:val="00CA13AB"/>
    <w:rsid w:val="00CA1D83"/>
    <w:rsid w:val="00CA25C0"/>
    <w:rsid w:val="00CA26E5"/>
    <w:rsid w:val="00CA284B"/>
    <w:rsid w:val="00CA2FCE"/>
    <w:rsid w:val="00CA3451"/>
    <w:rsid w:val="00CA3789"/>
    <w:rsid w:val="00CA38D1"/>
    <w:rsid w:val="00CA3914"/>
    <w:rsid w:val="00CA4948"/>
    <w:rsid w:val="00CA4961"/>
    <w:rsid w:val="00CA49C4"/>
    <w:rsid w:val="00CA52F9"/>
    <w:rsid w:val="00CA5368"/>
    <w:rsid w:val="00CA54E1"/>
    <w:rsid w:val="00CA568B"/>
    <w:rsid w:val="00CA573A"/>
    <w:rsid w:val="00CA5A11"/>
    <w:rsid w:val="00CA708C"/>
    <w:rsid w:val="00CB002B"/>
    <w:rsid w:val="00CB19FE"/>
    <w:rsid w:val="00CB2210"/>
    <w:rsid w:val="00CB2364"/>
    <w:rsid w:val="00CB2BB4"/>
    <w:rsid w:val="00CB2E31"/>
    <w:rsid w:val="00CB304C"/>
    <w:rsid w:val="00CB3864"/>
    <w:rsid w:val="00CB3933"/>
    <w:rsid w:val="00CB3B3E"/>
    <w:rsid w:val="00CB4160"/>
    <w:rsid w:val="00CB443A"/>
    <w:rsid w:val="00CB53E8"/>
    <w:rsid w:val="00CB594A"/>
    <w:rsid w:val="00CB5CB2"/>
    <w:rsid w:val="00CB5E7B"/>
    <w:rsid w:val="00CB6979"/>
    <w:rsid w:val="00CB7431"/>
    <w:rsid w:val="00CB7DDE"/>
    <w:rsid w:val="00CC0910"/>
    <w:rsid w:val="00CC0A3D"/>
    <w:rsid w:val="00CC0B55"/>
    <w:rsid w:val="00CC0DA6"/>
    <w:rsid w:val="00CC1042"/>
    <w:rsid w:val="00CC1E01"/>
    <w:rsid w:val="00CC2173"/>
    <w:rsid w:val="00CC2291"/>
    <w:rsid w:val="00CC26AE"/>
    <w:rsid w:val="00CC304F"/>
    <w:rsid w:val="00CC35DA"/>
    <w:rsid w:val="00CC3C53"/>
    <w:rsid w:val="00CC3D24"/>
    <w:rsid w:val="00CC3F91"/>
    <w:rsid w:val="00CC4359"/>
    <w:rsid w:val="00CC45BB"/>
    <w:rsid w:val="00CC4647"/>
    <w:rsid w:val="00CC4ACD"/>
    <w:rsid w:val="00CC4B0A"/>
    <w:rsid w:val="00CC544A"/>
    <w:rsid w:val="00CC57EA"/>
    <w:rsid w:val="00CC5954"/>
    <w:rsid w:val="00CC629B"/>
    <w:rsid w:val="00CC6A2B"/>
    <w:rsid w:val="00CC6C4E"/>
    <w:rsid w:val="00CC6D49"/>
    <w:rsid w:val="00CD009D"/>
    <w:rsid w:val="00CD05A2"/>
    <w:rsid w:val="00CD18CD"/>
    <w:rsid w:val="00CD29D4"/>
    <w:rsid w:val="00CD2B5C"/>
    <w:rsid w:val="00CD2FF3"/>
    <w:rsid w:val="00CD3323"/>
    <w:rsid w:val="00CD38F5"/>
    <w:rsid w:val="00CD4028"/>
    <w:rsid w:val="00CD41BD"/>
    <w:rsid w:val="00CD437E"/>
    <w:rsid w:val="00CD4AFE"/>
    <w:rsid w:val="00CD5660"/>
    <w:rsid w:val="00CD5785"/>
    <w:rsid w:val="00CD59AD"/>
    <w:rsid w:val="00CD5A7E"/>
    <w:rsid w:val="00CD5DAD"/>
    <w:rsid w:val="00CD6318"/>
    <w:rsid w:val="00CD64AD"/>
    <w:rsid w:val="00CD6D31"/>
    <w:rsid w:val="00CD6E9D"/>
    <w:rsid w:val="00CD72C5"/>
    <w:rsid w:val="00CD79A7"/>
    <w:rsid w:val="00CE03AA"/>
    <w:rsid w:val="00CE0789"/>
    <w:rsid w:val="00CE0E8D"/>
    <w:rsid w:val="00CE16ED"/>
    <w:rsid w:val="00CE1A03"/>
    <w:rsid w:val="00CE2346"/>
    <w:rsid w:val="00CE247C"/>
    <w:rsid w:val="00CE25B2"/>
    <w:rsid w:val="00CE2BBA"/>
    <w:rsid w:val="00CE301E"/>
    <w:rsid w:val="00CE3529"/>
    <w:rsid w:val="00CE35C8"/>
    <w:rsid w:val="00CE3962"/>
    <w:rsid w:val="00CE4D1A"/>
    <w:rsid w:val="00CE4E8A"/>
    <w:rsid w:val="00CE5105"/>
    <w:rsid w:val="00CE56BD"/>
    <w:rsid w:val="00CE5EC0"/>
    <w:rsid w:val="00CE66EF"/>
    <w:rsid w:val="00CE6F50"/>
    <w:rsid w:val="00CE6F9F"/>
    <w:rsid w:val="00CE781A"/>
    <w:rsid w:val="00CE7B08"/>
    <w:rsid w:val="00CE7D52"/>
    <w:rsid w:val="00CF08E2"/>
    <w:rsid w:val="00CF0B7D"/>
    <w:rsid w:val="00CF0DEA"/>
    <w:rsid w:val="00CF1D74"/>
    <w:rsid w:val="00CF2064"/>
    <w:rsid w:val="00CF209A"/>
    <w:rsid w:val="00CF2BE2"/>
    <w:rsid w:val="00CF2F38"/>
    <w:rsid w:val="00CF3DEB"/>
    <w:rsid w:val="00CF4EF6"/>
    <w:rsid w:val="00CF4F8E"/>
    <w:rsid w:val="00CF55F9"/>
    <w:rsid w:val="00CF7074"/>
    <w:rsid w:val="00CF7495"/>
    <w:rsid w:val="00D0123D"/>
    <w:rsid w:val="00D01244"/>
    <w:rsid w:val="00D01CF9"/>
    <w:rsid w:val="00D01E89"/>
    <w:rsid w:val="00D02F5C"/>
    <w:rsid w:val="00D030F0"/>
    <w:rsid w:val="00D0334D"/>
    <w:rsid w:val="00D0374D"/>
    <w:rsid w:val="00D0425A"/>
    <w:rsid w:val="00D049AA"/>
    <w:rsid w:val="00D0593E"/>
    <w:rsid w:val="00D06D7B"/>
    <w:rsid w:val="00D06DA5"/>
    <w:rsid w:val="00D07191"/>
    <w:rsid w:val="00D072DF"/>
    <w:rsid w:val="00D078DE"/>
    <w:rsid w:val="00D07F1D"/>
    <w:rsid w:val="00D10558"/>
    <w:rsid w:val="00D10F4D"/>
    <w:rsid w:val="00D11CD2"/>
    <w:rsid w:val="00D11D4D"/>
    <w:rsid w:val="00D126DC"/>
    <w:rsid w:val="00D12755"/>
    <w:rsid w:val="00D12B03"/>
    <w:rsid w:val="00D13B29"/>
    <w:rsid w:val="00D13C79"/>
    <w:rsid w:val="00D13E70"/>
    <w:rsid w:val="00D14388"/>
    <w:rsid w:val="00D16C58"/>
    <w:rsid w:val="00D16F34"/>
    <w:rsid w:val="00D17019"/>
    <w:rsid w:val="00D17230"/>
    <w:rsid w:val="00D177FF"/>
    <w:rsid w:val="00D17FC8"/>
    <w:rsid w:val="00D20420"/>
    <w:rsid w:val="00D20B44"/>
    <w:rsid w:val="00D20D4C"/>
    <w:rsid w:val="00D20E83"/>
    <w:rsid w:val="00D21168"/>
    <w:rsid w:val="00D21AF9"/>
    <w:rsid w:val="00D22014"/>
    <w:rsid w:val="00D2266E"/>
    <w:rsid w:val="00D226E8"/>
    <w:rsid w:val="00D22864"/>
    <w:rsid w:val="00D2438C"/>
    <w:rsid w:val="00D24B90"/>
    <w:rsid w:val="00D2519E"/>
    <w:rsid w:val="00D252BA"/>
    <w:rsid w:val="00D260EB"/>
    <w:rsid w:val="00D26C3F"/>
    <w:rsid w:val="00D27185"/>
    <w:rsid w:val="00D308EA"/>
    <w:rsid w:val="00D31FBE"/>
    <w:rsid w:val="00D32266"/>
    <w:rsid w:val="00D3374D"/>
    <w:rsid w:val="00D33AB3"/>
    <w:rsid w:val="00D33C0F"/>
    <w:rsid w:val="00D33F24"/>
    <w:rsid w:val="00D34038"/>
    <w:rsid w:val="00D34160"/>
    <w:rsid w:val="00D346B8"/>
    <w:rsid w:val="00D34DCA"/>
    <w:rsid w:val="00D34FAA"/>
    <w:rsid w:val="00D3556D"/>
    <w:rsid w:val="00D35AC8"/>
    <w:rsid w:val="00D3609F"/>
    <w:rsid w:val="00D36F87"/>
    <w:rsid w:val="00D37113"/>
    <w:rsid w:val="00D37319"/>
    <w:rsid w:val="00D37E4E"/>
    <w:rsid w:val="00D4012A"/>
    <w:rsid w:val="00D41413"/>
    <w:rsid w:val="00D4145A"/>
    <w:rsid w:val="00D417D8"/>
    <w:rsid w:val="00D41F78"/>
    <w:rsid w:val="00D420F8"/>
    <w:rsid w:val="00D4253A"/>
    <w:rsid w:val="00D429BD"/>
    <w:rsid w:val="00D42AB6"/>
    <w:rsid w:val="00D42E6C"/>
    <w:rsid w:val="00D433E4"/>
    <w:rsid w:val="00D4351C"/>
    <w:rsid w:val="00D43B80"/>
    <w:rsid w:val="00D4405F"/>
    <w:rsid w:val="00D44104"/>
    <w:rsid w:val="00D44988"/>
    <w:rsid w:val="00D454BE"/>
    <w:rsid w:val="00D45B4C"/>
    <w:rsid w:val="00D45BA4"/>
    <w:rsid w:val="00D471AF"/>
    <w:rsid w:val="00D4724F"/>
    <w:rsid w:val="00D47729"/>
    <w:rsid w:val="00D50519"/>
    <w:rsid w:val="00D51601"/>
    <w:rsid w:val="00D516A9"/>
    <w:rsid w:val="00D51ECB"/>
    <w:rsid w:val="00D5264C"/>
    <w:rsid w:val="00D52BBC"/>
    <w:rsid w:val="00D537FE"/>
    <w:rsid w:val="00D53BC8"/>
    <w:rsid w:val="00D53CC9"/>
    <w:rsid w:val="00D54A6A"/>
    <w:rsid w:val="00D54B8F"/>
    <w:rsid w:val="00D5507A"/>
    <w:rsid w:val="00D555D9"/>
    <w:rsid w:val="00D555E7"/>
    <w:rsid w:val="00D55951"/>
    <w:rsid w:val="00D5741C"/>
    <w:rsid w:val="00D57446"/>
    <w:rsid w:val="00D57EB6"/>
    <w:rsid w:val="00D6083D"/>
    <w:rsid w:val="00D608C0"/>
    <w:rsid w:val="00D60D6D"/>
    <w:rsid w:val="00D62CAA"/>
    <w:rsid w:val="00D62F06"/>
    <w:rsid w:val="00D64B62"/>
    <w:rsid w:val="00D651B0"/>
    <w:rsid w:val="00D65589"/>
    <w:rsid w:val="00D65E2A"/>
    <w:rsid w:val="00D6658B"/>
    <w:rsid w:val="00D66986"/>
    <w:rsid w:val="00D66D8B"/>
    <w:rsid w:val="00D70005"/>
    <w:rsid w:val="00D70543"/>
    <w:rsid w:val="00D70849"/>
    <w:rsid w:val="00D719D9"/>
    <w:rsid w:val="00D72297"/>
    <w:rsid w:val="00D72A1C"/>
    <w:rsid w:val="00D72B4C"/>
    <w:rsid w:val="00D7308F"/>
    <w:rsid w:val="00D733CC"/>
    <w:rsid w:val="00D73580"/>
    <w:rsid w:val="00D73802"/>
    <w:rsid w:val="00D73C2C"/>
    <w:rsid w:val="00D73D52"/>
    <w:rsid w:val="00D74103"/>
    <w:rsid w:val="00D745E7"/>
    <w:rsid w:val="00D750B8"/>
    <w:rsid w:val="00D761A4"/>
    <w:rsid w:val="00D76391"/>
    <w:rsid w:val="00D76416"/>
    <w:rsid w:val="00D767E3"/>
    <w:rsid w:val="00D76B5E"/>
    <w:rsid w:val="00D774ED"/>
    <w:rsid w:val="00D777C3"/>
    <w:rsid w:val="00D77C44"/>
    <w:rsid w:val="00D77D2F"/>
    <w:rsid w:val="00D77F88"/>
    <w:rsid w:val="00D80156"/>
    <w:rsid w:val="00D803BF"/>
    <w:rsid w:val="00D819F3"/>
    <w:rsid w:val="00D81AFA"/>
    <w:rsid w:val="00D81E22"/>
    <w:rsid w:val="00D81EAA"/>
    <w:rsid w:val="00D81FE2"/>
    <w:rsid w:val="00D81FF1"/>
    <w:rsid w:val="00D8241F"/>
    <w:rsid w:val="00D8259F"/>
    <w:rsid w:val="00D825F2"/>
    <w:rsid w:val="00D8285C"/>
    <w:rsid w:val="00D828B1"/>
    <w:rsid w:val="00D82F93"/>
    <w:rsid w:val="00D84181"/>
    <w:rsid w:val="00D84754"/>
    <w:rsid w:val="00D84963"/>
    <w:rsid w:val="00D84F27"/>
    <w:rsid w:val="00D853F0"/>
    <w:rsid w:val="00D85857"/>
    <w:rsid w:val="00D86D47"/>
    <w:rsid w:val="00D8710C"/>
    <w:rsid w:val="00D873C6"/>
    <w:rsid w:val="00D9074A"/>
    <w:rsid w:val="00D9099E"/>
    <w:rsid w:val="00D90B3C"/>
    <w:rsid w:val="00D9193A"/>
    <w:rsid w:val="00D91DF1"/>
    <w:rsid w:val="00D923B2"/>
    <w:rsid w:val="00D92568"/>
    <w:rsid w:val="00D92BB3"/>
    <w:rsid w:val="00D92DB8"/>
    <w:rsid w:val="00D93A90"/>
    <w:rsid w:val="00D93E64"/>
    <w:rsid w:val="00D93F26"/>
    <w:rsid w:val="00D93F64"/>
    <w:rsid w:val="00D94CA4"/>
    <w:rsid w:val="00D94CDD"/>
    <w:rsid w:val="00D94E01"/>
    <w:rsid w:val="00D95E99"/>
    <w:rsid w:val="00D965D5"/>
    <w:rsid w:val="00D96D5F"/>
    <w:rsid w:val="00D97AE5"/>
    <w:rsid w:val="00D97DA2"/>
    <w:rsid w:val="00DA1350"/>
    <w:rsid w:val="00DA18AF"/>
    <w:rsid w:val="00DA1A3A"/>
    <w:rsid w:val="00DA2351"/>
    <w:rsid w:val="00DA249E"/>
    <w:rsid w:val="00DA2D3D"/>
    <w:rsid w:val="00DA37E1"/>
    <w:rsid w:val="00DA3FA4"/>
    <w:rsid w:val="00DA489C"/>
    <w:rsid w:val="00DA4C30"/>
    <w:rsid w:val="00DA7DCE"/>
    <w:rsid w:val="00DB05AB"/>
    <w:rsid w:val="00DB0C17"/>
    <w:rsid w:val="00DB1215"/>
    <w:rsid w:val="00DB145E"/>
    <w:rsid w:val="00DB1A94"/>
    <w:rsid w:val="00DB1D52"/>
    <w:rsid w:val="00DB1F62"/>
    <w:rsid w:val="00DB1FAB"/>
    <w:rsid w:val="00DB21E7"/>
    <w:rsid w:val="00DB2319"/>
    <w:rsid w:val="00DB2E03"/>
    <w:rsid w:val="00DB320B"/>
    <w:rsid w:val="00DB3742"/>
    <w:rsid w:val="00DB3E9B"/>
    <w:rsid w:val="00DB3F4B"/>
    <w:rsid w:val="00DB5375"/>
    <w:rsid w:val="00DB6628"/>
    <w:rsid w:val="00DB67C1"/>
    <w:rsid w:val="00DB6902"/>
    <w:rsid w:val="00DB6C0B"/>
    <w:rsid w:val="00DB705C"/>
    <w:rsid w:val="00DB70F4"/>
    <w:rsid w:val="00DB7579"/>
    <w:rsid w:val="00DB7AA8"/>
    <w:rsid w:val="00DC0F46"/>
    <w:rsid w:val="00DC1056"/>
    <w:rsid w:val="00DC1442"/>
    <w:rsid w:val="00DC1A38"/>
    <w:rsid w:val="00DC213D"/>
    <w:rsid w:val="00DC21D8"/>
    <w:rsid w:val="00DC2362"/>
    <w:rsid w:val="00DC282A"/>
    <w:rsid w:val="00DC34DC"/>
    <w:rsid w:val="00DC3623"/>
    <w:rsid w:val="00DC3780"/>
    <w:rsid w:val="00DC3ADA"/>
    <w:rsid w:val="00DC3CC6"/>
    <w:rsid w:val="00DC3DA5"/>
    <w:rsid w:val="00DC3F55"/>
    <w:rsid w:val="00DC4084"/>
    <w:rsid w:val="00DC4782"/>
    <w:rsid w:val="00DC4ACE"/>
    <w:rsid w:val="00DC514A"/>
    <w:rsid w:val="00DC562A"/>
    <w:rsid w:val="00DC6151"/>
    <w:rsid w:val="00DC67B1"/>
    <w:rsid w:val="00DC7755"/>
    <w:rsid w:val="00DC7FBC"/>
    <w:rsid w:val="00DD0019"/>
    <w:rsid w:val="00DD0137"/>
    <w:rsid w:val="00DD0A70"/>
    <w:rsid w:val="00DD0E59"/>
    <w:rsid w:val="00DD132B"/>
    <w:rsid w:val="00DD1725"/>
    <w:rsid w:val="00DD2159"/>
    <w:rsid w:val="00DD2A18"/>
    <w:rsid w:val="00DD3044"/>
    <w:rsid w:val="00DD34EC"/>
    <w:rsid w:val="00DD3652"/>
    <w:rsid w:val="00DD3985"/>
    <w:rsid w:val="00DD39F9"/>
    <w:rsid w:val="00DD3E4C"/>
    <w:rsid w:val="00DD4991"/>
    <w:rsid w:val="00DD61E8"/>
    <w:rsid w:val="00DD62C0"/>
    <w:rsid w:val="00DD64DE"/>
    <w:rsid w:val="00DD6B29"/>
    <w:rsid w:val="00DD73AB"/>
    <w:rsid w:val="00DD7859"/>
    <w:rsid w:val="00DD7B41"/>
    <w:rsid w:val="00DE040C"/>
    <w:rsid w:val="00DE04B3"/>
    <w:rsid w:val="00DE06D5"/>
    <w:rsid w:val="00DE074D"/>
    <w:rsid w:val="00DE0784"/>
    <w:rsid w:val="00DE0A1D"/>
    <w:rsid w:val="00DE0C49"/>
    <w:rsid w:val="00DE148C"/>
    <w:rsid w:val="00DE15B2"/>
    <w:rsid w:val="00DE17A1"/>
    <w:rsid w:val="00DE1A9A"/>
    <w:rsid w:val="00DE2973"/>
    <w:rsid w:val="00DE2A6B"/>
    <w:rsid w:val="00DE2A83"/>
    <w:rsid w:val="00DE2FBE"/>
    <w:rsid w:val="00DE3D2C"/>
    <w:rsid w:val="00DE41F0"/>
    <w:rsid w:val="00DE4563"/>
    <w:rsid w:val="00DE483A"/>
    <w:rsid w:val="00DE5CD6"/>
    <w:rsid w:val="00DE5E82"/>
    <w:rsid w:val="00DE5FA6"/>
    <w:rsid w:val="00DE6792"/>
    <w:rsid w:val="00DE6AA1"/>
    <w:rsid w:val="00DE73DA"/>
    <w:rsid w:val="00DE7EF7"/>
    <w:rsid w:val="00DF015B"/>
    <w:rsid w:val="00DF02EC"/>
    <w:rsid w:val="00DF0925"/>
    <w:rsid w:val="00DF0AB7"/>
    <w:rsid w:val="00DF1045"/>
    <w:rsid w:val="00DF10FC"/>
    <w:rsid w:val="00DF1185"/>
    <w:rsid w:val="00DF1299"/>
    <w:rsid w:val="00DF1A70"/>
    <w:rsid w:val="00DF1E5F"/>
    <w:rsid w:val="00DF23A8"/>
    <w:rsid w:val="00DF2F26"/>
    <w:rsid w:val="00DF2F27"/>
    <w:rsid w:val="00DF35EF"/>
    <w:rsid w:val="00DF36B6"/>
    <w:rsid w:val="00DF4043"/>
    <w:rsid w:val="00DF4296"/>
    <w:rsid w:val="00DF4A70"/>
    <w:rsid w:val="00DF597C"/>
    <w:rsid w:val="00DF5F38"/>
    <w:rsid w:val="00DF5F9D"/>
    <w:rsid w:val="00DF6608"/>
    <w:rsid w:val="00DF66A8"/>
    <w:rsid w:val="00DF6CCC"/>
    <w:rsid w:val="00DF6D0C"/>
    <w:rsid w:val="00DF6F64"/>
    <w:rsid w:val="00DF721E"/>
    <w:rsid w:val="00DF7B2E"/>
    <w:rsid w:val="00DF7B8A"/>
    <w:rsid w:val="00DF7BA5"/>
    <w:rsid w:val="00DF7C87"/>
    <w:rsid w:val="00DF7E96"/>
    <w:rsid w:val="00E00695"/>
    <w:rsid w:val="00E0099A"/>
    <w:rsid w:val="00E009B0"/>
    <w:rsid w:val="00E00A12"/>
    <w:rsid w:val="00E00C49"/>
    <w:rsid w:val="00E011A2"/>
    <w:rsid w:val="00E01D83"/>
    <w:rsid w:val="00E0219D"/>
    <w:rsid w:val="00E030F6"/>
    <w:rsid w:val="00E0314D"/>
    <w:rsid w:val="00E047CB"/>
    <w:rsid w:val="00E04C0F"/>
    <w:rsid w:val="00E04F3F"/>
    <w:rsid w:val="00E04F6C"/>
    <w:rsid w:val="00E0570B"/>
    <w:rsid w:val="00E057EA"/>
    <w:rsid w:val="00E0602A"/>
    <w:rsid w:val="00E0610A"/>
    <w:rsid w:val="00E1003C"/>
    <w:rsid w:val="00E1077C"/>
    <w:rsid w:val="00E10913"/>
    <w:rsid w:val="00E10B87"/>
    <w:rsid w:val="00E11081"/>
    <w:rsid w:val="00E11C7F"/>
    <w:rsid w:val="00E121CE"/>
    <w:rsid w:val="00E126CF"/>
    <w:rsid w:val="00E127FD"/>
    <w:rsid w:val="00E12916"/>
    <w:rsid w:val="00E12DA4"/>
    <w:rsid w:val="00E12E0E"/>
    <w:rsid w:val="00E1437D"/>
    <w:rsid w:val="00E1478B"/>
    <w:rsid w:val="00E14FAC"/>
    <w:rsid w:val="00E15007"/>
    <w:rsid w:val="00E157FB"/>
    <w:rsid w:val="00E15D89"/>
    <w:rsid w:val="00E15EF8"/>
    <w:rsid w:val="00E16277"/>
    <w:rsid w:val="00E16EC7"/>
    <w:rsid w:val="00E17876"/>
    <w:rsid w:val="00E17DDF"/>
    <w:rsid w:val="00E21585"/>
    <w:rsid w:val="00E21730"/>
    <w:rsid w:val="00E219CE"/>
    <w:rsid w:val="00E21CDF"/>
    <w:rsid w:val="00E21F69"/>
    <w:rsid w:val="00E22A94"/>
    <w:rsid w:val="00E23626"/>
    <w:rsid w:val="00E23BAE"/>
    <w:rsid w:val="00E23D64"/>
    <w:rsid w:val="00E24071"/>
    <w:rsid w:val="00E24EBC"/>
    <w:rsid w:val="00E2522C"/>
    <w:rsid w:val="00E2552F"/>
    <w:rsid w:val="00E2599B"/>
    <w:rsid w:val="00E26001"/>
    <w:rsid w:val="00E26644"/>
    <w:rsid w:val="00E26F81"/>
    <w:rsid w:val="00E2710C"/>
    <w:rsid w:val="00E273E7"/>
    <w:rsid w:val="00E27428"/>
    <w:rsid w:val="00E27A35"/>
    <w:rsid w:val="00E305B4"/>
    <w:rsid w:val="00E3094B"/>
    <w:rsid w:val="00E319A5"/>
    <w:rsid w:val="00E31AFA"/>
    <w:rsid w:val="00E31C92"/>
    <w:rsid w:val="00E31CB7"/>
    <w:rsid w:val="00E32363"/>
    <w:rsid w:val="00E324EE"/>
    <w:rsid w:val="00E332CD"/>
    <w:rsid w:val="00E33B0E"/>
    <w:rsid w:val="00E3479A"/>
    <w:rsid w:val="00E34985"/>
    <w:rsid w:val="00E349D1"/>
    <w:rsid w:val="00E34DB1"/>
    <w:rsid w:val="00E34F26"/>
    <w:rsid w:val="00E358E7"/>
    <w:rsid w:val="00E359FF"/>
    <w:rsid w:val="00E35BA4"/>
    <w:rsid w:val="00E36F85"/>
    <w:rsid w:val="00E402C5"/>
    <w:rsid w:val="00E402F4"/>
    <w:rsid w:val="00E405F1"/>
    <w:rsid w:val="00E4086E"/>
    <w:rsid w:val="00E40DA0"/>
    <w:rsid w:val="00E413AC"/>
    <w:rsid w:val="00E427D9"/>
    <w:rsid w:val="00E427DA"/>
    <w:rsid w:val="00E42840"/>
    <w:rsid w:val="00E42A58"/>
    <w:rsid w:val="00E42F68"/>
    <w:rsid w:val="00E43054"/>
    <w:rsid w:val="00E4369A"/>
    <w:rsid w:val="00E4405D"/>
    <w:rsid w:val="00E44440"/>
    <w:rsid w:val="00E45620"/>
    <w:rsid w:val="00E45C29"/>
    <w:rsid w:val="00E46013"/>
    <w:rsid w:val="00E4641F"/>
    <w:rsid w:val="00E47099"/>
    <w:rsid w:val="00E47284"/>
    <w:rsid w:val="00E474AB"/>
    <w:rsid w:val="00E477C3"/>
    <w:rsid w:val="00E503E0"/>
    <w:rsid w:val="00E504C1"/>
    <w:rsid w:val="00E508EA"/>
    <w:rsid w:val="00E518E7"/>
    <w:rsid w:val="00E51E16"/>
    <w:rsid w:val="00E5254B"/>
    <w:rsid w:val="00E531F0"/>
    <w:rsid w:val="00E532BD"/>
    <w:rsid w:val="00E53730"/>
    <w:rsid w:val="00E5438D"/>
    <w:rsid w:val="00E5440A"/>
    <w:rsid w:val="00E54511"/>
    <w:rsid w:val="00E54950"/>
    <w:rsid w:val="00E54BA7"/>
    <w:rsid w:val="00E54E50"/>
    <w:rsid w:val="00E55288"/>
    <w:rsid w:val="00E55FA9"/>
    <w:rsid w:val="00E569F4"/>
    <w:rsid w:val="00E56FF6"/>
    <w:rsid w:val="00E573B0"/>
    <w:rsid w:val="00E57577"/>
    <w:rsid w:val="00E57D20"/>
    <w:rsid w:val="00E57EDE"/>
    <w:rsid w:val="00E613BC"/>
    <w:rsid w:val="00E61C1F"/>
    <w:rsid w:val="00E62043"/>
    <w:rsid w:val="00E626B9"/>
    <w:rsid w:val="00E627B2"/>
    <w:rsid w:val="00E627C9"/>
    <w:rsid w:val="00E62A83"/>
    <w:rsid w:val="00E62AB6"/>
    <w:rsid w:val="00E62DCB"/>
    <w:rsid w:val="00E630F3"/>
    <w:rsid w:val="00E6332F"/>
    <w:rsid w:val="00E637C9"/>
    <w:rsid w:val="00E6428E"/>
    <w:rsid w:val="00E6501B"/>
    <w:rsid w:val="00E650AB"/>
    <w:rsid w:val="00E66322"/>
    <w:rsid w:val="00E665EC"/>
    <w:rsid w:val="00E6680A"/>
    <w:rsid w:val="00E66BE1"/>
    <w:rsid w:val="00E66E2A"/>
    <w:rsid w:val="00E66F0D"/>
    <w:rsid w:val="00E70615"/>
    <w:rsid w:val="00E70BC8"/>
    <w:rsid w:val="00E7111D"/>
    <w:rsid w:val="00E7161E"/>
    <w:rsid w:val="00E71A47"/>
    <w:rsid w:val="00E7207B"/>
    <w:rsid w:val="00E72670"/>
    <w:rsid w:val="00E7347A"/>
    <w:rsid w:val="00E746ED"/>
    <w:rsid w:val="00E747C3"/>
    <w:rsid w:val="00E748A6"/>
    <w:rsid w:val="00E74A7B"/>
    <w:rsid w:val="00E74FDB"/>
    <w:rsid w:val="00E75A47"/>
    <w:rsid w:val="00E75BB6"/>
    <w:rsid w:val="00E75D8C"/>
    <w:rsid w:val="00E7704B"/>
    <w:rsid w:val="00E775F4"/>
    <w:rsid w:val="00E777F2"/>
    <w:rsid w:val="00E77B7F"/>
    <w:rsid w:val="00E802C9"/>
    <w:rsid w:val="00E80F0A"/>
    <w:rsid w:val="00E815D4"/>
    <w:rsid w:val="00E81953"/>
    <w:rsid w:val="00E81A80"/>
    <w:rsid w:val="00E81BAB"/>
    <w:rsid w:val="00E82075"/>
    <w:rsid w:val="00E8258B"/>
    <w:rsid w:val="00E8291B"/>
    <w:rsid w:val="00E82DDE"/>
    <w:rsid w:val="00E82E70"/>
    <w:rsid w:val="00E82F92"/>
    <w:rsid w:val="00E8395F"/>
    <w:rsid w:val="00E8410F"/>
    <w:rsid w:val="00E8458D"/>
    <w:rsid w:val="00E8540F"/>
    <w:rsid w:val="00E8579B"/>
    <w:rsid w:val="00E859EE"/>
    <w:rsid w:val="00E85E41"/>
    <w:rsid w:val="00E85EA1"/>
    <w:rsid w:val="00E86703"/>
    <w:rsid w:val="00E87F92"/>
    <w:rsid w:val="00E90013"/>
    <w:rsid w:val="00E91044"/>
    <w:rsid w:val="00E910D3"/>
    <w:rsid w:val="00E92154"/>
    <w:rsid w:val="00E923CF"/>
    <w:rsid w:val="00E92A24"/>
    <w:rsid w:val="00E933B1"/>
    <w:rsid w:val="00E93685"/>
    <w:rsid w:val="00E93C8C"/>
    <w:rsid w:val="00E9407F"/>
    <w:rsid w:val="00E95111"/>
    <w:rsid w:val="00E95FDF"/>
    <w:rsid w:val="00E973A2"/>
    <w:rsid w:val="00E97658"/>
    <w:rsid w:val="00EA0158"/>
    <w:rsid w:val="00EA12B8"/>
    <w:rsid w:val="00EA14C8"/>
    <w:rsid w:val="00EA206F"/>
    <w:rsid w:val="00EA2110"/>
    <w:rsid w:val="00EA275A"/>
    <w:rsid w:val="00EA283A"/>
    <w:rsid w:val="00EA2C90"/>
    <w:rsid w:val="00EA2E07"/>
    <w:rsid w:val="00EA3677"/>
    <w:rsid w:val="00EA36EF"/>
    <w:rsid w:val="00EA3856"/>
    <w:rsid w:val="00EA4535"/>
    <w:rsid w:val="00EA48F3"/>
    <w:rsid w:val="00EA60BF"/>
    <w:rsid w:val="00EA614F"/>
    <w:rsid w:val="00EA65A6"/>
    <w:rsid w:val="00EA687F"/>
    <w:rsid w:val="00EA6D18"/>
    <w:rsid w:val="00EA7365"/>
    <w:rsid w:val="00EA763F"/>
    <w:rsid w:val="00EA77E9"/>
    <w:rsid w:val="00EA7A37"/>
    <w:rsid w:val="00EB05D0"/>
    <w:rsid w:val="00EB08E2"/>
    <w:rsid w:val="00EB1151"/>
    <w:rsid w:val="00EB119E"/>
    <w:rsid w:val="00EB1D49"/>
    <w:rsid w:val="00EB1D6E"/>
    <w:rsid w:val="00EB1E36"/>
    <w:rsid w:val="00EB23D9"/>
    <w:rsid w:val="00EB25F1"/>
    <w:rsid w:val="00EB278E"/>
    <w:rsid w:val="00EB3026"/>
    <w:rsid w:val="00EB33C9"/>
    <w:rsid w:val="00EB34E8"/>
    <w:rsid w:val="00EB3735"/>
    <w:rsid w:val="00EB37EF"/>
    <w:rsid w:val="00EB39A0"/>
    <w:rsid w:val="00EB3D8A"/>
    <w:rsid w:val="00EB3F14"/>
    <w:rsid w:val="00EB559F"/>
    <w:rsid w:val="00EB5F3D"/>
    <w:rsid w:val="00EB66DB"/>
    <w:rsid w:val="00EB6954"/>
    <w:rsid w:val="00EC0D02"/>
    <w:rsid w:val="00EC1CEB"/>
    <w:rsid w:val="00EC1DC0"/>
    <w:rsid w:val="00EC1E98"/>
    <w:rsid w:val="00EC21EC"/>
    <w:rsid w:val="00EC24B8"/>
    <w:rsid w:val="00EC268C"/>
    <w:rsid w:val="00EC3476"/>
    <w:rsid w:val="00EC36DF"/>
    <w:rsid w:val="00EC3753"/>
    <w:rsid w:val="00EC3CF4"/>
    <w:rsid w:val="00EC4C1C"/>
    <w:rsid w:val="00EC4E71"/>
    <w:rsid w:val="00EC5698"/>
    <w:rsid w:val="00EC5F1C"/>
    <w:rsid w:val="00EC7C2B"/>
    <w:rsid w:val="00EC7CCE"/>
    <w:rsid w:val="00ED0365"/>
    <w:rsid w:val="00ED039B"/>
    <w:rsid w:val="00ED0865"/>
    <w:rsid w:val="00ED16D6"/>
    <w:rsid w:val="00ED1988"/>
    <w:rsid w:val="00ED1A1F"/>
    <w:rsid w:val="00ED1C60"/>
    <w:rsid w:val="00ED24E7"/>
    <w:rsid w:val="00ED273F"/>
    <w:rsid w:val="00ED2CB7"/>
    <w:rsid w:val="00ED2EB9"/>
    <w:rsid w:val="00ED302D"/>
    <w:rsid w:val="00ED3A31"/>
    <w:rsid w:val="00ED4469"/>
    <w:rsid w:val="00ED4C8A"/>
    <w:rsid w:val="00ED579E"/>
    <w:rsid w:val="00ED5F23"/>
    <w:rsid w:val="00ED6015"/>
    <w:rsid w:val="00ED6659"/>
    <w:rsid w:val="00ED6DC0"/>
    <w:rsid w:val="00ED7A7A"/>
    <w:rsid w:val="00EE0327"/>
    <w:rsid w:val="00EE038C"/>
    <w:rsid w:val="00EE0541"/>
    <w:rsid w:val="00EE11C4"/>
    <w:rsid w:val="00EE1937"/>
    <w:rsid w:val="00EE28C5"/>
    <w:rsid w:val="00EE2D7C"/>
    <w:rsid w:val="00EE2F09"/>
    <w:rsid w:val="00EE33C5"/>
    <w:rsid w:val="00EE47C5"/>
    <w:rsid w:val="00EE490C"/>
    <w:rsid w:val="00EE4D68"/>
    <w:rsid w:val="00EE4E57"/>
    <w:rsid w:val="00EE4EE5"/>
    <w:rsid w:val="00EE5738"/>
    <w:rsid w:val="00EE58BD"/>
    <w:rsid w:val="00EE596C"/>
    <w:rsid w:val="00EE5E59"/>
    <w:rsid w:val="00EE5E89"/>
    <w:rsid w:val="00EE73D0"/>
    <w:rsid w:val="00EE7CB0"/>
    <w:rsid w:val="00EF002A"/>
    <w:rsid w:val="00EF08A8"/>
    <w:rsid w:val="00EF1044"/>
    <w:rsid w:val="00EF167B"/>
    <w:rsid w:val="00EF1ED5"/>
    <w:rsid w:val="00EF1F97"/>
    <w:rsid w:val="00EF2917"/>
    <w:rsid w:val="00EF2B04"/>
    <w:rsid w:val="00EF2CCC"/>
    <w:rsid w:val="00EF3376"/>
    <w:rsid w:val="00EF3E73"/>
    <w:rsid w:val="00EF41A8"/>
    <w:rsid w:val="00EF44FB"/>
    <w:rsid w:val="00EF5122"/>
    <w:rsid w:val="00EF5554"/>
    <w:rsid w:val="00EF5AD8"/>
    <w:rsid w:val="00EF6745"/>
    <w:rsid w:val="00EF6B90"/>
    <w:rsid w:val="00EF739F"/>
    <w:rsid w:val="00EF74E5"/>
    <w:rsid w:val="00EF764E"/>
    <w:rsid w:val="00EF7807"/>
    <w:rsid w:val="00EF79F7"/>
    <w:rsid w:val="00F0058C"/>
    <w:rsid w:val="00F006C0"/>
    <w:rsid w:val="00F0125F"/>
    <w:rsid w:val="00F019AA"/>
    <w:rsid w:val="00F0267E"/>
    <w:rsid w:val="00F02686"/>
    <w:rsid w:val="00F02BCC"/>
    <w:rsid w:val="00F030C0"/>
    <w:rsid w:val="00F03291"/>
    <w:rsid w:val="00F0459B"/>
    <w:rsid w:val="00F04E15"/>
    <w:rsid w:val="00F05DF3"/>
    <w:rsid w:val="00F069EA"/>
    <w:rsid w:val="00F070E5"/>
    <w:rsid w:val="00F07882"/>
    <w:rsid w:val="00F07A50"/>
    <w:rsid w:val="00F07DDE"/>
    <w:rsid w:val="00F07E01"/>
    <w:rsid w:val="00F07EEA"/>
    <w:rsid w:val="00F10963"/>
    <w:rsid w:val="00F11675"/>
    <w:rsid w:val="00F117F6"/>
    <w:rsid w:val="00F11DD8"/>
    <w:rsid w:val="00F11EFF"/>
    <w:rsid w:val="00F123DB"/>
    <w:rsid w:val="00F12557"/>
    <w:rsid w:val="00F12869"/>
    <w:rsid w:val="00F12DE6"/>
    <w:rsid w:val="00F13048"/>
    <w:rsid w:val="00F132F8"/>
    <w:rsid w:val="00F13599"/>
    <w:rsid w:val="00F13B28"/>
    <w:rsid w:val="00F13F80"/>
    <w:rsid w:val="00F14544"/>
    <w:rsid w:val="00F156A0"/>
    <w:rsid w:val="00F15730"/>
    <w:rsid w:val="00F1613F"/>
    <w:rsid w:val="00F169B5"/>
    <w:rsid w:val="00F202C2"/>
    <w:rsid w:val="00F21163"/>
    <w:rsid w:val="00F212F6"/>
    <w:rsid w:val="00F2179B"/>
    <w:rsid w:val="00F21FF9"/>
    <w:rsid w:val="00F221FA"/>
    <w:rsid w:val="00F226A3"/>
    <w:rsid w:val="00F22756"/>
    <w:rsid w:val="00F22D5A"/>
    <w:rsid w:val="00F23735"/>
    <w:rsid w:val="00F23890"/>
    <w:rsid w:val="00F23D36"/>
    <w:rsid w:val="00F244BD"/>
    <w:rsid w:val="00F2504D"/>
    <w:rsid w:val="00F25DE1"/>
    <w:rsid w:val="00F2619C"/>
    <w:rsid w:val="00F261D0"/>
    <w:rsid w:val="00F2637F"/>
    <w:rsid w:val="00F268F7"/>
    <w:rsid w:val="00F26DAB"/>
    <w:rsid w:val="00F279EC"/>
    <w:rsid w:val="00F3022D"/>
    <w:rsid w:val="00F306B0"/>
    <w:rsid w:val="00F30B83"/>
    <w:rsid w:val="00F30BDB"/>
    <w:rsid w:val="00F30CF8"/>
    <w:rsid w:val="00F31119"/>
    <w:rsid w:val="00F31A44"/>
    <w:rsid w:val="00F31EDF"/>
    <w:rsid w:val="00F32411"/>
    <w:rsid w:val="00F324A0"/>
    <w:rsid w:val="00F32CDE"/>
    <w:rsid w:val="00F32D4C"/>
    <w:rsid w:val="00F33079"/>
    <w:rsid w:val="00F3327E"/>
    <w:rsid w:val="00F338C3"/>
    <w:rsid w:val="00F33AD8"/>
    <w:rsid w:val="00F343D9"/>
    <w:rsid w:val="00F34679"/>
    <w:rsid w:val="00F347E3"/>
    <w:rsid w:val="00F34B14"/>
    <w:rsid w:val="00F34F58"/>
    <w:rsid w:val="00F35D45"/>
    <w:rsid w:val="00F35DA7"/>
    <w:rsid w:val="00F36671"/>
    <w:rsid w:val="00F36A6A"/>
    <w:rsid w:val="00F36AA2"/>
    <w:rsid w:val="00F3760F"/>
    <w:rsid w:val="00F37CCA"/>
    <w:rsid w:val="00F40101"/>
    <w:rsid w:val="00F404F7"/>
    <w:rsid w:val="00F40CCA"/>
    <w:rsid w:val="00F40E9D"/>
    <w:rsid w:val="00F415F7"/>
    <w:rsid w:val="00F416A9"/>
    <w:rsid w:val="00F41960"/>
    <w:rsid w:val="00F41B0B"/>
    <w:rsid w:val="00F41D7E"/>
    <w:rsid w:val="00F429BE"/>
    <w:rsid w:val="00F42D97"/>
    <w:rsid w:val="00F43053"/>
    <w:rsid w:val="00F436B2"/>
    <w:rsid w:val="00F43813"/>
    <w:rsid w:val="00F43FEE"/>
    <w:rsid w:val="00F44A65"/>
    <w:rsid w:val="00F451D3"/>
    <w:rsid w:val="00F45A72"/>
    <w:rsid w:val="00F45C01"/>
    <w:rsid w:val="00F45EC1"/>
    <w:rsid w:val="00F465CF"/>
    <w:rsid w:val="00F46723"/>
    <w:rsid w:val="00F4706D"/>
    <w:rsid w:val="00F47D1D"/>
    <w:rsid w:val="00F47F29"/>
    <w:rsid w:val="00F50016"/>
    <w:rsid w:val="00F508DB"/>
    <w:rsid w:val="00F50D2C"/>
    <w:rsid w:val="00F5118A"/>
    <w:rsid w:val="00F51572"/>
    <w:rsid w:val="00F51929"/>
    <w:rsid w:val="00F5195A"/>
    <w:rsid w:val="00F51A21"/>
    <w:rsid w:val="00F52614"/>
    <w:rsid w:val="00F5276E"/>
    <w:rsid w:val="00F52E9F"/>
    <w:rsid w:val="00F53304"/>
    <w:rsid w:val="00F53B81"/>
    <w:rsid w:val="00F53C32"/>
    <w:rsid w:val="00F540FE"/>
    <w:rsid w:val="00F54AF2"/>
    <w:rsid w:val="00F54D8B"/>
    <w:rsid w:val="00F54F21"/>
    <w:rsid w:val="00F5536D"/>
    <w:rsid w:val="00F556FF"/>
    <w:rsid w:val="00F55D12"/>
    <w:rsid w:val="00F56464"/>
    <w:rsid w:val="00F5687F"/>
    <w:rsid w:val="00F57190"/>
    <w:rsid w:val="00F57343"/>
    <w:rsid w:val="00F5745F"/>
    <w:rsid w:val="00F5749F"/>
    <w:rsid w:val="00F575C7"/>
    <w:rsid w:val="00F577EE"/>
    <w:rsid w:val="00F57FD0"/>
    <w:rsid w:val="00F60305"/>
    <w:rsid w:val="00F609FA"/>
    <w:rsid w:val="00F61420"/>
    <w:rsid w:val="00F61A2A"/>
    <w:rsid w:val="00F61B12"/>
    <w:rsid w:val="00F62FE9"/>
    <w:rsid w:val="00F63264"/>
    <w:rsid w:val="00F634E4"/>
    <w:rsid w:val="00F6379E"/>
    <w:rsid w:val="00F646DA"/>
    <w:rsid w:val="00F648CE"/>
    <w:rsid w:val="00F65171"/>
    <w:rsid w:val="00F6556A"/>
    <w:rsid w:val="00F65AC6"/>
    <w:rsid w:val="00F65E89"/>
    <w:rsid w:val="00F66B8B"/>
    <w:rsid w:val="00F66C0F"/>
    <w:rsid w:val="00F671E8"/>
    <w:rsid w:val="00F67844"/>
    <w:rsid w:val="00F70172"/>
    <w:rsid w:val="00F70799"/>
    <w:rsid w:val="00F70A8B"/>
    <w:rsid w:val="00F70B8D"/>
    <w:rsid w:val="00F70F50"/>
    <w:rsid w:val="00F71E6C"/>
    <w:rsid w:val="00F722B0"/>
    <w:rsid w:val="00F724FB"/>
    <w:rsid w:val="00F725CB"/>
    <w:rsid w:val="00F726B8"/>
    <w:rsid w:val="00F72A26"/>
    <w:rsid w:val="00F733C3"/>
    <w:rsid w:val="00F74077"/>
    <w:rsid w:val="00F746A1"/>
    <w:rsid w:val="00F756DD"/>
    <w:rsid w:val="00F75C97"/>
    <w:rsid w:val="00F76556"/>
    <w:rsid w:val="00F779B8"/>
    <w:rsid w:val="00F77F4E"/>
    <w:rsid w:val="00F80047"/>
    <w:rsid w:val="00F800C7"/>
    <w:rsid w:val="00F8104D"/>
    <w:rsid w:val="00F81587"/>
    <w:rsid w:val="00F81BDB"/>
    <w:rsid w:val="00F82267"/>
    <w:rsid w:val="00F8288F"/>
    <w:rsid w:val="00F83253"/>
    <w:rsid w:val="00F83915"/>
    <w:rsid w:val="00F83D89"/>
    <w:rsid w:val="00F84802"/>
    <w:rsid w:val="00F84B35"/>
    <w:rsid w:val="00F8519C"/>
    <w:rsid w:val="00F853F7"/>
    <w:rsid w:val="00F85B72"/>
    <w:rsid w:val="00F864D9"/>
    <w:rsid w:val="00F86E30"/>
    <w:rsid w:val="00F8766F"/>
    <w:rsid w:val="00F87A69"/>
    <w:rsid w:val="00F91082"/>
    <w:rsid w:val="00F9116D"/>
    <w:rsid w:val="00F91A9A"/>
    <w:rsid w:val="00F93ABB"/>
    <w:rsid w:val="00F93E53"/>
    <w:rsid w:val="00F94B20"/>
    <w:rsid w:val="00F94D79"/>
    <w:rsid w:val="00F94EDB"/>
    <w:rsid w:val="00F9529B"/>
    <w:rsid w:val="00F96261"/>
    <w:rsid w:val="00F963CC"/>
    <w:rsid w:val="00F964F2"/>
    <w:rsid w:val="00F96F28"/>
    <w:rsid w:val="00F96F2F"/>
    <w:rsid w:val="00F978B8"/>
    <w:rsid w:val="00F97A7F"/>
    <w:rsid w:val="00F97B72"/>
    <w:rsid w:val="00F97C17"/>
    <w:rsid w:val="00FA0889"/>
    <w:rsid w:val="00FA1514"/>
    <w:rsid w:val="00FA16E7"/>
    <w:rsid w:val="00FA1D10"/>
    <w:rsid w:val="00FA234C"/>
    <w:rsid w:val="00FA2656"/>
    <w:rsid w:val="00FA278B"/>
    <w:rsid w:val="00FA27AC"/>
    <w:rsid w:val="00FA2BDC"/>
    <w:rsid w:val="00FA31C7"/>
    <w:rsid w:val="00FA396F"/>
    <w:rsid w:val="00FA472D"/>
    <w:rsid w:val="00FA47BA"/>
    <w:rsid w:val="00FA4BB3"/>
    <w:rsid w:val="00FA4BD0"/>
    <w:rsid w:val="00FA6702"/>
    <w:rsid w:val="00FA7282"/>
    <w:rsid w:val="00FB0CBF"/>
    <w:rsid w:val="00FB0CEE"/>
    <w:rsid w:val="00FB18F6"/>
    <w:rsid w:val="00FB19A7"/>
    <w:rsid w:val="00FB1B5F"/>
    <w:rsid w:val="00FB1D0C"/>
    <w:rsid w:val="00FB224F"/>
    <w:rsid w:val="00FB2A52"/>
    <w:rsid w:val="00FB2CD6"/>
    <w:rsid w:val="00FB3075"/>
    <w:rsid w:val="00FB40AB"/>
    <w:rsid w:val="00FB52C7"/>
    <w:rsid w:val="00FB57DC"/>
    <w:rsid w:val="00FB583D"/>
    <w:rsid w:val="00FB6B45"/>
    <w:rsid w:val="00FB6E19"/>
    <w:rsid w:val="00FB71F6"/>
    <w:rsid w:val="00FC03F7"/>
    <w:rsid w:val="00FC09E2"/>
    <w:rsid w:val="00FC0AF8"/>
    <w:rsid w:val="00FC1483"/>
    <w:rsid w:val="00FC1736"/>
    <w:rsid w:val="00FC1B5A"/>
    <w:rsid w:val="00FC1C47"/>
    <w:rsid w:val="00FC2B3C"/>
    <w:rsid w:val="00FC308C"/>
    <w:rsid w:val="00FC3102"/>
    <w:rsid w:val="00FC39ED"/>
    <w:rsid w:val="00FC4419"/>
    <w:rsid w:val="00FC47E2"/>
    <w:rsid w:val="00FC4AA5"/>
    <w:rsid w:val="00FC4B88"/>
    <w:rsid w:val="00FC4BB8"/>
    <w:rsid w:val="00FC4D05"/>
    <w:rsid w:val="00FC5148"/>
    <w:rsid w:val="00FC612C"/>
    <w:rsid w:val="00FC6982"/>
    <w:rsid w:val="00FC710E"/>
    <w:rsid w:val="00FC75AC"/>
    <w:rsid w:val="00FC7AFB"/>
    <w:rsid w:val="00FC7D5A"/>
    <w:rsid w:val="00FC7F7F"/>
    <w:rsid w:val="00FD01BF"/>
    <w:rsid w:val="00FD0525"/>
    <w:rsid w:val="00FD0AB7"/>
    <w:rsid w:val="00FD1842"/>
    <w:rsid w:val="00FD297D"/>
    <w:rsid w:val="00FD2D13"/>
    <w:rsid w:val="00FD4233"/>
    <w:rsid w:val="00FD4A31"/>
    <w:rsid w:val="00FD5964"/>
    <w:rsid w:val="00FD6071"/>
    <w:rsid w:val="00FD633B"/>
    <w:rsid w:val="00FD6A47"/>
    <w:rsid w:val="00FD705C"/>
    <w:rsid w:val="00FD70C6"/>
    <w:rsid w:val="00FE06AF"/>
    <w:rsid w:val="00FE0794"/>
    <w:rsid w:val="00FE0A85"/>
    <w:rsid w:val="00FE1041"/>
    <w:rsid w:val="00FE1488"/>
    <w:rsid w:val="00FE1DDF"/>
    <w:rsid w:val="00FE24CB"/>
    <w:rsid w:val="00FE323F"/>
    <w:rsid w:val="00FE3473"/>
    <w:rsid w:val="00FE35F4"/>
    <w:rsid w:val="00FE374B"/>
    <w:rsid w:val="00FE3AE0"/>
    <w:rsid w:val="00FE4049"/>
    <w:rsid w:val="00FE4794"/>
    <w:rsid w:val="00FE480F"/>
    <w:rsid w:val="00FE4998"/>
    <w:rsid w:val="00FE533B"/>
    <w:rsid w:val="00FE57DE"/>
    <w:rsid w:val="00FE59EE"/>
    <w:rsid w:val="00FE680E"/>
    <w:rsid w:val="00FE708F"/>
    <w:rsid w:val="00FE7A68"/>
    <w:rsid w:val="00FF0231"/>
    <w:rsid w:val="00FF0B4A"/>
    <w:rsid w:val="00FF11C9"/>
    <w:rsid w:val="00FF13BB"/>
    <w:rsid w:val="00FF1462"/>
    <w:rsid w:val="00FF14C1"/>
    <w:rsid w:val="00FF1C9B"/>
    <w:rsid w:val="00FF1D49"/>
    <w:rsid w:val="00FF203B"/>
    <w:rsid w:val="00FF2425"/>
    <w:rsid w:val="00FF2562"/>
    <w:rsid w:val="00FF3A41"/>
    <w:rsid w:val="00FF3E5B"/>
    <w:rsid w:val="00FF40D3"/>
    <w:rsid w:val="00FF5377"/>
    <w:rsid w:val="00FF54F2"/>
    <w:rsid w:val="00FF57E4"/>
    <w:rsid w:val="00FF6030"/>
    <w:rsid w:val="00FF6BCD"/>
    <w:rsid w:val="00FF73E0"/>
    <w:rsid w:val="00FF78E5"/>
    <w:rsid w:val="01AF3D99"/>
    <w:rsid w:val="023E1D2B"/>
    <w:rsid w:val="02511F9D"/>
    <w:rsid w:val="02F753F7"/>
    <w:rsid w:val="03A314B8"/>
    <w:rsid w:val="03CB277A"/>
    <w:rsid w:val="03D82B98"/>
    <w:rsid w:val="03F83E8B"/>
    <w:rsid w:val="040870E4"/>
    <w:rsid w:val="04D744E3"/>
    <w:rsid w:val="05BC25F9"/>
    <w:rsid w:val="05C56868"/>
    <w:rsid w:val="064D5369"/>
    <w:rsid w:val="068311DE"/>
    <w:rsid w:val="07B72767"/>
    <w:rsid w:val="07BE5F7A"/>
    <w:rsid w:val="08077E72"/>
    <w:rsid w:val="08882DD0"/>
    <w:rsid w:val="09097651"/>
    <w:rsid w:val="092B016A"/>
    <w:rsid w:val="093F5978"/>
    <w:rsid w:val="095D1A37"/>
    <w:rsid w:val="096D23DA"/>
    <w:rsid w:val="09CC2AAC"/>
    <w:rsid w:val="09D35A3A"/>
    <w:rsid w:val="0A652D3E"/>
    <w:rsid w:val="0AF94A01"/>
    <w:rsid w:val="0B326F2A"/>
    <w:rsid w:val="0B5F4C4D"/>
    <w:rsid w:val="0C1947F9"/>
    <w:rsid w:val="0C1E2888"/>
    <w:rsid w:val="0C6576FF"/>
    <w:rsid w:val="0C92213C"/>
    <w:rsid w:val="0D84032B"/>
    <w:rsid w:val="0E034839"/>
    <w:rsid w:val="0EEC792B"/>
    <w:rsid w:val="0F2A74C4"/>
    <w:rsid w:val="105B0FFA"/>
    <w:rsid w:val="10A27F31"/>
    <w:rsid w:val="10AE486F"/>
    <w:rsid w:val="11330D2C"/>
    <w:rsid w:val="11927058"/>
    <w:rsid w:val="12CF4972"/>
    <w:rsid w:val="12F57F45"/>
    <w:rsid w:val="13114649"/>
    <w:rsid w:val="13AF4F03"/>
    <w:rsid w:val="14736E66"/>
    <w:rsid w:val="147F458F"/>
    <w:rsid w:val="14CA237D"/>
    <w:rsid w:val="1534169A"/>
    <w:rsid w:val="15C03E03"/>
    <w:rsid w:val="162A25EB"/>
    <w:rsid w:val="16FD2A55"/>
    <w:rsid w:val="17067C1A"/>
    <w:rsid w:val="17366761"/>
    <w:rsid w:val="174006DF"/>
    <w:rsid w:val="176C4613"/>
    <w:rsid w:val="177C01F0"/>
    <w:rsid w:val="17CE6630"/>
    <w:rsid w:val="18AA4654"/>
    <w:rsid w:val="18D215BE"/>
    <w:rsid w:val="1A225645"/>
    <w:rsid w:val="1A2D400E"/>
    <w:rsid w:val="1AD5775F"/>
    <w:rsid w:val="1AFF0AFE"/>
    <w:rsid w:val="1B4F19F8"/>
    <w:rsid w:val="1BA51582"/>
    <w:rsid w:val="1BAC59B2"/>
    <w:rsid w:val="1BC51582"/>
    <w:rsid w:val="1D612983"/>
    <w:rsid w:val="1E0125B5"/>
    <w:rsid w:val="1E087E4C"/>
    <w:rsid w:val="1ECC44FA"/>
    <w:rsid w:val="1F063325"/>
    <w:rsid w:val="1F7645D2"/>
    <w:rsid w:val="1FAD6012"/>
    <w:rsid w:val="1FBC5DF5"/>
    <w:rsid w:val="1FC74EBF"/>
    <w:rsid w:val="205B0ECD"/>
    <w:rsid w:val="20AB7BA1"/>
    <w:rsid w:val="20C3623F"/>
    <w:rsid w:val="21781212"/>
    <w:rsid w:val="21B83F86"/>
    <w:rsid w:val="21F71068"/>
    <w:rsid w:val="221178A8"/>
    <w:rsid w:val="221213CF"/>
    <w:rsid w:val="221943D6"/>
    <w:rsid w:val="22327A92"/>
    <w:rsid w:val="231D53A2"/>
    <w:rsid w:val="236D5383"/>
    <w:rsid w:val="23885763"/>
    <w:rsid w:val="23B7504C"/>
    <w:rsid w:val="24571307"/>
    <w:rsid w:val="25110A2A"/>
    <w:rsid w:val="256C0944"/>
    <w:rsid w:val="25B316D6"/>
    <w:rsid w:val="26446DE3"/>
    <w:rsid w:val="269669E7"/>
    <w:rsid w:val="26D7699F"/>
    <w:rsid w:val="26F47815"/>
    <w:rsid w:val="28083C7A"/>
    <w:rsid w:val="28096C9A"/>
    <w:rsid w:val="280D1651"/>
    <w:rsid w:val="286B254E"/>
    <w:rsid w:val="298C35B2"/>
    <w:rsid w:val="29FC12D3"/>
    <w:rsid w:val="2A735802"/>
    <w:rsid w:val="2AD952AC"/>
    <w:rsid w:val="2B220D3B"/>
    <w:rsid w:val="2B774624"/>
    <w:rsid w:val="2C7A72BE"/>
    <w:rsid w:val="2C9A7D75"/>
    <w:rsid w:val="2CCA5D75"/>
    <w:rsid w:val="2E9976CE"/>
    <w:rsid w:val="2F401D3C"/>
    <w:rsid w:val="2F5B24E1"/>
    <w:rsid w:val="2FA95C88"/>
    <w:rsid w:val="3041370F"/>
    <w:rsid w:val="30E94B41"/>
    <w:rsid w:val="312B50A3"/>
    <w:rsid w:val="313F54DB"/>
    <w:rsid w:val="32453A27"/>
    <w:rsid w:val="3263064A"/>
    <w:rsid w:val="32A43132"/>
    <w:rsid w:val="32AC0C06"/>
    <w:rsid w:val="332948C4"/>
    <w:rsid w:val="33D53400"/>
    <w:rsid w:val="3406423A"/>
    <w:rsid w:val="3537750C"/>
    <w:rsid w:val="3537798C"/>
    <w:rsid w:val="35780FBB"/>
    <w:rsid w:val="35C13FC9"/>
    <w:rsid w:val="35E508C9"/>
    <w:rsid w:val="364257B6"/>
    <w:rsid w:val="366A0F0E"/>
    <w:rsid w:val="36B27F93"/>
    <w:rsid w:val="36BF793A"/>
    <w:rsid w:val="36D4006E"/>
    <w:rsid w:val="36DD37CC"/>
    <w:rsid w:val="37EA5922"/>
    <w:rsid w:val="38276B93"/>
    <w:rsid w:val="38AC3431"/>
    <w:rsid w:val="38FD63A7"/>
    <w:rsid w:val="39404E32"/>
    <w:rsid w:val="39E00529"/>
    <w:rsid w:val="3A0B64A7"/>
    <w:rsid w:val="3A3A25C4"/>
    <w:rsid w:val="3A574DDA"/>
    <w:rsid w:val="3AD3075A"/>
    <w:rsid w:val="3AF74C02"/>
    <w:rsid w:val="3AFC1769"/>
    <w:rsid w:val="3BD10B1A"/>
    <w:rsid w:val="3C0059A5"/>
    <w:rsid w:val="3C134E78"/>
    <w:rsid w:val="3DF6345D"/>
    <w:rsid w:val="3E4D4F28"/>
    <w:rsid w:val="3EE13701"/>
    <w:rsid w:val="3F1A4BB3"/>
    <w:rsid w:val="3FE756BB"/>
    <w:rsid w:val="40044BBB"/>
    <w:rsid w:val="40192BA6"/>
    <w:rsid w:val="40246B2D"/>
    <w:rsid w:val="40F60AC0"/>
    <w:rsid w:val="412819F9"/>
    <w:rsid w:val="42550A18"/>
    <w:rsid w:val="429D496A"/>
    <w:rsid w:val="42B75615"/>
    <w:rsid w:val="42F473A1"/>
    <w:rsid w:val="43DD5834"/>
    <w:rsid w:val="441E62C0"/>
    <w:rsid w:val="45325D14"/>
    <w:rsid w:val="45811C7C"/>
    <w:rsid w:val="468B3EFB"/>
    <w:rsid w:val="46A91E4B"/>
    <w:rsid w:val="470A6193"/>
    <w:rsid w:val="47385210"/>
    <w:rsid w:val="47DC4F5C"/>
    <w:rsid w:val="48B40671"/>
    <w:rsid w:val="499B5738"/>
    <w:rsid w:val="499F244D"/>
    <w:rsid w:val="49E42D58"/>
    <w:rsid w:val="4A973F3F"/>
    <w:rsid w:val="4AF96BC7"/>
    <w:rsid w:val="4B862A85"/>
    <w:rsid w:val="4BE071C8"/>
    <w:rsid w:val="4CEF36E2"/>
    <w:rsid w:val="4CEF4DC5"/>
    <w:rsid w:val="4D5F3EF2"/>
    <w:rsid w:val="4DDA40F3"/>
    <w:rsid w:val="4E257655"/>
    <w:rsid w:val="4EE77E4F"/>
    <w:rsid w:val="4F372380"/>
    <w:rsid w:val="4F372FFB"/>
    <w:rsid w:val="4F3D0E54"/>
    <w:rsid w:val="4FAF0E71"/>
    <w:rsid w:val="4FC87F6D"/>
    <w:rsid w:val="4FF17FC8"/>
    <w:rsid w:val="51385D77"/>
    <w:rsid w:val="51577584"/>
    <w:rsid w:val="515D633A"/>
    <w:rsid w:val="51B70CFC"/>
    <w:rsid w:val="51ED403B"/>
    <w:rsid w:val="52395ECD"/>
    <w:rsid w:val="52C10D75"/>
    <w:rsid w:val="53C27FF8"/>
    <w:rsid w:val="549E1A80"/>
    <w:rsid w:val="54C658F4"/>
    <w:rsid w:val="550C4BD7"/>
    <w:rsid w:val="554C1D56"/>
    <w:rsid w:val="55572986"/>
    <w:rsid w:val="556D7F0A"/>
    <w:rsid w:val="55EC5382"/>
    <w:rsid w:val="565340FA"/>
    <w:rsid w:val="56D976B4"/>
    <w:rsid w:val="57D876A1"/>
    <w:rsid w:val="58156B2C"/>
    <w:rsid w:val="584829F5"/>
    <w:rsid w:val="5A2F2CC8"/>
    <w:rsid w:val="5B3C19CA"/>
    <w:rsid w:val="5C0923EF"/>
    <w:rsid w:val="5C10702D"/>
    <w:rsid w:val="5C8A1B2F"/>
    <w:rsid w:val="5CAD6052"/>
    <w:rsid w:val="5EBE043C"/>
    <w:rsid w:val="5F215B57"/>
    <w:rsid w:val="606007BB"/>
    <w:rsid w:val="60AC7F66"/>
    <w:rsid w:val="61671D60"/>
    <w:rsid w:val="61BF10D9"/>
    <w:rsid w:val="62AC22DC"/>
    <w:rsid w:val="632F69CC"/>
    <w:rsid w:val="63BD58EA"/>
    <w:rsid w:val="64B41C43"/>
    <w:rsid w:val="64C077D1"/>
    <w:rsid w:val="64DA6587"/>
    <w:rsid w:val="64E45EF7"/>
    <w:rsid w:val="64E51C3C"/>
    <w:rsid w:val="652B2098"/>
    <w:rsid w:val="65D8322D"/>
    <w:rsid w:val="65E71623"/>
    <w:rsid w:val="65F73C69"/>
    <w:rsid w:val="6691014E"/>
    <w:rsid w:val="66B5523A"/>
    <w:rsid w:val="677435B2"/>
    <w:rsid w:val="679D03F3"/>
    <w:rsid w:val="67EF75F1"/>
    <w:rsid w:val="67F1730A"/>
    <w:rsid w:val="689F5B3F"/>
    <w:rsid w:val="69124F16"/>
    <w:rsid w:val="696C43B8"/>
    <w:rsid w:val="69CD5C14"/>
    <w:rsid w:val="69CF0D33"/>
    <w:rsid w:val="6A3D41E9"/>
    <w:rsid w:val="6A411BEA"/>
    <w:rsid w:val="6B9946B3"/>
    <w:rsid w:val="6BD875F4"/>
    <w:rsid w:val="6C7007C7"/>
    <w:rsid w:val="6CC565EF"/>
    <w:rsid w:val="6DBE4DBA"/>
    <w:rsid w:val="6DE76850"/>
    <w:rsid w:val="6F612734"/>
    <w:rsid w:val="6FB20BD4"/>
    <w:rsid w:val="6FBA59BE"/>
    <w:rsid w:val="70296B3E"/>
    <w:rsid w:val="70611204"/>
    <w:rsid w:val="706B2330"/>
    <w:rsid w:val="71BA489B"/>
    <w:rsid w:val="73410663"/>
    <w:rsid w:val="73B029AD"/>
    <w:rsid w:val="74604537"/>
    <w:rsid w:val="74FA2C30"/>
    <w:rsid w:val="754D5C4B"/>
    <w:rsid w:val="75595CEB"/>
    <w:rsid w:val="75966A93"/>
    <w:rsid w:val="75A918F5"/>
    <w:rsid w:val="761B2C29"/>
    <w:rsid w:val="76C240A7"/>
    <w:rsid w:val="77513458"/>
    <w:rsid w:val="775246B7"/>
    <w:rsid w:val="781E69D1"/>
    <w:rsid w:val="7A263B6B"/>
    <w:rsid w:val="7AF46346"/>
    <w:rsid w:val="7B0F5EBF"/>
    <w:rsid w:val="7B130FB9"/>
    <w:rsid w:val="7B2E25DB"/>
    <w:rsid w:val="7B76754A"/>
    <w:rsid w:val="7BCF4062"/>
    <w:rsid w:val="7BD5275A"/>
    <w:rsid w:val="7BF64EDE"/>
    <w:rsid w:val="7C400C1E"/>
    <w:rsid w:val="7D514044"/>
    <w:rsid w:val="7DBF4132"/>
    <w:rsid w:val="7DD11708"/>
    <w:rsid w:val="7DED5ABE"/>
    <w:rsid w:val="7EC167BD"/>
    <w:rsid w:val="7F272D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9" w:name="heading 6"/>
    <w:lsdException w:qFormat="1" w:unhideWhenUsed="0" w:uiPriority="0" w:semiHidden="0" w:name="heading 7"/>
    <w:lsdException w:qFormat="1" w:unhideWhenUsed="0"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iPriority="0" w:semiHidden="0" w:name="Body Text First Indent"/>
    <w:lsdException w:qFormat="1" w:unhideWhenUsed="0" w:uiPriority="0" w:semiHidden="0" w:name="Body Text First Indent 2"/>
    <w:lsdException w:uiPriority="99" w:name="Note Heading"/>
    <w:lsdException w:uiPriority="99" w:name="Body Text 2"/>
    <w:lsdException w:qFormat="1" w:uiPriority="99" w:semiHidden="0" w:name="Body Text 3"/>
    <w:lsdException w:qFormat="1" w:unhideWhenUsed="0"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6"/>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7"/>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link w:val="38"/>
    <w:qFormat/>
    <w:uiPriority w:val="0"/>
    <w:pPr>
      <w:keepNext/>
      <w:keepLines/>
      <w:spacing w:before="260" w:after="260" w:line="416" w:lineRule="auto"/>
      <w:outlineLvl w:val="2"/>
    </w:pPr>
    <w:rPr>
      <w:b/>
      <w:bCs/>
      <w:sz w:val="32"/>
      <w:szCs w:val="32"/>
    </w:rPr>
  </w:style>
  <w:style w:type="paragraph" w:styleId="6">
    <w:name w:val="heading 4"/>
    <w:basedOn w:val="1"/>
    <w:next w:val="1"/>
    <w:link w:val="39"/>
    <w:qFormat/>
    <w:uiPriority w:val="0"/>
    <w:pPr>
      <w:keepNext/>
      <w:keepLines/>
      <w:spacing w:before="280" w:after="290" w:line="374" w:lineRule="auto"/>
      <w:outlineLvl w:val="3"/>
    </w:pPr>
    <w:rPr>
      <w:rFonts w:ascii="Cambria" w:hAnsi="Cambria" w:cs="宋体"/>
      <w:b/>
      <w:bCs/>
      <w:sz w:val="28"/>
      <w:szCs w:val="28"/>
    </w:rPr>
  </w:style>
  <w:style w:type="paragraph" w:styleId="7">
    <w:name w:val="heading 5"/>
    <w:basedOn w:val="1"/>
    <w:next w:val="8"/>
    <w:link w:val="40"/>
    <w:qFormat/>
    <w:uiPriority w:val="9"/>
    <w:pPr>
      <w:keepNext/>
      <w:keepLines/>
      <w:spacing w:before="280" w:after="290" w:line="376" w:lineRule="auto"/>
      <w:outlineLvl w:val="4"/>
    </w:pPr>
    <w:rPr>
      <w:b/>
      <w:bCs/>
      <w:sz w:val="28"/>
      <w:szCs w:val="28"/>
    </w:rPr>
  </w:style>
  <w:style w:type="paragraph" w:styleId="9">
    <w:name w:val="heading 7"/>
    <w:basedOn w:val="1"/>
    <w:next w:val="1"/>
    <w:link w:val="41"/>
    <w:qFormat/>
    <w:uiPriority w:val="0"/>
    <w:pPr>
      <w:keepNext/>
      <w:keepLines/>
      <w:spacing w:before="240" w:after="64" w:line="320" w:lineRule="auto"/>
      <w:outlineLvl w:val="6"/>
    </w:pPr>
    <w:rPr>
      <w:b/>
      <w:bCs/>
      <w:sz w:val="24"/>
    </w:rPr>
  </w:style>
  <w:style w:type="paragraph" w:styleId="10">
    <w:name w:val="heading 8"/>
    <w:basedOn w:val="1"/>
    <w:next w:val="1"/>
    <w:link w:val="42"/>
    <w:qFormat/>
    <w:uiPriority w:val="9"/>
    <w:pPr>
      <w:keepNext/>
      <w:keepLines/>
      <w:spacing w:before="240" w:after="64" w:line="320" w:lineRule="auto"/>
      <w:outlineLvl w:val="7"/>
    </w:pPr>
    <w:rPr>
      <w:rFonts w:ascii="等线 Light" w:hAnsi="等线 Light" w:eastAsia="等线 Light"/>
      <w:sz w:val="24"/>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link w:val="108"/>
    <w:qFormat/>
    <w:uiPriority w:val="99"/>
    <w:pPr>
      <w:ind w:firstLine="630"/>
    </w:pPr>
    <w:rPr>
      <w:sz w:val="32"/>
      <w:szCs w:val="20"/>
    </w:rPr>
  </w:style>
  <w:style w:type="paragraph" w:styleId="8">
    <w:name w:val="Normal Indent"/>
    <w:basedOn w:val="1"/>
    <w:qFormat/>
    <w:uiPriority w:val="0"/>
    <w:pPr>
      <w:ind w:firstLine="420"/>
    </w:pPr>
    <w:rPr>
      <w:szCs w:val="20"/>
    </w:rPr>
  </w:style>
  <w:style w:type="paragraph" w:styleId="11">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2">
    <w:name w:val="annotation text"/>
    <w:basedOn w:val="1"/>
    <w:link w:val="43"/>
    <w:qFormat/>
    <w:uiPriority w:val="0"/>
    <w:pPr>
      <w:jc w:val="left"/>
    </w:pPr>
  </w:style>
  <w:style w:type="paragraph" w:styleId="13">
    <w:name w:val="Body Text 3"/>
    <w:basedOn w:val="1"/>
    <w:link w:val="44"/>
    <w:unhideWhenUsed/>
    <w:qFormat/>
    <w:uiPriority w:val="99"/>
    <w:pPr>
      <w:spacing w:after="120"/>
    </w:pPr>
    <w:rPr>
      <w:sz w:val="16"/>
      <w:szCs w:val="16"/>
    </w:rPr>
  </w:style>
  <w:style w:type="paragraph" w:styleId="14">
    <w:name w:val="Body Text"/>
    <w:basedOn w:val="1"/>
    <w:next w:val="15"/>
    <w:link w:val="45"/>
    <w:unhideWhenUsed/>
    <w:qFormat/>
    <w:uiPriority w:val="1"/>
    <w:pPr>
      <w:spacing w:after="120"/>
    </w:pPr>
  </w:style>
  <w:style w:type="paragraph" w:styleId="15">
    <w:name w:val="Subtitle"/>
    <w:basedOn w:val="1"/>
    <w:next w:val="1"/>
    <w:qFormat/>
    <w:uiPriority w:val="0"/>
    <w:pPr>
      <w:spacing w:before="240" w:after="60" w:line="312" w:lineRule="auto"/>
      <w:jc w:val="center"/>
      <w:outlineLvl w:val="1"/>
    </w:pPr>
    <w:rPr>
      <w:rFonts w:ascii="Arial" w:hAnsi="Arial" w:cs="Arial"/>
      <w:b/>
      <w:bCs/>
      <w:kern w:val="28"/>
      <w:sz w:val="32"/>
      <w:szCs w:val="32"/>
    </w:rPr>
  </w:style>
  <w:style w:type="paragraph" w:styleId="16">
    <w:name w:val="Body Text Indent"/>
    <w:basedOn w:val="1"/>
    <w:link w:val="46"/>
    <w:qFormat/>
    <w:uiPriority w:val="0"/>
    <w:pPr>
      <w:ind w:firstLine="830" w:firstLineChars="352"/>
    </w:pPr>
    <w:rPr>
      <w:rFonts w:ascii="仿宋_GB2312" w:eastAsia="仿宋_GB2312"/>
      <w:kern w:val="0"/>
      <w:sz w:val="32"/>
      <w:szCs w:val="20"/>
    </w:rPr>
  </w:style>
  <w:style w:type="paragraph" w:styleId="17">
    <w:name w:val="List 2"/>
    <w:basedOn w:val="1"/>
    <w:unhideWhenUsed/>
    <w:qFormat/>
    <w:uiPriority w:val="99"/>
    <w:pPr>
      <w:ind w:left="100" w:leftChars="200" w:hanging="200" w:hangingChars="200"/>
      <w:contextualSpacing/>
    </w:pPr>
  </w:style>
  <w:style w:type="paragraph" w:styleId="18">
    <w:name w:val="Plain Text"/>
    <w:basedOn w:val="1"/>
    <w:link w:val="47"/>
    <w:qFormat/>
    <w:uiPriority w:val="0"/>
    <w:rPr>
      <w:rFonts w:ascii="宋体" w:hAnsi="Courier New"/>
      <w:kern w:val="0"/>
      <w:sz w:val="20"/>
      <w:szCs w:val="21"/>
    </w:rPr>
  </w:style>
  <w:style w:type="paragraph" w:styleId="19">
    <w:name w:val="Date"/>
    <w:basedOn w:val="1"/>
    <w:next w:val="1"/>
    <w:link w:val="48"/>
    <w:unhideWhenUsed/>
    <w:qFormat/>
    <w:uiPriority w:val="99"/>
    <w:pPr>
      <w:ind w:left="100" w:leftChars="2500"/>
    </w:pPr>
  </w:style>
  <w:style w:type="paragraph" w:styleId="20">
    <w:name w:val="Balloon Text"/>
    <w:basedOn w:val="1"/>
    <w:semiHidden/>
    <w:qFormat/>
    <w:uiPriority w:val="0"/>
    <w:rPr>
      <w:sz w:val="18"/>
      <w:szCs w:val="18"/>
    </w:rPr>
  </w:style>
  <w:style w:type="paragraph" w:styleId="21">
    <w:name w:val="footer"/>
    <w:basedOn w:val="1"/>
    <w:link w:val="49"/>
    <w:unhideWhenUsed/>
    <w:qFormat/>
    <w:uiPriority w:val="99"/>
    <w:pPr>
      <w:tabs>
        <w:tab w:val="center" w:pos="4153"/>
        <w:tab w:val="right" w:pos="8306"/>
      </w:tabs>
      <w:snapToGrid w:val="0"/>
      <w:jc w:val="left"/>
    </w:pPr>
    <w:rPr>
      <w:kern w:val="0"/>
      <w:sz w:val="18"/>
      <w:szCs w:val="18"/>
    </w:rPr>
  </w:style>
  <w:style w:type="paragraph" w:styleId="22">
    <w:name w:val="header"/>
    <w:basedOn w:val="1"/>
    <w:link w:val="50"/>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3">
    <w:name w:val="toc 1"/>
    <w:basedOn w:val="1"/>
    <w:next w:val="1"/>
    <w:unhideWhenUsed/>
    <w:qFormat/>
    <w:uiPriority w:val="39"/>
  </w:style>
  <w:style w:type="paragraph" w:styleId="24">
    <w:name w:val="toc 2"/>
    <w:basedOn w:val="1"/>
    <w:next w:val="1"/>
    <w:unhideWhenUsed/>
    <w:qFormat/>
    <w:uiPriority w:val="39"/>
    <w:pPr>
      <w:tabs>
        <w:tab w:val="right" w:leader="dot" w:pos="8296"/>
      </w:tabs>
      <w:ind w:left="420" w:leftChars="200"/>
    </w:pPr>
  </w:style>
  <w:style w:type="paragraph" w:styleId="25">
    <w:name w:val="Normal (Web)"/>
    <w:basedOn w:val="1"/>
    <w:unhideWhenUsed/>
    <w:qFormat/>
    <w:uiPriority w:val="99"/>
    <w:rPr>
      <w:rFonts w:ascii="Calibri" w:hAnsi="Calibri"/>
      <w:kern w:val="0"/>
      <w:sz w:val="24"/>
    </w:rPr>
  </w:style>
  <w:style w:type="paragraph" w:styleId="26">
    <w:name w:val="annotation subject"/>
    <w:basedOn w:val="12"/>
    <w:next w:val="12"/>
    <w:link w:val="51"/>
    <w:qFormat/>
    <w:uiPriority w:val="99"/>
    <w:rPr>
      <w:b/>
      <w:bCs/>
    </w:rPr>
  </w:style>
  <w:style w:type="paragraph" w:styleId="27">
    <w:name w:val="Body Text First Indent"/>
    <w:basedOn w:val="14"/>
    <w:link w:val="104"/>
    <w:unhideWhenUsed/>
    <w:qFormat/>
    <w:uiPriority w:val="0"/>
    <w:pPr>
      <w:ind w:firstLine="420" w:firstLineChars="100"/>
    </w:pPr>
  </w:style>
  <w:style w:type="paragraph" w:styleId="28">
    <w:name w:val="Body Text First Indent 2"/>
    <w:basedOn w:val="16"/>
    <w:next w:val="1"/>
    <w:qFormat/>
    <w:uiPriority w:val="0"/>
    <w:pPr>
      <w:ind w:firstLine="420" w:firstLineChars="200"/>
    </w:pPr>
  </w:style>
  <w:style w:type="table" w:styleId="30">
    <w:name w:val="Table Grid"/>
    <w:basedOn w:val="2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2">
    <w:name w:val="Strong"/>
    <w:qFormat/>
    <w:uiPriority w:val="22"/>
    <w:rPr>
      <w:b/>
      <w:bCs/>
    </w:rPr>
  </w:style>
  <w:style w:type="character" w:styleId="33">
    <w:name w:val="endnote reference"/>
    <w:unhideWhenUsed/>
    <w:qFormat/>
    <w:uiPriority w:val="99"/>
    <w:rPr>
      <w:vertAlign w:val="superscript"/>
    </w:rPr>
  </w:style>
  <w:style w:type="character" w:styleId="34">
    <w:name w:val="Hyperlink"/>
    <w:unhideWhenUsed/>
    <w:qFormat/>
    <w:uiPriority w:val="99"/>
    <w:rPr>
      <w:color w:val="0000FF"/>
      <w:u w:val="single"/>
    </w:rPr>
  </w:style>
  <w:style w:type="character" w:styleId="35">
    <w:name w:val="annotation reference"/>
    <w:qFormat/>
    <w:uiPriority w:val="0"/>
    <w:rPr>
      <w:sz w:val="21"/>
      <w:szCs w:val="21"/>
    </w:rPr>
  </w:style>
  <w:style w:type="character" w:customStyle="1" w:styleId="36">
    <w:name w:val="标题 1 字符1"/>
    <w:link w:val="3"/>
    <w:qFormat/>
    <w:uiPriority w:val="0"/>
    <w:rPr>
      <w:b/>
      <w:bCs/>
      <w:kern w:val="44"/>
      <w:sz w:val="44"/>
      <w:szCs w:val="44"/>
    </w:rPr>
  </w:style>
  <w:style w:type="character" w:customStyle="1" w:styleId="37">
    <w:name w:val="标题 2 字符1"/>
    <w:link w:val="4"/>
    <w:qFormat/>
    <w:uiPriority w:val="9"/>
    <w:rPr>
      <w:rFonts w:ascii="Cambria" w:hAnsi="Cambria" w:eastAsia="宋体" w:cs="Times New Roman"/>
      <w:b/>
      <w:bCs/>
      <w:kern w:val="2"/>
      <w:sz w:val="32"/>
      <w:szCs w:val="32"/>
    </w:rPr>
  </w:style>
  <w:style w:type="character" w:customStyle="1" w:styleId="38">
    <w:name w:val="标题 3 字符"/>
    <w:link w:val="5"/>
    <w:qFormat/>
    <w:uiPriority w:val="0"/>
    <w:rPr>
      <w:b/>
      <w:bCs/>
      <w:kern w:val="2"/>
      <w:sz w:val="32"/>
      <w:szCs w:val="32"/>
    </w:rPr>
  </w:style>
  <w:style w:type="character" w:customStyle="1" w:styleId="39">
    <w:name w:val="标题 4 字符"/>
    <w:link w:val="6"/>
    <w:semiHidden/>
    <w:qFormat/>
    <w:uiPriority w:val="0"/>
    <w:rPr>
      <w:rFonts w:ascii="Cambria" w:hAnsi="Cambria" w:cs="宋体"/>
      <w:b/>
      <w:bCs/>
      <w:kern w:val="2"/>
      <w:sz w:val="28"/>
      <w:szCs w:val="28"/>
    </w:rPr>
  </w:style>
  <w:style w:type="character" w:customStyle="1" w:styleId="40">
    <w:name w:val="标题 5 字符"/>
    <w:link w:val="7"/>
    <w:semiHidden/>
    <w:qFormat/>
    <w:uiPriority w:val="9"/>
    <w:rPr>
      <w:rFonts w:ascii="Times New Roman" w:hAnsi="Times New Roman"/>
      <w:b/>
      <w:bCs/>
      <w:kern w:val="2"/>
      <w:sz w:val="28"/>
      <w:szCs w:val="28"/>
    </w:rPr>
  </w:style>
  <w:style w:type="character" w:customStyle="1" w:styleId="41">
    <w:name w:val="标题 7 字符"/>
    <w:link w:val="9"/>
    <w:qFormat/>
    <w:uiPriority w:val="0"/>
    <w:rPr>
      <w:b/>
      <w:bCs/>
      <w:kern w:val="2"/>
      <w:sz w:val="24"/>
      <w:szCs w:val="24"/>
    </w:rPr>
  </w:style>
  <w:style w:type="character" w:customStyle="1" w:styleId="42">
    <w:name w:val="标题 8 字符"/>
    <w:link w:val="10"/>
    <w:semiHidden/>
    <w:qFormat/>
    <w:uiPriority w:val="9"/>
    <w:rPr>
      <w:rFonts w:ascii="等线 Light" w:hAnsi="等线 Light" w:eastAsia="等线 Light" w:cs="Times New Roman"/>
      <w:kern w:val="2"/>
      <w:sz w:val="24"/>
      <w:szCs w:val="24"/>
    </w:rPr>
  </w:style>
  <w:style w:type="character" w:customStyle="1" w:styleId="43">
    <w:name w:val="批注文字 字符2"/>
    <w:link w:val="12"/>
    <w:qFormat/>
    <w:uiPriority w:val="0"/>
    <w:rPr>
      <w:rFonts w:ascii="Times New Roman" w:hAnsi="Times New Roman"/>
      <w:kern w:val="2"/>
      <w:sz w:val="21"/>
      <w:szCs w:val="24"/>
    </w:rPr>
  </w:style>
  <w:style w:type="character" w:customStyle="1" w:styleId="44">
    <w:name w:val="正文文本 3 字符"/>
    <w:link w:val="13"/>
    <w:semiHidden/>
    <w:qFormat/>
    <w:uiPriority w:val="99"/>
    <w:rPr>
      <w:kern w:val="2"/>
      <w:sz w:val="16"/>
      <w:szCs w:val="16"/>
    </w:rPr>
  </w:style>
  <w:style w:type="character" w:customStyle="1" w:styleId="45">
    <w:name w:val="正文文本 字符1"/>
    <w:link w:val="14"/>
    <w:qFormat/>
    <w:uiPriority w:val="1"/>
    <w:rPr>
      <w:rFonts w:ascii="Times New Roman" w:hAnsi="Times New Roman"/>
      <w:kern w:val="2"/>
      <w:sz w:val="21"/>
      <w:szCs w:val="24"/>
    </w:rPr>
  </w:style>
  <w:style w:type="character" w:customStyle="1" w:styleId="46">
    <w:name w:val="正文文本缩进 字符"/>
    <w:link w:val="16"/>
    <w:qFormat/>
    <w:uiPriority w:val="0"/>
    <w:rPr>
      <w:rFonts w:ascii="仿宋_GB2312" w:hAnsi="Times New Roman" w:eastAsia="仿宋_GB2312" w:cs="Times New Roman"/>
      <w:sz w:val="32"/>
      <w:szCs w:val="20"/>
    </w:rPr>
  </w:style>
  <w:style w:type="character" w:customStyle="1" w:styleId="47">
    <w:name w:val="纯文本 字符3"/>
    <w:link w:val="18"/>
    <w:qFormat/>
    <w:uiPriority w:val="0"/>
    <w:rPr>
      <w:rFonts w:ascii="宋体" w:hAnsi="Courier New" w:eastAsia="宋体" w:cs="Courier New"/>
      <w:szCs w:val="21"/>
    </w:rPr>
  </w:style>
  <w:style w:type="character" w:customStyle="1" w:styleId="48">
    <w:name w:val="日期 字符"/>
    <w:link w:val="19"/>
    <w:semiHidden/>
    <w:qFormat/>
    <w:uiPriority w:val="99"/>
    <w:rPr>
      <w:rFonts w:ascii="Times New Roman" w:hAnsi="Times New Roman"/>
      <w:kern w:val="2"/>
      <w:sz w:val="21"/>
      <w:szCs w:val="24"/>
    </w:rPr>
  </w:style>
  <w:style w:type="character" w:customStyle="1" w:styleId="49">
    <w:name w:val="页脚 字符1"/>
    <w:link w:val="21"/>
    <w:qFormat/>
    <w:uiPriority w:val="99"/>
    <w:rPr>
      <w:sz w:val="18"/>
      <w:szCs w:val="18"/>
    </w:rPr>
  </w:style>
  <w:style w:type="character" w:customStyle="1" w:styleId="50">
    <w:name w:val="页眉 字符"/>
    <w:link w:val="22"/>
    <w:qFormat/>
    <w:uiPriority w:val="99"/>
    <w:rPr>
      <w:sz w:val="18"/>
      <w:szCs w:val="18"/>
    </w:rPr>
  </w:style>
  <w:style w:type="character" w:customStyle="1" w:styleId="51">
    <w:name w:val="批注主题 字符"/>
    <w:link w:val="26"/>
    <w:qFormat/>
    <w:uiPriority w:val="99"/>
    <w:rPr>
      <w:rFonts w:ascii="Times New Roman" w:hAnsi="Times New Roman"/>
      <w:b/>
      <w:bCs/>
      <w:kern w:val="2"/>
      <w:sz w:val="21"/>
      <w:szCs w:val="24"/>
    </w:rPr>
  </w:style>
  <w:style w:type="character" w:customStyle="1" w:styleId="52">
    <w:name w:val="正文文本 Char"/>
    <w:qFormat/>
    <w:uiPriority w:val="0"/>
    <w:rPr>
      <w:rFonts w:ascii="Times New Roman" w:hAnsi="Times New Roman"/>
      <w:kern w:val="2"/>
      <w:sz w:val="21"/>
      <w:szCs w:val="24"/>
    </w:rPr>
  </w:style>
  <w:style w:type="character" w:customStyle="1" w:styleId="53">
    <w:name w:val="纯文本 Char"/>
    <w:qFormat/>
    <w:uiPriority w:val="99"/>
    <w:rPr>
      <w:rFonts w:ascii="宋体" w:hAnsi="Courier New" w:eastAsia="宋体" w:cs="Courier New"/>
      <w:szCs w:val="21"/>
    </w:rPr>
  </w:style>
  <w:style w:type="character" w:customStyle="1" w:styleId="54">
    <w:name w:val="纯文本 字符2"/>
    <w:qFormat/>
    <w:uiPriority w:val="0"/>
    <w:rPr>
      <w:rFonts w:ascii="宋体" w:hAnsi="Courier New" w:eastAsia="宋体" w:cs="Courier New"/>
      <w:szCs w:val="21"/>
    </w:rPr>
  </w:style>
  <w:style w:type="character" w:customStyle="1" w:styleId="55">
    <w:name w:val="apple-style-span"/>
    <w:qFormat/>
    <w:uiPriority w:val="0"/>
  </w:style>
  <w:style w:type="character" w:customStyle="1" w:styleId="56">
    <w:name w:val="标题 8 Char"/>
    <w:qFormat/>
    <w:uiPriority w:val="0"/>
    <w:rPr>
      <w:rFonts w:ascii="Arial" w:hAnsi="Arial" w:eastAsia="黑体"/>
      <w:kern w:val="2"/>
      <w:sz w:val="24"/>
      <w:szCs w:val="24"/>
    </w:rPr>
  </w:style>
  <w:style w:type="character" w:customStyle="1" w:styleId="57">
    <w:name w:val="批注文字 字符"/>
    <w:qFormat/>
    <w:uiPriority w:val="0"/>
    <w:rPr>
      <w:rFonts w:ascii="Times New Roman" w:hAnsi="Times New Roman"/>
      <w:kern w:val="2"/>
      <w:sz w:val="21"/>
      <w:szCs w:val="24"/>
    </w:rPr>
  </w:style>
  <w:style w:type="character" w:customStyle="1" w:styleId="58">
    <w:name w:val="正文文本 字符"/>
    <w:qFormat/>
    <w:uiPriority w:val="1"/>
    <w:rPr>
      <w:rFonts w:ascii="Times New Roman" w:hAnsi="Times New Roman"/>
      <w:kern w:val="2"/>
      <w:sz w:val="21"/>
      <w:szCs w:val="24"/>
    </w:rPr>
  </w:style>
  <w:style w:type="character" w:customStyle="1" w:styleId="59">
    <w:name w:val="纯文本 字符1"/>
    <w:qFormat/>
    <w:uiPriority w:val="0"/>
    <w:rPr>
      <w:rFonts w:ascii="宋体" w:hAnsi="Courier New"/>
    </w:rPr>
  </w:style>
  <w:style w:type="character" w:customStyle="1" w:styleId="60">
    <w:name w:val="批注文字 Char"/>
    <w:qFormat/>
    <w:uiPriority w:val="0"/>
    <w:rPr>
      <w:rFonts w:ascii="Times New Roman" w:hAnsi="Times New Roman"/>
      <w:kern w:val="2"/>
      <w:sz w:val="21"/>
      <w:szCs w:val="24"/>
    </w:rPr>
  </w:style>
  <w:style w:type="character" w:customStyle="1" w:styleId="61">
    <w:name w:val="标题 2 Char"/>
    <w:qFormat/>
    <w:uiPriority w:val="9"/>
    <w:rPr>
      <w:rFonts w:ascii="Cambria" w:hAnsi="Cambria" w:eastAsia="宋体" w:cs="Times New Roman"/>
      <w:b/>
      <w:bCs/>
      <w:kern w:val="2"/>
      <w:sz w:val="32"/>
      <w:szCs w:val="32"/>
    </w:rPr>
  </w:style>
  <w:style w:type="character" w:customStyle="1" w:styleId="62">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63">
    <w:name w:val="批注文字 字符1"/>
    <w:qFormat/>
    <w:uiPriority w:val="0"/>
    <w:rPr>
      <w:rFonts w:ascii="Times New Roman" w:hAnsi="Times New Roman"/>
      <w:kern w:val="2"/>
      <w:sz w:val="21"/>
      <w:szCs w:val="24"/>
    </w:rPr>
  </w:style>
  <w:style w:type="character" w:customStyle="1" w:styleId="64">
    <w:name w:val="textcontents"/>
    <w:qFormat/>
    <w:uiPriority w:val="0"/>
  </w:style>
  <w:style w:type="character" w:customStyle="1" w:styleId="65">
    <w:name w:val="标题 1 字符"/>
    <w:qFormat/>
    <w:uiPriority w:val="0"/>
    <w:rPr>
      <w:b/>
      <w:bCs/>
      <w:kern w:val="44"/>
      <w:sz w:val="44"/>
      <w:szCs w:val="44"/>
    </w:rPr>
  </w:style>
  <w:style w:type="paragraph" w:customStyle="1" w:styleId="66">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styleId="67">
    <w:name w:val="List Paragraph"/>
    <w:basedOn w:val="1"/>
    <w:qFormat/>
    <w:uiPriority w:val="34"/>
    <w:pPr>
      <w:ind w:firstLine="420" w:firstLineChars="200"/>
    </w:pPr>
  </w:style>
  <w:style w:type="paragraph" w:customStyle="1" w:styleId="68">
    <w:name w:val="默认段落字体 Para Char Char Char Char Char Char Char Char Char1 Char Char Char Char"/>
    <w:basedOn w:val="1"/>
    <w:qFormat/>
    <w:uiPriority w:val="0"/>
    <w:rPr>
      <w:rFonts w:ascii="Tahoma" w:hAnsi="Tahoma"/>
      <w:sz w:val="24"/>
      <w:szCs w:val="20"/>
    </w:rPr>
  </w:style>
  <w:style w:type="paragraph" w:customStyle="1" w:styleId="69">
    <w:name w:val="Table Paragraph"/>
    <w:basedOn w:val="1"/>
    <w:qFormat/>
    <w:uiPriority w:val="1"/>
    <w:pPr>
      <w:jc w:val="left"/>
    </w:pPr>
    <w:rPr>
      <w:rFonts w:ascii="Calibri" w:hAnsi="Calibri"/>
      <w:kern w:val="0"/>
      <w:sz w:val="22"/>
      <w:szCs w:val="22"/>
      <w:lang w:eastAsia="en-US"/>
    </w:rPr>
  </w:style>
  <w:style w:type="character" w:customStyle="1" w:styleId="70">
    <w:name w:val="页脚 字符"/>
    <w:qFormat/>
    <w:uiPriority w:val="99"/>
    <w:rPr>
      <w:sz w:val="18"/>
      <w:szCs w:val="18"/>
    </w:rPr>
  </w:style>
  <w:style w:type="character" w:customStyle="1" w:styleId="71">
    <w:name w:val="标题 2 字符"/>
    <w:qFormat/>
    <w:uiPriority w:val="9"/>
    <w:rPr>
      <w:rFonts w:ascii="Cambria" w:hAnsi="Cambria" w:eastAsia="宋体" w:cs="Times New Roman"/>
      <w:b/>
      <w:bCs/>
      <w:kern w:val="2"/>
      <w:sz w:val="32"/>
      <w:szCs w:val="32"/>
    </w:rPr>
  </w:style>
  <w:style w:type="character" w:customStyle="1" w:styleId="72">
    <w:name w:val="纯文本 字符"/>
    <w:qFormat/>
    <w:uiPriority w:val="0"/>
    <w:rPr>
      <w:rFonts w:ascii="宋体" w:hAnsi="Courier New" w:eastAsia="宋体" w:cs="Courier New"/>
      <w:szCs w:val="21"/>
    </w:rPr>
  </w:style>
  <w:style w:type="character" w:customStyle="1" w:styleId="73">
    <w:name w:val="正文2 Char Char"/>
    <w:link w:val="74"/>
    <w:qFormat/>
    <w:uiPriority w:val="0"/>
    <w:rPr>
      <w:kern w:val="2"/>
      <w:sz w:val="24"/>
    </w:rPr>
  </w:style>
  <w:style w:type="paragraph" w:customStyle="1" w:styleId="74">
    <w:name w:val="正文2"/>
    <w:basedOn w:val="1"/>
    <w:link w:val="73"/>
    <w:qFormat/>
    <w:uiPriority w:val="0"/>
    <w:pPr>
      <w:adjustRightInd w:val="0"/>
      <w:spacing w:before="156" w:line="360" w:lineRule="auto"/>
      <w:ind w:firstLine="510" w:firstLineChars="200"/>
    </w:pPr>
    <w:rPr>
      <w:sz w:val="24"/>
      <w:szCs w:val="20"/>
    </w:rPr>
  </w:style>
  <w:style w:type="character" w:customStyle="1" w:styleId="75">
    <w:name w:val="_Style 72"/>
    <w:unhideWhenUsed/>
    <w:qFormat/>
    <w:uiPriority w:val="99"/>
    <w:rPr>
      <w:color w:val="605E5C"/>
      <w:shd w:val="clear" w:color="auto" w:fill="E1DFDD"/>
    </w:rPr>
  </w:style>
  <w:style w:type="paragraph" w:customStyle="1" w:styleId="76">
    <w:name w:val="首行缩进"/>
    <w:basedOn w:val="1"/>
    <w:qFormat/>
    <w:uiPriority w:val="0"/>
    <w:pPr>
      <w:spacing w:line="400" w:lineRule="exact"/>
      <w:ind w:firstLine="480" w:firstLineChars="200"/>
      <w:jc w:val="left"/>
    </w:pPr>
    <w:rPr>
      <w:lang w:val="zh-CN"/>
    </w:rPr>
  </w:style>
  <w:style w:type="character" w:customStyle="1" w:styleId="77">
    <w:name w:val="NormalCharacter"/>
    <w:qFormat/>
    <w:uiPriority w:val="0"/>
    <w:rPr>
      <w:rFonts w:ascii="Calibri" w:hAnsi="Calibri" w:eastAsia="宋体"/>
    </w:rPr>
  </w:style>
  <w:style w:type="character" w:customStyle="1" w:styleId="78">
    <w:name w:val="页脚 Char1"/>
    <w:qFormat/>
    <w:uiPriority w:val="0"/>
    <w:rPr>
      <w:sz w:val="18"/>
      <w:szCs w:val="18"/>
    </w:rPr>
  </w:style>
  <w:style w:type="paragraph" w:customStyle="1" w:styleId="79">
    <w:name w:val="_Style 79"/>
    <w:basedOn w:val="1"/>
    <w:next w:val="1"/>
    <w:unhideWhenUsed/>
    <w:qFormat/>
    <w:uiPriority w:val="39"/>
  </w:style>
  <w:style w:type="character" w:customStyle="1" w:styleId="80">
    <w:name w:val="批注文字 Char1"/>
    <w:qFormat/>
    <w:uiPriority w:val="0"/>
    <w:rPr>
      <w:rFonts w:ascii="Times New Roman" w:hAnsi="Times New Roman"/>
      <w:kern w:val="2"/>
      <w:sz w:val="21"/>
      <w:szCs w:val="24"/>
    </w:rPr>
  </w:style>
  <w:style w:type="character" w:customStyle="1" w:styleId="81">
    <w:name w:val="纯文本 Char1"/>
    <w:qFormat/>
    <w:uiPriority w:val="0"/>
    <w:rPr>
      <w:rFonts w:ascii="宋体" w:hAnsi="Courier New"/>
      <w:szCs w:val="21"/>
    </w:rPr>
  </w:style>
  <w:style w:type="paragraph" w:customStyle="1" w:styleId="82">
    <w:name w:val="DAS正文"/>
    <w:basedOn w:val="1"/>
    <w:qFormat/>
    <w:uiPriority w:val="0"/>
    <w:pPr>
      <w:ind w:right="181" w:firstLine="480"/>
    </w:pPr>
    <w:rPr>
      <w:rFonts w:ascii="Verdana" w:hAnsi="Verdana"/>
    </w:rPr>
  </w:style>
  <w:style w:type="character" w:customStyle="1" w:styleId="83">
    <w:name w:val="标题 1 Char1"/>
    <w:qFormat/>
    <w:locked/>
    <w:uiPriority w:val="0"/>
    <w:rPr>
      <w:b/>
      <w:bCs/>
      <w:kern w:val="44"/>
      <w:sz w:val="44"/>
      <w:szCs w:val="44"/>
    </w:rPr>
  </w:style>
  <w:style w:type="character" w:customStyle="1" w:styleId="84">
    <w:name w:val="页眉 Char1"/>
    <w:semiHidden/>
    <w:qFormat/>
    <w:locked/>
    <w:uiPriority w:val="0"/>
    <w:rPr>
      <w:kern w:val="2"/>
      <w:sz w:val="18"/>
      <w:szCs w:val="18"/>
    </w:rPr>
  </w:style>
  <w:style w:type="character" w:customStyle="1" w:styleId="85">
    <w:name w:val="正文文本 Char1"/>
    <w:qFormat/>
    <w:uiPriority w:val="0"/>
    <w:rPr>
      <w:kern w:val="2"/>
      <w:sz w:val="21"/>
      <w:szCs w:val="24"/>
    </w:rPr>
  </w:style>
  <w:style w:type="character" w:customStyle="1" w:styleId="86">
    <w:name w:val="批注文字 Char2"/>
    <w:qFormat/>
    <w:uiPriority w:val="0"/>
    <w:rPr>
      <w:kern w:val="2"/>
      <w:sz w:val="21"/>
      <w:szCs w:val="24"/>
    </w:rPr>
  </w:style>
  <w:style w:type="character" w:customStyle="1" w:styleId="87">
    <w:name w:val="标题 1 Char"/>
    <w:qFormat/>
    <w:uiPriority w:val="0"/>
    <w:rPr>
      <w:b/>
      <w:bCs/>
      <w:kern w:val="44"/>
      <w:sz w:val="44"/>
      <w:szCs w:val="44"/>
    </w:rPr>
  </w:style>
  <w:style w:type="character" w:customStyle="1" w:styleId="88">
    <w:name w:val="标题 2 Char1"/>
    <w:qFormat/>
    <w:uiPriority w:val="9"/>
    <w:rPr>
      <w:rFonts w:ascii="Cambria" w:hAnsi="Cambria" w:eastAsia="宋体" w:cs="Times New Roman"/>
      <w:b/>
      <w:bCs/>
      <w:kern w:val="2"/>
      <w:sz w:val="32"/>
      <w:szCs w:val="32"/>
    </w:rPr>
  </w:style>
  <w:style w:type="character" w:customStyle="1" w:styleId="89">
    <w:name w:val="标题 3 Char"/>
    <w:qFormat/>
    <w:uiPriority w:val="9"/>
    <w:rPr>
      <w:b/>
      <w:bCs/>
      <w:kern w:val="2"/>
      <w:sz w:val="32"/>
      <w:szCs w:val="32"/>
    </w:rPr>
  </w:style>
  <w:style w:type="character" w:customStyle="1" w:styleId="90">
    <w:name w:val="标题 5 Char"/>
    <w:semiHidden/>
    <w:qFormat/>
    <w:uiPriority w:val="9"/>
    <w:rPr>
      <w:rFonts w:ascii="Times New Roman" w:hAnsi="Times New Roman"/>
      <w:b/>
      <w:bCs/>
      <w:kern w:val="2"/>
      <w:sz w:val="28"/>
      <w:szCs w:val="28"/>
    </w:rPr>
  </w:style>
  <w:style w:type="character" w:customStyle="1" w:styleId="91">
    <w:name w:val="标题 7 Char"/>
    <w:qFormat/>
    <w:uiPriority w:val="0"/>
    <w:rPr>
      <w:b/>
      <w:bCs/>
      <w:kern w:val="2"/>
      <w:sz w:val="24"/>
      <w:szCs w:val="24"/>
    </w:rPr>
  </w:style>
  <w:style w:type="character" w:customStyle="1" w:styleId="92">
    <w:name w:val="标题 8 Char1"/>
    <w:semiHidden/>
    <w:qFormat/>
    <w:uiPriority w:val="9"/>
    <w:rPr>
      <w:rFonts w:ascii="等线 Light" w:hAnsi="等线 Light" w:eastAsia="等线 Light" w:cs="Times New Roman"/>
      <w:kern w:val="2"/>
      <w:sz w:val="24"/>
      <w:szCs w:val="24"/>
    </w:rPr>
  </w:style>
  <w:style w:type="character" w:customStyle="1" w:styleId="93">
    <w:name w:val="批注文字 Char3"/>
    <w:qFormat/>
    <w:uiPriority w:val="0"/>
    <w:rPr>
      <w:rFonts w:ascii="Times New Roman" w:hAnsi="Times New Roman"/>
      <w:kern w:val="2"/>
      <w:sz w:val="21"/>
      <w:szCs w:val="24"/>
    </w:rPr>
  </w:style>
  <w:style w:type="character" w:customStyle="1" w:styleId="94">
    <w:name w:val="正文文本 3 Char"/>
    <w:semiHidden/>
    <w:qFormat/>
    <w:uiPriority w:val="99"/>
    <w:rPr>
      <w:kern w:val="2"/>
      <w:sz w:val="16"/>
      <w:szCs w:val="16"/>
    </w:rPr>
  </w:style>
  <w:style w:type="character" w:customStyle="1" w:styleId="95">
    <w:name w:val="正文文本 Char2"/>
    <w:qFormat/>
    <w:uiPriority w:val="0"/>
    <w:rPr>
      <w:rFonts w:ascii="Times New Roman" w:hAnsi="Times New Roman"/>
      <w:kern w:val="2"/>
      <w:sz w:val="21"/>
      <w:szCs w:val="24"/>
    </w:rPr>
  </w:style>
  <w:style w:type="character" w:customStyle="1" w:styleId="96">
    <w:name w:val="正文文本缩进 Char"/>
    <w:qFormat/>
    <w:uiPriority w:val="0"/>
    <w:rPr>
      <w:rFonts w:ascii="仿宋_GB2312" w:hAnsi="Times New Roman" w:eastAsia="仿宋_GB2312" w:cs="Times New Roman"/>
      <w:sz w:val="32"/>
      <w:szCs w:val="20"/>
    </w:rPr>
  </w:style>
  <w:style w:type="character" w:customStyle="1" w:styleId="97">
    <w:name w:val="纯文本 Char2"/>
    <w:qFormat/>
    <w:uiPriority w:val="0"/>
    <w:rPr>
      <w:rFonts w:ascii="宋体" w:hAnsi="Courier New" w:eastAsia="宋体" w:cs="Courier New"/>
      <w:szCs w:val="21"/>
    </w:rPr>
  </w:style>
  <w:style w:type="character" w:customStyle="1" w:styleId="98">
    <w:name w:val="日期 Char"/>
    <w:semiHidden/>
    <w:qFormat/>
    <w:uiPriority w:val="99"/>
    <w:rPr>
      <w:rFonts w:ascii="Times New Roman" w:hAnsi="Times New Roman"/>
      <w:kern w:val="2"/>
      <w:sz w:val="21"/>
      <w:szCs w:val="24"/>
    </w:rPr>
  </w:style>
  <w:style w:type="character" w:customStyle="1" w:styleId="99">
    <w:name w:val="页脚 Char"/>
    <w:qFormat/>
    <w:uiPriority w:val="99"/>
    <w:rPr>
      <w:sz w:val="18"/>
      <w:szCs w:val="18"/>
    </w:rPr>
  </w:style>
  <w:style w:type="character" w:customStyle="1" w:styleId="100">
    <w:name w:val="页眉 Char"/>
    <w:qFormat/>
    <w:uiPriority w:val="99"/>
    <w:rPr>
      <w:sz w:val="18"/>
      <w:szCs w:val="18"/>
    </w:rPr>
  </w:style>
  <w:style w:type="character" w:customStyle="1" w:styleId="101">
    <w:name w:val="批注主题 Char"/>
    <w:qFormat/>
    <w:uiPriority w:val="99"/>
    <w:rPr>
      <w:rFonts w:ascii="Times New Roman" w:hAnsi="Times New Roman"/>
      <w:b/>
      <w:bCs/>
      <w:kern w:val="2"/>
      <w:sz w:val="21"/>
      <w:szCs w:val="24"/>
    </w:rPr>
  </w:style>
  <w:style w:type="paragraph" w:customStyle="1" w:styleId="102">
    <w:name w:val="_Style 99"/>
    <w:hidden/>
    <w:unhideWhenUsed/>
    <w:qFormat/>
    <w:uiPriority w:val="99"/>
    <w:rPr>
      <w:rFonts w:ascii="Times New Roman" w:hAnsi="Times New Roman" w:eastAsia="宋体" w:cs="Times New Roman"/>
      <w:kern w:val="2"/>
      <w:sz w:val="21"/>
      <w:szCs w:val="24"/>
      <w:lang w:val="en-US" w:eastAsia="zh-CN" w:bidi="ar-SA"/>
    </w:rPr>
  </w:style>
  <w:style w:type="paragraph" w:customStyle="1" w:styleId="103">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104">
    <w:name w:val="正文首行缩进 字符"/>
    <w:basedOn w:val="45"/>
    <w:link w:val="27"/>
    <w:qFormat/>
    <w:uiPriority w:val="0"/>
    <w:rPr>
      <w:rFonts w:ascii="Times New Roman" w:hAnsi="Times New Roman"/>
      <w:kern w:val="2"/>
      <w:sz w:val="21"/>
      <w:szCs w:val="24"/>
    </w:rPr>
  </w:style>
  <w:style w:type="paragraph" w:customStyle="1" w:styleId="105">
    <w:name w:val="Default"/>
    <w:next w:val="1"/>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106">
    <w:name w:val="石墨文档正文"/>
    <w:qFormat/>
    <w:uiPriority w:val="0"/>
    <w:rPr>
      <w:rFonts w:ascii="Arial Unicode MS" w:hAnsi="Arial Unicode MS" w:eastAsia="MicrosoftYaHei" w:cs="Arial Unicode MS"/>
      <w:sz w:val="22"/>
      <w:szCs w:val="22"/>
      <w:lang w:val="en-US" w:eastAsia="zh-CN" w:bidi="th-TH"/>
    </w:rPr>
  </w:style>
  <w:style w:type="paragraph" w:customStyle="1" w:styleId="107">
    <w:name w:val="Table Text"/>
    <w:basedOn w:val="1"/>
    <w:semiHidden/>
    <w:qFormat/>
    <w:uiPriority w:val="0"/>
    <w:rPr>
      <w:rFonts w:ascii="宋体" w:hAnsi="宋体" w:cs="宋体"/>
      <w:sz w:val="20"/>
      <w:szCs w:val="20"/>
      <w:lang w:eastAsia="en-US"/>
    </w:rPr>
  </w:style>
  <w:style w:type="character" w:customStyle="1" w:styleId="108">
    <w:name w:val="正文文本缩进 2 字符"/>
    <w:basedOn w:val="31"/>
    <w:link w:val="2"/>
    <w:qFormat/>
    <w:uiPriority w:val="99"/>
    <w:rPr>
      <w:kern w:val="2"/>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108</Pages>
  <Words>3242</Words>
  <Characters>3855</Characters>
  <Lines>572</Lines>
  <Paragraphs>161</Paragraphs>
  <TotalTime>57</TotalTime>
  <ScaleCrop>false</ScaleCrop>
  <LinksUpToDate>false</LinksUpToDate>
  <CharactersWithSpaces>3896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2022-10-14T04:54:00Z</dcterms:created>
  <dc:creator>Asus</dc:creator>
  <cp:lastModifiedBy>秦彬</cp:lastModifiedBy>
  <cp:lastPrinted>2023-04-04T06:50:00Z</cp:lastPrinted>
  <dcterms:modified xsi:type="dcterms:W3CDTF">2026-03-26T02:43:16Z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09DC7114CD8047DD8A664C3DAE01B3DE</vt:lpwstr>
  </property>
  <property fmtid="{D5CDD505-2E9C-101B-9397-08002B2CF9AE}" pid="4" name="KSOTemplateDocerSaveRecord">
    <vt:lpwstr>eyJoZGlkIjoiZTU5ODM2ZDM2OTAxNWUyYTJkN2RhNjBiOWU1YjkzOTkiLCJ1c2VySWQiOiIxMzQwMTMzODYyIn0=</vt:lpwstr>
  </property>
</Properties>
</file>