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“灵川县2026年松材线虫病疫木除治”采购需求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我县 2018年2月被国家林业局公布为松材线虫病疫区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经过近几年松材线虫病疫情防控，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实现了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疫情发生面积、疫点数量和疫情小班“三下降”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目标，目前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疫点乡镇为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定江镇、公平乡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潭下镇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为巩固大圩镇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、灵川镇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疫点拔除成果，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拟购买社会化防治服务，继续开展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灵川县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年松材线虫病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疫木除治工作，对现有的疫情小班进行除治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根据上级下达的松材线虫病防控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资金，结合全县松材线虫病防控工作，计划申请采购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届时按实际清理数量结算。疫木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采购单价为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元/株（包括枯死木采伐、制材、焚烧、伐根处理、管理等费用)，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采购金额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壹佰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拾万元整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1,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600,000.00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根据国家林业和草原局关于印发《松材线虫病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防治技术方案（2024年版）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》的通知（林生发〔20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)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号），我县采伐的疫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必须在山场就地烧毁或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采伐后三天内运输到辖区疫木定点加工厂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粉碎（削片）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除害处理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按照技术要求及时清理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除害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各类枯死松木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有效进行松材线虫病的防控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具体砍伐清理疫木数量以实际需要砍伐清理的数量核算。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2218F"/>
    <w:rsid w:val="24012D04"/>
    <w:rsid w:val="44966DBC"/>
    <w:rsid w:val="47BC121F"/>
    <w:rsid w:val="4C016287"/>
    <w:rsid w:val="6FA2218F"/>
    <w:rsid w:val="771F9641"/>
    <w:rsid w:val="BDA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565</Characters>
  <Lines>0</Lines>
  <Paragraphs>0</Paragraphs>
  <TotalTime>6</TotalTime>
  <ScaleCrop>false</ScaleCrop>
  <LinksUpToDate>false</LinksUpToDate>
  <CharactersWithSpaces>568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2025-09-17T10:04:00Z</dcterms:created>
  <dc:creator>爱我中华</dc:creator>
  <cp:lastModifiedBy>greatwall</cp:lastModifiedBy>
  <dcterms:modified xsi:type="dcterms:W3CDTF">2026-01-16T11:19:20Z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9D4B2D8FF26D4CEEB00F09406983C11A</vt:lpwstr>
  </property>
  <property fmtid="{D5CDD505-2E9C-101B-9397-08002B2CF9AE}" pid="4" name="KSOTemplateDocerSaveRecord">
    <vt:lpwstr>eyJoZGlkIjoiMDFlNTY0YzUyNmM4ODIzNTEzMjNhMGJhYzA1NDg0MjAiLCJ1c2VySWQiOiI2MjIxNjM2MjAifQ==</vt:lpwstr>
  </property>
</Properties>
</file>