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ascii="Arial" w:hAnsi="Arial" w:cs="Arial"/>
          <w:sz w:val="32"/>
          <w:szCs w:val="32"/>
        </w:rPr>
        <w:t>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资源县财政局</w:t>
      </w:r>
      <w:r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</w:rPr>
        <w:t>年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sz w:val="44"/>
          <w:szCs w:val="44"/>
          <w:lang w:val="en-US" w:eastAsia="zh-CN"/>
        </w:rPr>
        <w:t>4月份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政府采购意向</w:t>
      </w:r>
    </w:p>
    <w:p>
      <w:pPr>
        <w:pStyle w:val="4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pStyle w:val="4"/>
        <w:spacing w:line="585" w:lineRule="atLeast"/>
        <w:ind w:firstLine="63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为便于供应商及时了解政府采购信息，根据《财政部关于开展政府采购意向公开工作的通知》（财库〔2020〕10号）、《广西壮族自治区财政厅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关于进一步规范</w:t>
      </w:r>
      <w:r>
        <w:rPr>
          <w:rFonts w:hint="eastAsia" w:ascii="仿宋" w:hAnsi="仿宋" w:eastAsia="仿宋" w:cs="仿宋"/>
          <w:sz w:val="32"/>
          <w:szCs w:val="32"/>
        </w:rPr>
        <w:t>政府采购意向公开工作的的通知》（桂财采〔202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 w:cs="仿宋"/>
          <w:sz w:val="32"/>
          <w:szCs w:val="32"/>
        </w:rPr>
        <w:t>号）等有关规定，现将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资源县财政局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4月份</w:t>
      </w:r>
      <w:r>
        <w:rPr>
          <w:rFonts w:hint="eastAsia" w:ascii="仿宋" w:hAnsi="仿宋" w:eastAsia="仿宋" w:cs="仿宋"/>
          <w:sz w:val="32"/>
          <w:szCs w:val="32"/>
        </w:rPr>
        <w:t>政府采购意向公开如下：</w:t>
      </w:r>
    </w:p>
    <w:tbl>
      <w:tblPr>
        <w:tblStyle w:val="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23"/>
        <w:gridCol w:w="3555"/>
        <w:gridCol w:w="993"/>
        <w:gridCol w:w="1258"/>
        <w:gridCol w:w="7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  <w:p/>
        </w:tc>
        <w:tc>
          <w:tcPr>
            <w:tcW w:w="282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采购项目名称</w:t>
            </w:r>
          </w:p>
          <w:p/>
        </w:tc>
        <w:tc>
          <w:tcPr>
            <w:tcW w:w="3555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采购需求概况</w:t>
            </w:r>
          </w:p>
          <w:p/>
        </w:tc>
        <w:tc>
          <w:tcPr>
            <w:tcW w:w="99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金额</w:t>
            </w:r>
          </w:p>
          <w:p/>
        </w:tc>
        <w:tc>
          <w:tcPr>
            <w:tcW w:w="1258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预计采购时间</w:t>
            </w:r>
          </w:p>
          <w:p/>
        </w:tc>
        <w:tc>
          <w:tcPr>
            <w:tcW w:w="726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备注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资源县车田苗族乡龙塘村大吉头水圳及大安头水利渠道三面光工程</w:t>
            </w:r>
          </w:p>
        </w:tc>
        <w:tc>
          <w:tcPr>
            <w:tcW w:w="3555" w:type="dxa"/>
          </w:tcPr>
          <w:p>
            <w:pPr>
              <w:widowControl/>
              <w:spacing w:line="405" w:lineRule="atLeast"/>
              <w:jc w:val="left"/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/>
              </w:rPr>
              <w:t>维修改造渠道2条,总长度3300m(0.3＊0.3)。</w:t>
            </w:r>
          </w:p>
        </w:tc>
        <w:tc>
          <w:tcPr>
            <w:tcW w:w="993" w:type="dxa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70万元</w:t>
            </w:r>
          </w:p>
        </w:tc>
        <w:tc>
          <w:tcPr>
            <w:tcW w:w="1258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2026年4月</w:t>
            </w: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5" w:type="dxa"/>
            <w:vAlign w:val="top"/>
          </w:tcPr>
          <w:p>
            <w:pPr>
              <w:widowControl/>
              <w:spacing w:line="405" w:lineRule="atLeast"/>
              <w:jc w:val="left"/>
              <w:rPr>
                <w:rFonts w:hint="eastAsia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5" w:type="dxa"/>
            <w:vAlign w:val="top"/>
          </w:tcPr>
          <w:p>
            <w:pPr>
              <w:widowControl/>
              <w:spacing w:line="405" w:lineRule="atLeast"/>
              <w:jc w:val="left"/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823" w:type="dxa"/>
          </w:tcPr>
          <w:p>
            <w:pP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55" w:type="dxa"/>
          </w:tcPr>
          <w:p>
            <w:pPr>
              <w:widowControl/>
              <w:spacing w:line="405" w:lineRule="atLeast"/>
              <w:jc w:val="left"/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5" w:type="dxa"/>
            <w:vAlign w:val="top"/>
          </w:tcPr>
          <w:p>
            <w:pPr>
              <w:widowControl/>
              <w:spacing w:line="405" w:lineRule="atLeast"/>
              <w:jc w:val="left"/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5" w:type="dxa"/>
            <w:vAlign w:val="top"/>
          </w:tcPr>
          <w:p>
            <w:pPr>
              <w:widowControl/>
              <w:spacing w:line="405" w:lineRule="atLeast"/>
              <w:jc w:val="left"/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5" w:type="dxa"/>
            <w:vAlign w:val="top"/>
          </w:tcPr>
          <w:p>
            <w:pPr>
              <w:widowControl/>
              <w:spacing w:line="405" w:lineRule="atLeast"/>
              <w:jc w:val="left"/>
              <w:rPr>
                <w:rFonts w:hint="eastAsia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23" w:type="dxa"/>
            <w:vAlign w:val="top"/>
          </w:tcPr>
          <w:p>
            <w:pPr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55" w:type="dxa"/>
            <w:vAlign w:val="top"/>
          </w:tcPr>
          <w:p>
            <w:pPr>
              <w:widowControl/>
              <w:spacing w:line="405" w:lineRule="atLeast"/>
              <w:jc w:val="left"/>
              <w:rPr>
                <w:rFonts w:hint="default" w:ascii="仿宋_GB2312" w:hAnsi="Arial" w:eastAsia="仿宋_GB2312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6" w:type="dxa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4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本次公开的政府采购意向是本单位政府采购工作的初步安排，具体采购项目情况以相关采购公告和采购文件为准。</w:t>
      </w:r>
    </w:p>
    <w:p>
      <w:pPr>
        <w:pStyle w:val="4"/>
        <w:rPr>
          <w:rFonts w:ascii="Arial" w:hAnsi="Arial" w:cs="Arial"/>
        </w:rPr>
      </w:pPr>
    </w:p>
    <w:p>
      <w:pPr>
        <w:pStyle w:val="4"/>
        <w:ind w:firstLine="5456" w:firstLineChars="1705"/>
        <w:rPr>
          <w:rFonts w:hint="default" w:ascii="Arial" w:hAnsi="Arial" w:eastAsia="仿宋_GB2312" w:cs="Arial"/>
          <w:lang w:val="en-US"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资源县财政局</w:t>
      </w:r>
    </w:p>
    <w:p>
      <w:pPr>
        <w:pStyle w:val="4"/>
        <w:ind w:firstLine="645"/>
      </w:pPr>
      <w:r>
        <w:rPr>
          <w:rFonts w:hint="eastAsia" w:ascii="仿宋_GB2312" w:hAnsi="Arial" w:eastAsia="仿宋_GB2312" w:cs="Arial"/>
          <w:sz w:val="32"/>
          <w:szCs w:val="32"/>
        </w:rPr>
        <w:t>                                            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    2026</w:t>
      </w:r>
      <w:r>
        <w:rPr>
          <w:rFonts w:hint="eastAsia" w:ascii="仿宋_GB2312" w:hAnsi="Arial" w:eastAsia="仿宋_GB2312" w:cs="Arial"/>
          <w:sz w:val="32"/>
          <w:szCs w:val="32"/>
        </w:rPr>
        <w:t>年 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sz w:val="32"/>
          <w:szCs w:val="32"/>
        </w:rPr>
        <w:t>月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sz w:val="32"/>
          <w:szCs w:val="32"/>
        </w:rPr>
        <w:t>日</w:t>
      </w:r>
    </w:p>
    <w:sectPr>
      <w:pgSz w:w="11906" w:h="16838"/>
      <w:pgMar w:top="1020" w:right="794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jE4N2JjZDVlZTJjYzcyMzU5YTNjMWNjOGNiOTAifQ=="/>
  </w:docVars>
  <w:rsids>
    <w:rsidRoot w:val="00172A27"/>
    <w:rsid w:val="003A1A69"/>
    <w:rsid w:val="008E0138"/>
    <w:rsid w:val="04F23BCA"/>
    <w:rsid w:val="06DC3395"/>
    <w:rsid w:val="0A671B7B"/>
    <w:rsid w:val="0D2E74BD"/>
    <w:rsid w:val="0EB4189C"/>
    <w:rsid w:val="11877148"/>
    <w:rsid w:val="12F639AD"/>
    <w:rsid w:val="164B59DA"/>
    <w:rsid w:val="1A565FD6"/>
    <w:rsid w:val="1DF927C7"/>
    <w:rsid w:val="215811A4"/>
    <w:rsid w:val="26102F02"/>
    <w:rsid w:val="29696034"/>
    <w:rsid w:val="2A093A87"/>
    <w:rsid w:val="2A1C32FD"/>
    <w:rsid w:val="35D70BE3"/>
    <w:rsid w:val="39B25462"/>
    <w:rsid w:val="3CE01790"/>
    <w:rsid w:val="3D880ACB"/>
    <w:rsid w:val="4208667D"/>
    <w:rsid w:val="426B2AE5"/>
    <w:rsid w:val="42E53F7C"/>
    <w:rsid w:val="47A929FE"/>
    <w:rsid w:val="48476B6B"/>
    <w:rsid w:val="49B274B6"/>
    <w:rsid w:val="5F6159CE"/>
    <w:rsid w:val="637A0759"/>
    <w:rsid w:val="678A7DBA"/>
    <w:rsid w:val="6A3142C8"/>
    <w:rsid w:val="7483438F"/>
    <w:rsid w:val="76D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1242</Words>
  <Characters>1297</Characters>
  <Lines>5</Lines>
  <Paragraphs>1</Paragraphs>
  <TotalTime>1</TotalTime>
  <ScaleCrop>false</ScaleCrop>
  <LinksUpToDate>false</LinksUpToDate>
  <CharactersWithSpaces>1404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2021-03-19T00:33:00Z</dcterms:created>
  <dc:creator>微软用户</dc:creator>
  <cp:lastModifiedBy>蒋声祥</cp:lastModifiedBy>
  <dcterms:modified xsi:type="dcterms:W3CDTF">2026-03-11T00:40:11Z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798029BC8710450882FC2917B7AAB7EE</vt:lpwstr>
  </property>
</Properties>
</file>