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94256E">
      <w:pPr>
        <w:pStyle w:val="2"/>
        <w:jc w:val="center"/>
        <w:rPr>
          <w:rFonts w:hint="eastAsia" w:ascii="宋体" w:hAnsi="宋体" w:eastAsia="宋体" w:cs="宋体"/>
        </w:rPr>
      </w:pPr>
      <w:r>
        <w:rPr>
          <w:rFonts w:hint="eastAsia" w:ascii="宋体" w:hAnsi="宋体" w:eastAsia="宋体" w:cs="宋体"/>
          <w:lang w:val="en-US" w:eastAsia="zh-CN"/>
        </w:rPr>
        <w:t>桂林市住房和城乡建设局2026年1月</w:t>
      </w:r>
      <w:r>
        <w:rPr>
          <w:rFonts w:hint="eastAsia" w:ascii="宋体" w:hAnsi="宋体" w:eastAsia="宋体" w:cs="宋体"/>
          <w:lang w:eastAsia="zh-CN"/>
        </w:rPr>
        <w:t>政府</w:t>
      </w:r>
      <w:r>
        <w:rPr>
          <w:rFonts w:hint="eastAsia" w:ascii="宋体" w:hAnsi="宋体" w:eastAsia="宋体" w:cs="宋体"/>
        </w:rPr>
        <w:t>采购意向</w:t>
      </w:r>
    </w:p>
    <w:p w14:paraId="69806A83">
      <w:pPr>
        <w:pStyle w:val="17"/>
        <w:ind w:firstLine="440" w:firstLineChars="200"/>
        <w:rPr>
          <w:rFonts w:hint="eastAsia" w:ascii="宋体" w:hAnsi="宋体" w:eastAsia="宋体" w:cs="宋体"/>
          <w:lang w:val="en-US" w:eastAsia="zh-CN"/>
        </w:rPr>
      </w:pPr>
      <w:r>
        <w:rPr>
          <w:rFonts w:hint="eastAsia" w:ascii="宋体" w:hAnsi="宋体" w:eastAsia="宋体" w:cs="宋体"/>
        </w:rPr>
        <w:t>根据《财政部关于开展政府采购意向公开工作的通知》（财库〔2020〕10号）</w:t>
      </w:r>
      <w:r>
        <w:rPr>
          <w:rFonts w:hint="eastAsia" w:ascii="宋体" w:hAnsi="宋体" w:eastAsia="宋体" w:cs="宋体"/>
          <w:lang w:eastAsia="zh-CN"/>
        </w:rPr>
        <w:t>和《广西壮族自治区财政厅关于进一步规范政府采购意向公开工作的通知》（桂财采</w:t>
      </w:r>
      <w:r>
        <w:rPr>
          <w:rFonts w:hint="eastAsia" w:ascii="宋体" w:hAnsi="宋体" w:eastAsia="宋体" w:cs="宋体"/>
        </w:rPr>
        <w:t>〔202</w:t>
      </w:r>
      <w:r>
        <w:rPr>
          <w:rFonts w:hint="eastAsia" w:ascii="宋体" w:hAnsi="宋体" w:eastAsia="宋体" w:cs="宋体"/>
          <w:lang w:val="en-US" w:eastAsia="zh-CN"/>
        </w:rPr>
        <w:t>2</w:t>
      </w:r>
      <w:r>
        <w:rPr>
          <w:rFonts w:hint="eastAsia" w:ascii="宋体" w:hAnsi="宋体" w:eastAsia="宋体" w:cs="宋体"/>
        </w:rPr>
        <w:t>〕</w:t>
      </w:r>
      <w:r>
        <w:rPr>
          <w:rFonts w:hint="eastAsia" w:ascii="宋体" w:hAnsi="宋体" w:eastAsia="宋体" w:cs="宋体"/>
          <w:lang w:val="en-US" w:eastAsia="zh-CN"/>
        </w:rPr>
        <w:t>84号</w:t>
      </w:r>
      <w:r>
        <w:rPr>
          <w:rFonts w:hint="eastAsia" w:ascii="宋体" w:hAnsi="宋体" w:eastAsia="宋体" w:cs="宋体"/>
          <w:lang w:eastAsia="zh-CN"/>
        </w:rPr>
        <w:t>）</w:t>
      </w:r>
      <w:r>
        <w:rPr>
          <w:rFonts w:hint="eastAsia" w:ascii="宋体" w:hAnsi="宋体" w:eastAsia="宋体" w:cs="宋体"/>
        </w:rPr>
        <w:t>等有关规定，为便于潜在供应商及时了解采购信息，现将本单位设计服务采购意向公开如下</w:t>
      </w:r>
      <w:r>
        <w:rPr>
          <w:rFonts w:hint="eastAsia" w:ascii="宋体" w:hAnsi="宋体" w:eastAsia="宋体" w:cs="宋体"/>
          <w:lang w:val="en-US" w:eastAsia="zh-CN"/>
        </w:rPr>
        <w:t>:</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094"/>
        <w:gridCol w:w="1244"/>
        <w:gridCol w:w="2295"/>
        <w:gridCol w:w="1612"/>
        <w:gridCol w:w="1476"/>
        <w:gridCol w:w="1545"/>
      </w:tblGrid>
      <w:tr w14:paraId="7E090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094" w:type="dxa"/>
            <w:tcBorders>
              <w:top w:val="single" w:color="DEE0E3" w:sz="0" w:space="0"/>
              <w:left w:val="single" w:color="DEE0E3" w:sz="0" w:space="0"/>
              <w:bottom w:val="single" w:color="DEE0E3" w:sz="0" w:space="0"/>
              <w:right w:val="single" w:color="DEE0E3" w:sz="0" w:space="0"/>
            </w:tcBorders>
            <w:tcMar>
              <w:top w:w="60" w:type="dxa"/>
              <w:left w:w="120" w:type="dxa"/>
              <w:bottom w:w="30" w:type="dxa"/>
              <w:right w:w="120" w:type="dxa"/>
            </w:tcMar>
          </w:tcPr>
          <w:p w14:paraId="49B15B76">
            <w:pPr>
              <w:pStyle w:val="17"/>
              <w:rPr>
                <w:rFonts w:hint="eastAsia" w:ascii="宋体" w:hAnsi="宋体" w:eastAsia="宋体" w:cs="宋体"/>
              </w:rPr>
            </w:pPr>
            <w:r>
              <w:rPr>
                <w:rFonts w:hint="eastAsia" w:ascii="宋体" w:hAnsi="宋体" w:eastAsia="宋体" w:cs="宋体"/>
              </w:rPr>
              <w:t>序号</w:t>
            </w:r>
          </w:p>
        </w:tc>
        <w:tc>
          <w:tcPr>
            <w:tcW w:w="1244" w:type="dxa"/>
            <w:tcBorders>
              <w:top w:val="single" w:color="DEE0E3" w:sz="0" w:space="0"/>
              <w:left w:val="single" w:color="DEE0E3" w:sz="0" w:space="0"/>
              <w:bottom w:val="single" w:color="DEE0E3" w:sz="0" w:space="0"/>
              <w:right w:val="single" w:color="DEE0E3" w:sz="0" w:space="0"/>
            </w:tcBorders>
            <w:tcMar>
              <w:top w:w="60" w:type="dxa"/>
              <w:left w:w="120" w:type="dxa"/>
              <w:bottom w:w="30" w:type="dxa"/>
              <w:right w:w="120" w:type="dxa"/>
            </w:tcMar>
          </w:tcPr>
          <w:p w14:paraId="1B671589">
            <w:pPr>
              <w:pStyle w:val="17"/>
              <w:rPr>
                <w:rFonts w:hint="eastAsia" w:ascii="宋体" w:hAnsi="宋体" w:eastAsia="宋体" w:cs="宋体"/>
              </w:rPr>
            </w:pPr>
            <w:r>
              <w:rPr>
                <w:rFonts w:hint="eastAsia" w:ascii="宋体" w:hAnsi="宋体" w:eastAsia="宋体" w:cs="宋体"/>
              </w:rPr>
              <w:t>采购项目名称</w:t>
            </w:r>
          </w:p>
        </w:tc>
        <w:tc>
          <w:tcPr>
            <w:tcW w:w="2295" w:type="dxa"/>
            <w:tcBorders>
              <w:top w:val="single" w:color="DEE0E3" w:sz="0" w:space="0"/>
              <w:left w:val="single" w:color="DEE0E3" w:sz="0" w:space="0"/>
              <w:bottom w:val="single" w:color="DEE0E3" w:sz="0" w:space="0"/>
              <w:right w:val="single" w:color="DEE0E3" w:sz="0" w:space="0"/>
            </w:tcBorders>
            <w:tcMar>
              <w:top w:w="60" w:type="dxa"/>
              <w:left w:w="120" w:type="dxa"/>
              <w:bottom w:w="30" w:type="dxa"/>
              <w:right w:w="120" w:type="dxa"/>
            </w:tcMar>
          </w:tcPr>
          <w:p w14:paraId="4AF60C3D">
            <w:pPr>
              <w:pStyle w:val="17"/>
              <w:rPr>
                <w:rFonts w:hint="eastAsia" w:ascii="宋体" w:hAnsi="宋体" w:eastAsia="宋体" w:cs="宋体"/>
              </w:rPr>
            </w:pPr>
            <w:r>
              <w:rPr>
                <w:rFonts w:hint="eastAsia" w:ascii="宋体" w:hAnsi="宋体" w:eastAsia="宋体" w:cs="宋体"/>
              </w:rPr>
              <w:t>采购需求概况</w:t>
            </w:r>
          </w:p>
        </w:tc>
        <w:tc>
          <w:tcPr>
            <w:tcW w:w="1612" w:type="dxa"/>
            <w:tcBorders>
              <w:top w:val="single" w:color="DEE0E3" w:sz="0" w:space="0"/>
              <w:left w:val="single" w:color="DEE0E3" w:sz="0" w:space="0"/>
              <w:bottom w:val="single" w:color="DEE0E3" w:sz="0" w:space="0"/>
              <w:right w:val="single" w:color="DEE0E3" w:sz="0" w:space="0"/>
            </w:tcBorders>
            <w:tcMar>
              <w:top w:w="60" w:type="dxa"/>
              <w:left w:w="120" w:type="dxa"/>
              <w:bottom w:w="30" w:type="dxa"/>
              <w:right w:w="120" w:type="dxa"/>
            </w:tcMar>
          </w:tcPr>
          <w:p w14:paraId="3BDB557B">
            <w:pPr>
              <w:pStyle w:val="17"/>
              <w:rPr>
                <w:rFonts w:hint="eastAsia" w:ascii="宋体" w:hAnsi="宋体" w:eastAsia="宋体" w:cs="宋体"/>
              </w:rPr>
            </w:pPr>
            <w:r>
              <w:rPr>
                <w:rFonts w:hint="eastAsia" w:ascii="宋体" w:hAnsi="宋体" w:eastAsia="宋体" w:cs="宋体"/>
              </w:rPr>
              <w:t>预算金额（万元）</w:t>
            </w:r>
          </w:p>
        </w:tc>
        <w:tc>
          <w:tcPr>
            <w:tcW w:w="1476" w:type="dxa"/>
            <w:tcBorders>
              <w:top w:val="single" w:color="DEE0E3" w:sz="0" w:space="0"/>
              <w:left w:val="single" w:color="DEE0E3" w:sz="0" w:space="0"/>
              <w:bottom w:val="single" w:color="DEE0E3" w:sz="0" w:space="0"/>
              <w:right w:val="single" w:color="DEE0E3" w:sz="0" w:space="0"/>
            </w:tcBorders>
            <w:tcMar>
              <w:top w:w="60" w:type="dxa"/>
              <w:left w:w="120" w:type="dxa"/>
              <w:bottom w:w="30" w:type="dxa"/>
              <w:right w:w="120" w:type="dxa"/>
            </w:tcMar>
          </w:tcPr>
          <w:p w14:paraId="1E41EFC1">
            <w:pPr>
              <w:pStyle w:val="17"/>
              <w:rPr>
                <w:rFonts w:hint="eastAsia" w:ascii="宋体" w:hAnsi="宋体" w:eastAsia="宋体" w:cs="宋体"/>
              </w:rPr>
            </w:pPr>
            <w:r>
              <w:rPr>
                <w:rFonts w:hint="eastAsia" w:ascii="宋体" w:hAnsi="宋体" w:eastAsia="宋体" w:cs="宋体"/>
              </w:rPr>
              <w:t>预计采购时间</w:t>
            </w:r>
          </w:p>
        </w:tc>
        <w:tc>
          <w:tcPr>
            <w:tcW w:w="1545" w:type="dxa"/>
            <w:tcBorders>
              <w:top w:val="single" w:color="DEE0E3" w:sz="0" w:space="0"/>
              <w:left w:val="single" w:color="DEE0E3" w:sz="0" w:space="0"/>
              <w:bottom w:val="single" w:color="DEE0E3" w:sz="0" w:space="0"/>
              <w:right w:val="single" w:color="DEE0E3" w:sz="0" w:space="0"/>
            </w:tcBorders>
            <w:tcMar>
              <w:top w:w="60" w:type="dxa"/>
              <w:left w:w="120" w:type="dxa"/>
              <w:bottom w:w="30" w:type="dxa"/>
              <w:right w:w="120" w:type="dxa"/>
            </w:tcMar>
          </w:tcPr>
          <w:p w14:paraId="557B4C5D">
            <w:pPr>
              <w:pStyle w:val="17"/>
              <w:rPr>
                <w:rFonts w:hint="eastAsia" w:ascii="宋体" w:hAnsi="宋体" w:eastAsia="宋体" w:cs="宋体"/>
              </w:rPr>
            </w:pPr>
            <w:r>
              <w:rPr>
                <w:rFonts w:hint="eastAsia" w:ascii="宋体" w:hAnsi="宋体" w:eastAsia="宋体" w:cs="宋体"/>
              </w:rPr>
              <w:t>备注</w:t>
            </w:r>
          </w:p>
        </w:tc>
      </w:tr>
      <w:tr w14:paraId="02375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094" w:type="dxa"/>
            <w:tcBorders>
              <w:top w:val="single" w:color="DEE0E3" w:sz="0" w:space="0"/>
              <w:left w:val="single" w:color="DEE0E3" w:sz="0" w:space="0"/>
              <w:bottom w:val="single" w:color="DEE0E3" w:sz="0" w:space="0"/>
              <w:right w:val="single" w:color="DEE0E3" w:sz="0" w:space="0"/>
            </w:tcBorders>
            <w:tcMar>
              <w:top w:w="60" w:type="dxa"/>
              <w:left w:w="120" w:type="dxa"/>
              <w:bottom w:w="30" w:type="dxa"/>
              <w:right w:w="120" w:type="dxa"/>
            </w:tcMar>
          </w:tcPr>
          <w:p w14:paraId="399DDCE4">
            <w:pPr>
              <w:pStyle w:val="17"/>
              <w:rPr>
                <w:rFonts w:hint="eastAsia" w:ascii="宋体" w:hAnsi="宋体" w:eastAsia="宋体" w:cs="宋体"/>
              </w:rPr>
            </w:pPr>
            <w:r>
              <w:rPr>
                <w:rFonts w:hint="eastAsia" w:ascii="宋体" w:hAnsi="宋体" w:eastAsia="宋体" w:cs="宋体"/>
              </w:rPr>
              <w:t>1</w:t>
            </w:r>
          </w:p>
        </w:tc>
        <w:tc>
          <w:tcPr>
            <w:tcW w:w="1244" w:type="dxa"/>
            <w:tcBorders>
              <w:top w:val="single" w:color="DEE0E3" w:sz="0" w:space="0"/>
              <w:left w:val="single" w:color="DEE0E3" w:sz="0" w:space="0"/>
              <w:bottom w:val="single" w:color="DEE0E3" w:sz="0" w:space="0"/>
              <w:right w:val="single" w:color="DEE0E3" w:sz="0" w:space="0"/>
            </w:tcBorders>
            <w:tcMar>
              <w:top w:w="60" w:type="dxa"/>
              <w:left w:w="120" w:type="dxa"/>
              <w:bottom w:w="30" w:type="dxa"/>
              <w:right w:w="120" w:type="dxa"/>
            </w:tcMar>
          </w:tcPr>
          <w:p w14:paraId="1599A474">
            <w:pPr>
              <w:pStyle w:val="17"/>
              <w:rPr>
                <w:rFonts w:hint="default" w:ascii="宋体" w:hAnsi="宋体" w:eastAsia="宋体" w:cs="宋体"/>
                <w:lang w:val="en-US" w:eastAsia="zh-CN"/>
              </w:rPr>
            </w:pPr>
            <w:r>
              <w:rPr>
                <w:rFonts w:hint="eastAsia" w:ascii="宋体" w:hAnsi="宋体" w:eastAsia="宋体" w:cs="宋体"/>
              </w:rPr>
              <w:t>项目名称</w:t>
            </w:r>
            <w:r>
              <w:rPr>
                <w:rFonts w:hint="eastAsia" w:ascii="宋体" w:hAnsi="宋体" w:eastAsia="宋体" w:cs="宋体"/>
                <w:lang w:val="en-US" w:eastAsia="zh-CN"/>
              </w:rPr>
              <w:t>:上海路下穿通道环境整治提升工程</w:t>
            </w:r>
          </w:p>
        </w:tc>
        <w:tc>
          <w:tcPr>
            <w:tcW w:w="2295" w:type="dxa"/>
            <w:tcBorders>
              <w:top w:val="single" w:color="DEE0E3" w:sz="0" w:space="0"/>
              <w:left w:val="single" w:color="DEE0E3" w:sz="0" w:space="0"/>
              <w:bottom w:val="single" w:color="DEE0E3" w:sz="0" w:space="0"/>
              <w:right w:val="single" w:color="DEE0E3" w:sz="0" w:space="0"/>
            </w:tcBorders>
            <w:tcMar>
              <w:top w:w="60" w:type="dxa"/>
              <w:left w:w="120" w:type="dxa"/>
              <w:bottom w:w="30" w:type="dxa"/>
              <w:right w:w="120" w:type="dxa"/>
            </w:tcMar>
          </w:tcPr>
          <w:p w14:paraId="2EC95004">
            <w:pPr>
              <w:pStyle w:val="17"/>
              <w:rPr>
                <w:rFonts w:hint="eastAsia" w:ascii="宋体" w:hAnsi="宋体" w:eastAsia="宋体" w:cs="宋体"/>
                <w:lang w:val="en-US" w:eastAsia="zh-CN"/>
              </w:rPr>
            </w:pPr>
            <w:r>
              <w:rPr>
                <w:rFonts w:hint="eastAsia" w:ascii="宋体" w:hAnsi="宋体" w:eastAsia="宋体" w:cs="宋体"/>
                <w:lang w:val="en-US" w:eastAsia="zh-CN"/>
              </w:rPr>
              <w:t>上海路下穿通道南侧及北侧人行通道。本项目聚焦通道功能性</w:t>
            </w:r>
            <w:bookmarkStart w:id="0" w:name="_GoBack"/>
            <w:bookmarkEnd w:id="0"/>
            <w:r>
              <w:rPr>
                <w:rFonts w:hint="eastAsia" w:ascii="宋体" w:hAnsi="宋体" w:eastAsia="宋体" w:cs="宋体"/>
                <w:lang w:val="en-US" w:eastAsia="zh-CN"/>
              </w:rPr>
              <w:t>与环境提升，兼顾实用性、安全性与文化性，方案见附件1，主要建设内容包括：</w:t>
            </w:r>
          </w:p>
          <w:p w14:paraId="1222396C">
            <w:pPr>
              <w:pStyle w:val="17"/>
              <w:rPr>
                <w:rFonts w:hint="eastAsia" w:ascii="宋体" w:hAnsi="宋体" w:eastAsia="宋体" w:cs="宋体"/>
                <w:lang w:val="en-US" w:eastAsia="zh-CN"/>
              </w:rPr>
            </w:pPr>
            <w:r>
              <w:rPr>
                <w:rFonts w:hint="eastAsia" w:ascii="宋体" w:hAnsi="宋体" w:eastAsia="宋体" w:cs="宋体"/>
                <w:lang w:val="en-US" w:eastAsia="zh-CN"/>
              </w:rPr>
              <w:t>（一）墙面与顶棚美化：对通道内墙面、顶棚进行拆除、清洗，采用环保耐用装饰材料进行翻新，融入桂林山水文化、民俗特色等元素设计艺术图案，增强视觉美感与文化辨识度；</w:t>
            </w:r>
          </w:p>
          <w:p w14:paraId="4D022659">
            <w:pPr>
              <w:pStyle w:val="17"/>
              <w:rPr>
                <w:rFonts w:hint="eastAsia" w:ascii="宋体" w:hAnsi="宋体" w:eastAsia="宋体" w:cs="宋体"/>
                <w:lang w:val="en-US" w:eastAsia="zh-CN"/>
              </w:rPr>
            </w:pPr>
            <w:r>
              <w:rPr>
                <w:rFonts w:hint="eastAsia" w:ascii="宋体" w:hAnsi="宋体" w:eastAsia="宋体" w:cs="宋体"/>
                <w:lang w:val="en-US" w:eastAsia="zh-CN"/>
              </w:rPr>
              <w:t>（二）照明系统升级：优化光照布局，提升光照均匀度与显色性，全面消除照明死角，保障夜间通行安全；</w:t>
            </w:r>
          </w:p>
          <w:p w14:paraId="4AA93265">
            <w:pPr>
              <w:pStyle w:val="17"/>
              <w:rPr>
                <w:rFonts w:hint="eastAsia" w:ascii="宋体" w:hAnsi="宋体" w:eastAsia="宋体" w:cs="宋体"/>
                <w:lang w:val="en-US" w:eastAsia="zh-CN"/>
              </w:rPr>
            </w:pPr>
            <w:r>
              <w:rPr>
                <w:rFonts w:hint="eastAsia" w:ascii="宋体" w:hAnsi="宋体" w:eastAsia="宋体" w:cs="宋体"/>
                <w:lang w:val="en-US" w:eastAsia="zh-CN"/>
              </w:rPr>
              <w:t>（三）景观与文化植入：在通道出入口，设置与城市风貌相协调的景观小品，展示桂林城市特色与人文底蕴，丰富空间功能；</w:t>
            </w:r>
          </w:p>
          <w:p w14:paraId="48F5CC61">
            <w:pPr>
              <w:pStyle w:val="17"/>
              <w:rPr>
                <w:rFonts w:hint="eastAsia" w:ascii="宋体" w:hAnsi="宋体" w:eastAsia="宋体" w:cs="宋体"/>
                <w:lang w:val="en-US" w:eastAsia="zh-CN"/>
              </w:rPr>
            </w:pPr>
            <w:r>
              <w:rPr>
                <w:rFonts w:hint="eastAsia" w:ascii="宋体" w:hAnsi="宋体" w:eastAsia="宋体" w:cs="宋体"/>
                <w:lang w:val="en-US" w:eastAsia="zh-CN"/>
              </w:rPr>
              <w:t>（四）设施完善提升：全面检查并疏通排水系统，解决积水隐患，为后续美化设施的保养维护提供条件。</w:t>
            </w:r>
          </w:p>
          <w:p w14:paraId="34262301">
            <w:pPr>
              <w:keepNext w:val="0"/>
              <w:keepLines w:val="0"/>
              <w:pageBreakBefore w:val="0"/>
              <w:widowControl/>
              <w:kinsoku/>
              <w:wordWrap/>
              <w:overflowPunct/>
              <w:topLinePunct w:val="0"/>
              <w:autoSpaceDE w:val="0"/>
              <w:autoSpaceDN w:val="0"/>
              <w:bidi w:val="0"/>
              <w:adjustRightInd w:val="0"/>
              <w:snapToGrid/>
              <w:spacing w:line="360" w:lineRule="auto"/>
              <w:ind w:firstLine="420" w:firstLineChars="200"/>
              <w:jc w:val="left"/>
              <w:textAlignment w:val="auto"/>
              <w:rPr>
                <w:rFonts w:hint="eastAsia" w:ascii="宋体" w:hAnsi="宋体" w:eastAsia="宋体" w:cs="宋体"/>
              </w:rPr>
            </w:pPr>
          </w:p>
        </w:tc>
        <w:tc>
          <w:tcPr>
            <w:tcW w:w="1612" w:type="dxa"/>
            <w:tcBorders>
              <w:top w:val="single" w:color="DEE0E3" w:sz="0" w:space="0"/>
              <w:left w:val="single" w:color="DEE0E3" w:sz="0" w:space="0"/>
              <w:bottom w:val="single" w:color="DEE0E3" w:sz="0" w:space="0"/>
              <w:right w:val="single" w:color="DEE0E3" w:sz="0" w:space="0"/>
            </w:tcBorders>
            <w:tcMar>
              <w:top w:w="60" w:type="dxa"/>
              <w:left w:w="120" w:type="dxa"/>
              <w:bottom w:w="30" w:type="dxa"/>
              <w:right w:w="120" w:type="dxa"/>
            </w:tcMar>
          </w:tcPr>
          <w:p w14:paraId="52FC6CDB">
            <w:pPr>
              <w:pStyle w:val="17"/>
              <w:rPr>
                <w:rFonts w:hint="eastAsia" w:ascii="宋体" w:hAnsi="宋体" w:eastAsia="宋体" w:cs="宋体"/>
              </w:rPr>
            </w:pPr>
            <w:r>
              <w:rPr>
                <w:rFonts w:hint="eastAsia" w:ascii="宋体" w:hAnsi="宋体" w:eastAsia="宋体" w:cs="宋体"/>
              </w:rPr>
              <w:t>人民币</w:t>
            </w:r>
            <w:r>
              <w:rPr>
                <w:rFonts w:hint="eastAsia" w:ascii="宋体" w:hAnsi="宋体" w:eastAsia="宋体" w:cs="宋体"/>
                <w:lang w:val="en-US" w:eastAsia="zh-CN"/>
              </w:rPr>
              <w:t>:80</w:t>
            </w:r>
            <w:r>
              <w:rPr>
                <w:rFonts w:hint="eastAsia" w:ascii="宋体" w:hAnsi="宋体" w:eastAsia="宋体" w:cs="宋体"/>
              </w:rPr>
              <w:t>万元（大写：</w:t>
            </w:r>
            <w:r>
              <w:rPr>
                <w:rFonts w:hint="eastAsia" w:ascii="宋体" w:hAnsi="宋体" w:eastAsia="宋体" w:cs="宋体"/>
                <w:lang w:val="en-US" w:eastAsia="zh-CN"/>
              </w:rPr>
              <w:t>捌拾万元</w:t>
            </w:r>
            <w:r>
              <w:rPr>
                <w:rFonts w:hint="eastAsia" w:ascii="宋体" w:hAnsi="宋体" w:eastAsia="宋体" w:cs="宋体"/>
              </w:rPr>
              <w:t>）</w:t>
            </w:r>
          </w:p>
        </w:tc>
        <w:tc>
          <w:tcPr>
            <w:tcW w:w="1476" w:type="dxa"/>
            <w:tcBorders>
              <w:top w:val="single" w:color="DEE0E3" w:sz="0" w:space="0"/>
              <w:left w:val="single" w:color="DEE0E3" w:sz="0" w:space="0"/>
              <w:bottom w:val="single" w:color="DEE0E3" w:sz="0" w:space="0"/>
              <w:right w:val="single" w:color="DEE0E3" w:sz="0" w:space="0"/>
            </w:tcBorders>
            <w:tcMar>
              <w:top w:w="60" w:type="dxa"/>
              <w:left w:w="120" w:type="dxa"/>
              <w:bottom w:w="30" w:type="dxa"/>
              <w:right w:w="120" w:type="dxa"/>
            </w:tcMar>
          </w:tcPr>
          <w:p w14:paraId="2D080D88">
            <w:pPr>
              <w:pStyle w:val="17"/>
              <w:rPr>
                <w:rFonts w:hint="eastAsia" w:ascii="宋体" w:hAnsi="宋体" w:eastAsia="宋体" w:cs="宋体"/>
              </w:rPr>
            </w:pPr>
            <w:r>
              <w:rPr>
                <w:rFonts w:hint="eastAsia" w:ascii="宋体" w:hAnsi="宋体" w:eastAsia="宋体" w:cs="宋体"/>
                <w:lang w:val="en-US" w:eastAsia="zh-CN"/>
              </w:rPr>
              <w:t>2026</w:t>
            </w:r>
            <w:r>
              <w:rPr>
                <w:rFonts w:hint="eastAsia" w:ascii="宋体" w:hAnsi="宋体" w:eastAsia="宋体" w:cs="宋体"/>
              </w:rPr>
              <w:t>年</w:t>
            </w:r>
            <w:r>
              <w:rPr>
                <w:rFonts w:hint="eastAsia" w:ascii="宋体" w:hAnsi="宋体" w:eastAsia="宋体" w:cs="宋体"/>
                <w:lang w:val="en-US" w:eastAsia="zh-CN"/>
              </w:rPr>
              <w:t>1</w:t>
            </w:r>
            <w:r>
              <w:rPr>
                <w:rFonts w:hint="eastAsia" w:ascii="宋体" w:hAnsi="宋体" w:eastAsia="宋体" w:cs="宋体"/>
              </w:rPr>
              <w:t>月</w:t>
            </w:r>
          </w:p>
        </w:tc>
        <w:tc>
          <w:tcPr>
            <w:tcW w:w="1545" w:type="dxa"/>
            <w:tcBorders>
              <w:top w:val="single" w:color="DEE0E3" w:sz="0" w:space="0"/>
              <w:left w:val="single" w:color="DEE0E3" w:sz="0" w:space="0"/>
              <w:bottom w:val="single" w:color="DEE0E3" w:sz="0" w:space="0"/>
              <w:right w:val="single" w:color="DEE0E3" w:sz="0" w:space="0"/>
            </w:tcBorders>
            <w:tcMar>
              <w:top w:w="60" w:type="dxa"/>
              <w:left w:w="120" w:type="dxa"/>
              <w:bottom w:w="30" w:type="dxa"/>
              <w:right w:w="120" w:type="dxa"/>
            </w:tcMar>
          </w:tcPr>
          <w:p w14:paraId="0BEC46AF">
            <w:pPr>
              <w:pStyle w:val="17"/>
              <w:rPr>
                <w:rFonts w:hint="eastAsia" w:ascii="宋体" w:hAnsi="宋体" w:eastAsia="等线" w:cs="宋体"/>
                <w:lang w:eastAsia="zh-CN"/>
              </w:rPr>
            </w:pPr>
            <w:r>
              <w:rPr>
                <w:rFonts w:hint="eastAsia" w:ascii="宋体" w:hAnsi="宋体"/>
                <w:color w:val="auto"/>
                <w:sz w:val="22"/>
                <w:szCs w:val="22"/>
                <w:highlight w:val="none"/>
              </w:rPr>
              <w:t>合同履行期间，成交人应全力配合采购人相关工作</w:t>
            </w:r>
            <w:r>
              <w:rPr>
                <w:rFonts w:hint="eastAsia" w:ascii="宋体" w:hAnsi="宋体"/>
                <w:color w:val="auto"/>
                <w:sz w:val="22"/>
                <w:szCs w:val="22"/>
                <w:highlight w:val="none"/>
                <w:lang w:eastAsia="zh-CN"/>
              </w:rPr>
              <w:t>。</w:t>
            </w:r>
          </w:p>
        </w:tc>
      </w:tr>
    </w:tbl>
    <w:p w14:paraId="36B5D718">
      <w:pPr>
        <w:pStyle w:val="3"/>
        <w:rPr>
          <w:rFonts w:hint="eastAsia" w:ascii="宋体" w:hAnsi="宋体" w:eastAsia="宋体" w:cs="宋体"/>
        </w:rPr>
      </w:pPr>
      <w:r>
        <w:rPr>
          <w:rFonts w:hint="eastAsia" w:ascii="宋体" w:hAnsi="宋体" w:eastAsia="宋体" w:cs="宋体"/>
        </w:rPr>
        <w:t>其他说明</w:t>
      </w:r>
    </w:p>
    <w:p w14:paraId="3DED29E3">
      <w:pPr>
        <w:pStyle w:val="17"/>
        <w:numPr>
          <w:ilvl w:val="0"/>
          <w:numId w:val="0"/>
        </w:numPr>
        <w:ind w:leftChars="0" w:firstLine="440" w:firstLineChars="200"/>
        <w:rPr>
          <w:rFonts w:hint="eastAsia" w:ascii="宋体" w:hAnsi="宋体" w:eastAsia="宋体" w:cs="宋体"/>
        </w:rPr>
      </w:pPr>
      <w:r>
        <w:rPr>
          <w:rFonts w:hint="eastAsia" w:ascii="宋体" w:hAnsi="宋体" w:eastAsia="宋体" w:cs="宋体"/>
        </w:rPr>
        <w:t>本公告为</w:t>
      </w:r>
      <w:r>
        <w:rPr>
          <w:rFonts w:hint="eastAsia" w:ascii="宋体" w:hAnsi="宋体" w:eastAsia="宋体" w:cs="宋体"/>
          <w:lang w:eastAsia="zh-CN"/>
        </w:rPr>
        <w:t>本单位政府</w:t>
      </w:r>
      <w:r>
        <w:rPr>
          <w:rFonts w:hint="eastAsia" w:ascii="宋体" w:hAnsi="宋体" w:eastAsia="宋体" w:cs="宋体"/>
        </w:rPr>
        <w:t>采购意向预告，最终采购</w:t>
      </w:r>
      <w:r>
        <w:rPr>
          <w:rFonts w:hint="eastAsia" w:ascii="宋体" w:hAnsi="宋体" w:eastAsia="宋体" w:cs="宋体"/>
          <w:lang w:eastAsia="zh-CN"/>
        </w:rPr>
        <w:t>项目情况以</w:t>
      </w:r>
      <w:r>
        <w:rPr>
          <w:rFonts w:hint="eastAsia" w:ascii="宋体" w:hAnsi="宋体" w:eastAsia="宋体" w:cs="宋体"/>
        </w:rPr>
        <w:t>正式发布的采购公告及采购文件为准。</w:t>
      </w:r>
    </w:p>
    <w:p w14:paraId="72F0737B">
      <w:pPr>
        <w:pStyle w:val="17"/>
        <w:numPr>
          <w:ilvl w:val="0"/>
          <w:numId w:val="0"/>
        </w:numPr>
        <w:ind w:firstLine="440" w:firstLineChars="200"/>
        <w:rPr>
          <w:rFonts w:hint="eastAsia" w:ascii="宋体" w:hAnsi="宋体" w:eastAsia="宋体" w:cs="宋体"/>
          <w:lang w:eastAsia="zh-CN"/>
        </w:rPr>
      </w:pPr>
      <w:r>
        <w:rPr>
          <w:rFonts w:hint="eastAsia" w:ascii="宋体" w:hAnsi="宋体" w:eastAsia="宋体" w:cs="宋体"/>
        </w:rPr>
        <w:t>采购单位：</w:t>
      </w:r>
      <w:r>
        <w:rPr>
          <w:rFonts w:hint="eastAsia" w:ascii="宋体" w:hAnsi="宋体" w:eastAsia="宋体" w:cs="宋体"/>
          <w:lang w:eastAsia="zh-CN"/>
        </w:rPr>
        <w:t>桂林市住房和城乡建设局</w:t>
      </w:r>
    </w:p>
    <w:p w14:paraId="45A2F4E4">
      <w:pPr>
        <w:pStyle w:val="17"/>
        <w:ind w:firstLine="440" w:firstLineChars="200"/>
        <w:rPr>
          <w:rFonts w:hint="eastAsia" w:ascii="宋体" w:hAnsi="宋体" w:eastAsia="宋体" w:cs="宋体"/>
        </w:rPr>
      </w:pPr>
      <w:r>
        <w:rPr>
          <w:rFonts w:hint="eastAsia" w:ascii="宋体" w:hAnsi="宋体" w:eastAsia="宋体" w:cs="宋体"/>
          <w:lang w:val="en-US" w:eastAsia="zh-CN"/>
        </w:rPr>
        <w:t>2026</w:t>
      </w:r>
      <w:r>
        <w:rPr>
          <w:rFonts w:hint="eastAsia" w:ascii="宋体" w:hAnsi="宋体" w:eastAsia="宋体" w:cs="宋体"/>
        </w:rPr>
        <w:t>年</w:t>
      </w:r>
      <w:r>
        <w:rPr>
          <w:rFonts w:hint="eastAsia" w:ascii="宋体" w:hAnsi="宋体" w:eastAsia="宋体" w:cs="宋体"/>
          <w:lang w:val="en-US" w:eastAsia="zh-CN"/>
        </w:rPr>
        <w:t>1</w:t>
      </w:r>
      <w:r>
        <w:rPr>
          <w:rFonts w:hint="eastAsia" w:ascii="宋体" w:hAnsi="宋体" w:eastAsia="宋体" w:cs="宋体"/>
        </w:rPr>
        <w:t>月</w:t>
      </w:r>
      <w:r>
        <w:rPr>
          <w:rFonts w:hint="eastAsia" w:ascii="宋体" w:hAnsi="宋体" w:eastAsia="宋体" w:cs="宋体"/>
          <w:lang w:val="en-US" w:eastAsia="zh-CN"/>
        </w:rPr>
        <w:t>21</w:t>
      </w:r>
      <w:r>
        <w:rPr>
          <w:rFonts w:hint="eastAsia" w:ascii="宋体" w:hAnsi="宋体" w:eastAsia="宋体" w:cs="宋体"/>
        </w:rPr>
        <w:t>日</w:t>
      </w:r>
    </w:p>
    <w:p w14:paraId="48BB9DA1">
      <w:pPr>
        <w:pStyle w:val="17"/>
        <w:rPr>
          <w:rFonts w:hint="eastAsia" w:ascii="宋体" w:hAnsi="宋体" w:eastAsia="宋体" w:cs="宋体"/>
        </w:rPr>
      </w:pPr>
    </w:p>
    <w:sectPr>
      <w:pgSz w:w="11906" w:h="16838"/>
      <w:pgMar w:top="1440" w:right="1440" w:bottom="1440" w:left="144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4"/>
  <w:displayBackgroundShape w:val="1"/>
  <w:bordersDoNotSurroundHeader w:val="0"/>
  <w:bordersDoNotSurroundFooter w:val="0"/>
  <w:documentProtection w:enforcement="0"/>
  <w:displayHorizontalDrawingGridEvery w:val="1"/>
  <w:displayVerticalDrawingGridEvery w:val="1"/>
  <w:noPunctuationKerning w:val="1"/>
  <w:compat>
    <w:doNotExpandShiftReturn/>
    <w:doNotWrapTextWithPunct/>
    <w:doNotUseEastAsianBreakRules/>
    <w:useFELayout/>
    <w:doNotUseIndentAsNumberingTabStop/>
    <w:useAltKinsokuLineBreakRules/>
    <w:compatSetting w:name="compatibilityMode" w:uri="http://schemas.microsoft.com/office/word" w:val="15"/>
  </w:compat>
  <w:rsids>
    <w:rsidRoot w:val="00000000"/>
    <w:rsid w:val="089201E4"/>
    <w:rsid w:val="0AEE223C"/>
    <w:rsid w:val="0C1D62B7"/>
    <w:rsid w:val="27537C35"/>
    <w:rsid w:val="2BA70A25"/>
    <w:rsid w:val="35A07604"/>
    <w:rsid w:val="3CA50502"/>
    <w:rsid w:val="5AF65A87"/>
    <w:rsid w:val="644B3C9B"/>
    <w:rsid w:val="65EF4235"/>
    <w:rsid w:val="71C00A3A"/>
    <w:rsid w:val="735A7B41"/>
    <w:rsid w:val="7B7E28FE"/>
    <w:rsid w:val="7EFFBC7F"/>
    <w:rsid w:val="9B6F19D3"/>
    <w:rsid w:val="D7E50CF2"/>
    <w:rsid w:val="FFA3F68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sz w:val="21"/>
      <w:szCs w:val="22"/>
    </w:rPr>
  </w:style>
  <w:style w:type="paragraph" w:styleId="2">
    <w:name w:val="heading 1"/>
    <w:next w:val="1"/>
    <w:qFormat/>
    <w:uiPriority w:val="0"/>
    <w:pPr>
      <w:spacing w:before="380" w:after="140" w:line="288" w:lineRule="auto"/>
      <w:ind w:left="0"/>
      <w:jc w:val="left"/>
      <w:outlineLvl w:val="0"/>
    </w:pPr>
    <w:rPr>
      <w:rFonts w:ascii="Arial" w:hAnsi="Arial" w:eastAsia="等线" w:cs="Arial"/>
      <w:b/>
      <w:bCs/>
      <w:sz w:val="36"/>
      <w:szCs w:val="36"/>
    </w:rPr>
  </w:style>
  <w:style w:type="paragraph" w:styleId="3">
    <w:name w:val="heading 2"/>
    <w:next w:val="1"/>
    <w:qFormat/>
    <w:uiPriority w:val="0"/>
    <w:pPr>
      <w:spacing w:before="320" w:after="120" w:line="288" w:lineRule="auto"/>
      <w:ind w:left="0"/>
      <w:jc w:val="left"/>
      <w:outlineLvl w:val="1"/>
    </w:pPr>
    <w:rPr>
      <w:rFonts w:ascii="Arial" w:hAnsi="Arial" w:eastAsia="等线" w:cs="Arial"/>
      <w:b/>
      <w:bCs/>
      <w:sz w:val="32"/>
      <w:szCs w:val="32"/>
    </w:rPr>
  </w:style>
  <w:style w:type="paragraph" w:styleId="4">
    <w:name w:val="heading 3"/>
    <w:next w:val="1"/>
    <w:qFormat/>
    <w:uiPriority w:val="0"/>
    <w:pPr>
      <w:spacing w:before="300" w:after="120" w:line="288" w:lineRule="auto"/>
      <w:ind w:left="0"/>
      <w:jc w:val="left"/>
      <w:outlineLvl w:val="2"/>
    </w:pPr>
    <w:rPr>
      <w:rFonts w:ascii="Arial" w:hAnsi="Arial" w:eastAsia="等线" w:cs="Arial"/>
      <w:b/>
      <w:bCs/>
      <w:sz w:val="30"/>
      <w:szCs w:val="30"/>
    </w:rPr>
  </w:style>
  <w:style w:type="paragraph" w:styleId="5">
    <w:name w:val="heading 4"/>
    <w:next w:val="1"/>
    <w:qFormat/>
    <w:uiPriority w:val="0"/>
    <w:pPr>
      <w:spacing w:before="260" w:after="120" w:line="288" w:lineRule="auto"/>
      <w:ind w:left="0"/>
      <w:jc w:val="left"/>
      <w:outlineLvl w:val="3"/>
    </w:pPr>
    <w:rPr>
      <w:rFonts w:ascii="Arial" w:hAnsi="Arial" w:eastAsia="等线" w:cs="Arial"/>
      <w:b/>
      <w:bCs/>
      <w:sz w:val="28"/>
      <w:szCs w:val="28"/>
    </w:rPr>
  </w:style>
  <w:style w:type="paragraph" w:styleId="6">
    <w:name w:val="heading 5"/>
    <w:next w:val="1"/>
    <w:qFormat/>
    <w:uiPriority w:val="0"/>
    <w:pPr>
      <w:spacing w:before="240" w:after="120" w:line="288" w:lineRule="auto"/>
      <w:ind w:left="0"/>
      <w:jc w:val="left"/>
      <w:outlineLvl w:val="4"/>
    </w:pPr>
    <w:rPr>
      <w:rFonts w:ascii="Arial" w:hAnsi="Arial" w:eastAsia="等线" w:cs="Arial"/>
      <w:b/>
      <w:bCs/>
      <w:sz w:val="24"/>
      <w:szCs w:val="24"/>
    </w:rPr>
  </w:style>
  <w:style w:type="paragraph" w:styleId="7">
    <w:name w:val="heading 6"/>
    <w:next w:val="1"/>
    <w:qFormat/>
    <w:uiPriority w:val="0"/>
    <w:pPr>
      <w:spacing w:before="240" w:after="120" w:line="288" w:lineRule="auto"/>
      <w:ind w:left="0"/>
      <w:jc w:val="left"/>
      <w:outlineLvl w:val="5"/>
    </w:pPr>
    <w:rPr>
      <w:rFonts w:ascii="Arial" w:hAnsi="Arial" w:eastAsia="等线" w:cs="Arial"/>
      <w:b/>
      <w:bCs/>
      <w:sz w:val="24"/>
      <w:szCs w:val="24"/>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8">
    <w:name w:val="footnote text"/>
    <w:link w:val="16"/>
    <w:semiHidden/>
    <w:unhideWhenUsed/>
    <w:qFormat/>
    <w:uiPriority w:val="99"/>
    <w:pPr>
      <w:spacing w:after="0" w:line="240" w:lineRule="auto"/>
    </w:pPr>
    <w:rPr>
      <w:rFonts w:ascii="Times New Roman" w:hAnsi="Times New Roman" w:eastAsia="宋体" w:cs="Times New Roman"/>
      <w:sz w:val="20"/>
      <w:szCs w:val="20"/>
    </w:rPr>
  </w:style>
  <w:style w:type="paragraph" w:styleId="9">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0">
    <w:name w:val="Title"/>
    <w:qFormat/>
    <w:uiPriority w:val="0"/>
    <w:pPr>
      <w:spacing w:before="480" w:after="480" w:line="288" w:lineRule="auto"/>
      <w:ind w:left="0"/>
    </w:pPr>
    <w:rPr>
      <w:rFonts w:ascii="Arial" w:hAnsi="Arial" w:eastAsia="等线" w:cs="Arial"/>
      <w:b/>
      <w:bCs/>
      <w:sz w:val="52"/>
      <w:szCs w:val="52"/>
    </w:rPr>
  </w:style>
  <w:style w:type="character" w:styleId="13">
    <w:name w:val="Hyperlink"/>
    <w:unhideWhenUsed/>
    <w:qFormat/>
    <w:uiPriority w:val="99"/>
    <w:rPr>
      <w:color w:val="0563C1"/>
      <w:u w:val="single"/>
    </w:rPr>
  </w:style>
  <w:style w:type="character" w:styleId="14">
    <w:name w:val="footnote reference"/>
    <w:semiHidden/>
    <w:unhideWhenUsed/>
    <w:qFormat/>
    <w:uiPriority w:val="99"/>
    <w:rPr>
      <w:vertAlign w:val="superscript"/>
    </w:rPr>
  </w:style>
  <w:style w:type="paragraph" w:styleId="15">
    <w:name w:val="List Paragraph"/>
    <w:qFormat/>
    <w:uiPriority w:val="0"/>
    <w:rPr>
      <w:rFonts w:ascii="Times New Roman" w:hAnsi="Times New Roman" w:eastAsia="宋体" w:cs="Times New Roman"/>
      <w:sz w:val="21"/>
      <w:szCs w:val="22"/>
    </w:rPr>
  </w:style>
  <w:style w:type="character" w:customStyle="1" w:styleId="16">
    <w:name w:val="Footnote Text Char"/>
    <w:link w:val="8"/>
    <w:semiHidden/>
    <w:unhideWhenUsed/>
    <w:qFormat/>
    <w:uiPriority w:val="99"/>
    <w:rPr>
      <w:sz w:val="20"/>
      <w:szCs w:val="20"/>
    </w:rPr>
  </w:style>
  <w:style w:type="paragraph" w:customStyle="1" w:styleId="17">
    <w:name w:val="_Style 13"/>
    <w:qFormat/>
    <w:uiPriority w:val="0"/>
    <w:pPr>
      <w:spacing w:before="120" w:after="120" w:line="288" w:lineRule="auto"/>
      <w:ind w:left="0"/>
      <w:jc w:val="left"/>
    </w:pPr>
    <w:rPr>
      <w:rFonts w:ascii="Arial" w:hAnsi="Arial" w:eastAsia="等线" w:cs="Arial"/>
      <w:sz w:val="22"/>
      <w:szCs w:val="22"/>
    </w:rPr>
  </w:style>
  <w:style w:type="paragraph" w:customStyle="1" w:styleId="18">
    <w:name w:val="_Style 14"/>
    <w:qFormat/>
    <w:uiPriority w:val="0"/>
    <w:pPr>
      <w:spacing w:before="120" w:after="120" w:line="288" w:lineRule="auto"/>
      <w:ind w:left="0"/>
      <w:jc w:val="left"/>
    </w:pPr>
    <w:rPr>
      <w:rFonts w:ascii="Arial" w:hAnsi="Arial" w:eastAsia="等线" w:cs="Arial"/>
      <w:color w:val="8F959E"/>
      <w:sz w:val="22"/>
      <w:szCs w:val="2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Pages>
  <Words>591</Words>
  <Characters>611</Characters>
  <TotalTime>13</TotalTime>
  <ScaleCrop>false</ScaleCrop>
  <LinksUpToDate>false</LinksUpToDate>
  <CharactersWithSpaces>611</CharactersWithSpaces>
  <Application>WPS Office_12.1.0.24034_F1E327BC-269C-435d-A152-05C5408002CA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2025-11-21T08:28:00Z</dcterms:created>
  <dc:creator>Un-named</dc:creator>
  <cp:lastModifiedBy>杨小段。</cp:lastModifiedBy>
  <dcterms:modified xsi:type="dcterms:W3CDTF">2026-01-21T08:19:38Z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eyJoZGlkIjoiNTkwOGUyNTgyMDdhM2IwMzUzNWQ5NjMxMDY1NzQxOTIiLCJ1c2VySWQiOiI3MTgyODUxNDEifQ==</vt:lpwstr>
  </property>
  <property fmtid="{D5CDD505-2E9C-101B-9397-08002B2CF9AE}" pid="3" name="KSOProductBuildVer">
    <vt:lpwstr>2052-12.1.0.24034</vt:lpwstr>
  </property>
  <property fmtid="{D5CDD505-2E9C-101B-9397-08002B2CF9AE}" pid="4" name="ICV">
    <vt:lpwstr>6CDBA362AFC84F90B77CCF2A9AA7240B_13</vt:lpwstr>
  </property>
</Properties>
</file>