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043A7">
      <w:pPr>
        <w:tabs>
          <w:tab w:val="left" w:pos="993"/>
          <w:tab w:val="left" w:pos="1134"/>
          <w:tab w:val="left" w:pos="1418"/>
        </w:tabs>
        <w:spacing w:line="520" w:lineRule="exact"/>
        <w:jc w:val="center"/>
        <w:rPr>
          <w:rFonts w:hint="eastAsia" w:ascii="宋体" w:hAnsi="宋体" w:eastAsia="宋体" w:cs="宋体"/>
          <w:sz w:val="32"/>
          <w:szCs w:val="32"/>
          <w:lang w:eastAsia="zh-CN"/>
        </w:rPr>
      </w:pPr>
      <w:r>
        <w:rPr>
          <w:rFonts w:hint="eastAsia" w:ascii="宋体" w:hAnsi="宋体" w:cs="宋体"/>
          <w:sz w:val="32"/>
          <w:szCs w:val="32"/>
          <w:lang w:val="en-US" w:eastAsia="zh-CN"/>
        </w:rPr>
        <w:t>北海市铁山港区住房和城乡建设局2026</w:t>
      </w:r>
      <w:r>
        <w:rPr>
          <w:rFonts w:hint="eastAsia" w:ascii="宋体" w:hAnsi="宋体" w:eastAsia="宋体" w:cs="宋体"/>
          <w:sz w:val="32"/>
          <w:szCs w:val="32"/>
          <w:lang w:val="en-US" w:eastAsia="zh-CN"/>
        </w:rPr>
        <w:t>年</w:t>
      </w:r>
      <w:r>
        <w:rPr>
          <w:rFonts w:hint="eastAsia" w:ascii="宋体" w:hAnsi="宋体" w:cs="宋体"/>
          <w:sz w:val="32"/>
          <w:szCs w:val="32"/>
          <w:lang w:val="en-US" w:eastAsia="zh-CN"/>
        </w:rPr>
        <w:t>3</w:t>
      </w:r>
      <w:r>
        <w:rPr>
          <w:rFonts w:hint="eastAsia" w:ascii="宋体" w:hAnsi="宋体" w:eastAsia="宋体" w:cs="宋体"/>
          <w:sz w:val="32"/>
          <w:szCs w:val="32"/>
          <w:lang w:val="en-US" w:eastAsia="zh-CN"/>
        </w:rPr>
        <w:t>月至</w:t>
      </w:r>
      <w:r>
        <w:rPr>
          <w:rFonts w:hint="eastAsia" w:ascii="宋体" w:hAnsi="宋体" w:cs="宋体"/>
          <w:sz w:val="32"/>
          <w:szCs w:val="32"/>
          <w:lang w:val="en-US" w:eastAsia="zh-CN"/>
        </w:rPr>
        <w:t>4</w:t>
      </w:r>
      <w:r>
        <w:rPr>
          <w:rFonts w:hint="eastAsia" w:ascii="宋体" w:hAnsi="宋体" w:eastAsia="宋体" w:cs="宋体"/>
          <w:sz w:val="32"/>
          <w:szCs w:val="32"/>
          <w:lang w:val="en-US" w:eastAsia="zh-CN"/>
        </w:rPr>
        <w:t>月政府</w:t>
      </w:r>
      <w:r>
        <w:rPr>
          <w:rFonts w:hint="eastAsia" w:ascii="宋体" w:hAnsi="宋体" w:eastAsia="宋体" w:cs="宋体"/>
          <w:sz w:val="32"/>
          <w:szCs w:val="32"/>
        </w:rPr>
        <w:t>采购意向</w:t>
      </w:r>
      <w:bookmarkStart w:id="0" w:name="_GoBack"/>
      <w:bookmarkEnd w:id="0"/>
    </w:p>
    <w:p w14:paraId="7605423C">
      <w:pPr>
        <w:widowControl/>
        <w:tabs>
          <w:tab w:val="left" w:pos="993"/>
          <w:tab w:val="left" w:pos="1134"/>
          <w:tab w:val="left" w:pos="1418"/>
        </w:tabs>
        <w:spacing w:line="520" w:lineRule="exact"/>
        <w:ind w:firstLine="480" w:firstLineChars="200"/>
        <w:jc w:val="both"/>
        <w:rPr>
          <w:rFonts w:hint="eastAsia" w:ascii="宋体" w:hAnsi="宋体" w:eastAsia="宋体" w:cs="宋体"/>
          <w:sz w:val="24"/>
          <w:szCs w:val="24"/>
        </w:rPr>
      </w:pPr>
    </w:p>
    <w:tbl>
      <w:tblPr>
        <w:tblStyle w:val="3"/>
        <w:tblpPr w:leftFromText="180" w:rightFromText="180" w:vertAnchor="page" w:horzAnchor="page" w:tblpX="1397" w:tblpY="5968"/>
        <w:tblOverlap w:val="never"/>
        <w:tblW w:w="98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577"/>
        <w:gridCol w:w="2424"/>
        <w:gridCol w:w="1401"/>
        <w:gridCol w:w="1280"/>
        <w:gridCol w:w="1386"/>
        <w:gridCol w:w="883"/>
      </w:tblGrid>
      <w:tr w14:paraId="76DB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67239FD5">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序号</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464031A9">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采购项目名称</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3BDE69E1">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采购需求概况</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F8B793C">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预算金额</w:t>
            </w:r>
          </w:p>
          <w:p w14:paraId="19913CCD">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（万元）</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6387C30E">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预计采购时间（填写到月）</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653C9867">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sz w:val="28"/>
                <w:szCs w:val="28"/>
              </w:rPr>
              <w:t>落实政府采购政策功能情况</w:t>
            </w:r>
          </w:p>
        </w:tc>
        <w:tc>
          <w:tcPr>
            <w:tcW w:w="883" w:type="dxa"/>
            <w:tcBorders>
              <w:top w:val="single" w:color="auto" w:sz="4" w:space="0"/>
              <w:left w:val="single" w:color="auto" w:sz="4" w:space="0"/>
              <w:bottom w:val="single" w:color="auto" w:sz="4" w:space="0"/>
              <w:right w:val="single" w:color="auto" w:sz="4" w:space="0"/>
            </w:tcBorders>
            <w:noWrap w:val="0"/>
            <w:vAlign w:val="center"/>
          </w:tcPr>
          <w:p w14:paraId="40EF707C">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b/>
                <w:bCs/>
                <w:color w:val="auto"/>
                <w:kern w:val="0"/>
                <w:sz w:val="28"/>
                <w:szCs w:val="28"/>
              </w:rPr>
            </w:pPr>
            <w:r>
              <w:rPr>
                <w:rFonts w:hint="eastAsia" w:ascii="宋体" w:hAnsi="宋体" w:eastAsia="宋体" w:cs="宋体"/>
                <w:b/>
                <w:bCs/>
                <w:color w:val="auto"/>
                <w:kern w:val="0"/>
                <w:sz w:val="28"/>
                <w:szCs w:val="28"/>
              </w:rPr>
              <w:t>备注</w:t>
            </w:r>
          </w:p>
        </w:tc>
      </w:tr>
      <w:tr w14:paraId="018A0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9" w:hRule="atLeast"/>
        </w:trPr>
        <w:tc>
          <w:tcPr>
            <w:tcW w:w="872" w:type="dxa"/>
            <w:tcBorders>
              <w:top w:val="single" w:color="auto" w:sz="4" w:space="0"/>
              <w:left w:val="single" w:color="auto" w:sz="4" w:space="0"/>
              <w:bottom w:val="single" w:color="auto" w:sz="4" w:space="0"/>
              <w:right w:val="single" w:color="auto" w:sz="4" w:space="0"/>
            </w:tcBorders>
            <w:noWrap w:val="0"/>
            <w:vAlign w:val="center"/>
          </w:tcPr>
          <w:p w14:paraId="1C6E9534">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1</w:t>
            </w:r>
          </w:p>
        </w:tc>
        <w:tc>
          <w:tcPr>
            <w:tcW w:w="1577" w:type="dxa"/>
            <w:tcBorders>
              <w:top w:val="single" w:color="auto" w:sz="4" w:space="0"/>
              <w:left w:val="single" w:color="auto" w:sz="4" w:space="0"/>
              <w:bottom w:val="single" w:color="auto" w:sz="4" w:space="0"/>
              <w:right w:val="single" w:color="auto" w:sz="4" w:space="0"/>
            </w:tcBorders>
            <w:noWrap w:val="0"/>
            <w:vAlign w:val="center"/>
          </w:tcPr>
          <w:p w14:paraId="6A82D203">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left="-105" w:leftChars="-50" w:right="-105" w:rightChars="-50"/>
              <w:jc w:val="center"/>
              <w:textAlignment w:val="auto"/>
              <w:rPr>
                <w:rFonts w:hint="eastAsia" w:ascii="宋体" w:hAnsi="宋体" w:eastAsia="宋体" w:cs="宋体"/>
                <w:color w:val="auto"/>
                <w:kern w:val="0"/>
                <w:sz w:val="28"/>
                <w:szCs w:val="28"/>
                <w:lang w:val="en-US" w:eastAsia="zh-CN"/>
              </w:rPr>
            </w:pPr>
            <w:r>
              <w:rPr>
                <w:rFonts w:hint="eastAsia" w:ascii="宋体" w:hAnsi="宋体" w:cs="宋体"/>
                <w:color w:val="auto"/>
                <w:kern w:val="0"/>
                <w:sz w:val="28"/>
                <w:szCs w:val="28"/>
                <w:lang w:val="en-US" w:eastAsia="zh-CN"/>
              </w:rPr>
              <w:t>2026年</w:t>
            </w:r>
            <w:r>
              <w:rPr>
                <w:rFonts w:hint="eastAsia" w:ascii="宋体" w:hAnsi="宋体" w:eastAsia="宋体" w:cs="宋体"/>
                <w:color w:val="auto"/>
                <w:kern w:val="0"/>
                <w:sz w:val="28"/>
                <w:szCs w:val="28"/>
                <w:lang w:val="en-US" w:eastAsia="zh-CN"/>
              </w:rPr>
              <w:t>北海市铁山港区污水处理厂运营服务采购</w:t>
            </w:r>
          </w:p>
        </w:tc>
        <w:tc>
          <w:tcPr>
            <w:tcW w:w="2424" w:type="dxa"/>
            <w:tcBorders>
              <w:top w:val="single" w:color="auto" w:sz="4" w:space="0"/>
              <w:left w:val="single" w:color="auto" w:sz="4" w:space="0"/>
              <w:bottom w:val="single" w:color="auto" w:sz="4" w:space="0"/>
              <w:right w:val="single" w:color="auto" w:sz="4" w:space="0"/>
            </w:tcBorders>
            <w:noWrap w:val="0"/>
            <w:vAlign w:val="center"/>
          </w:tcPr>
          <w:p w14:paraId="0FC7D88A">
            <w:pPr>
              <w:keepNext w:val="0"/>
              <w:keepLines w:val="0"/>
              <w:pageBreakBefore w:val="0"/>
              <w:widowControl w:val="0"/>
              <w:tabs>
                <w:tab w:val="left" w:pos="993"/>
                <w:tab w:val="left" w:pos="1134"/>
                <w:tab w:val="left" w:pos="1418"/>
              </w:tabs>
              <w:kinsoku/>
              <w:wordWrap/>
              <w:overflowPunct/>
              <w:topLinePunct w:val="0"/>
              <w:autoSpaceDE/>
              <w:autoSpaceDN/>
              <w:bidi w:val="0"/>
              <w:adjustRightInd/>
              <w:snapToGrid/>
              <w:spacing w:line="400" w:lineRule="exact"/>
              <w:ind w:left="-105" w:leftChars="-50" w:right="-105" w:rightChars="-50"/>
              <w:jc w:val="center"/>
              <w:textAlignment w:val="auto"/>
              <w:rPr>
                <w:rFonts w:hint="default" w:ascii="宋体" w:hAnsi="宋体" w:eastAsia="宋体" w:cs="宋体"/>
                <w:color w:val="auto"/>
                <w:kern w:val="0"/>
                <w:sz w:val="28"/>
                <w:szCs w:val="28"/>
                <w:lang w:val="en-US" w:eastAsia="zh-CN"/>
              </w:rPr>
            </w:pPr>
            <w:r>
              <w:rPr>
                <w:rFonts w:hint="default" w:ascii="宋体" w:hAnsi="宋体" w:eastAsia="宋体" w:cs="宋体"/>
                <w:color w:val="auto"/>
                <w:kern w:val="0"/>
                <w:sz w:val="28"/>
                <w:szCs w:val="28"/>
                <w:lang w:val="en-US" w:eastAsia="zh-CN"/>
              </w:rPr>
              <w:t>本项目</w:t>
            </w:r>
            <w:r>
              <w:rPr>
                <w:rFonts w:hint="eastAsia" w:ascii="宋体" w:hAnsi="宋体" w:cs="宋体"/>
                <w:color w:val="auto"/>
                <w:kern w:val="0"/>
                <w:sz w:val="28"/>
                <w:szCs w:val="28"/>
                <w:lang w:val="en-US" w:eastAsia="zh-CN"/>
              </w:rPr>
              <w:t>需采购一名运营商负责南康镇污水处理厂一厂、二厂及</w:t>
            </w:r>
            <w:r>
              <w:rPr>
                <w:rFonts w:hint="eastAsia" w:ascii="宋体" w:hAnsi="宋体" w:eastAsia="宋体" w:cs="宋体"/>
                <w:color w:val="auto"/>
                <w:sz w:val="28"/>
                <w:szCs w:val="28"/>
                <w:highlight w:val="none"/>
                <w:vertAlign w:val="baseline"/>
                <w:lang w:val="en-US" w:eastAsia="zh-CN"/>
              </w:rPr>
              <w:t>营盘镇污水处理厂</w:t>
            </w:r>
            <w:r>
              <w:rPr>
                <w:rFonts w:hint="eastAsia" w:ascii="宋体" w:hAnsi="宋体" w:cs="宋体"/>
                <w:color w:val="auto"/>
                <w:sz w:val="28"/>
                <w:szCs w:val="28"/>
                <w:highlight w:val="none"/>
                <w:vertAlign w:val="baseline"/>
                <w:lang w:val="en-US" w:eastAsia="zh-CN"/>
              </w:rPr>
              <w:t>的</w:t>
            </w:r>
            <w:r>
              <w:rPr>
                <w:rFonts w:hint="eastAsia" w:ascii="宋体" w:hAnsi="宋体" w:eastAsia="宋体" w:cs="宋体"/>
                <w:i w:val="0"/>
                <w:iCs w:val="0"/>
                <w:color w:val="auto"/>
                <w:kern w:val="0"/>
                <w:sz w:val="28"/>
                <w:szCs w:val="28"/>
                <w:u w:val="none"/>
                <w:lang w:val="en-US" w:eastAsia="zh-CN" w:bidi="ar"/>
              </w:rPr>
              <w:t>运维管理及在线监测</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设备维护</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扩容</w:t>
            </w:r>
            <w:r>
              <w:rPr>
                <w:rFonts w:hint="eastAsia" w:ascii="宋体" w:hAnsi="宋体" w:cs="宋体"/>
                <w:i w:val="0"/>
                <w:iCs w:val="0"/>
                <w:color w:val="auto"/>
                <w:kern w:val="0"/>
                <w:sz w:val="28"/>
                <w:szCs w:val="28"/>
                <w:u w:val="none"/>
                <w:lang w:val="en-US" w:eastAsia="zh-CN" w:bidi="ar"/>
              </w:rPr>
              <w:t>、</w:t>
            </w:r>
            <w:r>
              <w:rPr>
                <w:rFonts w:hint="eastAsia" w:ascii="宋体" w:hAnsi="宋体" w:eastAsia="宋体" w:cs="宋体"/>
                <w:i w:val="0"/>
                <w:iCs w:val="0"/>
                <w:color w:val="auto"/>
                <w:kern w:val="0"/>
                <w:sz w:val="28"/>
                <w:szCs w:val="28"/>
                <w:u w:val="none"/>
                <w:lang w:val="en-US" w:eastAsia="zh-CN" w:bidi="ar"/>
              </w:rPr>
              <w:t>洗膜</w:t>
            </w:r>
            <w:r>
              <w:rPr>
                <w:rFonts w:hint="eastAsia" w:ascii="宋体" w:hAnsi="宋体" w:cs="宋体"/>
                <w:i w:val="0"/>
                <w:iCs w:val="0"/>
                <w:color w:val="auto"/>
                <w:kern w:val="0"/>
                <w:sz w:val="28"/>
                <w:szCs w:val="28"/>
                <w:u w:val="none"/>
                <w:lang w:val="en-US" w:eastAsia="zh-CN" w:bidi="ar"/>
              </w:rPr>
              <w:t>等，服务期：12个月。</w:t>
            </w:r>
          </w:p>
        </w:tc>
        <w:tc>
          <w:tcPr>
            <w:tcW w:w="1401" w:type="dxa"/>
            <w:tcBorders>
              <w:top w:val="single" w:color="auto" w:sz="4" w:space="0"/>
              <w:left w:val="single" w:color="auto" w:sz="4" w:space="0"/>
              <w:bottom w:val="single" w:color="auto" w:sz="4" w:space="0"/>
              <w:right w:val="single" w:color="auto" w:sz="4" w:space="0"/>
            </w:tcBorders>
            <w:noWrap w:val="0"/>
            <w:vAlign w:val="center"/>
          </w:tcPr>
          <w:p w14:paraId="05A0EE3A">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8"/>
                <w:szCs w:val="28"/>
                <w:lang w:val="en-US"/>
              </w:rPr>
            </w:pPr>
            <w:r>
              <w:rPr>
                <w:rFonts w:hint="eastAsia" w:ascii="宋体" w:hAnsi="宋体" w:cs="宋体"/>
                <w:color w:val="auto"/>
                <w:kern w:val="0"/>
                <w:sz w:val="28"/>
                <w:szCs w:val="28"/>
                <w:lang w:val="en-US" w:eastAsia="zh-CN"/>
              </w:rPr>
              <w:t>190</w:t>
            </w:r>
          </w:p>
        </w:tc>
        <w:tc>
          <w:tcPr>
            <w:tcW w:w="1280" w:type="dxa"/>
            <w:tcBorders>
              <w:top w:val="single" w:color="auto" w:sz="4" w:space="0"/>
              <w:left w:val="single" w:color="auto" w:sz="4" w:space="0"/>
              <w:bottom w:val="single" w:color="auto" w:sz="4" w:space="0"/>
              <w:right w:val="single" w:color="auto" w:sz="4" w:space="0"/>
            </w:tcBorders>
            <w:noWrap w:val="0"/>
            <w:vAlign w:val="center"/>
          </w:tcPr>
          <w:p w14:paraId="4379DF39">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lang w:val="en-US" w:eastAsia="zh-CN"/>
              </w:rPr>
            </w:pPr>
            <w:r>
              <w:rPr>
                <w:rFonts w:hint="eastAsia" w:ascii="宋体" w:hAnsi="宋体" w:eastAsia="宋体" w:cs="宋体"/>
                <w:color w:val="auto"/>
                <w:kern w:val="0"/>
                <w:sz w:val="28"/>
                <w:szCs w:val="28"/>
                <w:lang w:val="en-US" w:eastAsia="zh-CN"/>
              </w:rPr>
              <w:t>202</w:t>
            </w:r>
            <w:r>
              <w:rPr>
                <w:rFonts w:hint="eastAsia" w:ascii="宋体" w:hAnsi="宋体" w:cs="宋体"/>
                <w:color w:val="auto"/>
                <w:kern w:val="0"/>
                <w:sz w:val="28"/>
                <w:szCs w:val="28"/>
                <w:lang w:val="en-US" w:eastAsia="zh-CN"/>
              </w:rPr>
              <w:t>6</w:t>
            </w:r>
            <w:r>
              <w:rPr>
                <w:rFonts w:hint="eastAsia" w:ascii="宋体" w:hAnsi="宋体" w:eastAsia="宋体" w:cs="宋体"/>
                <w:color w:val="auto"/>
                <w:kern w:val="0"/>
                <w:sz w:val="28"/>
                <w:szCs w:val="28"/>
                <w:lang w:val="en-US" w:eastAsia="zh-CN"/>
              </w:rPr>
              <w:t>年</w:t>
            </w:r>
            <w:r>
              <w:rPr>
                <w:rFonts w:hint="eastAsia" w:ascii="宋体" w:hAnsi="宋体" w:cs="宋体"/>
                <w:color w:val="auto"/>
                <w:kern w:val="0"/>
                <w:sz w:val="28"/>
                <w:szCs w:val="28"/>
                <w:lang w:val="en-US" w:eastAsia="zh-CN"/>
              </w:rPr>
              <w:t>3</w:t>
            </w:r>
            <w:r>
              <w:rPr>
                <w:rFonts w:hint="eastAsia" w:ascii="宋体" w:hAnsi="宋体" w:eastAsia="宋体" w:cs="宋体"/>
                <w:color w:val="auto"/>
                <w:kern w:val="0"/>
                <w:sz w:val="28"/>
                <w:szCs w:val="28"/>
                <w:lang w:val="en-US" w:eastAsia="zh-CN"/>
              </w:rPr>
              <w:t>月</w:t>
            </w:r>
          </w:p>
        </w:tc>
        <w:tc>
          <w:tcPr>
            <w:tcW w:w="1386" w:type="dxa"/>
            <w:tcBorders>
              <w:top w:val="single" w:color="auto" w:sz="4" w:space="0"/>
              <w:left w:val="single" w:color="auto" w:sz="4" w:space="0"/>
              <w:bottom w:val="single" w:color="auto" w:sz="4" w:space="0"/>
              <w:right w:val="single" w:color="auto" w:sz="4" w:space="0"/>
            </w:tcBorders>
            <w:noWrap w:val="0"/>
            <w:vAlign w:val="center"/>
          </w:tcPr>
          <w:p w14:paraId="0BBD47A8">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8"/>
                <w:szCs w:val="28"/>
                <w:lang w:val="en-US" w:eastAsia="zh-CN"/>
              </w:rPr>
            </w:pPr>
          </w:p>
        </w:tc>
        <w:tc>
          <w:tcPr>
            <w:tcW w:w="883" w:type="dxa"/>
            <w:tcBorders>
              <w:top w:val="single" w:color="auto" w:sz="4" w:space="0"/>
              <w:left w:val="single" w:color="auto" w:sz="4" w:space="0"/>
              <w:bottom w:val="single" w:color="auto" w:sz="4" w:space="0"/>
              <w:right w:val="single" w:color="auto" w:sz="4" w:space="0"/>
            </w:tcBorders>
            <w:noWrap w:val="0"/>
            <w:vAlign w:val="center"/>
          </w:tcPr>
          <w:p w14:paraId="7D592862">
            <w:pPr>
              <w:keepNext w:val="0"/>
              <w:keepLines w:val="0"/>
              <w:pageBreakBefore w:val="0"/>
              <w:tabs>
                <w:tab w:val="left" w:pos="993"/>
                <w:tab w:val="left" w:pos="1134"/>
                <w:tab w:val="left" w:pos="1418"/>
              </w:tabs>
              <w:kinsoku/>
              <w:overflowPunct/>
              <w:topLinePunct w:val="0"/>
              <w:autoSpaceDE/>
              <w:autoSpaceDN/>
              <w:bidi w:val="0"/>
              <w:adjustRightInd/>
              <w:snapToGrid/>
              <w:spacing w:line="400" w:lineRule="exact"/>
              <w:jc w:val="center"/>
              <w:textAlignment w:val="auto"/>
              <w:rPr>
                <w:rFonts w:hint="eastAsia" w:ascii="宋体" w:hAnsi="宋体" w:eastAsia="宋体" w:cs="宋体"/>
                <w:color w:val="auto"/>
                <w:kern w:val="0"/>
                <w:sz w:val="28"/>
                <w:szCs w:val="28"/>
              </w:rPr>
            </w:pPr>
          </w:p>
        </w:tc>
      </w:tr>
    </w:tbl>
    <w:p w14:paraId="4E9E06A6">
      <w:pPr>
        <w:widowControl/>
        <w:tabs>
          <w:tab w:val="left" w:pos="993"/>
          <w:tab w:val="left" w:pos="1134"/>
          <w:tab w:val="left" w:pos="1418"/>
        </w:tabs>
        <w:spacing w:line="520" w:lineRule="exact"/>
        <w:ind w:firstLine="560" w:firstLineChars="200"/>
        <w:jc w:val="both"/>
        <w:rPr>
          <w:rFonts w:hint="eastAsia" w:ascii="宋体" w:hAnsi="宋体" w:eastAsia="宋体" w:cs="宋体"/>
          <w:sz w:val="28"/>
          <w:szCs w:val="28"/>
          <w:lang w:val="en-US" w:eastAsia="zh-CN"/>
        </w:rPr>
      </w:pPr>
      <w:r>
        <w:rPr>
          <w:rFonts w:hint="eastAsia" w:ascii="宋体" w:hAnsi="宋体" w:eastAsia="宋体" w:cs="宋体"/>
          <w:sz w:val="28"/>
          <w:szCs w:val="28"/>
        </w:rPr>
        <w:t>为便于供应商及时了解政府采购信息，根据《财政部关于开展政府采购意向公开工作的通知》（财库〔2020〕10号）</w:t>
      </w:r>
      <w:r>
        <w:rPr>
          <w:rFonts w:hint="eastAsia" w:ascii="宋体" w:hAnsi="宋体" w:eastAsia="宋体" w:cs="宋体"/>
          <w:sz w:val="28"/>
          <w:szCs w:val="28"/>
          <w:lang w:eastAsia="zh-CN"/>
        </w:rPr>
        <w:t>和《</w:t>
      </w:r>
      <w:r>
        <w:rPr>
          <w:rFonts w:hint="eastAsia" w:ascii="宋体" w:hAnsi="宋体" w:eastAsia="宋体" w:cs="宋体"/>
          <w:sz w:val="28"/>
          <w:szCs w:val="28"/>
        </w:rPr>
        <w:t>广西壮族自治区财政厅关于进一步规范政府采购意向公开工作的通知</w:t>
      </w:r>
      <w:r>
        <w:rPr>
          <w:rFonts w:hint="eastAsia" w:ascii="宋体" w:hAnsi="宋体" w:eastAsia="宋体" w:cs="宋体"/>
          <w:sz w:val="28"/>
          <w:szCs w:val="28"/>
          <w:lang w:eastAsia="zh-CN"/>
        </w:rPr>
        <w:t>》（桂财采</w:t>
      </w:r>
      <w:r>
        <w:rPr>
          <w:rFonts w:hint="eastAsia" w:ascii="宋体" w:hAnsi="宋体" w:eastAsia="宋体" w:cs="宋体"/>
          <w:sz w:val="28"/>
          <w:szCs w:val="28"/>
        </w:rPr>
        <w:t>〔202</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color w:val="auto"/>
          <w:sz w:val="28"/>
          <w:szCs w:val="28"/>
          <w:lang w:val="en-US" w:eastAsia="zh-CN"/>
        </w:rPr>
        <w:t>84</w:t>
      </w:r>
      <w:r>
        <w:rPr>
          <w:rFonts w:hint="eastAsia" w:ascii="宋体" w:hAnsi="宋体" w:eastAsia="宋体" w:cs="宋体"/>
          <w:color w:val="auto"/>
          <w:sz w:val="28"/>
          <w:szCs w:val="28"/>
        </w:rPr>
        <w:t>号</w:t>
      </w:r>
      <w:r>
        <w:rPr>
          <w:rFonts w:hint="eastAsia" w:ascii="宋体" w:hAnsi="宋体" w:eastAsia="宋体" w:cs="宋体"/>
          <w:color w:val="auto"/>
          <w:sz w:val="28"/>
          <w:szCs w:val="28"/>
          <w:lang w:eastAsia="zh-CN"/>
        </w:rPr>
        <w:t>）</w:t>
      </w:r>
      <w:r>
        <w:rPr>
          <w:rFonts w:hint="eastAsia" w:ascii="宋体" w:hAnsi="宋体" w:eastAsia="宋体" w:cs="宋体"/>
          <w:sz w:val="28"/>
          <w:szCs w:val="28"/>
        </w:rPr>
        <w:t>等有关规定，现将</w:t>
      </w:r>
      <w:r>
        <w:rPr>
          <w:rFonts w:hint="eastAsia" w:ascii="宋体" w:hAnsi="宋体" w:cs="宋体"/>
          <w:sz w:val="28"/>
          <w:szCs w:val="28"/>
          <w:u w:val="none"/>
          <w:lang w:val="en-US" w:eastAsia="zh-CN"/>
        </w:rPr>
        <w:t>北海市铁山港区住房和城乡建设局</w:t>
      </w:r>
      <w:r>
        <w:rPr>
          <w:rFonts w:hint="eastAsia" w:ascii="宋体" w:hAnsi="宋体" w:cs="宋体"/>
          <w:sz w:val="28"/>
          <w:szCs w:val="28"/>
          <w:lang w:val="en-US" w:eastAsia="zh-CN"/>
        </w:rPr>
        <w:t>2026</w:t>
      </w:r>
      <w:r>
        <w:rPr>
          <w:rFonts w:hint="eastAsia" w:ascii="宋体" w:hAnsi="宋体" w:eastAsia="宋体" w:cs="宋体"/>
          <w:sz w:val="28"/>
          <w:szCs w:val="28"/>
          <w:lang w:val="en-US" w:eastAsia="zh-CN"/>
        </w:rPr>
        <w:t>年</w:t>
      </w:r>
      <w:r>
        <w:rPr>
          <w:rFonts w:hint="eastAsia" w:ascii="宋体" w:hAnsi="宋体" w:cs="宋体"/>
          <w:sz w:val="28"/>
          <w:szCs w:val="28"/>
          <w:lang w:val="en-US" w:eastAsia="zh-CN"/>
        </w:rPr>
        <w:t>3</w:t>
      </w:r>
      <w:r>
        <w:rPr>
          <w:rFonts w:hint="eastAsia" w:ascii="宋体" w:hAnsi="宋体" w:eastAsia="宋体" w:cs="宋体"/>
          <w:sz w:val="28"/>
          <w:szCs w:val="28"/>
          <w:lang w:val="en-US" w:eastAsia="zh-CN"/>
        </w:rPr>
        <w:t>月至</w:t>
      </w:r>
      <w:r>
        <w:rPr>
          <w:rFonts w:hint="eastAsia" w:ascii="宋体" w:hAnsi="宋体" w:cs="宋体"/>
          <w:sz w:val="28"/>
          <w:szCs w:val="28"/>
          <w:lang w:val="en-US" w:eastAsia="zh-CN"/>
        </w:rPr>
        <w:t>4</w:t>
      </w:r>
      <w:r>
        <w:rPr>
          <w:rFonts w:hint="eastAsia" w:ascii="宋体" w:hAnsi="宋体" w:eastAsia="宋体" w:cs="宋体"/>
          <w:sz w:val="28"/>
          <w:szCs w:val="28"/>
          <w:lang w:val="en-US" w:eastAsia="zh-CN"/>
        </w:rPr>
        <w:t>月</w:t>
      </w:r>
      <w:r>
        <w:rPr>
          <w:rFonts w:hint="eastAsia" w:ascii="宋体" w:hAnsi="宋体" w:eastAsia="宋体" w:cs="宋体"/>
          <w:sz w:val="28"/>
          <w:szCs w:val="28"/>
          <w:u w:val="none"/>
          <w:lang w:val="en-US" w:eastAsia="zh-CN"/>
        </w:rPr>
        <w:t>采</w:t>
      </w:r>
      <w:r>
        <w:rPr>
          <w:rFonts w:hint="eastAsia" w:ascii="宋体" w:hAnsi="宋体" w:eastAsia="宋体" w:cs="宋体"/>
          <w:sz w:val="28"/>
          <w:szCs w:val="28"/>
          <w:lang w:val="en-US" w:eastAsia="zh-CN"/>
        </w:rPr>
        <w:t>购意向</w:t>
      </w:r>
      <w:r>
        <w:rPr>
          <w:rFonts w:hint="eastAsia" w:ascii="宋体" w:hAnsi="宋体" w:eastAsia="宋体" w:cs="宋体"/>
          <w:sz w:val="28"/>
          <w:szCs w:val="28"/>
        </w:rPr>
        <w:t>公开如下</w:t>
      </w:r>
      <w:r>
        <w:rPr>
          <w:rFonts w:hint="eastAsia" w:ascii="宋体" w:hAnsi="宋体" w:eastAsia="宋体" w:cs="宋体"/>
          <w:sz w:val="28"/>
          <w:szCs w:val="28"/>
          <w:lang w:eastAsia="zh-CN"/>
        </w:rPr>
        <w:t>：</w:t>
      </w:r>
    </w:p>
    <w:p w14:paraId="3217C412">
      <w:pPr>
        <w:pStyle w:val="2"/>
        <w:rPr>
          <w:rFonts w:hint="eastAsia" w:ascii="宋体" w:hAnsi="宋体" w:eastAsia="宋体" w:cs="宋体"/>
          <w:sz w:val="28"/>
          <w:szCs w:val="28"/>
        </w:rPr>
      </w:pPr>
    </w:p>
    <w:p w14:paraId="52FB3369">
      <w:pPr>
        <w:tabs>
          <w:tab w:val="left" w:pos="993"/>
          <w:tab w:val="left" w:pos="1134"/>
          <w:tab w:val="left" w:pos="1418"/>
        </w:tabs>
        <w:ind w:firstLine="560" w:firstLineChars="200"/>
        <w:rPr>
          <w:rFonts w:hint="eastAsia" w:ascii="宋体" w:hAnsi="宋体" w:eastAsia="宋体" w:cs="宋体"/>
          <w:sz w:val="28"/>
          <w:szCs w:val="28"/>
        </w:rPr>
      </w:pPr>
      <w:r>
        <w:rPr>
          <w:rFonts w:hint="eastAsia" w:ascii="宋体" w:hAnsi="宋体" w:eastAsia="宋体" w:cs="宋体"/>
          <w:sz w:val="28"/>
          <w:szCs w:val="28"/>
        </w:rPr>
        <w:t>本次公开的采购意向是本单位政府采购工作的初步安排，具体采购项目情况以相关采购公告和采购文件为准。</w:t>
      </w:r>
    </w:p>
    <w:p w14:paraId="57D2EDFA">
      <w:pPr>
        <w:tabs>
          <w:tab w:val="left" w:pos="993"/>
          <w:tab w:val="left" w:pos="1134"/>
          <w:tab w:val="left" w:pos="1418"/>
        </w:tabs>
        <w:ind w:firstLine="840" w:firstLineChars="300"/>
        <w:jc w:val="right"/>
        <w:rPr>
          <w:rFonts w:hint="eastAsia" w:ascii="宋体" w:hAnsi="宋体" w:eastAsia="宋体" w:cs="宋体"/>
          <w:sz w:val="28"/>
          <w:szCs w:val="28"/>
          <w:u w:val="none"/>
        </w:rPr>
      </w:pPr>
      <w:r>
        <w:rPr>
          <w:rFonts w:hint="eastAsia" w:ascii="宋体" w:hAnsi="宋体" w:eastAsia="宋体" w:cs="宋体"/>
          <w:sz w:val="28"/>
          <w:szCs w:val="28"/>
        </w:rPr>
        <w:t xml:space="preserve">                   </w:t>
      </w:r>
      <w:r>
        <w:rPr>
          <w:rFonts w:hint="eastAsia" w:ascii="宋体" w:hAnsi="宋体" w:cs="宋体"/>
          <w:sz w:val="28"/>
          <w:szCs w:val="28"/>
          <w:lang w:val="en-US" w:eastAsia="zh-CN"/>
        </w:rPr>
        <w:t xml:space="preserve"> </w:t>
      </w:r>
      <w:r>
        <w:rPr>
          <w:rFonts w:hint="eastAsia" w:ascii="宋体" w:hAnsi="宋体" w:cs="宋体"/>
          <w:b w:val="0"/>
          <w:bCs/>
          <w:color w:val="auto"/>
          <w:sz w:val="28"/>
          <w:szCs w:val="28"/>
          <w:highlight w:val="none"/>
          <w:u w:val="none"/>
          <w:lang w:eastAsia="zh-CN"/>
        </w:rPr>
        <w:t>北海市铁山港区住房和城乡建设局</w:t>
      </w:r>
    </w:p>
    <w:p w14:paraId="15A7DB6E">
      <w:pPr>
        <w:autoSpaceDE w:val="0"/>
        <w:autoSpaceDN w:val="0"/>
        <w:adjustRightInd w:val="0"/>
        <w:ind w:firstLine="560" w:firstLineChars="200"/>
        <w:jc w:val="right"/>
        <w:rPr>
          <w:rFonts w:hint="eastAsia" w:ascii="宋体" w:hAnsi="宋体" w:eastAsia="宋体" w:cs="宋体"/>
          <w:sz w:val="28"/>
          <w:szCs w:val="28"/>
          <w:u w:val="none"/>
        </w:rPr>
      </w:pPr>
      <w:r>
        <w:rPr>
          <w:rFonts w:hint="eastAsia" w:ascii="宋体" w:hAnsi="宋体" w:eastAsia="宋体" w:cs="宋体"/>
          <w:sz w:val="28"/>
          <w:szCs w:val="28"/>
          <w:u w:val="none"/>
          <w:lang w:val="en-US" w:eastAsia="zh-CN"/>
        </w:rPr>
        <w:t>202</w:t>
      </w:r>
      <w:r>
        <w:rPr>
          <w:rFonts w:hint="eastAsia" w:ascii="宋体" w:hAnsi="宋体" w:cs="宋体"/>
          <w:sz w:val="28"/>
          <w:szCs w:val="28"/>
          <w:u w:val="none"/>
          <w:lang w:val="en-US" w:eastAsia="zh-CN"/>
        </w:rPr>
        <w:t>6</w:t>
      </w:r>
      <w:r>
        <w:rPr>
          <w:rFonts w:hint="eastAsia" w:ascii="宋体" w:hAnsi="宋体" w:eastAsia="宋体" w:cs="宋体"/>
          <w:sz w:val="28"/>
          <w:szCs w:val="28"/>
          <w:u w:val="none"/>
        </w:rPr>
        <w:t>年</w:t>
      </w:r>
      <w:r>
        <w:rPr>
          <w:rFonts w:hint="eastAsia" w:ascii="宋体" w:hAnsi="宋体" w:cs="宋体"/>
          <w:sz w:val="28"/>
          <w:szCs w:val="28"/>
          <w:u w:val="none"/>
          <w:lang w:val="en-US" w:eastAsia="zh-CN"/>
        </w:rPr>
        <w:t>03</w:t>
      </w:r>
      <w:r>
        <w:rPr>
          <w:rFonts w:hint="eastAsia" w:ascii="宋体" w:hAnsi="宋体" w:eastAsia="宋体" w:cs="宋体"/>
          <w:sz w:val="28"/>
          <w:szCs w:val="28"/>
          <w:u w:val="none"/>
        </w:rPr>
        <w:t>月</w:t>
      </w:r>
      <w:r>
        <w:rPr>
          <w:rFonts w:hint="eastAsia" w:ascii="宋体" w:hAnsi="宋体" w:cs="宋体"/>
          <w:sz w:val="28"/>
          <w:szCs w:val="28"/>
          <w:u w:val="none"/>
          <w:lang w:val="en-US" w:eastAsia="zh-CN"/>
        </w:rPr>
        <w:t>12</w:t>
      </w:r>
      <w:r>
        <w:rPr>
          <w:rFonts w:hint="eastAsia" w:ascii="宋体" w:hAnsi="宋体" w:eastAsia="宋体" w:cs="宋体"/>
          <w:sz w:val="28"/>
          <w:szCs w:val="28"/>
          <w:u w:val="none"/>
        </w:rPr>
        <w:t>日</w:t>
      </w:r>
    </w:p>
    <w:p w14:paraId="0761D4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FA704F"/>
    <w:rsid w:val="07DD200D"/>
    <w:rsid w:val="0D4E59FF"/>
    <w:rsid w:val="0DBF1A2F"/>
    <w:rsid w:val="18D25736"/>
    <w:rsid w:val="24B46637"/>
    <w:rsid w:val="2FEC4ED7"/>
    <w:rsid w:val="32146967"/>
    <w:rsid w:val="3FDA7299"/>
    <w:rsid w:val="4A54394D"/>
    <w:rsid w:val="4B8841F9"/>
    <w:rsid w:val="57A8352A"/>
    <w:rsid w:val="5BA94CF8"/>
    <w:rsid w:val="6E641B01"/>
    <w:rsid w:val="73691968"/>
    <w:rsid w:val="736F67FC"/>
    <w:rsid w:val="7CD508E3"/>
    <w:rsid w:val="7DCC3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line="380" w:lineRule="exac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369</Words>
  <Characters>397</Characters>
  <Lines>0</Lines>
  <Paragraphs>0</Paragraphs>
  <TotalTime>10</TotalTime>
  <ScaleCrop>false</ScaleCrop>
  <LinksUpToDate>false</LinksUpToDate>
  <CharactersWithSpaces>417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2025-01-02T09:19:00Z</dcterms:created>
  <dc:creator>Administrator</dc:creator>
  <cp:lastModifiedBy>dxping</cp:lastModifiedBy>
  <dcterms:modified xsi:type="dcterms:W3CDTF">2026-03-12T08:33:54Z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7F2A074BA69F40E99B9C23A43F68E73F_13</vt:lpwstr>
  </property>
  <property fmtid="{D5CDD505-2E9C-101B-9397-08002B2CF9AE}" pid="4" name="KSOTemplateDocerSaveRecord">
    <vt:lpwstr>eyJoZGlkIjoiZThjZDViYjdkNGUwZjY0OGRkMDUzYzA5NGY1Y2IwYjEiLCJ1c2VySWQiOiI2NDAxMDU4NDkifQ==</vt:lpwstr>
  </property>
</Properties>
</file>