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93"/>
          <w:tab w:val="left" w:pos="1134"/>
          <w:tab w:val="left" w:pos="1418"/>
        </w:tabs>
        <w:spacing w:line="100" w:lineRule="atLeast"/>
        <w:rPr>
          <w:rFonts w:hAnsi="仿宋_GB2312" w:cs="仿宋_GB2312"/>
          <w:sz w:val="28"/>
          <w:szCs w:val="32"/>
        </w:rPr>
      </w:pPr>
    </w:p>
    <w:p>
      <w:pPr>
        <w:tabs>
          <w:tab w:val="left" w:pos="993"/>
          <w:tab w:val="left" w:pos="1134"/>
          <w:tab w:val="left" w:pos="1418"/>
        </w:tabs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>北海市第二人民医院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2026年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（至）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政府采购意向公开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（以此为准）</w:t>
      </w:r>
    </w:p>
    <w:p>
      <w:pPr>
        <w:tabs>
          <w:tab w:val="left" w:pos="993"/>
          <w:tab w:val="left" w:pos="1134"/>
          <w:tab w:val="left" w:pos="1418"/>
        </w:tabs>
        <w:spacing w:line="540" w:lineRule="exact"/>
        <w:ind w:firstLine="632" w:firstLineChars="200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为便于供应商及时了解政府采购信息，根据《财政部关于开展政府采购意向公开工作的通知》（财库〔2020〕10号）等有关规定，现将</w:t>
      </w:r>
      <w:r>
        <w:rPr>
          <w:rFonts w:hint="eastAsia" w:hAnsi="仿宋_GB2312" w:cs="仿宋_GB2312"/>
          <w:szCs w:val="32"/>
          <w:u w:val="single"/>
        </w:rPr>
        <w:t>北海市第二人民医院</w:t>
      </w:r>
      <w:r>
        <w:rPr>
          <w:rFonts w:hint="eastAsia" w:hAnsi="仿宋_GB2312" w:cs="仿宋_GB2312"/>
          <w:szCs w:val="32"/>
        </w:rPr>
        <w:t xml:space="preserve"> 202</w:t>
      </w:r>
      <w:r>
        <w:rPr>
          <w:rFonts w:hint="eastAsia" w:hAnsi="仿宋_GB2312" w:cs="仿宋_GB2312"/>
          <w:szCs w:val="32"/>
          <w:lang w:val="en-US" w:eastAsia="zh-CN"/>
        </w:rPr>
        <w:t>6</w:t>
      </w:r>
      <w:r>
        <w:rPr>
          <w:rFonts w:hint="eastAsia" w:hAnsi="仿宋_GB2312" w:cs="仿宋_GB2312"/>
          <w:szCs w:val="32"/>
        </w:rPr>
        <w:t>年</w:t>
      </w:r>
      <w:r>
        <w:rPr>
          <w:rFonts w:hint="eastAsia" w:hAnsi="仿宋_GB2312" w:cs="仿宋_GB2312"/>
          <w:szCs w:val="32"/>
          <w:lang w:val="en-US" w:eastAsia="zh-CN"/>
        </w:rPr>
        <w:t>2</w:t>
      </w:r>
      <w:r>
        <w:rPr>
          <w:rFonts w:hint="eastAsia" w:hAnsi="仿宋_GB2312" w:cs="仿宋_GB2312"/>
          <w:szCs w:val="32"/>
        </w:rPr>
        <w:t>（至）</w:t>
      </w:r>
      <w:r>
        <w:rPr>
          <w:rFonts w:hint="eastAsia" w:hAnsi="仿宋_GB2312" w:cs="仿宋_GB2312"/>
          <w:szCs w:val="32"/>
          <w:lang w:val="en-US" w:eastAsia="zh-CN"/>
        </w:rPr>
        <w:t>3</w:t>
      </w:r>
      <w:r>
        <w:rPr>
          <w:rFonts w:hint="eastAsia" w:hAnsi="仿宋_GB2312" w:cs="仿宋_GB2312"/>
          <w:szCs w:val="32"/>
        </w:rPr>
        <w:t>月采购意向公开如下：</w:t>
      </w:r>
    </w:p>
    <w:tbl>
      <w:tblPr>
        <w:tblStyle w:val="5"/>
        <w:tblW w:w="513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83"/>
        <w:gridCol w:w="3545"/>
        <w:gridCol w:w="1277"/>
        <w:gridCol w:w="1701"/>
        <w:gridCol w:w="9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采购项目</w:t>
            </w:r>
          </w:p>
        </w:tc>
        <w:tc>
          <w:tcPr>
            <w:tcW w:w="19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采购需求概况</w:t>
            </w:r>
          </w:p>
        </w:tc>
        <w:tc>
          <w:tcPr>
            <w:tcW w:w="6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预算金额</w:t>
            </w:r>
          </w:p>
        </w:tc>
        <w:tc>
          <w:tcPr>
            <w:tcW w:w="9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预计采购时间</w:t>
            </w:r>
          </w:p>
        </w:tc>
        <w:tc>
          <w:tcPr>
            <w:tcW w:w="51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9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（填写到月）</w:t>
            </w:r>
          </w:p>
        </w:tc>
        <w:tc>
          <w:tcPr>
            <w:tcW w:w="5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激光治疗机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激光治疗前列腺增生是发展方向和趋势，其具有适应性广、副作用低，术后恢复快等特点，术中几乎无出血，且组织穿透深度很浅、结痂浅、组织热损伤小，因此手术效率高、风险低、副作用小，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2026年3月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仿宋_GB2312" w:cs="宋体"/>
                <w:kern w:val="0"/>
                <w:sz w:val="24"/>
                <w:szCs w:val="24"/>
                <w:lang w:val="en-US" w:eastAsia="zh-CN"/>
              </w:rPr>
              <w:t>灌注吸引系统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用于冲洗和吸引手术中的碎块和结石碎片，保持内腔镜视野清晰。智能控压力控流量，提高结石的清除率，节省取石网篮的使用，降低耗占比，为内窥镜手术提供了安全、高效的保障。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2026年3月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超高效液相色谱串联质谱系统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检验日常检测必备设备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，开展新的检测项目，及时有效为患者提供更多项目检测。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250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2026年3月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both"/>
              <w:rPr>
                <w:rFonts w:hint="default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hAnsi="宋体" w:eastAsia="仿宋_GB2312" w:cs="宋体"/>
                <w:kern w:val="0"/>
                <w:sz w:val="24"/>
                <w:szCs w:val="24"/>
                <w:lang w:val="en-US" w:eastAsia="zh-CN"/>
              </w:rPr>
              <w:t>全自动化学发光免疫分析仪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缩短呼吸道病原体抗体检测时间，优化检验流程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，减少患者等待经济负担，及时有效为患者提供更多项目检测。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2026年3月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kern w:val="0"/>
                <w:sz w:val="24"/>
                <w:szCs w:val="24"/>
              </w:rPr>
              <w:t>全自动细菌培养系统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检验日常检测必备设备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，减少患者等待经济负担，及时有效为患者提供更多项目检测。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2026年3月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 w:val="0"/>
                <w:bCs w:val="0"/>
                <w:kern w:val="0"/>
                <w:sz w:val="24"/>
                <w:szCs w:val="24"/>
              </w:rPr>
              <w:t>儿童外骨骼步行康复器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针对下肢运动功能障碍患者进行评估和步行康复训练； 提供标准的生理步态输出，纠正异常步态</w:t>
            </w: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130</w:t>
            </w: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2026年3月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 w:val="0"/>
                <w:bCs w:val="0"/>
                <w:kern w:val="0"/>
                <w:sz w:val="24"/>
                <w:szCs w:val="24"/>
              </w:rPr>
              <w:t>多功能组合式监护仪（儿童脑功能状态定量测量仪）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有助于多项疾病诊断治疗和预判。更适用于日常检测，对患儿无任何刺激，无痛无创，不需要认知任务诱发，大大降低了操作难度，提高了实用性。能够提高儿童全生命周期的生理、精神、能力、思维等领域的疾病诊断水平。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2026年3月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平衡功能评估与训练系统</w:t>
            </w:r>
            <w:r>
              <w:rPr>
                <w:rFonts w:hint="eastAsia" w:hAnsi="宋体" w:cs="宋体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2套</w:t>
            </w:r>
            <w:r>
              <w:rPr>
                <w:rFonts w:hint="eastAsia" w:hAnsi="宋体" w:cs="宋体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对人体不同阶段平衡能力，足部健康，姿态健康进行全面专业评估，提前筛查功能问题，为儿童个性化平衡训练提供依据。结合多元化虚拟游戏场景，儿童主动控制重心，完成平衡控制，快速反应等训练，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38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2026年3月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双目视力筛选仪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儿童体检必备，大大提高了儿童视力筛查效率，提升儿童保健服务效率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2026年3月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both"/>
              <w:rPr>
                <w:rFonts w:hint="default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hAnsi="宋体" w:eastAsia="仿宋_GB2312" w:cs="宋体"/>
                <w:kern w:val="0"/>
                <w:sz w:val="24"/>
                <w:szCs w:val="24"/>
                <w:lang w:val="en-US" w:eastAsia="zh-CN"/>
              </w:rPr>
              <w:t>耳声发射听力筛查仪</w:t>
            </w:r>
            <w:r>
              <w:rPr>
                <w:rFonts w:hint="eastAsia" w:hAnsi="宋体" w:cs="宋体"/>
                <w:kern w:val="0"/>
                <w:sz w:val="24"/>
                <w:szCs w:val="24"/>
                <w:lang w:val="en-US" w:eastAsia="zh-CN"/>
              </w:rPr>
              <w:t>（2台）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耳声发射听力筛查仪是一种无创、快速、客观的听力检测设备，专用于新生儿及婴幼儿的早期听力障碍筛查，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2026年3月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0"/>
              </w:rPr>
              <w:t>64通道脑电图仪（含睡眠脑电图功能）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脑电图仪是医院儿科神经系统疾病诊断的必备仪器,癫痫发作的最根本因素是神经元的异常放电,只有借助脑电图技术才能够被观察到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2026年3月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心肺运动测试系统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为开展心脏康复的必备仪器。可用于心血管疾病风险评估、康复训练效果评估、制定个性化运动处方、及特殊职业人群体检等。有效提升病人心肺功能、调节生理指标、提升生活质量，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2026年3月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口腔颌面锥形束计算机体层摄影设备（口腔CBCT)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利用口腔CT对患者的检查可精准判断牙槽骨的宽度、厚度及高度、骨的密度、颜面部重要的神经，血管和鼻窦位置等。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160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2026年3月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eastAsia="仿宋_GB2312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眼震电图检查系统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眼震电图是诊断眩晕性疾病最客观的检查设备之一，其对眩晕患者可进行定性和定侧诊断，具有很高的诊断价值</w:t>
            </w: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38</w:t>
            </w: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2026年3月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干眼检测仪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干眼致病因素呈现复杂性和多样性，干眼检测仪能帮助医生给出专业的诊疗方案，解决病患痛苦，提升生活质量；提升干眼症诊疗水平，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2026年3月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eastAsia="仿宋_GB2312" w:cs="宋体"/>
                <w:kern w:val="0"/>
                <w:sz w:val="24"/>
                <w:szCs w:val="24"/>
                <w:lang w:eastAsia="zh-CN"/>
              </w:rPr>
              <w:t>综合验光仪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综合验光仪能提供更精准的验光数据，有助于提高验光质量，可开展更多复杂的视功能检查项目，快速有效的为患者诊断.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2026年3月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高级婴儿辐射台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高级辐射保暖台控温更精准智能，配备的复苏装置使抢救操作更便捷、高效、节省人力。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2026年3月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eastAsia="仿宋_GB2312" w:cs="宋体"/>
                <w:kern w:val="0"/>
                <w:sz w:val="24"/>
                <w:szCs w:val="24"/>
                <w:lang w:eastAsia="zh-CN"/>
              </w:rPr>
              <w:t>电子支气管镜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电子支气管镜具有管径细、可弯曲、易深入、可摄录、操作相对容易、并发症少、病人舒适安全</w:t>
            </w: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2026年3月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eastAsia="仿宋_GB2312" w:cs="宋体"/>
                <w:kern w:val="0"/>
                <w:sz w:val="24"/>
                <w:szCs w:val="24"/>
                <w:lang w:eastAsia="zh-CN"/>
              </w:rPr>
              <w:t>电子支气管镜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电子支气管镜具有管径细、可弯曲、易深入、可摄录、操作相对容易、并发症少、病人舒适安全</w:t>
            </w: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2026年3月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eastAsia="仿宋_GB2312" w:cs="宋体"/>
                <w:kern w:val="0"/>
                <w:sz w:val="24"/>
                <w:szCs w:val="24"/>
                <w:lang w:eastAsia="zh-CN"/>
              </w:rPr>
              <w:t>超高清电子肠镜系统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微创快速有效的为患者诊断.经人体自然通道直达患处.可在无创基础通过超高清电子肠镜做定位，联合腹腔镜做双镜联合手术。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150</w:t>
            </w: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2026年3月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eastAsia="仿宋_GB2312" w:cs="宋体"/>
                <w:kern w:val="0"/>
                <w:sz w:val="24"/>
                <w:szCs w:val="24"/>
                <w:lang w:eastAsia="zh-CN"/>
              </w:rPr>
              <w:t>移动式平板C形臂X射线机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可以方便地移动到患者床边，提高了手术和治疗的效率，同时也降低了患者的移动风险。</w:t>
            </w:r>
            <w:bookmarkStart w:id="0" w:name="_GoBack"/>
            <w:bookmarkEnd w:id="0"/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要求质保期不少于一年，质保期内出现质量问题，需派出技术员达到现场处理质量问题，并承担一切费用，免费送货上门、免费安装调试、免费培训.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110</w:t>
            </w: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2026年3月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420" w:lineRule="exact"/>
        <w:ind w:firstLine="632" w:firstLineChars="200"/>
        <w:rPr>
          <w:rFonts w:hAnsi="仿宋_GB2312" w:cs="仿宋_GB2312"/>
          <w:szCs w:val="32"/>
        </w:rPr>
      </w:pPr>
    </w:p>
    <w:p>
      <w:pPr>
        <w:tabs>
          <w:tab w:val="left" w:pos="993"/>
          <w:tab w:val="left" w:pos="1134"/>
          <w:tab w:val="left" w:pos="1418"/>
        </w:tabs>
        <w:spacing w:line="420" w:lineRule="exact"/>
        <w:ind w:firstLine="632" w:firstLineChars="200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本次公开的采购意向是本单位政府采购工作的初步安排，具体采购项目情况以相关采购公告和采购文件为准。</w:t>
      </w:r>
    </w:p>
    <w:p>
      <w:pPr>
        <w:tabs>
          <w:tab w:val="left" w:pos="993"/>
          <w:tab w:val="left" w:pos="1134"/>
          <w:tab w:val="left" w:pos="1418"/>
        </w:tabs>
        <w:spacing w:line="420" w:lineRule="exact"/>
        <w:ind w:firstLine="948" w:firstLineChars="300"/>
        <w:jc w:val="right"/>
        <w:rPr>
          <w:rFonts w:hAnsi="仿宋_GB2312" w:cs="仿宋_GB2312"/>
          <w:szCs w:val="32"/>
        </w:rPr>
      </w:pPr>
    </w:p>
    <w:p>
      <w:pPr>
        <w:tabs>
          <w:tab w:val="left" w:pos="993"/>
          <w:tab w:val="left" w:pos="1134"/>
          <w:tab w:val="left" w:pos="1418"/>
        </w:tabs>
        <w:spacing w:line="420" w:lineRule="exact"/>
        <w:ind w:firstLine="948" w:firstLineChars="300"/>
        <w:jc w:val="right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 xml:space="preserve">                   北海市第二人民医院（单位名称）</w:t>
      </w:r>
    </w:p>
    <w:p>
      <w:pPr>
        <w:autoSpaceDE w:val="0"/>
        <w:autoSpaceDN w:val="0"/>
        <w:adjustRightInd w:val="0"/>
        <w:ind w:firstLine="632" w:firstLineChars="200"/>
        <w:jc w:val="right"/>
      </w:pPr>
      <w:r>
        <w:rPr>
          <w:rFonts w:hint="eastAsia" w:hAnsi="仿宋_GB2312" w:cs="仿宋_GB2312"/>
          <w:szCs w:val="32"/>
          <w:lang w:eastAsia="zh-CN"/>
        </w:rPr>
        <w:t>2026年</w:t>
      </w:r>
      <w:r>
        <w:rPr>
          <w:rFonts w:hint="eastAsia" w:hAnsi="仿宋_GB2312" w:cs="仿宋_GB2312"/>
          <w:szCs w:val="32"/>
          <w:lang w:val="en-US" w:eastAsia="zh-CN"/>
        </w:rPr>
        <w:t>2</w:t>
      </w:r>
      <w:r>
        <w:rPr>
          <w:rFonts w:hint="eastAsia" w:hAnsi="仿宋_GB2312" w:cs="仿宋_GB2312"/>
          <w:szCs w:val="32"/>
          <w:lang w:eastAsia="zh-CN"/>
        </w:rPr>
        <w:t>月</w:t>
      </w:r>
      <w:r>
        <w:rPr>
          <w:rFonts w:hint="eastAsia" w:hAnsi="仿宋_GB2312" w:cs="仿宋_GB2312"/>
          <w:szCs w:val="32"/>
          <w:lang w:val="en-US" w:eastAsia="zh-CN"/>
        </w:rPr>
        <w:t>14</w:t>
      </w:r>
      <w:r>
        <w:rPr>
          <w:rFonts w:hint="eastAsia" w:hAnsi="仿宋_GB2312" w:cs="仿宋_GB2312"/>
          <w:szCs w:val="32"/>
        </w:rPr>
        <w:t>日</w:t>
      </w:r>
    </w:p>
    <w:p/>
    <w:sectPr>
      <w:footerReference r:id="rId3" w:type="default"/>
      <w:pgSz w:w="11906" w:h="16838"/>
      <w:pgMar w:top="2098" w:right="1474" w:bottom="1985" w:left="1588" w:header="851" w:footer="992" w:gutter="0"/>
      <w:pgNumType w:start="1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page" w:hAnchor="margin" w:xAlign="outside" w:y="15477"/>
      <w:shd w:val="solid" w:color="FFFFFF" w:fill="FFFFFF"/>
      <w:ind w:left="320" w:leftChars="100" w:right="320" w:rightChars="10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>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8C2"/>
    <w:rsid w:val="000B735B"/>
    <w:rsid w:val="001065DE"/>
    <w:rsid w:val="002378C2"/>
    <w:rsid w:val="002E57AD"/>
    <w:rsid w:val="002F7912"/>
    <w:rsid w:val="003E48C5"/>
    <w:rsid w:val="00650282"/>
    <w:rsid w:val="00667EC2"/>
    <w:rsid w:val="00807863"/>
    <w:rsid w:val="008134D8"/>
    <w:rsid w:val="008E41D5"/>
    <w:rsid w:val="00A002DD"/>
    <w:rsid w:val="00A04611"/>
    <w:rsid w:val="00AA0D45"/>
    <w:rsid w:val="00B11DD2"/>
    <w:rsid w:val="00B76483"/>
    <w:rsid w:val="00C13020"/>
    <w:rsid w:val="00C9776B"/>
    <w:rsid w:val="00D03BCF"/>
    <w:rsid w:val="00E345F1"/>
    <w:rsid w:val="00EF4CD6"/>
    <w:rsid w:val="020D7DCF"/>
    <w:rsid w:val="02750650"/>
    <w:rsid w:val="02F8728E"/>
    <w:rsid w:val="03977E2B"/>
    <w:rsid w:val="043B4C5B"/>
    <w:rsid w:val="05237BC9"/>
    <w:rsid w:val="05AC22B4"/>
    <w:rsid w:val="05CC5A9E"/>
    <w:rsid w:val="05E1745E"/>
    <w:rsid w:val="06BC4E4F"/>
    <w:rsid w:val="06CB62DC"/>
    <w:rsid w:val="06DA075B"/>
    <w:rsid w:val="07296D8C"/>
    <w:rsid w:val="08C571E9"/>
    <w:rsid w:val="095F4F5B"/>
    <w:rsid w:val="09765E08"/>
    <w:rsid w:val="098B3F8E"/>
    <w:rsid w:val="09A97E63"/>
    <w:rsid w:val="0AA43F22"/>
    <w:rsid w:val="0AB123D3"/>
    <w:rsid w:val="0AB94B2B"/>
    <w:rsid w:val="0AC01547"/>
    <w:rsid w:val="0AFB7CB0"/>
    <w:rsid w:val="0BCB4B16"/>
    <w:rsid w:val="0C834ABB"/>
    <w:rsid w:val="0D215336"/>
    <w:rsid w:val="0E9D1879"/>
    <w:rsid w:val="0EDC0CAC"/>
    <w:rsid w:val="0EDD34DE"/>
    <w:rsid w:val="0F9A13CF"/>
    <w:rsid w:val="0FAB7496"/>
    <w:rsid w:val="0FBB7136"/>
    <w:rsid w:val="0FE476B0"/>
    <w:rsid w:val="0FFB3B4E"/>
    <w:rsid w:val="1053332C"/>
    <w:rsid w:val="10AF2C58"/>
    <w:rsid w:val="11E10405"/>
    <w:rsid w:val="11E701D0"/>
    <w:rsid w:val="12062D4C"/>
    <w:rsid w:val="121F3E0E"/>
    <w:rsid w:val="124473D0"/>
    <w:rsid w:val="127F764E"/>
    <w:rsid w:val="128849C7"/>
    <w:rsid w:val="12E5609F"/>
    <w:rsid w:val="137D5290"/>
    <w:rsid w:val="13AB4C89"/>
    <w:rsid w:val="13E67E68"/>
    <w:rsid w:val="142627FC"/>
    <w:rsid w:val="143F0797"/>
    <w:rsid w:val="14515DD5"/>
    <w:rsid w:val="145E6E6F"/>
    <w:rsid w:val="149C1746"/>
    <w:rsid w:val="14DC1B42"/>
    <w:rsid w:val="14E924A0"/>
    <w:rsid w:val="156758B0"/>
    <w:rsid w:val="15FF3D3A"/>
    <w:rsid w:val="165F4736"/>
    <w:rsid w:val="1682022C"/>
    <w:rsid w:val="16826719"/>
    <w:rsid w:val="170768E6"/>
    <w:rsid w:val="18267CA4"/>
    <w:rsid w:val="18972950"/>
    <w:rsid w:val="18BA663E"/>
    <w:rsid w:val="190B6E9A"/>
    <w:rsid w:val="191B532F"/>
    <w:rsid w:val="192672BD"/>
    <w:rsid w:val="1931732C"/>
    <w:rsid w:val="19434886"/>
    <w:rsid w:val="19B37E8E"/>
    <w:rsid w:val="19EA6AAF"/>
    <w:rsid w:val="1A5414EE"/>
    <w:rsid w:val="1AE259D8"/>
    <w:rsid w:val="1AEC474B"/>
    <w:rsid w:val="1C437BFA"/>
    <w:rsid w:val="1CA70C88"/>
    <w:rsid w:val="1CBA09BB"/>
    <w:rsid w:val="1CFA6616"/>
    <w:rsid w:val="1CFE3CE9"/>
    <w:rsid w:val="1E403142"/>
    <w:rsid w:val="1F9F0970"/>
    <w:rsid w:val="20AC2B50"/>
    <w:rsid w:val="21E17313"/>
    <w:rsid w:val="21EB1616"/>
    <w:rsid w:val="21F610C0"/>
    <w:rsid w:val="22B81E40"/>
    <w:rsid w:val="22BA5BB9"/>
    <w:rsid w:val="22D447A0"/>
    <w:rsid w:val="245C1DC2"/>
    <w:rsid w:val="253D45F9"/>
    <w:rsid w:val="253F0458"/>
    <w:rsid w:val="256B319A"/>
    <w:rsid w:val="25763093"/>
    <w:rsid w:val="259F67A1"/>
    <w:rsid w:val="267A740D"/>
    <w:rsid w:val="271232B9"/>
    <w:rsid w:val="27F9025D"/>
    <w:rsid w:val="28BB6077"/>
    <w:rsid w:val="29294ABA"/>
    <w:rsid w:val="29514455"/>
    <w:rsid w:val="296543A4"/>
    <w:rsid w:val="29746536"/>
    <w:rsid w:val="29AD722A"/>
    <w:rsid w:val="29B26C35"/>
    <w:rsid w:val="2A5A6B00"/>
    <w:rsid w:val="2A9652E6"/>
    <w:rsid w:val="2AB7478C"/>
    <w:rsid w:val="2B8D373E"/>
    <w:rsid w:val="2B9609A1"/>
    <w:rsid w:val="2C293467"/>
    <w:rsid w:val="2D2D114F"/>
    <w:rsid w:val="2D993782"/>
    <w:rsid w:val="2DAA05D8"/>
    <w:rsid w:val="2DFB62B1"/>
    <w:rsid w:val="2E725599"/>
    <w:rsid w:val="2F265DEF"/>
    <w:rsid w:val="305E56A9"/>
    <w:rsid w:val="30731155"/>
    <w:rsid w:val="309B75CC"/>
    <w:rsid w:val="31046251"/>
    <w:rsid w:val="31224929"/>
    <w:rsid w:val="31435B14"/>
    <w:rsid w:val="33F86541"/>
    <w:rsid w:val="342310E4"/>
    <w:rsid w:val="34C052F5"/>
    <w:rsid w:val="35466E38"/>
    <w:rsid w:val="35604A19"/>
    <w:rsid w:val="358160C2"/>
    <w:rsid w:val="35B23151"/>
    <w:rsid w:val="369A5B44"/>
    <w:rsid w:val="37B04BBE"/>
    <w:rsid w:val="38E00E4D"/>
    <w:rsid w:val="391D25A6"/>
    <w:rsid w:val="393671C3"/>
    <w:rsid w:val="39810D86"/>
    <w:rsid w:val="39861EF9"/>
    <w:rsid w:val="39B20AE9"/>
    <w:rsid w:val="39DF653F"/>
    <w:rsid w:val="3A685D8B"/>
    <w:rsid w:val="3ACF167E"/>
    <w:rsid w:val="3B5F1E69"/>
    <w:rsid w:val="3C53008C"/>
    <w:rsid w:val="3C9C742E"/>
    <w:rsid w:val="3D762284"/>
    <w:rsid w:val="3D9508D8"/>
    <w:rsid w:val="3DB902F9"/>
    <w:rsid w:val="3DC01751"/>
    <w:rsid w:val="3EE14075"/>
    <w:rsid w:val="3F5C54AA"/>
    <w:rsid w:val="4035780C"/>
    <w:rsid w:val="40827B62"/>
    <w:rsid w:val="40CD45A9"/>
    <w:rsid w:val="413046A5"/>
    <w:rsid w:val="421F2EEA"/>
    <w:rsid w:val="428B4A24"/>
    <w:rsid w:val="431247FD"/>
    <w:rsid w:val="435178B4"/>
    <w:rsid w:val="45303CEE"/>
    <w:rsid w:val="453E29E8"/>
    <w:rsid w:val="461E2EB8"/>
    <w:rsid w:val="464A5ED4"/>
    <w:rsid w:val="476D46F8"/>
    <w:rsid w:val="478C7274"/>
    <w:rsid w:val="47A131C5"/>
    <w:rsid w:val="47E82761"/>
    <w:rsid w:val="481A105A"/>
    <w:rsid w:val="48FC6C1E"/>
    <w:rsid w:val="4AD36F68"/>
    <w:rsid w:val="4B2915C8"/>
    <w:rsid w:val="4BB34282"/>
    <w:rsid w:val="4BD00AEA"/>
    <w:rsid w:val="4C35155C"/>
    <w:rsid w:val="4D1D44CA"/>
    <w:rsid w:val="4D9B1028"/>
    <w:rsid w:val="4E5E61B2"/>
    <w:rsid w:val="4F5E0CC1"/>
    <w:rsid w:val="4F884F00"/>
    <w:rsid w:val="4FD615CD"/>
    <w:rsid w:val="503C1BD0"/>
    <w:rsid w:val="51DB6702"/>
    <w:rsid w:val="52545BB1"/>
    <w:rsid w:val="52CA50F4"/>
    <w:rsid w:val="52E02222"/>
    <w:rsid w:val="547F7A4D"/>
    <w:rsid w:val="558A4008"/>
    <w:rsid w:val="558F0E32"/>
    <w:rsid w:val="56670B5C"/>
    <w:rsid w:val="56CF1CA0"/>
    <w:rsid w:val="570D1A54"/>
    <w:rsid w:val="57BF2FF8"/>
    <w:rsid w:val="5A65773D"/>
    <w:rsid w:val="5B433C96"/>
    <w:rsid w:val="5B57329D"/>
    <w:rsid w:val="5B7349EC"/>
    <w:rsid w:val="5BA11517"/>
    <w:rsid w:val="5D13642F"/>
    <w:rsid w:val="5D1C479E"/>
    <w:rsid w:val="5D972077"/>
    <w:rsid w:val="5E276553"/>
    <w:rsid w:val="5E9564D7"/>
    <w:rsid w:val="5ED15115"/>
    <w:rsid w:val="5ED864A3"/>
    <w:rsid w:val="5FCB425A"/>
    <w:rsid w:val="60200102"/>
    <w:rsid w:val="60B94A6C"/>
    <w:rsid w:val="61496F38"/>
    <w:rsid w:val="61C82195"/>
    <w:rsid w:val="61EE5FDE"/>
    <w:rsid w:val="62B114E5"/>
    <w:rsid w:val="63367C3C"/>
    <w:rsid w:val="63B3128D"/>
    <w:rsid w:val="63EB0A27"/>
    <w:rsid w:val="640F05D6"/>
    <w:rsid w:val="646627A3"/>
    <w:rsid w:val="646D1151"/>
    <w:rsid w:val="648F5856"/>
    <w:rsid w:val="6571030B"/>
    <w:rsid w:val="6626043C"/>
    <w:rsid w:val="664A4CB2"/>
    <w:rsid w:val="665E3732"/>
    <w:rsid w:val="67606C72"/>
    <w:rsid w:val="677F6056"/>
    <w:rsid w:val="679F4002"/>
    <w:rsid w:val="67DC1609"/>
    <w:rsid w:val="68297D70"/>
    <w:rsid w:val="686370B6"/>
    <w:rsid w:val="687529A4"/>
    <w:rsid w:val="68A20784"/>
    <w:rsid w:val="68F94EA8"/>
    <w:rsid w:val="69666FFF"/>
    <w:rsid w:val="699B6A4B"/>
    <w:rsid w:val="6A130CD7"/>
    <w:rsid w:val="6A5341F5"/>
    <w:rsid w:val="6BAB489E"/>
    <w:rsid w:val="6BAC13E3"/>
    <w:rsid w:val="6BFF0A82"/>
    <w:rsid w:val="6C276CBC"/>
    <w:rsid w:val="6CCF5389"/>
    <w:rsid w:val="6CE1330F"/>
    <w:rsid w:val="6CE63B6A"/>
    <w:rsid w:val="6D75050E"/>
    <w:rsid w:val="6DAD4F9F"/>
    <w:rsid w:val="6DB225B5"/>
    <w:rsid w:val="6DD662A4"/>
    <w:rsid w:val="6E617C6C"/>
    <w:rsid w:val="6E9E4CCD"/>
    <w:rsid w:val="701D5C6E"/>
    <w:rsid w:val="70AB70FF"/>
    <w:rsid w:val="712C6356"/>
    <w:rsid w:val="713779A1"/>
    <w:rsid w:val="71494FDF"/>
    <w:rsid w:val="71940950"/>
    <w:rsid w:val="71DB47BA"/>
    <w:rsid w:val="71F9573B"/>
    <w:rsid w:val="726B2204"/>
    <w:rsid w:val="73CC2623"/>
    <w:rsid w:val="740C724C"/>
    <w:rsid w:val="74AE3AD6"/>
    <w:rsid w:val="756248C1"/>
    <w:rsid w:val="76116160"/>
    <w:rsid w:val="76487F5B"/>
    <w:rsid w:val="76B64EC4"/>
    <w:rsid w:val="76FB6C4B"/>
    <w:rsid w:val="774F4E26"/>
    <w:rsid w:val="77BA6C36"/>
    <w:rsid w:val="782C0A2D"/>
    <w:rsid w:val="78B2790D"/>
    <w:rsid w:val="793D12C2"/>
    <w:rsid w:val="79C2552B"/>
    <w:rsid w:val="79FA260C"/>
    <w:rsid w:val="7A0066D8"/>
    <w:rsid w:val="7A4A5340"/>
    <w:rsid w:val="7A7E03EF"/>
    <w:rsid w:val="7A9F480A"/>
    <w:rsid w:val="7B994E0D"/>
    <w:rsid w:val="7C0A40C4"/>
    <w:rsid w:val="7C9712F4"/>
    <w:rsid w:val="7D9720DC"/>
    <w:rsid w:val="7DBB1012"/>
    <w:rsid w:val="7E58529C"/>
    <w:rsid w:val="7EF40C80"/>
    <w:rsid w:val="7FB14E5F"/>
    <w:rsid w:val="7FF1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脚 Char"/>
    <w:basedOn w:val="6"/>
    <w:link w:val="3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2393</Words>
  <Characters>2477</Characters>
  <Lines>3</Lines>
  <Paragraphs>1</Paragraphs>
  <TotalTime>57</TotalTime>
  <ScaleCrop>false</ScaleCrop>
  <LinksUpToDate>false</LinksUpToDate>
  <CharactersWithSpaces>2499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2025-01-21T07:48:00Z</dcterms:created>
  <dc:creator>周楚</dc:creator>
  <cp:lastModifiedBy>修改参数</cp:lastModifiedBy>
  <dcterms:modified xsi:type="dcterms:W3CDTF">2026-02-14T11:42:54Z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eyJoZGlkIjoiZmE3MGU4N2QxMjUxODkzY2Q1ODRiZmJjMTM0Y2Y3Y2QiLCJ1c2VySWQiOiIzNDEyODI3MjcifQ==</vt:lpwstr>
  </property>
  <property fmtid="{D5CDD505-2E9C-101B-9397-08002B2CF9AE}" pid="3" name="KSOProductBuildVer">
    <vt:lpwstr>2052-11.8.2.11019</vt:lpwstr>
  </property>
  <property fmtid="{D5CDD505-2E9C-101B-9397-08002B2CF9AE}" pid="4" name="ICV">
    <vt:lpwstr>E0ECD6934F5B4DB6B28B4D0813901FF0</vt:lpwstr>
  </property>
</Properties>
</file>