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东兴镇竹山村尖山田至埃子塘西瓜红番薯种植及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/>
          <w:sz w:val="28"/>
          <w:szCs w:val="28"/>
        </w:rPr>
        <w:t>水产养殖基地配套水渠工程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竹山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4、项目内容：1.挨子塘大排渠新建三面光水渠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长</w:t>
      </w:r>
      <w:r>
        <w:rPr>
          <w:rFonts w:hint="eastAsia" w:ascii="仿宋" w:hAnsi="仿宋" w:eastAsia="仿宋" w:cs="宋体"/>
          <w:b/>
          <w:sz w:val="28"/>
          <w:szCs w:val="28"/>
        </w:rPr>
        <w:t>620米、高1.2米，宽1.4米；1座盖板涵；</w:t>
      </w:r>
      <w:bookmarkStart w:id="0" w:name="_GoBack"/>
      <w:bookmarkEnd w:id="0"/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2.六组、七组埋设DN600波纹管45米，新建水渠盖板120米长；及配套耕作板等相关设施。</w:t>
      </w:r>
    </w:p>
    <w:p>
      <w:pPr>
        <w:rPr>
          <w:rFonts w:hint="eastAsia"/>
          <w:sz w:val="22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74B3A4F"/>
    <w:rsid w:val="38E6156B"/>
    <w:rsid w:val="4E1D5DC0"/>
    <w:rsid w:val="651602BB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2026-01-16T09:02:25Z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