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88A3B">
      <w:pPr>
        <w:pStyle w:val="3"/>
        <w:keepNext w:val="0"/>
        <w:keepLines w:val="0"/>
        <w:widowControl/>
        <w:suppressLineNumbers w:val="0"/>
        <w:wordWrap w:val="0"/>
        <w:spacing w:before="0" w:beforeAutospacing="0" w:after="0" w:afterAutospacing="0" w:line="240" w:lineRule="auto"/>
        <w:ind w:left="0" w:right="0" w:firstLine="0"/>
        <w:jc w:val="center"/>
        <w:rPr>
          <w:rFonts w:hint="eastAsia" w:ascii="黑体" w:hAnsi="黑体" w:eastAsia="黑体" w:cs="黑体"/>
          <w:b w:val="0"/>
          <w:i w:val="0"/>
          <w:iCs w:val="0"/>
          <w:caps w:val="0"/>
          <w:strike w:val="0"/>
          <w:color w:val="auto"/>
          <w:spacing w:val="0"/>
          <w:sz w:val="36"/>
          <w:szCs w:val="25"/>
          <w:u w:val="none"/>
        </w:rPr>
      </w:pPr>
      <w:bookmarkStart w:id="0" w:name="_GoBack"/>
      <w:bookmarkEnd w:id="0"/>
      <w:r>
        <w:rPr>
          <w:rFonts w:hint="eastAsia" w:ascii="黑体" w:hAnsi="黑体" w:eastAsia="黑体" w:cs="黑体"/>
          <w:b w:val="0"/>
          <w:i w:val="0"/>
          <w:iCs w:val="0"/>
          <w:caps w:val="0"/>
          <w:strike w:val="0"/>
          <w:color w:val="auto"/>
          <w:spacing w:val="0"/>
          <w:sz w:val="36"/>
          <w:szCs w:val="25"/>
          <w:u w:val="none"/>
        </w:rPr>
        <w:t>钦州市钦南区教育局</w:t>
      </w:r>
      <w:r>
        <w:rPr>
          <w:rFonts w:hint="eastAsia" w:ascii="黑体" w:hAnsi="黑体" w:eastAsia="黑体" w:cs="黑体"/>
          <w:b w:val="0"/>
          <w:i w:val="0"/>
          <w:iCs w:val="0"/>
          <w:caps w:val="0"/>
          <w:strike w:val="0"/>
          <w:color w:val="auto"/>
          <w:spacing w:val="0"/>
          <w:sz w:val="36"/>
          <w:szCs w:val="25"/>
          <w:u w:val="none"/>
          <w:lang w:val="en-US" w:eastAsia="zh-CN"/>
        </w:rPr>
        <w:t>2026年1月政府</w:t>
      </w:r>
      <w:r>
        <w:rPr>
          <w:rFonts w:hint="eastAsia" w:ascii="黑体" w:hAnsi="黑体" w:eastAsia="黑体" w:cs="黑体"/>
          <w:b w:val="0"/>
          <w:i w:val="0"/>
          <w:iCs w:val="0"/>
          <w:caps w:val="0"/>
          <w:strike w:val="0"/>
          <w:color w:val="auto"/>
          <w:spacing w:val="0"/>
          <w:sz w:val="36"/>
          <w:szCs w:val="25"/>
          <w:u w:val="none"/>
        </w:rPr>
        <w:t>采购意向</w:t>
      </w:r>
    </w:p>
    <w:p w14:paraId="0F20F7BC">
      <w:pPr>
        <w:pStyle w:val="3"/>
        <w:keepNext w:val="0"/>
        <w:keepLines w:val="0"/>
        <w:pageBreakBefore w:val="0"/>
        <w:widowControl/>
        <w:suppressLineNumbers w:val="0"/>
        <w:kinsoku/>
        <w:wordWrap w:val="0"/>
        <w:overflowPunct/>
        <w:topLinePunct w:val="0"/>
        <w:autoSpaceDE/>
        <w:autoSpaceDN/>
        <w:bidi w:val="0"/>
        <w:adjustRightInd/>
        <w:spacing w:before="60" w:beforeAutospacing="0" w:after="60" w:afterAutospacing="0" w:line="440" w:lineRule="exact"/>
        <w:ind w:left="0" w:right="0" w:firstLine="420" w:firstLineChars="200"/>
        <w:textAlignment w:val="auto"/>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rPr>
        <w:t>为便于供应商及时了解政府采购信息，根据《财政部关于开展政府采购意向公开工作的通知》（财库〔2020〕10号）和《广西壮族自治区财政厅关于进一步规范政府采购意向公开工作的通知》（桂财采〔2022〕84号）等有关规定，现将钦州市钦南区教育局</w:t>
      </w:r>
      <w:r>
        <w:rPr>
          <w:rFonts w:hint="eastAsia" w:asciiTheme="minorEastAsia" w:hAnsiTheme="minorEastAsia" w:eastAsiaTheme="minorEastAsia" w:cstheme="minorEastAsia"/>
          <w:i w:val="0"/>
          <w:iCs w:val="0"/>
          <w:caps w:val="0"/>
          <w:color w:val="000000"/>
          <w:spacing w:val="0"/>
          <w:sz w:val="21"/>
          <w:szCs w:val="21"/>
          <w:lang w:val="en-US" w:eastAsia="zh-CN"/>
        </w:rPr>
        <w:t>2026年1月政府</w:t>
      </w:r>
      <w:r>
        <w:rPr>
          <w:rFonts w:hint="eastAsia" w:asciiTheme="minorEastAsia" w:hAnsiTheme="minorEastAsia" w:eastAsiaTheme="minorEastAsia" w:cstheme="minorEastAsia"/>
          <w:i w:val="0"/>
          <w:iCs w:val="0"/>
          <w:caps w:val="0"/>
          <w:color w:val="000000"/>
          <w:spacing w:val="0"/>
          <w:sz w:val="21"/>
          <w:szCs w:val="21"/>
        </w:rPr>
        <w:t>采购意向公开如下：</w:t>
      </w:r>
    </w:p>
    <w:tbl>
      <w:tblPr>
        <w:tblStyle w:val="4"/>
        <w:tblW w:w="96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22"/>
        <w:gridCol w:w="1273"/>
        <w:gridCol w:w="3743"/>
        <w:gridCol w:w="1044"/>
        <w:gridCol w:w="866"/>
        <w:gridCol w:w="1580"/>
        <w:gridCol w:w="522"/>
      </w:tblGrid>
      <w:tr w14:paraId="135F8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tblHeader/>
          <w:jc w:val="center"/>
        </w:trPr>
        <w:tc>
          <w:tcPr>
            <w:tcW w:w="622"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14:paraId="1C8CEBEB">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sz w:val="21"/>
                <w:szCs w:val="21"/>
              </w:rPr>
            </w:pPr>
            <w:r>
              <w:rPr>
                <w:rStyle w:val="6"/>
                <w:rFonts w:hint="eastAsia" w:asciiTheme="minorEastAsia" w:hAnsiTheme="minorEastAsia" w:eastAsiaTheme="minorEastAsia" w:cstheme="minorEastAsia"/>
                <w:b/>
                <w:caps w:val="0"/>
                <w:spacing w:val="0"/>
                <w:sz w:val="21"/>
                <w:szCs w:val="21"/>
              </w:rPr>
              <w:t>序号</w:t>
            </w:r>
          </w:p>
        </w:tc>
        <w:tc>
          <w:tcPr>
            <w:tcW w:w="1273" w:type="dxa"/>
            <w:tcBorders>
              <w:top w:val="single" w:color="auto" w:sz="4" w:space="0"/>
              <w:left w:val="nil"/>
              <w:bottom w:val="single" w:color="auto" w:sz="4" w:space="0"/>
              <w:right w:val="single" w:color="auto" w:sz="4" w:space="0"/>
            </w:tcBorders>
            <w:shd w:val="clear" w:color="auto" w:fill="auto"/>
            <w:tcMar>
              <w:left w:w="84" w:type="dxa"/>
              <w:right w:w="84" w:type="dxa"/>
            </w:tcMar>
            <w:vAlign w:val="center"/>
          </w:tcPr>
          <w:p w14:paraId="53C257CC">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sz w:val="21"/>
                <w:szCs w:val="21"/>
              </w:rPr>
            </w:pPr>
            <w:r>
              <w:rPr>
                <w:rStyle w:val="6"/>
                <w:rFonts w:hint="eastAsia" w:asciiTheme="minorEastAsia" w:hAnsiTheme="minorEastAsia" w:eastAsiaTheme="minorEastAsia" w:cstheme="minorEastAsia"/>
                <w:b/>
                <w:caps w:val="0"/>
                <w:spacing w:val="0"/>
                <w:sz w:val="21"/>
                <w:szCs w:val="21"/>
              </w:rPr>
              <w:t>采购项目名称</w:t>
            </w:r>
          </w:p>
        </w:tc>
        <w:tc>
          <w:tcPr>
            <w:tcW w:w="3743" w:type="dxa"/>
            <w:tcBorders>
              <w:top w:val="single" w:color="auto" w:sz="4" w:space="0"/>
              <w:left w:val="nil"/>
              <w:bottom w:val="single" w:color="auto" w:sz="4" w:space="0"/>
              <w:right w:val="single" w:color="auto" w:sz="4" w:space="0"/>
            </w:tcBorders>
            <w:shd w:val="clear" w:color="auto" w:fill="auto"/>
            <w:tcMar>
              <w:left w:w="84" w:type="dxa"/>
              <w:right w:w="84" w:type="dxa"/>
            </w:tcMar>
            <w:vAlign w:val="center"/>
          </w:tcPr>
          <w:p w14:paraId="14AA2C7A">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sz w:val="21"/>
                <w:szCs w:val="21"/>
              </w:rPr>
            </w:pPr>
            <w:r>
              <w:rPr>
                <w:rStyle w:val="6"/>
                <w:rFonts w:hint="eastAsia" w:asciiTheme="minorEastAsia" w:hAnsiTheme="minorEastAsia" w:eastAsiaTheme="minorEastAsia" w:cstheme="minorEastAsia"/>
                <w:b/>
                <w:caps w:val="0"/>
                <w:spacing w:val="0"/>
                <w:sz w:val="21"/>
                <w:szCs w:val="21"/>
              </w:rPr>
              <w:t>采购需求概况</w:t>
            </w:r>
          </w:p>
        </w:tc>
        <w:tc>
          <w:tcPr>
            <w:tcW w:w="1044" w:type="dxa"/>
            <w:tcBorders>
              <w:top w:val="single" w:color="auto" w:sz="4" w:space="0"/>
              <w:left w:val="nil"/>
              <w:bottom w:val="single" w:color="auto" w:sz="4" w:space="0"/>
              <w:right w:val="single" w:color="auto" w:sz="4" w:space="0"/>
            </w:tcBorders>
            <w:shd w:val="clear" w:color="auto" w:fill="auto"/>
            <w:tcMar>
              <w:left w:w="84" w:type="dxa"/>
              <w:right w:w="84" w:type="dxa"/>
            </w:tcMar>
            <w:vAlign w:val="center"/>
          </w:tcPr>
          <w:p w14:paraId="7B647A41">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Style w:val="6"/>
                <w:rFonts w:hint="eastAsia" w:asciiTheme="minorEastAsia" w:hAnsiTheme="minorEastAsia" w:eastAsiaTheme="minorEastAsia" w:cstheme="minorEastAsia"/>
                <w:b/>
                <w:caps w:val="0"/>
                <w:spacing w:val="0"/>
                <w:sz w:val="21"/>
                <w:szCs w:val="21"/>
              </w:rPr>
            </w:pPr>
            <w:r>
              <w:rPr>
                <w:rStyle w:val="6"/>
                <w:rFonts w:hint="eastAsia" w:asciiTheme="minorEastAsia" w:hAnsiTheme="minorEastAsia" w:eastAsiaTheme="minorEastAsia" w:cstheme="minorEastAsia"/>
                <w:b/>
                <w:caps w:val="0"/>
                <w:spacing w:val="0"/>
                <w:sz w:val="21"/>
                <w:szCs w:val="21"/>
              </w:rPr>
              <w:t>预算金额</w:t>
            </w:r>
          </w:p>
          <w:p w14:paraId="04B1E3E6">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sz w:val="21"/>
                <w:szCs w:val="21"/>
              </w:rPr>
            </w:pPr>
            <w:r>
              <w:rPr>
                <w:rStyle w:val="6"/>
                <w:rFonts w:hint="eastAsia" w:asciiTheme="minorEastAsia" w:hAnsiTheme="minorEastAsia" w:eastAsiaTheme="minorEastAsia" w:cstheme="minorEastAsia"/>
                <w:b/>
                <w:caps w:val="0"/>
                <w:spacing w:val="0"/>
                <w:sz w:val="21"/>
                <w:szCs w:val="21"/>
              </w:rPr>
              <w:t>（万元）</w:t>
            </w:r>
          </w:p>
        </w:tc>
        <w:tc>
          <w:tcPr>
            <w:tcW w:w="866" w:type="dxa"/>
            <w:tcBorders>
              <w:top w:val="single" w:color="auto" w:sz="4" w:space="0"/>
              <w:left w:val="nil"/>
              <w:bottom w:val="single" w:color="auto" w:sz="4" w:space="0"/>
              <w:right w:val="single" w:color="auto" w:sz="4" w:space="0"/>
            </w:tcBorders>
            <w:shd w:val="clear" w:color="auto" w:fill="auto"/>
            <w:tcMar>
              <w:left w:w="84" w:type="dxa"/>
              <w:right w:w="84" w:type="dxa"/>
            </w:tcMar>
            <w:vAlign w:val="center"/>
          </w:tcPr>
          <w:p w14:paraId="0EC75A40">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sz w:val="21"/>
                <w:szCs w:val="21"/>
              </w:rPr>
            </w:pPr>
            <w:r>
              <w:rPr>
                <w:rStyle w:val="6"/>
                <w:rFonts w:hint="eastAsia" w:asciiTheme="minorEastAsia" w:hAnsiTheme="minorEastAsia" w:eastAsiaTheme="minorEastAsia" w:cstheme="minorEastAsia"/>
                <w:b/>
                <w:caps w:val="0"/>
                <w:spacing w:val="0"/>
                <w:sz w:val="21"/>
                <w:szCs w:val="21"/>
              </w:rPr>
              <w:t>预计采购时间</w:t>
            </w:r>
          </w:p>
        </w:tc>
        <w:tc>
          <w:tcPr>
            <w:tcW w:w="1580" w:type="dxa"/>
            <w:tcBorders>
              <w:top w:val="single" w:color="auto" w:sz="4" w:space="0"/>
              <w:left w:val="nil"/>
              <w:bottom w:val="single" w:color="auto" w:sz="4" w:space="0"/>
              <w:right w:val="single" w:color="auto" w:sz="4" w:space="0"/>
            </w:tcBorders>
            <w:shd w:val="clear" w:color="auto" w:fill="auto"/>
            <w:tcMar>
              <w:left w:w="84" w:type="dxa"/>
              <w:right w:w="84" w:type="dxa"/>
            </w:tcMar>
            <w:vAlign w:val="center"/>
          </w:tcPr>
          <w:p w14:paraId="729A6F39">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sz w:val="21"/>
                <w:szCs w:val="21"/>
              </w:rPr>
            </w:pPr>
            <w:r>
              <w:rPr>
                <w:rStyle w:val="6"/>
                <w:rFonts w:hint="eastAsia" w:asciiTheme="minorEastAsia" w:hAnsiTheme="minorEastAsia" w:eastAsiaTheme="minorEastAsia" w:cstheme="minorEastAsia"/>
                <w:b/>
                <w:caps w:val="0"/>
                <w:spacing w:val="0"/>
                <w:sz w:val="21"/>
                <w:szCs w:val="21"/>
              </w:rPr>
              <w:t>落实政府采购政策功能情况</w:t>
            </w:r>
          </w:p>
        </w:tc>
        <w:tc>
          <w:tcPr>
            <w:tcW w:w="522" w:type="dxa"/>
            <w:tcBorders>
              <w:top w:val="single" w:color="auto" w:sz="4" w:space="0"/>
              <w:left w:val="nil"/>
              <w:bottom w:val="single" w:color="auto" w:sz="4" w:space="0"/>
              <w:right w:val="single" w:color="auto" w:sz="4" w:space="0"/>
            </w:tcBorders>
            <w:shd w:val="clear" w:color="auto" w:fill="auto"/>
            <w:tcMar>
              <w:left w:w="84" w:type="dxa"/>
              <w:right w:w="84" w:type="dxa"/>
            </w:tcMar>
            <w:vAlign w:val="center"/>
          </w:tcPr>
          <w:p w14:paraId="56C21B6D">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b/>
                <w:sz w:val="21"/>
                <w:szCs w:val="21"/>
              </w:rPr>
            </w:pPr>
            <w:r>
              <w:rPr>
                <w:rStyle w:val="6"/>
                <w:rFonts w:hint="eastAsia" w:asciiTheme="minorEastAsia" w:hAnsiTheme="minorEastAsia" w:eastAsiaTheme="minorEastAsia" w:cstheme="minorEastAsia"/>
                <w:b/>
                <w:caps w:val="0"/>
                <w:spacing w:val="0"/>
                <w:sz w:val="21"/>
                <w:szCs w:val="21"/>
              </w:rPr>
              <w:t>备注</w:t>
            </w:r>
          </w:p>
        </w:tc>
      </w:tr>
      <w:tr w14:paraId="3EFB2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622"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14:paraId="07DD8FCF">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aps w:val="0"/>
                <w:spacing w:val="0"/>
                <w:sz w:val="21"/>
                <w:szCs w:val="21"/>
                <w:lang w:val="en-US" w:eastAsia="zh-CN"/>
              </w:rPr>
            </w:pPr>
            <w:r>
              <w:rPr>
                <w:rFonts w:hint="eastAsia" w:asciiTheme="minorEastAsia" w:hAnsiTheme="minorEastAsia" w:cstheme="minorEastAsia"/>
                <w:caps w:val="0"/>
                <w:spacing w:val="0"/>
                <w:sz w:val="21"/>
                <w:szCs w:val="21"/>
                <w:lang w:val="en-US" w:eastAsia="zh-CN"/>
              </w:rPr>
              <w:t>1</w:t>
            </w:r>
          </w:p>
        </w:tc>
        <w:tc>
          <w:tcPr>
            <w:tcW w:w="1273" w:type="dxa"/>
            <w:tcBorders>
              <w:top w:val="nil"/>
              <w:left w:val="nil"/>
              <w:bottom w:val="single" w:color="auto" w:sz="4" w:space="0"/>
              <w:right w:val="single" w:color="auto" w:sz="4" w:space="0"/>
            </w:tcBorders>
            <w:shd w:val="clear" w:color="auto" w:fill="auto"/>
            <w:tcMar>
              <w:left w:w="84" w:type="dxa"/>
              <w:right w:w="84" w:type="dxa"/>
            </w:tcMar>
            <w:vAlign w:val="center"/>
          </w:tcPr>
          <w:p w14:paraId="2093078E">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aps w:val="0"/>
                <w:spacing w:val="0"/>
                <w:sz w:val="21"/>
                <w:szCs w:val="21"/>
              </w:rPr>
              <w:t>钦南区中小学学校专职保安人员派遣服务项目</w:t>
            </w:r>
          </w:p>
        </w:tc>
        <w:tc>
          <w:tcPr>
            <w:tcW w:w="3743" w:type="dxa"/>
            <w:tcBorders>
              <w:top w:val="nil"/>
              <w:left w:val="nil"/>
              <w:bottom w:val="single" w:color="auto" w:sz="4" w:space="0"/>
              <w:right w:val="single" w:color="auto" w:sz="4" w:space="0"/>
            </w:tcBorders>
            <w:shd w:val="clear" w:color="auto" w:fill="auto"/>
            <w:tcMar>
              <w:left w:w="84" w:type="dxa"/>
              <w:right w:w="84" w:type="dxa"/>
            </w:tcMar>
            <w:vAlign w:val="center"/>
          </w:tcPr>
          <w:p w14:paraId="39638365">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right="0" w:rightChars="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为2026年</w:t>
            </w:r>
            <w:r>
              <w:rPr>
                <w:rFonts w:hint="eastAsia" w:asciiTheme="minorEastAsia" w:hAnsiTheme="minorEastAsia" w:eastAsiaTheme="minorEastAsia" w:cstheme="minorEastAsia"/>
                <w:sz w:val="21"/>
                <w:szCs w:val="21"/>
              </w:rPr>
              <w:t>钦南区200所中小学（含原钦南区学校192所、港区学校8所）提供专职保安人员派遣服务，共需配备专职保安人员505人（其中原钦南区学校470名、港区学校35名）。</w:t>
            </w:r>
            <w:r>
              <w:rPr>
                <w:rFonts w:hint="eastAsia" w:asciiTheme="minorEastAsia" w:hAnsiTheme="minorEastAsia" w:cstheme="minorEastAsia"/>
                <w:sz w:val="21"/>
                <w:szCs w:val="21"/>
                <w:lang w:val="en-US" w:eastAsia="zh-CN"/>
              </w:rPr>
              <w:t>涉及劳务报酬经费1726.2万元（其中原钦南区学校3.36万元/人/年、港区学校4.2万元/人/年）</w:t>
            </w:r>
            <w:r>
              <w:rPr>
                <w:rFonts w:hint="eastAsia" w:asciiTheme="minorEastAsia" w:hAnsiTheme="minorEastAsia" w:cstheme="minorEastAsia"/>
                <w:sz w:val="21"/>
                <w:szCs w:val="21"/>
                <w:lang w:eastAsia="zh-CN"/>
              </w:rPr>
              <w:t>。</w:t>
            </w:r>
          </w:p>
        </w:tc>
        <w:tc>
          <w:tcPr>
            <w:tcW w:w="1044" w:type="dxa"/>
            <w:tcBorders>
              <w:top w:val="nil"/>
              <w:left w:val="nil"/>
              <w:bottom w:val="single" w:color="auto" w:sz="4" w:space="0"/>
              <w:right w:val="single" w:color="auto" w:sz="4" w:space="0"/>
            </w:tcBorders>
            <w:shd w:val="clear" w:color="auto" w:fill="auto"/>
            <w:tcMar>
              <w:left w:w="84" w:type="dxa"/>
              <w:right w:w="84" w:type="dxa"/>
            </w:tcMar>
            <w:vAlign w:val="center"/>
          </w:tcPr>
          <w:p w14:paraId="69D4EA43">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1726.2</w:t>
            </w:r>
          </w:p>
        </w:tc>
        <w:tc>
          <w:tcPr>
            <w:tcW w:w="866" w:type="dxa"/>
            <w:tcBorders>
              <w:top w:val="nil"/>
              <w:left w:val="nil"/>
              <w:bottom w:val="single" w:color="auto" w:sz="4" w:space="0"/>
              <w:right w:val="single" w:color="auto" w:sz="4" w:space="0"/>
            </w:tcBorders>
            <w:shd w:val="clear" w:color="auto" w:fill="auto"/>
            <w:tcMar>
              <w:left w:w="84" w:type="dxa"/>
              <w:right w:w="84" w:type="dxa"/>
            </w:tcMar>
            <w:vAlign w:val="center"/>
          </w:tcPr>
          <w:p w14:paraId="7A482F1A">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2026</w:t>
            </w:r>
            <w:r>
              <w:rPr>
                <w:rFonts w:hint="eastAsia" w:asciiTheme="minorEastAsia" w:hAnsiTheme="minorEastAsia" w:eastAsiaTheme="minorEastAsia" w:cstheme="minorEastAsia"/>
                <w:sz w:val="21"/>
                <w:szCs w:val="21"/>
              </w:rPr>
              <w:t>年0</w:t>
            </w:r>
            <w:r>
              <w:rPr>
                <w:rFonts w:hint="eastAsia" w:asciiTheme="minorEastAsia" w:hAnsiTheme="minorEastAsia" w:cstheme="minorEastAsia"/>
                <w:sz w:val="21"/>
                <w:szCs w:val="21"/>
                <w:lang w:val="en-US" w:eastAsia="zh-CN"/>
              </w:rPr>
              <w:t>3</w:t>
            </w:r>
            <w:r>
              <w:rPr>
                <w:rFonts w:hint="eastAsia" w:asciiTheme="minorEastAsia" w:hAnsiTheme="minorEastAsia" w:eastAsiaTheme="minorEastAsia" w:cstheme="minorEastAsia"/>
                <w:sz w:val="21"/>
                <w:szCs w:val="21"/>
              </w:rPr>
              <w:t>月</w:t>
            </w:r>
          </w:p>
        </w:tc>
        <w:tc>
          <w:tcPr>
            <w:tcW w:w="1580" w:type="dxa"/>
            <w:tcBorders>
              <w:top w:val="nil"/>
              <w:left w:val="nil"/>
              <w:bottom w:val="single" w:color="auto" w:sz="4" w:space="0"/>
              <w:right w:val="single" w:color="auto" w:sz="4" w:space="0"/>
            </w:tcBorders>
            <w:shd w:val="clear" w:color="auto" w:fill="auto"/>
            <w:tcMar>
              <w:left w:w="84" w:type="dxa"/>
              <w:right w:w="84" w:type="dxa"/>
            </w:tcMar>
            <w:vAlign w:val="center"/>
          </w:tcPr>
          <w:p w14:paraId="4EC1C637">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heme="minorEastAsia" w:hAnsiTheme="minorEastAsia" w:eastAsiaTheme="minorEastAsia" w:cstheme="minorEastAsia"/>
                <w:caps w:val="0"/>
                <w:spacing w:val="0"/>
                <w:sz w:val="21"/>
                <w:szCs w:val="21"/>
              </w:rPr>
            </w:pPr>
            <w:r>
              <w:rPr>
                <w:rFonts w:hint="eastAsia" w:asciiTheme="minorEastAsia" w:hAnsiTheme="minorEastAsia" w:cstheme="minorEastAsia"/>
                <w:caps w:val="0"/>
                <w:spacing w:val="0"/>
                <w:sz w:val="21"/>
                <w:szCs w:val="21"/>
                <w:lang w:val="en-US" w:eastAsia="zh-CN"/>
              </w:rPr>
              <w:t>根据政府采购相关政策执行。</w:t>
            </w:r>
          </w:p>
        </w:tc>
        <w:tc>
          <w:tcPr>
            <w:tcW w:w="522" w:type="dxa"/>
            <w:tcBorders>
              <w:top w:val="nil"/>
              <w:left w:val="nil"/>
              <w:bottom w:val="single" w:color="auto" w:sz="4" w:space="0"/>
              <w:right w:val="single" w:color="auto" w:sz="4" w:space="0"/>
            </w:tcBorders>
            <w:shd w:val="clear" w:color="auto" w:fill="auto"/>
            <w:tcMar>
              <w:left w:w="84" w:type="dxa"/>
              <w:right w:w="84" w:type="dxa"/>
            </w:tcMar>
            <w:vAlign w:val="center"/>
          </w:tcPr>
          <w:p w14:paraId="453CE94E">
            <w:pPr>
              <w:pStyle w:val="3"/>
              <w:keepNext w:val="0"/>
              <w:keepLines w:val="0"/>
              <w:pageBreakBefore w:val="0"/>
              <w:widowControl/>
              <w:suppressLineNumbers w:val="0"/>
              <w:kinsoku/>
              <w:wordWrap w:val="0"/>
              <w:overflowPunct/>
              <w:topLinePunct w:val="0"/>
              <w:autoSpaceDE/>
              <w:autoSpaceDN/>
              <w:bidi w:val="0"/>
              <w:adjustRightInd/>
              <w:snapToGrid w:val="0"/>
              <w:spacing w:before="60" w:beforeAutospacing="0" w:after="60" w:afterAutospacing="0" w:line="240" w:lineRule="auto"/>
              <w:ind w:left="0" w:leftChars="0" w:right="0" w:rightChars="0" w:firstLine="0" w:firstLineChars="0"/>
              <w:jc w:val="center"/>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w:t>
            </w:r>
          </w:p>
        </w:tc>
      </w:tr>
    </w:tbl>
    <w:p w14:paraId="093C8D34">
      <w:pPr>
        <w:pStyle w:val="3"/>
        <w:keepNext w:val="0"/>
        <w:keepLines w:val="0"/>
        <w:pageBreakBefore w:val="0"/>
        <w:widowControl/>
        <w:suppressLineNumbers w:val="0"/>
        <w:kinsoku/>
        <w:wordWrap w:val="0"/>
        <w:overflowPunct/>
        <w:topLinePunct w:val="0"/>
        <w:autoSpaceDE/>
        <w:autoSpaceDN/>
        <w:bidi w:val="0"/>
        <w:adjustRightInd/>
        <w:spacing w:before="60" w:beforeAutospacing="0" w:after="60" w:afterAutospacing="0" w:line="440" w:lineRule="exact"/>
        <w:ind w:left="0" w:right="0" w:firstLine="516"/>
        <w:textAlignment w:val="auto"/>
        <w:rPr>
          <w:rFonts w:hint="eastAsia" w:asciiTheme="minorEastAsia" w:hAnsiTheme="minorEastAsia" w:eastAsiaTheme="minorEastAsia" w:cstheme="minorEastAsia"/>
          <w:i w:val="0"/>
          <w:iCs w:val="0"/>
          <w:caps w:val="0"/>
          <w:color w:val="000000"/>
          <w:spacing w:val="0"/>
          <w:sz w:val="21"/>
          <w:szCs w:val="21"/>
          <w:lang w:eastAsia="zh-CN"/>
        </w:rPr>
      </w:pPr>
      <w:r>
        <w:rPr>
          <w:rFonts w:hint="eastAsia" w:asciiTheme="minorEastAsia" w:hAnsiTheme="minorEastAsia" w:eastAsiaTheme="minorEastAsia" w:cstheme="minorEastAsia"/>
          <w:i w:val="0"/>
          <w:iCs w:val="0"/>
          <w:caps w:val="0"/>
          <w:color w:val="000000"/>
          <w:spacing w:val="0"/>
          <w:sz w:val="21"/>
          <w:szCs w:val="21"/>
        </w:rPr>
        <w:t>本次公开的政府采购意向是本单位政府采购工作的初步安排，具体采购项目情况以相关采购公告和采购文件为准。</w:t>
      </w:r>
    </w:p>
    <w:p w14:paraId="70A90CD3">
      <w:pPr>
        <w:pStyle w:val="3"/>
        <w:keepNext w:val="0"/>
        <w:keepLines w:val="0"/>
        <w:pageBreakBefore w:val="0"/>
        <w:widowControl/>
        <w:suppressLineNumbers w:val="0"/>
        <w:kinsoku/>
        <w:wordWrap w:val="0"/>
        <w:overflowPunct/>
        <w:topLinePunct w:val="0"/>
        <w:autoSpaceDE/>
        <w:autoSpaceDN/>
        <w:bidi w:val="0"/>
        <w:adjustRightInd/>
        <w:spacing w:before="60" w:beforeAutospacing="0" w:after="60" w:afterAutospacing="0" w:line="440" w:lineRule="exact"/>
        <w:ind w:left="0" w:right="0" w:firstLine="516"/>
        <w:textAlignment w:val="auto"/>
        <w:rPr>
          <w:rFonts w:hint="eastAsia" w:asciiTheme="minorEastAsia" w:hAnsiTheme="minorEastAsia" w:eastAsiaTheme="minorEastAsia" w:cstheme="minorEastAsia"/>
          <w:i w:val="0"/>
          <w:iCs w:val="0"/>
          <w:caps w:val="0"/>
          <w:color w:val="000000"/>
          <w:spacing w:val="0"/>
          <w:sz w:val="21"/>
          <w:szCs w:val="21"/>
        </w:rPr>
      </w:pPr>
    </w:p>
    <w:p w14:paraId="4F181409">
      <w:pPr>
        <w:pStyle w:val="3"/>
        <w:keepNext w:val="0"/>
        <w:keepLines w:val="0"/>
        <w:pageBreakBefore w:val="0"/>
        <w:widowControl/>
        <w:suppressLineNumbers w:val="0"/>
        <w:kinsoku/>
        <w:wordWrap w:val="0"/>
        <w:overflowPunct/>
        <w:topLinePunct w:val="0"/>
        <w:autoSpaceDE/>
        <w:autoSpaceDN/>
        <w:bidi w:val="0"/>
        <w:adjustRightInd/>
        <w:spacing w:before="60" w:beforeAutospacing="0" w:after="60" w:afterAutospacing="0" w:line="440" w:lineRule="exact"/>
        <w:ind w:left="0" w:right="0" w:firstLine="768"/>
        <w:jc w:val="right"/>
        <w:textAlignment w:val="auto"/>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rPr>
        <w:t> </w:t>
      </w:r>
    </w:p>
    <w:p w14:paraId="2A9DD8C9">
      <w:pPr>
        <w:rPr>
          <w:rFonts w:hint="eastAsia" w:asciiTheme="minorEastAsia" w:hAnsiTheme="minorEastAsia" w:eastAsiaTheme="minorEastAsia" w:cstheme="minorEastAsia"/>
          <w:i w:val="0"/>
          <w:iCs w:val="0"/>
          <w:caps w:val="0"/>
          <w:color w:val="000000"/>
          <w:spacing w:val="0"/>
          <w:sz w:val="21"/>
          <w:szCs w:val="21"/>
        </w:rPr>
      </w:pPr>
      <w:r>
        <w:rPr>
          <w:rFonts w:hint="eastAsia" w:asciiTheme="minorEastAsia" w:hAnsiTheme="minorEastAsia" w:eastAsiaTheme="minorEastAsia" w:cstheme="minorEastAsia"/>
          <w:i w:val="0"/>
          <w:iCs w:val="0"/>
          <w:caps w:val="0"/>
          <w:color w:val="000000"/>
          <w:spacing w:val="0"/>
          <w:sz w:val="21"/>
          <w:szCs w:val="21"/>
        </w:rPr>
        <w:t>                                                          </w:t>
      </w:r>
      <w:r>
        <w:rPr>
          <w:rFonts w:hint="eastAsia" w:asciiTheme="minorEastAsia" w:hAnsiTheme="minorEastAsia" w:cstheme="minorEastAsia"/>
          <w:i w:val="0"/>
          <w:iCs w:val="0"/>
          <w:caps w:val="0"/>
          <w:color w:val="000000"/>
          <w:spacing w:val="0"/>
          <w:sz w:val="21"/>
          <w:szCs w:val="21"/>
          <w:lang w:val="en-US" w:eastAsia="zh-CN"/>
        </w:rPr>
        <w:t xml:space="preserve">                                         </w:t>
      </w:r>
      <w:r>
        <w:rPr>
          <w:rFonts w:hint="eastAsia" w:asciiTheme="minorEastAsia" w:hAnsiTheme="minorEastAsia" w:eastAsiaTheme="minorEastAsia" w:cstheme="minorEastAsia"/>
          <w:i w:val="0"/>
          <w:iCs w:val="0"/>
          <w:caps w:val="0"/>
          <w:color w:val="000000"/>
          <w:spacing w:val="0"/>
          <w:sz w:val="21"/>
          <w:szCs w:val="21"/>
        </w:rPr>
        <w:t>钦州市钦南区教育局</w:t>
      </w:r>
    </w:p>
    <w:p w14:paraId="61EF3F60">
      <w:pPr>
        <w:ind w:firstLine="7140" w:firstLineChars="3400"/>
      </w:pPr>
      <w:r>
        <w:rPr>
          <w:rFonts w:hint="eastAsia" w:asciiTheme="minorEastAsia" w:hAnsiTheme="minorEastAsia" w:cstheme="minorEastAsia"/>
          <w:i w:val="0"/>
          <w:iCs w:val="0"/>
          <w:caps w:val="0"/>
          <w:color w:val="000000"/>
          <w:spacing w:val="0"/>
          <w:sz w:val="21"/>
          <w:szCs w:val="21"/>
          <w:lang w:val="en-US" w:eastAsia="zh-CN"/>
        </w:rPr>
        <w:t>2026</w:t>
      </w:r>
      <w:r>
        <w:rPr>
          <w:rFonts w:hint="eastAsia" w:asciiTheme="minorEastAsia" w:hAnsiTheme="minorEastAsia" w:eastAsiaTheme="minorEastAsia" w:cstheme="minorEastAsia"/>
          <w:i w:val="0"/>
          <w:iCs w:val="0"/>
          <w:caps w:val="0"/>
          <w:color w:val="000000"/>
          <w:spacing w:val="0"/>
          <w:sz w:val="21"/>
          <w:szCs w:val="21"/>
        </w:rPr>
        <w:t>年1月</w:t>
      </w:r>
      <w:r>
        <w:rPr>
          <w:rFonts w:hint="eastAsia" w:asciiTheme="minorEastAsia" w:hAnsiTheme="minorEastAsia" w:cstheme="minorEastAsia"/>
          <w:i w:val="0"/>
          <w:iCs w:val="0"/>
          <w:caps w:val="0"/>
          <w:color w:val="000000"/>
          <w:spacing w:val="0"/>
          <w:sz w:val="21"/>
          <w:szCs w:val="21"/>
          <w:lang w:val="en-US" w:eastAsia="zh-CN"/>
        </w:rPr>
        <w:t>30</w:t>
      </w:r>
      <w:r>
        <w:rPr>
          <w:rFonts w:hint="eastAsia" w:asciiTheme="minorEastAsia" w:hAnsiTheme="minorEastAsia" w:eastAsiaTheme="minorEastAsia" w:cstheme="minorEastAsia"/>
          <w:i w:val="0"/>
          <w:iCs w:val="0"/>
          <w:caps w:val="0"/>
          <w:color w:val="000000"/>
          <w:spacing w:val="0"/>
          <w:sz w:val="21"/>
          <w:szCs w:val="21"/>
        </w:rPr>
        <w:t>日</w:t>
      </w:r>
    </w:p>
    <w:sectPr>
      <w:pgSz w:w="11906" w:h="16838"/>
      <w:pgMar w:top="1440" w:right="1236" w:bottom="144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1D24A2"/>
    <w:rsid w:val="21401217"/>
    <w:rsid w:val="23B95935"/>
    <w:rsid w:val="2C7B1AEF"/>
    <w:rsid w:val="38176F6B"/>
    <w:rsid w:val="529E36CC"/>
    <w:rsid w:val="6FB31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11111"/>
    <w:basedOn w:val="1"/>
    <w:next w:val="1"/>
    <w:qFormat/>
    <w:uiPriority w:val="0"/>
    <w:pPr>
      <w:spacing w:line="360" w:lineRule="auto"/>
      <w:ind w:firstLine="200" w:firstLineChars="200"/>
    </w:pPr>
    <w:rPr>
      <w:rFonts w:ascii="宋体" w:hAnsi="宋体" w:cs="宋体"/>
      <w:sz w:val="24"/>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406</Words>
  <Characters>455</Characters>
  <Lines>0</Lines>
  <Paragraphs>0</Paragraphs>
  <TotalTime>11</TotalTime>
  <ScaleCrop>false</ScaleCrop>
  <LinksUpToDate>false</LinksUpToDate>
  <CharactersWithSpaces>555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2026-01-25T15:43:00Z</dcterms:created>
  <dc:creator>Administrator</dc:creator>
  <cp:lastModifiedBy>弄潮鱼</cp:lastModifiedBy>
  <dcterms:modified xsi:type="dcterms:W3CDTF">2026-01-30T02:44:37Z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eyJoZGlkIjoiMGM3YTZiZjUxOWJjNzIwMmNmYzQxMTIyODI0NmIxOGEiLCJ1c2VySWQiOiIzMTY4NDQ1MTgifQ==</vt:lpwstr>
  </property>
  <property fmtid="{D5CDD505-2E9C-101B-9397-08002B2CF9AE}" pid="4" name="ICV">
    <vt:lpwstr>B91D2934413B4BD4A603AD415EC61439_13</vt:lpwstr>
  </property>
</Properties>
</file>