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0EF66">
      <w:pPr>
        <w:widowControl/>
        <w:jc w:val="center"/>
        <w:textAlignment w:val="baseline"/>
        <w:rPr>
          <w:rFonts w:ascii="黑体" w:hAnsi="黑体" w:eastAsia="黑体"/>
          <w:b/>
          <w:bCs/>
          <w:color w:val="auto"/>
          <w:sz w:val="52"/>
          <w:szCs w:val="52"/>
          <w:highlight w:val="none"/>
        </w:rPr>
      </w:pPr>
      <w:bookmarkStart w:id="0" w:name="_Toc434315322"/>
    </w:p>
    <w:p w14:paraId="22D940E4">
      <w:pPr>
        <w:pStyle w:val="9"/>
        <w:ind w:left="63" w:right="63" w:firstLine="2088" w:firstLineChars="400"/>
        <w:rPr>
          <w:color w:val="auto"/>
          <w:highlight w:val="none"/>
        </w:rPr>
      </w:pPr>
      <w:r>
        <w:rPr>
          <w:rFonts w:hint="eastAsia" w:ascii="黑体" w:hAnsi="黑体" w:eastAsia="黑体"/>
          <w:b/>
          <w:bCs/>
          <w:color w:val="auto"/>
          <w:sz w:val="52"/>
          <w:szCs w:val="52"/>
          <w:highlight w:val="none"/>
        </w:rPr>
        <w:t>广西锐达工程咨询有限公司</w:t>
      </w:r>
    </w:p>
    <w:p w14:paraId="263D6AFD">
      <w:pPr>
        <w:tabs>
          <w:tab w:val="left" w:pos="2130"/>
        </w:tabs>
        <w:jc w:val="center"/>
        <w:rPr>
          <w:rFonts w:ascii="宋体" w:hAnsi="宋体"/>
          <w:color w:val="auto"/>
          <w:spacing w:val="28"/>
          <w:kern w:val="15"/>
          <w:sz w:val="20"/>
          <w:szCs w:val="20"/>
          <w:highlight w:val="none"/>
        </w:rPr>
      </w:pPr>
    </w:p>
    <w:p w14:paraId="574832B1">
      <w:pPr>
        <w:spacing w:line="360" w:lineRule="auto"/>
        <w:jc w:val="center"/>
        <w:rPr>
          <w:rFonts w:ascii="方正小标宋简体" w:hAnsi="方正小标宋简体" w:eastAsia="方正小标宋简体" w:cs="方正小标宋简体"/>
          <w:b/>
          <w:color w:val="auto"/>
          <w:sz w:val="44"/>
          <w:szCs w:val="44"/>
          <w:highlight w:val="none"/>
        </w:rPr>
      </w:pPr>
    </w:p>
    <w:p w14:paraId="1B84C4FE">
      <w:pPr>
        <w:pStyle w:val="35"/>
        <w:ind w:firstLine="915"/>
        <w:rPr>
          <w:color w:val="auto"/>
          <w:highlight w:val="none"/>
        </w:rPr>
      </w:pPr>
    </w:p>
    <w:p w14:paraId="68F171BB">
      <w:pPr>
        <w:snapToGrid w:val="0"/>
        <w:spacing w:beforeLines="100" w:line="700" w:lineRule="exact"/>
        <w:jc w:val="center"/>
        <w:rPr>
          <w:rFonts w:ascii="楷体_GB2312" w:eastAsia="楷体_GB2312"/>
          <w:b/>
          <w:color w:val="auto"/>
          <w:sz w:val="76"/>
          <w:szCs w:val="76"/>
          <w:highlight w:val="none"/>
        </w:rPr>
      </w:pPr>
    </w:p>
    <w:p w14:paraId="2219FF75">
      <w:pPr>
        <w:snapToGrid w:val="0"/>
        <w:spacing w:beforeLines="100" w:line="700" w:lineRule="exact"/>
        <w:jc w:val="center"/>
        <w:rPr>
          <w:rFonts w:ascii="楷体_GB2312" w:eastAsia="楷体_GB2312"/>
          <w:b/>
          <w:color w:val="auto"/>
          <w:sz w:val="84"/>
          <w:szCs w:val="84"/>
          <w:highlight w:val="none"/>
        </w:rPr>
      </w:pPr>
      <w:r>
        <w:rPr>
          <w:rFonts w:hint="eastAsia" w:ascii="楷体_GB2312" w:eastAsia="楷体_GB2312"/>
          <w:b/>
          <w:color w:val="auto"/>
          <w:sz w:val="76"/>
          <w:szCs w:val="76"/>
          <w:highlight w:val="none"/>
        </w:rPr>
        <w:t>竞争性磋商文件</w:t>
      </w:r>
    </w:p>
    <w:p w14:paraId="259E1576">
      <w:pPr>
        <w:pStyle w:val="4"/>
        <w:rPr>
          <w:color w:val="auto"/>
          <w:highlight w:val="none"/>
        </w:rPr>
      </w:pPr>
    </w:p>
    <w:p w14:paraId="27ED0EAC">
      <w:pPr>
        <w:rPr>
          <w:color w:val="auto"/>
          <w:highlight w:val="none"/>
        </w:rPr>
      </w:pPr>
    </w:p>
    <w:p w14:paraId="40159093">
      <w:pPr>
        <w:spacing w:beforeLines="150" w:line="720" w:lineRule="exact"/>
        <w:ind w:left="2241" w:leftChars="608" w:hanging="964" w:hangingChars="300"/>
        <w:rPr>
          <w:rFonts w:ascii="宋体" w:hAnsi="宋体" w:cs="宋体"/>
          <w:b/>
          <w:bCs/>
          <w:color w:val="auto"/>
          <w:kern w:val="0"/>
          <w:sz w:val="32"/>
          <w:szCs w:val="32"/>
          <w:highlight w:val="none"/>
        </w:rPr>
      </w:pPr>
    </w:p>
    <w:p w14:paraId="01AFA070">
      <w:pPr>
        <w:spacing w:beforeLines="150" w:line="720" w:lineRule="exact"/>
        <w:ind w:left="2241" w:leftChars="608" w:hanging="964" w:hangingChars="300"/>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项目名称：2024年钦北区古龙至湴塘四级公路新改建工程</w:t>
      </w:r>
    </w:p>
    <w:p w14:paraId="4A117E38">
      <w:pPr>
        <w:spacing w:line="720" w:lineRule="exact"/>
        <w:ind w:left="3526" w:leftChars="608" w:hanging="2249" w:hangingChars="700"/>
        <w:rPr>
          <w:rFonts w:ascii="宋体" w:hAnsi="宋体"/>
          <w:b/>
          <w:color w:val="auto"/>
          <w:sz w:val="32"/>
          <w:szCs w:val="32"/>
          <w:highlight w:val="none"/>
        </w:rPr>
      </w:pPr>
      <w:r>
        <w:rPr>
          <w:rFonts w:hint="eastAsia" w:ascii="宋体" w:hAnsi="宋体"/>
          <w:b/>
          <w:color w:val="auto"/>
          <w:sz w:val="32"/>
          <w:szCs w:val="32"/>
          <w:highlight w:val="none"/>
        </w:rPr>
        <w:t>项目编号：QZZC2026-C2-030004-GXRD</w:t>
      </w:r>
    </w:p>
    <w:p w14:paraId="18AB8831">
      <w:pPr>
        <w:spacing w:line="720" w:lineRule="exact"/>
        <w:ind w:left="3526" w:leftChars="608" w:hanging="2249" w:hangingChars="700"/>
        <w:rPr>
          <w:b/>
          <w:color w:val="auto"/>
          <w:sz w:val="32"/>
          <w:szCs w:val="32"/>
          <w:highlight w:val="none"/>
        </w:rPr>
      </w:pPr>
      <w:r>
        <w:rPr>
          <w:rFonts w:hint="eastAsia"/>
          <w:b/>
          <w:color w:val="auto"/>
          <w:sz w:val="32"/>
          <w:szCs w:val="32"/>
          <w:highlight w:val="none"/>
        </w:rPr>
        <w:t>采 购 人：钦州市钦北区交通建设发展中心</w:t>
      </w:r>
    </w:p>
    <w:p w14:paraId="3FF800CF">
      <w:pPr>
        <w:spacing w:beforeLines="200" w:line="360" w:lineRule="auto"/>
        <w:ind w:firstLine="1285" w:firstLineChars="400"/>
        <w:rPr>
          <w:b/>
          <w:color w:val="auto"/>
          <w:sz w:val="32"/>
          <w:szCs w:val="32"/>
          <w:highlight w:val="none"/>
        </w:rPr>
      </w:pPr>
      <w:r>
        <w:rPr>
          <w:rFonts w:hint="eastAsia"/>
          <w:b/>
          <w:color w:val="auto"/>
          <w:sz w:val="32"/>
          <w:szCs w:val="32"/>
          <w:highlight w:val="none"/>
        </w:rPr>
        <w:t>采购代理机构：广西锐达工程咨询有限公司</w:t>
      </w:r>
    </w:p>
    <w:p w14:paraId="33A8A494">
      <w:pPr>
        <w:spacing w:beforeLines="200" w:line="360" w:lineRule="auto"/>
        <w:ind w:firstLine="2891" w:firstLineChars="900"/>
        <w:rPr>
          <w:rFonts w:ascii="楷体_GB2312"/>
          <w:b/>
          <w:color w:val="auto"/>
          <w:sz w:val="72"/>
          <w:szCs w:val="220"/>
          <w:highlight w:val="none"/>
        </w:rPr>
        <w:sectPr>
          <w:headerReference r:id="rId3" w:type="default"/>
          <w:pgSz w:w="11906" w:h="16838"/>
          <w:pgMar w:top="1440" w:right="1080" w:bottom="1440" w:left="460" w:header="851" w:footer="794" w:gutter="567"/>
          <w:pgNumType w:start="1"/>
          <w:cols w:space="720" w:num="1"/>
        </w:sect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 xml:space="preserve">年 </w:t>
      </w:r>
      <w:r>
        <w:rPr>
          <w:rFonts w:hint="eastAsia" w:ascii="宋体" w:hAnsi="宋体"/>
          <w:b/>
          <w:color w:val="auto"/>
          <w:sz w:val="32"/>
          <w:szCs w:val="32"/>
          <w:highlight w:val="none"/>
          <w:lang w:val="en-US" w:eastAsia="zh-CN"/>
        </w:rPr>
        <w:t>1</w:t>
      </w:r>
      <w:r>
        <w:rPr>
          <w:rFonts w:hint="eastAsia" w:ascii="宋体" w:hAnsi="宋体"/>
          <w:b/>
          <w:color w:val="auto"/>
          <w:sz w:val="32"/>
          <w:szCs w:val="32"/>
          <w:highlight w:val="none"/>
        </w:rPr>
        <w:t xml:space="preserve"> 月 </w:t>
      </w:r>
      <w:r>
        <w:rPr>
          <w:rFonts w:hint="eastAsia" w:ascii="宋体" w:hAnsi="宋体"/>
          <w:b/>
          <w:color w:val="auto"/>
          <w:sz w:val="32"/>
          <w:szCs w:val="32"/>
          <w:highlight w:val="none"/>
          <w:lang w:val="en-US" w:eastAsia="zh-CN"/>
        </w:rPr>
        <w:t>19</w:t>
      </w:r>
      <w:r>
        <w:rPr>
          <w:rFonts w:hint="eastAsia" w:ascii="宋体" w:hAnsi="宋体"/>
          <w:b/>
          <w:color w:val="auto"/>
          <w:sz w:val="32"/>
          <w:szCs w:val="32"/>
          <w:highlight w:val="none"/>
        </w:rPr>
        <w:t xml:space="preserve"> 日</w:t>
      </w:r>
    </w:p>
    <w:p w14:paraId="7BE73F94">
      <w:pPr>
        <w:rPr>
          <w:color w:val="auto"/>
          <w:highlight w:val="none"/>
        </w:rPr>
      </w:pPr>
    </w:p>
    <w:p w14:paraId="3E71C522">
      <w:pPr>
        <w:pStyle w:val="34"/>
        <w:rPr>
          <w:color w:val="auto"/>
          <w:highlight w:val="none"/>
        </w:rPr>
      </w:pPr>
    </w:p>
    <w:sdt>
      <w:sdtPr>
        <w:rPr>
          <w:rFonts w:ascii="宋体" w:hAnsi="宋体"/>
          <w:color w:val="auto"/>
          <w:sz w:val="28"/>
          <w:szCs w:val="36"/>
          <w:highlight w:val="none"/>
        </w:rPr>
        <w:id w:val="147475717"/>
        <w:docPartObj>
          <w:docPartGallery w:val="Table of Contents"/>
          <w:docPartUnique/>
        </w:docPartObj>
      </w:sdtPr>
      <w:sdtEndPr>
        <w:rPr>
          <w:rFonts w:ascii="宋体" w:hAnsi="宋体" w:cs="宋体"/>
          <w:color w:val="auto"/>
          <w:sz w:val="28"/>
          <w:szCs w:val="40"/>
          <w:highlight w:val="none"/>
        </w:rPr>
      </w:sdtEndPr>
      <w:sdtContent>
        <w:p w14:paraId="1B1CAB1A">
          <w:pPr>
            <w:spacing w:line="360" w:lineRule="auto"/>
            <w:jc w:val="center"/>
            <w:rPr>
              <w:color w:val="auto"/>
              <w:sz w:val="44"/>
              <w:szCs w:val="44"/>
              <w:highlight w:val="none"/>
            </w:rPr>
          </w:pPr>
          <w:r>
            <w:rPr>
              <w:rFonts w:ascii="宋体" w:hAnsi="宋体"/>
              <w:b/>
              <w:bCs/>
              <w:color w:val="auto"/>
              <w:sz w:val="44"/>
              <w:szCs w:val="44"/>
              <w:highlight w:val="none"/>
            </w:rPr>
            <w:t>目录</w:t>
          </w:r>
        </w:p>
        <w:p w14:paraId="55185A8D">
          <w:pPr>
            <w:pStyle w:val="17"/>
            <w:tabs>
              <w:tab w:val="right" w:leader="dot" w:pos="9799"/>
            </w:tabs>
            <w:rPr>
              <w:rFonts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17B41299">
          <w:pPr>
            <w:pStyle w:val="17"/>
            <w:tabs>
              <w:tab w:val="right" w:leader="dot" w:pos="9799"/>
            </w:tabs>
            <w:spacing w:line="700" w:lineRule="exact"/>
            <w:ind w:left="315" w:leftChars="150" w:right="210" w:rightChars="100"/>
            <w:rPr>
              <w:rFonts w:ascii="宋体" w:hAnsi="宋体" w:cs="宋体"/>
              <w:color w:val="auto"/>
              <w:sz w:val="26"/>
              <w:szCs w:val="26"/>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6"/>
              <w:szCs w:val="26"/>
              <w:highlight w:val="none"/>
            </w:rPr>
            <w:t>第一章竞争性磋商公告</w:t>
          </w:r>
          <w:r>
            <w:rPr>
              <w:rFonts w:hint="eastAsia" w:ascii="宋体" w:hAnsi="宋体" w:cs="宋体"/>
              <w:color w:val="auto"/>
              <w:sz w:val="26"/>
              <w:szCs w:val="26"/>
              <w:highlight w:val="none"/>
            </w:rPr>
            <w:tab/>
          </w:r>
          <w:r>
            <w:rPr>
              <w:rFonts w:hint="eastAsia" w:ascii="宋体" w:hAnsi="宋体" w:cs="宋体"/>
              <w:color w:val="auto"/>
              <w:sz w:val="26"/>
              <w:szCs w:val="26"/>
              <w:highlight w:val="none"/>
            </w:rPr>
            <w:fldChar w:fldCharType="begin"/>
          </w:r>
          <w:r>
            <w:rPr>
              <w:rFonts w:hint="eastAsia" w:ascii="宋体" w:hAnsi="宋体" w:cs="宋体"/>
              <w:color w:val="auto"/>
              <w:sz w:val="26"/>
              <w:szCs w:val="26"/>
              <w:highlight w:val="none"/>
            </w:rPr>
            <w:instrText xml:space="preserve"> PAGEREF _Toc29312 \h </w:instrText>
          </w:r>
          <w:r>
            <w:rPr>
              <w:rFonts w:hint="eastAsia" w:ascii="宋体" w:hAnsi="宋体" w:cs="宋体"/>
              <w:color w:val="auto"/>
              <w:sz w:val="26"/>
              <w:szCs w:val="26"/>
              <w:highlight w:val="none"/>
            </w:rPr>
            <w:fldChar w:fldCharType="separate"/>
          </w:r>
          <w:r>
            <w:rPr>
              <w:rFonts w:hint="eastAsia" w:ascii="宋体" w:hAnsi="宋体" w:cs="宋体"/>
              <w:color w:val="auto"/>
              <w:sz w:val="26"/>
              <w:szCs w:val="26"/>
              <w:highlight w:val="none"/>
            </w:rPr>
            <w:t>3</w:t>
          </w:r>
          <w:r>
            <w:rPr>
              <w:rFonts w:hint="eastAsia" w:ascii="宋体" w:hAnsi="宋体" w:cs="宋体"/>
              <w:color w:val="auto"/>
              <w:sz w:val="26"/>
              <w:szCs w:val="26"/>
              <w:highlight w:val="none"/>
            </w:rPr>
            <w:fldChar w:fldCharType="end"/>
          </w:r>
          <w:r>
            <w:rPr>
              <w:rFonts w:hint="eastAsia" w:ascii="宋体" w:hAnsi="宋体" w:cs="宋体"/>
              <w:color w:val="auto"/>
              <w:sz w:val="26"/>
              <w:szCs w:val="26"/>
              <w:highlight w:val="none"/>
            </w:rPr>
            <w:fldChar w:fldCharType="end"/>
          </w:r>
        </w:p>
        <w:p w14:paraId="0365A4AB">
          <w:pPr>
            <w:pStyle w:val="17"/>
            <w:tabs>
              <w:tab w:val="right" w:leader="dot" w:pos="9799"/>
            </w:tabs>
            <w:spacing w:line="700" w:lineRule="exact"/>
            <w:ind w:left="315" w:leftChars="150" w:right="210" w:rightChars="100"/>
            <w:rPr>
              <w:rFonts w:ascii="宋体" w:hAnsi="宋体" w:cs="宋体"/>
              <w:color w:val="auto"/>
              <w:sz w:val="26"/>
              <w:szCs w:val="26"/>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spacing w:val="-14"/>
              <w:kern w:val="0"/>
              <w:position w:val="-6"/>
              <w:sz w:val="26"/>
              <w:szCs w:val="26"/>
              <w:highlight w:val="none"/>
            </w:rPr>
            <w:t>第二章 供应商须知前附表</w:t>
          </w:r>
          <w:r>
            <w:rPr>
              <w:rFonts w:hint="eastAsia" w:ascii="宋体" w:hAnsi="宋体" w:cs="宋体"/>
              <w:color w:val="auto"/>
              <w:sz w:val="26"/>
              <w:szCs w:val="26"/>
              <w:highlight w:val="none"/>
            </w:rPr>
            <w:tab/>
          </w:r>
          <w:r>
            <w:rPr>
              <w:rFonts w:hint="eastAsia" w:ascii="宋体" w:hAnsi="宋体" w:cs="宋体"/>
              <w:color w:val="auto"/>
              <w:sz w:val="26"/>
              <w:szCs w:val="26"/>
              <w:highlight w:val="none"/>
            </w:rPr>
            <w:fldChar w:fldCharType="begin"/>
          </w:r>
          <w:r>
            <w:rPr>
              <w:rFonts w:hint="eastAsia" w:ascii="宋体" w:hAnsi="宋体" w:cs="宋体"/>
              <w:color w:val="auto"/>
              <w:sz w:val="26"/>
              <w:szCs w:val="26"/>
              <w:highlight w:val="none"/>
            </w:rPr>
            <w:instrText xml:space="preserve"> PAGEREF _Toc5416 \h </w:instrText>
          </w:r>
          <w:r>
            <w:rPr>
              <w:rFonts w:hint="eastAsia" w:ascii="宋体" w:hAnsi="宋体" w:cs="宋体"/>
              <w:color w:val="auto"/>
              <w:sz w:val="26"/>
              <w:szCs w:val="26"/>
              <w:highlight w:val="none"/>
            </w:rPr>
            <w:fldChar w:fldCharType="separate"/>
          </w:r>
          <w:r>
            <w:rPr>
              <w:rFonts w:hint="eastAsia" w:ascii="宋体" w:hAnsi="宋体" w:cs="宋体"/>
              <w:color w:val="auto"/>
              <w:sz w:val="26"/>
              <w:szCs w:val="26"/>
              <w:highlight w:val="none"/>
            </w:rPr>
            <w:t>6</w:t>
          </w:r>
          <w:r>
            <w:rPr>
              <w:rFonts w:hint="eastAsia" w:ascii="宋体" w:hAnsi="宋体" w:cs="宋体"/>
              <w:color w:val="auto"/>
              <w:sz w:val="26"/>
              <w:szCs w:val="26"/>
              <w:highlight w:val="none"/>
            </w:rPr>
            <w:fldChar w:fldCharType="end"/>
          </w:r>
          <w:r>
            <w:rPr>
              <w:rFonts w:hint="eastAsia" w:ascii="宋体" w:hAnsi="宋体" w:cs="宋体"/>
              <w:color w:val="auto"/>
              <w:sz w:val="26"/>
              <w:szCs w:val="26"/>
              <w:highlight w:val="none"/>
            </w:rPr>
            <w:fldChar w:fldCharType="end"/>
          </w:r>
        </w:p>
        <w:p w14:paraId="5022E4BA">
          <w:pPr>
            <w:pStyle w:val="17"/>
            <w:tabs>
              <w:tab w:val="right" w:leader="dot" w:pos="9799"/>
            </w:tabs>
            <w:spacing w:line="700" w:lineRule="exact"/>
            <w:ind w:left="315" w:leftChars="150" w:right="210" w:rightChars="100"/>
            <w:rPr>
              <w:rFonts w:ascii="宋体" w:hAnsi="宋体" w:cs="宋体"/>
              <w:color w:val="auto"/>
              <w:sz w:val="26"/>
              <w:szCs w:val="26"/>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spacing w:val="-14"/>
              <w:kern w:val="0"/>
              <w:position w:val="-6"/>
              <w:sz w:val="26"/>
              <w:szCs w:val="26"/>
              <w:highlight w:val="none"/>
            </w:rPr>
            <w:t>第三章  项目基本情况及要求</w:t>
          </w:r>
          <w:r>
            <w:rPr>
              <w:rFonts w:hint="eastAsia" w:ascii="宋体" w:hAnsi="宋体" w:cs="宋体"/>
              <w:color w:val="auto"/>
              <w:sz w:val="26"/>
              <w:szCs w:val="26"/>
              <w:highlight w:val="none"/>
            </w:rPr>
            <w:tab/>
          </w:r>
          <w:r>
            <w:rPr>
              <w:rFonts w:hint="eastAsia" w:ascii="宋体" w:hAnsi="宋体" w:cs="宋体"/>
              <w:color w:val="auto"/>
              <w:sz w:val="26"/>
              <w:szCs w:val="26"/>
              <w:highlight w:val="none"/>
            </w:rPr>
            <w:fldChar w:fldCharType="begin"/>
          </w:r>
          <w:r>
            <w:rPr>
              <w:rFonts w:hint="eastAsia" w:ascii="宋体" w:hAnsi="宋体" w:cs="宋体"/>
              <w:color w:val="auto"/>
              <w:sz w:val="26"/>
              <w:szCs w:val="26"/>
              <w:highlight w:val="none"/>
            </w:rPr>
            <w:instrText xml:space="preserve"> PAGEREF _Toc26558 \h </w:instrText>
          </w:r>
          <w:r>
            <w:rPr>
              <w:rFonts w:hint="eastAsia" w:ascii="宋体" w:hAnsi="宋体" w:cs="宋体"/>
              <w:color w:val="auto"/>
              <w:sz w:val="26"/>
              <w:szCs w:val="26"/>
              <w:highlight w:val="none"/>
            </w:rPr>
            <w:fldChar w:fldCharType="separate"/>
          </w:r>
          <w:r>
            <w:rPr>
              <w:rFonts w:hint="eastAsia" w:ascii="宋体" w:hAnsi="宋体" w:cs="宋体"/>
              <w:color w:val="auto"/>
              <w:sz w:val="26"/>
              <w:szCs w:val="26"/>
              <w:highlight w:val="none"/>
            </w:rPr>
            <w:t>21</w:t>
          </w:r>
          <w:r>
            <w:rPr>
              <w:rFonts w:hint="eastAsia" w:ascii="宋体" w:hAnsi="宋体" w:cs="宋体"/>
              <w:color w:val="auto"/>
              <w:sz w:val="26"/>
              <w:szCs w:val="26"/>
              <w:highlight w:val="none"/>
            </w:rPr>
            <w:fldChar w:fldCharType="end"/>
          </w:r>
          <w:r>
            <w:rPr>
              <w:rFonts w:hint="eastAsia" w:ascii="宋体" w:hAnsi="宋体" w:cs="宋体"/>
              <w:color w:val="auto"/>
              <w:sz w:val="26"/>
              <w:szCs w:val="26"/>
              <w:highlight w:val="none"/>
            </w:rPr>
            <w:fldChar w:fldCharType="end"/>
          </w:r>
        </w:p>
        <w:p w14:paraId="78B6D33E">
          <w:pPr>
            <w:pStyle w:val="17"/>
            <w:tabs>
              <w:tab w:val="right" w:leader="dot" w:pos="9799"/>
            </w:tabs>
            <w:spacing w:line="700" w:lineRule="exact"/>
            <w:ind w:left="315" w:leftChars="150" w:right="210" w:rightChars="100"/>
            <w:rPr>
              <w:rFonts w:ascii="宋体" w:hAnsi="宋体" w:cs="宋体"/>
              <w:color w:val="auto"/>
              <w:sz w:val="26"/>
              <w:szCs w:val="26"/>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6"/>
              <w:szCs w:val="26"/>
              <w:highlight w:val="none"/>
            </w:rPr>
            <w:t>第四章评审标准</w:t>
          </w:r>
          <w:r>
            <w:rPr>
              <w:rFonts w:hint="eastAsia" w:ascii="宋体" w:hAnsi="宋体" w:cs="宋体"/>
              <w:color w:val="auto"/>
              <w:sz w:val="26"/>
              <w:szCs w:val="26"/>
              <w:highlight w:val="none"/>
            </w:rPr>
            <w:tab/>
          </w:r>
          <w:r>
            <w:rPr>
              <w:rFonts w:hint="eastAsia" w:ascii="宋体" w:hAnsi="宋体" w:cs="宋体"/>
              <w:color w:val="auto"/>
              <w:sz w:val="26"/>
              <w:szCs w:val="26"/>
              <w:highlight w:val="none"/>
            </w:rPr>
            <w:fldChar w:fldCharType="begin"/>
          </w:r>
          <w:r>
            <w:rPr>
              <w:rFonts w:hint="eastAsia" w:ascii="宋体" w:hAnsi="宋体" w:cs="宋体"/>
              <w:color w:val="auto"/>
              <w:sz w:val="26"/>
              <w:szCs w:val="26"/>
              <w:highlight w:val="none"/>
            </w:rPr>
            <w:instrText xml:space="preserve"> PAGEREF _Toc20069 \h </w:instrText>
          </w:r>
          <w:r>
            <w:rPr>
              <w:rFonts w:hint="eastAsia" w:ascii="宋体" w:hAnsi="宋体" w:cs="宋体"/>
              <w:color w:val="auto"/>
              <w:sz w:val="26"/>
              <w:szCs w:val="26"/>
              <w:highlight w:val="none"/>
            </w:rPr>
            <w:fldChar w:fldCharType="separate"/>
          </w:r>
          <w:r>
            <w:rPr>
              <w:rFonts w:hint="eastAsia" w:ascii="宋体" w:hAnsi="宋体" w:cs="宋体"/>
              <w:color w:val="auto"/>
              <w:sz w:val="26"/>
              <w:szCs w:val="26"/>
              <w:highlight w:val="none"/>
            </w:rPr>
            <w:t>22</w:t>
          </w:r>
          <w:r>
            <w:rPr>
              <w:rFonts w:hint="eastAsia" w:ascii="宋体" w:hAnsi="宋体" w:cs="宋体"/>
              <w:color w:val="auto"/>
              <w:sz w:val="26"/>
              <w:szCs w:val="26"/>
              <w:highlight w:val="none"/>
            </w:rPr>
            <w:fldChar w:fldCharType="end"/>
          </w:r>
          <w:r>
            <w:rPr>
              <w:rFonts w:hint="eastAsia" w:ascii="宋体" w:hAnsi="宋体" w:cs="宋体"/>
              <w:color w:val="auto"/>
              <w:sz w:val="26"/>
              <w:szCs w:val="26"/>
              <w:highlight w:val="none"/>
            </w:rPr>
            <w:fldChar w:fldCharType="end"/>
          </w:r>
        </w:p>
        <w:p w14:paraId="7934BAAB">
          <w:pPr>
            <w:pStyle w:val="17"/>
            <w:tabs>
              <w:tab w:val="right" w:leader="dot" w:pos="9799"/>
            </w:tabs>
            <w:spacing w:line="700" w:lineRule="exact"/>
            <w:ind w:left="315" w:leftChars="150" w:right="210" w:rightChars="100"/>
            <w:rPr>
              <w:rFonts w:ascii="宋体" w:hAnsi="宋体" w:cs="宋体"/>
              <w:color w:val="auto"/>
              <w:sz w:val="26"/>
              <w:szCs w:val="26"/>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6"/>
              <w:szCs w:val="26"/>
              <w:highlight w:val="none"/>
            </w:rPr>
            <w:t>第五章 响应文件（格式）</w:t>
          </w:r>
          <w:r>
            <w:rPr>
              <w:rFonts w:hint="eastAsia" w:ascii="宋体" w:hAnsi="宋体" w:cs="宋体"/>
              <w:color w:val="auto"/>
              <w:sz w:val="26"/>
              <w:szCs w:val="26"/>
              <w:highlight w:val="none"/>
            </w:rPr>
            <w:tab/>
          </w:r>
          <w:r>
            <w:rPr>
              <w:rFonts w:hint="eastAsia" w:ascii="宋体" w:hAnsi="宋体" w:cs="宋体"/>
              <w:color w:val="auto"/>
              <w:sz w:val="26"/>
              <w:szCs w:val="26"/>
              <w:highlight w:val="none"/>
            </w:rPr>
            <w:fldChar w:fldCharType="begin"/>
          </w:r>
          <w:r>
            <w:rPr>
              <w:rFonts w:hint="eastAsia" w:ascii="宋体" w:hAnsi="宋体" w:cs="宋体"/>
              <w:color w:val="auto"/>
              <w:sz w:val="26"/>
              <w:szCs w:val="26"/>
              <w:highlight w:val="none"/>
            </w:rPr>
            <w:instrText xml:space="preserve"> PAGEREF _Toc15543 \h </w:instrText>
          </w:r>
          <w:r>
            <w:rPr>
              <w:rFonts w:hint="eastAsia" w:ascii="宋体" w:hAnsi="宋体" w:cs="宋体"/>
              <w:color w:val="auto"/>
              <w:sz w:val="26"/>
              <w:szCs w:val="26"/>
              <w:highlight w:val="none"/>
            </w:rPr>
            <w:fldChar w:fldCharType="separate"/>
          </w:r>
          <w:r>
            <w:rPr>
              <w:rFonts w:hint="eastAsia" w:ascii="宋体" w:hAnsi="宋体" w:cs="宋体"/>
              <w:color w:val="auto"/>
              <w:sz w:val="26"/>
              <w:szCs w:val="26"/>
              <w:highlight w:val="none"/>
            </w:rPr>
            <w:t>30</w:t>
          </w:r>
          <w:r>
            <w:rPr>
              <w:rFonts w:hint="eastAsia" w:ascii="宋体" w:hAnsi="宋体" w:cs="宋体"/>
              <w:color w:val="auto"/>
              <w:sz w:val="26"/>
              <w:szCs w:val="26"/>
              <w:highlight w:val="none"/>
            </w:rPr>
            <w:fldChar w:fldCharType="end"/>
          </w:r>
          <w:r>
            <w:rPr>
              <w:rFonts w:hint="eastAsia" w:ascii="宋体" w:hAnsi="宋体" w:cs="宋体"/>
              <w:color w:val="auto"/>
              <w:sz w:val="26"/>
              <w:szCs w:val="26"/>
              <w:highlight w:val="none"/>
            </w:rPr>
            <w:fldChar w:fldCharType="end"/>
          </w:r>
        </w:p>
        <w:p w14:paraId="414158CB">
          <w:pPr>
            <w:pStyle w:val="17"/>
            <w:tabs>
              <w:tab w:val="right" w:leader="dot" w:pos="9799"/>
            </w:tabs>
            <w:spacing w:line="700" w:lineRule="exact"/>
            <w:ind w:left="315" w:leftChars="150" w:right="210" w:rightChars="100"/>
            <w:rPr>
              <w:rFonts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spacing w:val="-14"/>
              <w:kern w:val="0"/>
              <w:position w:val="-6"/>
              <w:sz w:val="26"/>
              <w:szCs w:val="26"/>
              <w:highlight w:val="none"/>
            </w:rPr>
            <w:t>第六章 合同主要条款 (参考格式)</w:t>
          </w:r>
          <w:r>
            <w:rPr>
              <w:rFonts w:hint="eastAsia" w:ascii="宋体" w:hAnsi="宋体" w:cs="宋体"/>
              <w:color w:val="auto"/>
              <w:sz w:val="26"/>
              <w:szCs w:val="26"/>
              <w:highlight w:val="none"/>
            </w:rPr>
            <w:tab/>
          </w:r>
          <w:r>
            <w:rPr>
              <w:rFonts w:hint="eastAsia" w:ascii="宋体" w:hAnsi="宋体" w:cs="宋体"/>
              <w:color w:val="auto"/>
              <w:sz w:val="26"/>
              <w:szCs w:val="26"/>
              <w:highlight w:val="none"/>
            </w:rPr>
            <w:fldChar w:fldCharType="begin"/>
          </w:r>
          <w:r>
            <w:rPr>
              <w:rFonts w:hint="eastAsia" w:ascii="宋体" w:hAnsi="宋体" w:cs="宋体"/>
              <w:color w:val="auto"/>
              <w:sz w:val="26"/>
              <w:szCs w:val="26"/>
              <w:highlight w:val="none"/>
            </w:rPr>
            <w:instrText xml:space="preserve"> PAGEREF _Toc3612 \h </w:instrText>
          </w:r>
          <w:r>
            <w:rPr>
              <w:rFonts w:hint="eastAsia" w:ascii="宋体" w:hAnsi="宋体" w:cs="宋体"/>
              <w:color w:val="auto"/>
              <w:sz w:val="26"/>
              <w:szCs w:val="26"/>
              <w:highlight w:val="none"/>
            </w:rPr>
            <w:fldChar w:fldCharType="separate"/>
          </w:r>
          <w:r>
            <w:rPr>
              <w:rFonts w:hint="eastAsia" w:ascii="宋体" w:hAnsi="宋体" w:cs="宋体"/>
              <w:color w:val="auto"/>
              <w:sz w:val="26"/>
              <w:szCs w:val="26"/>
              <w:highlight w:val="none"/>
            </w:rPr>
            <w:t>48</w:t>
          </w:r>
          <w:r>
            <w:rPr>
              <w:rFonts w:hint="eastAsia" w:ascii="宋体" w:hAnsi="宋体" w:cs="宋体"/>
              <w:color w:val="auto"/>
              <w:sz w:val="26"/>
              <w:szCs w:val="26"/>
              <w:highlight w:val="none"/>
            </w:rPr>
            <w:fldChar w:fldCharType="end"/>
          </w:r>
          <w:r>
            <w:rPr>
              <w:rFonts w:hint="eastAsia" w:ascii="宋体" w:hAnsi="宋体" w:cs="宋体"/>
              <w:color w:val="auto"/>
              <w:sz w:val="26"/>
              <w:szCs w:val="26"/>
              <w:highlight w:val="none"/>
            </w:rPr>
            <w:fldChar w:fldCharType="end"/>
          </w:r>
        </w:p>
        <w:p w14:paraId="00226268">
          <w:pPr>
            <w:pStyle w:val="17"/>
            <w:tabs>
              <w:tab w:val="right" w:leader="dot" w:pos="9799"/>
            </w:tabs>
            <w:spacing w:line="360" w:lineRule="auto"/>
            <w:rPr>
              <w:color w:val="auto"/>
              <w:sz w:val="20"/>
              <w:szCs w:val="22"/>
              <w:highlight w:val="none"/>
            </w:rPr>
          </w:pPr>
        </w:p>
        <w:p w14:paraId="703FD074">
          <w:pPr>
            <w:pStyle w:val="17"/>
            <w:tabs>
              <w:tab w:val="center" w:pos="4899"/>
            </w:tabs>
            <w:spacing w:line="360" w:lineRule="auto"/>
            <w:rPr>
              <w:rFonts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38861F73">
      <w:pPr>
        <w:pStyle w:val="9"/>
        <w:tabs>
          <w:tab w:val="left" w:pos="4386"/>
        </w:tabs>
        <w:autoSpaceDE/>
        <w:autoSpaceDN/>
        <w:adjustRightInd/>
        <w:spacing w:line="320" w:lineRule="exact"/>
        <w:rPr>
          <w:rFonts w:hAnsi="宋体" w:cs="宋体"/>
          <w:b/>
          <w:bCs/>
          <w:color w:val="auto"/>
          <w:spacing w:val="-14"/>
          <w:position w:val="-6"/>
          <w:sz w:val="36"/>
          <w:szCs w:val="36"/>
          <w:highlight w:val="none"/>
        </w:rPr>
      </w:pPr>
      <w:r>
        <w:rPr>
          <w:rFonts w:hint="eastAsia" w:hAnsi="宋体" w:cs="宋体"/>
          <w:b/>
          <w:bCs/>
          <w:color w:val="auto"/>
          <w:spacing w:val="-14"/>
          <w:position w:val="-6"/>
          <w:sz w:val="36"/>
          <w:szCs w:val="36"/>
          <w:highlight w:val="none"/>
        </w:rPr>
        <w:tab/>
      </w:r>
    </w:p>
    <w:p w14:paraId="450FFB31">
      <w:pPr>
        <w:tabs>
          <w:tab w:val="left" w:pos="6703"/>
        </w:tabs>
        <w:jc w:val="left"/>
        <w:rPr>
          <w:color w:val="auto"/>
          <w:highlight w:val="none"/>
        </w:rPr>
        <w:sectPr>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421E64F2">
      <w:pPr>
        <w:pStyle w:val="2"/>
        <w:spacing w:before="0"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47DDD8C5">
      <w:pPr>
        <w:spacing w:afterLines="50" w:line="460" w:lineRule="exact"/>
        <w:jc w:val="center"/>
        <w:rPr>
          <w:rFonts w:ascii="宋体" w:hAnsi="宋体"/>
          <w:b/>
          <w:color w:val="auto"/>
          <w:sz w:val="28"/>
          <w:szCs w:val="28"/>
          <w:highlight w:val="none"/>
        </w:rPr>
      </w:pPr>
      <w:r>
        <w:rPr>
          <w:rFonts w:hint="eastAsia" w:ascii="宋体" w:hAnsi="宋体"/>
          <w:b/>
          <w:color w:val="auto"/>
          <w:sz w:val="28"/>
          <w:szCs w:val="28"/>
          <w:highlight w:val="none"/>
        </w:rPr>
        <w:t>广西锐达工程咨询有限公司关于</w:t>
      </w:r>
      <w:bookmarkStart w:id="3" w:name="_Toc2948"/>
      <w:r>
        <w:rPr>
          <w:rFonts w:hint="eastAsia" w:ascii="宋体" w:hAnsi="宋体"/>
          <w:b/>
          <w:color w:val="auto"/>
          <w:sz w:val="28"/>
          <w:szCs w:val="28"/>
          <w:highlight w:val="none"/>
        </w:rPr>
        <w:t>2024年钦北区古龙至湴塘四级公路新改建工程竞争性磋商公告</w:t>
      </w:r>
      <w:bookmarkEnd w:id="3"/>
    </w:p>
    <w:p w14:paraId="683E98B0">
      <w:pPr>
        <w:pStyle w:val="34"/>
        <w:rPr>
          <w:color w:val="auto"/>
          <w:highlight w:val="none"/>
        </w:rPr>
      </w:pPr>
    </w:p>
    <w:tbl>
      <w:tblPr>
        <w:tblStyle w:val="2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9BA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9266" w:type="dxa"/>
          </w:tcPr>
          <w:p w14:paraId="569750A7">
            <w:pPr>
              <w:spacing w:line="40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577A7888">
            <w:pPr>
              <w:spacing w:line="400" w:lineRule="exact"/>
              <w:ind w:firstLine="420" w:firstLineChars="200"/>
              <w:rPr>
                <w:color w:val="auto"/>
                <w:highlight w:val="none"/>
              </w:rPr>
            </w:pPr>
            <w:r>
              <w:rPr>
                <w:rFonts w:hint="eastAsia" w:ascii="宋体" w:hAnsi="宋体" w:cs="宋体"/>
                <w:color w:val="auto"/>
                <w:szCs w:val="21"/>
                <w:highlight w:val="none"/>
                <w:u w:val="single"/>
              </w:rPr>
              <w:t>2024年钦北区古龙至湴塘四级公路新改建工程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w:t>
            </w:r>
            <w:r>
              <w:rPr>
                <w:rFonts w:hint="eastAsia" w:ascii="宋体" w:hAnsi="宋体" w:cs="宋体"/>
                <w:color w:val="auto"/>
                <w:highlight w:val="none"/>
              </w:rPr>
              <w:t>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时30分（北京时间）</w:t>
            </w:r>
            <w:r>
              <w:rPr>
                <w:rFonts w:hint="eastAsia" w:ascii="宋体" w:hAnsi="宋体" w:cs="宋体"/>
                <w:color w:val="auto"/>
                <w:szCs w:val="21"/>
                <w:highlight w:val="none"/>
              </w:rPr>
              <w:t>前提交响应文件。</w:t>
            </w:r>
          </w:p>
        </w:tc>
      </w:tr>
    </w:tbl>
    <w:p w14:paraId="78EE37B1">
      <w:pPr>
        <w:pStyle w:val="3"/>
        <w:spacing w:line="420" w:lineRule="exact"/>
        <w:rPr>
          <w:rFonts w:ascii="宋体" w:hAnsi="宋体" w:eastAsia="宋体" w:cs="宋体"/>
          <w:bCs w:val="0"/>
          <w:color w:val="auto"/>
          <w:sz w:val="21"/>
          <w:szCs w:val="21"/>
          <w:highlight w:val="none"/>
        </w:rPr>
      </w:pPr>
      <w:bookmarkStart w:id="4" w:name="_Toc28359012"/>
      <w:bookmarkStart w:id="5" w:name="_Toc35393798"/>
      <w:bookmarkStart w:id="6" w:name="_Toc28359089"/>
      <w:bookmarkStart w:id="7" w:name="_Toc35393629"/>
      <w:bookmarkStart w:id="8" w:name="_Toc31859"/>
      <w:bookmarkStart w:id="9" w:name="_Toc9324"/>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3550F5B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项目编号：QZZC2026-C2-030004-GXRD</w:t>
      </w:r>
    </w:p>
    <w:p w14:paraId="666FCF6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项目名称：2024年钦北区古龙至湴塘四级公路新改建工程</w:t>
      </w:r>
    </w:p>
    <w:p w14:paraId="50F202B6">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18D27533">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预算总金额(元)：2878797.42元</w:t>
      </w:r>
    </w:p>
    <w:p w14:paraId="23F4E0A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最高限价（如有）：2878797.42元</w:t>
      </w:r>
    </w:p>
    <w:p w14:paraId="0540D90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位于钦州市钦北区平吉镇境内，起点位于钦州市钦北区境平吉镇张屋村附近，起点桩号为K0+000，途经那独村、农场村、关屋村湴塘村，终点为钦州市钦北区境平吉镇沙煲窑村附近，终点桩号为K5+100，建设里程为5.100公里，具体详见竞争性磋商文件、工程量清单及图纸。</w:t>
      </w:r>
    </w:p>
    <w:p w14:paraId="7D24E73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u w:val="single"/>
        </w:rPr>
        <w:t>150日历天</w:t>
      </w:r>
    </w:p>
    <w:p w14:paraId="66C3CED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本项目（否）接受联合体投标</w:t>
      </w:r>
    </w:p>
    <w:p w14:paraId="6FD98CDF">
      <w:pPr>
        <w:pStyle w:val="3"/>
        <w:spacing w:line="420" w:lineRule="exact"/>
        <w:rPr>
          <w:rFonts w:ascii="宋体" w:hAnsi="宋体" w:eastAsia="宋体" w:cs="宋体"/>
          <w:bCs w:val="0"/>
          <w:color w:val="auto"/>
          <w:sz w:val="21"/>
          <w:szCs w:val="21"/>
          <w:highlight w:val="none"/>
        </w:rPr>
      </w:pPr>
      <w:bookmarkStart w:id="10" w:name="_Toc35393630"/>
      <w:bookmarkStart w:id="11" w:name="_Toc28359013"/>
      <w:bookmarkStart w:id="12" w:name="_Toc35393799"/>
      <w:bookmarkStart w:id="13" w:name="_Toc28359090"/>
      <w:bookmarkStart w:id="14" w:name="_Toc21513"/>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1CE7F891">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1.符合《中华人民共和国政府采购法》第二十二条规定；</w:t>
      </w:r>
    </w:p>
    <w:p w14:paraId="08D95266">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w:t>
      </w:r>
    </w:p>
    <w:p w14:paraId="5F66F318">
      <w:pPr>
        <w:pStyle w:val="9"/>
        <w:autoSpaceDE/>
        <w:autoSpaceDN/>
        <w:adjustRightInd/>
        <w:spacing w:after="0" w:line="420" w:lineRule="exact"/>
        <w:ind w:firstLine="420" w:firstLineChars="200"/>
        <w:rPr>
          <w:rFonts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41AD7B36">
      <w:pPr>
        <w:pStyle w:val="3"/>
        <w:spacing w:line="420" w:lineRule="exact"/>
        <w:ind w:firstLine="420" w:firstLineChars="200"/>
        <w:rPr>
          <w:rFonts w:ascii="宋体" w:hAnsi="宋体" w:eastAsia="宋体" w:cs="宋体"/>
          <w:b w:val="0"/>
          <w:bCs w:val="0"/>
          <w:color w:val="auto"/>
          <w:sz w:val="21"/>
          <w:szCs w:val="21"/>
          <w:highlight w:val="none"/>
        </w:rPr>
      </w:pPr>
      <w:bookmarkStart w:id="17" w:name="_Toc35393631"/>
      <w:bookmarkStart w:id="18" w:name="_Toc13777"/>
      <w:bookmarkStart w:id="19" w:name="_Toc35393800"/>
      <w:bookmarkStart w:id="20" w:name="_Toc9125"/>
      <w:r>
        <w:rPr>
          <w:rFonts w:hint="eastAsia" w:ascii="宋体" w:hAnsi="宋体" w:eastAsia="宋体" w:cs="宋体"/>
          <w:b w:val="0"/>
          <w:bCs w:val="0"/>
          <w:color w:val="auto"/>
          <w:sz w:val="21"/>
          <w:szCs w:val="21"/>
          <w:highlight w:val="none"/>
        </w:rPr>
        <w:t>3.1 投标人须具备公路工程施工总承包三级（含三级）以上资质，在人员、设备、资金等方面具备相应的施工能力；</w:t>
      </w:r>
    </w:p>
    <w:p w14:paraId="3C5E36D6">
      <w:pPr>
        <w:pStyle w:val="3"/>
        <w:spacing w:line="42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3.2拟投入本工程的项目经理必须具备公路工程专业二级以上（含二级）注册建造师执业资格，且具备有</w:t>
      </w:r>
      <w:r>
        <w:rPr>
          <w:rStyle w:val="29"/>
          <w:rFonts w:hint="eastAsia" w:ascii="宋体" w:hAnsi="宋体" w:eastAsia="宋体" w:cs="宋体"/>
          <w:b w:val="0"/>
          <w:color w:val="auto"/>
          <w:sz w:val="21"/>
          <w:szCs w:val="24"/>
          <w:highlight w:val="none"/>
          <w:lang w:val="en-US" w:eastAsia="zh-CN"/>
        </w:rPr>
        <w:t>省级（或以上）交通运输主管部门颁发的安全生产考核合格证（“三类人员”B 类证书）</w:t>
      </w:r>
      <w:r>
        <w:rPr>
          <w:rFonts w:hint="eastAsia" w:ascii="宋体" w:hAnsi="宋体" w:eastAsia="宋体" w:cs="宋体"/>
          <w:b w:val="0"/>
          <w:bCs w:val="0"/>
          <w:color w:val="auto"/>
          <w:sz w:val="21"/>
          <w:szCs w:val="21"/>
          <w:highlight w:val="none"/>
        </w:rPr>
        <w:t>。</w:t>
      </w:r>
    </w:p>
    <w:p w14:paraId="590656E3">
      <w:pPr>
        <w:pStyle w:val="3"/>
        <w:spacing w:line="420" w:lineRule="exac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59133B9B">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19 </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1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26 </w:t>
      </w:r>
      <w:r>
        <w:rPr>
          <w:rFonts w:hint="eastAsia" w:ascii="宋体" w:hAnsi="宋体" w:cs="宋体"/>
          <w:color w:val="auto"/>
          <w:szCs w:val="21"/>
          <w:highlight w:val="none"/>
        </w:rPr>
        <w:t>日，每天上午8:00至12:00，下午12:00至23:59（北京时间，法定节假日除外）。</w:t>
      </w:r>
    </w:p>
    <w:p w14:paraId="0E1D9E37">
      <w:pPr>
        <w:snapToGrid w:val="0"/>
        <w:spacing w:line="420" w:lineRule="exact"/>
        <w:ind w:firstLine="367" w:firstLineChars="175"/>
        <w:rPr>
          <w:rFonts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35FACEC7">
      <w:pPr>
        <w:snapToGrid w:val="0"/>
        <w:spacing w:line="420" w:lineRule="exact"/>
        <w:ind w:firstLine="367" w:firstLineChars="175"/>
        <w:rPr>
          <w:rFonts w:ascii="宋体" w:hAnsi="宋体"/>
          <w:color w:val="auto"/>
          <w:szCs w:val="21"/>
          <w:highlight w:val="none"/>
        </w:rPr>
      </w:pPr>
      <w:r>
        <w:rPr>
          <w:rFonts w:hint="eastAsia" w:ascii="宋体" w:hAnsi="宋体"/>
          <w:color w:val="auto"/>
          <w:szCs w:val="21"/>
          <w:highlight w:val="none"/>
        </w:rPr>
        <w:t>方式：</w:t>
      </w:r>
      <w:bookmarkStart w:id="21" w:name="_Toc28359092"/>
      <w:bookmarkStart w:id="22" w:name="_Toc35393801"/>
      <w:bookmarkStart w:id="23" w:name="_Toc18110"/>
      <w:bookmarkStart w:id="24" w:name="_Toc28970"/>
      <w:bookmarkStart w:id="25" w:name="_Toc28359015"/>
      <w:bookmarkStart w:id="26" w:name="_Toc35393632"/>
      <w:r>
        <w:rPr>
          <w:rFonts w:hint="eastAsia" w:ascii="宋体" w:hAnsi="宋体"/>
          <w:color w:val="auto"/>
          <w:szCs w:val="21"/>
          <w:highlight w:val="none"/>
        </w:rPr>
        <w:t>供应商登录广西政府采购云平台https://www.gcy.zfcg.gxzf.gov.cn/在线申请获取采购文件（进入“项目采购”应用，在获取采购文件菜单中选择项目，申请获取采购文件）。</w:t>
      </w:r>
    </w:p>
    <w:p w14:paraId="715FA2BB">
      <w:pPr>
        <w:pStyle w:val="3"/>
        <w:spacing w:line="420" w:lineRule="exac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4CFCD6A0">
      <w:pPr>
        <w:pStyle w:val="3"/>
        <w:spacing w:line="420" w:lineRule="exact"/>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截止时间：202</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rPr>
        <w:t xml:space="preserve">年 </w:t>
      </w:r>
      <w:r>
        <w:rPr>
          <w:rFonts w:hint="eastAsia" w:ascii="宋体" w:hAnsi="宋体" w:eastAsia="宋体"/>
          <w:b w:val="0"/>
          <w:bCs w:val="0"/>
          <w:color w:val="auto"/>
          <w:sz w:val="21"/>
          <w:szCs w:val="21"/>
          <w:highlight w:val="none"/>
          <w:lang w:val="en-US" w:eastAsia="zh-CN"/>
        </w:rPr>
        <w:t>1</w:t>
      </w:r>
      <w:r>
        <w:rPr>
          <w:rFonts w:hint="eastAsia" w:ascii="宋体" w:hAnsi="宋体" w:eastAsia="宋体"/>
          <w:b w:val="0"/>
          <w:bCs w:val="0"/>
          <w:color w:val="auto"/>
          <w:sz w:val="21"/>
          <w:szCs w:val="21"/>
          <w:highlight w:val="none"/>
        </w:rPr>
        <w:t xml:space="preserve">月 </w:t>
      </w:r>
      <w:r>
        <w:rPr>
          <w:rFonts w:hint="eastAsia" w:ascii="宋体" w:hAnsi="宋体" w:eastAsia="宋体"/>
          <w:b w:val="0"/>
          <w:bCs w:val="0"/>
          <w:color w:val="auto"/>
          <w:sz w:val="21"/>
          <w:szCs w:val="21"/>
          <w:highlight w:val="none"/>
          <w:lang w:val="en-US" w:eastAsia="zh-CN"/>
        </w:rPr>
        <w:t>30</w:t>
      </w:r>
      <w:r>
        <w:rPr>
          <w:rFonts w:hint="eastAsia" w:ascii="宋体" w:hAnsi="宋体" w:eastAsia="宋体"/>
          <w:b w:val="0"/>
          <w:bCs w:val="0"/>
          <w:color w:val="auto"/>
          <w:sz w:val="21"/>
          <w:szCs w:val="21"/>
          <w:highlight w:val="none"/>
        </w:rPr>
        <w:t xml:space="preserve"> 日 </w:t>
      </w:r>
      <w:r>
        <w:rPr>
          <w:rFonts w:hint="eastAsia" w:ascii="宋体" w:hAnsi="宋体" w:eastAsia="宋体"/>
          <w:b w:val="0"/>
          <w:bCs w:val="0"/>
          <w:color w:val="auto"/>
          <w:sz w:val="21"/>
          <w:szCs w:val="21"/>
          <w:highlight w:val="none"/>
          <w:lang w:val="en-US" w:eastAsia="zh-CN"/>
        </w:rPr>
        <w:t>15</w:t>
      </w:r>
      <w:r>
        <w:rPr>
          <w:rFonts w:hint="eastAsia" w:ascii="宋体" w:hAnsi="宋体" w:eastAsia="宋体"/>
          <w:b w:val="0"/>
          <w:bCs w:val="0"/>
          <w:color w:val="auto"/>
          <w:sz w:val="21"/>
          <w:szCs w:val="21"/>
          <w:highlight w:val="none"/>
        </w:rPr>
        <w:t xml:space="preserve"> 时30分（北京时间）</w:t>
      </w:r>
    </w:p>
    <w:p w14:paraId="18D4C869">
      <w:pPr>
        <w:pStyle w:val="3"/>
        <w:spacing w:line="420" w:lineRule="exact"/>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地点（网址）：通过“广西政府采购云平台”（https://www.gcy.zfcg.gxzf.gov.cn/）在线响应</w:t>
      </w:r>
    </w:p>
    <w:p w14:paraId="14E8FF76">
      <w:pPr>
        <w:pStyle w:val="3"/>
        <w:spacing w:line="420" w:lineRule="exact"/>
        <w:rPr>
          <w:rFonts w:ascii="宋体" w:hAnsi="宋体" w:eastAsia="宋体" w:cs="宋体"/>
          <w:bCs w:val="0"/>
          <w:color w:val="auto"/>
          <w:sz w:val="21"/>
          <w:szCs w:val="21"/>
          <w:highlight w:val="none"/>
        </w:rPr>
      </w:pPr>
      <w:bookmarkStart w:id="27" w:name="_Toc35393802"/>
      <w:bookmarkStart w:id="28" w:name="_Toc24973"/>
      <w:bookmarkStart w:id="29" w:name="_Toc28359016"/>
      <w:bookmarkStart w:id="30" w:name="_Toc3197"/>
      <w:bookmarkStart w:id="31" w:name="_Toc35393633"/>
      <w:bookmarkStart w:id="32" w:name="_Toc28359093"/>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668A389E">
      <w:pPr>
        <w:pStyle w:val="3"/>
        <w:spacing w:line="420" w:lineRule="exact"/>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开启时间：202</w:t>
      </w:r>
      <w:r>
        <w:rPr>
          <w:rFonts w:hint="eastAsia" w:ascii="宋体" w:hAnsi="宋体" w:eastAsia="宋体"/>
          <w:b w:val="0"/>
          <w:bCs w:val="0"/>
          <w:color w:val="auto"/>
          <w:sz w:val="21"/>
          <w:szCs w:val="21"/>
          <w:highlight w:val="none"/>
          <w:lang w:val="en-US" w:eastAsia="zh-CN"/>
        </w:rPr>
        <w:t>6</w:t>
      </w:r>
      <w:bookmarkStart w:id="71" w:name="_GoBack"/>
      <w:bookmarkEnd w:id="71"/>
      <w:r>
        <w:rPr>
          <w:rFonts w:hint="eastAsia" w:ascii="宋体" w:hAnsi="宋体" w:eastAsia="宋体"/>
          <w:b w:val="0"/>
          <w:bCs w:val="0"/>
          <w:color w:val="auto"/>
          <w:sz w:val="21"/>
          <w:szCs w:val="21"/>
          <w:highlight w:val="none"/>
        </w:rPr>
        <w:t>年</w:t>
      </w:r>
      <w:r>
        <w:rPr>
          <w:rFonts w:hint="eastAsia" w:ascii="宋体" w:hAnsi="宋体" w:eastAsia="宋体"/>
          <w:b w:val="0"/>
          <w:bCs w:val="0"/>
          <w:color w:val="auto"/>
          <w:sz w:val="21"/>
          <w:szCs w:val="21"/>
          <w:highlight w:val="none"/>
          <w:lang w:val="en-US" w:eastAsia="zh-CN"/>
        </w:rPr>
        <w:t>1</w:t>
      </w:r>
      <w:r>
        <w:rPr>
          <w:rFonts w:hint="eastAsia" w:ascii="宋体" w:hAnsi="宋体" w:eastAsia="宋体"/>
          <w:b w:val="0"/>
          <w:bCs w:val="0"/>
          <w:color w:val="auto"/>
          <w:sz w:val="21"/>
          <w:szCs w:val="21"/>
          <w:highlight w:val="none"/>
        </w:rPr>
        <w:t xml:space="preserve">月 </w:t>
      </w:r>
      <w:r>
        <w:rPr>
          <w:rFonts w:hint="eastAsia" w:ascii="宋体" w:hAnsi="宋体" w:eastAsia="宋体"/>
          <w:b w:val="0"/>
          <w:bCs w:val="0"/>
          <w:color w:val="auto"/>
          <w:sz w:val="21"/>
          <w:szCs w:val="21"/>
          <w:highlight w:val="none"/>
          <w:lang w:val="en-US" w:eastAsia="zh-CN"/>
        </w:rPr>
        <w:t>30</w:t>
      </w:r>
      <w:r>
        <w:rPr>
          <w:rFonts w:hint="eastAsia" w:ascii="宋体" w:hAnsi="宋体" w:eastAsia="宋体"/>
          <w:b w:val="0"/>
          <w:bCs w:val="0"/>
          <w:color w:val="auto"/>
          <w:sz w:val="21"/>
          <w:szCs w:val="21"/>
          <w:highlight w:val="none"/>
        </w:rPr>
        <w:t xml:space="preserve"> 日 </w:t>
      </w:r>
      <w:r>
        <w:rPr>
          <w:rFonts w:hint="eastAsia" w:ascii="宋体" w:hAnsi="宋体" w:eastAsia="宋体"/>
          <w:b w:val="0"/>
          <w:bCs w:val="0"/>
          <w:color w:val="auto"/>
          <w:sz w:val="21"/>
          <w:szCs w:val="21"/>
          <w:highlight w:val="none"/>
          <w:lang w:val="en-US" w:eastAsia="zh-CN"/>
        </w:rPr>
        <w:t>15</w:t>
      </w:r>
      <w:r>
        <w:rPr>
          <w:rFonts w:hint="eastAsia" w:ascii="宋体" w:hAnsi="宋体" w:eastAsia="宋体"/>
          <w:b w:val="0"/>
          <w:bCs w:val="0"/>
          <w:color w:val="auto"/>
          <w:sz w:val="21"/>
          <w:szCs w:val="21"/>
          <w:highlight w:val="none"/>
        </w:rPr>
        <w:t xml:space="preserve">  时30分（北京时间）</w:t>
      </w:r>
    </w:p>
    <w:p w14:paraId="6D64272D">
      <w:pPr>
        <w:pStyle w:val="3"/>
        <w:spacing w:line="420" w:lineRule="exact"/>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地点：</w:t>
      </w:r>
      <w:bookmarkStart w:id="33" w:name="_Toc35393634"/>
      <w:bookmarkStart w:id="34" w:name="_Toc17419"/>
      <w:bookmarkStart w:id="35" w:name="_Toc35393803"/>
      <w:bookmarkStart w:id="36" w:name="_Toc28359017"/>
      <w:bookmarkStart w:id="37" w:name="_Toc28359094"/>
      <w:bookmarkStart w:id="38" w:name="_Toc5452"/>
      <w:r>
        <w:rPr>
          <w:rFonts w:hint="eastAsia" w:ascii="宋体" w:hAnsi="宋体" w:eastAsia="宋体"/>
          <w:b w:val="0"/>
          <w:bCs w:val="0"/>
          <w:color w:val="auto"/>
          <w:sz w:val="21"/>
          <w:szCs w:val="21"/>
          <w:highlight w:val="none"/>
        </w:rPr>
        <w:t>“广西政府采购云平台”电子开标大厅在线解密开启</w:t>
      </w:r>
    </w:p>
    <w:p w14:paraId="32BE75FB">
      <w:pPr>
        <w:pStyle w:val="3"/>
        <w:spacing w:line="420" w:lineRule="exac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78F1C384">
      <w:pPr>
        <w:pStyle w:val="3"/>
        <w:spacing w:line="420" w:lineRule="exact"/>
        <w:ind w:firstLine="420" w:firstLineChars="200"/>
        <w:rPr>
          <w:rFonts w:ascii="宋体" w:hAnsi="宋体" w:eastAsia="宋体"/>
          <w:b w:val="0"/>
          <w:color w:val="auto"/>
          <w:sz w:val="21"/>
          <w:szCs w:val="21"/>
          <w:highlight w:val="none"/>
        </w:rPr>
      </w:pPr>
      <w:bookmarkStart w:id="39" w:name="_Toc26297"/>
      <w:bookmarkStart w:id="40" w:name="_Toc321"/>
      <w:bookmarkStart w:id="41" w:name="_Toc35393804"/>
      <w:bookmarkStart w:id="42" w:name="_Toc35393635"/>
      <w:r>
        <w:rPr>
          <w:rFonts w:hint="eastAsia" w:ascii="宋体" w:hAnsi="宋体" w:eastAsia="宋体"/>
          <w:b w:val="0"/>
          <w:color w:val="auto"/>
          <w:sz w:val="21"/>
          <w:szCs w:val="21"/>
          <w:highlight w:val="none"/>
        </w:rPr>
        <w:t>自本公告发布之日起5个工作日。</w:t>
      </w:r>
    </w:p>
    <w:p w14:paraId="6E54DB0A">
      <w:pPr>
        <w:pStyle w:val="3"/>
        <w:spacing w:line="420" w:lineRule="exac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七、其他补充事宜</w:t>
      </w:r>
      <w:bookmarkEnd w:id="39"/>
      <w:bookmarkEnd w:id="40"/>
      <w:bookmarkEnd w:id="41"/>
      <w:bookmarkEnd w:id="42"/>
    </w:p>
    <w:p w14:paraId="78C7C434">
      <w:pPr>
        <w:pStyle w:val="3"/>
        <w:spacing w:line="420" w:lineRule="exact"/>
        <w:ind w:firstLine="630" w:firstLineChars="300"/>
        <w:rPr>
          <w:rFonts w:ascii="宋体" w:hAnsi="宋体" w:eastAsia="宋体" w:cs="宋体"/>
          <w:b w:val="0"/>
          <w:color w:val="auto"/>
          <w:sz w:val="21"/>
          <w:szCs w:val="21"/>
          <w:highlight w:val="none"/>
        </w:rPr>
      </w:pPr>
      <w:bookmarkStart w:id="43" w:name="_Toc35393636"/>
      <w:bookmarkStart w:id="44" w:name="_Toc227"/>
      <w:bookmarkStart w:id="45" w:name="_Toc35393805"/>
      <w:bookmarkStart w:id="46" w:name="_Toc23726"/>
      <w:bookmarkStart w:id="47" w:name="_Toc28359095"/>
      <w:bookmarkStart w:id="48" w:name="_Toc28359018"/>
      <w:r>
        <w:rPr>
          <w:rFonts w:hint="eastAsia" w:ascii="宋体" w:hAnsi="宋体" w:eastAsia="宋体" w:cs="宋体"/>
          <w:b w:val="0"/>
          <w:color w:val="auto"/>
          <w:sz w:val="21"/>
          <w:szCs w:val="21"/>
          <w:highlight w:val="none"/>
        </w:rPr>
        <w:t>1.网上公告媒体查询：广西壮族自治区政府采购网、中国政府采购网。</w:t>
      </w:r>
    </w:p>
    <w:p w14:paraId="429DB39E">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2.磋商保证金：无</w:t>
      </w:r>
    </w:p>
    <w:p w14:paraId="078D0F8F">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3.供应商竞标注意事项                                                                                             </w:t>
      </w:r>
    </w:p>
    <w:p w14:paraId="34F45E71">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本项目为全流程电子化采购项目，通过“广西政府采购云平台”（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52FB5E5E">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政采云客服热线：95763）。</w:t>
      </w:r>
    </w:p>
    <w:p w14:paraId="08848DCF">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（3）CA证书在线解密：供应商投标时，需凭制作响应文件时用来加密的有效数字证书（CA认证）登录“广西政府采购云平台”电子开标大厅现场按规定时间对加密的响应文件进行解密，否则后果自负。</w:t>
      </w:r>
    </w:p>
    <w:p w14:paraId="214BFBDE">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注：1）为确保网上操作合法、有效和安全，请供应商确保在电子投标过程中能够对相关数据电文进行加密和使用电子签章，妥善保管CA数字证书并使用有效的CA数字证书参与整个采购活动。</w:t>
      </w:r>
    </w:p>
    <w:p w14:paraId="4D74831D">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p>
    <w:p w14:paraId="0679CB9E">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（4）供应商需要在具备有摄像头及语音功能且互联网网络状况良好的电脑登录“广西政府采购云平台”远程开标大厅参与本次磋商，否则后果自负。</w:t>
      </w:r>
    </w:p>
    <w:p w14:paraId="2E9E72F5">
      <w:pPr>
        <w:pStyle w:val="3"/>
        <w:spacing w:line="420" w:lineRule="exact"/>
        <w:ind w:firstLine="630" w:firstLineChars="300"/>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4.若对项目采购电子交易系统操作有疑问，可登录“广西政府采购云平台”（https://www.gcy.zfcg.gxzf.gov.cn/），点击右侧咨询小采，获取采小蜜智能服务管家帮助，或拨打政采云服务热线95763获取热线服务帮助。</w:t>
      </w:r>
    </w:p>
    <w:p w14:paraId="1ED78326">
      <w:pPr>
        <w:pStyle w:val="3"/>
        <w:spacing w:line="420" w:lineRule="exac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04E1CF67">
      <w:pPr>
        <w:pStyle w:val="3"/>
        <w:spacing w:line="420" w:lineRule="exact"/>
        <w:ind w:firstLine="630" w:firstLineChars="300"/>
        <w:rPr>
          <w:rFonts w:ascii="宋体" w:hAnsi="宋体" w:eastAsia="宋体" w:cs="宋体"/>
          <w:b w:val="0"/>
          <w:color w:val="auto"/>
          <w:sz w:val="21"/>
          <w:szCs w:val="21"/>
          <w:highlight w:val="none"/>
        </w:rPr>
      </w:pPr>
      <w:bookmarkStart w:id="49" w:name="_Toc28359019"/>
      <w:bookmarkStart w:id="50" w:name="_Toc35393806"/>
      <w:bookmarkStart w:id="51" w:name="_Toc35393637"/>
      <w:bookmarkStart w:id="52" w:name="_Toc28359096"/>
      <w:r>
        <w:rPr>
          <w:rFonts w:hint="eastAsia" w:ascii="宋体" w:hAnsi="宋体" w:eastAsia="宋体" w:cs="宋体"/>
          <w:b w:val="0"/>
          <w:color w:val="auto"/>
          <w:sz w:val="21"/>
          <w:szCs w:val="21"/>
          <w:highlight w:val="none"/>
        </w:rPr>
        <w:t>1.采购人信息</w:t>
      </w:r>
      <w:bookmarkEnd w:id="49"/>
      <w:bookmarkEnd w:id="50"/>
      <w:bookmarkEnd w:id="51"/>
      <w:bookmarkEnd w:id="52"/>
    </w:p>
    <w:p w14:paraId="56BA1597">
      <w:pPr>
        <w:spacing w:line="420" w:lineRule="exact"/>
        <w:ind w:left="1041" w:leftChars="371" w:hanging="262" w:hangingChars="12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称：钦州市钦北区交通建设发展中心</w:t>
      </w:r>
      <w:bookmarkStart w:id="53" w:name="_Toc35393638"/>
      <w:bookmarkStart w:id="54" w:name="_Toc28359097"/>
      <w:bookmarkStart w:id="55" w:name="_Toc28359020"/>
      <w:bookmarkStart w:id="56" w:name="_Toc35393807"/>
    </w:p>
    <w:p w14:paraId="434AB703">
      <w:pPr>
        <w:spacing w:line="420" w:lineRule="exact"/>
        <w:ind w:left="1041" w:leftChars="371" w:hanging="262" w:hangingChars="12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地址：钦州市钦北区</w:t>
      </w:r>
    </w:p>
    <w:p w14:paraId="6899EED0">
      <w:pPr>
        <w:spacing w:line="420" w:lineRule="exact"/>
        <w:ind w:left="1041" w:leftChars="371" w:hanging="262" w:hangingChars="12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联系人：周显就      </w:t>
      </w:r>
    </w:p>
    <w:p w14:paraId="4FA02FA8">
      <w:pPr>
        <w:spacing w:line="420" w:lineRule="exact"/>
        <w:ind w:left="1041" w:leftChars="371" w:hanging="262" w:hangingChars="12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联系电话：0777-3215408</w:t>
      </w:r>
    </w:p>
    <w:p w14:paraId="02124127">
      <w:pPr>
        <w:pStyle w:val="3"/>
        <w:spacing w:line="420" w:lineRule="exact"/>
        <w:ind w:firstLine="630" w:firstLineChars="300"/>
        <w:rPr>
          <w:rFonts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2.采购代理机构信息</w:t>
      </w:r>
      <w:bookmarkEnd w:id="53"/>
      <w:bookmarkEnd w:id="54"/>
      <w:bookmarkEnd w:id="55"/>
      <w:bookmarkEnd w:id="56"/>
    </w:p>
    <w:p w14:paraId="29316102">
      <w:pPr>
        <w:spacing w:line="420" w:lineRule="exact"/>
        <w:ind w:firstLine="840" w:firstLineChars="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称：广西锐达工程咨询有限公司　</w:t>
      </w:r>
    </w:p>
    <w:p w14:paraId="7AEF4C0C">
      <w:pPr>
        <w:spacing w:line="420" w:lineRule="exact"/>
        <w:ind w:firstLine="840" w:firstLineChars="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bookmarkStart w:id="57" w:name="_Toc35393808"/>
      <w:bookmarkStart w:id="58" w:name="_Toc28359098"/>
      <w:bookmarkStart w:id="59" w:name="_Toc28359021"/>
      <w:bookmarkStart w:id="60" w:name="_Toc35393639"/>
      <w:r>
        <w:rPr>
          <w:rFonts w:hint="eastAsia" w:asciiTheme="minorEastAsia" w:hAnsiTheme="minorEastAsia" w:eastAsiaTheme="minorEastAsia" w:cstheme="minorEastAsia"/>
          <w:color w:val="auto"/>
          <w:szCs w:val="21"/>
          <w:highlight w:val="none"/>
        </w:rPr>
        <w:t>钦州市钦北区北环西路与新华路交汇处坭桥物流市场2幢4楼         </w:t>
      </w:r>
    </w:p>
    <w:p w14:paraId="30495FAB">
      <w:pPr>
        <w:spacing w:line="420" w:lineRule="exact"/>
        <w:ind w:left="1041" w:leftChars="371" w:hanging="262" w:hangingChars="12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项目联系人：徐嘉婕</w:t>
      </w:r>
      <w:r>
        <w:rPr>
          <w:rFonts w:hint="eastAsia" w:asciiTheme="minorEastAsia" w:hAnsiTheme="minorEastAsia" w:eastAsiaTheme="minorEastAsia" w:cstheme="minorEastAsia"/>
          <w:color w:val="auto"/>
          <w:szCs w:val="21"/>
          <w:highlight w:val="none"/>
        </w:rPr>
        <w:tab/>
      </w:r>
    </w:p>
    <w:p w14:paraId="2177AF2A">
      <w:pPr>
        <w:spacing w:line="420" w:lineRule="exact"/>
        <w:ind w:left="1041" w:leftChars="371" w:hanging="262" w:hangingChars="12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szCs w:val="21"/>
          <w:highlight w:val="none"/>
        </w:rPr>
        <w:t>0777-5682186</w:t>
      </w:r>
    </w:p>
    <w:p w14:paraId="1B48443A">
      <w:pPr>
        <w:pStyle w:val="34"/>
        <w:rPr>
          <w:rFonts w:ascii="宋体" w:hAnsi="宋体" w:eastAsia="宋体" w:cs="宋体"/>
          <w:color w:val="auto"/>
          <w:szCs w:val="21"/>
          <w:highlight w:val="none"/>
        </w:rPr>
      </w:pPr>
    </w:p>
    <w:p w14:paraId="1793E5FA">
      <w:pPr>
        <w:pStyle w:val="34"/>
        <w:rPr>
          <w:rFonts w:ascii="宋体" w:hAnsi="宋体" w:eastAsia="宋体" w:cs="宋体"/>
          <w:color w:val="auto"/>
          <w:szCs w:val="21"/>
          <w:highlight w:val="none"/>
        </w:rPr>
      </w:pPr>
    </w:p>
    <w:p w14:paraId="3CBAB4A4">
      <w:pPr>
        <w:pStyle w:val="34"/>
        <w:rPr>
          <w:rFonts w:ascii="宋体" w:hAnsi="宋体" w:eastAsia="宋体" w:cs="宋体"/>
          <w:color w:val="auto"/>
          <w:szCs w:val="21"/>
          <w:highlight w:val="none"/>
        </w:rPr>
      </w:pPr>
    </w:p>
    <w:p w14:paraId="21E054CC">
      <w:pPr>
        <w:pStyle w:val="34"/>
        <w:rPr>
          <w:rFonts w:ascii="宋体" w:hAnsi="宋体" w:eastAsia="宋体" w:cs="宋体"/>
          <w:color w:val="auto"/>
          <w:szCs w:val="21"/>
          <w:highlight w:val="none"/>
        </w:rPr>
      </w:pPr>
    </w:p>
    <w:p w14:paraId="79B5E9D0">
      <w:pPr>
        <w:pStyle w:val="34"/>
        <w:rPr>
          <w:rFonts w:ascii="宋体" w:hAnsi="宋体" w:eastAsia="宋体" w:cs="宋体"/>
          <w:color w:val="auto"/>
          <w:szCs w:val="21"/>
          <w:highlight w:val="none"/>
        </w:rPr>
      </w:pPr>
    </w:p>
    <w:p w14:paraId="25E4FD90">
      <w:pPr>
        <w:pStyle w:val="34"/>
        <w:rPr>
          <w:rFonts w:ascii="宋体" w:hAnsi="宋体" w:eastAsia="宋体" w:cs="宋体"/>
          <w:color w:val="auto"/>
          <w:szCs w:val="21"/>
          <w:highlight w:val="none"/>
        </w:rPr>
      </w:pPr>
    </w:p>
    <w:p w14:paraId="3DF83A69">
      <w:pPr>
        <w:pStyle w:val="34"/>
        <w:rPr>
          <w:rFonts w:ascii="宋体" w:hAnsi="宋体"/>
          <w:color w:val="auto"/>
          <w:szCs w:val="21"/>
          <w:highlight w:val="none"/>
        </w:rPr>
      </w:pPr>
    </w:p>
    <w:p w14:paraId="73D96D81">
      <w:pPr>
        <w:rPr>
          <w:rFonts w:ascii="宋体" w:hAnsi="宋体"/>
          <w:color w:val="auto"/>
          <w:szCs w:val="21"/>
          <w:highlight w:val="none"/>
        </w:rPr>
      </w:pPr>
      <w:r>
        <w:rPr>
          <w:rFonts w:hint="eastAsia" w:ascii="宋体" w:hAnsi="宋体"/>
          <w:color w:val="auto"/>
          <w:szCs w:val="21"/>
          <w:highlight w:val="none"/>
        </w:rPr>
        <w:br w:type="page"/>
      </w:r>
    </w:p>
    <w:p w14:paraId="530E2410">
      <w:pPr>
        <w:numPr>
          <w:ilvl w:val="0"/>
          <w:numId w:val="1"/>
        </w:numPr>
        <w:jc w:val="center"/>
        <w:outlineLvl w:val="0"/>
        <w:rPr>
          <w:rFonts w:ascii="宋体" w:hAnsi="宋体" w:cs="宋体"/>
          <w:b/>
          <w:bCs/>
          <w:color w:val="auto"/>
          <w:spacing w:val="-14"/>
          <w:kern w:val="0"/>
          <w:position w:val="-6"/>
          <w:sz w:val="36"/>
          <w:szCs w:val="36"/>
          <w:highlight w:val="none"/>
        </w:rPr>
      </w:pPr>
      <w:bookmarkStart w:id="61" w:name="_Toc5416"/>
      <w:r>
        <w:rPr>
          <w:rFonts w:hint="eastAsia" w:ascii="宋体" w:hAnsi="宋体" w:cs="宋体"/>
          <w:b/>
          <w:bCs/>
          <w:color w:val="auto"/>
          <w:spacing w:val="-14"/>
          <w:kern w:val="0"/>
          <w:position w:val="-6"/>
          <w:sz w:val="36"/>
          <w:szCs w:val="36"/>
          <w:highlight w:val="none"/>
        </w:rPr>
        <w:t>供应商须知前附表</w:t>
      </w:r>
      <w:bookmarkEnd w:id="61"/>
    </w:p>
    <w:bookmarkEnd w:id="2"/>
    <w:tbl>
      <w:tblPr>
        <w:tblStyle w:val="27"/>
        <w:tblpPr w:leftFromText="180" w:rightFromText="180" w:vertAnchor="text" w:horzAnchor="page" w:tblpX="1215" w:tblpY="304"/>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92"/>
        <w:gridCol w:w="7164"/>
      </w:tblGrid>
      <w:tr w14:paraId="0170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2CDC91C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92" w:type="dxa"/>
            <w:tcBorders>
              <w:top w:val="single" w:color="auto" w:sz="4" w:space="0"/>
              <w:left w:val="single" w:color="auto" w:sz="4" w:space="0"/>
              <w:bottom w:val="single" w:color="auto" w:sz="4" w:space="0"/>
              <w:right w:val="single" w:color="auto" w:sz="4" w:space="0"/>
            </w:tcBorders>
            <w:vAlign w:val="center"/>
          </w:tcPr>
          <w:p w14:paraId="5F2014C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7164" w:type="dxa"/>
            <w:tcBorders>
              <w:top w:val="single" w:color="auto" w:sz="4" w:space="0"/>
              <w:left w:val="single" w:color="auto" w:sz="4" w:space="0"/>
              <w:bottom w:val="single" w:color="auto" w:sz="4" w:space="0"/>
              <w:right w:val="single" w:color="auto" w:sz="4" w:space="0"/>
            </w:tcBorders>
            <w:vAlign w:val="center"/>
          </w:tcPr>
          <w:p w14:paraId="382F0CE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内容</w:t>
            </w:r>
          </w:p>
        </w:tc>
      </w:tr>
      <w:tr w14:paraId="428E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8" w:type="dxa"/>
            <w:tcBorders>
              <w:top w:val="single" w:color="auto" w:sz="4" w:space="0"/>
              <w:left w:val="single" w:color="auto" w:sz="4" w:space="0"/>
              <w:bottom w:val="single" w:color="auto" w:sz="4" w:space="0"/>
              <w:right w:val="single" w:color="auto" w:sz="4" w:space="0"/>
            </w:tcBorders>
            <w:vAlign w:val="center"/>
          </w:tcPr>
          <w:p w14:paraId="4FAE6B7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992" w:type="dxa"/>
            <w:tcBorders>
              <w:top w:val="single" w:color="auto" w:sz="4" w:space="0"/>
              <w:left w:val="single" w:color="auto" w:sz="4" w:space="0"/>
              <w:bottom w:val="single" w:color="auto" w:sz="4" w:space="0"/>
              <w:right w:val="single" w:color="auto" w:sz="4" w:space="0"/>
            </w:tcBorders>
            <w:vAlign w:val="center"/>
          </w:tcPr>
          <w:p w14:paraId="007D833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项目名称和编号</w:t>
            </w:r>
          </w:p>
        </w:tc>
        <w:tc>
          <w:tcPr>
            <w:tcW w:w="7164" w:type="dxa"/>
            <w:tcBorders>
              <w:top w:val="single" w:color="auto" w:sz="4" w:space="0"/>
              <w:left w:val="single" w:color="auto" w:sz="4" w:space="0"/>
              <w:bottom w:val="single" w:color="auto" w:sz="4" w:space="0"/>
              <w:right w:val="single" w:color="auto" w:sz="4" w:space="0"/>
            </w:tcBorders>
            <w:vAlign w:val="center"/>
          </w:tcPr>
          <w:p w14:paraId="36E027BB">
            <w:pPr>
              <w:spacing w:line="400" w:lineRule="exact"/>
              <w:jc w:val="left"/>
              <w:rPr>
                <w:rFonts w:ascii="宋体" w:hAnsi="宋体" w:cs="宋体"/>
                <w:color w:val="auto"/>
                <w:highlight w:val="none"/>
              </w:rPr>
            </w:pPr>
            <w:r>
              <w:rPr>
                <w:rFonts w:hint="eastAsia" w:ascii="宋体" w:hAnsi="宋体" w:cs="宋体"/>
                <w:color w:val="auto"/>
                <w:szCs w:val="21"/>
                <w:highlight w:val="none"/>
              </w:rPr>
              <w:t>项目名称：</w:t>
            </w:r>
            <w:r>
              <w:rPr>
                <w:rFonts w:hint="eastAsia" w:ascii="宋体" w:hAnsi="宋体" w:cs="宋体"/>
                <w:color w:val="auto"/>
                <w:highlight w:val="none"/>
              </w:rPr>
              <w:t>2024年钦北区古龙至湴塘四级公路新改建工程</w:t>
            </w:r>
          </w:p>
          <w:p w14:paraId="7BC82B6A">
            <w:pPr>
              <w:spacing w:line="400" w:lineRule="exact"/>
              <w:jc w:val="left"/>
              <w:rPr>
                <w:rFonts w:ascii="宋体" w:hAnsi="宋体" w:cs="宋体"/>
                <w:color w:val="auto"/>
                <w:szCs w:val="21"/>
                <w:highlight w:val="none"/>
                <w:u w:val="single"/>
              </w:rPr>
            </w:pPr>
            <w:r>
              <w:rPr>
                <w:rFonts w:hint="eastAsia" w:ascii="宋体" w:hAnsi="宋体" w:cs="宋体"/>
                <w:color w:val="auto"/>
                <w:szCs w:val="21"/>
                <w:highlight w:val="none"/>
              </w:rPr>
              <w:t>项目编号：QZZC2026-C2-030004-GXRD</w:t>
            </w:r>
          </w:p>
        </w:tc>
      </w:tr>
      <w:tr w14:paraId="760B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069E842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992" w:type="dxa"/>
            <w:tcBorders>
              <w:top w:val="single" w:color="auto" w:sz="4" w:space="0"/>
              <w:left w:val="single" w:color="auto" w:sz="4" w:space="0"/>
              <w:bottom w:val="single" w:color="auto" w:sz="4" w:space="0"/>
              <w:right w:val="single" w:color="auto" w:sz="4" w:space="0"/>
            </w:tcBorders>
            <w:vAlign w:val="center"/>
          </w:tcPr>
          <w:p w14:paraId="625EAC10">
            <w:pPr>
              <w:pStyle w:val="12"/>
              <w:spacing w:line="400" w:lineRule="exact"/>
              <w:jc w:val="center"/>
              <w:rPr>
                <w:rFonts w:hAnsi="宋体" w:cs="宋体"/>
                <w:color w:val="auto"/>
                <w:highlight w:val="none"/>
              </w:rPr>
            </w:pPr>
            <w:r>
              <w:rPr>
                <w:rFonts w:hint="eastAsia"/>
                <w:color w:val="auto"/>
                <w:highlight w:val="none"/>
              </w:rPr>
              <w:t>供应商资格</w:t>
            </w:r>
          </w:p>
        </w:tc>
        <w:tc>
          <w:tcPr>
            <w:tcW w:w="7164" w:type="dxa"/>
            <w:tcBorders>
              <w:top w:val="single" w:color="auto" w:sz="4" w:space="0"/>
              <w:left w:val="single" w:color="auto" w:sz="4" w:space="0"/>
              <w:bottom w:val="single" w:color="auto" w:sz="4" w:space="0"/>
              <w:right w:val="single" w:color="auto" w:sz="4" w:space="0"/>
            </w:tcBorders>
            <w:vAlign w:val="center"/>
          </w:tcPr>
          <w:p w14:paraId="0B2FC11E">
            <w:pPr>
              <w:spacing w:line="400" w:lineRule="exact"/>
              <w:jc w:val="left"/>
              <w:rPr>
                <w:color w:val="auto"/>
                <w:highlight w:val="none"/>
              </w:rPr>
            </w:pPr>
            <w:bookmarkStart w:id="62" w:name="OLE_LINK8"/>
            <w:r>
              <w:rPr>
                <w:rFonts w:hint="eastAsia"/>
                <w:color w:val="auto"/>
                <w:highlight w:val="none"/>
              </w:rPr>
              <w:t>供应商资格要求：</w:t>
            </w:r>
          </w:p>
          <w:bookmarkEnd w:id="62"/>
          <w:p w14:paraId="63AFEF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143F5C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w:t>
            </w:r>
          </w:p>
          <w:p w14:paraId="246D0603">
            <w:pPr>
              <w:pStyle w:val="9"/>
              <w:autoSpaceDE/>
              <w:autoSpaceDN/>
              <w:adjustRightInd/>
              <w:spacing w:after="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3.本项目的特定资格要求：</w:t>
            </w:r>
          </w:p>
          <w:p w14:paraId="4DE630D6">
            <w:pPr>
              <w:pStyle w:val="15"/>
              <w:spacing w:line="420" w:lineRule="exact"/>
              <w:ind w:firstLine="420" w:firstLineChars="200"/>
              <w:rPr>
                <w:rFonts w:hAnsi="宋体" w:cs="宋体"/>
                <w:color w:val="auto"/>
                <w:sz w:val="21"/>
                <w:szCs w:val="21"/>
                <w:highlight w:val="none"/>
              </w:rPr>
            </w:pPr>
            <w:r>
              <w:rPr>
                <w:rFonts w:hint="eastAsia" w:ascii="宋体" w:hAnsi="宋体" w:cs="宋体"/>
                <w:color w:val="auto"/>
                <w:kern w:val="0"/>
                <w:sz w:val="21"/>
                <w:szCs w:val="21"/>
                <w:highlight w:val="none"/>
              </w:rPr>
              <w:t xml:space="preserve">3.1 </w:t>
            </w:r>
            <w:r>
              <w:rPr>
                <w:rFonts w:hint="eastAsia" w:hAnsi="宋体" w:cs="宋体"/>
                <w:color w:val="auto"/>
                <w:sz w:val="21"/>
                <w:szCs w:val="21"/>
                <w:highlight w:val="none"/>
              </w:rPr>
              <w:t>投标人须</w:t>
            </w:r>
            <w:r>
              <w:rPr>
                <w:rFonts w:hint="eastAsia" w:asciiTheme="minorEastAsia" w:hAnsiTheme="minorEastAsia" w:eastAsiaTheme="minorEastAsia" w:cstheme="minorEastAsia"/>
                <w:color w:val="auto"/>
                <w:sz w:val="21"/>
                <w:szCs w:val="21"/>
                <w:highlight w:val="none"/>
              </w:rPr>
              <w:t>具备公路工程施工总承包三级（含三级）以上资质，</w:t>
            </w:r>
            <w:r>
              <w:rPr>
                <w:rFonts w:hint="eastAsia" w:hAnsi="宋体" w:cs="宋体"/>
                <w:color w:val="auto"/>
                <w:sz w:val="21"/>
                <w:szCs w:val="21"/>
                <w:highlight w:val="none"/>
              </w:rPr>
              <w:t>在人员、设备、资金等方面具备相应的施工能力；</w:t>
            </w:r>
          </w:p>
          <w:p w14:paraId="0F46F713">
            <w:pPr>
              <w:pStyle w:val="15"/>
              <w:spacing w:line="420" w:lineRule="exact"/>
              <w:ind w:firstLine="420" w:firstLineChars="200"/>
              <w:rPr>
                <w:color w:val="auto"/>
                <w:highlight w:val="none"/>
              </w:rPr>
            </w:pPr>
            <w:r>
              <w:rPr>
                <w:rFonts w:hint="eastAsia" w:ascii="宋体" w:hAnsi="宋体" w:cs="宋体"/>
                <w:color w:val="auto"/>
                <w:kern w:val="0"/>
                <w:sz w:val="21"/>
                <w:szCs w:val="21"/>
                <w:highlight w:val="none"/>
              </w:rPr>
              <w:t>3.2</w:t>
            </w:r>
            <w:r>
              <w:rPr>
                <w:rFonts w:hint="eastAsia" w:ascii="宋体" w:hAnsi="宋体" w:cs="宋体"/>
                <w:color w:val="auto"/>
                <w:sz w:val="21"/>
                <w:szCs w:val="21"/>
                <w:highlight w:val="none"/>
              </w:rPr>
              <w:t>拟投入本工程的项目经理必须</w:t>
            </w:r>
            <w:r>
              <w:rPr>
                <w:rFonts w:hint="eastAsia" w:asciiTheme="minorEastAsia" w:hAnsiTheme="minorEastAsia" w:eastAsiaTheme="minorEastAsia" w:cstheme="minorEastAsia"/>
                <w:color w:val="auto"/>
                <w:sz w:val="21"/>
                <w:szCs w:val="21"/>
                <w:highlight w:val="none"/>
              </w:rPr>
              <w:t>具备公路工程专业二级以上（含二级）注册建造师执业资格，且具备有</w:t>
            </w:r>
            <w:r>
              <w:rPr>
                <w:rStyle w:val="29"/>
                <w:rFonts w:hint="eastAsia" w:ascii="宋体" w:hAnsi="宋体" w:eastAsia="宋体" w:cs="宋体"/>
                <w:b w:val="0"/>
                <w:color w:val="auto"/>
                <w:sz w:val="21"/>
                <w:szCs w:val="24"/>
                <w:highlight w:val="none"/>
                <w:lang w:val="en-US" w:eastAsia="zh-CN"/>
              </w:rPr>
              <w:t>省级（或以上）交通运输主管部门颁发的安全生产考核合格证（“三类人员”B 类证书）</w:t>
            </w:r>
            <w:r>
              <w:rPr>
                <w:rFonts w:hint="eastAsia" w:ascii="宋体" w:hAnsi="宋体" w:cs="宋体"/>
                <w:color w:val="auto"/>
                <w:sz w:val="21"/>
                <w:szCs w:val="21"/>
                <w:highlight w:val="none"/>
              </w:rPr>
              <w:t>。</w:t>
            </w:r>
          </w:p>
        </w:tc>
      </w:tr>
      <w:tr w14:paraId="5A15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274204F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992" w:type="dxa"/>
            <w:tcBorders>
              <w:top w:val="single" w:color="auto" w:sz="4" w:space="0"/>
              <w:left w:val="single" w:color="auto" w:sz="4" w:space="0"/>
              <w:bottom w:val="single" w:color="auto" w:sz="4" w:space="0"/>
              <w:right w:val="single" w:color="auto" w:sz="4" w:space="0"/>
            </w:tcBorders>
            <w:vAlign w:val="center"/>
          </w:tcPr>
          <w:p w14:paraId="65B4DFA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竞标报价</w:t>
            </w:r>
          </w:p>
        </w:tc>
        <w:tc>
          <w:tcPr>
            <w:tcW w:w="7164" w:type="dxa"/>
            <w:tcBorders>
              <w:top w:val="single" w:color="auto" w:sz="4" w:space="0"/>
              <w:left w:val="single" w:color="auto" w:sz="4" w:space="0"/>
              <w:bottom w:val="single" w:color="auto" w:sz="4" w:space="0"/>
              <w:right w:val="single" w:color="auto" w:sz="4" w:space="0"/>
            </w:tcBorders>
            <w:vAlign w:val="center"/>
          </w:tcPr>
          <w:p w14:paraId="3ACF87FE">
            <w:pPr>
              <w:spacing w:line="400" w:lineRule="exact"/>
              <w:jc w:val="left"/>
              <w:rPr>
                <w:rFonts w:ascii="宋体" w:hAnsi="宋体" w:cs="宋体"/>
                <w:color w:val="auto"/>
                <w:highlight w:val="none"/>
              </w:rPr>
            </w:pPr>
            <w:r>
              <w:rPr>
                <w:rFonts w:hint="eastAsia" w:ascii="宋体" w:hAnsi="宋体" w:cs="宋体"/>
                <w:color w:val="auto"/>
                <w:highlight w:val="none"/>
              </w:rPr>
              <w:t>竞标报价：</w:t>
            </w:r>
          </w:p>
          <w:p w14:paraId="0838B141">
            <w:pPr>
              <w:spacing w:line="400" w:lineRule="exact"/>
              <w:jc w:val="left"/>
              <w:rPr>
                <w:rFonts w:ascii="宋体" w:hAnsi="宋体" w:cs="宋体"/>
                <w:color w:val="auto"/>
                <w:highlight w:val="none"/>
              </w:rPr>
            </w:pPr>
            <w:r>
              <w:rPr>
                <w:rFonts w:hint="eastAsia" w:ascii="宋体" w:hAnsi="宋体" w:cs="宋体"/>
                <w:color w:val="auto"/>
                <w:highlight w:val="none"/>
              </w:rPr>
              <w:t>1.供应商必须就所投项目的全部内容作完整唯一报价，漏项报价的或有选择的或有条件的报价，其磋商将视为无效。</w:t>
            </w:r>
          </w:p>
          <w:p w14:paraId="23185D85">
            <w:pPr>
              <w:spacing w:line="400" w:lineRule="exact"/>
              <w:jc w:val="left"/>
              <w:rPr>
                <w:rFonts w:ascii="宋体" w:hAnsi="宋体" w:cs="宋体"/>
                <w:color w:val="auto"/>
                <w:highlight w:val="none"/>
              </w:rPr>
            </w:pPr>
            <w:r>
              <w:rPr>
                <w:rFonts w:hint="eastAsia" w:ascii="宋体" w:hAnsi="宋体" w:cs="宋体"/>
                <w:color w:val="auto"/>
                <w:highlight w:val="none"/>
              </w:rPr>
              <w:t xml:space="preserve">磋商报价为二次报价，第二次报价为最后报价。                            </w:t>
            </w:r>
          </w:p>
          <w:p w14:paraId="614CF434">
            <w:pPr>
              <w:spacing w:line="400" w:lineRule="exact"/>
              <w:jc w:val="left"/>
              <w:rPr>
                <w:rFonts w:ascii="宋体" w:hAnsi="宋体" w:cs="宋体"/>
                <w:color w:val="auto"/>
                <w:szCs w:val="21"/>
                <w:highlight w:val="none"/>
              </w:rPr>
            </w:pPr>
            <w:r>
              <w:rPr>
                <w:rFonts w:hint="eastAsia" w:ascii="宋体" w:hAnsi="宋体" w:cs="宋体"/>
                <w:color w:val="auto"/>
                <w:highlight w:val="none"/>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6FB2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24EC28B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992" w:type="dxa"/>
            <w:tcBorders>
              <w:top w:val="single" w:color="auto" w:sz="4" w:space="0"/>
              <w:left w:val="single" w:color="auto" w:sz="4" w:space="0"/>
              <w:bottom w:val="single" w:color="auto" w:sz="4" w:space="0"/>
              <w:right w:val="single" w:color="auto" w:sz="4" w:space="0"/>
            </w:tcBorders>
            <w:vAlign w:val="center"/>
          </w:tcPr>
          <w:p w14:paraId="709F06A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7164" w:type="dxa"/>
            <w:tcBorders>
              <w:top w:val="single" w:color="auto" w:sz="4" w:space="0"/>
              <w:left w:val="single" w:color="auto" w:sz="4" w:space="0"/>
              <w:bottom w:val="single" w:color="auto" w:sz="4" w:space="0"/>
              <w:right w:val="single" w:color="auto" w:sz="4" w:space="0"/>
            </w:tcBorders>
            <w:vAlign w:val="center"/>
          </w:tcPr>
          <w:p w14:paraId="0711F36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C94419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.响应文件电子版密封方式：电子响应文件通过平台有效CA加密后在“政采云”平台递交。</w:t>
            </w:r>
          </w:p>
        </w:tc>
      </w:tr>
      <w:tr w14:paraId="4365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5728E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992" w:type="dxa"/>
            <w:tcBorders>
              <w:top w:val="single" w:color="auto" w:sz="4" w:space="0"/>
              <w:left w:val="single" w:color="auto" w:sz="4" w:space="0"/>
              <w:bottom w:val="single" w:color="auto" w:sz="4" w:space="0"/>
              <w:right w:val="single" w:color="auto" w:sz="4" w:space="0"/>
            </w:tcBorders>
            <w:vAlign w:val="center"/>
          </w:tcPr>
          <w:p w14:paraId="1615267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7164" w:type="dxa"/>
            <w:tcBorders>
              <w:top w:val="single" w:color="auto" w:sz="4" w:space="0"/>
              <w:left w:val="single" w:color="auto" w:sz="4" w:space="0"/>
              <w:bottom w:val="single" w:color="auto" w:sz="4" w:space="0"/>
              <w:right w:val="single" w:color="auto" w:sz="4" w:space="0"/>
            </w:tcBorders>
            <w:vAlign w:val="center"/>
          </w:tcPr>
          <w:p w14:paraId="518FBBB4">
            <w:pPr>
              <w:pStyle w:val="8"/>
              <w:spacing w:line="400" w:lineRule="exact"/>
              <w:rPr>
                <w:rFonts w:ascii="宋体" w:hAnsi="宋体"/>
                <w:color w:val="auto"/>
                <w:szCs w:val="21"/>
                <w:highlight w:val="none"/>
              </w:rPr>
            </w:pPr>
            <w:r>
              <w:rPr>
                <w:rFonts w:hint="eastAsia" w:ascii="宋体" w:hAnsi="宋体"/>
                <w:color w:val="auto"/>
                <w:szCs w:val="21"/>
                <w:highlight w:val="none"/>
              </w:rPr>
              <w:t>□本项目不接受</w:t>
            </w:r>
            <w:r>
              <w:rPr>
                <w:color w:val="auto"/>
                <w:spacing w:val="-3"/>
                <w:highlight w:val="none"/>
              </w:rPr>
              <w:t>以介质存储的数据电文形式的电子备份响应文件</w:t>
            </w:r>
            <w:r>
              <w:rPr>
                <w:rFonts w:hint="eastAsia"/>
                <w:color w:val="auto"/>
                <w:spacing w:val="-3"/>
                <w:highlight w:val="none"/>
              </w:rPr>
              <w:t>。</w:t>
            </w:r>
          </w:p>
          <w:p w14:paraId="756A2908">
            <w:pPr>
              <w:pStyle w:val="8"/>
              <w:spacing w:line="400" w:lineRule="exact"/>
              <w:rPr>
                <w:rFonts w:ascii="宋体" w:hAnsi="宋体"/>
                <w:color w:val="auto"/>
                <w:szCs w:val="21"/>
                <w:highlight w:val="none"/>
              </w:rPr>
            </w:pPr>
            <w:r>
              <w:rPr>
                <w:rFonts w:hint="eastAsia" w:ascii="宋体" w:hAnsi="宋体"/>
                <w:color w:val="auto"/>
                <w:szCs w:val="21"/>
                <w:highlight w:val="none"/>
              </w:rPr>
              <w:t>☑本项目接受</w:t>
            </w:r>
            <w:r>
              <w:rPr>
                <w:color w:val="auto"/>
                <w:spacing w:val="-3"/>
                <w:highlight w:val="none"/>
              </w:rPr>
              <w:t>以介质存储的数据电文形式的电子备份响应文件</w:t>
            </w:r>
            <w:r>
              <w:rPr>
                <w:rFonts w:hint="eastAsia" w:ascii="宋体" w:hAnsi="宋体"/>
                <w:color w:val="auto"/>
                <w:szCs w:val="21"/>
                <w:highlight w:val="none"/>
              </w:rPr>
              <w:t>。</w:t>
            </w:r>
          </w:p>
          <w:p w14:paraId="2B3841A3">
            <w:pPr>
              <w:pStyle w:val="8"/>
              <w:spacing w:line="400" w:lineRule="exact"/>
              <w:rPr>
                <w:color w:val="auto"/>
                <w:spacing w:val="-3"/>
                <w:highlight w:val="none"/>
              </w:rPr>
            </w:pPr>
            <w:r>
              <w:rPr>
                <w:color w:val="auto"/>
                <w:spacing w:val="-3"/>
                <w:highlight w:val="none"/>
              </w:rPr>
              <w:t>供应商</w:t>
            </w:r>
            <w:r>
              <w:rPr>
                <w:rFonts w:hint="eastAsia"/>
                <w:color w:val="auto"/>
                <w:spacing w:val="-3"/>
                <w:highlight w:val="none"/>
              </w:rPr>
              <w:t>可根据自身情况自行准备</w:t>
            </w:r>
            <w:r>
              <w:rPr>
                <w:color w:val="auto"/>
                <w:spacing w:val="-3"/>
                <w:highlight w:val="none"/>
              </w:rPr>
              <w:t xml:space="preserve">以介质存储的数据电文形式的电子备份响应文件： </w:t>
            </w:r>
          </w:p>
          <w:p w14:paraId="5A6FC7D5">
            <w:pPr>
              <w:pStyle w:val="8"/>
              <w:spacing w:line="400" w:lineRule="exact"/>
              <w:rPr>
                <w:color w:val="auto"/>
                <w:spacing w:val="-3"/>
                <w:highlight w:val="none"/>
              </w:rPr>
            </w:pPr>
            <w:r>
              <w:rPr>
                <w:rFonts w:hint="eastAsia"/>
                <w:color w:val="auto"/>
                <w:spacing w:val="-5"/>
                <w:highlight w:val="none"/>
              </w:rPr>
              <w:t>（1）</w:t>
            </w:r>
            <w:r>
              <w:rPr>
                <w:color w:val="auto"/>
                <w:spacing w:val="-3"/>
                <w:highlight w:val="none"/>
              </w:rPr>
              <w:t>以介质存储的数据电文形式的电子备份响应文件，按</w:t>
            </w:r>
            <w:r>
              <w:rPr>
                <w:rFonts w:hint="eastAsia"/>
                <w:color w:val="auto"/>
                <w:spacing w:val="-3"/>
                <w:highlight w:val="none"/>
              </w:rPr>
              <w:t>广西政府采购云平台</w:t>
            </w:r>
            <w:r>
              <w:rPr>
                <w:color w:val="auto"/>
                <w:spacing w:val="-3"/>
                <w:highlight w:val="none"/>
              </w:rPr>
              <w:t>项目采购-电子招</w:t>
            </w:r>
            <w:r>
              <w:rPr>
                <w:color w:val="auto"/>
                <w:spacing w:val="-7"/>
                <w:highlight w:val="none"/>
              </w:rPr>
              <w:t>投标操作指南中上传的电子响应文件格式</w:t>
            </w:r>
            <w:r>
              <w:rPr>
                <w:rFonts w:hint="eastAsia"/>
                <w:color w:val="auto"/>
                <w:spacing w:val="-7"/>
                <w:highlight w:val="none"/>
              </w:rPr>
              <w:t>，</w:t>
            </w:r>
            <w:r>
              <w:rPr>
                <w:color w:val="auto"/>
                <w:spacing w:val="-7"/>
                <w:highlight w:val="none"/>
              </w:rPr>
              <w:t>以</w:t>
            </w:r>
            <w:r>
              <w:rPr>
                <w:rFonts w:hint="eastAsia"/>
                <w:color w:val="auto"/>
                <w:spacing w:val="-7"/>
                <w:highlight w:val="none"/>
              </w:rPr>
              <w:t>邮件</w:t>
            </w:r>
            <w:r>
              <w:rPr>
                <w:color w:val="auto"/>
                <w:spacing w:val="-10"/>
                <w:highlight w:val="none"/>
              </w:rPr>
              <w:t>形式提供。数量</w:t>
            </w:r>
            <w:r>
              <w:rPr>
                <w:color w:val="auto"/>
                <w:spacing w:val="-3"/>
                <w:highlight w:val="none"/>
              </w:rPr>
              <w:t>为1份。</w:t>
            </w:r>
          </w:p>
          <w:p w14:paraId="55A14287">
            <w:pPr>
              <w:pStyle w:val="8"/>
              <w:spacing w:line="400" w:lineRule="exact"/>
              <w:rPr>
                <w:color w:val="auto"/>
                <w:spacing w:val="-3"/>
                <w:highlight w:val="none"/>
              </w:rPr>
            </w:pPr>
            <w:r>
              <w:rPr>
                <w:rFonts w:hint="eastAsia"/>
                <w:color w:val="auto"/>
                <w:spacing w:val="-3"/>
                <w:highlight w:val="none"/>
              </w:rPr>
              <w:t>（2）递交时间：出现电子加密响应文件（</w:t>
            </w:r>
            <w:r>
              <w:rPr>
                <w:color w:val="auto"/>
                <w:spacing w:val="-9"/>
                <w:highlight w:val="none"/>
              </w:rPr>
              <w:t>按</w:t>
            </w:r>
            <w:r>
              <w:rPr>
                <w:rFonts w:hint="eastAsia"/>
                <w:color w:val="auto"/>
                <w:spacing w:val="-9"/>
                <w:highlight w:val="none"/>
              </w:rPr>
              <w:t>广西政府采购云平台</w:t>
            </w:r>
            <w:r>
              <w:rPr>
                <w:color w:val="auto"/>
                <w:spacing w:val="-9"/>
                <w:highlight w:val="none"/>
              </w:rPr>
              <w:t>要求及本</w:t>
            </w:r>
            <w:r>
              <w:rPr>
                <w:rFonts w:hint="eastAsia"/>
                <w:color w:val="auto"/>
                <w:spacing w:val="-9"/>
                <w:highlight w:val="none"/>
              </w:rPr>
              <w:t>竞争性磋商</w:t>
            </w:r>
            <w:r>
              <w:rPr>
                <w:color w:val="auto"/>
                <w:spacing w:val="-9"/>
                <w:highlight w:val="none"/>
              </w:rPr>
              <w:t>要求制作、加</w:t>
            </w:r>
            <w:r>
              <w:rPr>
                <w:color w:val="auto"/>
                <w:spacing w:val="-5"/>
                <w:highlight w:val="none"/>
              </w:rPr>
              <w:t>密并递交</w:t>
            </w:r>
            <w:r>
              <w:rPr>
                <w:rFonts w:hint="eastAsia"/>
                <w:color w:val="auto"/>
                <w:spacing w:val="-3"/>
                <w:highlight w:val="none"/>
              </w:rPr>
              <w:t>）无法按时在</w:t>
            </w:r>
            <w:r>
              <w:rPr>
                <w:rFonts w:hint="eastAsia" w:hAnsi="宋体"/>
                <w:color w:val="auto"/>
                <w:highlight w:val="none"/>
              </w:rPr>
              <w:t>30分钟内完成在线解密的</w:t>
            </w:r>
            <w:r>
              <w:rPr>
                <w:rFonts w:hint="eastAsia"/>
                <w:color w:val="auto"/>
                <w:spacing w:val="-3"/>
                <w:highlight w:val="none"/>
              </w:rPr>
              <w:t>，</w:t>
            </w:r>
            <w:r>
              <w:rPr>
                <w:rFonts w:hint="eastAsia"/>
                <w:b/>
                <w:bCs/>
                <w:color w:val="auto"/>
                <w:spacing w:val="-3"/>
                <w:highlight w:val="none"/>
              </w:rPr>
              <w:t>在采购代理机构电话通知递交</w:t>
            </w:r>
            <w:r>
              <w:rPr>
                <w:b/>
                <w:bCs/>
                <w:color w:val="auto"/>
                <w:spacing w:val="-3"/>
                <w:highlight w:val="none"/>
              </w:rPr>
              <w:t>电子备份响应文件</w:t>
            </w:r>
            <w:r>
              <w:rPr>
                <w:rFonts w:hint="eastAsia"/>
                <w:b/>
                <w:bCs/>
                <w:color w:val="auto"/>
                <w:spacing w:val="-3"/>
                <w:highlight w:val="none"/>
              </w:rPr>
              <w:t>之时起15分钟内递交，否则，竞标无效。</w:t>
            </w:r>
          </w:p>
          <w:p w14:paraId="27BF3C05">
            <w:pPr>
              <w:pStyle w:val="17"/>
              <w:spacing w:line="400" w:lineRule="exact"/>
              <w:rPr>
                <w:rFonts w:ascii="宋体" w:hAnsi="宋体"/>
                <w:color w:val="auto"/>
                <w:szCs w:val="21"/>
                <w:highlight w:val="none"/>
              </w:rPr>
            </w:pPr>
            <w:r>
              <w:rPr>
                <w:rFonts w:hint="eastAsia" w:ascii="宋体" w:hAnsi="宋体"/>
                <w:color w:val="auto"/>
                <w:szCs w:val="21"/>
                <w:highlight w:val="none"/>
              </w:rPr>
              <w:t>（3）供应商邮件发送的内容如下：</w:t>
            </w:r>
          </w:p>
          <w:p w14:paraId="280A5BDA">
            <w:pPr>
              <w:pStyle w:val="17"/>
              <w:spacing w:line="4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p>
          <w:p w14:paraId="0AEE1902">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w:t>
            </w:r>
          </w:p>
          <w:p w14:paraId="56327FA1">
            <w:pPr>
              <w:pStyle w:val="17"/>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标段（如有）：</w:t>
            </w:r>
          </w:p>
          <w:p w14:paraId="5CFCBD72">
            <w:pPr>
              <w:pStyle w:val="17"/>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供应商名称：</w:t>
            </w:r>
          </w:p>
          <w:p w14:paraId="2D5440EE">
            <w:pPr>
              <w:snapToGrid w:val="0"/>
              <w:spacing w:line="400" w:lineRule="exact"/>
              <w:jc w:val="left"/>
              <w:rPr>
                <w:rFonts w:ascii="宋体" w:hAnsi="宋体" w:cs="宋体"/>
                <w:color w:val="auto"/>
                <w:szCs w:val="21"/>
                <w:highlight w:val="none"/>
                <w:u w:val="single"/>
              </w:rPr>
            </w:pPr>
            <w:r>
              <w:rPr>
                <w:rFonts w:hint="eastAsia" w:ascii="宋体" w:hAnsi="宋体" w:cs="宋体"/>
                <w:color w:val="auto"/>
                <w:szCs w:val="21"/>
                <w:highlight w:val="none"/>
              </w:rPr>
              <w:t>法定代表人或其委托代理人姓名：</w:t>
            </w:r>
          </w:p>
          <w:p w14:paraId="5AB92C79">
            <w:pPr>
              <w:snapToGrid w:val="0"/>
              <w:spacing w:line="400" w:lineRule="exact"/>
              <w:jc w:val="left"/>
              <w:rPr>
                <w:rFonts w:ascii="宋体" w:hAnsi="宋体"/>
                <w:color w:val="auto"/>
                <w:szCs w:val="21"/>
                <w:highlight w:val="none"/>
                <w:u w:val="single"/>
              </w:rPr>
            </w:pPr>
            <w:r>
              <w:rPr>
                <w:rFonts w:hint="eastAsia" w:ascii="宋体" w:hAnsi="宋体" w:cs="宋体"/>
                <w:color w:val="auto"/>
                <w:szCs w:val="21"/>
                <w:highlight w:val="none"/>
              </w:rPr>
              <w:t>法定代表人或其委托代理人手机号码：</w:t>
            </w:r>
          </w:p>
          <w:p w14:paraId="6A594BF8">
            <w:pPr>
              <w:pStyle w:val="8"/>
              <w:spacing w:line="400" w:lineRule="exact"/>
              <w:rPr>
                <w:rFonts w:ascii="宋体" w:hAnsi="宋体" w:cs="宋体"/>
                <w:color w:val="auto"/>
                <w:szCs w:val="21"/>
                <w:highlight w:val="none"/>
              </w:rPr>
            </w:pPr>
            <w:r>
              <w:rPr>
                <w:rFonts w:hint="eastAsia"/>
                <w:color w:val="auto"/>
                <w:spacing w:val="-3"/>
                <w:highlight w:val="none"/>
              </w:rPr>
              <w:t>（4）</w:t>
            </w:r>
            <w:r>
              <w:rPr>
                <w:color w:val="auto"/>
                <w:spacing w:val="-3"/>
                <w:highlight w:val="none"/>
              </w:rPr>
              <w:t>响应文件启用顺序和效力：响应文件的启用，按先后顺位分别为电子响应文件、以介质存储的数据电文形式的电子备份响应文件。顺位在先的响应文件已按时解密的</w:t>
            </w:r>
            <w:r>
              <w:rPr>
                <w:rFonts w:hint="eastAsia"/>
                <w:color w:val="auto"/>
                <w:spacing w:val="-3"/>
                <w:highlight w:val="none"/>
              </w:rPr>
              <w:t>，</w:t>
            </w:r>
            <w:r>
              <w:rPr>
                <w:color w:val="auto"/>
                <w:spacing w:val="-3"/>
                <w:highlight w:val="none"/>
              </w:rPr>
              <w:t>下一顺位响应文件自动失效。在下一顺位的响应文件启用时，前一顺位的响应文件自动失效。</w:t>
            </w:r>
          </w:p>
        </w:tc>
      </w:tr>
      <w:tr w14:paraId="20FC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5A4A69D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992" w:type="dxa"/>
            <w:tcBorders>
              <w:top w:val="single" w:color="auto" w:sz="4" w:space="0"/>
              <w:left w:val="single" w:color="auto" w:sz="4" w:space="0"/>
              <w:bottom w:val="single" w:color="auto" w:sz="4" w:space="0"/>
              <w:right w:val="single" w:color="auto" w:sz="4" w:space="0"/>
            </w:tcBorders>
            <w:vAlign w:val="center"/>
          </w:tcPr>
          <w:p w14:paraId="09D965DA">
            <w:pPr>
              <w:spacing w:line="400" w:lineRule="exact"/>
              <w:jc w:val="center"/>
              <w:rPr>
                <w:color w:val="auto"/>
                <w:highlight w:val="none"/>
              </w:rPr>
            </w:pPr>
            <w:r>
              <w:rPr>
                <w:rFonts w:hint="eastAsia"/>
                <w:color w:val="auto"/>
                <w:highlight w:val="none"/>
              </w:rPr>
              <w:t>竞标有效期</w:t>
            </w:r>
          </w:p>
        </w:tc>
        <w:tc>
          <w:tcPr>
            <w:tcW w:w="7164" w:type="dxa"/>
            <w:tcBorders>
              <w:top w:val="single" w:color="auto" w:sz="4" w:space="0"/>
              <w:left w:val="single" w:color="auto" w:sz="4" w:space="0"/>
              <w:bottom w:val="single" w:color="auto" w:sz="4" w:space="0"/>
              <w:right w:val="single" w:color="auto" w:sz="4" w:space="0"/>
            </w:tcBorders>
            <w:vAlign w:val="center"/>
          </w:tcPr>
          <w:p w14:paraId="36365264">
            <w:pPr>
              <w:spacing w:line="400" w:lineRule="exact"/>
              <w:jc w:val="left"/>
              <w:rPr>
                <w:rFonts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60C8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CDCE71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992" w:type="dxa"/>
            <w:tcBorders>
              <w:top w:val="single" w:color="auto" w:sz="4" w:space="0"/>
              <w:left w:val="single" w:color="auto" w:sz="4" w:space="0"/>
              <w:bottom w:val="single" w:color="auto" w:sz="4" w:space="0"/>
              <w:right w:val="single" w:color="auto" w:sz="4" w:space="0"/>
            </w:tcBorders>
            <w:vAlign w:val="center"/>
          </w:tcPr>
          <w:p w14:paraId="0521C4F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7164" w:type="dxa"/>
            <w:tcBorders>
              <w:top w:val="single" w:color="auto" w:sz="4" w:space="0"/>
              <w:left w:val="single" w:color="auto" w:sz="4" w:space="0"/>
              <w:bottom w:val="single" w:color="auto" w:sz="4" w:space="0"/>
              <w:right w:val="single" w:color="auto" w:sz="4" w:space="0"/>
            </w:tcBorders>
            <w:vAlign w:val="center"/>
          </w:tcPr>
          <w:p w14:paraId="2675286D">
            <w:pPr>
              <w:spacing w:line="400" w:lineRule="exact"/>
              <w:jc w:val="left"/>
              <w:rPr>
                <w:color w:val="auto"/>
                <w:highlight w:val="none"/>
              </w:rPr>
            </w:pPr>
            <w:r>
              <w:rPr>
                <w:rFonts w:hint="eastAsia"/>
                <w:color w:val="auto"/>
                <w:highlight w:val="none"/>
              </w:rPr>
              <w:t>不收取</w:t>
            </w:r>
          </w:p>
        </w:tc>
      </w:tr>
      <w:tr w14:paraId="16F2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dxa"/>
            <w:tcBorders>
              <w:top w:val="single" w:color="auto" w:sz="4" w:space="0"/>
              <w:left w:val="single" w:color="auto" w:sz="4" w:space="0"/>
              <w:bottom w:val="single" w:color="auto" w:sz="4" w:space="0"/>
              <w:right w:val="single" w:color="auto" w:sz="4" w:space="0"/>
            </w:tcBorders>
            <w:vAlign w:val="center"/>
          </w:tcPr>
          <w:p w14:paraId="3B6424D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992" w:type="dxa"/>
            <w:tcBorders>
              <w:top w:val="single" w:color="auto" w:sz="4" w:space="0"/>
              <w:left w:val="single" w:color="auto" w:sz="4" w:space="0"/>
              <w:bottom w:val="single" w:color="auto" w:sz="4" w:space="0"/>
              <w:right w:val="single" w:color="auto" w:sz="4" w:space="0"/>
            </w:tcBorders>
            <w:vAlign w:val="center"/>
          </w:tcPr>
          <w:p w14:paraId="406310CF">
            <w:pPr>
              <w:spacing w:line="400" w:lineRule="exact"/>
              <w:jc w:val="center"/>
              <w:rPr>
                <w:rFonts w:ascii="宋体" w:hAnsi="宋体" w:cs="宋体"/>
                <w:color w:val="auto"/>
                <w:szCs w:val="21"/>
                <w:highlight w:val="none"/>
              </w:rPr>
            </w:pPr>
            <w:r>
              <w:rPr>
                <w:rFonts w:hint="eastAsia" w:hAnsi="宋体" w:cs="宋体"/>
                <w:color w:val="auto"/>
                <w:highlight w:val="none"/>
              </w:rPr>
              <w:t>响应文件递交截止时间和地点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465E886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733E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dxa"/>
            <w:tcBorders>
              <w:top w:val="single" w:color="auto" w:sz="4" w:space="0"/>
              <w:left w:val="single" w:color="auto" w:sz="4" w:space="0"/>
              <w:bottom w:val="single" w:color="auto" w:sz="4" w:space="0"/>
              <w:right w:val="single" w:color="auto" w:sz="4" w:space="0"/>
            </w:tcBorders>
            <w:vAlign w:val="center"/>
          </w:tcPr>
          <w:p w14:paraId="5C31DC3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992" w:type="dxa"/>
            <w:tcBorders>
              <w:top w:val="single" w:color="auto" w:sz="4" w:space="0"/>
              <w:left w:val="single" w:color="auto" w:sz="4" w:space="0"/>
              <w:bottom w:val="single" w:color="auto" w:sz="4" w:space="0"/>
              <w:right w:val="single" w:color="auto" w:sz="4" w:space="0"/>
            </w:tcBorders>
            <w:vAlign w:val="center"/>
          </w:tcPr>
          <w:p w14:paraId="588B16FE">
            <w:pPr>
              <w:spacing w:line="400" w:lineRule="exact"/>
              <w:jc w:val="center"/>
              <w:rPr>
                <w:rFonts w:ascii="宋体" w:hAnsi="宋体" w:cs="宋体"/>
                <w:color w:val="auto"/>
                <w:szCs w:val="21"/>
                <w:highlight w:val="none"/>
              </w:rPr>
            </w:pPr>
            <w:r>
              <w:rPr>
                <w:rFonts w:hint="eastAsia" w:ascii="宋体" w:hAnsi="宋体" w:cs="宋体"/>
                <w:color w:val="auto"/>
                <w:highlight w:val="none"/>
              </w:rPr>
              <w:t>评标委员会的组建</w:t>
            </w:r>
          </w:p>
        </w:tc>
        <w:tc>
          <w:tcPr>
            <w:tcW w:w="7164" w:type="dxa"/>
            <w:tcBorders>
              <w:top w:val="single" w:color="auto" w:sz="4" w:space="0"/>
              <w:left w:val="single" w:color="auto" w:sz="4" w:space="0"/>
              <w:bottom w:val="single" w:color="auto" w:sz="4" w:space="0"/>
              <w:right w:val="single" w:color="auto" w:sz="4" w:space="0"/>
            </w:tcBorders>
            <w:vAlign w:val="center"/>
          </w:tcPr>
          <w:p w14:paraId="50487CD8">
            <w:pPr>
              <w:pStyle w:val="12"/>
              <w:spacing w:line="400" w:lineRule="exact"/>
              <w:jc w:val="left"/>
              <w:rPr>
                <w:rFonts w:hAnsi="宋体" w:cs="宋体"/>
                <w:color w:val="auto"/>
                <w:highlight w:val="none"/>
              </w:rPr>
            </w:pPr>
            <w:r>
              <w:rPr>
                <w:rFonts w:hint="eastAsia" w:hAnsi="宋体" w:cs="宋体"/>
                <w:color w:val="auto"/>
                <w:highlight w:val="none"/>
              </w:rPr>
              <w:t>评标委员会构成：3人，其中采购单位代表1人，专家2人；</w:t>
            </w:r>
          </w:p>
          <w:p w14:paraId="6ABEE095">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5419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60DE652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92" w:type="dxa"/>
            <w:tcBorders>
              <w:top w:val="single" w:color="auto" w:sz="4" w:space="0"/>
              <w:left w:val="single" w:color="auto" w:sz="4" w:space="0"/>
              <w:bottom w:val="single" w:color="auto" w:sz="4" w:space="0"/>
              <w:right w:val="single" w:color="auto" w:sz="4" w:space="0"/>
            </w:tcBorders>
            <w:vAlign w:val="center"/>
          </w:tcPr>
          <w:p w14:paraId="5C0474E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4F257F19">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4D54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9F8D4A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992" w:type="dxa"/>
            <w:tcBorders>
              <w:top w:val="single" w:color="auto" w:sz="4" w:space="0"/>
              <w:left w:val="single" w:color="auto" w:sz="4" w:space="0"/>
              <w:bottom w:val="single" w:color="auto" w:sz="4" w:space="0"/>
              <w:right w:val="single" w:color="auto" w:sz="4" w:space="0"/>
            </w:tcBorders>
            <w:vAlign w:val="center"/>
          </w:tcPr>
          <w:p w14:paraId="792F413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评标方法</w:t>
            </w:r>
          </w:p>
        </w:tc>
        <w:tc>
          <w:tcPr>
            <w:tcW w:w="7164" w:type="dxa"/>
            <w:tcBorders>
              <w:top w:val="single" w:color="auto" w:sz="4" w:space="0"/>
              <w:left w:val="single" w:color="auto" w:sz="4" w:space="0"/>
              <w:bottom w:val="single" w:color="auto" w:sz="4" w:space="0"/>
              <w:right w:val="single" w:color="auto" w:sz="4" w:space="0"/>
            </w:tcBorders>
            <w:vAlign w:val="center"/>
          </w:tcPr>
          <w:p w14:paraId="531CCC26">
            <w:pPr>
              <w:spacing w:line="400" w:lineRule="exact"/>
              <w:jc w:val="left"/>
              <w:rPr>
                <w:rFonts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348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3F9F63B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992" w:type="dxa"/>
            <w:tcBorders>
              <w:top w:val="single" w:color="auto" w:sz="4" w:space="0"/>
              <w:left w:val="single" w:color="auto" w:sz="4" w:space="0"/>
              <w:bottom w:val="single" w:color="auto" w:sz="4" w:space="0"/>
              <w:right w:val="single" w:color="auto" w:sz="4" w:space="0"/>
            </w:tcBorders>
            <w:vAlign w:val="center"/>
          </w:tcPr>
          <w:p w14:paraId="59E92AA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7164" w:type="dxa"/>
            <w:tcBorders>
              <w:top w:val="single" w:color="auto" w:sz="4" w:space="0"/>
              <w:left w:val="single" w:color="auto" w:sz="4" w:space="0"/>
              <w:bottom w:val="single" w:color="auto" w:sz="4" w:space="0"/>
              <w:right w:val="single" w:color="auto" w:sz="4" w:space="0"/>
            </w:tcBorders>
            <w:vAlign w:val="center"/>
          </w:tcPr>
          <w:p w14:paraId="6AAE616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3ED2A8EC">
            <w:pPr>
              <w:snapToGrid w:val="0"/>
              <w:spacing w:line="400" w:lineRule="exact"/>
              <w:rPr>
                <w:rFonts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24A9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7482653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992" w:type="dxa"/>
            <w:tcBorders>
              <w:top w:val="single" w:color="auto" w:sz="4" w:space="0"/>
              <w:left w:val="single" w:color="auto" w:sz="4" w:space="0"/>
              <w:bottom w:val="single" w:color="auto" w:sz="4" w:space="0"/>
              <w:right w:val="single" w:color="auto" w:sz="4" w:space="0"/>
            </w:tcBorders>
            <w:vAlign w:val="center"/>
          </w:tcPr>
          <w:p w14:paraId="4438AF9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164" w:type="dxa"/>
            <w:tcBorders>
              <w:top w:val="single" w:color="auto" w:sz="4" w:space="0"/>
              <w:left w:val="single" w:color="auto" w:sz="4" w:space="0"/>
              <w:bottom w:val="single" w:color="auto" w:sz="4" w:space="0"/>
              <w:right w:val="single" w:color="auto" w:sz="4" w:space="0"/>
            </w:tcBorders>
            <w:vAlign w:val="center"/>
          </w:tcPr>
          <w:p w14:paraId="5A20508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履约保证金：无。</w:t>
            </w:r>
          </w:p>
        </w:tc>
      </w:tr>
      <w:tr w14:paraId="247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53D63BA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992" w:type="dxa"/>
            <w:tcBorders>
              <w:top w:val="single" w:color="auto" w:sz="4" w:space="0"/>
              <w:left w:val="single" w:color="auto" w:sz="4" w:space="0"/>
              <w:bottom w:val="single" w:color="auto" w:sz="4" w:space="0"/>
              <w:right w:val="single" w:color="auto" w:sz="4" w:space="0"/>
            </w:tcBorders>
            <w:vAlign w:val="center"/>
          </w:tcPr>
          <w:p w14:paraId="58C1F0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采购预算价</w:t>
            </w:r>
          </w:p>
        </w:tc>
        <w:tc>
          <w:tcPr>
            <w:tcW w:w="7164" w:type="dxa"/>
            <w:tcBorders>
              <w:top w:val="single" w:color="auto" w:sz="4" w:space="0"/>
              <w:left w:val="single" w:color="auto" w:sz="4" w:space="0"/>
              <w:bottom w:val="single" w:color="auto" w:sz="4" w:space="0"/>
              <w:right w:val="single" w:color="auto" w:sz="4" w:space="0"/>
            </w:tcBorders>
            <w:vAlign w:val="center"/>
          </w:tcPr>
          <w:p w14:paraId="0533BD69">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本项目采购预算价：2878797.42元</w:t>
            </w:r>
          </w:p>
        </w:tc>
      </w:tr>
      <w:tr w14:paraId="3517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392414C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92" w:type="dxa"/>
            <w:tcBorders>
              <w:top w:val="single" w:color="auto" w:sz="4" w:space="0"/>
              <w:left w:val="single" w:color="auto" w:sz="4" w:space="0"/>
              <w:bottom w:val="single" w:color="auto" w:sz="4" w:space="0"/>
              <w:right w:val="single" w:color="auto" w:sz="4" w:space="0"/>
            </w:tcBorders>
            <w:vAlign w:val="center"/>
          </w:tcPr>
          <w:p w14:paraId="0039E4A7">
            <w:pPr>
              <w:spacing w:line="400" w:lineRule="exact"/>
              <w:jc w:val="center"/>
              <w:rPr>
                <w:rFonts w:ascii="宋体" w:hAnsi="宋体" w:cs="宋体"/>
                <w:color w:val="auto"/>
                <w:szCs w:val="21"/>
                <w:highlight w:val="none"/>
              </w:rPr>
            </w:pPr>
            <w:r>
              <w:rPr>
                <w:rFonts w:hint="eastAsia" w:ascii="宋体" w:hAnsi="宋体"/>
                <w:color w:val="auto"/>
                <w:szCs w:val="21"/>
                <w:highlight w:val="none"/>
              </w:rPr>
              <w:t>接收质疑函方式</w:t>
            </w:r>
          </w:p>
        </w:tc>
        <w:tc>
          <w:tcPr>
            <w:tcW w:w="7164" w:type="dxa"/>
            <w:tcBorders>
              <w:top w:val="single" w:color="auto" w:sz="4" w:space="0"/>
              <w:left w:val="single" w:color="auto" w:sz="4" w:space="0"/>
              <w:bottom w:val="single" w:color="auto" w:sz="4" w:space="0"/>
              <w:right w:val="single" w:color="auto" w:sz="4" w:space="0"/>
            </w:tcBorders>
            <w:vAlign w:val="center"/>
          </w:tcPr>
          <w:p w14:paraId="27606405">
            <w:pPr>
              <w:snapToGrid w:val="0"/>
              <w:spacing w:line="400" w:lineRule="exact"/>
              <w:rPr>
                <w:rFonts w:ascii="宋体" w:hAnsi="宋体" w:cs="宋体"/>
                <w:color w:val="auto"/>
                <w:szCs w:val="21"/>
                <w:highlight w:val="none"/>
              </w:rPr>
            </w:pPr>
            <w:r>
              <w:rPr>
                <w:rFonts w:hint="eastAsia" w:ascii="宋体" w:hAnsi="宋体"/>
                <w:color w:val="auto"/>
                <w:szCs w:val="21"/>
                <w:highlight w:val="none"/>
              </w:rPr>
              <w:t>以书面形式</w:t>
            </w:r>
          </w:p>
        </w:tc>
      </w:tr>
      <w:tr w14:paraId="0A94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76E490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992" w:type="dxa"/>
            <w:tcBorders>
              <w:top w:val="single" w:color="auto" w:sz="4" w:space="0"/>
              <w:left w:val="single" w:color="auto" w:sz="4" w:space="0"/>
              <w:bottom w:val="single" w:color="auto" w:sz="4" w:space="0"/>
              <w:right w:val="single" w:color="auto" w:sz="4" w:space="0"/>
            </w:tcBorders>
            <w:vAlign w:val="center"/>
          </w:tcPr>
          <w:p w14:paraId="586F06C5">
            <w:pPr>
              <w:spacing w:line="400" w:lineRule="exact"/>
              <w:jc w:val="center"/>
              <w:rPr>
                <w:rFonts w:ascii="宋体" w:hAnsi="宋体" w:cs="宋体"/>
                <w:color w:val="auto"/>
                <w:szCs w:val="21"/>
                <w:highlight w:val="none"/>
              </w:rPr>
            </w:pPr>
            <w:r>
              <w:rPr>
                <w:rFonts w:hint="eastAsia" w:ascii="宋体" w:hAnsi="宋体"/>
                <w:color w:val="auto"/>
                <w:szCs w:val="21"/>
                <w:highlight w:val="none"/>
              </w:rPr>
              <w:t>质疑联系部门及联系方式</w:t>
            </w:r>
          </w:p>
        </w:tc>
        <w:tc>
          <w:tcPr>
            <w:tcW w:w="7164" w:type="dxa"/>
            <w:tcBorders>
              <w:top w:val="single" w:color="auto" w:sz="4" w:space="0"/>
              <w:left w:val="single" w:color="auto" w:sz="4" w:space="0"/>
              <w:bottom w:val="single" w:color="auto" w:sz="4" w:space="0"/>
              <w:right w:val="single" w:color="auto" w:sz="4" w:space="0"/>
            </w:tcBorders>
            <w:vAlign w:val="center"/>
          </w:tcPr>
          <w:p w14:paraId="49DF2C39">
            <w:pPr>
              <w:snapToGrid w:val="0"/>
              <w:spacing w:line="400" w:lineRule="exact"/>
              <w:rPr>
                <w:rFonts w:ascii="宋体" w:hAnsi="宋体"/>
                <w:color w:val="auto"/>
                <w:szCs w:val="21"/>
                <w:highlight w:val="none"/>
              </w:rPr>
            </w:pPr>
            <w:r>
              <w:rPr>
                <w:rFonts w:hint="eastAsia" w:ascii="宋体" w:hAnsi="宋体"/>
                <w:color w:val="auto"/>
                <w:szCs w:val="21"/>
                <w:highlight w:val="none"/>
              </w:rPr>
              <w:t>广西锐达工程咨询有限公司</w:t>
            </w:r>
          </w:p>
          <w:p w14:paraId="288B2377">
            <w:pPr>
              <w:snapToGrid w:val="0"/>
              <w:spacing w:line="400" w:lineRule="exact"/>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：0777-5682186</w:t>
            </w:r>
          </w:p>
          <w:p w14:paraId="7AC8E053">
            <w:pPr>
              <w:snapToGrid w:val="0"/>
              <w:spacing w:line="400" w:lineRule="exact"/>
              <w:rPr>
                <w:rFonts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 xml:space="preserve">钦州市钦北区北环西路与新华路交汇处坭桥物流市场2幢4楼 </w:t>
            </w:r>
          </w:p>
        </w:tc>
      </w:tr>
      <w:tr w14:paraId="4AAB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41C1E1B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992" w:type="dxa"/>
            <w:tcBorders>
              <w:top w:val="single" w:color="auto" w:sz="4" w:space="0"/>
              <w:left w:val="single" w:color="auto" w:sz="4" w:space="0"/>
              <w:bottom w:val="single" w:color="auto" w:sz="4" w:space="0"/>
              <w:right w:val="single" w:color="auto" w:sz="4" w:space="0"/>
            </w:tcBorders>
            <w:vAlign w:val="center"/>
          </w:tcPr>
          <w:p w14:paraId="1D436563">
            <w:pPr>
              <w:spacing w:line="400" w:lineRule="exact"/>
              <w:jc w:val="center"/>
              <w:rPr>
                <w:rFonts w:ascii="宋体" w:hAnsi="宋体" w:cs="宋体"/>
                <w:color w:val="auto"/>
                <w:szCs w:val="21"/>
                <w:highlight w:val="none"/>
              </w:rPr>
            </w:pPr>
            <w:r>
              <w:rPr>
                <w:rFonts w:hint="eastAsia" w:hAnsi="宋体"/>
                <w:color w:val="auto"/>
                <w:highlight w:val="none"/>
              </w:rPr>
              <w:t>现场提交质疑办理业务时间</w:t>
            </w:r>
          </w:p>
        </w:tc>
        <w:tc>
          <w:tcPr>
            <w:tcW w:w="7164" w:type="dxa"/>
            <w:tcBorders>
              <w:top w:val="single" w:color="auto" w:sz="4" w:space="0"/>
              <w:left w:val="single" w:color="auto" w:sz="4" w:space="0"/>
              <w:bottom w:val="single" w:color="auto" w:sz="4" w:space="0"/>
              <w:right w:val="single" w:color="auto" w:sz="4" w:space="0"/>
            </w:tcBorders>
            <w:vAlign w:val="center"/>
          </w:tcPr>
          <w:p w14:paraId="3BA88A15">
            <w:pPr>
              <w:snapToGrid w:val="0"/>
              <w:spacing w:line="400" w:lineRule="exact"/>
              <w:rPr>
                <w:rFonts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1475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410CFA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992" w:type="dxa"/>
            <w:tcBorders>
              <w:top w:val="single" w:color="auto" w:sz="4" w:space="0"/>
              <w:left w:val="single" w:color="auto" w:sz="4" w:space="0"/>
              <w:bottom w:val="single" w:color="auto" w:sz="4" w:space="0"/>
              <w:right w:val="single" w:color="auto" w:sz="4" w:space="0"/>
            </w:tcBorders>
            <w:vAlign w:val="center"/>
          </w:tcPr>
          <w:p w14:paraId="6C4C50FD">
            <w:pPr>
              <w:spacing w:line="400" w:lineRule="exact"/>
              <w:jc w:val="center"/>
              <w:rPr>
                <w:rFonts w:hAnsi="宋体"/>
                <w:color w:val="auto"/>
                <w:highlight w:val="none"/>
              </w:rPr>
            </w:pPr>
            <w:r>
              <w:rPr>
                <w:rFonts w:hint="eastAsia" w:ascii="宋体" w:hAnsi="宋体" w:cs="宋体"/>
                <w:color w:val="auto"/>
                <w:szCs w:val="21"/>
                <w:highlight w:val="none"/>
              </w:rPr>
              <w:t>采购代理费</w:t>
            </w:r>
          </w:p>
        </w:tc>
        <w:tc>
          <w:tcPr>
            <w:tcW w:w="7164" w:type="dxa"/>
            <w:tcBorders>
              <w:top w:val="single" w:color="auto" w:sz="4" w:space="0"/>
              <w:left w:val="single" w:color="auto" w:sz="4" w:space="0"/>
              <w:bottom w:val="single" w:color="auto" w:sz="4" w:space="0"/>
              <w:right w:val="single" w:color="auto" w:sz="4" w:space="0"/>
            </w:tcBorders>
            <w:vAlign w:val="center"/>
          </w:tcPr>
          <w:p w14:paraId="2EEA5E77">
            <w:pPr>
              <w:pStyle w:val="12"/>
              <w:snapToGrid w:val="0"/>
              <w:spacing w:line="400" w:lineRule="exact"/>
              <w:rPr>
                <w:rFonts w:hAnsi="宋体" w:cs="宋体"/>
                <w:color w:val="auto"/>
                <w:highlight w:val="none"/>
              </w:rPr>
            </w:pPr>
            <w:r>
              <w:rPr>
                <w:rFonts w:hint="eastAsia" w:hAnsi="宋体" w:cs="宋体"/>
                <w:color w:val="auto"/>
                <w:highlight w:val="none"/>
              </w:rPr>
              <w:t>1.是否收取采购代理费：</w:t>
            </w:r>
          </w:p>
          <w:p w14:paraId="151CBE67">
            <w:pPr>
              <w:pStyle w:val="12"/>
              <w:snapToGrid w:val="0"/>
              <w:spacing w:line="400" w:lineRule="exact"/>
              <w:rPr>
                <w:rFonts w:hAnsi="宋体" w:cs="宋体"/>
                <w:color w:val="auto"/>
                <w:highlight w:val="none"/>
              </w:rPr>
            </w:pPr>
            <w:r>
              <w:rPr>
                <w:rFonts w:hint="eastAsia" w:ascii="MS Mincho" w:hAnsi="MS Mincho" w:eastAsia="MS Mincho" w:cs="MS Mincho"/>
                <w:color w:val="auto"/>
                <w:highlight w:val="none"/>
              </w:rPr>
              <w:t>☑</w:t>
            </w:r>
            <w:r>
              <w:rPr>
                <w:rFonts w:hint="eastAsia" w:hAnsi="宋体" w:cs="宋体"/>
                <w:color w:val="auto"/>
                <w:highlight w:val="none"/>
              </w:rPr>
              <w:t>是    □ 否</w:t>
            </w:r>
          </w:p>
          <w:p w14:paraId="1C15946B">
            <w:pPr>
              <w:pStyle w:val="12"/>
              <w:snapToGrid w:val="0"/>
              <w:spacing w:line="400" w:lineRule="exact"/>
              <w:rPr>
                <w:rFonts w:hAnsi="宋体" w:cs="宋体"/>
                <w:color w:val="auto"/>
                <w:highlight w:val="none"/>
              </w:rPr>
            </w:pPr>
            <w:r>
              <w:rPr>
                <w:rFonts w:hint="eastAsia" w:hAnsi="宋体" w:cs="宋体"/>
                <w:color w:val="auto"/>
                <w:highlight w:val="none"/>
              </w:rPr>
              <w:t>2.采购代理费支付方式：</w:t>
            </w:r>
          </w:p>
          <w:p w14:paraId="7A90FEAA">
            <w:pPr>
              <w:pStyle w:val="12"/>
              <w:snapToGrid w:val="0"/>
              <w:spacing w:line="400" w:lineRule="exact"/>
              <w:rPr>
                <w:rFonts w:hAnsi="宋体" w:cs="宋体"/>
                <w:color w:val="auto"/>
                <w:highlight w:val="none"/>
              </w:rPr>
            </w:pPr>
            <w:r>
              <w:rPr>
                <w:rFonts w:hint="eastAsia" w:ascii="MS Mincho" w:hAnsi="MS Mincho" w:eastAsia="MS Mincho" w:cs="MS Mincho"/>
                <w:color w:val="auto"/>
                <w:highlight w:val="none"/>
              </w:rPr>
              <w:t>☑</w:t>
            </w:r>
            <w:r>
              <w:rPr>
                <w:rFonts w:hint="eastAsia" w:hAnsi="宋体" w:cs="宋体"/>
                <w:color w:val="auto"/>
                <w:highlight w:val="none"/>
              </w:rPr>
              <w:t>本项目代理服务费由</w:t>
            </w:r>
            <w:r>
              <w:rPr>
                <w:rFonts w:hint="eastAsia" w:hAnsi="宋体" w:cs="宋体"/>
                <w:color w:val="auto"/>
                <w:highlight w:val="none"/>
                <w:u w:val="single"/>
              </w:rPr>
              <w:t xml:space="preserve"> 成交供应商 </w:t>
            </w:r>
            <w:r>
              <w:rPr>
                <w:rFonts w:hint="eastAsia" w:hAnsi="宋体" w:cs="宋体"/>
                <w:color w:val="auto"/>
                <w:highlight w:val="none"/>
              </w:rPr>
              <w:t>一次性向采购代理机构支付。</w:t>
            </w:r>
          </w:p>
          <w:p w14:paraId="5F7A34C9">
            <w:pPr>
              <w:pStyle w:val="12"/>
              <w:snapToGrid w:val="0"/>
              <w:spacing w:line="400" w:lineRule="exact"/>
              <w:rPr>
                <w:rFonts w:hAnsi="宋体" w:cs="宋体"/>
                <w:color w:val="auto"/>
                <w:highlight w:val="none"/>
              </w:rPr>
            </w:pPr>
            <w:r>
              <w:rPr>
                <w:rFonts w:hint="eastAsia" w:hAnsi="宋体" w:cs="宋体"/>
                <w:color w:val="auto"/>
                <w:highlight w:val="none"/>
              </w:rPr>
              <w:t>□采购人支付。</w:t>
            </w:r>
          </w:p>
          <w:p w14:paraId="6408FBAF">
            <w:pPr>
              <w:pStyle w:val="12"/>
              <w:snapToGrid w:val="0"/>
              <w:spacing w:line="400" w:lineRule="exact"/>
              <w:rPr>
                <w:rFonts w:hAnsi="宋体" w:cs="宋体"/>
                <w:color w:val="auto"/>
                <w:highlight w:val="none"/>
              </w:rPr>
            </w:pPr>
            <w:r>
              <w:rPr>
                <w:rFonts w:hint="eastAsia" w:hAnsi="宋体" w:cs="宋体"/>
                <w:color w:val="auto"/>
                <w:highlight w:val="none"/>
              </w:rPr>
              <w:t>3.采购代理费收取标准：</w:t>
            </w:r>
          </w:p>
          <w:p w14:paraId="13C5BFC0">
            <w:pPr>
              <w:pStyle w:val="12"/>
              <w:snapToGrid w:val="0"/>
              <w:spacing w:line="400" w:lineRule="exact"/>
              <w:rPr>
                <w:rFonts w:hAnsi="宋体" w:cs="宋体"/>
                <w:color w:val="auto"/>
                <w:highlight w:val="none"/>
              </w:rPr>
            </w:pPr>
            <w:r>
              <w:rPr>
                <w:rFonts w:hint="eastAsia" w:ascii="MS Mincho" w:hAnsi="MS Mincho" w:eastAsia="MS Mincho" w:cs="MS Mincho"/>
                <w:color w:val="auto"/>
                <w:highlight w:val="none"/>
              </w:rPr>
              <w:t>☑</w:t>
            </w:r>
            <w:r>
              <w:rPr>
                <w:rFonts w:hint="eastAsia" w:hAnsi="宋体" w:cs="宋体"/>
                <w:color w:val="auto"/>
                <w:highlight w:val="none"/>
              </w:rPr>
              <w:t>以分标（☑成交金额/</w:t>
            </w:r>
            <w:r>
              <w:rPr>
                <w:rFonts w:hint="eastAsia" w:ascii="MS Mincho" w:hAnsi="MS Mincho" w:eastAsia="MS Mincho" w:cs="MS Mincho"/>
                <w:color w:val="auto"/>
                <w:highlight w:val="none"/>
              </w:rPr>
              <w:t>□</w:t>
            </w:r>
            <w:r>
              <w:rPr>
                <w:rFonts w:hint="eastAsia" w:hAnsi="宋体" w:cs="宋体"/>
                <w:color w:val="auto"/>
                <w:highlight w:val="none"/>
              </w:rPr>
              <w:t>采购预算/□暂定成交金额/□其他）为计费额，按收费计算标准（□货物类/□服务类/</w:t>
            </w:r>
            <w:r>
              <w:rPr>
                <w:rFonts w:hint="eastAsia" w:hAnsi="宋体" w:cs="宋体"/>
                <w:color w:val="auto"/>
                <w:highlight w:val="none"/>
              </w:rPr>
              <w:sym w:font="Wingdings 2" w:char="0052"/>
            </w:r>
            <w:r>
              <w:rPr>
                <w:rFonts w:hint="eastAsia" w:hAnsi="宋体" w:cs="宋体"/>
                <w:color w:val="auto"/>
                <w:highlight w:val="none"/>
              </w:rPr>
              <w:t>工程类）采用差额定率累进法计算出收费基准价格，采购代理收费以（</w:t>
            </w:r>
            <w:r>
              <w:rPr>
                <w:rFonts w:hint="eastAsia" w:ascii="MS Mincho" w:hAnsi="MS Mincho" w:eastAsia="MS Mincho" w:cs="MS Mincho"/>
                <w:color w:val="auto"/>
                <w:highlight w:val="none"/>
              </w:rPr>
              <w:t>☑</w:t>
            </w:r>
            <w:r>
              <w:rPr>
                <w:rFonts w:hint="eastAsia" w:hAnsi="宋体" w:cs="宋体"/>
                <w:color w:val="auto"/>
                <w:highlight w:val="none"/>
              </w:rPr>
              <w:t>收费基准价格/□收费基准价格下浮</w:t>
            </w:r>
            <w:r>
              <w:rPr>
                <w:rFonts w:hint="eastAsia" w:hAnsi="宋体" w:cs="宋体"/>
                <w:color w:val="auto"/>
                <w:highlight w:val="none"/>
                <w:u w:val="single"/>
              </w:rPr>
              <w:t xml:space="preserve"> %</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w:t>
            </w:r>
            <w:r>
              <w:rPr>
                <w:rFonts w:hint="eastAsia" w:hAnsi="宋体" w:cs="宋体"/>
                <w:color w:val="auto"/>
                <w:highlight w:val="none"/>
              </w:rPr>
              <w:t>）收取。</w:t>
            </w:r>
          </w:p>
          <w:p w14:paraId="5CC03AB3">
            <w:pPr>
              <w:pStyle w:val="12"/>
              <w:snapToGrid w:val="0"/>
              <w:spacing w:line="400" w:lineRule="exact"/>
              <w:rPr>
                <w:rFonts w:hAnsi="宋体" w:cs="宋体"/>
                <w:color w:val="auto"/>
                <w:highlight w:val="none"/>
                <w:u w:val="single"/>
              </w:rPr>
            </w:pPr>
            <w:r>
              <w:rPr>
                <w:rFonts w:hint="eastAsia" w:hAnsi="宋体" w:cs="宋体"/>
                <w:color w:val="auto"/>
                <w:highlight w:val="none"/>
              </w:rPr>
              <w:t>□固定采购代理收费。</w:t>
            </w:r>
          </w:p>
          <w:p w14:paraId="3A1CA8DE">
            <w:pPr>
              <w:pStyle w:val="12"/>
              <w:snapToGrid w:val="0"/>
              <w:spacing w:line="400" w:lineRule="exact"/>
              <w:rPr>
                <w:rFonts w:hAnsi="宋体" w:cs="宋体"/>
                <w:color w:val="auto"/>
                <w:highlight w:val="none"/>
              </w:rPr>
            </w:pPr>
            <w:r>
              <w:rPr>
                <w:rFonts w:hint="eastAsia" w:hAnsi="宋体" w:cs="宋体"/>
                <w:color w:val="auto"/>
                <w:highlight w:val="none"/>
              </w:rPr>
              <w:t>4. 采购代理费收取银行账户</w:t>
            </w:r>
          </w:p>
          <w:p w14:paraId="3D7742F1">
            <w:pPr>
              <w:pStyle w:val="12"/>
              <w:snapToGrid w:val="0"/>
              <w:spacing w:line="400" w:lineRule="exact"/>
              <w:rPr>
                <w:rFonts w:hAnsi="宋体" w:cs="宋体"/>
                <w:color w:val="auto"/>
                <w:highlight w:val="none"/>
              </w:rPr>
            </w:pPr>
            <w:r>
              <w:rPr>
                <w:rFonts w:hint="eastAsia" w:hAnsi="宋体" w:cs="宋体"/>
                <w:color w:val="auto"/>
                <w:highlight w:val="none"/>
              </w:rPr>
              <w:t>开户名称：广西锐达工程咨询有限公司</w:t>
            </w:r>
          </w:p>
          <w:p w14:paraId="5A508FBE">
            <w:pPr>
              <w:pStyle w:val="12"/>
              <w:snapToGrid w:val="0"/>
              <w:spacing w:line="400" w:lineRule="exact"/>
              <w:rPr>
                <w:rFonts w:hAnsi="宋体" w:cs="宋体"/>
                <w:color w:val="auto"/>
                <w:highlight w:val="none"/>
              </w:rPr>
            </w:pPr>
            <w:r>
              <w:rPr>
                <w:rFonts w:hint="eastAsia" w:hAnsi="宋体" w:cs="宋体"/>
                <w:color w:val="auto"/>
                <w:highlight w:val="none"/>
              </w:rPr>
              <w:t>账号： 805453944400001</w:t>
            </w:r>
          </w:p>
          <w:p w14:paraId="4B26B1B1">
            <w:pPr>
              <w:pStyle w:val="12"/>
              <w:snapToGrid w:val="0"/>
              <w:spacing w:line="400" w:lineRule="exact"/>
              <w:rPr>
                <w:rFonts w:hAnsi="宋体"/>
                <w:color w:val="auto"/>
                <w:highlight w:val="none"/>
              </w:rPr>
            </w:pPr>
            <w:r>
              <w:rPr>
                <w:rFonts w:hint="eastAsia" w:hAnsi="宋体" w:cs="宋体"/>
                <w:color w:val="auto"/>
                <w:highlight w:val="none"/>
              </w:rPr>
              <w:t xml:space="preserve">开户行：广西北部湾银行股份有限公司钦州市钦北大道支行  </w:t>
            </w:r>
          </w:p>
        </w:tc>
      </w:tr>
      <w:tr w14:paraId="46A8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DCAF0F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992" w:type="dxa"/>
            <w:tcBorders>
              <w:top w:val="single" w:color="auto" w:sz="4" w:space="0"/>
              <w:left w:val="single" w:color="auto" w:sz="4" w:space="0"/>
              <w:bottom w:val="single" w:color="auto" w:sz="4" w:space="0"/>
              <w:right w:val="single" w:color="auto" w:sz="4" w:space="0"/>
            </w:tcBorders>
            <w:vAlign w:val="center"/>
          </w:tcPr>
          <w:p w14:paraId="3FD7EC0A">
            <w:pPr>
              <w:spacing w:line="400" w:lineRule="exact"/>
              <w:jc w:val="center"/>
              <w:rPr>
                <w:rFonts w:ascii="宋体" w:hAnsi="宋体" w:cs="宋体"/>
                <w:color w:val="auto"/>
                <w:szCs w:val="21"/>
                <w:highlight w:val="none"/>
              </w:rPr>
            </w:pPr>
            <w:r>
              <w:rPr>
                <w:rFonts w:hint="eastAsia" w:hAnsi="宋体"/>
                <w:color w:val="auto"/>
                <w:highlight w:val="none"/>
              </w:rPr>
              <w:t>解释</w:t>
            </w:r>
          </w:p>
        </w:tc>
        <w:tc>
          <w:tcPr>
            <w:tcW w:w="7164" w:type="dxa"/>
            <w:tcBorders>
              <w:top w:val="single" w:color="auto" w:sz="4" w:space="0"/>
              <w:left w:val="single" w:color="auto" w:sz="4" w:space="0"/>
              <w:bottom w:val="single" w:color="auto" w:sz="4" w:space="0"/>
              <w:right w:val="single" w:color="auto" w:sz="4" w:space="0"/>
            </w:tcBorders>
            <w:vAlign w:val="center"/>
          </w:tcPr>
          <w:p w14:paraId="00D5ACB2">
            <w:pPr>
              <w:pStyle w:val="12"/>
              <w:snapToGrid w:val="0"/>
              <w:spacing w:line="400" w:lineRule="exact"/>
              <w:rPr>
                <w:rFonts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53411FFA">
            <w:pPr>
              <w:pStyle w:val="12"/>
              <w:snapToGrid w:val="0"/>
              <w:spacing w:line="400" w:lineRule="exact"/>
              <w:rPr>
                <w:rFonts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EEB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E08BD5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1992" w:type="dxa"/>
            <w:tcBorders>
              <w:top w:val="single" w:color="auto" w:sz="4" w:space="0"/>
              <w:left w:val="single" w:color="auto" w:sz="4" w:space="0"/>
              <w:bottom w:val="single" w:color="auto" w:sz="4" w:space="0"/>
              <w:right w:val="single" w:color="auto" w:sz="4" w:space="0"/>
            </w:tcBorders>
            <w:vAlign w:val="center"/>
          </w:tcPr>
          <w:p w14:paraId="2608A20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164" w:type="dxa"/>
            <w:tcBorders>
              <w:top w:val="single" w:color="auto" w:sz="4" w:space="0"/>
              <w:left w:val="single" w:color="auto" w:sz="4" w:space="0"/>
              <w:bottom w:val="single" w:color="auto" w:sz="4" w:space="0"/>
              <w:right w:val="single" w:color="auto" w:sz="4" w:space="0"/>
            </w:tcBorders>
            <w:vAlign w:val="center"/>
          </w:tcPr>
          <w:p w14:paraId="45C35921">
            <w:pPr>
              <w:pStyle w:val="12"/>
              <w:snapToGrid w:val="0"/>
              <w:spacing w:line="400" w:lineRule="exact"/>
              <w:rPr>
                <w:rFonts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0D51FEA">
            <w:pPr>
              <w:pStyle w:val="12"/>
              <w:snapToGrid w:val="0"/>
              <w:spacing w:line="400" w:lineRule="exact"/>
              <w:rPr>
                <w:rFonts w:hAnsi="宋体" w:cs="宋体"/>
                <w:color w:val="auto"/>
                <w:highlight w:val="none"/>
              </w:rPr>
            </w:pPr>
            <w:r>
              <w:rPr>
                <w:rFonts w:hint="eastAsia" w:hAnsi="宋体" w:cs="宋体"/>
                <w:color w:val="auto"/>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413473">
            <w:pPr>
              <w:pStyle w:val="12"/>
              <w:snapToGrid w:val="0"/>
              <w:spacing w:line="400" w:lineRule="exact"/>
              <w:rPr>
                <w:rFonts w:hAnsi="宋体" w:cs="宋体"/>
                <w:color w:val="auto"/>
                <w:highlight w:val="none"/>
              </w:rPr>
            </w:pPr>
            <w:r>
              <w:rPr>
                <w:rFonts w:hAnsi="宋体" w:cs="宋体"/>
                <w:color w:val="auto"/>
                <w:highlight w:val="none"/>
              </w:rPr>
              <w:t>3.</w:t>
            </w:r>
            <w:r>
              <w:rPr>
                <w:rFonts w:hint="eastAsia" w:hAnsi="宋体" w:cs="宋体"/>
                <w:color w:val="auto"/>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1770E6BC">
            <w:pPr>
              <w:pStyle w:val="12"/>
              <w:snapToGrid w:val="0"/>
              <w:spacing w:line="400" w:lineRule="exact"/>
              <w:rPr>
                <w:rFonts w:hAnsi="宋体" w:cs="宋体"/>
                <w:color w:val="auto"/>
                <w:highlight w:val="none"/>
              </w:rPr>
            </w:pPr>
            <w:r>
              <w:rPr>
                <w:rFonts w:hAnsi="宋体" w:cs="宋体"/>
                <w:color w:val="auto"/>
                <w:highlight w:val="none"/>
              </w:rPr>
              <w:t>4.</w:t>
            </w:r>
            <w:r>
              <w:rPr>
                <w:rFonts w:hint="eastAsia" w:hAnsi="宋体" w:cs="宋体"/>
                <w:color w:val="auto"/>
                <w:highlight w:val="none"/>
              </w:rPr>
              <w:t>自然人竞标的，磋商文件规定盖公章处由自然人摁手指指印。</w:t>
            </w:r>
          </w:p>
          <w:p w14:paraId="4C2BCDBD">
            <w:pPr>
              <w:pStyle w:val="12"/>
              <w:snapToGrid w:val="0"/>
              <w:spacing w:line="400" w:lineRule="exact"/>
              <w:rPr>
                <w:rFonts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0D48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0F2A63B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992" w:type="dxa"/>
            <w:tcBorders>
              <w:top w:val="single" w:color="auto" w:sz="4" w:space="0"/>
              <w:left w:val="single" w:color="auto" w:sz="4" w:space="0"/>
              <w:bottom w:val="single" w:color="auto" w:sz="4" w:space="0"/>
              <w:right w:val="single" w:color="auto" w:sz="4" w:space="0"/>
            </w:tcBorders>
            <w:vAlign w:val="center"/>
          </w:tcPr>
          <w:p w14:paraId="6A0A89D6">
            <w:pPr>
              <w:spacing w:line="400" w:lineRule="exact"/>
              <w:jc w:val="center"/>
              <w:rPr>
                <w:rFonts w:ascii="宋体" w:hAnsi="宋体" w:cs="宋体"/>
                <w:color w:val="auto"/>
                <w:szCs w:val="21"/>
                <w:highlight w:val="none"/>
              </w:rPr>
            </w:pPr>
            <w:r>
              <w:rPr>
                <w:rFonts w:hint="eastAsia" w:ascii="宋体" w:hAnsi="宋体" w:cs="宋体"/>
                <w:b/>
                <w:color w:val="auto"/>
                <w:szCs w:val="21"/>
                <w:highlight w:val="none"/>
              </w:rPr>
              <w:t>特别说明</w:t>
            </w:r>
          </w:p>
        </w:tc>
        <w:tc>
          <w:tcPr>
            <w:tcW w:w="7164" w:type="dxa"/>
            <w:tcBorders>
              <w:top w:val="single" w:color="auto" w:sz="4" w:space="0"/>
              <w:left w:val="single" w:color="auto" w:sz="4" w:space="0"/>
              <w:bottom w:val="single" w:color="auto" w:sz="4" w:space="0"/>
              <w:right w:val="single" w:color="auto" w:sz="4" w:space="0"/>
            </w:tcBorders>
            <w:vAlign w:val="center"/>
          </w:tcPr>
          <w:p w14:paraId="43AEB963">
            <w:pPr>
              <w:pStyle w:val="12"/>
              <w:spacing w:line="400" w:lineRule="exact"/>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30A378F8">
            <w:pPr>
              <w:spacing w:line="400" w:lineRule="exact"/>
              <w:jc w:val="left"/>
              <w:rPr>
                <w:color w:val="auto"/>
                <w:highlight w:val="none"/>
              </w:rPr>
            </w:pPr>
            <w:r>
              <w:rPr>
                <w:rFonts w:hint="eastAsia"/>
                <w:color w:val="auto"/>
                <w:highlight w:val="none"/>
              </w:rPr>
              <w:t>（2）竞争性磋商文件要求法定代表人或委托代理人签字的部分必须签字然后扫描或者拍照做成pdf格式上传，无签字的，响应文件按无效响应处理。</w:t>
            </w:r>
          </w:p>
          <w:p w14:paraId="2246AB85">
            <w:pPr>
              <w:pStyle w:val="35"/>
              <w:spacing w:before="0" w:after="0" w:line="400" w:lineRule="exact"/>
              <w:ind w:firstLine="0" w:firstLineChars="0"/>
              <w:rPr>
                <w:color w:val="auto"/>
                <w:highlight w:val="none"/>
              </w:rPr>
            </w:pPr>
            <w:r>
              <w:rPr>
                <w:rFonts w:hint="eastAsia" w:ascii="Times New Roman" w:eastAsia="宋体"/>
                <w:b/>
                <w:color w:val="auto"/>
                <w:spacing w:val="0"/>
                <w:kern w:val="2"/>
                <w:sz w:val="21"/>
                <w:szCs w:val="24"/>
                <w:highlight w:val="none"/>
              </w:rPr>
              <w:t>（3）补充事项：成交供应商需在确定成交3日内打印盖章叁份响应文件提供给代理机构，作为成果文件装订使用。</w:t>
            </w:r>
          </w:p>
        </w:tc>
      </w:tr>
    </w:tbl>
    <w:p w14:paraId="3E0370C5">
      <w:pPr>
        <w:pStyle w:val="2"/>
        <w:spacing w:beforeLines="50" w:after="0" w:line="600" w:lineRule="exact"/>
        <w:jc w:val="center"/>
        <w:rPr>
          <w:rFonts w:ascii="宋体" w:hAnsi="宋体" w:cs="宋体"/>
          <w:bCs w:val="0"/>
          <w:color w:val="auto"/>
          <w:sz w:val="32"/>
          <w:szCs w:val="32"/>
          <w:highlight w:val="none"/>
        </w:rPr>
      </w:pPr>
      <w:bookmarkStart w:id="63" w:name="_Toc8441"/>
      <w:bookmarkStart w:id="64" w:name="_Toc16298"/>
    </w:p>
    <w:p w14:paraId="4B6DAFAE">
      <w:pPr>
        <w:pStyle w:val="2"/>
        <w:spacing w:beforeLines="50" w:after="0" w:line="600" w:lineRule="exact"/>
        <w:jc w:val="center"/>
        <w:rPr>
          <w:rFonts w:ascii="宋体" w:hAnsi="宋体" w:cs="宋体"/>
          <w:bCs w:val="0"/>
          <w:color w:val="auto"/>
          <w:sz w:val="32"/>
          <w:szCs w:val="32"/>
          <w:highlight w:val="none"/>
        </w:rPr>
      </w:pPr>
    </w:p>
    <w:p w14:paraId="431057E5">
      <w:pPr>
        <w:pStyle w:val="2"/>
        <w:spacing w:beforeLines="50" w:after="0" w:line="600" w:lineRule="exact"/>
        <w:jc w:val="center"/>
        <w:rPr>
          <w:rFonts w:ascii="宋体" w:hAnsi="宋体" w:cs="宋体"/>
          <w:bCs w:val="0"/>
          <w:color w:val="auto"/>
          <w:sz w:val="32"/>
          <w:szCs w:val="32"/>
          <w:highlight w:val="none"/>
        </w:rPr>
      </w:pPr>
    </w:p>
    <w:p w14:paraId="69F07B20">
      <w:pPr>
        <w:pStyle w:val="2"/>
        <w:spacing w:beforeLines="50" w:after="0" w:line="600" w:lineRule="exact"/>
        <w:jc w:val="center"/>
        <w:rPr>
          <w:rFonts w:ascii="宋体" w:hAnsi="宋体" w:cs="宋体"/>
          <w:bCs w:val="0"/>
          <w:color w:val="auto"/>
          <w:sz w:val="32"/>
          <w:szCs w:val="32"/>
          <w:highlight w:val="none"/>
        </w:rPr>
      </w:pPr>
    </w:p>
    <w:p w14:paraId="22FD604D">
      <w:pPr>
        <w:pStyle w:val="2"/>
        <w:spacing w:beforeLines="50" w:after="0" w:line="600" w:lineRule="exact"/>
        <w:jc w:val="center"/>
        <w:rPr>
          <w:rFonts w:ascii="宋体" w:hAnsi="宋体" w:cs="宋体"/>
          <w:bCs w:val="0"/>
          <w:color w:val="auto"/>
          <w:sz w:val="32"/>
          <w:szCs w:val="32"/>
          <w:highlight w:val="none"/>
        </w:rPr>
      </w:pPr>
    </w:p>
    <w:p w14:paraId="69F495CA">
      <w:pPr>
        <w:pStyle w:val="2"/>
        <w:spacing w:beforeLines="50" w:after="0" w:line="600" w:lineRule="exact"/>
        <w:jc w:val="center"/>
        <w:rPr>
          <w:rFonts w:ascii="宋体" w:hAnsi="宋体" w:cs="宋体"/>
          <w:bCs w:val="0"/>
          <w:color w:val="auto"/>
          <w:sz w:val="32"/>
          <w:szCs w:val="32"/>
          <w:highlight w:val="none"/>
        </w:rPr>
      </w:pPr>
    </w:p>
    <w:p w14:paraId="0C11648A">
      <w:pPr>
        <w:pStyle w:val="2"/>
        <w:spacing w:beforeLines="50" w:after="0" w:line="600" w:lineRule="exact"/>
        <w:jc w:val="center"/>
        <w:rPr>
          <w:rFonts w:ascii="宋体" w:hAnsi="宋体" w:cs="宋体"/>
          <w:bCs w:val="0"/>
          <w:color w:val="auto"/>
          <w:sz w:val="32"/>
          <w:szCs w:val="32"/>
          <w:highlight w:val="none"/>
        </w:rPr>
      </w:pPr>
    </w:p>
    <w:p w14:paraId="57BCCF93">
      <w:pPr>
        <w:pStyle w:val="2"/>
        <w:spacing w:beforeLines="50" w:after="0" w:line="600" w:lineRule="exact"/>
        <w:rPr>
          <w:rFonts w:ascii="宋体" w:hAnsi="宋体" w:cs="宋体"/>
          <w:bCs w:val="0"/>
          <w:color w:val="auto"/>
          <w:sz w:val="32"/>
          <w:szCs w:val="32"/>
          <w:highlight w:val="none"/>
        </w:rPr>
      </w:pPr>
    </w:p>
    <w:p w14:paraId="3ABF3791">
      <w:pPr>
        <w:rPr>
          <w:rFonts w:ascii="宋体" w:hAnsi="宋体" w:cs="宋体"/>
          <w:b/>
          <w:color w:val="auto"/>
          <w:sz w:val="32"/>
          <w:szCs w:val="32"/>
          <w:highlight w:val="none"/>
        </w:rPr>
      </w:pPr>
    </w:p>
    <w:p w14:paraId="3D64B2F3">
      <w:pPr>
        <w:pStyle w:val="34"/>
        <w:rPr>
          <w:rFonts w:ascii="宋体" w:hAnsi="宋体" w:cs="宋体"/>
          <w:b/>
          <w:color w:val="auto"/>
          <w:sz w:val="32"/>
          <w:szCs w:val="32"/>
          <w:highlight w:val="none"/>
        </w:rPr>
      </w:pPr>
    </w:p>
    <w:p w14:paraId="6118F36E">
      <w:pPr>
        <w:pStyle w:val="34"/>
        <w:rPr>
          <w:rFonts w:ascii="宋体" w:hAnsi="宋体" w:cs="宋体"/>
          <w:b/>
          <w:color w:val="auto"/>
          <w:sz w:val="32"/>
          <w:szCs w:val="32"/>
          <w:highlight w:val="none"/>
        </w:rPr>
      </w:pPr>
    </w:p>
    <w:p w14:paraId="6FB87177">
      <w:pPr>
        <w:pStyle w:val="34"/>
        <w:rPr>
          <w:rFonts w:ascii="宋体" w:hAnsi="宋体" w:cs="宋体"/>
          <w:b/>
          <w:color w:val="auto"/>
          <w:sz w:val="32"/>
          <w:szCs w:val="32"/>
          <w:highlight w:val="none"/>
        </w:rPr>
      </w:pPr>
    </w:p>
    <w:p w14:paraId="2488CEB8">
      <w:pPr>
        <w:pStyle w:val="34"/>
        <w:rPr>
          <w:color w:val="auto"/>
          <w:highlight w:val="none"/>
        </w:rPr>
      </w:pPr>
    </w:p>
    <w:p w14:paraId="0F1EDCE7">
      <w:pPr>
        <w:rPr>
          <w:color w:val="auto"/>
          <w:highlight w:val="none"/>
        </w:rPr>
      </w:pPr>
    </w:p>
    <w:p w14:paraId="66D2457F">
      <w:pPr>
        <w:pStyle w:val="2"/>
        <w:spacing w:beforeLines="50" w:after="0" w:line="600" w:lineRule="exact"/>
        <w:jc w:val="center"/>
        <w:rPr>
          <w:rFonts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4ABA6F9C">
      <w:pPr>
        <w:spacing w:line="360" w:lineRule="auto"/>
        <w:rPr>
          <w:rFonts w:ascii="宋体" w:hAnsi="宋体" w:cs="宋体"/>
          <w:b/>
          <w:color w:val="auto"/>
          <w:szCs w:val="21"/>
          <w:highlight w:val="none"/>
        </w:rPr>
      </w:pPr>
      <w:r>
        <w:rPr>
          <w:rFonts w:hint="eastAsia" w:ascii="宋体" w:hAnsi="宋体" w:cs="宋体"/>
          <w:b/>
          <w:color w:val="auto"/>
          <w:szCs w:val="21"/>
          <w:highlight w:val="none"/>
        </w:rPr>
        <w:t>一、总则</w:t>
      </w:r>
    </w:p>
    <w:p w14:paraId="03A715B9">
      <w:pPr>
        <w:spacing w:line="360" w:lineRule="auto"/>
        <w:rPr>
          <w:rFonts w:ascii="宋体" w:hAnsi="宋体" w:cs="宋体"/>
          <w:color w:val="auto"/>
          <w:szCs w:val="21"/>
          <w:highlight w:val="none"/>
        </w:rPr>
      </w:pPr>
      <w:r>
        <w:rPr>
          <w:rFonts w:hint="eastAsia" w:ascii="宋体" w:hAnsi="宋体" w:cs="宋体"/>
          <w:color w:val="auto"/>
          <w:szCs w:val="21"/>
          <w:highlight w:val="none"/>
        </w:rPr>
        <w:t>1.适用范围</w:t>
      </w:r>
    </w:p>
    <w:p w14:paraId="21B71B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本项目采购人、采购代理机构、供应商、磋商小组的相关行为均受《中华人民共和国政府采购法》《中华人民共和国政府采购法实施条例》《政府采购竞争性磋商采购方式管理暂 行办法》《财政部关于政府采购竞争性磋商采购方式管理暂行办法有关问题的补充通知》及本项目本级和上级财政部门政府采购有关规定的约束和保护。</w:t>
      </w:r>
    </w:p>
    <w:p w14:paraId="262B65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本竞争性磋商文件适用于本项目的所有采购程序和环节 (法律、法规另有规定的，从其规定) 。</w:t>
      </w:r>
    </w:p>
    <w:p w14:paraId="519918BE">
      <w:pPr>
        <w:spacing w:line="360" w:lineRule="auto"/>
        <w:rPr>
          <w:rFonts w:ascii="宋体" w:hAnsi="宋体" w:cs="宋体"/>
          <w:color w:val="auto"/>
          <w:szCs w:val="21"/>
          <w:highlight w:val="none"/>
        </w:rPr>
      </w:pPr>
      <w:r>
        <w:rPr>
          <w:rFonts w:hint="eastAsia" w:ascii="宋体" w:hAnsi="宋体" w:cs="宋体"/>
          <w:color w:val="auto"/>
          <w:szCs w:val="21"/>
          <w:highlight w:val="none"/>
        </w:rPr>
        <w:t>2.定义</w:t>
      </w:r>
    </w:p>
    <w:p w14:paraId="004636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45182D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2.2“采购代理机构”是指政府采购代理机构 (以下简称采购代理机构) 是指集中采购机构以外、受采购人委托从事政府采购代理业务的社会中介机构。</w:t>
      </w:r>
    </w:p>
    <w:p w14:paraId="33C86F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3297A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1D862E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7CAA77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1BCF7A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583B76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60A1EC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3753C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1ECFF3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 (包括电报、电传、传真、电子数据交换和电子邮件) 等可以有形地表现所载内容的形式。</w:t>
      </w:r>
    </w:p>
    <w:p w14:paraId="50EE76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2.12“首次报价”是指供应商提交的首次响应文件中的报价。                     </w:t>
      </w:r>
    </w:p>
    <w:p w14:paraId="668B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19A01BBE">
      <w:pPr>
        <w:spacing w:line="360" w:lineRule="auto"/>
        <w:rPr>
          <w:rFonts w:ascii="宋体" w:hAnsi="宋体" w:cs="宋体"/>
          <w:color w:val="auto"/>
          <w:szCs w:val="21"/>
          <w:highlight w:val="none"/>
        </w:rPr>
      </w:pPr>
      <w:r>
        <w:rPr>
          <w:rFonts w:hint="eastAsia" w:ascii="宋体" w:hAnsi="宋体" w:cs="宋体"/>
          <w:color w:val="auto"/>
          <w:szCs w:val="21"/>
          <w:highlight w:val="none"/>
        </w:rPr>
        <w:t>3.供应商的资格条件</w:t>
      </w:r>
    </w:p>
    <w:p w14:paraId="13A515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211B427">
      <w:pPr>
        <w:spacing w:line="360" w:lineRule="auto"/>
        <w:rPr>
          <w:rFonts w:ascii="宋体" w:hAnsi="宋体" w:cs="宋体"/>
          <w:color w:val="auto"/>
          <w:szCs w:val="21"/>
          <w:highlight w:val="none"/>
        </w:rPr>
      </w:pPr>
      <w:r>
        <w:rPr>
          <w:rFonts w:hint="eastAsia" w:ascii="宋体" w:hAnsi="宋体" w:cs="宋体"/>
          <w:color w:val="auto"/>
          <w:szCs w:val="21"/>
          <w:highlight w:val="none"/>
        </w:rPr>
        <w:t>4.竞标费用</w:t>
      </w:r>
    </w:p>
    <w:p w14:paraId="0A22C9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供应商应承担参与本次采购活动有关的所有费用，包括但不限于获取磋商文件、勘查现场、编制和提交响应文件、参加磋商与应答、签订合同等，不论磋商结果如何，均应自行承担。  </w:t>
      </w:r>
    </w:p>
    <w:p w14:paraId="4EDF7A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5.联合体竞标</w:t>
      </w:r>
    </w:p>
    <w:p w14:paraId="08669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本项目不接受联合体竞标。</w:t>
      </w:r>
    </w:p>
    <w:p w14:paraId="06C68B14">
      <w:pPr>
        <w:spacing w:line="360" w:lineRule="auto"/>
        <w:rPr>
          <w:rFonts w:ascii="宋体" w:hAnsi="宋体" w:cs="宋体"/>
          <w:color w:val="auto"/>
          <w:szCs w:val="21"/>
          <w:highlight w:val="none"/>
        </w:rPr>
      </w:pPr>
      <w:r>
        <w:rPr>
          <w:rFonts w:hint="eastAsia" w:ascii="宋体" w:hAnsi="宋体" w:cs="宋体"/>
          <w:color w:val="auto"/>
          <w:szCs w:val="21"/>
          <w:highlight w:val="none"/>
        </w:rPr>
        <w:t>6.转包与分包</w:t>
      </w:r>
    </w:p>
    <w:p w14:paraId="4FD41E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 本项目不允许转包。</w:t>
      </w:r>
    </w:p>
    <w:p w14:paraId="18F86978">
      <w:pPr>
        <w:spacing w:line="360" w:lineRule="auto"/>
        <w:rPr>
          <w:rFonts w:ascii="宋体" w:hAnsi="宋体" w:cs="宋体"/>
          <w:color w:val="auto"/>
          <w:szCs w:val="21"/>
          <w:highlight w:val="none"/>
        </w:rPr>
      </w:pPr>
      <w:r>
        <w:rPr>
          <w:rFonts w:hint="eastAsia" w:ascii="宋体" w:hAnsi="宋体" w:cs="宋体"/>
          <w:color w:val="auto"/>
          <w:szCs w:val="21"/>
          <w:highlight w:val="none"/>
        </w:rPr>
        <w:t>7.特别说明</w:t>
      </w:r>
    </w:p>
    <w:p w14:paraId="0DDBC4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 如果本磋商文件要求供应商提供资格、信誉、荣誉、业绩与企业认证等材料的，则供应商所提供的以上材料必须为供应商所拥有。</w:t>
      </w:r>
    </w:p>
    <w:p w14:paraId="0B7DCC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 供应商应仔细阅读竞争性磋商文件的所有内容，按照竞争性磋商文件的要求提交响应文件，并对所提供的全部资料的真实性承担法律责任。</w:t>
      </w:r>
    </w:p>
    <w:p w14:paraId="4499EE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 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07CAA8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 在政府采购活动中，采购人员及相关人员与供应商有下列利害关系之一的，应当回避：</w:t>
      </w:r>
    </w:p>
    <w:p w14:paraId="12BF59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参加采购活动前 3 年内与供应商存在劳动关系；</w:t>
      </w:r>
    </w:p>
    <w:p w14:paraId="356010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参加采购活动前 3 年内担任供应商的董事、监事；</w:t>
      </w:r>
    </w:p>
    <w:p w14:paraId="5611CF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参加采购活动前 3 年内是供应商的控股股东或者实际控制人；</w:t>
      </w:r>
    </w:p>
    <w:p w14:paraId="29FEE9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与供应商的法定代表人或负责人有夫妻、直系血亲、三代以内旁系血亲或者近姻亲关系；</w:t>
      </w:r>
    </w:p>
    <w:p w14:paraId="127623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与供应商有其他可能影响政府采购活动公平、公正进行的关系。</w:t>
      </w:r>
    </w:p>
    <w:p w14:paraId="1A584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 机构书面提出回避申请，并说明理由。采购人或者采购代理机构应当及时询问被申请回避人员，有利害关系的被申请回避人员应当回避。</w:t>
      </w:r>
    </w:p>
    <w:p w14:paraId="11C928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有下列情形之一的视为供应商相互串通竞标，响应文件将被视为无效：</w:t>
      </w:r>
    </w:p>
    <w:p w14:paraId="0C1176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不同供应商的响应文件由同一单位或者个人编制；或者不同供应商报名的 IP地址一致的；</w:t>
      </w:r>
    </w:p>
    <w:p w14:paraId="59E37A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不同供应商委托同一单位或者个人办理磋商事宜；</w:t>
      </w:r>
    </w:p>
    <w:p w14:paraId="224CD0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不同的供应商的响应文件载明的项目管理员为同一个人；</w:t>
      </w:r>
    </w:p>
    <w:p w14:paraId="5E118C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不同供应商的响应文件异常一致或者报价呈规律性差异；</w:t>
      </w:r>
    </w:p>
    <w:p w14:paraId="1AF199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不同供应商的响应文件相互混装；</w:t>
      </w:r>
    </w:p>
    <w:p w14:paraId="2C69E7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不同供应商的磋商保证金从同一单位或者个人账户转出。</w:t>
      </w:r>
    </w:p>
    <w:p w14:paraId="6D43F8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 供应商有下列情形之一的，属于恶意串通行为：</w:t>
      </w:r>
    </w:p>
    <w:p w14:paraId="01DC55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供应商直接或者间接从采购人或者采购代理机构处获得其他供应商的相关信息并修改其响应文件；</w:t>
      </w:r>
    </w:p>
    <w:p w14:paraId="4DD651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供应商按照采购人或者采购代理机构的授意撤换、修改响应文件；</w:t>
      </w:r>
    </w:p>
    <w:p w14:paraId="69515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供应商之间协商报价、技术方案等响应文件或者响应文件的实质性内容；</w:t>
      </w:r>
    </w:p>
    <w:p w14:paraId="7D15BF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属于同一集团、协会、商会等组织成员的供应商按照该组织要求协同参加政府采购活动；</w:t>
      </w:r>
    </w:p>
    <w:p w14:paraId="573FC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供应商之间事先约定一致抬高或者压低报价，或者在政府采购活动中事先约定轮流以高价位或者低价位成交，或者事先约定由某一特定供应商成交，然后再参加竞标；</w:t>
      </w:r>
    </w:p>
    <w:p w14:paraId="68821B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供应商之间商定部分供应商放弃参加政府采购活动或者放弃成交；</w:t>
      </w:r>
    </w:p>
    <w:p w14:paraId="2C1F1F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 供应商与采购人或者采购代理机构之间、供应商相互之间，为谋求特定供应商成交或者排斥其他供应商的其他串通行为。</w:t>
      </w:r>
    </w:p>
    <w:p w14:paraId="3013B1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 关联供应商不得参加同一合同项下政府采购活动，否则响应文件将被视为无效：</w:t>
      </w:r>
    </w:p>
    <w:p w14:paraId="1747D4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单位负责人为同一人或者存在直接控股、管理关系的不同的供应商，不得参加同一合同项下的政府采购活动。</w:t>
      </w:r>
    </w:p>
    <w:p w14:paraId="11E94A5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二、响应文件的编制</w:t>
      </w:r>
    </w:p>
    <w:p w14:paraId="7EE6A69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8.响应文件的编制原则</w:t>
      </w:r>
    </w:p>
    <w:p w14:paraId="3D445A3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288CCD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 响应文件编制基本要求</w:t>
      </w:r>
    </w:p>
    <w:p w14:paraId="527BA4CD">
      <w:pPr>
        <w:spacing w:line="360" w:lineRule="auto"/>
        <w:ind w:firstLine="420" w:firstLineChars="200"/>
        <w:jc w:val="distribute"/>
        <w:rPr>
          <w:rFonts w:ascii="宋体" w:hAnsi="宋体" w:cs="宋体"/>
          <w:bCs/>
          <w:color w:val="auto"/>
          <w:szCs w:val="21"/>
          <w:highlight w:val="none"/>
        </w:rPr>
      </w:pPr>
      <w:r>
        <w:rPr>
          <w:rFonts w:hint="eastAsia" w:ascii="宋体" w:hAnsi="宋体" w:cs="宋体"/>
          <w:bCs/>
          <w:color w:val="auto"/>
          <w:szCs w:val="21"/>
          <w:highlight w:val="none"/>
        </w:rPr>
        <w:t>9.1 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163ADF4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9.2 供应商提交的竞争性磋商响应文件以及供应商与广西锐达工程咨询有限公司和采购人就有关磋商的所有来往函电均应使用中文。供应商提交的支持文件和印刷的文献可以使用别的语言，但其相应内容必须附有中文翻译文本，在解释竞争性磋商响应文件时以翻译文本为准。</w:t>
      </w:r>
    </w:p>
    <w:p w14:paraId="3776F25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9.3 供应商应认真阅读、并充分理解本文件的全部内容 (包括所有的补充、修改内容)，承诺并履行本文件中各项条款规定及要求。</w:t>
      </w:r>
    </w:p>
    <w:p w14:paraId="0564409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9.4 竞争性磋商响应文件必须按本文件的全部内容，包括所有的补充通知及附件进行编制。</w:t>
      </w:r>
    </w:p>
    <w:p w14:paraId="268B869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9.5 如因供应商只填写和提供了本文件要求的部分内容和附件，而给评审造成困难，其可能导致的结果和责任由供应商自行承担。</w:t>
      </w:r>
    </w:p>
    <w:p w14:paraId="06A449F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9.6 响应文件的组成：响应文件应分为资格证明文件、商务技术文件、竞标报价文件三个部分组成。</w:t>
      </w:r>
    </w:p>
    <w:p w14:paraId="2C3358B9">
      <w:pPr>
        <w:spacing w:line="360" w:lineRule="auto"/>
        <w:rPr>
          <w:rFonts w:ascii="宋体" w:hAnsi="宋体" w:cs="宋体"/>
          <w:b/>
          <w:color w:val="auto"/>
          <w:szCs w:val="21"/>
          <w:highlight w:val="none"/>
        </w:rPr>
      </w:pPr>
      <w:r>
        <w:rPr>
          <w:rFonts w:hint="eastAsia" w:ascii="宋体" w:hAnsi="宋体" w:cs="宋体"/>
          <w:b/>
          <w:color w:val="auto"/>
          <w:szCs w:val="21"/>
          <w:highlight w:val="none"/>
        </w:rPr>
        <w:t>1.资格证明文件</w:t>
      </w:r>
    </w:p>
    <w:p w14:paraId="7AC7E2A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(1)竞标声明书(格式见附件)；(</w:t>
      </w:r>
      <w:r>
        <w:rPr>
          <w:rFonts w:hint="eastAsia" w:ascii="宋体" w:hAnsi="宋体" w:cs="宋体"/>
          <w:b/>
          <w:color w:val="auto"/>
          <w:szCs w:val="21"/>
          <w:highlight w:val="none"/>
        </w:rPr>
        <w:t>必须提供</w:t>
      </w:r>
      <w:r>
        <w:rPr>
          <w:rFonts w:hint="eastAsia" w:ascii="宋体" w:hAnsi="宋体" w:cs="宋体"/>
          <w:bCs/>
          <w:color w:val="auto"/>
          <w:szCs w:val="21"/>
          <w:highlight w:val="none"/>
        </w:rPr>
        <w:t>，并加盖公章)</w:t>
      </w:r>
    </w:p>
    <w:p w14:paraId="0201E44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(2)法定代表人授权委托书和委托代理人正反面身份证复印件； (委托代理时</w:t>
      </w:r>
      <w:r>
        <w:rPr>
          <w:rFonts w:hint="eastAsia" w:ascii="宋体" w:hAnsi="宋体" w:cs="宋体"/>
          <w:b/>
          <w:color w:val="auto"/>
          <w:szCs w:val="21"/>
          <w:highlight w:val="none"/>
        </w:rPr>
        <w:t>必须提供</w:t>
      </w:r>
      <w:r>
        <w:rPr>
          <w:rFonts w:hint="eastAsia" w:ascii="宋体" w:hAnsi="宋体" w:cs="宋体"/>
          <w:bCs/>
          <w:color w:val="auto"/>
          <w:szCs w:val="21"/>
          <w:highlight w:val="none"/>
        </w:rPr>
        <w:t>，并加盖公章) (格式见附件)</w:t>
      </w:r>
    </w:p>
    <w:p w14:paraId="4B611B7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(3)法定代表人正反面身份证复印件；(</w:t>
      </w:r>
      <w:r>
        <w:rPr>
          <w:rFonts w:hint="eastAsia" w:ascii="宋体" w:hAnsi="宋体" w:cs="宋体"/>
          <w:b/>
          <w:color w:val="auto"/>
          <w:szCs w:val="21"/>
          <w:highlight w:val="none"/>
        </w:rPr>
        <w:t>必须提供</w:t>
      </w:r>
      <w:r>
        <w:rPr>
          <w:rFonts w:hint="eastAsia" w:ascii="宋体" w:hAnsi="宋体" w:cs="宋体"/>
          <w:bCs/>
          <w:color w:val="auto"/>
          <w:szCs w:val="21"/>
          <w:highlight w:val="none"/>
        </w:rPr>
        <w:t>，并加盖公章)</w:t>
      </w:r>
    </w:p>
    <w:p w14:paraId="1DD3954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(4)供应商有效的三证合一的营业执照或事业单位法人证书、资质证书、有效的安全生产许可证、项目经理执业资格证书等主体资格证明副本复印件；(</w:t>
      </w:r>
      <w:r>
        <w:rPr>
          <w:rFonts w:hint="eastAsia" w:ascii="宋体" w:hAnsi="宋体" w:cs="宋体"/>
          <w:b/>
          <w:color w:val="auto"/>
          <w:szCs w:val="21"/>
          <w:highlight w:val="none"/>
        </w:rPr>
        <w:t>必须提供</w:t>
      </w:r>
      <w:r>
        <w:rPr>
          <w:rFonts w:hint="eastAsia" w:ascii="宋体" w:hAnsi="宋体" w:cs="宋体"/>
          <w:bCs/>
          <w:color w:val="auto"/>
          <w:szCs w:val="21"/>
          <w:highlight w:val="none"/>
        </w:rPr>
        <w:t>，并加盖公章)</w:t>
      </w:r>
    </w:p>
    <w:p w14:paraId="73A9F57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(5)供应商提供《采购项目竞标资格承诺函》；(必须提供，并加盖公章)</w:t>
      </w:r>
    </w:p>
    <w:p w14:paraId="3286A30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(6)中小企业声明函 (参照《政府采购促进中小企业发展暂行办法》(财库﹝2020﹞46号)要求，提供中小企业声明函；(必须提供)</w:t>
      </w:r>
    </w:p>
    <w:p w14:paraId="2CCCC86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(7)供应商针对资格证明需要说明的其他证明文件和说明。(格式自拟)</w:t>
      </w:r>
    </w:p>
    <w:p w14:paraId="1ACFD821">
      <w:pPr>
        <w:spacing w:line="360" w:lineRule="auto"/>
        <w:rPr>
          <w:rFonts w:ascii="宋体" w:hAnsi="宋体" w:cs="宋体"/>
          <w:b/>
          <w:color w:val="auto"/>
          <w:szCs w:val="21"/>
          <w:highlight w:val="none"/>
        </w:rPr>
      </w:pPr>
      <w:r>
        <w:rPr>
          <w:rFonts w:hint="eastAsia" w:ascii="宋体" w:hAnsi="宋体" w:cs="宋体"/>
          <w:b/>
          <w:color w:val="auto"/>
          <w:szCs w:val="21"/>
          <w:highlight w:val="none"/>
        </w:rPr>
        <w:t>2.商务技术文件</w:t>
      </w:r>
    </w:p>
    <w:p w14:paraId="609DF193">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(1)施工组织设计；</w:t>
      </w:r>
      <w:r>
        <w:rPr>
          <w:rFonts w:hint="eastAsia" w:ascii="宋体" w:hAnsi="宋体" w:cs="宋体"/>
          <w:b/>
          <w:color w:val="auto"/>
          <w:szCs w:val="21"/>
          <w:highlight w:val="none"/>
        </w:rPr>
        <w:t>(必须提供)</w:t>
      </w:r>
    </w:p>
    <w:p w14:paraId="4FC8338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(2)项目管理机构配备情况表；</w:t>
      </w:r>
      <w:r>
        <w:rPr>
          <w:rFonts w:hint="eastAsia" w:ascii="宋体" w:hAnsi="宋体" w:cs="宋体"/>
          <w:b/>
          <w:color w:val="auto"/>
          <w:szCs w:val="21"/>
          <w:highlight w:val="none"/>
        </w:rPr>
        <w:t>(必须提供)</w:t>
      </w:r>
    </w:p>
    <w:p w14:paraId="5E39B92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(3)供应商针对商务技术需要说明的其他文件和说明；(格式自拟) </w:t>
      </w:r>
    </w:p>
    <w:p w14:paraId="3BE25B9D">
      <w:pPr>
        <w:spacing w:line="360" w:lineRule="auto"/>
        <w:rPr>
          <w:rFonts w:ascii="宋体" w:hAnsi="宋体" w:cs="宋体"/>
          <w:b/>
          <w:color w:val="auto"/>
          <w:szCs w:val="21"/>
          <w:highlight w:val="none"/>
        </w:rPr>
      </w:pPr>
      <w:r>
        <w:rPr>
          <w:rFonts w:hint="eastAsia" w:ascii="宋体" w:hAnsi="宋体" w:cs="宋体"/>
          <w:b/>
          <w:color w:val="auto"/>
          <w:szCs w:val="21"/>
          <w:highlight w:val="none"/>
        </w:rPr>
        <w:t>3.竞标报价文件</w:t>
      </w:r>
    </w:p>
    <w:p w14:paraId="2287D2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(1)磋商函</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0A5D9450">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(2)磋商函附录</w:t>
      </w:r>
      <w:r>
        <w:rPr>
          <w:rFonts w:hint="eastAsia" w:ascii="宋体" w:hAnsi="宋体" w:cs="宋体"/>
          <w:b/>
          <w:color w:val="auto"/>
          <w:szCs w:val="21"/>
          <w:highlight w:val="none"/>
        </w:rPr>
        <w:t>(必须提供)</w:t>
      </w:r>
    </w:p>
    <w:p w14:paraId="50A334A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(3)已标价工程量清单</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367AF29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(4)供应商针对商务及报价需要说明的其他文件和说明(格式自拟)</w:t>
      </w:r>
    </w:p>
    <w:p w14:paraId="1DE9998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特别说明：(1)电子磋商响应文件中所</w:t>
      </w:r>
      <w:r>
        <w:rPr>
          <w:rFonts w:hint="eastAsia" w:ascii="宋体" w:hAnsi="宋体" w:cs="宋体"/>
          <w:b/>
          <w:color w:val="auto"/>
          <w:szCs w:val="21"/>
          <w:highlight w:val="none"/>
        </w:rPr>
        <w:t>须加盖公章部分均采用CA签章</w:t>
      </w:r>
      <w:r>
        <w:rPr>
          <w:rFonts w:hint="eastAsia" w:ascii="宋体" w:hAnsi="宋体" w:cs="宋体"/>
          <w:bCs/>
          <w:color w:val="auto"/>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1E2DDE9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(2)竞争性磋商文件要求法定代表人(负责人)或委托代理人签字的部分必须签字然后扫描或者拍照做成pdf格式上传，无签字的视为磋商无效。</w:t>
      </w:r>
    </w:p>
    <w:p w14:paraId="4668093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(3)竞争性磋商采购文件要求提供的各种复印件，须加盖供应商CA签章，否则其磋商无效。</w:t>
      </w:r>
    </w:p>
    <w:p w14:paraId="5606645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(4)磋商报价表、磋商书、法定代表人(负责人)授权委托书必须按格式要求由法定代表人(负责人)或委托代理人签名并加盖单位公章，否则磋商响应无效。</w:t>
      </w:r>
    </w:p>
    <w:p w14:paraId="0A1FC1C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9.7 响应文件有效期：见供应商须知前附表。</w:t>
      </w:r>
    </w:p>
    <w:p w14:paraId="3335F0B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9.8 磋商保证金：见供应商须知前附表。</w:t>
      </w:r>
    </w:p>
    <w:p w14:paraId="5F51B25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 计量单位</w:t>
      </w:r>
    </w:p>
    <w:p w14:paraId="1BF89A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 磋商文件已有明确规定的，使用磋商文件规定的计量单位；磋商文件没有规定的，应采用国家法定计量单位，货币种类为人民币，否则视同未响应。</w:t>
      </w:r>
    </w:p>
    <w:p w14:paraId="457AA57D">
      <w:pPr>
        <w:spacing w:line="360" w:lineRule="auto"/>
        <w:rPr>
          <w:rFonts w:ascii="宋体" w:hAnsi="宋体" w:cs="宋体"/>
          <w:b/>
          <w:color w:val="auto"/>
          <w:szCs w:val="21"/>
          <w:highlight w:val="none"/>
        </w:rPr>
      </w:pPr>
      <w:r>
        <w:rPr>
          <w:rFonts w:hint="eastAsia" w:ascii="宋体" w:hAnsi="宋体" w:cs="宋体"/>
          <w:b/>
          <w:color w:val="auto"/>
          <w:szCs w:val="21"/>
          <w:highlight w:val="none"/>
        </w:rPr>
        <w:t>三、磋商报价及采购预算</w:t>
      </w:r>
    </w:p>
    <w:p w14:paraId="3FE419E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65204CE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05F24AD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3F6C033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17479673">
      <w:pPr>
        <w:spacing w:line="360" w:lineRule="auto"/>
        <w:rPr>
          <w:rFonts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DB07BD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 竞争性磋商响应文件的份数：电子响应文件一份。</w:t>
      </w:r>
    </w:p>
    <w:p w14:paraId="0390A19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 电子磋商响应文件中须加盖供应商公章位置均采用CA签章，并根据“政府采购项目电子交易管理操作指南-供应商”及本竞争性磋商采购文件规定的格式和顺序编制电子磋商响 应文件并进行关联定位，以便磋商小组在评审时，点击评分项可直接定位到该评分项内容。如 对竞争性磋商采购文件的某项要求，供应商的电子磋商响应文件未能关联定位提供相应的内容 与其对应，则磋商小组在评审时如做出对供应商不利的评审由供应商自行承担。电子磋商响应 文件如内容不完整、编排混乱导致磋商响应文件被误读、漏读，或者在按采购文件规定的部 位查找不到相关内容的，由供应商自行承担。</w:t>
      </w:r>
    </w:p>
    <w:p w14:paraId="7509028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12.2 CA 签章上目前没有法人 (负责人) 或授权代表签字信息，供应商在磋商响应文件中涉及到签字的位置线下签好字然后扫描或者拍照做成 PDF 的格式即可。</w:t>
      </w:r>
    </w:p>
    <w:p w14:paraId="5B50C6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 响应文件的递交</w:t>
      </w:r>
    </w:p>
    <w:p w14:paraId="3AB9B66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13.1 所有竞争性响应文件应于“第二章 磋商须知及前附表”中规定的截止时间前递交到规定地点。</w:t>
      </w:r>
    </w:p>
    <w:p w14:paraId="3939435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 者修改磋商响应文件的，应当先行撤回原文件，补充、修改后重新传输递交。递交截止时间前未完成传输的，视为撤回磋商响应文件。递交截止时间后递交的磋商响应文件，电子交易平台将拒收。</w:t>
      </w:r>
    </w:p>
    <w:p w14:paraId="3A2BBBC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13.2 迟交的响应文件</w:t>
      </w:r>
    </w:p>
    <w:p w14:paraId="23A1FDA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667E16BE">
      <w:pPr>
        <w:spacing w:line="360" w:lineRule="auto"/>
        <w:rPr>
          <w:rFonts w:ascii="宋体" w:hAnsi="宋体" w:cs="宋体"/>
          <w:b/>
          <w:color w:val="auto"/>
          <w:szCs w:val="21"/>
          <w:highlight w:val="none"/>
        </w:rPr>
      </w:pPr>
      <w:r>
        <w:rPr>
          <w:rFonts w:hint="eastAsia" w:ascii="宋体" w:hAnsi="宋体" w:cs="宋体"/>
          <w:b/>
          <w:color w:val="auto"/>
          <w:szCs w:val="21"/>
          <w:highlight w:val="none"/>
        </w:rPr>
        <w:t>五、竞争性磋商 (简称磋商) 与评审</w:t>
      </w:r>
    </w:p>
    <w:p w14:paraId="7E80978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078E22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 磋商小组由采购人代表和评审专家共 3 人以上单数组成，具体人数见“供应商须知前附表”，其中评审专家人数不得少于磋商小组成员总数的 2/3。采购人代表不得以评审专家身份参加本部门或本单位采购项目的评审。采购代理机构人员不得参加本机构代理的采购项目的评审。达到公开招标数额标准的货物或者服务采购项目，或者达到公开招标规模标准的政府 采购工程，经批准采用竞争性磋商方式采购的，磋商小组由 5 人以上单数组成。</w:t>
      </w:r>
    </w:p>
    <w:p w14:paraId="38090BB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 强的采购项目，评审专家中应当包含 1 名法律专家。</w:t>
      </w:r>
    </w:p>
    <w:p w14:paraId="1A56799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14.3 响应文件的开启：具体详见“供应商须知前附表”。</w:t>
      </w:r>
    </w:p>
    <w:p w14:paraId="79B0654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15.响应文件评审程序</w:t>
      </w:r>
    </w:p>
    <w:p w14:paraId="1A56161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15.1 资格审查</w:t>
      </w:r>
    </w:p>
    <w:p w14:paraId="721E487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15.1.1 响应文件开启后， 由磋商小组依法对供应商的资格证明文件进行审查。</w:t>
      </w:r>
    </w:p>
    <w:p w14:paraId="362ABF2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15.1.2 通过资格审查的合格供应商不足3 家的，不得进入符合性审查环节，采购人或采购代理机构应当重新开展采购活动。</w:t>
      </w:r>
    </w:p>
    <w:p w14:paraId="489B6CE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 符合性审查</w:t>
      </w:r>
    </w:p>
    <w:p w14:paraId="4CE3B34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15.2.1 由磋商小组通过资格审查的合格供应商的响应文件的竞标报价、商务、技术等实质性要求进行符合性审查，以确定其是否满足竞争性磋商文件的实质性要求。</w:t>
      </w:r>
    </w:p>
    <w:p w14:paraId="35B5279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57F56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15.2.3 磋商小组要求供应商澄清、说明或者更正响应文件应当要求供应商在合理时间内通过广西政府采购云平台(https://www.gcy.zfcg.gxzf.gov.cn/) 的方式形式作出。供应商的澄清、说明或者更正必须通过广西政府采购云平台以书面形式按照磋商小组的要求作出明确的澄清、说明或者更正，未按磋 商小组的要求作出明确澄清、说明或者更正的供应商的响应文件将按照有利于采购人的原则由 磋商小组进行判定。供应商的澄清、说明或者更正必须由法定代表人或者其委托代理人签字或 者加盖 CA 签章。 由委托代理人签字的，若委托代理人不是响应文件中授权的委托代理人时， 必须同时出示有效的法定代表人授权委托书原件。供应商为自然人的，必须由本人签字并附身份证明。</w:t>
      </w:r>
    </w:p>
    <w:p w14:paraId="399353D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15.2.4 首次响应文件中报价出现前后不一致的，按照下列规定修正：</w:t>
      </w:r>
    </w:p>
    <w:p w14:paraId="4C4D44F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响应文件中报价表内容与响应文件中相应内容不一致的，以报价表为准；</w:t>
      </w:r>
    </w:p>
    <w:p w14:paraId="3672277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 大写金额和小写金额不一致的，以大写金额为准；</w:t>
      </w:r>
    </w:p>
    <w:p w14:paraId="67A92B8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 单价金额小数点或者百分比有明显错位的，以报价表的总价为准，并修改单价；</w:t>
      </w:r>
    </w:p>
    <w:p w14:paraId="2B3FCF5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 总价金额与按单价汇总金额不一致的，以单价金额计算结果为准。</w:t>
      </w:r>
    </w:p>
    <w:p w14:paraId="24B09E9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同时出现两种以上不一致的，按照以上 (1) - (4) 规定的顺序逐条进行修正。修正后的报价经供应商确认后产生约束力，供应商不确认的，其响应文件按无效响应处理。</w:t>
      </w:r>
    </w:p>
    <w:p w14:paraId="071BB6F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15.2.5 磋商小组成员应当按照客观、公正、审慎的原则，根据第四章“评审程序、评审方法和评审标准”进行独立评审。磋商小组对响应文件进行评审，未实质性响应竞争性磋商文件的响应文件按无效响应处理， 由磋商小组告知提交响应文件的供应商。</w:t>
      </w:r>
    </w:p>
    <w:p w14:paraId="64B919A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15.2.6 通过符合性审查的合格供应商不足 3 家的，不得进入磋商环节，采购人或采购代理机构应当重新开展采购活动。</w:t>
      </w:r>
    </w:p>
    <w:p w14:paraId="4F6EB3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16.磋商</w:t>
      </w:r>
    </w:p>
    <w:p w14:paraId="61A74B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 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 开标信息，在接到磋商通知后规定时间内参加磋商，未在规定时间内参加磋商的视同放弃参加磋商权利，其响应文件按无效响应处理给。</w:t>
      </w:r>
    </w:p>
    <w:p w14:paraId="5977C99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16.2 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89835B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 对竞争性磋商文件作出的实质性变动是竞争性磋商文件的有效组成部分，由磋商小组及时以书面形式同时通知所有参加磋商的供应商。</w:t>
      </w:r>
    </w:p>
    <w:p w14:paraId="6AB263A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 供应商必须按照磋商文件的变动情况和磋商小组的要求重新提交响应文件，并由其法定代表人或者授权代表签字或者加盖 CA 签章在广西政府采购云平台(https://www.gcy.zfcg.gxzf.gov.cn/) 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2EC2B75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16.5 磋商中，磋商的任何一方不得透露与磋商有关的其他供应商的技术资料、价格和其他信息。</w:t>
      </w:r>
    </w:p>
    <w:p w14:paraId="6A350E7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 采购代理机构对磋商过程和重要磋商内容进行记录，磋商双方应在记录上签字确认。</w:t>
      </w:r>
    </w:p>
    <w:p w14:paraId="222195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16.7 磋商过程中重新提交的响应文件，供应商可以在开启前补充、修改。</w:t>
      </w:r>
    </w:p>
    <w:p w14:paraId="681F83C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16.8 根据《财政部关于政府采购竞争性磋商采购方式管理暂行办法有关问题的补充通知》 (财库〔2015〕124 号) 的规定，采用竞争性磋商采购方式采购的政府购买服务项目(含政府和社会资本合作项目) ，在采购过程中符合要求的供应商 (社会资本) 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1019EA8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16.9 对磋商过程提交的响应文件进行有效性、完整性和响应程度审查，通过审查的合格供应商不足 3 家的，除本须知正文第 16.8 条的情形外，采购人或采购代理机构应当重新开展采购活动。</w:t>
      </w:r>
    </w:p>
    <w:p w14:paraId="319BB10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16.10 本项目所有响应文件的首次报价及所有磋商报价均不公布。最后磋商结束后，磋商小组不得再与供应商进行任何形式的商谈。</w:t>
      </w:r>
    </w:p>
    <w:p w14:paraId="746909B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17.最后报价</w:t>
      </w:r>
    </w:p>
    <w:p w14:paraId="29C3089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17.1 磋商文件能够详细列明采购标的的技术、服务要求的，磋商结束后，由磋商小组要求所有继续参加磋商的供应商在规定时间内在广西政府采购云平台(https://www.gcy.zfcg.gxzf.gov.cn/) 提交最后报价，提交最后报价的供应商不得少于 3 家，除本章第 4.3 条外，否则必须重新采购。</w:t>
      </w:r>
    </w:p>
    <w:p w14:paraId="022F893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 磋商文件不能详细列明采购标的的技术、服务要求，需经磋商由供应商提供最后设计方案或者解决方案的，磋商结束后，由磋商小组按照少数服从多数的原则投票推荐 3 家以上供应商的设计方案 或者解决方案，并要求其在规定时间内在广西政府采购云平台(https://www.gcy.zfcg.gxzf.gov.cn/) 提交最后报价。</w:t>
      </w:r>
    </w:p>
    <w:p w14:paraId="3EF26FB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57A935B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 和采购人部分 (暂列金、材料购置费) (如有)等完成本工程并经验收合格至达到质量保修期限所需的费用、合理利润及风险。如磋商文件或磋商程中明确供应商应提供技术服务及其它服务的 (如检测费、验收发生的费 用)，相应费用也应包括在最后报价中。最后报价不允许采用汇总后优惠、打折的形式，否则其报价无效并作无效响应处理。供应商在报价时可只报总价，但必须将包含已标价工程量清单 的最后报价在规定时间内在广西政府采购云平台(https://www.gcy.zfcg.gxzf.gov.cn/)提交，逾期则最后报价无效，以首次报价为准。</w:t>
      </w:r>
    </w:p>
    <w:p w14:paraId="2E6CD25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 2 家。</w:t>
      </w:r>
    </w:p>
    <w:p w14:paraId="523A617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17.4 已经提交响应文件的供应商，在提交最后报价之前，可以根据磋商情况退出磋商，退出磋商的供应商的响应文件按无效响应处理。采购人、采购代理机构将退还退出磋商的供应商的保证金。</w:t>
      </w:r>
    </w:p>
    <w:p w14:paraId="1572A0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17.5 供应商未在规定时间内提交最后报价的，视同退出磋商。</w:t>
      </w:r>
    </w:p>
    <w:p w14:paraId="1362F09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17.6 磋商小组收齐某一分标最后报价后统一开启，磋商小组对最后报价进行有效性、完整性和响应程度的审查。</w:t>
      </w:r>
    </w:p>
    <w:p w14:paraId="237726E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17.7 响应文件最后报价出现前后不一致的，按照本正文第 25.2.4 条的规定修正。</w:t>
      </w:r>
    </w:p>
    <w:p w14:paraId="08B1E9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17.8 修正后的报价出现下列情形的，按无效响应处理：</w:t>
      </w:r>
    </w:p>
    <w:p w14:paraId="18447EC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供应商不确认的；</w:t>
      </w:r>
    </w:p>
    <w:p w14:paraId="5A9C339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 经供应商确认修正后的竞标报价(包含首次报价、最后报价)超过所竞标规定的采购预算金额或者最高限价的(如本项目公布了最高限价) ；</w:t>
      </w:r>
    </w:p>
    <w:p w14:paraId="5777DF5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 经供应商确认修正后的竞标报价(包含首次报价、最后报价)超过分项采购预算金额或者最高限价的(如本项目公布了最高限价) 。</w:t>
      </w:r>
    </w:p>
    <w:p w14:paraId="2321B1E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17.9 经供应商确认修正后的最后报价作为评审及签订合同的依据。</w:t>
      </w:r>
    </w:p>
    <w:p w14:paraId="5A0CACC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17.10 最后报价结束后，磋商小组不得再与供应商进行任何形式的商谈。 </w:t>
      </w:r>
    </w:p>
    <w:p w14:paraId="18EDA28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18.比较与评价</w:t>
      </w:r>
    </w:p>
    <w:p w14:paraId="263A3F6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 评审方法：综合评分法。</w:t>
      </w:r>
    </w:p>
    <w:p w14:paraId="380529A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经磋商确定最终采购需求和提交最后报价的供应商后，由磋商小组采用综合评分法对提交最后报价的供应商的响应文件和最后报价进行综合评分。详见第四章“评审程序、评审方法和评审标准”。</w:t>
      </w:r>
    </w:p>
    <w:p w14:paraId="5FBAB08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18.3 评审时，磋商小组各成员应当独立对每个有效的响应文件进行评价、打分，然后汇总每个供应商每项评分因素的得分。</w:t>
      </w:r>
    </w:p>
    <w:p w14:paraId="63A2F61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磋商小组按照竞争性磋商文件中规定的评审标准计算各供应商的报价得分。项目评审过程中，不得去掉最后报价中的最高报价和最低报价。</w:t>
      </w:r>
    </w:p>
    <w:p w14:paraId="4B11890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 各供应商的得分为磋商小组所有成员的有效评分的算术平均数。</w:t>
      </w:r>
    </w:p>
    <w:p w14:paraId="7CC8391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18.4 评审价为供应商的最后报价进行政策性扣除后的价格，评审价只是作为评审时使用。最终成交供应商的成交金额等于最后报价 (如有修正，以确认修正后的最后报价为准) 。</w:t>
      </w:r>
    </w:p>
    <w:p w14:paraId="605CEA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18.5 由磋商小组根据综合评分情况，按照评审得分由高到低顺序推荐 3 名以上成交候选供应商，并编写评审报告。符合本须知正文第 17.3 条情形的，可以推荐 2 家成交候选供应商。评审得分相同的，按照最后报价由低到高的顺序推荐。评审得分且最后报价相同的，按照技术 指标优劣顺序推荐。</w:t>
      </w:r>
    </w:p>
    <w:p w14:paraId="1C55DA7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5BE5CF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特别说明：政采云公司如对电子化磋商及评审程序有调整的，按调整后的程序操作。</w:t>
      </w:r>
    </w:p>
    <w:p w14:paraId="743F389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 采购过程中出现以下情形，导致电子交易平台无法正常运行，或者无法保证电子交易的公平、公正和安全时，采购组织机构可中止电子交易活动：</w:t>
      </w:r>
    </w:p>
    <w:p w14:paraId="1B619ED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18.6.1 电子交易平台发生故障而无法登录访问的；</w:t>
      </w:r>
    </w:p>
    <w:p w14:paraId="7A56593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18.6.2 电子交易平台应用或数据库出现错误，不能进行正常操作的；</w:t>
      </w:r>
    </w:p>
    <w:p w14:paraId="5E3CFC8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18.6.3 电子交易平台发现严重安全漏洞，有潜在泄密危险的；</w:t>
      </w:r>
    </w:p>
    <w:p w14:paraId="5BB1866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18.6.4 病毒发作导致不能进行正常操作的；</w:t>
      </w:r>
    </w:p>
    <w:p w14:paraId="056C900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18.6.5 其他无法保证电子交易的公平、公正和安全的情况。</w:t>
      </w:r>
    </w:p>
    <w:p w14:paraId="46682B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18.6.6 出现前款规定情形，不影响采购公平、公正性的，采购组织机构可以待上述情形消除后继续组织电子交易活动，也可以决定某些环节以纸质形式进行；影响或可能影响采购公平、公正性的，应当重新采购。</w:t>
      </w:r>
    </w:p>
    <w:p w14:paraId="253A5E03">
      <w:pPr>
        <w:spacing w:line="360" w:lineRule="auto"/>
        <w:rPr>
          <w:rFonts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6610D3D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 采购代理机构应当在评审结束后 2 个工作日内将评审报告送采购人确认。采购人应当在收到评审报告后 2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0213E0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 采购代理机构应当在成交供应商确定后 2 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F5C4F1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79AC78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19.4 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CFF7844">
      <w:pPr>
        <w:spacing w:line="360" w:lineRule="auto"/>
        <w:rPr>
          <w:rFonts w:ascii="宋体" w:hAnsi="宋体" w:cs="宋体"/>
          <w:b/>
          <w:color w:val="auto"/>
          <w:szCs w:val="21"/>
          <w:highlight w:val="none"/>
        </w:rPr>
      </w:pPr>
      <w:r>
        <w:rPr>
          <w:rFonts w:hint="eastAsia" w:ascii="宋体" w:hAnsi="宋体" w:cs="宋体"/>
          <w:b/>
          <w:color w:val="auto"/>
          <w:szCs w:val="21"/>
          <w:highlight w:val="none"/>
        </w:rPr>
        <w:t>七、履约保证金</w:t>
      </w:r>
    </w:p>
    <w:p w14:paraId="5D8BDB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20.履约保证金：无。</w:t>
      </w:r>
    </w:p>
    <w:p w14:paraId="6AE198DF">
      <w:pPr>
        <w:spacing w:line="360" w:lineRule="auto"/>
        <w:rPr>
          <w:rFonts w:ascii="宋体" w:hAnsi="宋体" w:cs="宋体"/>
          <w:b/>
          <w:color w:val="auto"/>
          <w:szCs w:val="21"/>
          <w:highlight w:val="none"/>
        </w:rPr>
      </w:pPr>
      <w:r>
        <w:rPr>
          <w:rFonts w:hint="eastAsia" w:ascii="宋体" w:hAnsi="宋体" w:cs="宋体"/>
          <w:b/>
          <w:color w:val="auto"/>
          <w:szCs w:val="21"/>
          <w:highlight w:val="none"/>
        </w:rPr>
        <w:t>八、签订合同</w:t>
      </w:r>
    </w:p>
    <w:p w14:paraId="47419DD4">
      <w:pPr>
        <w:spacing w:line="360" w:lineRule="auto"/>
        <w:ind w:firstLine="420" w:firstLineChars="200"/>
        <w:rPr>
          <w:color w:val="auto"/>
          <w:highlight w:val="none"/>
        </w:rPr>
      </w:pPr>
      <w:r>
        <w:rPr>
          <w:rFonts w:hint="eastAsia" w:ascii="宋体" w:hAnsi="宋体" w:cs="宋体"/>
          <w:bCs/>
          <w:color w:val="auto"/>
          <w:szCs w:val="21"/>
          <w:highlight w:val="none"/>
        </w:rPr>
        <w:t>21.1 成交供应商在收到成交通知书后，按规定与采购人签订采购合同。采购代理机构将在评标结束 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04DA05C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21.2 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4BA177E4">
      <w:pPr>
        <w:spacing w:line="360" w:lineRule="auto"/>
        <w:rPr>
          <w:rFonts w:ascii="宋体" w:hAnsi="宋体" w:cs="宋体"/>
          <w:b/>
          <w:color w:val="auto"/>
          <w:szCs w:val="21"/>
          <w:highlight w:val="none"/>
        </w:rPr>
      </w:pPr>
      <w:r>
        <w:rPr>
          <w:rFonts w:hint="eastAsia" w:ascii="宋体" w:hAnsi="宋体" w:cs="宋体"/>
          <w:b/>
          <w:color w:val="auto"/>
          <w:szCs w:val="21"/>
          <w:highlight w:val="none"/>
        </w:rPr>
        <w:t>九、政府采购合同公告</w:t>
      </w:r>
    </w:p>
    <w:p w14:paraId="7845985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81AC8E4">
      <w:pPr>
        <w:spacing w:line="360" w:lineRule="auto"/>
        <w:rPr>
          <w:rFonts w:ascii="宋体" w:hAnsi="宋体" w:cs="宋体"/>
          <w:b/>
          <w:color w:val="auto"/>
          <w:szCs w:val="21"/>
          <w:highlight w:val="none"/>
        </w:rPr>
      </w:pPr>
      <w:r>
        <w:rPr>
          <w:rFonts w:hint="eastAsia" w:ascii="宋体" w:hAnsi="宋体" w:cs="宋体"/>
          <w:b/>
          <w:color w:val="auto"/>
          <w:szCs w:val="21"/>
          <w:highlight w:val="none"/>
        </w:rPr>
        <w:t>十、适用法律</w:t>
      </w:r>
    </w:p>
    <w:p w14:paraId="1A5E221A">
      <w:pPr>
        <w:spacing w:line="360" w:lineRule="auto"/>
        <w:ind w:firstLine="420" w:firstLineChars="200"/>
        <w:jc w:val="distribute"/>
        <w:rPr>
          <w:rFonts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4FE7D604">
      <w:pPr>
        <w:spacing w:line="360" w:lineRule="auto"/>
        <w:rPr>
          <w:rFonts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AE3E822">
      <w:pPr>
        <w:spacing w:line="360" w:lineRule="auto"/>
        <w:rPr>
          <w:rFonts w:ascii="宋体" w:hAnsi="宋体" w:cs="宋体"/>
          <w:b/>
          <w:color w:val="auto"/>
          <w:szCs w:val="21"/>
          <w:highlight w:val="none"/>
        </w:rPr>
      </w:pPr>
      <w:r>
        <w:rPr>
          <w:rFonts w:hint="eastAsia" w:ascii="宋体" w:hAnsi="宋体" w:cs="宋体"/>
          <w:b/>
          <w:color w:val="auto"/>
          <w:szCs w:val="21"/>
          <w:highlight w:val="none"/>
        </w:rPr>
        <w:t>十一、其他事项</w:t>
      </w:r>
    </w:p>
    <w:p w14:paraId="720F66E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24.1 招标代理服务费</w:t>
      </w:r>
    </w:p>
    <w:p w14:paraId="5B12E688">
      <w:pPr>
        <w:pStyle w:val="12"/>
        <w:snapToGrid w:val="0"/>
        <w:spacing w:line="400" w:lineRule="exact"/>
        <w:ind w:firstLine="420" w:firstLineChars="200"/>
        <w:rPr>
          <w:rFonts w:hAnsi="宋体" w:cs="宋体"/>
          <w:bCs/>
          <w:color w:val="auto"/>
          <w:highlight w:val="none"/>
        </w:rPr>
      </w:pPr>
      <w:r>
        <w:rPr>
          <w:rFonts w:hint="eastAsia" w:hAnsi="宋体" w:cs="宋体"/>
          <w:bCs/>
          <w:color w:val="auto"/>
          <w:highlight w:val="none"/>
        </w:rPr>
        <w:t>本项目的招标代理服务费按</w:t>
      </w:r>
      <w:r>
        <w:rPr>
          <w:rFonts w:hint="eastAsia" w:hAnsi="宋体" w:cs="宋体"/>
          <w:color w:val="auto"/>
          <w:highlight w:val="none"/>
        </w:rPr>
        <w:t>成交金额为计费额，按收费计算标准（工程类）采用差额定率累进法计算出收费基准价格，采购代理收费以收费基准价格计取，</w:t>
      </w:r>
      <w:r>
        <w:rPr>
          <w:rFonts w:hint="eastAsia" w:hAnsi="宋体" w:cs="宋体"/>
          <w:bCs/>
          <w:color w:val="auto"/>
          <w:highlight w:val="none"/>
        </w:rPr>
        <w:t>由成交人领取成交通知书前，向代理机构一次性付清。</w:t>
      </w:r>
    </w:p>
    <w:p w14:paraId="283CC52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代理服务费专用账户：</w:t>
      </w:r>
    </w:p>
    <w:p w14:paraId="2E644EB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开户名称：广西锐达工程咨询有限公司钦州分公司</w:t>
      </w:r>
    </w:p>
    <w:p w14:paraId="54E44B8F">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开户银行：广西北部湾银行股份有限公司钦州市钦北大道支行  </w:t>
      </w:r>
    </w:p>
    <w:p w14:paraId="23AF520F">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账    号： 805453944400001</w:t>
      </w:r>
    </w:p>
    <w:p w14:paraId="3EC36787">
      <w:pPr>
        <w:spacing w:line="400" w:lineRule="exact"/>
        <w:ind w:firstLine="420" w:firstLineChars="200"/>
        <w:rPr>
          <w:rFonts w:ascii="宋体" w:hAnsi="宋体" w:cs="宋体"/>
          <w:bCs/>
          <w:color w:val="auto"/>
          <w:szCs w:val="21"/>
          <w:highlight w:val="none"/>
        </w:rPr>
      </w:pPr>
    </w:p>
    <w:tbl>
      <w:tblPr>
        <w:tblStyle w:val="47"/>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43FA3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17C2C73C">
            <w:pPr>
              <w:spacing w:line="400" w:lineRule="exact"/>
              <w:ind w:left="1702" w:firstLine="1040" w:firstLineChars="500"/>
              <w:jc w:val="left"/>
              <w:rPr>
                <w:rFonts w:ascii="宋体" w:hAnsi="宋体" w:cs="宋体"/>
                <w:color w:val="auto"/>
                <w:szCs w:val="21"/>
                <w:highlight w:val="none"/>
              </w:rPr>
            </w:pPr>
            <w:r>
              <w:rPr>
                <w:rFonts w:ascii="宋体" w:hAnsi="宋体" w:cs="宋体"/>
                <w:color w:val="auto"/>
                <w:spacing w:val="-1"/>
                <w:szCs w:val="21"/>
                <w:highlight w:val="none"/>
              </w:rPr>
              <w:t>费率</w:t>
            </w:r>
          </w:p>
          <w:p w14:paraId="191295DD">
            <w:pPr>
              <w:spacing w:line="400" w:lineRule="exact"/>
              <w:ind w:left="118"/>
              <w:jc w:val="left"/>
              <w:rPr>
                <w:rFonts w:ascii="宋体" w:hAnsi="宋体" w:cs="宋体"/>
                <w:color w:val="auto"/>
                <w:szCs w:val="21"/>
                <w:highlight w:val="none"/>
              </w:rPr>
            </w:pPr>
            <w:r>
              <w:rPr>
                <w:rFonts w:hint="eastAsia" w:ascii="宋体" w:hAnsi="宋体" w:cs="宋体"/>
                <w:color w:val="auto"/>
                <w:spacing w:val="4"/>
                <w:szCs w:val="21"/>
                <w:highlight w:val="none"/>
              </w:rPr>
              <w:t>费用（万元）</w:t>
            </w:r>
          </w:p>
        </w:tc>
        <w:tc>
          <w:tcPr>
            <w:tcW w:w="1579" w:type="dxa"/>
            <w:vAlign w:val="center"/>
          </w:tcPr>
          <w:p w14:paraId="55AF6781">
            <w:pPr>
              <w:spacing w:line="400" w:lineRule="exact"/>
              <w:jc w:val="center"/>
              <w:rPr>
                <w:rFonts w:ascii="宋体" w:hAnsi="宋体" w:cs="宋体"/>
                <w:color w:val="auto"/>
                <w:szCs w:val="21"/>
                <w:highlight w:val="none"/>
              </w:rPr>
            </w:pPr>
            <w:r>
              <w:rPr>
                <w:rFonts w:hint="eastAsia" w:ascii="宋体" w:hAnsi="宋体" w:cs="宋体"/>
                <w:color w:val="auto"/>
                <w:spacing w:val="5"/>
                <w:szCs w:val="21"/>
                <w:highlight w:val="none"/>
              </w:rPr>
              <w:t>工程招标</w:t>
            </w:r>
          </w:p>
        </w:tc>
        <w:tc>
          <w:tcPr>
            <w:tcW w:w="1579" w:type="dxa"/>
            <w:vAlign w:val="center"/>
          </w:tcPr>
          <w:p w14:paraId="1D1B5618">
            <w:pPr>
              <w:spacing w:line="400" w:lineRule="exact"/>
              <w:jc w:val="center"/>
              <w:rPr>
                <w:rFonts w:ascii="宋体" w:hAnsi="宋体" w:cs="宋体"/>
                <w:color w:val="auto"/>
                <w:szCs w:val="21"/>
                <w:highlight w:val="none"/>
              </w:rPr>
            </w:pPr>
            <w:r>
              <w:rPr>
                <w:rFonts w:hint="eastAsia" w:ascii="宋体" w:hAnsi="宋体" w:cs="宋体"/>
                <w:color w:val="auto"/>
                <w:spacing w:val="7"/>
                <w:szCs w:val="21"/>
                <w:highlight w:val="none"/>
              </w:rPr>
              <w:t>货物招标</w:t>
            </w:r>
          </w:p>
        </w:tc>
        <w:tc>
          <w:tcPr>
            <w:tcW w:w="1581" w:type="dxa"/>
            <w:vAlign w:val="center"/>
          </w:tcPr>
          <w:p w14:paraId="07652019">
            <w:pPr>
              <w:spacing w:line="400" w:lineRule="exact"/>
              <w:jc w:val="center"/>
              <w:rPr>
                <w:rFonts w:ascii="宋体" w:hAnsi="宋体" w:cs="宋体"/>
                <w:color w:val="auto"/>
                <w:szCs w:val="21"/>
                <w:highlight w:val="none"/>
              </w:rPr>
            </w:pPr>
            <w:r>
              <w:rPr>
                <w:rFonts w:hint="eastAsia" w:ascii="宋体" w:hAnsi="宋体" w:cs="宋体"/>
                <w:color w:val="auto"/>
                <w:spacing w:val="6"/>
                <w:szCs w:val="21"/>
                <w:highlight w:val="none"/>
              </w:rPr>
              <w:t>服务招标</w:t>
            </w:r>
          </w:p>
        </w:tc>
      </w:tr>
      <w:tr w14:paraId="6F5B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2069216">
            <w:pPr>
              <w:spacing w:before="33" w:line="229" w:lineRule="auto"/>
              <w:ind w:left="131"/>
              <w:jc w:val="left"/>
              <w:rPr>
                <w:rFonts w:ascii="宋体" w:hAnsi="宋体" w:cs="宋体"/>
                <w:color w:val="auto"/>
                <w:szCs w:val="21"/>
                <w:highlight w:val="none"/>
              </w:rPr>
            </w:pPr>
            <w:r>
              <w:rPr>
                <w:rFonts w:ascii="宋体" w:hAnsi="宋体" w:cs="宋体"/>
                <w:color w:val="auto"/>
                <w:spacing w:val="-4"/>
                <w:szCs w:val="21"/>
                <w:highlight w:val="none"/>
              </w:rPr>
              <w:t>1</w:t>
            </w:r>
            <w:r>
              <w:rPr>
                <w:rFonts w:ascii="宋体" w:hAnsi="宋体" w:cs="宋体"/>
                <w:color w:val="auto"/>
                <w:spacing w:val="-3"/>
                <w:szCs w:val="21"/>
                <w:highlight w:val="none"/>
              </w:rPr>
              <w:t>0</w:t>
            </w:r>
            <w:r>
              <w:rPr>
                <w:rFonts w:ascii="宋体" w:hAnsi="宋体" w:cs="宋体"/>
                <w:color w:val="auto"/>
                <w:spacing w:val="-2"/>
                <w:szCs w:val="21"/>
                <w:highlight w:val="none"/>
              </w:rPr>
              <w:t>0 以下</w:t>
            </w:r>
          </w:p>
        </w:tc>
        <w:tc>
          <w:tcPr>
            <w:tcW w:w="1579" w:type="dxa"/>
            <w:vAlign w:val="center"/>
          </w:tcPr>
          <w:p w14:paraId="373D2BF7">
            <w:pPr>
              <w:spacing w:before="33" w:line="271" w:lineRule="exact"/>
              <w:jc w:val="center"/>
              <w:rPr>
                <w:rFonts w:ascii="宋体" w:hAnsi="宋体" w:cs="宋体"/>
                <w:color w:val="auto"/>
                <w:szCs w:val="21"/>
                <w:highlight w:val="none"/>
              </w:rPr>
            </w:pPr>
            <w:r>
              <w:rPr>
                <w:rFonts w:hint="eastAsia" w:ascii="宋体" w:hAnsi="宋体" w:cs="宋体"/>
                <w:color w:val="auto"/>
                <w:spacing w:val="-1"/>
                <w:position w:val="1"/>
                <w:szCs w:val="21"/>
                <w:highlight w:val="none"/>
              </w:rPr>
              <w:t>6.300‰</w:t>
            </w:r>
          </w:p>
        </w:tc>
        <w:tc>
          <w:tcPr>
            <w:tcW w:w="1579" w:type="dxa"/>
            <w:vAlign w:val="center"/>
          </w:tcPr>
          <w:p w14:paraId="50F0CE2E">
            <w:pPr>
              <w:spacing w:before="33" w:line="271" w:lineRule="exact"/>
              <w:jc w:val="center"/>
              <w:rPr>
                <w:rFonts w:ascii="宋体" w:hAnsi="宋体" w:cs="宋体"/>
                <w:color w:val="auto"/>
                <w:szCs w:val="21"/>
                <w:highlight w:val="none"/>
              </w:rPr>
            </w:pPr>
            <w:r>
              <w:rPr>
                <w:rFonts w:hint="eastAsia" w:ascii="宋体" w:hAnsi="宋体" w:cs="宋体"/>
                <w:color w:val="auto"/>
                <w:spacing w:val="-1"/>
                <w:position w:val="1"/>
                <w:szCs w:val="21"/>
                <w:highlight w:val="none"/>
              </w:rPr>
              <w:t>9.450‰</w:t>
            </w:r>
          </w:p>
        </w:tc>
        <w:tc>
          <w:tcPr>
            <w:tcW w:w="1581" w:type="dxa"/>
            <w:vAlign w:val="center"/>
          </w:tcPr>
          <w:p w14:paraId="0E1CF362">
            <w:pPr>
              <w:spacing w:before="33" w:line="271" w:lineRule="exact"/>
              <w:jc w:val="center"/>
              <w:rPr>
                <w:rFonts w:ascii="宋体" w:hAnsi="宋体" w:cs="宋体"/>
                <w:color w:val="auto"/>
                <w:szCs w:val="21"/>
                <w:highlight w:val="none"/>
              </w:rPr>
            </w:pPr>
            <w:r>
              <w:rPr>
                <w:rFonts w:hint="eastAsia" w:ascii="宋体" w:hAnsi="宋体" w:cs="宋体"/>
                <w:color w:val="auto"/>
                <w:spacing w:val="-2"/>
                <w:position w:val="1"/>
                <w:szCs w:val="21"/>
                <w:highlight w:val="none"/>
              </w:rPr>
              <w:t>9.450</w:t>
            </w:r>
            <w:r>
              <w:rPr>
                <w:rFonts w:hint="eastAsia" w:ascii="宋体" w:hAnsi="宋体" w:cs="宋体"/>
                <w:color w:val="auto"/>
                <w:spacing w:val="-1"/>
                <w:position w:val="1"/>
                <w:szCs w:val="21"/>
                <w:highlight w:val="none"/>
              </w:rPr>
              <w:t>‰</w:t>
            </w:r>
          </w:p>
        </w:tc>
      </w:tr>
      <w:tr w14:paraId="4056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D7F0AE1">
            <w:pPr>
              <w:spacing w:before="33" w:line="229" w:lineRule="auto"/>
              <w:ind w:left="131"/>
              <w:jc w:val="left"/>
              <w:rPr>
                <w:rFonts w:ascii="宋体" w:hAnsi="宋体" w:cs="宋体"/>
                <w:color w:val="auto"/>
                <w:szCs w:val="21"/>
                <w:highlight w:val="none"/>
              </w:rPr>
            </w:pPr>
            <w:r>
              <w:rPr>
                <w:rFonts w:ascii="宋体" w:hAnsi="宋体" w:cs="宋体"/>
                <w:color w:val="auto"/>
                <w:spacing w:val="12"/>
                <w:szCs w:val="21"/>
                <w:highlight w:val="none"/>
              </w:rPr>
              <w:t>1</w:t>
            </w:r>
            <w:r>
              <w:rPr>
                <w:rFonts w:ascii="宋体" w:hAnsi="宋体" w:cs="宋体"/>
                <w:color w:val="auto"/>
                <w:spacing w:val="8"/>
                <w:szCs w:val="21"/>
                <w:highlight w:val="none"/>
              </w:rPr>
              <w:t>00</w:t>
            </w:r>
            <w:r>
              <w:rPr>
                <w:rFonts w:hint="eastAsia" w:ascii="宋体" w:hAnsi="宋体" w:cs="宋体"/>
                <w:color w:val="auto"/>
                <w:spacing w:val="8"/>
                <w:szCs w:val="21"/>
                <w:highlight w:val="none"/>
              </w:rPr>
              <w:t>～</w:t>
            </w:r>
            <w:r>
              <w:rPr>
                <w:rFonts w:ascii="宋体" w:hAnsi="宋体" w:cs="宋体"/>
                <w:color w:val="auto"/>
                <w:spacing w:val="8"/>
                <w:szCs w:val="21"/>
                <w:highlight w:val="none"/>
              </w:rPr>
              <w:t xml:space="preserve">500 </w:t>
            </w:r>
          </w:p>
        </w:tc>
        <w:tc>
          <w:tcPr>
            <w:tcW w:w="1579" w:type="dxa"/>
            <w:vAlign w:val="center"/>
          </w:tcPr>
          <w:p w14:paraId="6E09D1C9">
            <w:pPr>
              <w:spacing w:before="33" w:line="270" w:lineRule="exact"/>
              <w:jc w:val="center"/>
              <w:rPr>
                <w:rFonts w:ascii="宋体" w:hAnsi="宋体" w:cs="宋体"/>
                <w:color w:val="auto"/>
                <w:szCs w:val="21"/>
                <w:highlight w:val="none"/>
              </w:rPr>
            </w:pPr>
            <w:r>
              <w:rPr>
                <w:rFonts w:hint="eastAsia" w:ascii="宋体" w:hAnsi="宋体" w:cs="宋体"/>
                <w:color w:val="auto"/>
                <w:spacing w:val="-1"/>
                <w:position w:val="1"/>
                <w:szCs w:val="21"/>
                <w:highlight w:val="none"/>
              </w:rPr>
              <w:t>4.410‰</w:t>
            </w:r>
          </w:p>
        </w:tc>
        <w:tc>
          <w:tcPr>
            <w:tcW w:w="1579" w:type="dxa"/>
            <w:vAlign w:val="center"/>
          </w:tcPr>
          <w:p w14:paraId="48A239C4">
            <w:pPr>
              <w:spacing w:before="33"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6.930</w:t>
            </w:r>
            <w:r>
              <w:rPr>
                <w:rFonts w:hint="eastAsia" w:ascii="宋体" w:hAnsi="宋体" w:cs="宋体"/>
                <w:color w:val="auto"/>
                <w:spacing w:val="-1"/>
                <w:position w:val="1"/>
                <w:szCs w:val="21"/>
                <w:highlight w:val="none"/>
              </w:rPr>
              <w:t>‰</w:t>
            </w:r>
          </w:p>
        </w:tc>
        <w:tc>
          <w:tcPr>
            <w:tcW w:w="1581" w:type="dxa"/>
            <w:vAlign w:val="center"/>
          </w:tcPr>
          <w:p w14:paraId="508F9502">
            <w:pPr>
              <w:spacing w:before="33"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5.040</w:t>
            </w:r>
            <w:r>
              <w:rPr>
                <w:rFonts w:hint="eastAsia" w:ascii="宋体" w:hAnsi="宋体" w:cs="宋体"/>
                <w:color w:val="auto"/>
                <w:spacing w:val="-1"/>
                <w:position w:val="1"/>
                <w:szCs w:val="21"/>
                <w:highlight w:val="none"/>
              </w:rPr>
              <w:t>‰</w:t>
            </w:r>
          </w:p>
        </w:tc>
      </w:tr>
      <w:tr w14:paraId="6207E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9DA9E6D">
            <w:pPr>
              <w:spacing w:before="32" w:line="229" w:lineRule="auto"/>
              <w:ind w:left="120"/>
              <w:jc w:val="left"/>
              <w:rPr>
                <w:rFonts w:ascii="宋体" w:hAnsi="宋体" w:cs="宋体"/>
                <w:color w:val="auto"/>
                <w:szCs w:val="21"/>
                <w:highlight w:val="none"/>
              </w:rPr>
            </w:pPr>
            <w:r>
              <w:rPr>
                <w:rFonts w:ascii="宋体" w:hAnsi="宋体" w:cs="宋体"/>
                <w:color w:val="auto"/>
                <w:spacing w:val="11"/>
                <w:szCs w:val="21"/>
                <w:highlight w:val="none"/>
              </w:rPr>
              <w:t>5</w:t>
            </w:r>
            <w:r>
              <w:rPr>
                <w:rFonts w:ascii="宋体" w:hAnsi="宋体" w:cs="宋体"/>
                <w:color w:val="auto"/>
                <w:spacing w:val="9"/>
                <w:szCs w:val="21"/>
                <w:highlight w:val="none"/>
              </w:rPr>
              <w:t>00</w:t>
            </w:r>
            <w:r>
              <w:rPr>
                <w:rFonts w:hint="eastAsia" w:ascii="宋体" w:hAnsi="宋体" w:cs="宋体"/>
                <w:color w:val="auto"/>
                <w:spacing w:val="8"/>
                <w:szCs w:val="21"/>
                <w:highlight w:val="none"/>
              </w:rPr>
              <w:t>～</w:t>
            </w:r>
            <w:r>
              <w:rPr>
                <w:rFonts w:ascii="宋体" w:hAnsi="宋体" w:cs="宋体"/>
                <w:color w:val="auto"/>
                <w:spacing w:val="9"/>
                <w:szCs w:val="21"/>
                <w:highlight w:val="none"/>
              </w:rPr>
              <w:t xml:space="preserve">1000 </w:t>
            </w:r>
          </w:p>
        </w:tc>
        <w:tc>
          <w:tcPr>
            <w:tcW w:w="1579" w:type="dxa"/>
            <w:vAlign w:val="center"/>
          </w:tcPr>
          <w:p w14:paraId="543530BD">
            <w:pPr>
              <w:spacing w:before="32"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3.465</w:t>
            </w:r>
            <w:r>
              <w:rPr>
                <w:rFonts w:hint="eastAsia" w:ascii="宋体" w:hAnsi="宋体" w:cs="宋体"/>
                <w:color w:val="auto"/>
                <w:spacing w:val="-1"/>
                <w:position w:val="1"/>
                <w:szCs w:val="21"/>
                <w:highlight w:val="none"/>
              </w:rPr>
              <w:t>‰</w:t>
            </w:r>
          </w:p>
        </w:tc>
        <w:tc>
          <w:tcPr>
            <w:tcW w:w="1579" w:type="dxa"/>
            <w:vAlign w:val="center"/>
          </w:tcPr>
          <w:p w14:paraId="04FCB2D7">
            <w:pPr>
              <w:spacing w:before="32"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5.040</w:t>
            </w:r>
            <w:r>
              <w:rPr>
                <w:rFonts w:hint="eastAsia" w:ascii="宋体" w:hAnsi="宋体" w:cs="宋体"/>
                <w:color w:val="auto"/>
                <w:spacing w:val="-1"/>
                <w:position w:val="1"/>
                <w:szCs w:val="21"/>
                <w:highlight w:val="none"/>
              </w:rPr>
              <w:t>‰</w:t>
            </w:r>
          </w:p>
        </w:tc>
        <w:tc>
          <w:tcPr>
            <w:tcW w:w="1581" w:type="dxa"/>
            <w:vAlign w:val="center"/>
          </w:tcPr>
          <w:p w14:paraId="22D60FBE">
            <w:pPr>
              <w:spacing w:before="32"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2.835</w:t>
            </w:r>
            <w:r>
              <w:rPr>
                <w:rFonts w:hint="eastAsia" w:ascii="宋体" w:hAnsi="宋体" w:cs="宋体"/>
                <w:color w:val="auto"/>
                <w:spacing w:val="-1"/>
                <w:position w:val="1"/>
                <w:szCs w:val="21"/>
                <w:highlight w:val="none"/>
              </w:rPr>
              <w:t>‰</w:t>
            </w:r>
          </w:p>
        </w:tc>
      </w:tr>
      <w:tr w14:paraId="6458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96F4748">
            <w:pPr>
              <w:spacing w:before="32" w:line="229" w:lineRule="auto"/>
              <w:ind w:left="131"/>
              <w:jc w:val="left"/>
              <w:rPr>
                <w:rFonts w:ascii="宋体" w:hAnsi="宋体" w:cs="宋体"/>
                <w:color w:val="auto"/>
                <w:szCs w:val="21"/>
                <w:highlight w:val="none"/>
              </w:rPr>
            </w:pPr>
            <w:r>
              <w:rPr>
                <w:rFonts w:ascii="宋体" w:hAnsi="宋体" w:cs="宋体"/>
                <w:color w:val="auto"/>
                <w:spacing w:val="8"/>
                <w:szCs w:val="21"/>
                <w:highlight w:val="none"/>
              </w:rPr>
              <w:t>1000</w:t>
            </w:r>
            <w:r>
              <w:rPr>
                <w:rFonts w:hint="eastAsia" w:ascii="宋体" w:hAnsi="宋体" w:cs="宋体"/>
                <w:color w:val="auto"/>
                <w:spacing w:val="8"/>
                <w:szCs w:val="21"/>
                <w:highlight w:val="none"/>
              </w:rPr>
              <w:t>～</w:t>
            </w:r>
            <w:r>
              <w:rPr>
                <w:rFonts w:ascii="宋体" w:hAnsi="宋体" w:cs="宋体"/>
                <w:color w:val="auto"/>
                <w:spacing w:val="8"/>
                <w:szCs w:val="21"/>
                <w:highlight w:val="none"/>
              </w:rPr>
              <w:t>5000</w:t>
            </w:r>
          </w:p>
        </w:tc>
        <w:tc>
          <w:tcPr>
            <w:tcW w:w="1579" w:type="dxa"/>
            <w:vAlign w:val="center"/>
          </w:tcPr>
          <w:p w14:paraId="161AA4C3">
            <w:pPr>
              <w:spacing w:before="32"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2.205</w:t>
            </w:r>
            <w:r>
              <w:rPr>
                <w:rFonts w:hint="eastAsia" w:ascii="宋体" w:hAnsi="宋体" w:cs="宋体"/>
                <w:color w:val="auto"/>
                <w:spacing w:val="-1"/>
                <w:position w:val="1"/>
                <w:szCs w:val="21"/>
                <w:highlight w:val="none"/>
              </w:rPr>
              <w:t>‰</w:t>
            </w:r>
          </w:p>
        </w:tc>
        <w:tc>
          <w:tcPr>
            <w:tcW w:w="1579" w:type="dxa"/>
            <w:vAlign w:val="center"/>
          </w:tcPr>
          <w:p w14:paraId="7127577A">
            <w:pPr>
              <w:spacing w:before="32"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3.150</w:t>
            </w:r>
            <w:r>
              <w:rPr>
                <w:rFonts w:hint="eastAsia" w:ascii="宋体" w:hAnsi="宋体" w:cs="宋体"/>
                <w:color w:val="auto"/>
                <w:spacing w:val="-1"/>
                <w:position w:val="1"/>
                <w:szCs w:val="21"/>
                <w:highlight w:val="none"/>
              </w:rPr>
              <w:t>‰</w:t>
            </w:r>
          </w:p>
        </w:tc>
        <w:tc>
          <w:tcPr>
            <w:tcW w:w="1581" w:type="dxa"/>
            <w:vAlign w:val="center"/>
          </w:tcPr>
          <w:p w14:paraId="16DD29F4">
            <w:pPr>
              <w:spacing w:before="32"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1.57</w:t>
            </w:r>
            <w:r>
              <w:rPr>
                <w:rFonts w:ascii="宋体" w:hAnsi="宋体" w:cs="宋体"/>
                <w:color w:val="auto"/>
                <w:spacing w:val="3"/>
                <w:position w:val="1"/>
                <w:szCs w:val="21"/>
                <w:highlight w:val="none"/>
              </w:rPr>
              <w:t>5</w:t>
            </w:r>
            <w:r>
              <w:rPr>
                <w:rFonts w:hint="eastAsia" w:ascii="宋体" w:hAnsi="宋体" w:cs="宋体"/>
                <w:color w:val="auto"/>
                <w:spacing w:val="-1"/>
                <w:position w:val="1"/>
                <w:szCs w:val="21"/>
                <w:highlight w:val="none"/>
              </w:rPr>
              <w:t>‰</w:t>
            </w:r>
          </w:p>
        </w:tc>
      </w:tr>
      <w:tr w14:paraId="22F43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B366815">
            <w:pPr>
              <w:spacing w:before="34" w:line="229" w:lineRule="auto"/>
              <w:ind w:left="120"/>
              <w:jc w:val="left"/>
              <w:rPr>
                <w:rFonts w:ascii="宋体" w:hAnsi="宋体" w:cs="宋体"/>
                <w:color w:val="auto"/>
                <w:szCs w:val="21"/>
                <w:highlight w:val="none"/>
              </w:rPr>
            </w:pPr>
            <w:r>
              <w:rPr>
                <w:rFonts w:ascii="宋体" w:hAnsi="宋体" w:cs="宋体"/>
                <w:color w:val="auto"/>
                <w:spacing w:val="10"/>
                <w:szCs w:val="21"/>
                <w:highlight w:val="none"/>
              </w:rPr>
              <w:t>5</w:t>
            </w:r>
            <w:r>
              <w:rPr>
                <w:rFonts w:ascii="宋体" w:hAnsi="宋体" w:cs="宋体"/>
                <w:color w:val="auto"/>
                <w:spacing w:val="5"/>
                <w:szCs w:val="21"/>
                <w:highlight w:val="none"/>
              </w:rPr>
              <w:t>000</w:t>
            </w:r>
            <w:r>
              <w:rPr>
                <w:rFonts w:hint="eastAsia" w:ascii="宋体" w:hAnsi="宋体" w:cs="宋体"/>
                <w:color w:val="auto"/>
                <w:spacing w:val="8"/>
                <w:szCs w:val="21"/>
                <w:highlight w:val="none"/>
              </w:rPr>
              <w:t>～</w:t>
            </w:r>
            <w:r>
              <w:rPr>
                <w:rFonts w:ascii="宋体" w:hAnsi="宋体" w:cs="宋体"/>
                <w:color w:val="auto"/>
                <w:spacing w:val="5"/>
                <w:szCs w:val="21"/>
                <w:highlight w:val="none"/>
              </w:rPr>
              <w:t>1</w:t>
            </w:r>
            <w:r>
              <w:rPr>
                <w:rFonts w:hint="eastAsia" w:ascii="宋体" w:hAnsi="宋体" w:cs="宋体"/>
                <w:color w:val="auto"/>
                <w:spacing w:val="5"/>
                <w:szCs w:val="21"/>
                <w:highlight w:val="none"/>
              </w:rPr>
              <w:t>0000</w:t>
            </w:r>
          </w:p>
        </w:tc>
        <w:tc>
          <w:tcPr>
            <w:tcW w:w="1579" w:type="dxa"/>
            <w:vAlign w:val="center"/>
          </w:tcPr>
          <w:p w14:paraId="1F2C800D">
            <w:pPr>
              <w:spacing w:before="34"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1.260</w:t>
            </w:r>
            <w:r>
              <w:rPr>
                <w:rFonts w:hint="eastAsia" w:ascii="宋体" w:hAnsi="宋体" w:cs="宋体"/>
                <w:color w:val="auto"/>
                <w:spacing w:val="-1"/>
                <w:position w:val="1"/>
                <w:szCs w:val="21"/>
                <w:highlight w:val="none"/>
              </w:rPr>
              <w:t>‰</w:t>
            </w:r>
          </w:p>
        </w:tc>
        <w:tc>
          <w:tcPr>
            <w:tcW w:w="1579" w:type="dxa"/>
            <w:vAlign w:val="center"/>
          </w:tcPr>
          <w:p w14:paraId="6EEA888D">
            <w:pPr>
              <w:spacing w:before="34" w:line="269"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1.575</w:t>
            </w:r>
            <w:r>
              <w:rPr>
                <w:rFonts w:hint="eastAsia" w:ascii="宋体" w:hAnsi="宋体" w:cs="宋体"/>
                <w:color w:val="auto"/>
                <w:spacing w:val="-1"/>
                <w:position w:val="1"/>
                <w:szCs w:val="21"/>
                <w:highlight w:val="none"/>
              </w:rPr>
              <w:t>‰</w:t>
            </w:r>
          </w:p>
        </w:tc>
        <w:tc>
          <w:tcPr>
            <w:tcW w:w="1581" w:type="dxa"/>
            <w:vAlign w:val="center"/>
          </w:tcPr>
          <w:p w14:paraId="0D297016">
            <w:pPr>
              <w:spacing w:before="34" w:line="269" w:lineRule="exact"/>
              <w:jc w:val="center"/>
              <w:rPr>
                <w:rFonts w:ascii="宋体" w:hAnsi="宋体" w:cs="宋体"/>
                <w:color w:val="auto"/>
                <w:szCs w:val="21"/>
                <w:highlight w:val="none"/>
              </w:rPr>
            </w:pPr>
            <w:r>
              <w:rPr>
                <w:rFonts w:ascii="宋体" w:hAnsi="宋体" w:cs="宋体"/>
                <w:color w:val="auto"/>
                <w:spacing w:val="3"/>
                <w:position w:val="1"/>
                <w:szCs w:val="21"/>
                <w:highlight w:val="none"/>
              </w:rPr>
              <w:t>0</w:t>
            </w:r>
            <w:r>
              <w:rPr>
                <w:rFonts w:ascii="宋体" w:hAnsi="宋体" w:cs="宋体"/>
                <w:color w:val="auto"/>
                <w:spacing w:val="2"/>
                <w:position w:val="1"/>
                <w:szCs w:val="21"/>
                <w:highlight w:val="none"/>
              </w:rPr>
              <w:t>.</w:t>
            </w:r>
            <w:r>
              <w:rPr>
                <w:rFonts w:hint="eastAsia" w:ascii="宋体" w:hAnsi="宋体" w:cs="宋体"/>
                <w:color w:val="auto"/>
                <w:spacing w:val="2"/>
                <w:position w:val="1"/>
                <w:szCs w:val="21"/>
                <w:highlight w:val="none"/>
              </w:rPr>
              <w:t>630</w:t>
            </w:r>
            <w:r>
              <w:rPr>
                <w:rFonts w:hint="eastAsia" w:ascii="宋体" w:hAnsi="宋体" w:cs="宋体"/>
                <w:color w:val="auto"/>
                <w:spacing w:val="-1"/>
                <w:position w:val="1"/>
                <w:szCs w:val="21"/>
                <w:highlight w:val="none"/>
              </w:rPr>
              <w:t>‰</w:t>
            </w:r>
          </w:p>
        </w:tc>
      </w:tr>
      <w:tr w14:paraId="47BC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26900238">
            <w:pPr>
              <w:spacing w:before="33" w:line="229" w:lineRule="auto"/>
              <w:ind w:left="131"/>
              <w:jc w:val="left"/>
              <w:rPr>
                <w:rFonts w:ascii="宋体" w:hAnsi="宋体" w:cs="宋体"/>
                <w:color w:val="auto"/>
                <w:szCs w:val="21"/>
                <w:highlight w:val="none"/>
              </w:rPr>
            </w:pPr>
            <w:r>
              <w:rPr>
                <w:rFonts w:ascii="宋体" w:hAnsi="宋体" w:cs="宋体"/>
                <w:color w:val="auto"/>
                <w:spacing w:val="14"/>
                <w:szCs w:val="21"/>
                <w:highlight w:val="none"/>
              </w:rPr>
              <w:t>1</w:t>
            </w:r>
            <w:r>
              <w:rPr>
                <w:rFonts w:hint="eastAsia" w:ascii="宋体" w:hAnsi="宋体" w:cs="宋体"/>
                <w:color w:val="auto"/>
                <w:spacing w:val="14"/>
                <w:szCs w:val="21"/>
                <w:highlight w:val="none"/>
              </w:rPr>
              <w:t>0000</w:t>
            </w:r>
            <w:r>
              <w:rPr>
                <w:rFonts w:hint="eastAsia" w:ascii="宋体" w:hAnsi="宋体" w:cs="宋体"/>
                <w:color w:val="auto"/>
                <w:spacing w:val="8"/>
                <w:szCs w:val="21"/>
                <w:highlight w:val="none"/>
              </w:rPr>
              <w:t>～</w:t>
            </w:r>
            <w:r>
              <w:rPr>
                <w:rFonts w:ascii="宋体" w:hAnsi="宋体" w:cs="宋体"/>
                <w:color w:val="auto"/>
                <w:spacing w:val="10"/>
                <w:szCs w:val="21"/>
                <w:highlight w:val="none"/>
              </w:rPr>
              <w:t>5</w:t>
            </w:r>
            <w:r>
              <w:rPr>
                <w:rFonts w:hint="eastAsia" w:ascii="宋体" w:hAnsi="宋体" w:cs="宋体"/>
                <w:color w:val="auto"/>
                <w:spacing w:val="10"/>
                <w:szCs w:val="21"/>
                <w:highlight w:val="none"/>
              </w:rPr>
              <w:t>0000</w:t>
            </w:r>
          </w:p>
        </w:tc>
        <w:tc>
          <w:tcPr>
            <w:tcW w:w="1579" w:type="dxa"/>
            <w:vAlign w:val="center"/>
          </w:tcPr>
          <w:p w14:paraId="28393C3F">
            <w:pPr>
              <w:spacing w:before="33" w:line="270"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0.315</w:t>
            </w:r>
            <w:r>
              <w:rPr>
                <w:rFonts w:hint="eastAsia" w:ascii="宋体" w:hAnsi="宋体" w:cs="宋体"/>
                <w:color w:val="auto"/>
                <w:spacing w:val="-1"/>
                <w:position w:val="1"/>
                <w:szCs w:val="21"/>
                <w:highlight w:val="none"/>
              </w:rPr>
              <w:t>‰</w:t>
            </w:r>
          </w:p>
        </w:tc>
        <w:tc>
          <w:tcPr>
            <w:tcW w:w="1579" w:type="dxa"/>
            <w:vAlign w:val="center"/>
          </w:tcPr>
          <w:p w14:paraId="479F29D9">
            <w:pPr>
              <w:spacing w:before="33" w:line="270" w:lineRule="exact"/>
              <w:jc w:val="center"/>
              <w:rPr>
                <w:rFonts w:ascii="宋体" w:hAnsi="宋体" w:cs="宋体"/>
                <w:color w:val="auto"/>
                <w:szCs w:val="21"/>
                <w:highlight w:val="none"/>
              </w:rPr>
            </w:pPr>
            <w:r>
              <w:rPr>
                <w:rFonts w:hint="eastAsia" w:ascii="宋体" w:hAnsi="宋体" w:cs="宋体"/>
                <w:color w:val="auto"/>
                <w:spacing w:val="3"/>
                <w:position w:val="1"/>
                <w:szCs w:val="21"/>
                <w:highlight w:val="none"/>
              </w:rPr>
              <w:t>0.315</w:t>
            </w:r>
            <w:r>
              <w:rPr>
                <w:rFonts w:hint="eastAsia" w:ascii="宋体" w:hAnsi="宋体" w:cs="宋体"/>
                <w:color w:val="auto"/>
                <w:spacing w:val="-1"/>
                <w:position w:val="1"/>
                <w:szCs w:val="21"/>
                <w:highlight w:val="none"/>
              </w:rPr>
              <w:t>‰</w:t>
            </w:r>
          </w:p>
        </w:tc>
        <w:tc>
          <w:tcPr>
            <w:tcW w:w="1581" w:type="dxa"/>
            <w:vAlign w:val="center"/>
          </w:tcPr>
          <w:p w14:paraId="46C07462">
            <w:pPr>
              <w:spacing w:before="33" w:line="270" w:lineRule="exact"/>
              <w:jc w:val="center"/>
              <w:rPr>
                <w:rFonts w:ascii="宋体" w:hAnsi="宋体" w:cs="宋体"/>
                <w:color w:val="auto"/>
                <w:szCs w:val="21"/>
                <w:highlight w:val="none"/>
              </w:rPr>
            </w:pPr>
            <w:r>
              <w:rPr>
                <w:rFonts w:ascii="宋体" w:hAnsi="宋体" w:cs="宋体"/>
                <w:color w:val="auto"/>
                <w:spacing w:val="3"/>
                <w:position w:val="1"/>
                <w:szCs w:val="21"/>
                <w:highlight w:val="none"/>
              </w:rPr>
              <w:t>0.</w:t>
            </w:r>
            <w:r>
              <w:rPr>
                <w:rFonts w:hint="eastAsia" w:ascii="宋体" w:hAnsi="宋体" w:cs="宋体"/>
                <w:color w:val="auto"/>
                <w:spacing w:val="3"/>
                <w:position w:val="1"/>
                <w:szCs w:val="21"/>
                <w:highlight w:val="none"/>
              </w:rPr>
              <w:t>31</w:t>
            </w:r>
            <w:r>
              <w:rPr>
                <w:rFonts w:ascii="宋体" w:hAnsi="宋体" w:cs="宋体"/>
                <w:color w:val="auto"/>
                <w:spacing w:val="3"/>
                <w:position w:val="1"/>
                <w:szCs w:val="21"/>
                <w:highlight w:val="none"/>
              </w:rPr>
              <w:t>5</w:t>
            </w:r>
            <w:r>
              <w:rPr>
                <w:rFonts w:hint="eastAsia" w:ascii="宋体" w:hAnsi="宋体" w:cs="宋体"/>
                <w:color w:val="auto"/>
                <w:spacing w:val="-1"/>
                <w:position w:val="1"/>
                <w:szCs w:val="21"/>
                <w:highlight w:val="none"/>
              </w:rPr>
              <w:t>‰</w:t>
            </w:r>
          </w:p>
        </w:tc>
      </w:tr>
      <w:tr w14:paraId="6E9E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35729856">
            <w:pPr>
              <w:spacing w:before="36" w:line="229" w:lineRule="auto"/>
              <w:ind w:left="120"/>
              <w:jc w:val="left"/>
              <w:rPr>
                <w:rFonts w:ascii="宋体" w:hAnsi="宋体" w:cs="宋体"/>
                <w:color w:val="auto"/>
                <w:szCs w:val="21"/>
                <w:highlight w:val="none"/>
              </w:rPr>
            </w:pPr>
            <w:r>
              <w:rPr>
                <w:rFonts w:ascii="宋体" w:hAnsi="宋体" w:cs="宋体"/>
                <w:color w:val="auto"/>
                <w:spacing w:val="15"/>
                <w:szCs w:val="21"/>
                <w:highlight w:val="none"/>
              </w:rPr>
              <w:t>5</w:t>
            </w:r>
            <w:r>
              <w:rPr>
                <w:rFonts w:hint="eastAsia" w:ascii="宋体" w:hAnsi="宋体" w:cs="宋体"/>
                <w:color w:val="auto"/>
                <w:spacing w:val="15"/>
                <w:szCs w:val="21"/>
                <w:highlight w:val="none"/>
              </w:rPr>
              <w:t>0000</w:t>
            </w:r>
            <w:r>
              <w:rPr>
                <w:rFonts w:hint="eastAsia" w:ascii="宋体" w:hAnsi="宋体" w:cs="宋体"/>
                <w:color w:val="auto"/>
                <w:spacing w:val="8"/>
                <w:szCs w:val="21"/>
                <w:highlight w:val="none"/>
              </w:rPr>
              <w:t>～</w:t>
            </w:r>
            <w:r>
              <w:rPr>
                <w:rFonts w:ascii="宋体" w:hAnsi="宋体" w:cs="宋体"/>
                <w:color w:val="auto"/>
                <w:spacing w:val="11"/>
                <w:szCs w:val="21"/>
                <w:highlight w:val="none"/>
              </w:rPr>
              <w:t>10</w:t>
            </w:r>
            <w:r>
              <w:rPr>
                <w:rFonts w:hint="eastAsia" w:ascii="宋体" w:hAnsi="宋体" w:cs="宋体"/>
                <w:color w:val="auto"/>
                <w:spacing w:val="11"/>
                <w:szCs w:val="21"/>
                <w:highlight w:val="none"/>
              </w:rPr>
              <w:t>0000</w:t>
            </w:r>
          </w:p>
        </w:tc>
        <w:tc>
          <w:tcPr>
            <w:tcW w:w="1579" w:type="dxa"/>
            <w:vAlign w:val="center"/>
          </w:tcPr>
          <w:p w14:paraId="5F1C5CB2">
            <w:pPr>
              <w:spacing w:before="36" w:line="270" w:lineRule="exact"/>
              <w:jc w:val="center"/>
              <w:rPr>
                <w:rFonts w:ascii="宋体" w:hAnsi="宋体" w:cs="宋体"/>
                <w:color w:val="auto"/>
                <w:szCs w:val="21"/>
                <w:highlight w:val="none"/>
              </w:rPr>
            </w:pPr>
            <w:r>
              <w:rPr>
                <w:rFonts w:hint="eastAsia" w:ascii="宋体" w:hAnsi="宋体" w:cs="宋体"/>
                <w:color w:val="auto"/>
                <w:spacing w:val="5"/>
                <w:position w:val="1"/>
                <w:szCs w:val="21"/>
                <w:highlight w:val="none"/>
              </w:rPr>
              <w:t>0.221</w:t>
            </w:r>
            <w:r>
              <w:rPr>
                <w:rFonts w:hint="eastAsia" w:ascii="宋体" w:hAnsi="宋体" w:cs="宋体"/>
                <w:color w:val="auto"/>
                <w:spacing w:val="-1"/>
                <w:position w:val="1"/>
                <w:szCs w:val="21"/>
                <w:highlight w:val="none"/>
              </w:rPr>
              <w:t>‰</w:t>
            </w:r>
          </w:p>
        </w:tc>
        <w:tc>
          <w:tcPr>
            <w:tcW w:w="1579" w:type="dxa"/>
            <w:vAlign w:val="center"/>
          </w:tcPr>
          <w:p w14:paraId="6E216236">
            <w:pPr>
              <w:spacing w:before="36" w:line="270" w:lineRule="exact"/>
              <w:jc w:val="center"/>
              <w:rPr>
                <w:rFonts w:ascii="宋体" w:hAnsi="宋体" w:cs="宋体"/>
                <w:color w:val="auto"/>
                <w:szCs w:val="21"/>
                <w:highlight w:val="none"/>
              </w:rPr>
            </w:pPr>
            <w:r>
              <w:rPr>
                <w:rFonts w:ascii="宋体" w:hAnsi="宋体" w:cs="宋体"/>
                <w:color w:val="auto"/>
                <w:spacing w:val="5"/>
                <w:position w:val="1"/>
                <w:szCs w:val="21"/>
                <w:highlight w:val="none"/>
              </w:rPr>
              <w:t>0</w:t>
            </w:r>
            <w:r>
              <w:rPr>
                <w:rFonts w:ascii="宋体" w:hAnsi="宋体" w:cs="宋体"/>
                <w:color w:val="auto"/>
                <w:spacing w:val="3"/>
                <w:position w:val="1"/>
                <w:szCs w:val="21"/>
                <w:highlight w:val="none"/>
              </w:rPr>
              <w:t>.</w:t>
            </w:r>
            <w:r>
              <w:rPr>
                <w:rFonts w:hint="eastAsia" w:ascii="宋体" w:hAnsi="宋体" w:cs="宋体"/>
                <w:color w:val="auto"/>
                <w:spacing w:val="3"/>
                <w:position w:val="1"/>
                <w:szCs w:val="21"/>
                <w:highlight w:val="none"/>
              </w:rPr>
              <w:t>221</w:t>
            </w:r>
            <w:r>
              <w:rPr>
                <w:rFonts w:hint="eastAsia" w:ascii="宋体" w:hAnsi="宋体" w:cs="宋体"/>
                <w:color w:val="auto"/>
                <w:spacing w:val="-1"/>
                <w:position w:val="1"/>
                <w:szCs w:val="21"/>
                <w:highlight w:val="none"/>
              </w:rPr>
              <w:t>‰</w:t>
            </w:r>
          </w:p>
        </w:tc>
        <w:tc>
          <w:tcPr>
            <w:tcW w:w="1581" w:type="dxa"/>
            <w:vAlign w:val="center"/>
          </w:tcPr>
          <w:p w14:paraId="6B1E20D2">
            <w:pPr>
              <w:spacing w:before="36" w:line="270" w:lineRule="exact"/>
              <w:jc w:val="center"/>
              <w:rPr>
                <w:rFonts w:ascii="宋体" w:hAnsi="宋体" w:cs="宋体"/>
                <w:color w:val="auto"/>
                <w:szCs w:val="21"/>
                <w:highlight w:val="none"/>
              </w:rPr>
            </w:pPr>
            <w:r>
              <w:rPr>
                <w:rFonts w:ascii="宋体" w:hAnsi="宋体" w:cs="宋体"/>
                <w:color w:val="auto"/>
                <w:spacing w:val="5"/>
                <w:position w:val="1"/>
                <w:szCs w:val="21"/>
                <w:highlight w:val="none"/>
              </w:rPr>
              <w:t>0</w:t>
            </w:r>
            <w:r>
              <w:rPr>
                <w:rFonts w:ascii="宋体" w:hAnsi="宋体" w:cs="宋体"/>
                <w:color w:val="auto"/>
                <w:spacing w:val="3"/>
                <w:position w:val="1"/>
                <w:szCs w:val="21"/>
                <w:highlight w:val="none"/>
              </w:rPr>
              <w:t>.</w:t>
            </w:r>
            <w:r>
              <w:rPr>
                <w:rFonts w:hint="eastAsia" w:ascii="宋体" w:hAnsi="宋体" w:cs="宋体"/>
                <w:color w:val="auto"/>
                <w:spacing w:val="3"/>
                <w:position w:val="1"/>
                <w:szCs w:val="21"/>
                <w:highlight w:val="none"/>
              </w:rPr>
              <w:t>221</w:t>
            </w:r>
            <w:r>
              <w:rPr>
                <w:rFonts w:hint="eastAsia" w:ascii="宋体" w:hAnsi="宋体" w:cs="宋体"/>
                <w:color w:val="auto"/>
                <w:spacing w:val="-1"/>
                <w:position w:val="1"/>
                <w:szCs w:val="21"/>
                <w:highlight w:val="none"/>
              </w:rPr>
              <w:t>‰</w:t>
            </w:r>
          </w:p>
        </w:tc>
      </w:tr>
    </w:tbl>
    <w:p w14:paraId="0E092577">
      <w:pPr>
        <w:spacing w:line="400" w:lineRule="exact"/>
        <w:ind w:firstLine="420" w:firstLineChars="200"/>
        <w:rPr>
          <w:rFonts w:ascii="宋体" w:hAnsi="宋体" w:cs="宋体"/>
          <w:bCs/>
          <w:color w:val="auto"/>
          <w:szCs w:val="21"/>
          <w:highlight w:val="none"/>
        </w:rPr>
      </w:pPr>
    </w:p>
    <w:p w14:paraId="432A5F3F">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5B647B9D">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24.2.解释权</w:t>
      </w:r>
    </w:p>
    <w:p w14:paraId="21397150">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73BD133B">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 询问、质疑和投诉</w:t>
      </w:r>
    </w:p>
    <w:p w14:paraId="66741E15">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24.3.1 供应商对政府采购活动事项有疑问的，可以向采购人、采购代理机构提出询问，采购人或者采购代理机构应当在 3个工作日内对供应商依法提出的询问作出答复。</w:t>
      </w:r>
    </w:p>
    <w:p w14:paraId="24C91D81">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24.3.2 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 附表”。具体质疑起算时间如下：</w:t>
      </w:r>
    </w:p>
    <w:p w14:paraId="2D201DBE">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对可以质疑的竞争性磋商文件提出质疑的，为收到竞争性磋商文件之日或竞争性磋商公告期限届满之日；</w:t>
      </w:r>
    </w:p>
    <w:p w14:paraId="21AE849F">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 对采购过程提出质疑的，为各采购程序环节结束之日；</w:t>
      </w:r>
    </w:p>
    <w:p w14:paraId="4697C82E">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 对成交结果提出质疑的，为成交结果公告期限届满之日。</w:t>
      </w:r>
    </w:p>
    <w:p w14:paraId="48E8ED4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7F335956">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24.3.3 供应商提出的询问或者质疑超出采购人对采购代理机构委托授权范围的，采购代理机构应当告知供应商向采购人提出。政府采购评审专家应当配合采购人或者采购代理机构答复供应商的询问和质疑。</w:t>
      </w:r>
    </w:p>
    <w:p w14:paraId="2B64FF21">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24.3.4 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3617E42">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74EEBFF3">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供应商的姓名或者名称、地址、邮编、联系人及联系电话；</w:t>
      </w:r>
    </w:p>
    <w:p w14:paraId="11775D71">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 质疑项目的名称、编号；</w:t>
      </w:r>
    </w:p>
    <w:p w14:paraId="2D9CDCE9">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 具体、明确的质疑事项和与质疑事项相关的请求；</w:t>
      </w:r>
    </w:p>
    <w:p w14:paraId="4BFC16FA">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 事实依据；</w:t>
      </w:r>
    </w:p>
    <w:p w14:paraId="1773C651">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 必要的法律依据；</w:t>
      </w:r>
    </w:p>
    <w:p w14:paraId="285E949F">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 提出质疑的日期。</w:t>
      </w:r>
    </w:p>
    <w:p w14:paraId="76F2FCDC">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3DCB6ABC">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24.3.5 采购人、采购代理机构认为供应商质疑不成立，或者成立但未对成交结果构成影响的，继续开展采购活动；认为供应商质疑成立且影响或者可能影响成交结果的，按照下列情况处理：</w:t>
      </w:r>
    </w:p>
    <w:p w14:paraId="61530EBA">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对竞争性磋商文件提出的质疑，依法通过澄清或者修改可以继续开展采购活动的，澄清或者修改竞争性磋商文件后继续开展采购活动；否则应当在修改竞争性磋商文件后重新开展采购活动。</w:t>
      </w:r>
    </w:p>
    <w:p w14:paraId="5554BD0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 对采购过程、成交结果提出的质疑，合格供应商符合法定数量时，可以从合格的成交候选人中另行确定成交供应商的，应当依法另行确定成交供应商；否则应当重新开展采购活动。</w:t>
      </w:r>
    </w:p>
    <w:p w14:paraId="34CD7C52">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117D1798">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24.3.6 投诉的权利。质疑供应商对采购人、采购代理机构的答复不满意，或者采购人、采购代理机构未在规定时间内作出答复的，可以在答复期满后15个工作日内向《政府采购质疑和投诉办法》(财政部令第94号) 第六条规定的财政部门提起投诉。</w:t>
      </w:r>
    </w:p>
    <w:p w14:paraId="14B7AF13">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7D57F27F">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通讯地址：钦州市钦北区北环西路与新华路交汇处坭桥物流市场2幢4楼 </w:t>
      </w:r>
    </w:p>
    <w:p w14:paraId="1B3B78D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电话： 0777-5682186</w:t>
      </w:r>
    </w:p>
    <w:p w14:paraId="75DFE927">
      <w:pPr>
        <w:pStyle w:val="35"/>
        <w:ind w:firstLine="812"/>
        <w:rPr>
          <w:rFonts w:ascii="宋体" w:hAnsi="宋体" w:cs="宋体"/>
          <w:b/>
          <w:bCs w:val="0"/>
          <w:color w:val="auto"/>
          <w:kern w:val="2"/>
          <w:sz w:val="21"/>
          <w:szCs w:val="21"/>
          <w:highlight w:val="none"/>
        </w:rPr>
      </w:pPr>
    </w:p>
    <w:p w14:paraId="086C768A">
      <w:pPr>
        <w:pStyle w:val="35"/>
        <w:ind w:firstLine="812"/>
        <w:rPr>
          <w:rFonts w:ascii="宋体" w:hAnsi="宋体" w:cs="宋体"/>
          <w:b/>
          <w:bCs w:val="0"/>
          <w:color w:val="auto"/>
          <w:kern w:val="2"/>
          <w:sz w:val="21"/>
          <w:szCs w:val="21"/>
          <w:highlight w:val="none"/>
        </w:rPr>
      </w:pPr>
    </w:p>
    <w:p w14:paraId="2C1AE051">
      <w:pPr>
        <w:pStyle w:val="35"/>
        <w:ind w:firstLine="812"/>
        <w:rPr>
          <w:rFonts w:ascii="宋体" w:hAnsi="宋体" w:cs="宋体"/>
          <w:b/>
          <w:bCs w:val="0"/>
          <w:color w:val="auto"/>
          <w:kern w:val="2"/>
          <w:sz w:val="21"/>
          <w:szCs w:val="21"/>
          <w:highlight w:val="none"/>
        </w:rPr>
      </w:pPr>
    </w:p>
    <w:p w14:paraId="09A9B797">
      <w:pPr>
        <w:pStyle w:val="35"/>
        <w:ind w:firstLine="812"/>
        <w:rPr>
          <w:rFonts w:ascii="宋体" w:hAnsi="宋体" w:cs="宋体"/>
          <w:b/>
          <w:bCs w:val="0"/>
          <w:color w:val="auto"/>
          <w:kern w:val="2"/>
          <w:sz w:val="21"/>
          <w:szCs w:val="21"/>
          <w:highlight w:val="none"/>
        </w:rPr>
      </w:pPr>
    </w:p>
    <w:p w14:paraId="247303D3">
      <w:pPr>
        <w:pStyle w:val="9"/>
        <w:rPr>
          <w:rFonts w:hAnsi="宋体" w:cs="宋体"/>
          <w:b/>
          <w:color w:val="auto"/>
          <w:kern w:val="2"/>
          <w:sz w:val="21"/>
          <w:szCs w:val="21"/>
          <w:highlight w:val="none"/>
        </w:rPr>
      </w:pPr>
    </w:p>
    <w:p w14:paraId="54D36763">
      <w:pPr>
        <w:rPr>
          <w:rFonts w:ascii="宋体" w:hAnsi="宋体" w:cs="宋体"/>
          <w:b/>
          <w:color w:val="auto"/>
          <w:szCs w:val="21"/>
          <w:highlight w:val="none"/>
        </w:rPr>
      </w:pPr>
    </w:p>
    <w:p w14:paraId="20E8B2F2">
      <w:pPr>
        <w:pStyle w:val="24"/>
        <w:ind w:firstLine="211"/>
        <w:rPr>
          <w:rFonts w:ascii="宋体" w:hAnsi="宋体" w:cs="宋体"/>
          <w:b/>
          <w:color w:val="auto"/>
          <w:kern w:val="2"/>
          <w:szCs w:val="21"/>
          <w:highlight w:val="none"/>
        </w:rPr>
      </w:pPr>
    </w:p>
    <w:p w14:paraId="15579D56">
      <w:pPr>
        <w:pStyle w:val="25"/>
        <w:ind w:firstLine="422"/>
        <w:rPr>
          <w:rFonts w:hint="default"/>
          <w:b/>
          <w:color w:val="auto"/>
          <w:szCs w:val="21"/>
          <w:highlight w:val="none"/>
        </w:rPr>
      </w:pPr>
    </w:p>
    <w:p w14:paraId="680C4ABF">
      <w:pPr>
        <w:rPr>
          <w:rFonts w:ascii="宋体" w:hAnsi="宋体" w:cs="宋体"/>
          <w:b/>
          <w:color w:val="auto"/>
          <w:szCs w:val="21"/>
          <w:highlight w:val="none"/>
        </w:rPr>
      </w:pPr>
    </w:p>
    <w:p w14:paraId="64D482C3">
      <w:pPr>
        <w:pStyle w:val="24"/>
        <w:ind w:firstLine="211"/>
        <w:rPr>
          <w:rFonts w:ascii="宋体" w:hAnsi="宋体" w:cs="宋体"/>
          <w:b/>
          <w:color w:val="auto"/>
          <w:kern w:val="2"/>
          <w:szCs w:val="21"/>
          <w:highlight w:val="none"/>
        </w:rPr>
      </w:pPr>
    </w:p>
    <w:p w14:paraId="1B8122D2">
      <w:pPr>
        <w:pStyle w:val="25"/>
        <w:ind w:firstLine="422"/>
        <w:rPr>
          <w:rFonts w:hint="default"/>
          <w:b/>
          <w:color w:val="auto"/>
          <w:szCs w:val="21"/>
          <w:highlight w:val="none"/>
        </w:rPr>
      </w:pPr>
    </w:p>
    <w:p w14:paraId="7B469C3D">
      <w:pPr>
        <w:rPr>
          <w:rFonts w:ascii="宋体" w:hAnsi="宋体" w:cs="宋体"/>
          <w:b/>
          <w:color w:val="auto"/>
          <w:szCs w:val="21"/>
          <w:highlight w:val="none"/>
        </w:rPr>
      </w:pPr>
    </w:p>
    <w:p w14:paraId="40128F95">
      <w:pPr>
        <w:pStyle w:val="24"/>
        <w:ind w:firstLine="211"/>
        <w:rPr>
          <w:rFonts w:ascii="宋体" w:hAnsi="宋体" w:cs="宋体"/>
          <w:b/>
          <w:color w:val="auto"/>
          <w:kern w:val="2"/>
          <w:szCs w:val="21"/>
          <w:highlight w:val="none"/>
        </w:rPr>
      </w:pPr>
    </w:p>
    <w:p w14:paraId="13EC7A97">
      <w:pPr>
        <w:pStyle w:val="25"/>
        <w:ind w:firstLine="420"/>
        <w:rPr>
          <w:rFonts w:hint="default"/>
          <w:color w:val="auto"/>
          <w:highlight w:val="none"/>
        </w:rPr>
      </w:pPr>
    </w:p>
    <w:p w14:paraId="21BDB9C8">
      <w:pPr>
        <w:rPr>
          <w:color w:val="auto"/>
          <w:highlight w:val="none"/>
        </w:rPr>
      </w:pPr>
    </w:p>
    <w:p w14:paraId="6DAF48DF">
      <w:pPr>
        <w:pStyle w:val="34"/>
        <w:rPr>
          <w:color w:val="auto"/>
          <w:highlight w:val="none"/>
        </w:rPr>
      </w:pPr>
    </w:p>
    <w:p w14:paraId="322B5D0C">
      <w:pPr>
        <w:pStyle w:val="34"/>
        <w:rPr>
          <w:color w:val="auto"/>
          <w:highlight w:val="none"/>
        </w:rPr>
      </w:pPr>
    </w:p>
    <w:p w14:paraId="14212E5A">
      <w:pPr>
        <w:pStyle w:val="34"/>
        <w:rPr>
          <w:color w:val="auto"/>
          <w:highlight w:val="none"/>
        </w:rPr>
      </w:pPr>
    </w:p>
    <w:p w14:paraId="18914C72">
      <w:pPr>
        <w:pStyle w:val="34"/>
        <w:rPr>
          <w:color w:val="auto"/>
          <w:highlight w:val="none"/>
        </w:rPr>
      </w:pPr>
    </w:p>
    <w:p w14:paraId="765EDA46">
      <w:pPr>
        <w:pStyle w:val="34"/>
        <w:rPr>
          <w:color w:val="auto"/>
          <w:highlight w:val="none"/>
        </w:rPr>
      </w:pPr>
    </w:p>
    <w:p w14:paraId="349AEEE9">
      <w:pPr>
        <w:pStyle w:val="34"/>
        <w:rPr>
          <w:color w:val="auto"/>
          <w:highlight w:val="none"/>
        </w:rPr>
      </w:pPr>
    </w:p>
    <w:p w14:paraId="11255448">
      <w:pPr>
        <w:pStyle w:val="34"/>
        <w:rPr>
          <w:color w:val="auto"/>
          <w:highlight w:val="none"/>
        </w:rPr>
      </w:pPr>
    </w:p>
    <w:p w14:paraId="052D3BD5">
      <w:pPr>
        <w:pStyle w:val="34"/>
        <w:rPr>
          <w:color w:val="auto"/>
          <w:highlight w:val="none"/>
        </w:rPr>
      </w:pPr>
    </w:p>
    <w:p w14:paraId="13177002">
      <w:pPr>
        <w:pStyle w:val="34"/>
        <w:rPr>
          <w:color w:val="auto"/>
          <w:highlight w:val="none"/>
        </w:rPr>
      </w:pPr>
    </w:p>
    <w:p w14:paraId="30AD1183">
      <w:pPr>
        <w:pStyle w:val="34"/>
        <w:rPr>
          <w:color w:val="auto"/>
          <w:highlight w:val="none"/>
        </w:rPr>
      </w:pPr>
    </w:p>
    <w:p w14:paraId="014DE3A1">
      <w:pPr>
        <w:pStyle w:val="34"/>
        <w:rPr>
          <w:color w:val="auto"/>
          <w:highlight w:val="none"/>
        </w:rPr>
      </w:pPr>
    </w:p>
    <w:p w14:paraId="71F33781">
      <w:pPr>
        <w:pStyle w:val="34"/>
        <w:rPr>
          <w:color w:val="auto"/>
          <w:highlight w:val="none"/>
        </w:rPr>
      </w:pPr>
    </w:p>
    <w:p w14:paraId="5AEB6557">
      <w:pPr>
        <w:pStyle w:val="34"/>
        <w:rPr>
          <w:color w:val="auto"/>
          <w:highlight w:val="none"/>
        </w:rPr>
      </w:pPr>
    </w:p>
    <w:p w14:paraId="04B2FD81">
      <w:pPr>
        <w:pStyle w:val="34"/>
        <w:rPr>
          <w:color w:val="auto"/>
          <w:highlight w:val="none"/>
        </w:rPr>
      </w:pPr>
    </w:p>
    <w:p w14:paraId="4427729C">
      <w:pPr>
        <w:pStyle w:val="34"/>
        <w:rPr>
          <w:color w:val="auto"/>
          <w:highlight w:val="none"/>
        </w:rPr>
      </w:pPr>
    </w:p>
    <w:p w14:paraId="18BA6ABB">
      <w:pPr>
        <w:pStyle w:val="34"/>
        <w:rPr>
          <w:color w:val="auto"/>
          <w:highlight w:val="none"/>
        </w:rPr>
      </w:pPr>
    </w:p>
    <w:p w14:paraId="73CF09C6">
      <w:pPr>
        <w:pStyle w:val="34"/>
        <w:rPr>
          <w:color w:val="auto"/>
          <w:highlight w:val="none"/>
        </w:rPr>
      </w:pPr>
    </w:p>
    <w:p w14:paraId="4192D10F">
      <w:pPr>
        <w:pStyle w:val="34"/>
        <w:rPr>
          <w:color w:val="auto"/>
          <w:highlight w:val="none"/>
        </w:rPr>
      </w:pPr>
    </w:p>
    <w:p w14:paraId="31DC8BED">
      <w:pPr>
        <w:pStyle w:val="34"/>
        <w:rPr>
          <w:color w:val="auto"/>
          <w:highlight w:val="none"/>
        </w:rPr>
      </w:pPr>
    </w:p>
    <w:p w14:paraId="4DF05588">
      <w:pPr>
        <w:pStyle w:val="34"/>
        <w:rPr>
          <w:color w:val="auto"/>
          <w:highlight w:val="none"/>
        </w:rPr>
      </w:pPr>
    </w:p>
    <w:p w14:paraId="0900168B">
      <w:pPr>
        <w:pStyle w:val="34"/>
        <w:rPr>
          <w:color w:val="auto"/>
          <w:highlight w:val="none"/>
        </w:rPr>
      </w:pPr>
    </w:p>
    <w:p w14:paraId="0AF9222F">
      <w:pPr>
        <w:pStyle w:val="34"/>
        <w:rPr>
          <w:color w:val="auto"/>
          <w:highlight w:val="none"/>
        </w:rPr>
      </w:pPr>
    </w:p>
    <w:p w14:paraId="4E541105">
      <w:pPr>
        <w:pStyle w:val="34"/>
        <w:rPr>
          <w:color w:val="auto"/>
          <w:highlight w:val="none"/>
        </w:rPr>
      </w:pPr>
    </w:p>
    <w:p w14:paraId="496DE421">
      <w:pPr>
        <w:pStyle w:val="34"/>
        <w:rPr>
          <w:color w:val="auto"/>
          <w:highlight w:val="none"/>
        </w:rPr>
      </w:pPr>
    </w:p>
    <w:p w14:paraId="4276E26B">
      <w:pPr>
        <w:pStyle w:val="34"/>
        <w:rPr>
          <w:color w:val="auto"/>
          <w:highlight w:val="none"/>
        </w:rPr>
      </w:pPr>
    </w:p>
    <w:p w14:paraId="08478B71">
      <w:pPr>
        <w:rPr>
          <w:color w:val="auto"/>
          <w:highlight w:val="none"/>
        </w:rPr>
      </w:pPr>
    </w:p>
    <w:p w14:paraId="6DA26488">
      <w:pPr>
        <w:pStyle w:val="35"/>
        <w:ind w:firstLine="812"/>
        <w:rPr>
          <w:rFonts w:ascii="宋体" w:hAnsi="宋体" w:cs="宋体"/>
          <w:b/>
          <w:bCs w:val="0"/>
          <w:color w:val="auto"/>
          <w:kern w:val="2"/>
          <w:sz w:val="21"/>
          <w:szCs w:val="21"/>
          <w:highlight w:val="none"/>
        </w:rPr>
      </w:pPr>
    </w:p>
    <w:p w14:paraId="41A9F41B">
      <w:pPr>
        <w:jc w:val="center"/>
        <w:rPr>
          <w:rFonts w:ascii="宋体" w:hAnsi="宋体" w:cs="宋体"/>
          <w:b/>
          <w:bCs/>
          <w:color w:val="auto"/>
          <w:spacing w:val="-14"/>
          <w:kern w:val="0"/>
          <w:position w:val="-6"/>
          <w:sz w:val="36"/>
          <w:szCs w:val="36"/>
          <w:highlight w:val="none"/>
        </w:rPr>
      </w:pPr>
      <w:bookmarkStart w:id="65" w:name="_Toc26558"/>
    </w:p>
    <w:p w14:paraId="6EF433A6">
      <w:pPr>
        <w:jc w:val="center"/>
        <w:rPr>
          <w:rFonts w:ascii="宋体" w:hAnsi="宋体" w:cs="宋体"/>
          <w:b/>
          <w:bCs/>
          <w:color w:val="auto"/>
          <w:spacing w:val="-14"/>
          <w:kern w:val="0"/>
          <w:position w:val="-6"/>
          <w:sz w:val="36"/>
          <w:szCs w:val="36"/>
          <w:highlight w:val="none"/>
        </w:rPr>
      </w:pPr>
      <w:r>
        <w:rPr>
          <w:rFonts w:hint="eastAsia" w:ascii="宋体" w:hAnsi="宋体" w:cs="宋体"/>
          <w:b/>
          <w:bCs/>
          <w:color w:val="auto"/>
          <w:spacing w:val="-14"/>
          <w:kern w:val="0"/>
          <w:position w:val="-6"/>
          <w:sz w:val="36"/>
          <w:szCs w:val="36"/>
          <w:highlight w:val="none"/>
        </w:rPr>
        <w:t>第三章  项目基本情况及要求</w:t>
      </w:r>
      <w:bookmarkEnd w:id="65"/>
    </w:p>
    <w:p w14:paraId="27428B8A">
      <w:pPr>
        <w:pStyle w:val="35"/>
        <w:ind w:firstLine="915"/>
        <w:rPr>
          <w:color w:val="auto"/>
          <w:highlight w:val="none"/>
        </w:rPr>
      </w:pPr>
    </w:p>
    <w:p w14:paraId="45F3B3C9">
      <w:pPr>
        <w:pStyle w:val="9"/>
        <w:rPr>
          <w:color w:val="auto"/>
          <w:highlight w:val="none"/>
        </w:rPr>
      </w:pPr>
    </w:p>
    <w:p w14:paraId="1C26D890">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项目名称：2024年钦北区古龙至湴塘四级公路新改建工程</w:t>
      </w:r>
    </w:p>
    <w:p w14:paraId="4C5ABC4F">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项目编号：QZZC2026-C2-030004-GXRD</w:t>
      </w:r>
    </w:p>
    <w:p w14:paraId="40C6DFD7">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建设地点：钦州市钦北区</w:t>
      </w:r>
    </w:p>
    <w:p w14:paraId="2E70A9B7">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程概况：位于钦州市钦北区平吉镇境内，起点位于钦州市钦北区境平吉镇张屋村附近，起点桩号为K0+000，途经那独村、农场村、关屋村湴塘村，终点为钦州市钦北区境平吉镇沙煲窑村附近，终点桩号为K5+100，建设里程为5.100公里。为了解决路线通行双向车辆的交通问题，给乡村振兴工作提供交通保障，计划对古龙至湴塘四级公路进行提级改造，具体详见竞争性磋商文件、工程量清单及图纸。</w:t>
      </w:r>
    </w:p>
    <w:p w14:paraId="3EDD84C0">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工期：150日历天。</w:t>
      </w:r>
    </w:p>
    <w:p w14:paraId="56EB4B6C">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质量要求：达到国家施工验收规范合格标准。</w:t>
      </w:r>
    </w:p>
    <w:p w14:paraId="7DB05852">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采购预算控制价：2878797.42元。</w:t>
      </w:r>
    </w:p>
    <w:p w14:paraId="0BA2DF8A">
      <w:pPr>
        <w:pStyle w:val="15"/>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所属行业：建筑业。</w:t>
      </w:r>
    </w:p>
    <w:p w14:paraId="10B192CD">
      <w:pPr>
        <w:pStyle w:val="15"/>
        <w:spacing w:line="360" w:lineRule="auto"/>
        <w:ind w:firstLine="422" w:firstLineChars="200"/>
        <w:rPr>
          <w:b/>
          <w:bCs/>
          <w:color w:val="auto"/>
          <w:sz w:val="21"/>
          <w:szCs w:val="21"/>
          <w:highlight w:val="none"/>
        </w:rPr>
      </w:pPr>
    </w:p>
    <w:p w14:paraId="22057345">
      <w:pPr>
        <w:pStyle w:val="15"/>
        <w:spacing w:line="360" w:lineRule="auto"/>
        <w:ind w:firstLine="803" w:firstLineChars="200"/>
        <w:rPr>
          <w:rFonts w:ascii="黑体" w:hAnsi="宋体" w:eastAsia="黑体"/>
          <w:b/>
          <w:bCs/>
          <w:color w:val="auto"/>
          <w:kern w:val="0"/>
          <w:sz w:val="40"/>
          <w:szCs w:val="40"/>
          <w:highlight w:val="none"/>
        </w:rPr>
      </w:pPr>
    </w:p>
    <w:p w14:paraId="60F51E44">
      <w:pPr>
        <w:pStyle w:val="15"/>
        <w:rPr>
          <w:rFonts w:ascii="黑体" w:hAnsi="宋体" w:eastAsia="黑体"/>
          <w:b/>
          <w:bCs/>
          <w:color w:val="auto"/>
          <w:kern w:val="0"/>
          <w:sz w:val="40"/>
          <w:szCs w:val="40"/>
          <w:highlight w:val="none"/>
        </w:rPr>
      </w:pPr>
    </w:p>
    <w:p w14:paraId="6AE5D96C">
      <w:pPr>
        <w:pStyle w:val="15"/>
        <w:rPr>
          <w:rFonts w:ascii="黑体" w:hAnsi="宋体" w:eastAsia="黑体"/>
          <w:b/>
          <w:bCs/>
          <w:color w:val="auto"/>
          <w:kern w:val="0"/>
          <w:sz w:val="40"/>
          <w:szCs w:val="40"/>
          <w:highlight w:val="none"/>
        </w:rPr>
      </w:pPr>
    </w:p>
    <w:p w14:paraId="0326899E">
      <w:pPr>
        <w:pStyle w:val="15"/>
        <w:rPr>
          <w:rFonts w:ascii="黑体" w:hAnsi="宋体" w:eastAsia="黑体"/>
          <w:b/>
          <w:bCs/>
          <w:color w:val="auto"/>
          <w:kern w:val="0"/>
          <w:sz w:val="40"/>
          <w:szCs w:val="40"/>
          <w:highlight w:val="none"/>
        </w:rPr>
      </w:pPr>
    </w:p>
    <w:p w14:paraId="3EC58FDA">
      <w:pPr>
        <w:pStyle w:val="15"/>
        <w:rPr>
          <w:rFonts w:ascii="黑体" w:hAnsi="宋体" w:eastAsia="黑体"/>
          <w:b/>
          <w:bCs/>
          <w:color w:val="auto"/>
          <w:kern w:val="0"/>
          <w:sz w:val="40"/>
          <w:szCs w:val="40"/>
          <w:highlight w:val="none"/>
        </w:rPr>
      </w:pPr>
    </w:p>
    <w:p w14:paraId="62C134D2">
      <w:pPr>
        <w:pStyle w:val="15"/>
        <w:rPr>
          <w:rFonts w:ascii="黑体" w:hAnsi="宋体" w:eastAsia="黑体"/>
          <w:b/>
          <w:bCs/>
          <w:color w:val="auto"/>
          <w:kern w:val="0"/>
          <w:sz w:val="40"/>
          <w:szCs w:val="40"/>
          <w:highlight w:val="none"/>
        </w:rPr>
      </w:pPr>
    </w:p>
    <w:p w14:paraId="4B5C2311">
      <w:pPr>
        <w:pStyle w:val="15"/>
        <w:rPr>
          <w:rFonts w:ascii="黑体" w:hAnsi="宋体" w:eastAsia="黑体"/>
          <w:b/>
          <w:bCs/>
          <w:color w:val="auto"/>
          <w:kern w:val="0"/>
          <w:sz w:val="40"/>
          <w:szCs w:val="40"/>
          <w:highlight w:val="none"/>
        </w:rPr>
      </w:pPr>
    </w:p>
    <w:p w14:paraId="4C0374B0">
      <w:pPr>
        <w:pStyle w:val="15"/>
        <w:rPr>
          <w:rFonts w:ascii="黑体" w:hAnsi="宋体" w:eastAsia="黑体"/>
          <w:b/>
          <w:bCs/>
          <w:color w:val="auto"/>
          <w:kern w:val="0"/>
          <w:sz w:val="40"/>
          <w:szCs w:val="40"/>
          <w:highlight w:val="none"/>
        </w:rPr>
      </w:pPr>
    </w:p>
    <w:p w14:paraId="1E8905FC">
      <w:pPr>
        <w:pStyle w:val="15"/>
        <w:rPr>
          <w:rFonts w:ascii="黑体" w:hAnsi="宋体" w:eastAsia="黑体"/>
          <w:b/>
          <w:bCs/>
          <w:color w:val="auto"/>
          <w:kern w:val="0"/>
          <w:sz w:val="40"/>
          <w:szCs w:val="40"/>
          <w:highlight w:val="none"/>
        </w:rPr>
      </w:pPr>
    </w:p>
    <w:p w14:paraId="08C54A84">
      <w:pPr>
        <w:pStyle w:val="15"/>
        <w:rPr>
          <w:rFonts w:ascii="黑体" w:hAnsi="宋体" w:eastAsia="黑体"/>
          <w:b/>
          <w:bCs/>
          <w:color w:val="auto"/>
          <w:kern w:val="0"/>
          <w:sz w:val="40"/>
          <w:szCs w:val="40"/>
          <w:highlight w:val="none"/>
        </w:rPr>
      </w:pPr>
    </w:p>
    <w:p w14:paraId="2F3E0C9B">
      <w:pPr>
        <w:pStyle w:val="15"/>
        <w:rPr>
          <w:rFonts w:ascii="黑体" w:hAnsi="宋体" w:eastAsia="黑体"/>
          <w:b/>
          <w:bCs/>
          <w:color w:val="auto"/>
          <w:kern w:val="0"/>
          <w:sz w:val="40"/>
          <w:szCs w:val="40"/>
          <w:highlight w:val="none"/>
        </w:rPr>
      </w:pPr>
    </w:p>
    <w:p w14:paraId="57636F45">
      <w:pPr>
        <w:pStyle w:val="15"/>
        <w:rPr>
          <w:rFonts w:ascii="黑体" w:hAnsi="宋体" w:eastAsia="黑体"/>
          <w:b/>
          <w:bCs/>
          <w:color w:val="auto"/>
          <w:kern w:val="0"/>
          <w:sz w:val="40"/>
          <w:szCs w:val="40"/>
          <w:highlight w:val="none"/>
        </w:rPr>
      </w:pPr>
    </w:p>
    <w:p w14:paraId="5EC32A43">
      <w:pPr>
        <w:pStyle w:val="15"/>
        <w:rPr>
          <w:rFonts w:ascii="黑体" w:hAnsi="宋体" w:eastAsia="黑体"/>
          <w:b/>
          <w:bCs/>
          <w:color w:val="auto"/>
          <w:kern w:val="0"/>
          <w:sz w:val="40"/>
          <w:szCs w:val="40"/>
          <w:highlight w:val="none"/>
        </w:rPr>
      </w:pPr>
    </w:p>
    <w:p w14:paraId="3C8A9239">
      <w:pPr>
        <w:pStyle w:val="5"/>
        <w:ind w:left="0"/>
        <w:jc w:val="both"/>
        <w:rPr>
          <w:rFonts w:ascii="黑体" w:eastAsia="黑体" w:cs="Times New Roman"/>
          <w:color w:val="auto"/>
          <w:kern w:val="0"/>
          <w:sz w:val="36"/>
          <w:szCs w:val="36"/>
          <w:highlight w:val="none"/>
          <w:lang w:val="en-US"/>
        </w:rPr>
      </w:pPr>
      <w:bookmarkStart w:id="66" w:name="_Toc20069"/>
    </w:p>
    <w:p w14:paraId="7079E26D">
      <w:pPr>
        <w:rPr>
          <w:color w:val="auto"/>
          <w:highlight w:val="none"/>
        </w:rPr>
      </w:pPr>
    </w:p>
    <w:p w14:paraId="68134618">
      <w:pPr>
        <w:pStyle w:val="12"/>
        <w:spacing w:line="360" w:lineRule="auto"/>
        <w:jc w:val="center"/>
        <w:outlineLvl w:val="0"/>
        <w:rPr>
          <w:rFonts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3CF52543">
      <w:pPr>
        <w:pStyle w:val="5"/>
        <w:spacing w:line="360" w:lineRule="auto"/>
        <w:ind w:left="0"/>
        <w:rPr>
          <w:color w:val="auto"/>
          <w:sz w:val="24"/>
          <w:szCs w:val="24"/>
          <w:highlight w:val="none"/>
        </w:rPr>
      </w:pPr>
      <w:r>
        <w:rPr>
          <w:rFonts w:hint="eastAsia"/>
          <w:color w:val="auto"/>
          <w:sz w:val="24"/>
          <w:szCs w:val="24"/>
          <w:highlight w:val="none"/>
        </w:rPr>
        <w:t>一、评审程序和评审方法</w:t>
      </w:r>
    </w:p>
    <w:p w14:paraId="09371DFF">
      <w:pPr>
        <w:spacing w:line="360" w:lineRule="auto"/>
        <w:ind w:firstLine="422" w:firstLineChars="200"/>
        <w:rPr>
          <w:b/>
          <w:bCs/>
          <w:color w:val="auto"/>
          <w:highlight w:val="none"/>
        </w:rPr>
      </w:pPr>
      <w:r>
        <w:rPr>
          <w:rFonts w:hint="eastAsia"/>
          <w:b/>
          <w:bCs/>
          <w:color w:val="auto"/>
          <w:highlight w:val="none"/>
        </w:rPr>
        <w:t>1.资格审查</w:t>
      </w:r>
    </w:p>
    <w:p w14:paraId="2510A718">
      <w:pPr>
        <w:spacing w:line="360" w:lineRule="auto"/>
        <w:ind w:firstLine="420" w:firstLineChars="200"/>
        <w:rPr>
          <w:color w:val="auto"/>
          <w:highlight w:val="none"/>
        </w:rPr>
      </w:pPr>
      <w:r>
        <w:rPr>
          <w:rFonts w:hint="eastAsia"/>
          <w:color w:val="auto"/>
          <w:highlight w:val="none"/>
        </w:rPr>
        <w:t>1.1 响应文件开启后，磋商小组依法对供应商的资格证明文件进行审查。</w:t>
      </w:r>
    </w:p>
    <w:p w14:paraId="65A815A4">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173CA333">
      <w:pPr>
        <w:spacing w:line="360" w:lineRule="auto"/>
        <w:ind w:firstLine="420" w:firstLineChars="200"/>
        <w:rPr>
          <w:color w:val="auto"/>
          <w:highlight w:val="none"/>
        </w:rPr>
      </w:pPr>
      <w:r>
        <w:rPr>
          <w:rFonts w:hint="eastAsia"/>
          <w:color w:val="auto"/>
          <w:highlight w:val="none"/>
        </w:rPr>
        <w:t>( 1 ) 查询渠道：“信用中国 ” 网站 (www.creditchina.gov.cn) 、 中国政府采购网 (www.ccgp.gov.cn)。</w:t>
      </w:r>
    </w:p>
    <w:p w14:paraId="3956B235">
      <w:pPr>
        <w:spacing w:line="360" w:lineRule="auto"/>
        <w:ind w:firstLine="420" w:firstLineChars="200"/>
        <w:rPr>
          <w:color w:val="auto"/>
          <w:highlight w:val="none"/>
        </w:rPr>
      </w:pPr>
      <w:r>
        <w:rPr>
          <w:rFonts w:hint="eastAsia"/>
          <w:color w:val="auto"/>
          <w:highlight w:val="none"/>
        </w:rPr>
        <w:t>(2) 信用查询截止时点：资格审查结束前。</w:t>
      </w:r>
    </w:p>
    <w:p w14:paraId="534476D2">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3D29BAE3">
      <w:pPr>
        <w:spacing w:line="360" w:lineRule="auto"/>
        <w:ind w:firstLine="420" w:firstLineChars="200"/>
        <w:rPr>
          <w:color w:val="auto"/>
          <w:highlight w:val="none"/>
        </w:rPr>
      </w:pPr>
      <w:r>
        <w:rPr>
          <w:rFonts w:hint="eastAsia"/>
          <w:color w:val="auto"/>
          <w:highlight w:val="none"/>
        </w:rPr>
        <w:t>信用信息使用规则：对在“信用中国”网站(www.creditchina.gov.cn) 、中国府采购网(www.ccgp.gov.cn)被列入失信被执行人、重大税收违法案件当事人名单、政府采购严重违 法失信行为记录名单及其他不符合《中华人民共和国政府采购法》第二十二条规定条件的供应商，资格审查不通过，不得参与政府采购活动。</w:t>
      </w:r>
    </w:p>
    <w:p w14:paraId="582CA896">
      <w:pPr>
        <w:spacing w:line="360" w:lineRule="auto"/>
        <w:ind w:firstLine="420" w:firstLineChars="200"/>
        <w:rPr>
          <w:color w:val="auto"/>
          <w:highlight w:val="none"/>
        </w:rPr>
      </w:pPr>
      <w:r>
        <w:rPr>
          <w:rFonts w:hint="eastAsia"/>
          <w:color w:val="auto"/>
          <w:highlight w:val="none"/>
        </w:rPr>
        <w:t>1.2 资格审查标准为本磋商文件中载明对供应商资格要求的条件。资格审查采用合格制，凡符合磋商文件规定的供应商资格要求的响应文件均通过资格审查。</w:t>
      </w:r>
    </w:p>
    <w:p w14:paraId="52429B95">
      <w:pPr>
        <w:spacing w:line="360" w:lineRule="auto"/>
        <w:ind w:firstLine="420" w:firstLineChars="200"/>
        <w:rPr>
          <w:color w:val="auto"/>
          <w:highlight w:val="none"/>
        </w:rPr>
      </w:pPr>
      <w:r>
        <w:rPr>
          <w:rFonts w:hint="eastAsia"/>
          <w:color w:val="auto"/>
          <w:highlight w:val="none"/>
        </w:rPr>
        <w:t>1.3 供应商有下列情形之一的，资格审查不通过，其响应文件按无效响应处理：</w:t>
      </w:r>
    </w:p>
    <w:p w14:paraId="5E1181F6">
      <w:pPr>
        <w:spacing w:line="360" w:lineRule="auto"/>
        <w:ind w:firstLine="420" w:firstLineChars="200"/>
        <w:rPr>
          <w:color w:val="auto"/>
          <w:highlight w:val="none"/>
        </w:rPr>
      </w:pPr>
      <w:r>
        <w:rPr>
          <w:rFonts w:hint="eastAsia"/>
          <w:color w:val="auto"/>
          <w:highlight w:val="none"/>
        </w:rPr>
        <w:t>(1) 不具备磋商文件中规定的资格要求的；</w:t>
      </w:r>
    </w:p>
    <w:p w14:paraId="5B888A5E">
      <w:pPr>
        <w:spacing w:line="360" w:lineRule="auto"/>
        <w:ind w:firstLine="420" w:firstLineChars="200"/>
        <w:rPr>
          <w:color w:val="auto"/>
          <w:highlight w:val="none"/>
        </w:rPr>
      </w:pPr>
      <w:r>
        <w:rPr>
          <w:rFonts w:hint="eastAsia"/>
          <w:color w:val="auto"/>
          <w:highlight w:val="none"/>
        </w:rPr>
        <w:t>(2) 响应文件未提供任一项“供应商须知前附表”资格证明文件规定的“必须提供”的文件资料的；</w:t>
      </w:r>
    </w:p>
    <w:p w14:paraId="0AB1AB29">
      <w:pPr>
        <w:spacing w:line="360" w:lineRule="auto"/>
        <w:ind w:firstLine="420" w:firstLineChars="200"/>
        <w:rPr>
          <w:color w:val="auto"/>
          <w:highlight w:val="none"/>
        </w:rPr>
      </w:pPr>
      <w:r>
        <w:rPr>
          <w:rFonts w:hint="eastAsia"/>
          <w:color w:val="auto"/>
          <w:highlight w:val="none"/>
        </w:rPr>
        <w:t>(3) 响应文件提供的资格证明文件出现任一项不符合“供应商须知前附表”资格证明文件规定的“必须提供”的文件资料要求或者无效的。</w:t>
      </w:r>
    </w:p>
    <w:p w14:paraId="0818CABC">
      <w:pPr>
        <w:spacing w:line="360" w:lineRule="auto"/>
        <w:ind w:firstLine="420" w:firstLineChars="200"/>
        <w:rPr>
          <w:color w:val="auto"/>
          <w:highlight w:val="none"/>
        </w:rPr>
      </w:pPr>
      <w:r>
        <w:rPr>
          <w:rFonts w:hint="eastAsia"/>
          <w:color w:val="auto"/>
          <w:highlight w:val="none"/>
        </w:rPr>
        <w:t>1.4 通过资格审查的合格供应商不足 3 家的，不得进入符合性审查环节，采购人或者采购代理机构应当重新开展采购活动。</w:t>
      </w:r>
    </w:p>
    <w:p w14:paraId="0C4993B9">
      <w:pPr>
        <w:spacing w:line="360" w:lineRule="auto"/>
        <w:ind w:firstLine="420" w:firstLineChars="200"/>
        <w:rPr>
          <w:color w:val="auto"/>
          <w:highlight w:val="none"/>
        </w:rPr>
      </w:pPr>
      <w:r>
        <w:rPr>
          <w:rFonts w:hint="eastAsia"/>
          <w:color w:val="auto"/>
          <w:highlight w:val="none"/>
        </w:rPr>
        <w:t>2.符合性审查</w:t>
      </w:r>
    </w:p>
    <w:p w14:paraId="15D0958B">
      <w:pPr>
        <w:spacing w:line="360" w:lineRule="auto"/>
        <w:ind w:firstLine="420" w:firstLineChars="200"/>
        <w:rPr>
          <w:color w:val="auto"/>
          <w:highlight w:val="none"/>
        </w:rPr>
      </w:pPr>
      <w:r>
        <w:rPr>
          <w:rFonts w:hint="eastAsia"/>
          <w:color w:val="auto"/>
          <w:highlight w:val="none"/>
        </w:rPr>
        <w:t>2.1 由磋商小组对通过资格审查的合格供应商的响应文件的竞标报价、商务、技术等实质性要求进行符合性审查，以确定其是否满足磋商文件的实质性要求。</w:t>
      </w:r>
    </w:p>
    <w:p w14:paraId="390581AC">
      <w:pPr>
        <w:spacing w:line="360" w:lineRule="auto"/>
        <w:ind w:firstLine="420" w:firstLineChars="200"/>
        <w:rPr>
          <w:color w:val="auto"/>
          <w:highlight w:val="none"/>
        </w:rPr>
      </w:pPr>
      <w:r>
        <w:rPr>
          <w:rFonts w:hint="eastAsia"/>
          <w:color w:val="auto"/>
          <w:highlight w:val="none"/>
        </w:rPr>
        <w:t>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1942E4">
      <w:pPr>
        <w:spacing w:line="360" w:lineRule="auto"/>
        <w:ind w:firstLine="420" w:firstLineChars="200"/>
        <w:rPr>
          <w:color w:val="auto"/>
          <w:highlight w:val="none"/>
        </w:rPr>
      </w:pPr>
      <w:r>
        <w:rPr>
          <w:rFonts w:hint="eastAsia"/>
          <w:color w:val="auto"/>
          <w:highlight w:val="none"/>
        </w:rPr>
        <w:t>2.3 磋商小组要求供应商澄清、说明或者更正响应文件应当要求供应商在合理时间内通过广西政府采购云平台(https://www.gcy.zfcg.gxzf.gov.cn/) 的方式形式作出。供应商的澄清、说明或者更正必须通过广西政府采购云平台以书面形式按照磋商小组的要求作出明确的澄清、说明或者更正，未按磋商小 组的要求作出明确澄清、说明或者更正的供应商的响应文件将按照有利于采购人的原则由磋商 小组进行判定。供应商的澄清、说明或者更正必须由法定代表人或者其委托代理人签字或者加盖 CA 签章。 由委托代理人签字的，若委托代理人不是响应文件中授权的委托代理人时，必须同时出示有效的法定代表人授权委托书原件。供应商为自然人的，必须由本人签字并附身份证明。</w:t>
      </w:r>
    </w:p>
    <w:p w14:paraId="2BE74F36">
      <w:pPr>
        <w:spacing w:line="360" w:lineRule="auto"/>
        <w:ind w:firstLine="420" w:firstLineChars="200"/>
        <w:rPr>
          <w:color w:val="auto"/>
          <w:highlight w:val="none"/>
        </w:rPr>
      </w:pPr>
      <w:r>
        <w:rPr>
          <w:rFonts w:hint="eastAsia"/>
          <w:color w:val="auto"/>
          <w:highlight w:val="none"/>
        </w:rPr>
        <w:t>2.4 首次响应文件报价出现前后不一致的，按照下列规定修正：</w:t>
      </w:r>
    </w:p>
    <w:p w14:paraId="474338D1">
      <w:pPr>
        <w:spacing w:line="360" w:lineRule="auto"/>
        <w:ind w:firstLine="420" w:firstLineChars="200"/>
        <w:rPr>
          <w:color w:val="auto"/>
          <w:highlight w:val="none"/>
        </w:rPr>
      </w:pPr>
      <w:r>
        <w:rPr>
          <w:rFonts w:hint="eastAsia"/>
          <w:color w:val="auto"/>
          <w:highlight w:val="none"/>
        </w:rPr>
        <w:t>(1) 响应文件中报价表内容与响应文件中相应内容不一致的，以报价表为准；</w:t>
      </w:r>
    </w:p>
    <w:p w14:paraId="3E69A0CC">
      <w:pPr>
        <w:spacing w:line="360" w:lineRule="auto"/>
        <w:ind w:firstLine="420" w:firstLineChars="200"/>
        <w:rPr>
          <w:color w:val="auto"/>
          <w:highlight w:val="none"/>
        </w:rPr>
      </w:pPr>
      <w:r>
        <w:rPr>
          <w:rFonts w:hint="eastAsia"/>
          <w:color w:val="auto"/>
          <w:highlight w:val="none"/>
        </w:rPr>
        <w:t>(2) 大写金额和小写金额不一致的，以大写金额为准；</w:t>
      </w:r>
    </w:p>
    <w:p w14:paraId="62F175D5">
      <w:pPr>
        <w:spacing w:line="360" w:lineRule="auto"/>
        <w:ind w:firstLine="420" w:firstLineChars="200"/>
        <w:rPr>
          <w:color w:val="auto"/>
          <w:highlight w:val="none"/>
        </w:rPr>
      </w:pPr>
      <w:r>
        <w:rPr>
          <w:rFonts w:hint="eastAsia"/>
          <w:color w:val="auto"/>
          <w:highlight w:val="none"/>
        </w:rPr>
        <w:t>(3) 单价金额小数点或者百分比有明显错位的，以报价表的总价为准，并修改单价；</w:t>
      </w:r>
    </w:p>
    <w:p w14:paraId="59D70551">
      <w:pPr>
        <w:spacing w:line="360" w:lineRule="auto"/>
        <w:ind w:firstLine="420" w:firstLineChars="200"/>
        <w:rPr>
          <w:color w:val="auto"/>
          <w:highlight w:val="none"/>
        </w:rPr>
      </w:pPr>
      <w:r>
        <w:rPr>
          <w:rFonts w:hint="eastAsia"/>
          <w:color w:val="auto"/>
          <w:highlight w:val="none"/>
        </w:rPr>
        <w:t>(4) 总价金额与按单价汇总金额不一致的，以单价金额计算结果为准。</w:t>
      </w:r>
    </w:p>
    <w:p w14:paraId="46BA8341">
      <w:pPr>
        <w:spacing w:line="360" w:lineRule="auto"/>
        <w:ind w:firstLine="420" w:firstLineChars="200"/>
        <w:rPr>
          <w:color w:val="auto"/>
          <w:highlight w:val="none"/>
        </w:rPr>
      </w:pPr>
      <w:r>
        <w:rPr>
          <w:rFonts w:hint="eastAsia"/>
          <w:color w:val="auto"/>
          <w:highlight w:val="none"/>
        </w:rPr>
        <w:t>同时出现两种以上不一致的，按照以上 (1) - (4) 规定的顺序逐条进行修正。修正后的报价经供应商确认后产生约束力，供应商不确认的，其响应文件按无效响应处理。</w:t>
      </w:r>
    </w:p>
    <w:p w14:paraId="6F64D917">
      <w:pPr>
        <w:spacing w:line="360" w:lineRule="auto"/>
        <w:ind w:firstLine="420" w:firstLineChars="200"/>
        <w:rPr>
          <w:color w:val="auto"/>
          <w:highlight w:val="none"/>
        </w:rPr>
      </w:pPr>
      <w:r>
        <w:rPr>
          <w:rFonts w:hint="eastAsia"/>
          <w:color w:val="auto"/>
          <w:highlight w:val="none"/>
        </w:rPr>
        <w:t>2.5 商务技术报价评审</w:t>
      </w:r>
    </w:p>
    <w:p w14:paraId="654718B3">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2F46B164">
      <w:pPr>
        <w:spacing w:line="360" w:lineRule="auto"/>
        <w:ind w:firstLine="420" w:firstLineChars="200"/>
        <w:rPr>
          <w:color w:val="auto"/>
          <w:highlight w:val="none"/>
        </w:rPr>
      </w:pPr>
      <w:r>
        <w:rPr>
          <w:rFonts w:hint="eastAsia"/>
          <w:color w:val="auto"/>
          <w:highlight w:val="none"/>
        </w:rPr>
        <w:t>(1) 商务技术评审</w:t>
      </w:r>
    </w:p>
    <w:p w14:paraId="5CE47496">
      <w:pPr>
        <w:spacing w:line="360" w:lineRule="auto"/>
        <w:ind w:firstLine="420" w:firstLineChars="200"/>
        <w:rPr>
          <w:color w:val="auto"/>
          <w:highlight w:val="none"/>
        </w:rPr>
      </w:pPr>
      <w:r>
        <w:rPr>
          <w:rFonts w:hint="eastAsia"/>
          <w:color w:val="auto"/>
          <w:highlight w:val="none"/>
        </w:rPr>
        <w:t>1) 响应文件未按磋商文件要求签署、盖章；</w:t>
      </w:r>
    </w:p>
    <w:p w14:paraId="5E7D11BC">
      <w:pPr>
        <w:spacing w:line="360" w:lineRule="auto"/>
        <w:ind w:firstLine="420" w:firstLineChars="200"/>
        <w:rPr>
          <w:color w:val="auto"/>
          <w:highlight w:val="none"/>
        </w:rPr>
      </w:pPr>
      <w:r>
        <w:rPr>
          <w:rFonts w:hint="eastAsia"/>
          <w:color w:val="auto"/>
          <w:highlight w:val="none"/>
        </w:rPr>
        <w:t>2) 委托代理人未能出具有效身份证明或者出具的身份证明与授权委托书中的信息不符；</w:t>
      </w:r>
    </w:p>
    <w:p w14:paraId="339BF9A8">
      <w:pPr>
        <w:spacing w:line="360" w:lineRule="auto"/>
        <w:ind w:firstLine="420" w:firstLineChars="200"/>
        <w:rPr>
          <w:color w:val="auto"/>
          <w:highlight w:val="none"/>
        </w:rPr>
      </w:pPr>
      <w:r>
        <w:rPr>
          <w:rFonts w:hint="eastAsia"/>
          <w:color w:val="auto"/>
          <w:highlight w:val="none"/>
        </w:rPr>
        <w:t>3) 响应文件未提供任一项“供应商须知前附表” 报价商务技术文件中“必须提供”或者“委托时必须提供”的文件资料；响应文件提供的报价商务技术文件出现任一项不符合“供应商须知前附表”报价商务技术文件中 “必须提供”或者“委托时必须提供”文件资料要求 的规定或者提供的报价商务技术文件无效。</w:t>
      </w:r>
    </w:p>
    <w:p w14:paraId="60EA04B4">
      <w:pPr>
        <w:spacing w:line="360" w:lineRule="auto"/>
        <w:ind w:firstLine="420" w:firstLineChars="200"/>
        <w:rPr>
          <w:color w:val="auto"/>
          <w:highlight w:val="none"/>
        </w:rPr>
      </w:pPr>
      <w:r>
        <w:rPr>
          <w:rFonts w:hint="eastAsia"/>
          <w:color w:val="auto"/>
          <w:highlight w:val="none"/>
        </w:rPr>
        <w:t>4) 商务条款中标“▲”的条款发生负偏离的或者允许负偏离的条款数超过“供应商须知前附表”规定项数的或者标明实质性的要求发生负偏离；</w:t>
      </w:r>
    </w:p>
    <w:p w14:paraId="4779AA0D">
      <w:pPr>
        <w:spacing w:line="360" w:lineRule="auto"/>
        <w:ind w:firstLine="420" w:firstLineChars="200"/>
        <w:rPr>
          <w:color w:val="auto"/>
          <w:highlight w:val="none"/>
        </w:rPr>
      </w:pPr>
      <w:r>
        <w:rPr>
          <w:rFonts w:hint="eastAsia"/>
          <w:color w:val="auto"/>
          <w:highlight w:val="none"/>
        </w:rPr>
        <w:t>5) 未对竞标有效期作出响应或者响应文件承诺的竞标有效期不满足磋商文件要求；</w:t>
      </w:r>
    </w:p>
    <w:p w14:paraId="58FD05B4">
      <w:pPr>
        <w:spacing w:line="360" w:lineRule="auto"/>
        <w:ind w:firstLine="420" w:firstLineChars="200"/>
        <w:rPr>
          <w:color w:val="auto"/>
          <w:highlight w:val="none"/>
        </w:rPr>
      </w:pPr>
      <w:r>
        <w:rPr>
          <w:rFonts w:hint="eastAsia"/>
          <w:color w:val="auto"/>
          <w:highlight w:val="none"/>
        </w:rPr>
        <w:t>6) 响应文件的实质性内容未使用中文表述、使用计量单位不符合磋商文件要求；</w:t>
      </w:r>
    </w:p>
    <w:p w14:paraId="658DEEBB">
      <w:pPr>
        <w:spacing w:line="360" w:lineRule="auto"/>
        <w:ind w:firstLine="420" w:firstLineChars="200"/>
        <w:rPr>
          <w:color w:val="auto"/>
          <w:highlight w:val="none"/>
        </w:rPr>
      </w:pPr>
      <w:r>
        <w:rPr>
          <w:rFonts w:hint="eastAsia"/>
          <w:color w:val="auto"/>
          <w:highlight w:val="none"/>
        </w:rPr>
        <w:t>7) 响应文件中的文件资料因填写不齐全或者内容虚假或者出现其他情形而导致被磋商小组认定无效；</w:t>
      </w:r>
    </w:p>
    <w:p w14:paraId="19AE0921">
      <w:pPr>
        <w:spacing w:line="360" w:lineRule="auto"/>
        <w:ind w:firstLine="420" w:firstLineChars="200"/>
        <w:rPr>
          <w:color w:val="auto"/>
          <w:highlight w:val="none"/>
        </w:rPr>
      </w:pPr>
      <w:r>
        <w:rPr>
          <w:rFonts w:hint="eastAsia"/>
          <w:color w:val="auto"/>
          <w:highlight w:val="none"/>
        </w:rPr>
        <w:t>8) 响应文件含有采购人不能接受的附加条件；</w:t>
      </w:r>
    </w:p>
    <w:p w14:paraId="6A59A1EF">
      <w:pPr>
        <w:spacing w:line="360" w:lineRule="auto"/>
        <w:ind w:firstLine="420" w:firstLineChars="200"/>
        <w:rPr>
          <w:color w:val="auto"/>
          <w:highlight w:val="none"/>
        </w:rPr>
      </w:pPr>
      <w:r>
        <w:rPr>
          <w:rFonts w:hint="eastAsia"/>
          <w:color w:val="auto"/>
          <w:highlight w:val="none"/>
        </w:rPr>
        <w:t>9) 属于“供应商须知正文”第 7.7 条情形；</w:t>
      </w:r>
    </w:p>
    <w:p w14:paraId="63262F1A">
      <w:pPr>
        <w:spacing w:line="360" w:lineRule="auto"/>
        <w:ind w:firstLine="420" w:firstLineChars="200"/>
        <w:rPr>
          <w:color w:val="auto"/>
          <w:highlight w:val="none"/>
        </w:rPr>
      </w:pPr>
      <w:r>
        <w:rPr>
          <w:rFonts w:hint="eastAsia"/>
          <w:color w:val="auto"/>
          <w:highlight w:val="none"/>
        </w:rPr>
        <w:t>10) 技术需求允许负偏离的条款数超过“供应商须知前附表”规定项数；</w:t>
      </w:r>
    </w:p>
    <w:p w14:paraId="06542678">
      <w:pPr>
        <w:spacing w:line="360" w:lineRule="auto"/>
        <w:ind w:firstLine="420" w:firstLineChars="200"/>
        <w:rPr>
          <w:color w:val="auto"/>
          <w:highlight w:val="none"/>
        </w:rPr>
      </w:pPr>
      <w:r>
        <w:rPr>
          <w:rFonts w:hint="eastAsia"/>
          <w:color w:val="auto"/>
          <w:highlight w:val="none"/>
        </w:rPr>
        <w:t>11) 虚假竞标，或者出现其他情形而导致被磋商小组认定无效；</w:t>
      </w:r>
    </w:p>
    <w:p w14:paraId="22B54CB5">
      <w:pPr>
        <w:spacing w:line="360" w:lineRule="auto"/>
        <w:ind w:firstLine="420" w:firstLineChars="200"/>
        <w:rPr>
          <w:color w:val="auto"/>
          <w:highlight w:val="none"/>
        </w:rPr>
      </w:pPr>
      <w:r>
        <w:rPr>
          <w:rFonts w:hint="eastAsia"/>
          <w:color w:val="auto"/>
          <w:highlight w:val="none"/>
        </w:rPr>
        <w:t>12) 竞标技术方案不明确，磋商文件未允许但响应文件中存在一个或者一个以上备选 (替代) 竞标方案；</w:t>
      </w:r>
    </w:p>
    <w:p w14:paraId="457E21F7">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00A5A9FA">
      <w:pPr>
        <w:spacing w:line="360" w:lineRule="auto"/>
        <w:ind w:firstLine="420" w:firstLineChars="200"/>
        <w:rPr>
          <w:color w:val="auto"/>
          <w:highlight w:val="none"/>
        </w:rPr>
      </w:pPr>
      <w:r>
        <w:rPr>
          <w:rFonts w:hint="eastAsia"/>
          <w:color w:val="auto"/>
          <w:highlight w:val="none"/>
        </w:rPr>
        <w:t>14) 未响应磋商文件实质性要求；</w:t>
      </w:r>
    </w:p>
    <w:p w14:paraId="2E9C7717">
      <w:pPr>
        <w:spacing w:line="360" w:lineRule="auto"/>
        <w:ind w:firstLine="420" w:firstLineChars="200"/>
        <w:rPr>
          <w:color w:val="auto"/>
          <w:highlight w:val="none"/>
        </w:rPr>
      </w:pPr>
      <w:r>
        <w:rPr>
          <w:rFonts w:hint="eastAsia"/>
          <w:color w:val="auto"/>
          <w:highlight w:val="none"/>
        </w:rPr>
        <w:t>15) 法律、法规和磋商文件规定的其他无效情形。</w:t>
      </w:r>
    </w:p>
    <w:p w14:paraId="780F52A4">
      <w:pPr>
        <w:spacing w:line="360" w:lineRule="auto"/>
        <w:ind w:firstLine="420" w:firstLineChars="200"/>
        <w:rPr>
          <w:color w:val="auto"/>
          <w:highlight w:val="none"/>
        </w:rPr>
      </w:pPr>
      <w:r>
        <w:rPr>
          <w:rFonts w:hint="eastAsia"/>
          <w:color w:val="auto"/>
          <w:highlight w:val="none"/>
        </w:rPr>
        <w:t>(2) 报价评审</w:t>
      </w:r>
    </w:p>
    <w:p w14:paraId="518D254E">
      <w:pPr>
        <w:spacing w:line="360" w:lineRule="auto"/>
        <w:ind w:firstLine="420" w:firstLineChars="200"/>
        <w:rPr>
          <w:color w:val="auto"/>
          <w:highlight w:val="none"/>
        </w:rPr>
      </w:pPr>
      <w:r>
        <w:rPr>
          <w:rFonts w:hint="eastAsia"/>
          <w:color w:val="auto"/>
          <w:highlight w:val="none"/>
        </w:rPr>
        <w:t>1) 响应文件未提供“供应商须知前附表” 报价商务技术文件中规定的；</w:t>
      </w:r>
    </w:p>
    <w:p w14:paraId="5B83770D">
      <w:pPr>
        <w:spacing w:line="360" w:lineRule="auto"/>
        <w:ind w:firstLine="420" w:firstLineChars="200"/>
        <w:rPr>
          <w:color w:val="auto"/>
          <w:highlight w:val="none"/>
        </w:rPr>
      </w:pPr>
      <w:r>
        <w:rPr>
          <w:rFonts w:hint="eastAsia"/>
          <w:color w:val="auto"/>
          <w:highlight w:val="none"/>
        </w:rPr>
        <w:t>2) 未采用人民币报价或者未按照磋商文件标明的币种报价；</w:t>
      </w:r>
    </w:p>
    <w:p w14:paraId="643A99A2">
      <w:pPr>
        <w:spacing w:line="360" w:lineRule="auto"/>
        <w:ind w:firstLine="420" w:firstLineChars="200"/>
        <w:rPr>
          <w:color w:val="auto"/>
          <w:highlight w:val="none"/>
        </w:rPr>
      </w:pPr>
      <w:r>
        <w:rPr>
          <w:rFonts w:hint="eastAsia"/>
          <w:color w:val="auto"/>
          <w:highlight w:val="none"/>
        </w:rPr>
        <w:t>3) 供应商未就所磋商分标进行报价或者存在漏项报价；供应商未就所磋商分标的单项内容作唯一报价；供应商未就所磋商分标的全部内容作唯一总价报价；供应商响应文件中存在有选择、有条件报价的 (磋商文件允许有备选方案或者其他约定的除外) ；</w:t>
      </w:r>
    </w:p>
    <w:p w14:paraId="3E702FE3">
      <w:pPr>
        <w:spacing w:line="360" w:lineRule="auto"/>
        <w:ind w:firstLine="420" w:firstLineChars="200"/>
        <w:rPr>
          <w:color w:val="auto"/>
          <w:highlight w:val="none"/>
        </w:rPr>
      </w:pPr>
      <w:r>
        <w:rPr>
          <w:rFonts w:hint="eastAsia"/>
          <w:color w:val="auto"/>
          <w:highlight w:val="none"/>
        </w:rPr>
        <w:t>4) 磋商报价 (包含首次报价、最后报价) 超过的采购预算金额或者最高限价的 (如本项目公布了最高限价) ；磋商报价 (包含首次报价、最后报价) 超过磋商文件分项采购预算金额 或者最高限价的 (如本项目公布了最高限价) ；</w:t>
      </w:r>
    </w:p>
    <w:p w14:paraId="32805CBE">
      <w:pPr>
        <w:spacing w:line="360" w:lineRule="auto"/>
        <w:ind w:firstLine="420" w:firstLineChars="200"/>
        <w:rPr>
          <w:color w:val="auto"/>
          <w:highlight w:val="none"/>
        </w:rPr>
      </w:pPr>
      <w:r>
        <w:rPr>
          <w:rFonts w:hint="eastAsia"/>
          <w:color w:val="auto"/>
          <w:highlight w:val="none"/>
        </w:rPr>
        <w:t>5) 修正后的报价，供应商不确认的；或者经供应商确认修正后的磋商报价 (包含首次报价、最后报价)超过所磋商分标规定的采购预算金额或者最高限价(如本项目公布了最高限价)； 或者经供应商确认修正后磋商报价 (包含首次报价、最后报价) 超过磋商文件分项采购预算金额或者最高限价的 (如本项目公布了最高限价) 。</w:t>
      </w:r>
    </w:p>
    <w:p w14:paraId="3FBE4CC4">
      <w:pPr>
        <w:spacing w:line="360" w:lineRule="auto"/>
        <w:ind w:firstLine="420" w:firstLineChars="200"/>
        <w:rPr>
          <w:color w:val="auto"/>
          <w:highlight w:val="none"/>
        </w:rPr>
      </w:pPr>
      <w:r>
        <w:rPr>
          <w:rFonts w:hint="eastAsia"/>
          <w:color w:val="auto"/>
          <w:highlight w:val="none"/>
        </w:rPr>
        <w:t>6) 响应文件响应的标的数量及单位与竞争性磋商采购文件要求实质性不一致的。</w:t>
      </w:r>
    </w:p>
    <w:p w14:paraId="754F9160">
      <w:pPr>
        <w:spacing w:line="360" w:lineRule="auto"/>
        <w:ind w:firstLine="420" w:firstLineChars="200"/>
        <w:rPr>
          <w:color w:val="auto"/>
          <w:highlight w:val="none"/>
        </w:rPr>
      </w:pPr>
      <w:r>
        <w:rPr>
          <w:rFonts w:hint="eastAsia"/>
          <w:color w:val="auto"/>
          <w:highlight w:val="none"/>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09EF4CD2">
      <w:pPr>
        <w:spacing w:line="360" w:lineRule="auto"/>
        <w:ind w:firstLine="420" w:firstLineChars="200"/>
        <w:rPr>
          <w:color w:val="auto"/>
          <w:highlight w:val="none"/>
        </w:rPr>
      </w:pPr>
      <w:r>
        <w:rPr>
          <w:rFonts w:hint="eastAsia"/>
          <w:color w:val="auto"/>
          <w:highlight w:val="none"/>
        </w:rPr>
        <w:t>2.7 通过符合性审查的合格供应商不足3家的，不得进入磋商环节，采购人或者采购代理机构应当重新开展采购活动。</w:t>
      </w:r>
    </w:p>
    <w:p w14:paraId="25DCD63B">
      <w:pPr>
        <w:spacing w:line="360" w:lineRule="auto"/>
        <w:ind w:firstLine="420" w:firstLineChars="200"/>
        <w:rPr>
          <w:color w:val="auto"/>
          <w:highlight w:val="none"/>
        </w:rPr>
      </w:pPr>
      <w:r>
        <w:rPr>
          <w:rFonts w:hint="eastAsia"/>
          <w:color w:val="auto"/>
          <w:highlight w:val="none"/>
        </w:rPr>
        <w:t>3.磋商程序</w:t>
      </w:r>
    </w:p>
    <w:p w14:paraId="0D097FF8">
      <w:pPr>
        <w:spacing w:line="360" w:lineRule="auto"/>
        <w:ind w:firstLine="420" w:firstLineChars="200"/>
        <w:rPr>
          <w:color w:val="auto"/>
          <w:highlight w:val="none"/>
        </w:rPr>
      </w:pPr>
      <w:r>
        <w:rPr>
          <w:rFonts w:hint="eastAsia"/>
          <w:color w:val="auto"/>
          <w:highlight w:val="none"/>
        </w:rPr>
        <w:t>3.1 磋商小组按照“供应商须知前附表”确定的顺序，集中与单一供应商分别进行磋商，并给予所有参加磋商的供应商平等的磋商机会。符合磋商资格的供应商必须实时关注广西政府采购云平台(https://www.gcy.zfcg.gxzf.gov.cn/) 开标信息，在接到磋商通知后规定时间内参加磋商，未在规定时间内参加磋商的视同放弃参加磋商权利，其响应文件按无效响应处理。</w:t>
      </w:r>
    </w:p>
    <w:p w14:paraId="1115F1AB">
      <w:pPr>
        <w:spacing w:line="360" w:lineRule="auto"/>
        <w:ind w:firstLine="420" w:firstLineChars="200"/>
        <w:rPr>
          <w:color w:val="auto"/>
          <w:highlight w:val="none"/>
        </w:rPr>
      </w:pPr>
      <w:r>
        <w:rPr>
          <w:rFonts w:hint="eastAsia"/>
          <w:color w:val="auto"/>
          <w:highlight w:val="none"/>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C9F719">
      <w:pPr>
        <w:spacing w:line="360" w:lineRule="auto"/>
        <w:ind w:firstLine="420" w:firstLineChars="200"/>
        <w:rPr>
          <w:color w:val="auto"/>
          <w:highlight w:val="none"/>
        </w:rPr>
      </w:pPr>
      <w:r>
        <w:rPr>
          <w:rFonts w:hint="eastAsia"/>
          <w:color w:val="auto"/>
          <w:highlight w:val="none"/>
        </w:rPr>
        <w:t>3.3 对磋商文件作出的实质性变动是磋商文件的有效组成部分，由磋商小组及时以书面形式同时通知所有参加磋商的供应商。</w:t>
      </w:r>
    </w:p>
    <w:p w14:paraId="6960C6C8">
      <w:pPr>
        <w:spacing w:line="360" w:lineRule="auto"/>
        <w:ind w:firstLine="420" w:firstLineChars="200"/>
        <w:rPr>
          <w:color w:val="auto"/>
          <w:highlight w:val="none"/>
        </w:rPr>
      </w:pPr>
      <w:r>
        <w:rPr>
          <w:rFonts w:hint="eastAsia"/>
          <w:color w:val="auto"/>
          <w:highlight w:val="none"/>
        </w:rPr>
        <w:t>3.4 供应商必须按照磋商文件的变动情况和磋商小组的要求重新提交响应文件，并由其法定代表人或者授权代表签字或者加盖 CA 签章在广西政府采购云平台(https://www.gcy.zfcg.gxzf.gov.cn/)提交。由委托代理人签字的，若委托代理人不是响应文件中授权的委托代理人时，必须同时出示有效 的法定代表人授权委托书原件。供应商为自然人的，必须由本人签字并附身份证明。参加磋商 的供应商未在规定时间内重新提交响应文件的，视同退出磋商。</w:t>
      </w:r>
    </w:p>
    <w:p w14:paraId="37835E8C">
      <w:pPr>
        <w:spacing w:line="360" w:lineRule="auto"/>
        <w:ind w:firstLine="420" w:firstLineChars="200"/>
        <w:rPr>
          <w:color w:val="auto"/>
          <w:highlight w:val="none"/>
        </w:rPr>
      </w:pPr>
      <w:r>
        <w:rPr>
          <w:rFonts w:hint="eastAsia"/>
          <w:color w:val="auto"/>
          <w:highlight w:val="none"/>
        </w:rPr>
        <w:t>3.5 磋商中，磋商的任何一方不得透露与磋商有关的其他供应商的技术资料、价格和其他信息。</w:t>
      </w:r>
    </w:p>
    <w:p w14:paraId="32416CD7">
      <w:pPr>
        <w:spacing w:line="360" w:lineRule="auto"/>
        <w:ind w:firstLine="420" w:firstLineChars="200"/>
        <w:rPr>
          <w:color w:val="auto"/>
          <w:highlight w:val="none"/>
        </w:rPr>
      </w:pPr>
      <w:r>
        <w:rPr>
          <w:rFonts w:hint="eastAsia"/>
          <w:color w:val="auto"/>
          <w:highlight w:val="none"/>
        </w:rPr>
        <w:t>3.6 采购代理机构对磋商过程和重要磋商内容进行记录，磋商双方在记录上签字确认。</w:t>
      </w:r>
    </w:p>
    <w:p w14:paraId="4F19EED7">
      <w:pPr>
        <w:spacing w:line="360" w:lineRule="auto"/>
        <w:ind w:firstLine="420" w:firstLineChars="200"/>
        <w:rPr>
          <w:color w:val="auto"/>
          <w:highlight w:val="none"/>
        </w:rPr>
      </w:pPr>
      <w:r>
        <w:rPr>
          <w:rFonts w:hint="eastAsia"/>
          <w:color w:val="auto"/>
          <w:highlight w:val="none"/>
        </w:rPr>
        <w:t>3.7 磋商过程中重新提交的响应文件，供应商可以在开启前补充、修改。</w:t>
      </w:r>
    </w:p>
    <w:p w14:paraId="65820ED7">
      <w:pPr>
        <w:spacing w:line="360" w:lineRule="auto"/>
        <w:ind w:firstLine="420" w:firstLineChars="200"/>
        <w:rPr>
          <w:color w:val="auto"/>
          <w:highlight w:val="none"/>
        </w:rPr>
      </w:pPr>
      <w:r>
        <w:rPr>
          <w:rFonts w:hint="eastAsia"/>
          <w:color w:val="auto"/>
          <w:highlight w:val="none"/>
        </w:rPr>
        <w:t>3.8 对磋商过程提交的响应文件进行有效性、完整性和响应程度审查，通过审查的合格供应商不足 3 家的，采购人或者采购代理机构应当重新开展采购活动。</w:t>
      </w:r>
    </w:p>
    <w:p w14:paraId="445141C0">
      <w:pPr>
        <w:spacing w:line="360" w:lineRule="auto"/>
        <w:ind w:firstLine="420" w:firstLineChars="200"/>
        <w:rPr>
          <w:color w:val="auto"/>
          <w:highlight w:val="none"/>
        </w:rPr>
      </w:pPr>
      <w:r>
        <w:rPr>
          <w:rFonts w:hint="eastAsia"/>
          <w:color w:val="auto"/>
          <w:highlight w:val="none"/>
        </w:rPr>
        <w:t>3.9 本项目所有响应文件的首次报价及所有磋商报价均不公布。最后磋商结束后，磋商小组不得再与供应商进行任何形式的商谈。</w:t>
      </w:r>
    </w:p>
    <w:p w14:paraId="0149C1A7">
      <w:pPr>
        <w:spacing w:line="360" w:lineRule="auto"/>
        <w:ind w:firstLine="420" w:firstLineChars="200"/>
        <w:rPr>
          <w:color w:val="auto"/>
          <w:highlight w:val="none"/>
        </w:rPr>
      </w:pPr>
      <w:r>
        <w:rPr>
          <w:rFonts w:hint="eastAsia"/>
          <w:color w:val="auto"/>
          <w:highlight w:val="none"/>
        </w:rPr>
        <w:t>4. 最后报价</w:t>
      </w:r>
    </w:p>
    <w:p w14:paraId="62AB46C3">
      <w:pPr>
        <w:spacing w:line="360" w:lineRule="auto"/>
        <w:ind w:firstLine="420" w:firstLineChars="200"/>
        <w:rPr>
          <w:color w:val="auto"/>
          <w:highlight w:val="none"/>
        </w:rPr>
      </w:pPr>
      <w:r>
        <w:rPr>
          <w:rFonts w:hint="eastAsia"/>
          <w:color w:val="auto"/>
          <w:highlight w:val="none"/>
        </w:rPr>
        <w:t>4.1 磋商文件能够详细列明采购标的的技术、服务要求的，磋商结束后，由磋商小组要求所有继续参加磋商的供应商在规定时间内在广西政府采购云平台(https://www.gcy.zfcg.gxzf.gov.cn/) 提交最后报价，提交最后报价的供应商不得少于 3 家，除本章第 4.3 条外，否则必须重新采购。</w:t>
      </w:r>
    </w:p>
    <w:p w14:paraId="6CB39F37">
      <w:pPr>
        <w:spacing w:line="360" w:lineRule="auto"/>
        <w:ind w:firstLine="420" w:firstLineChars="200"/>
        <w:rPr>
          <w:color w:val="auto"/>
          <w:highlight w:val="none"/>
        </w:rPr>
      </w:pPr>
      <w:r>
        <w:rPr>
          <w:rFonts w:hint="eastAsia"/>
          <w:color w:val="auto"/>
          <w:highlight w:val="none"/>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家以上供应商的设计方案或者解决方案，并要求其在规定时间内在广西政府采购云平台(https://www.gcy.zfcg.gxzf.gov.cn/) 提交最后报价。</w:t>
      </w:r>
    </w:p>
    <w:p w14:paraId="77E12A17">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739FD79F">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 如磋商文件或磋商程中明确供应商应提供技术服务及其它服务的 (如检测费、验收发生的费 用) ，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 提交，逾期则最后报价无效，以首次报价为准。</w:t>
      </w:r>
    </w:p>
    <w:p w14:paraId="79001A0B">
      <w:pPr>
        <w:spacing w:line="360" w:lineRule="auto"/>
        <w:ind w:firstLine="420" w:firstLineChars="200"/>
        <w:rPr>
          <w:color w:val="auto"/>
          <w:highlight w:val="none"/>
        </w:rPr>
      </w:pPr>
      <w:r>
        <w:rPr>
          <w:rFonts w:hint="eastAsia"/>
          <w:color w:val="auto"/>
          <w:highlight w:val="none"/>
        </w:rPr>
        <w:t>4.3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第三条第四项“市场竞争不充分的科研项目，以及需要扶持的科技成果转化项目”的，提交最后报价的供应商可以为2 家。</w:t>
      </w:r>
    </w:p>
    <w:p w14:paraId="2A7E2539">
      <w:pPr>
        <w:spacing w:line="360" w:lineRule="auto"/>
        <w:ind w:firstLine="420" w:firstLineChars="200"/>
        <w:rPr>
          <w:color w:val="auto"/>
          <w:highlight w:val="none"/>
        </w:rPr>
      </w:pPr>
      <w:r>
        <w:rPr>
          <w:rFonts w:hint="eastAsia"/>
          <w:color w:val="auto"/>
          <w:highlight w:val="none"/>
        </w:rPr>
        <w:t>4.4 已经提交响应文件的供应商，在提交最后报价之前，可以根据磋商情况退出磋商，退出磋商的供应商的响应文件按无效响应处理。采购人、采购代理机构将退还退出磋商的供应商的保证金。</w:t>
      </w:r>
    </w:p>
    <w:p w14:paraId="554D081E">
      <w:pPr>
        <w:spacing w:line="360" w:lineRule="auto"/>
        <w:ind w:firstLine="420" w:firstLineChars="200"/>
        <w:rPr>
          <w:color w:val="auto"/>
          <w:highlight w:val="none"/>
        </w:rPr>
      </w:pPr>
      <w:r>
        <w:rPr>
          <w:rFonts w:hint="eastAsia"/>
          <w:color w:val="auto"/>
          <w:highlight w:val="none"/>
        </w:rPr>
        <w:t>4.5 供应商未在规定时间内提交最后报价的，视同退出磋商。</w:t>
      </w:r>
    </w:p>
    <w:p w14:paraId="681C4CA2">
      <w:pPr>
        <w:spacing w:line="360" w:lineRule="auto"/>
        <w:ind w:firstLine="420" w:firstLineChars="200"/>
        <w:rPr>
          <w:color w:val="auto"/>
          <w:highlight w:val="none"/>
        </w:rPr>
      </w:pPr>
      <w:r>
        <w:rPr>
          <w:rFonts w:hint="eastAsia"/>
          <w:color w:val="auto"/>
          <w:highlight w:val="none"/>
        </w:rPr>
        <w:t>4.6 磋商小组收齐某一分标最后报价后统一开启，磋商小组对最后报价进行有效性、完整性和响应程度的审查。</w:t>
      </w:r>
    </w:p>
    <w:p w14:paraId="769E56C9">
      <w:pPr>
        <w:spacing w:line="360" w:lineRule="auto"/>
        <w:ind w:firstLine="420" w:firstLineChars="200"/>
        <w:rPr>
          <w:color w:val="auto"/>
          <w:highlight w:val="none"/>
        </w:rPr>
      </w:pPr>
      <w:r>
        <w:rPr>
          <w:rFonts w:hint="eastAsia"/>
          <w:color w:val="auto"/>
          <w:highlight w:val="none"/>
        </w:rPr>
        <w:t>4.7 响应文件最后报价出现前后不一致的，按照本正文第 25.2.4 条的规定修正。</w:t>
      </w:r>
    </w:p>
    <w:p w14:paraId="09F5661F">
      <w:pPr>
        <w:spacing w:line="360" w:lineRule="auto"/>
        <w:ind w:firstLine="420" w:firstLineChars="200"/>
        <w:rPr>
          <w:color w:val="auto"/>
          <w:highlight w:val="none"/>
        </w:rPr>
      </w:pPr>
      <w:r>
        <w:rPr>
          <w:rFonts w:hint="eastAsia"/>
          <w:color w:val="auto"/>
          <w:highlight w:val="none"/>
        </w:rPr>
        <w:t>4.8 修正后的报价出现下列情形的，按无效响应处理：</w:t>
      </w:r>
    </w:p>
    <w:p w14:paraId="02BF2C65">
      <w:pPr>
        <w:spacing w:line="360" w:lineRule="auto"/>
        <w:ind w:firstLine="420" w:firstLineChars="200"/>
        <w:rPr>
          <w:color w:val="auto"/>
          <w:highlight w:val="none"/>
        </w:rPr>
      </w:pPr>
      <w:r>
        <w:rPr>
          <w:rFonts w:hint="eastAsia"/>
          <w:color w:val="auto"/>
          <w:highlight w:val="none"/>
        </w:rPr>
        <w:t>(1) 供应商不确认的；</w:t>
      </w:r>
    </w:p>
    <w:p w14:paraId="3441FD8F">
      <w:pPr>
        <w:spacing w:line="360" w:lineRule="auto"/>
        <w:ind w:firstLine="420" w:firstLineChars="200"/>
        <w:rPr>
          <w:color w:val="auto"/>
          <w:highlight w:val="none"/>
        </w:rPr>
      </w:pPr>
      <w:r>
        <w:rPr>
          <w:rFonts w:hint="eastAsia"/>
          <w:color w:val="auto"/>
          <w:highlight w:val="none"/>
        </w:rPr>
        <w:t>(2) 经供应商确认修正后的竞标报价 (包含首次报价、最后报价) 超过所竞标规定的采购预算金额或者最高限价的 (如本项目公布了最高限价) ；</w:t>
      </w:r>
    </w:p>
    <w:p w14:paraId="11796369">
      <w:pPr>
        <w:spacing w:line="360" w:lineRule="auto"/>
        <w:ind w:firstLine="420" w:firstLineChars="200"/>
        <w:rPr>
          <w:color w:val="auto"/>
          <w:highlight w:val="none"/>
        </w:rPr>
      </w:pPr>
      <w:r>
        <w:rPr>
          <w:rFonts w:hint="eastAsia"/>
          <w:color w:val="auto"/>
          <w:highlight w:val="none"/>
        </w:rPr>
        <w:t>(3) 经供应商确认修正后的竞标报价 (包含首次报价、最后报价) 超过分项采购预算金额或者最高限价的 (如本项目公布了最高限价) 。</w:t>
      </w:r>
    </w:p>
    <w:p w14:paraId="7D75C156">
      <w:pPr>
        <w:spacing w:line="360" w:lineRule="auto"/>
        <w:ind w:firstLine="420" w:firstLineChars="200"/>
        <w:rPr>
          <w:color w:val="auto"/>
          <w:highlight w:val="none"/>
        </w:rPr>
      </w:pPr>
      <w:r>
        <w:rPr>
          <w:rFonts w:hint="eastAsia"/>
          <w:color w:val="auto"/>
          <w:highlight w:val="none"/>
        </w:rPr>
        <w:t>4.9 经供应商确认修正后的最后报价作为评审及签订合同的依据。</w:t>
      </w:r>
    </w:p>
    <w:p w14:paraId="77AF1210">
      <w:pPr>
        <w:spacing w:line="360" w:lineRule="auto"/>
        <w:ind w:firstLine="420" w:firstLineChars="200"/>
        <w:rPr>
          <w:color w:val="auto"/>
          <w:highlight w:val="none"/>
        </w:rPr>
      </w:pPr>
      <w:r>
        <w:rPr>
          <w:rFonts w:hint="eastAsia"/>
          <w:color w:val="auto"/>
          <w:highlight w:val="none"/>
        </w:rPr>
        <w:t>4.10 最后报价结束后，磋商小组不得再与供应商进行任何形式的商谈。</w:t>
      </w:r>
    </w:p>
    <w:p w14:paraId="5385C7EE">
      <w:pPr>
        <w:spacing w:line="360" w:lineRule="auto"/>
        <w:ind w:firstLine="420" w:firstLineChars="200"/>
        <w:rPr>
          <w:color w:val="auto"/>
          <w:highlight w:val="none"/>
        </w:rPr>
      </w:pPr>
      <w:r>
        <w:rPr>
          <w:rFonts w:hint="eastAsia"/>
          <w:color w:val="auto"/>
          <w:highlight w:val="none"/>
        </w:rPr>
        <w:t>5.比较与评价</w:t>
      </w:r>
    </w:p>
    <w:p w14:paraId="3F6B687C">
      <w:pPr>
        <w:spacing w:line="360" w:lineRule="auto"/>
        <w:ind w:firstLine="420" w:firstLineChars="200"/>
        <w:rPr>
          <w:color w:val="auto"/>
          <w:highlight w:val="none"/>
        </w:rPr>
      </w:pPr>
      <w:r>
        <w:rPr>
          <w:rFonts w:hint="eastAsia"/>
          <w:color w:val="auto"/>
          <w:highlight w:val="none"/>
        </w:rPr>
        <w:t>5.1 评审方法：综合评分法。</w:t>
      </w:r>
    </w:p>
    <w:p w14:paraId="6F8767E9">
      <w:pPr>
        <w:spacing w:line="360" w:lineRule="auto"/>
        <w:ind w:firstLine="420" w:firstLineChars="200"/>
        <w:rPr>
          <w:color w:val="auto"/>
          <w:highlight w:val="none"/>
        </w:rPr>
      </w:pPr>
      <w:r>
        <w:rPr>
          <w:rFonts w:hint="eastAsia"/>
          <w:color w:val="auto"/>
          <w:highlight w:val="none"/>
        </w:rPr>
        <w:t>5.2 经磋商确定最终采购需求和提交最后报价的供应商后，由磋商小组采用综合评分法对提交最后报价的供应商的响应文件和最后报价进行综合评分。</w:t>
      </w:r>
    </w:p>
    <w:p w14:paraId="666BDA41">
      <w:pPr>
        <w:spacing w:line="360" w:lineRule="auto"/>
        <w:ind w:firstLine="420" w:firstLineChars="200"/>
        <w:rPr>
          <w:color w:val="auto"/>
          <w:highlight w:val="none"/>
        </w:rPr>
      </w:pPr>
      <w:r>
        <w:rPr>
          <w:rFonts w:hint="eastAsia"/>
          <w:color w:val="auto"/>
          <w:highlight w:val="none"/>
        </w:rPr>
        <w:t>5.3 评审时，磋商小组各成员应当独立对每个有效响应的文件进行评价、打分，然后汇总每个供应商每项评分因素的得分。</w:t>
      </w:r>
    </w:p>
    <w:p w14:paraId="379A9A9C">
      <w:pPr>
        <w:spacing w:line="360" w:lineRule="auto"/>
        <w:ind w:firstLine="420" w:firstLineChars="200"/>
        <w:rPr>
          <w:color w:val="auto"/>
          <w:highlight w:val="none"/>
        </w:rPr>
      </w:pPr>
      <w:r>
        <w:rPr>
          <w:rFonts w:hint="eastAsia"/>
          <w:color w:val="auto"/>
          <w:highlight w:val="none"/>
        </w:rPr>
        <w:t>(1) 磋商小组按照磋商文件中规定的评审标准计算各供应商的报价得分。项目评审过程中，不得去掉最后报价中的最高报价和最低报价。</w:t>
      </w:r>
    </w:p>
    <w:p w14:paraId="59CB2B39">
      <w:pPr>
        <w:spacing w:line="360" w:lineRule="auto"/>
        <w:ind w:firstLine="420" w:firstLineChars="200"/>
        <w:rPr>
          <w:color w:val="auto"/>
          <w:highlight w:val="none"/>
        </w:rPr>
      </w:pPr>
      <w:r>
        <w:rPr>
          <w:rFonts w:hint="eastAsia"/>
          <w:color w:val="auto"/>
          <w:highlight w:val="none"/>
        </w:rPr>
        <w:t>(2) 各供应商的得分为磋商小组所有成员的有效评分的算术平均数。</w:t>
      </w:r>
    </w:p>
    <w:p w14:paraId="0C106F84">
      <w:pPr>
        <w:spacing w:line="360" w:lineRule="auto"/>
        <w:ind w:firstLine="420" w:firstLineChars="200"/>
        <w:rPr>
          <w:color w:val="auto"/>
          <w:highlight w:val="none"/>
        </w:rPr>
      </w:pPr>
      <w:r>
        <w:rPr>
          <w:rFonts w:hint="eastAsia"/>
          <w:color w:val="auto"/>
          <w:highlight w:val="none"/>
        </w:rPr>
        <w:t>5.4 评审价为供应商的最后报价进行政策性扣除后的价格，评审价只是作为评审时使用。最终成交供应商的成交金额等于最后报价 (如有修正，以确认修正后的最后报价为准) 。</w:t>
      </w:r>
    </w:p>
    <w:p w14:paraId="2B4CDA50">
      <w:pPr>
        <w:spacing w:line="360" w:lineRule="auto"/>
        <w:ind w:firstLine="420" w:firstLineChars="200"/>
        <w:rPr>
          <w:color w:val="auto"/>
          <w:highlight w:val="none"/>
        </w:rPr>
      </w:pPr>
      <w:r>
        <w:rPr>
          <w:rFonts w:hint="eastAsia"/>
          <w:color w:val="auto"/>
          <w:highlight w:val="none"/>
        </w:rPr>
        <w:t>5.5 由磋商小组根据综合评分情况，按照评审得分由高到低顺序推荐3名以上成交候选供应商，并编写评审报告。符合本章第 4.3 条情形的，可以推荐2家成交候选供应商。评审得分相同的，按照最后报价由低到高的顺序推荐。评审得分且最后报价相同的，按照技术指标优劣顺序推荐。</w:t>
      </w:r>
    </w:p>
    <w:p w14:paraId="5414F8C9">
      <w:pPr>
        <w:spacing w:line="360" w:lineRule="auto"/>
        <w:ind w:firstLine="420" w:firstLineChars="200"/>
        <w:rPr>
          <w:color w:val="auto"/>
          <w:highlight w:val="none"/>
        </w:rPr>
      </w:pPr>
      <w:r>
        <w:rPr>
          <w:rFonts w:hint="eastAsia"/>
          <w:color w:val="auto"/>
          <w:highlight w:val="none"/>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763B82">
      <w:pPr>
        <w:spacing w:line="360" w:lineRule="auto"/>
        <w:rPr>
          <w:b/>
          <w:bCs/>
          <w:color w:val="auto"/>
          <w:highlight w:val="none"/>
        </w:rPr>
      </w:pPr>
      <w:r>
        <w:rPr>
          <w:rFonts w:hint="eastAsia"/>
          <w:b/>
          <w:bCs/>
          <w:color w:val="auto"/>
          <w:highlight w:val="none"/>
        </w:rPr>
        <w:t>二、评定标准</w:t>
      </w:r>
    </w:p>
    <w:p w14:paraId="3236C50D">
      <w:pPr>
        <w:spacing w:line="360" w:lineRule="auto"/>
        <w:ind w:firstLine="420" w:firstLineChars="200"/>
        <w:rPr>
          <w:color w:val="auto"/>
          <w:highlight w:val="none"/>
        </w:rPr>
      </w:pPr>
      <w:r>
        <w:rPr>
          <w:rFonts w:hint="eastAsia"/>
          <w:color w:val="auto"/>
          <w:highlight w:val="none"/>
        </w:rPr>
        <w:t>一、评标原则</w:t>
      </w:r>
    </w:p>
    <w:p w14:paraId="333DB066">
      <w:pPr>
        <w:spacing w:line="360" w:lineRule="auto"/>
        <w:ind w:firstLine="420" w:firstLineChars="200"/>
        <w:rPr>
          <w:color w:val="auto"/>
          <w:highlight w:val="none"/>
        </w:rPr>
      </w:pPr>
      <w:r>
        <w:rPr>
          <w:rFonts w:hint="eastAsia"/>
          <w:color w:val="auto"/>
          <w:highlight w:val="none"/>
        </w:rPr>
        <w:t>(一) 磋商小组构成：本项目的磋商小组由采购人代表和评审专家共3人以上单数组成， 其中评审专家人数不得少于磋商小组成员总数的 2/3。采购人代表不得以评审专家身份参加本部门或本单位采购项目的评审。</w:t>
      </w:r>
    </w:p>
    <w:p w14:paraId="44637CE6">
      <w:pPr>
        <w:spacing w:line="360" w:lineRule="auto"/>
        <w:ind w:firstLine="420" w:firstLineChars="200"/>
        <w:rPr>
          <w:color w:val="auto"/>
          <w:highlight w:val="none"/>
        </w:rPr>
      </w:pPr>
      <w:r>
        <w:rPr>
          <w:rFonts w:hint="eastAsia"/>
          <w:color w:val="auto"/>
          <w:highlight w:val="none"/>
        </w:rPr>
        <w:t>(二) 评审依据：磋商小组将以竞争性磋商文件和响应文件为评定依据进行评审，对供应商的报价、服务承诺、人员配备情况、信誉业绩及供应商对本项目的实施技术与服务等等内容 按百分制打分。</w:t>
      </w:r>
    </w:p>
    <w:p w14:paraId="371AD589">
      <w:pPr>
        <w:spacing w:line="360" w:lineRule="auto"/>
        <w:ind w:firstLine="420" w:firstLineChars="200"/>
        <w:rPr>
          <w:color w:val="auto"/>
          <w:highlight w:val="none"/>
        </w:rPr>
      </w:pPr>
      <w:r>
        <w:rPr>
          <w:rFonts w:hint="eastAsia"/>
          <w:color w:val="auto"/>
          <w:highlight w:val="none"/>
        </w:rPr>
        <w:t>(三) 评审方法：综合评分法。</w:t>
      </w:r>
    </w:p>
    <w:p w14:paraId="1FCA006A">
      <w:pPr>
        <w:spacing w:line="360" w:lineRule="auto"/>
        <w:ind w:firstLine="420" w:firstLineChars="200"/>
        <w:rPr>
          <w:color w:val="auto"/>
          <w:highlight w:val="none"/>
        </w:rPr>
      </w:pPr>
      <w:r>
        <w:rPr>
          <w:rFonts w:hint="eastAsia"/>
          <w:color w:val="auto"/>
          <w:highlight w:val="none"/>
        </w:rPr>
        <w:t>(四) 政策优惠：无</w:t>
      </w:r>
    </w:p>
    <w:p w14:paraId="5E13E972">
      <w:pPr>
        <w:pStyle w:val="5"/>
        <w:spacing w:line="360" w:lineRule="auto"/>
        <w:ind w:left="0" w:firstLine="422" w:firstLineChars="200"/>
        <w:jc w:val="both"/>
        <w:rPr>
          <w:color w:val="auto"/>
          <w:highlight w:val="none"/>
          <w:lang w:val="en-US"/>
        </w:rPr>
      </w:pPr>
      <w:r>
        <w:rPr>
          <w:rFonts w:hint="eastAsia" w:cs="Times New Roman"/>
          <w:color w:val="auto"/>
          <w:sz w:val="21"/>
          <w:szCs w:val="21"/>
          <w:highlight w:val="none"/>
          <w:lang w:val="en-US" w:bidi="ar-SA"/>
        </w:rPr>
        <w:t>本项目为</w:t>
      </w:r>
      <w:r>
        <w:rPr>
          <w:rFonts w:cs="Times New Roman"/>
          <w:color w:val="auto"/>
          <w:sz w:val="21"/>
          <w:szCs w:val="21"/>
          <w:highlight w:val="none"/>
          <w:lang w:val="en-US" w:bidi="ar-SA"/>
        </w:rPr>
        <w:t>预留份额专门面向中小企业采购的服务采购项目</w:t>
      </w:r>
      <w:r>
        <w:rPr>
          <w:rFonts w:hint="eastAsia" w:cs="Times New Roman"/>
          <w:color w:val="auto"/>
          <w:sz w:val="21"/>
          <w:szCs w:val="21"/>
          <w:highlight w:val="none"/>
          <w:lang w:val="en-US" w:bidi="ar-SA"/>
        </w:rPr>
        <w:t>，因此无政府采购政策性扣除。</w:t>
      </w:r>
    </w:p>
    <w:p w14:paraId="3411A9CA">
      <w:pPr>
        <w:spacing w:line="360" w:lineRule="auto"/>
        <w:ind w:firstLine="420" w:firstLineChars="200"/>
        <w:rPr>
          <w:color w:val="auto"/>
          <w:highlight w:val="none"/>
        </w:rPr>
      </w:pPr>
      <w:r>
        <w:rPr>
          <w:rFonts w:hint="eastAsia"/>
          <w:color w:val="auto"/>
          <w:highlight w:val="none"/>
        </w:rPr>
        <w:t>(5) 除上述情况外，评审价＝最后报价。</w:t>
      </w:r>
    </w:p>
    <w:p w14:paraId="0934B894">
      <w:pPr>
        <w:spacing w:line="360" w:lineRule="auto"/>
        <w:ind w:firstLine="422" w:firstLineChars="200"/>
        <w:rPr>
          <w:b/>
          <w:bCs/>
          <w:color w:val="auto"/>
          <w:highlight w:val="none"/>
        </w:rPr>
      </w:pPr>
      <w:r>
        <w:rPr>
          <w:rFonts w:hint="eastAsia"/>
          <w:b/>
          <w:bCs/>
          <w:color w:val="auto"/>
          <w:highlight w:val="none"/>
        </w:rPr>
        <w:t>二、评定方法</w:t>
      </w:r>
    </w:p>
    <w:p w14:paraId="10D25170">
      <w:pPr>
        <w:spacing w:line="360" w:lineRule="auto"/>
        <w:ind w:firstLine="420" w:firstLineChars="200"/>
        <w:rPr>
          <w:color w:val="auto"/>
          <w:highlight w:val="none"/>
        </w:rPr>
      </w:pPr>
      <w:r>
        <w:rPr>
          <w:rFonts w:hint="eastAsia"/>
          <w:color w:val="auto"/>
          <w:highlight w:val="none"/>
        </w:rPr>
        <w:t>( 一) 对进入详评的，磋商小组将以竞争性磋商文件 、响应文件为评定依据，采用百分制综合评分法；计分办法（按四舍五入取至百分位）。</w:t>
      </w:r>
    </w:p>
    <w:p w14:paraId="2519294F">
      <w:pPr>
        <w:spacing w:line="360" w:lineRule="auto"/>
        <w:ind w:firstLine="422" w:firstLineChars="200"/>
        <w:rPr>
          <w:b/>
          <w:bCs/>
          <w:color w:val="auto"/>
          <w:highlight w:val="none"/>
        </w:rPr>
      </w:pPr>
      <w:r>
        <w:rPr>
          <w:rFonts w:hint="eastAsia"/>
          <w:b/>
          <w:bCs/>
          <w:color w:val="auto"/>
          <w:highlight w:val="none"/>
        </w:rPr>
        <w:t>1、价格分……………………………………………………………………………………30 分</w:t>
      </w:r>
    </w:p>
    <w:p w14:paraId="2F70762C">
      <w:pPr>
        <w:spacing w:line="360" w:lineRule="auto"/>
        <w:ind w:firstLine="420" w:firstLineChars="200"/>
        <w:rPr>
          <w:color w:val="auto"/>
          <w:highlight w:val="none"/>
        </w:rPr>
      </w:pPr>
      <w:r>
        <w:rPr>
          <w:rFonts w:hint="eastAsia"/>
          <w:color w:val="auto"/>
          <w:highlight w:val="none"/>
        </w:rPr>
        <w:t>(1) 价格分统一采用低价优先法计算，即满足磋商文件要求且评审价最低的有效供应商的评审价为磋商基准价，其价格分为满分。超出预算价和未通过资格、符合性审查的供应商， 其报价无效。报价评分以最后磋商报价的评审价为依据，根据上面的优惠政策计算各个磋商供 应商的评审报价进行计算价格分。</w:t>
      </w:r>
    </w:p>
    <w:p w14:paraId="1C634100">
      <w:pPr>
        <w:spacing w:line="360" w:lineRule="auto"/>
        <w:ind w:firstLine="420" w:firstLineChars="200"/>
        <w:rPr>
          <w:color w:val="auto"/>
          <w:highlight w:val="none"/>
        </w:rPr>
      </w:pPr>
      <w:r>
        <w:rPr>
          <w:rFonts w:hint="eastAsia"/>
          <w:color w:val="auto"/>
          <w:highlight w:val="none"/>
        </w:rPr>
        <w:t>(2) 其他供应商的价格分统一按照下列公式计算：</w:t>
      </w:r>
    </w:p>
    <w:p w14:paraId="24FC994C">
      <w:pPr>
        <w:spacing w:line="360" w:lineRule="auto"/>
        <w:ind w:firstLine="420" w:firstLineChars="200"/>
        <w:rPr>
          <w:color w:val="auto"/>
          <w:highlight w:val="none"/>
        </w:rPr>
      </w:pPr>
      <w:r>
        <w:rPr>
          <w:rFonts w:hint="eastAsia"/>
          <w:color w:val="auto"/>
          <w:highlight w:val="none"/>
        </w:rPr>
        <w:t>某有效供应商价格分 = (磋商基准价/某有效供应商评审价) ×30 分</w:t>
      </w:r>
    </w:p>
    <w:p w14:paraId="79D1D283">
      <w:pPr>
        <w:spacing w:line="360" w:lineRule="auto"/>
        <w:ind w:firstLine="422" w:firstLineChars="200"/>
        <w:rPr>
          <w:b/>
          <w:bCs/>
          <w:color w:val="auto"/>
          <w:highlight w:val="none"/>
        </w:rPr>
      </w:pPr>
      <w:r>
        <w:rPr>
          <w:rFonts w:hint="eastAsia"/>
          <w:b/>
          <w:bCs/>
          <w:color w:val="auto"/>
          <w:highlight w:val="none"/>
        </w:rPr>
        <w:t>2、技术分 ……………………………………………………………………………………70 分</w:t>
      </w:r>
    </w:p>
    <w:p w14:paraId="69A33F67">
      <w:pPr>
        <w:spacing w:line="360" w:lineRule="auto"/>
        <w:ind w:firstLine="422" w:firstLineChars="200"/>
        <w:rPr>
          <w:b/>
          <w:bCs/>
          <w:color w:val="auto"/>
          <w:highlight w:val="none"/>
        </w:rPr>
      </w:pPr>
      <w:r>
        <w:rPr>
          <w:rFonts w:hint="eastAsia"/>
          <w:b/>
          <w:bCs/>
          <w:color w:val="auto"/>
          <w:highlight w:val="none"/>
        </w:rPr>
        <w:t>(1) 拟投入人员配备情况 (满分3分)</w:t>
      </w:r>
    </w:p>
    <w:p w14:paraId="78A52CFC">
      <w:pPr>
        <w:spacing w:line="360" w:lineRule="auto"/>
        <w:ind w:firstLine="420" w:firstLineChars="200"/>
        <w:rPr>
          <w:color w:val="auto"/>
          <w:highlight w:val="none"/>
        </w:rPr>
      </w:pPr>
      <w:r>
        <w:rPr>
          <w:rFonts w:hint="eastAsia"/>
          <w:color w:val="auto"/>
          <w:highlight w:val="none"/>
        </w:rPr>
        <w:t>①项目经理要求：具备公路工程专业贰级及以上注册建造师执业资格，并具</w:t>
      </w:r>
      <w:r>
        <w:rPr>
          <w:rFonts w:hint="eastAsia"/>
          <w:color w:val="auto"/>
          <w:highlight w:val="none"/>
          <w:lang w:eastAsia="zh-CN"/>
        </w:rPr>
        <w:t>有</w:t>
      </w:r>
      <w:r>
        <w:rPr>
          <w:rStyle w:val="29"/>
          <w:rFonts w:hint="eastAsia" w:ascii="宋体" w:hAnsi="宋体" w:eastAsia="宋体" w:cs="宋体"/>
          <w:b w:val="0"/>
          <w:color w:val="auto"/>
          <w:sz w:val="21"/>
          <w:szCs w:val="24"/>
          <w:highlight w:val="none"/>
          <w:lang w:val="en-US" w:eastAsia="zh-CN"/>
        </w:rPr>
        <w:t>省级（或以上）交通运输主管部门颁发的安全生产考核合格证（“三类人员”B 类证书）</w:t>
      </w:r>
      <w:r>
        <w:rPr>
          <w:rFonts w:hint="eastAsia"/>
          <w:color w:val="auto"/>
          <w:highlight w:val="none"/>
        </w:rPr>
        <w:t>，得1分。  (满分1分)</w:t>
      </w:r>
    </w:p>
    <w:p w14:paraId="73607A8A">
      <w:pPr>
        <w:spacing w:line="360" w:lineRule="auto"/>
        <w:ind w:firstLine="420" w:firstLineChars="200"/>
        <w:rPr>
          <w:rFonts w:hint="eastAsia"/>
          <w:color w:val="auto"/>
          <w:highlight w:val="none"/>
        </w:rPr>
      </w:pPr>
      <w:r>
        <w:rPr>
          <w:rFonts w:hint="eastAsia"/>
          <w:color w:val="auto"/>
          <w:highlight w:val="none"/>
        </w:rPr>
        <w:t>②基本人员要求：拟派驻本项目的技术负责人应具有工程类中级及以上职称证件，安全员</w:t>
      </w:r>
      <w:r>
        <w:rPr>
          <w:rStyle w:val="29"/>
          <w:rFonts w:hint="eastAsia" w:ascii="宋体" w:hAnsi="宋体" w:eastAsia="宋体" w:cs="宋体"/>
          <w:b w:val="0"/>
          <w:color w:val="auto"/>
          <w:sz w:val="21"/>
          <w:szCs w:val="24"/>
          <w:highlight w:val="none"/>
        </w:rPr>
        <w:t>具备省级（或以上）有效的《安全生产考核合格证书》（C 类）证书</w:t>
      </w:r>
      <w:r>
        <w:rPr>
          <w:rFonts w:hint="eastAsia" w:eastAsia="宋体"/>
          <w:color w:val="auto"/>
          <w:highlight w:val="none"/>
          <w:lang w:eastAsia="zh-CN"/>
        </w:rPr>
        <w:t>，</w:t>
      </w:r>
      <w:r>
        <w:rPr>
          <w:rFonts w:hint="eastAsia"/>
          <w:color w:val="auto"/>
          <w:highlight w:val="none"/>
        </w:rPr>
        <w:t>施工员、</w:t>
      </w:r>
      <w:r>
        <w:rPr>
          <w:rStyle w:val="29"/>
          <w:rFonts w:hint="eastAsia" w:ascii="宋体" w:hAnsi="宋体" w:eastAsia="宋体" w:cs="宋体"/>
          <w:b w:val="0"/>
          <w:color w:val="auto"/>
          <w:sz w:val="21"/>
          <w:szCs w:val="24"/>
          <w:highlight w:val="none"/>
          <w:lang w:eastAsia="zh-CN"/>
        </w:rPr>
        <w:t>质量员</w:t>
      </w:r>
      <w:r>
        <w:rPr>
          <w:rFonts w:hint="eastAsia"/>
          <w:color w:val="auto"/>
          <w:highlight w:val="none"/>
        </w:rPr>
        <w:t>、</w:t>
      </w:r>
      <w:r>
        <w:rPr>
          <w:rStyle w:val="29"/>
          <w:rFonts w:hint="eastAsia" w:ascii="宋体" w:hAnsi="宋体" w:eastAsia="宋体" w:cs="宋体"/>
          <w:b w:val="0"/>
          <w:color w:val="auto"/>
          <w:sz w:val="21"/>
          <w:szCs w:val="24"/>
          <w:highlight w:val="none"/>
          <w:lang w:eastAsia="zh-CN"/>
        </w:rPr>
        <w:t>资料员</w:t>
      </w:r>
      <w:r>
        <w:rPr>
          <w:rFonts w:hint="eastAsia"/>
          <w:color w:val="auto"/>
          <w:highlight w:val="none"/>
        </w:rPr>
        <w:t>应具有相应岗位资格证书，且拟投入的项目管理人员符合国家及广西壮族自治区的规定，否则不得分。</w:t>
      </w:r>
    </w:p>
    <w:p w14:paraId="7D28CF22">
      <w:pPr>
        <w:spacing w:line="360" w:lineRule="auto"/>
        <w:ind w:firstLine="420" w:firstLineChars="200"/>
        <w:rPr>
          <w:rFonts w:hint="eastAsia" w:eastAsia="宋体"/>
          <w:color w:val="auto"/>
          <w:highlight w:val="none"/>
          <w:lang w:eastAsia="zh-CN"/>
        </w:rPr>
      </w:pPr>
      <w:r>
        <w:rPr>
          <w:rStyle w:val="29"/>
          <w:rFonts w:ascii="宋体" w:hAnsi="宋体" w:eastAsia="宋体" w:cs="宋体"/>
          <w:b w:val="0"/>
          <w:color w:val="auto"/>
          <w:sz w:val="21"/>
          <w:szCs w:val="24"/>
          <w:highlight w:val="none"/>
        </w:rPr>
        <w:t>注： 要求中的“公路工程 ”专业是指职称证上的专业，为公路工程、公路与城市道路、道路与桥梁、交通土建、交通工程、隧道工程、道路工程、土木工程等专业均可</w:t>
      </w:r>
      <w:r>
        <w:rPr>
          <w:rStyle w:val="29"/>
          <w:rFonts w:hint="eastAsia" w:ascii="宋体" w:hAnsi="宋体" w:eastAsia="宋体" w:cs="宋体"/>
          <w:b w:val="0"/>
          <w:color w:val="auto"/>
          <w:sz w:val="21"/>
          <w:szCs w:val="24"/>
          <w:highlight w:val="none"/>
          <w:lang w:eastAsia="zh-CN"/>
        </w:rPr>
        <w:t>。</w:t>
      </w:r>
    </w:p>
    <w:p w14:paraId="4FF06559">
      <w:pPr>
        <w:spacing w:line="360" w:lineRule="auto"/>
        <w:ind w:firstLine="420" w:firstLineChars="200"/>
        <w:rPr>
          <w:color w:val="auto"/>
          <w:highlight w:val="none"/>
        </w:rPr>
      </w:pPr>
      <w:r>
        <w:rPr>
          <w:rFonts w:hint="eastAsia"/>
          <w:color w:val="auto"/>
          <w:highlight w:val="none"/>
        </w:rPr>
        <w:t>优 (2分) ：投入人员齐备、搭配合理科学，完全满足施工需要。</w:t>
      </w:r>
    </w:p>
    <w:p w14:paraId="3AB7B415">
      <w:pPr>
        <w:spacing w:line="360" w:lineRule="auto"/>
        <w:ind w:firstLine="420" w:firstLineChars="200"/>
        <w:rPr>
          <w:color w:val="auto"/>
          <w:highlight w:val="none"/>
        </w:rPr>
      </w:pPr>
      <w:r>
        <w:rPr>
          <w:rFonts w:hint="eastAsia"/>
          <w:color w:val="auto"/>
          <w:highlight w:val="none"/>
        </w:rPr>
        <w:t>良 (1.5分) ：投入人员基本齐备、搭配合理，满足施工需要。</w:t>
      </w:r>
    </w:p>
    <w:p w14:paraId="281DECBA">
      <w:pPr>
        <w:spacing w:line="360" w:lineRule="auto"/>
        <w:ind w:firstLine="420" w:firstLineChars="200"/>
        <w:rPr>
          <w:color w:val="auto"/>
          <w:highlight w:val="none"/>
        </w:rPr>
      </w:pPr>
      <w:r>
        <w:rPr>
          <w:rFonts w:hint="eastAsia"/>
          <w:color w:val="auto"/>
          <w:highlight w:val="none"/>
        </w:rPr>
        <w:t>中 (1分) ：投入人员齐备、搭配一般合理，基本满足施工需要。</w:t>
      </w:r>
    </w:p>
    <w:p w14:paraId="6AC1B0F3">
      <w:pPr>
        <w:spacing w:line="360" w:lineRule="auto"/>
        <w:ind w:firstLine="420" w:firstLineChars="200"/>
        <w:rPr>
          <w:color w:val="auto"/>
          <w:highlight w:val="none"/>
        </w:rPr>
      </w:pPr>
      <w:r>
        <w:rPr>
          <w:rFonts w:hint="eastAsia"/>
          <w:color w:val="auto"/>
          <w:highlight w:val="none"/>
        </w:rPr>
        <w:t>差 (0.5分) ：投入人员不齐备、不能满足施工需要。</w:t>
      </w:r>
    </w:p>
    <w:p w14:paraId="71EF4567">
      <w:pPr>
        <w:spacing w:line="360" w:lineRule="auto"/>
        <w:ind w:firstLine="422" w:firstLineChars="200"/>
        <w:rPr>
          <w:b/>
          <w:bCs/>
          <w:color w:val="auto"/>
          <w:highlight w:val="none"/>
        </w:rPr>
      </w:pPr>
      <w:r>
        <w:rPr>
          <w:rFonts w:hint="eastAsia"/>
          <w:b/>
          <w:bCs/>
          <w:color w:val="auto"/>
          <w:highlight w:val="none"/>
        </w:rPr>
        <w:t>(2) 主要施工方法 (满分10分)</w:t>
      </w:r>
    </w:p>
    <w:p w14:paraId="140EC8E6">
      <w:pPr>
        <w:spacing w:line="360" w:lineRule="auto"/>
        <w:ind w:firstLine="420" w:firstLineChars="200"/>
        <w:rPr>
          <w:color w:val="auto"/>
          <w:highlight w:val="none"/>
        </w:rPr>
      </w:pPr>
      <w:r>
        <w:rPr>
          <w:rFonts w:hint="eastAsia"/>
          <w:color w:val="auto"/>
          <w:highlight w:val="none"/>
        </w:rPr>
        <w:t>优 (10分) ：各主要分部施工方法针对性强，施工技术方案详尽周密，工艺先进、方法科学、可行，能很好的指导具体施工并确保安全。</w:t>
      </w:r>
    </w:p>
    <w:p w14:paraId="536B19B2">
      <w:pPr>
        <w:spacing w:line="360" w:lineRule="auto"/>
        <w:ind w:firstLine="420" w:firstLineChars="200"/>
        <w:rPr>
          <w:color w:val="auto"/>
          <w:highlight w:val="none"/>
        </w:rPr>
      </w:pPr>
      <w:r>
        <w:rPr>
          <w:rFonts w:hint="eastAsia"/>
          <w:color w:val="auto"/>
          <w:highlight w:val="none"/>
        </w:rPr>
        <w:t>良 (7分) ：各主要分部施工方法符合项目实际，施工技术方案齐全，工艺成熟、方法合理、可行，能指导具体施工并确保安全。</w:t>
      </w:r>
    </w:p>
    <w:p w14:paraId="3A10ACDD">
      <w:pPr>
        <w:spacing w:line="360" w:lineRule="auto"/>
        <w:ind w:firstLine="420" w:firstLineChars="200"/>
        <w:rPr>
          <w:color w:val="auto"/>
          <w:highlight w:val="none"/>
        </w:rPr>
      </w:pPr>
      <w:r>
        <w:rPr>
          <w:rFonts w:hint="eastAsia"/>
          <w:color w:val="auto"/>
          <w:highlight w:val="none"/>
        </w:rPr>
        <w:t>中 (3分) ：各主要分部施工方法基本符合项目实际，施工技术方案基本齐全，方法基本合理、基本可行，基本能指导具体施工并确保安全。</w:t>
      </w:r>
    </w:p>
    <w:p w14:paraId="5C129C6F">
      <w:pPr>
        <w:spacing w:line="360" w:lineRule="auto"/>
        <w:ind w:firstLine="420" w:firstLineChars="200"/>
        <w:rPr>
          <w:color w:val="auto"/>
          <w:highlight w:val="none"/>
        </w:rPr>
      </w:pPr>
      <w:r>
        <w:rPr>
          <w:rFonts w:hint="eastAsia"/>
          <w:color w:val="auto"/>
          <w:highlight w:val="none"/>
        </w:rPr>
        <w:t>差 (1分) ：各主要分部施工方法针对性差，施工技术方案差，工艺落后、方法不合理，不能指导具体施工和确保安全。</w:t>
      </w:r>
    </w:p>
    <w:p w14:paraId="6E974C31">
      <w:pPr>
        <w:spacing w:line="360" w:lineRule="auto"/>
        <w:ind w:firstLine="422" w:firstLineChars="200"/>
        <w:rPr>
          <w:b/>
          <w:bCs/>
          <w:color w:val="auto"/>
          <w:highlight w:val="none"/>
        </w:rPr>
      </w:pPr>
      <w:r>
        <w:rPr>
          <w:rFonts w:hint="eastAsia"/>
          <w:b/>
          <w:bCs/>
          <w:color w:val="auto"/>
          <w:highlight w:val="none"/>
        </w:rPr>
        <w:t>(3) 拟投入的主要物资计划 (满分4分)</w:t>
      </w:r>
    </w:p>
    <w:p w14:paraId="2E85E6C7">
      <w:pPr>
        <w:spacing w:line="360" w:lineRule="auto"/>
        <w:ind w:firstLine="420" w:firstLineChars="200"/>
        <w:rPr>
          <w:color w:val="auto"/>
          <w:highlight w:val="none"/>
        </w:rPr>
      </w:pPr>
      <w:r>
        <w:rPr>
          <w:rFonts w:hint="eastAsia"/>
          <w:color w:val="auto"/>
          <w:highlight w:val="none"/>
        </w:rPr>
        <w:t>优 (4分) ：投入的施工材料有详细的组织计划且计划周密，投入计划与进度计划呼应，较好满足施工需要，调配投入计划合理、准确。</w:t>
      </w:r>
    </w:p>
    <w:p w14:paraId="7DAA4B25">
      <w:pPr>
        <w:spacing w:line="360" w:lineRule="auto"/>
        <w:ind w:firstLine="420" w:firstLineChars="200"/>
        <w:rPr>
          <w:color w:val="auto"/>
          <w:highlight w:val="none"/>
        </w:rPr>
      </w:pPr>
      <w:r>
        <w:rPr>
          <w:rFonts w:hint="eastAsia"/>
          <w:color w:val="auto"/>
          <w:highlight w:val="none"/>
        </w:rPr>
        <w:t>良 (3分) ：投入的施工材料有详细的组织计划，投入计划与进度计划呼应，基本满足施工需要，调配投入计划基本合理、准确。</w:t>
      </w:r>
    </w:p>
    <w:p w14:paraId="139CE984">
      <w:pPr>
        <w:spacing w:line="360" w:lineRule="auto"/>
        <w:ind w:firstLine="420" w:firstLineChars="200"/>
        <w:rPr>
          <w:color w:val="auto"/>
          <w:highlight w:val="none"/>
        </w:rPr>
      </w:pPr>
      <w:r>
        <w:rPr>
          <w:rFonts w:hint="eastAsia"/>
          <w:color w:val="auto"/>
          <w:highlight w:val="none"/>
        </w:rPr>
        <w:t>中 (2分) ：投入的施工材料有详细的组织计划，投入计划与进度计划呼应，基本满足施工需要，调配投入计划基本合理。</w:t>
      </w:r>
    </w:p>
    <w:p w14:paraId="771170C0">
      <w:pPr>
        <w:spacing w:line="360" w:lineRule="auto"/>
        <w:ind w:firstLine="420" w:firstLineChars="200"/>
        <w:rPr>
          <w:color w:val="auto"/>
          <w:highlight w:val="none"/>
        </w:rPr>
      </w:pPr>
      <w:r>
        <w:rPr>
          <w:rFonts w:hint="eastAsia"/>
          <w:color w:val="auto"/>
          <w:highlight w:val="none"/>
        </w:rPr>
        <w:t>差 (1分) ：投入的施工材料的组织计划差，投入计划与进度计划不呼应，不能满足施工需要。</w:t>
      </w:r>
    </w:p>
    <w:p w14:paraId="4DB2D766">
      <w:pPr>
        <w:spacing w:line="360" w:lineRule="auto"/>
        <w:ind w:firstLine="422" w:firstLineChars="200"/>
        <w:rPr>
          <w:b/>
          <w:bCs/>
          <w:color w:val="auto"/>
          <w:highlight w:val="none"/>
        </w:rPr>
      </w:pPr>
      <w:r>
        <w:rPr>
          <w:rFonts w:hint="eastAsia"/>
          <w:b/>
          <w:bCs/>
          <w:color w:val="auto"/>
          <w:highlight w:val="none"/>
        </w:rPr>
        <w:t>(4) 拟投入的主要施工机械、设备计划 (满分5分)</w:t>
      </w:r>
    </w:p>
    <w:p w14:paraId="03BA8F35">
      <w:pPr>
        <w:spacing w:line="360" w:lineRule="auto"/>
        <w:ind w:firstLine="420" w:firstLineChars="200"/>
        <w:rPr>
          <w:color w:val="auto"/>
          <w:highlight w:val="none"/>
        </w:rPr>
      </w:pPr>
      <w:r>
        <w:rPr>
          <w:rFonts w:hint="eastAsia"/>
          <w:color w:val="auto"/>
          <w:highlight w:val="none"/>
        </w:rPr>
        <w:t>优 (5分) ：投入的施工机械、设备、机具有详细的组织计划且计划周密，设备数量、选型配置、进场时间安排合理，满足施工需要。</w:t>
      </w:r>
    </w:p>
    <w:p w14:paraId="70448077">
      <w:pPr>
        <w:spacing w:line="360" w:lineRule="auto"/>
        <w:ind w:firstLine="420" w:firstLineChars="200"/>
        <w:rPr>
          <w:color w:val="auto"/>
          <w:highlight w:val="none"/>
        </w:rPr>
      </w:pPr>
      <w:r>
        <w:rPr>
          <w:rFonts w:hint="eastAsia"/>
          <w:color w:val="auto"/>
          <w:highlight w:val="none"/>
        </w:rPr>
        <w:t>良 (3分) ：投入的施工机械、设备、机具有详细的组织计划，设备数量、选型配置、进场投入计划与进度计划呼应，满足施工需要。</w:t>
      </w:r>
    </w:p>
    <w:p w14:paraId="700D378E">
      <w:pPr>
        <w:spacing w:line="360" w:lineRule="auto"/>
        <w:ind w:firstLine="420" w:firstLineChars="200"/>
        <w:rPr>
          <w:color w:val="auto"/>
          <w:highlight w:val="none"/>
        </w:rPr>
      </w:pPr>
      <w:r>
        <w:rPr>
          <w:rFonts w:hint="eastAsia"/>
          <w:color w:val="auto"/>
          <w:highlight w:val="none"/>
        </w:rPr>
        <w:t>中 (1.5分) ：投入的施工机械、设备、机具有组织计划，设备数量、选型配置、进场投入计划与进度计划呼应，基本满足施工需要。</w:t>
      </w:r>
    </w:p>
    <w:p w14:paraId="68E5EC39">
      <w:pPr>
        <w:spacing w:line="360" w:lineRule="auto"/>
        <w:ind w:firstLine="420" w:firstLineChars="200"/>
        <w:rPr>
          <w:color w:val="auto"/>
          <w:highlight w:val="none"/>
        </w:rPr>
      </w:pPr>
      <w:r>
        <w:rPr>
          <w:rFonts w:hint="eastAsia"/>
          <w:color w:val="auto"/>
          <w:highlight w:val="none"/>
        </w:rPr>
        <w:t>差 (1分) ：投入的施工机械、设备、机具组织计划差，投入计划与进度计划不呼应，不能满足施工需要。</w:t>
      </w:r>
    </w:p>
    <w:p w14:paraId="39CF8D31">
      <w:pPr>
        <w:spacing w:line="360" w:lineRule="auto"/>
        <w:ind w:firstLine="422" w:firstLineChars="200"/>
        <w:rPr>
          <w:b/>
          <w:bCs/>
          <w:color w:val="auto"/>
          <w:highlight w:val="none"/>
        </w:rPr>
      </w:pPr>
      <w:r>
        <w:rPr>
          <w:rFonts w:hint="eastAsia"/>
          <w:b/>
          <w:bCs/>
          <w:color w:val="auto"/>
          <w:highlight w:val="none"/>
        </w:rPr>
        <w:t>(5) 劳动力安排计划 (满分3分)</w:t>
      </w:r>
    </w:p>
    <w:p w14:paraId="4CF5B290">
      <w:pPr>
        <w:spacing w:line="360" w:lineRule="auto"/>
        <w:ind w:firstLine="420" w:firstLineChars="200"/>
        <w:rPr>
          <w:color w:val="auto"/>
          <w:highlight w:val="none"/>
        </w:rPr>
      </w:pPr>
      <w:r>
        <w:rPr>
          <w:rFonts w:hint="eastAsia"/>
          <w:color w:val="auto"/>
          <w:highlight w:val="none"/>
        </w:rPr>
        <w:t>优 (3分) ：各主要施工工序有详细周密的劳动力安排计划，各工种劳动力安排计划齐全，劳动力投入与进度计划呼应合理，满足施工需要。</w:t>
      </w:r>
    </w:p>
    <w:p w14:paraId="2FA3FBEC">
      <w:pPr>
        <w:spacing w:line="360" w:lineRule="auto"/>
        <w:ind w:firstLine="420" w:firstLineChars="200"/>
        <w:rPr>
          <w:color w:val="auto"/>
          <w:highlight w:val="none"/>
        </w:rPr>
      </w:pPr>
      <w:r>
        <w:rPr>
          <w:rFonts w:hint="eastAsia"/>
          <w:color w:val="auto"/>
          <w:highlight w:val="none"/>
        </w:rPr>
        <w:t>良 (1.5分) ：各主要施工工序有详细的劳动力安排计划，有各工种劳动力安排计划，劳动力投入合理，满足施工需要。</w:t>
      </w:r>
    </w:p>
    <w:p w14:paraId="2BD5D158">
      <w:pPr>
        <w:spacing w:line="360" w:lineRule="auto"/>
        <w:ind w:firstLine="420" w:firstLineChars="200"/>
        <w:rPr>
          <w:color w:val="auto"/>
          <w:highlight w:val="none"/>
        </w:rPr>
      </w:pPr>
      <w:r>
        <w:rPr>
          <w:rFonts w:hint="eastAsia"/>
          <w:color w:val="auto"/>
          <w:highlight w:val="none"/>
        </w:rPr>
        <w:t>中 (1分) ：各主要施工工序应有劳动力安排计划，有各工种劳动力安排计划，劳动力投入基本合理，基本满足施工需要。</w:t>
      </w:r>
    </w:p>
    <w:p w14:paraId="10B98FC8">
      <w:pPr>
        <w:spacing w:line="360" w:lineRule="auto"/>
        <w:ind w:firstLine="420" w:firstLineChars="200"/>
        <w:rPr>
          <w:color w:val="auto"/>
          <w:highlight w:val="none"/>
        </w:rPr>
      </w:pPr>
      <w:r>
        <w:rPr>
          <w:rFonts w:hint="eastAsia"/>
          <w:color w:val="auto"/>
          <w:highlight w:val="none"/>
        </w:rPr>
        <w:t>差 (0.5分) ：各主要施工工序劳动力安排计划不全，无各工种劳动力安排计划或计划不全，劳动力投入不合理，不能满足施工需要。</w:t>
      </w:r>
    </w:p>
    <w:p w14:paraId="46E2A843">
      <w:pPr>
        <w:spacing w:line="360" w:lineRule="auto"/>
        <w:ind w:firstLine="422" w:firstLineChars="200"/>
        <w:rPr>
          <w:b/>
          <w:bCs/>
          <w:color w:val="auto"/>
          <w:highlight w:val="none"/>
        </w:rPr>
      </w:pPr>
      <w:r>
        <w:rPr>
          <w:rFonts w:hint="eastAsia"/>
          <w:b/>
          <w:bCs/>
          <w:color w:val="auto"/>
          <w:highlight w:val="none"/>
        </w:rPr>
        <w:t>(6) 确保工程质量的技术组织措施 (满分5分)</w:t>
      </w:r>
    </w:p>
    <w:p w14:paraId="2D731EAF">
      <w:pPr>
        <w:spacing w:line="360" w:lineRule="auto"/>
        <w:ind w:firstLine="420" w:firstLineChars="200"/>
        <w:rPr>
          <w:color w:val="auto"/>
          <w:highlight w:val="none"/>
        </w:rPr>
      </w:pPr>
      <w:r>
        <w:rPr>
          <w:rFonts w:hint="eastAsia"/>
          <w:color w:val="auto"/>
          <w:highlight w:val="none"/>
        </w:rPr>
        <w:t>优 (5分) ：有专门的质量技术管理班子和制度，且人员配备合理，制度健全。主要工序有质量技术保证措施和手段，且先进、可行、具体，高于采购文件的质量要求及施工验收规范 要求，达到承诺的质量标准。</w:t>
      </w:r>
    </w:p>
    <w:p w14:paraId="1815A990">
      <w:pPr>
        <w:spacing w:line="360" w:lineRule="auto"/>
        <w:ind w:firstLine="420" w:firstLineChars="200"/>
        <w:rPr>
          <w:color w:val="auto"/>
          <w:highlight w:val="none"/>
        </w:rPr>
      </w:pPr>
      <w:r>
        <w:rPr>
          <w:rFonts w:hint="eastAsia"/>
          <w:color w:val="auto"/>
          <w:highlight w:val="none"/>
        </w:rPr>
        <w:t>良 (3分) ：有专门的质量技术管理班子和制度，且人员配备合理，制度健全。主要工序有质量技术保证措施和手段，自控体系完整，能有效保证技术质量，达到承诺的质量标准。</w:t>
      </w:r>
    </w:p>
    <w:p w14:paraId="43DFA64B">
      <w:pPr>
        <w:spacing w:line="360" w:lineRule="auto"/>
        <w:ind w:firstLine="420" w:firstLineChars="200"/>
        <w:rPr>
          <w:color w:val="auto"/>
          <w:highlight w:val="none"/>
        </w:rPr>
      </w:pPr>
      <w:r>
        <w:rPr>
          <w:rFonts w:hint="eastAsia"/>
          <w:color w:val="auto"/>
          <w:highlight w:val="none"/>
        </w:rPr>
        <w:t>中 (1.5分) ：质量技术管理班子人员配备基本合理，制度基本健全。主要工序有质量技术保证措施和手段，能有效保证技术质量，满足采购文件的质量要求。</w:t>
      </w:r>
    </w:p>
    <w:p w14:paraId="38CCCF66">
      <w:pPr>
        <w:spacing w:line="360" w:lineRule="auto"/>
        <w:ind w:firstLine="420" w:firstLineChars="200"/>
        <w:rPr>
          <w:color w:val="auto"/>
          <w:highlight w:val="none"/>
        </w:rPr>
      </w:pPr>
      <w:r>
        <w:rPr>
          <w:rFonts w:hint="eastAsia"/>
          <w:color w:val="auto"/>
          <w:highlight w:val="none"/>
        </w:rPr>
        <w:t>差 (1分) ：质量技术管理班子人员配备不合理，制度不健全。质量技术保证措施和手段不可行，没有质量违约责任承诺。</w:t>
      </w:r>
    </w:p>
    <w:p w14:paraId="650CF244">
      <w:pPr>
        <w:spacing w:line="360" w:lineRule="auto"/>
        <w:ind w:firstLine="422" w:firstLineChars="200"/>
        <w:rPr>
          <w:b/>
          <w:bCs/>
          <w:color w:val="auto"/>
          <w:highlight w:val="none"/>
        </w:rPr>
      </w:pPr>
      <w:r>
        <w:rPr>
          <w:rFonts w:hint="eastAsia"/>
          <w:b/>
          <w:bCs/>
          <w:color w:val="auto"/>
          <w:highlight w:val="none"/>
        </w:rPr>
        <w:t>(7) 确保安全生产的技术组织措施 (满分10分)</w:t>
      </w:r>
    </w:p>
    <w:p w14:paraId="7A711FDF">
      <w:pPr>
        <w:spacing w:line="360" w:lineRule="auto"/>
        <w:ind w:firstLine="420" w:firstLineChars="200"/>
        <w:rPr>
          <w:color w:val="auto"/>
          <w:highlight w:val="none"/>
        </w:rPr>
      </w:pPr>
      <w:r>
        <w:rPr>
          <w:rFonts w:hint="eastAsia"/>
          <w:color w:val="auto"/>
          <w:highlight w:val="none"/>
        </w:rPr>
        <w:t>优 (10分) ：安全人员配备合理；有健全的安全管理制度，各道工序安全技术措施针对性强，符合实际且高于国家有关安全技术标准要求。现场防火、应急救援、社会治安安全措施得力。</w:t>
      </w:r>
    </w:p>
    <w:p w14:paraId="0DE1B99E">
      <w:pPr>
        <w:spacing w:line="360" w:lineRule="auto"/>
        <w:ind w:firstLine="420" w:firstLineChars="200"/>
        <w:rPr>
          <w:color w:val="auto"/>
          <w:highlight w:val="none"/>
        </w:rPr>
      </w:pPr>
      <w:r>
        <w:rPr>
          <w:rFonts w:hint="eastAsia"/>
          <w:color w:val="auto"/>
          <w:highlight w:val="none"/>
        </w:rPr>
        <w:t>良 (7分) ：安全人员配备合理；有健全的安全管理制度，各道工序安全技术措施符合实际且满足有关安全技术标准要求。现场防火、应急救援、社会治安安全措施合理。</w:t>
      </w:r>
    </w:p>
    <w:p w14:paraId="3F16A6F1">
      <w:pPr>
        <w:spacing w:line="360" w:lineRule="auto"/>
        <w:ind w:firstLine="420" w:firstLineChars="200"/>
        <w:rPr>
          <w:color w:val="auto"/>
          <w:highlight w:val="none"/>
        </w:rPr>
      </w:pPr>
      <w:r>
        <w:rPr>
          <w:rFonts w:hint="eastAsia"/>
          <w:color w:val="auto"/>
          <w:highlight w:val="none"/>
        </w:rPr>
        <w:t>中 (3分) ：安全人员配备基本合理，安全管理制度基本健全，各道工序安全技术措施基本符合实际，基本满足有关安全技术标准要求。现场防火、应急救援、社会治安安全措施基本合理。</w:t>
      </w:r>
    </w:p>
    <w:p w14:paraId="64C32102">
      <w:pPr>
        <w:spacing w:line="360" w:lineRule="auto"/>
        <w:ind w:firstLine="420" w:firstLineChars="200"/>
        <w:rPr>
          <w:color w:val="auto"/>
          <w:highlight w:val="none"/>
        </w:rPr>
      </w:pPr>
      <w:r>
        <w:rPr>
          <w:rFonts w:hint="eastAsia"/>
          <w:color w:val="auto"/>
          <w:highlight w:val="none"/>
        </w:rPr>
        <w:t>差 (1分) ：安全人员配备不合理，安全管理制度不健全，各道工序安全技术措施基本符合实际，不能满足有关安全技术标准要求。现场防火、应急救援、社会治安安全措施不合理。</w:t>
      </w:r>
    </w:p>
    <w:p w14:paraId="498232F1">
      <w:pPr>
        <w:spacing w:line="360" w:lineRule="auto"/>
        <w:ind w:firstLine="422" w:firstLineChars="200"/>
        <w:rPr>
          <w:b/>
          <w:bCs/>
          <w:color w:val="auto"/>
          <w:highlight w:val="none"/>
        </w:rPr>
      </w:pPr>
      <w:r>
        <w:rPr>
          <w:rFonts w:hint="eastAsia"/>
          <w:b/>
          <w:bCs/>
          <w:color w:val="auto"/>
          <w:highlight w:val="none"/>
        </w:rPr>
        <w:t>(8) 确保工期的技术组织措施 (满分10分)</w:t>
      </w:r>
    </w:p>
    <w:p w14:paraId="253BEB04">
      <w:pPr>
        <w:spacing w:line="360" w:lineRule="auto"/>
        <w:ind w:firstLine="420" w:firstLineChars="200"/>
        <w:rPr>
          <w:color w:val="auto"/>
          <w:highlight w:val="none"/>
        </w:rPr>
      </w:pPr>
      <w:r>
        <w:rPr>
          <w:rFonts w:hint="eastAsia"/>
          <w:color w:val="auto"/>
          <w:highlight w:val="none"/>
        </w:rPr>
        <w:t>优 (10分) ：有保证工期的具体措施且措施得力。各项计划图表编制详尽周密，安排科学合理，符合本项目施工实际要求。</w:t>
      </w:r>
    </w:p>
    <w:p w14:paraId="200EE56B">
      <w:pPr>
        <w:spacing w:line="360" w:lineRule="auto"/>
        <w:ind w:firstLine="420" w:firstLineChars="200"/>
        <w:rPr>
          <w:color w:val="auto"/>
          <w:highlight w:val="none"/>
        </w:rPr>
      </w:pPr>
      <w:r>
        <w:rPr>
          <w:rFonts w:hint="eastAsia"/>
          <w:color w:val="auto"/>
          <w:highlight w:val="none"/>
        </w:rPr>
        <w:t>良 (7分) ：有保证工期的具体措施且措施得当。各项计划图表编制完善，安排较合理，符合本项目施工实际要求。</w:t>
      </w:r>
    </w:p>
    <w:p w14:paraId="02115D45">
      <w:pPr>
        <w:spacing w:line="360" w:lineRule="auto"/>
        <w:ind w:firstLine="420" w:firstLineChars="200"/>
        <w:rPr>
          <w:color w:val="auto"/>
          <w:highlight w:val="none"/>
        </w:rPr>
      </w:pPr>
      <w:r>
        <w:rPr>
          <w:rFonts w:hint="eastAsia"/>
          <w:color w:val="auto"/>
          <w:highlight w:val="none"/>
        </w:rPr>
        <w:t>中 (3分) ：有保证工期的具体措施，措施基本得当。各项计划图表编制基本齐全，安排基本合理，基本符合本项目施工实际要求。</w:t>
      </w:r>
    </w:p>
    <w:p w14:paraId="154FDDA6">
      <w:pPr>
        <w:spacing w:line="360" w:lineRule="auto"/>
        <w:ind w:firstLine="420" w:firstLineChars="200"/>
        <w:rPr>
          <w:color w:val="auto"/>
          <w:highlight w:val="none"/>
        </w:rPr>
      </w:pPr>
      <w:r>
        <w:rPr>
          <w:rFonts w:hint="eastAsia"/>
          <w:color w:val="auto"/>
          <w:highlight w:val="none"/>
        </w:rPr>
        <w:t>差 (1分) ：有保证工期的具体措施。各项计划图表编制不完善，安排不合理，不能满足本项目施工实际要求。</w:t>
      </w:r>
    </w:p>
    <w:p w14:paraId="2D1A5FB6">
      <w:pPr>
        <w:spacing w:line="360" w:lineRule="auto"/>
        <w:ind w:firstLine="422" w:firstLineChars="200"/>
        <w:rPr>
          <w:b/>
          <w:bCs/>
          <w:color w:val="auto"/>
          <w:highlight w:val="none"/>
        </w:rPr>
      </w:pPr>
      <w:r>
        <w:rPr>
          <w:rFonts w:hint="eastAsia"/>
          <w:b/>
          <w:bCs/>
          <w:color w:val="auto"/>
          <w:highlight w:val="none"/>
        </w:rPr>
        <w:t>(9) 确保文明施工的技术组织措施 (满分10分)</w:t>
      </w:r>
    </w:p>
    <w:p w14:paraId="70CB8683">
      <w:pPr>
        <w:spacing w:line="360" w:lineRule="auto"/>
        <w:ind w:firstLine="420" w:firstLineChars="200"/>
        <w:rPr>
          <w:color w:val="auto"/>
          <w:highlight w:val="none"/>
        </w:rPr>
      </w:pPr>
      <w:r>
        <w:rPr>
          <w:rFonts w:hint="eastAsia"/>
          <w:color w:val="auto"/>
          <w:highlight w:val="none"/>
        </w:rPr>
        <w:t>优 (10分) ：现场文明施工、环境保护措施和内容达到且高于《建筑施工安全生产检查标准》、《广西壮族自治区市政公用工程文明施工导则》要求；有具体实现现场文明施工目标的承诺，而且各项措施科学、得力的。</w:t>
      </w:r>
    </w:p>
    <w:p w14:paraId="4D52C79A">
      <w:pPr>
        <w:spacing w:line="360" w:lineRule="auto"/>
        <w:ind w:firstLine="420" w:firstLineChars="200"/>
        <w:rPr>
          <w:color w:val="auto"/>
          <w:highlight w:val="none"/>
        </w:rPr>
      </w:pPr>
      <w:r>
        <w:rPr>
          <w:rFonts w:hint="eastAsia"/>
          <w:color w:val="auto"/>
          <w:highlight w:val="none"/>
        </w:rPr>
        <w:t>良 (7分) ：现场文明施工、环境保护措施和内容达到《建筑施工安全生产检查标准》、《广西壮族自治区市政公用工程文明施工导则》要求；有具体实现现场文明施工目标的承诺，而且各项措施周全、有效的。</w:t>
      </w:r>
    </w:p>
    <w:p w14:paraId="09096180">
      <w:pPr>
        <w:spacing w:line="360" w:lineRule="auto"/>
        <w:ind w:firstLine="420" w:firstLineChars="200"/>
        <w:rPr>
          <w:color w:val="auto"/>
          <w:highlight w:val="none"/>
        </w:rPr>
      </w:pPr>
      <w:r>
        <w:rPr>
          <w:rFonts w:hint="eastAsia"/>
          <w:color w:val="auto"/>
          <w:highlight w:val="none"/>
        </w:rPr>
        <w:t>中 (3分) ：现场文明施工、环境保护措施和内容基本达到《建筑施工安全生产检查标准》、《广西壮族自治区市政公用工程文明施工导则》要求；有具体实现现场文明施工目标的承诺， 而且各项措施基本全面、有效的。</w:t>
      </w:r>
    </w:p>
    <w:p w14:paraId="1DE1783D">
      <w:pPr>
        <w:spacing w:line="360" w:lineRule="auto"/>
        <w:ind w:firstLine="420" w:firstLineChars="200"/>
        <w:rPr>
          <w:color w:val="auto"/>
          <w:highlight w:val="none"/>
        </w:rPr>
      </w:pPr>
      <w:r>
        <w:rPr>
          <w:rFonts w:hint="eastAsia"/>
          <w:color w:val="auto"/>
          <w:highlight w:val="none"/>
        </w:rPr>
        <w:t>差 (1分) ：现场文明施工、环境保护措施和内容与《建筑施工安全生产检查标准》、《广 西壮族自治区市政公用工程文明施工导则》的要求偏差大，无现场文明施工目标的承诺。</w:t>
      </w:r>
    </w:p>
    <w:p w14:paraId="787B9A73">
      <w:pPr>
        <w:spacing w:line="360" w:lineRule="auto"/>
        <w:ind w:firstLine="422" w:firstLineChars="200"/>
        <w:rPr>
          <w:b/>
          <w:bCs/>
          <w:color w:val="auto"/>
          <w:highlight w:val="none"/>
        </w:rPr>
      </w:pPr>
      <w:r>
        <w:rPr>
          <w:rFonts w:hint="eastAsia"/>
          <w:b/>
          <w:bCs/>
          <w:color w:val="auto"/>
          <w:highlight w:val="none"/>
        </w:rPr>
        <w:t>(10) 工程施工的重点和难点及保证措施 (满分10分)</w:t>
      </w:r>
    </w:p>
    <w:p w14:paraId="6A87C500">
      <w:pPr>
        <w:spacing w:line="360" w:lineRule="auto"/>
        <w:ind w:firstLine="420" w:firstLineChars="200"/>
        <w:rPr>
          <w:color w:val="auto"/>
          <w:highlight w:val="none"/>
        </w:rPr>
      </w:pPr>
      <w:r>
        <w:rPr>
          <w:rFonts w:hint="eastAsia"/>
          <w:color w:val="auto"/>
          <w:highlight w:val="none"/>
        </w:rPr>
        <w:t>优 (10分) ：对项目关键技术、工艺有深入的表述。对重点、难点有先进合理的施工措施并有可行的安全措施，解决方案完整、经济、安全、切实可行，措施得力。</w:t>
      </w:r>
    </w:p>
    <w:p w14:paraId="40138AD6">
      <w:pPr>
        <w:spacing w:line="360" w:lineRule="auto"/>
        <w:ind w:firstLine="420" w:firstLineChars="200"/>
        <w:rPr>
          <w:color w:val="auto"/>
          <w:highlight w:val="none"/>
        </w:rPr>
      </w:pPr>
      <w:r>
        <w:rPr>
          <w:rFonts w:hint="eastAsia"/>
          <w:color w:val="auto"/>
          <w:highlight w:val="none"/>
        </w:rPr>
        <w:t>良 (7分) ：对项目关键技术、工艺有深入的表述，对重点、难点有合理的建议，解决方案经济、安全、基本可行。</w:t>
      </w:r>
    </w:p>
    <w:p w14:paraId="776D451B">
      <w:pPr>
        <w:spacing w:line="360" w:lineRule="auto"/>
        <w:ind w:firstLine="420" w:firstLineChars="200"/>
        <w:rPr>
          <w:color w:val="auto"/>
          <w:highlight w:val="none"/>
        </w:rPr>
      </w:pPr>
      <w:r>
        <w:rPr>
          <w:rFonts w:hint="eastAsia"/>
          <w:color w:val="auto"/>
          <w:highlight w:val="none"/>
        </w:rPr>
        <w:t>中 (3分) ：对项目关键技术有一定了解，对重点、难点有建议，解决方案基本可行。</w:t>
      </w:r>
    </w:p>
    <w:p w14:paraId="089DCC1D">
      <w:pPr>
        <w:spacing w:line="360" w:lineRule="auto"/>
        <w:ind w:firstLine="420" w:firstLineChars="200"/>
        <w:rPr>
          <w:color w:val="auto"/>
          <w:highlight w:val="none"/>
        </w:rPr>
      </w:pPr>
      <w:r>
        <w:rPr>
          <w:rFonts w:hint="eastAsia"/>
          <w:color w:val="auto"/>
          <w:highlight w:val="none"/>
        </w:rPr>
        <w:t>差 (1分) ：对项目关键技术有表述，对重点、难点有建议，解决方案不可行。</w:t>
      </w:r>
    </w:p>
    <w:p w14:paraId="17F08DE2">
      <w:pPr>
        <w:numPr>
          <w:ilvl w:val="0"/>
          <w:numId w:val="2"/>
        </w:numPr>
        <w:spacing w:line="360" w:lineRule="auto"/>
        <w:ind w:firstLine="420" w:firstLineChars="200"/>
        <w:rPr>
          <w:color w:val="auto"/>
          <w:highlight w:val="none"/>
        </w:rPr>
      </w:pPr>
      <w:r>
        <w:rPr>
          <w:rFonts w:hint="eastAsia"/>
          <w:color w:val="auto"/>
          <w:highlight w:val="none"/>
        </w:rPr>
        <w:t xml:space="preserve">总得分 = 1 + 2 </w:t>
      </w:r>
    </w:p>
    <w:p w14:paraId="56EE6ADD">
      <w:pPr>
        <w:numPr>
          <w:ilvl w:val="0"/>
          <w:numId w:val="2"/>
        </w:numPr>
        <w:spacing w:line="360" w:lineRule="auto"/>
        <w:ind w:firstLine="420" w:firstLineChars="200"/>
        <w:rPr>
          <w:color w:val="auto"/>
          <w:highlight w:val="none"/>
        </w:rPr>
      </w:pPr>
      <w:r>
        <w:rPr>
          <w:rFonts w:hint="eastAsia"/>
          <w:color w:val="auto"/>
          <w:highlight w:val="none"/>
        </w:rPr>
        <w:t>成交候选供应商推荐原则</w:t>
      </w:r>
    </w:p>
    <w:p w14:paraId="1BA8C403">
      <w:pPr>
        <w:spacing w:line="360" w:lineRule="auto"/>
        <w:ind w:firstLine="420" w:firstLineChars="200"/>
        <w:rPr>
          <w:color w:val="auto"/>
          <w:highlight w:val="none"/>
        </w:rPr>
      </w:pPr>
      <w:r>
        <w:rPr>
          <w:rFonts w:hint="eastAsia"/>
          <w:color w:val="auto"/>
          <w:highlight w:val="none"/>
        </w:rPr>
        <w:t>( 一) 磋商小组将根据总得分由高到低对供应商排列次序 (得分相同时，以最终报价由低到高顺序排列；得分相同且最终报价相同的，按技术指标优劣顺序排列) ，并推荐前三名为成交候选人。采购人应当确定磋商小组推荐排名第一的成交候选人为成交供应商。</w:t>
      </w:r>
    </w:p>
    <w:p w14:paraId="68C89E4D">
      <w:pPr>
        <w:spacing w:line="360" w:lineRule="auto"/>
        <w:ind w:firstLine="420" w:firstLineChars="200"/>
        <w:rPr>
          <w:color w:val="auto"/>
          <w:highlight w:val="none"/>
        </w:rPr>
      </w:pPr>
      <w:r>
        <w:rPr>
          <w:rFonts w:hint="eastAsia"/>
          <w:color w:val="auto"/>
          <w:highlight w:val="none"/>
        </w:rPr>
        <w:t>(二) 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752FBCA8">
      <w:pPr>
        <w:spacing w:line="360" w:lineRule="auto"/>
        <w:ind w:firstLine="420" w:firstLineChars="200"/>
        <w:rPr>
          <w:color w:val="auto"/>
          <w:highlight w:val="none"/>
        </w:rPr>
      </w:pPr>
      <w:r>
        <w:rPr>
          <w:rFonts w:hint="eastAsia"/>
          <w:color w:val="auto"/>
          <w:highlight w:val="none"/>
        </w:rPr>
        <w:t>注：成交价=成交供应商最后报价。</w:t>
      </w:r>
    </w:p>
    <w:p w14:paraId="4AD75381">
      <w:pPr>
        <w:rPr>
          <w:rFonts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0D8A40FF">
      <w:pPr>
        <w:pStyle w:val="12"/>
        <w:spacing w:line="400" w:lineRule="exact"/>
        <w:jc w:val="center"/>
        <w:outlineLvl w:val="0"/>
        <w:rPr>
          <w:rFonts w:ascii="黑体" w:hAnsi="宋体" w:eastAsia="黑体" w:cs="Times New Roman"/>
          <w:b/>
          <w:bCs/>
          <w:color w:val="auto"/>
          <w:kern w:val="0"/>
          <w:sz w:val="36"/>
          <w:szCs w:val="36"/>
          <w:highlight w:val="none"/>
        </w:rPr>
      </w:pPr>
    </w:p>
    <w:p w14:paraId="62E4A718">
      <w:pPr>
        <w:pStyle w:val="12"/>
        <w:spacing w:line="400" w:lineRule="exact"/>
        <w:jc w:val="center"/>
        <w:outlineLvl w:val="0"/>
        <w:rPr>
          <w:rFonts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2D3A9DF5">
      <w:pPr>
        <w:autoSpaceDE w:val="0"/>
        <w:autoSpaceDN w:val="0"/>
        <w:adjustRightInd w:val="0"/>
        <w:spacing w:line="360" w:lineRule="auto"/>
        <w:rPr>
          <w:rFonts w:ascii="宋体" w:cs="宋体"/>
          <w:color w:val="auto"/>
          <w:szCs w:val="21"/>
          <w:highlight w:val="none"/>
          <w:lang w:val="zh-CN"/>
        </w:rPr>
      </w:pPr>
    </w:p>
    <w:p w14:paraId="5758E4BC">
      <w:pPr>
        <w:spacing w:before="100" w:line="225" w:lineRule="auto"/>
        <w:ind w:left="16"/>
        <w:outlineLvl w:val="1"/>
        <w:rPr>
          <w:rFonts w:ascii="宋体" w:hAnsi="宋体" w:cs="宋体"/>
          <w:color w:val="auto"/>
          <w:sz w:val="31"/>
          <w:szCs w:val="31"/>
          <w:highlight w:val="none"/>
        </w:rPr>
      </w:pPr>
      <w:r>
        <w:rPr>
          <w:rFonts w:ascii="Cambria" w:hAnsi="Cambria" w:eastAsia="Cambria" w:cs="Cambria"/>
          <w:color w:val="auto"/>
          <w:spacing w:val="-1"/>
          <w:sz w:val="31"/>
          <w:szCs w:val="31"/>
          <w:highlight w:val="none"/>
        </w:rPr>
        <w:t xml:space="preserve">1. </w:t>
      </w:r>
      <w:r>
        <w:rPr>
          <w:rFonts w:ascii="宋体" w:hAnsi="宋体" w:cs="宋体"/>
          <w:color w:val="auto"/>
          <w:spacing w:val="-1"/>
          <w:sz w:val="31"/>
          <w:szCs w:val="31"/>
          <w:highlight w:val="none"/>
        </w:rPr>
        <w:t>响应文件封面格式</w:t>
      </w:r>
      <w:r>
        <w:rPr>
          <w:rFonts w:ascii="宋体" w:hAnsi="宋体" w:cs="宋体"/>
          <w:color w:val="auto"/>
          <w:sz w:val="31"/>
          <w:szCs w:val="31"/>
          <w:highlight w:val="none"/>
        </w:rPr>
        <w:t>：</w:t>
      </w:r>
    </w:p>
    <w:p w14:paraId="24BF3652">
      <w:pPr>
        <w:spacing w:line="255" w:lineRule="auto"/>
        <w:rPr>
          <w:rFonts w:ascii="Arial"/>
          <w:color w:val="auto"/>
          <w:highlight w:val="none"/>
        </w:rPr>
      </w:pPr>
    </w:p>
    <w:p w14:paraId="3146DD4E">
      <w:pPr>
        <w:spacing w:line="255" w:lineRule="auto"/>
        <w:rPr>
          <w:rFonts w:ascii="Arial"/>
          <w:color w:val="auto"/>
          <w:highlight w:val="none"/>
        </w:rPr>
      </w:pPr>
    </w:p>
    <w:p w14:paraId="0D4F4B47">
      <w:pPr>
        <w:spacing w:line="255" w:lineRule="auto"/>
        <w:rPr>
          <w:rFonts w:ascii="Arial"/>
          <w:color w:val="auto"/>
          <w:highlight w:val="none"/>
        </w:rPr>
      </w:pPr>
    </w:p>
    <w:p w14:paraId="4554ED08">
      <w:pPr>
        <w:spacing w:line="256" w:lineRule="auto"/>
        <w:rPr>
          <w:rFonts w:ascii="Arial"/>
          <w:color w:val="auto"/>
          <w:highlight w:val="none"/>
        </w:rPr>
      </w:pPr>
    </w:p>
    <w:p w14:paraId="6742988D">
      <w:pPr>
        <w:spacing w:line="256" w:lineRule="auto"/>
        <w:rPr>
          <w:rFonts w:ascii="Arial"/>
          <w:color w:val="auto"/>
          <w:highlight w:val="none"/>
        </w:rPr>
      </w:pPr>
    </w:p>
    <w:p w14:paraId="210286FA">
      <w:pPr>
        <w:spacing w:line="256" w:lineRule="auto"/>
        <w:rPr>
          <w:rFonts w:ascii="Arial"/>
          <w:color w:val="auto"/>
          <w:highlight w:val="none"/>
        </w:rPr>
      </w:pPr>
    </w:p>
    <w:p w14:paraId="17F6BE09">
      <w:pPr>
        <w:spacing w:line="256" w:lineRule="auto"/>
        <w:rPr>
          <w:rFonts w:ascii="Arial"/>
          <w:color w:val="auto"/>
          <w:highlight w:val="none"/>
        </w:rPr>
      </w:pPr>
    </w:p>
    <w:p w14:paraId="2BF92018">
      <w:pPr>
        <w:spacing w:line="256" w:lineRule="auto"/>
        <w:rPr>
          <w:rFonts w:ascii="Arial"/>
          <w:color w:val="auto"/>
          <w:highlight w:val="none"/>
        </w:rPr>
      </w:pPr>
    </w:p>
    <w:p w14:paraId="64A6DCA9">
      <w:pPr>
        <w:spacing w:line="256" w:lineRule="auto"/>
        <w:rPr>
          <w:rFonts w:ascii="Arial"/>
          <w:color w:val="auto"/>
          <w:highlight w:val="none"/>
        </w:rPr>
      </w:pPr>
    </w:p>
    <w:p w14:paraId="61B7748C">
      <w:pPr>
        <w:spacing w:before="231" w:line="223" w:lineRule="auto"/>
        <w:ind w:left="15" w:hanging="15"/>
        <w:jc w:val="center"/>
        <w:rPr>
          <w:rFonts w:ascii="宋体" w:hAnsi="宋体" w:cs="宋体"/>
          <w:color w:val="auto"/>
          <w:sz w:val="71"/>
          <w:szCs w:val="71"/>
          <w:highlight w:val="none"/>
        </w:rPr>
      </w:pPr>
      <w:r>
        <w:rPr>
          <w:rFonts w:ascii="宋体" w:hAnsi="宋体" w:cs="宋体"/>
          <w:color w:val="auto"/>
          <w:spacing w:val="6"/>
          <w:sz w:val="71"/>
          <w:szCs w:val="71"/>
          <w:highlight w:val="none"/>
        </w:rPr>
        <w:t>竞争性磋商响应文</w:t>
      </w:r>
      <w:r>
        <w:rPr>
          <w:rFonts w:ascii="宋体" w:hAnsi="宋体" w:cs="宋体"/>
          <w:color w:val="auto"/>
          <w:spacing w:val="5"/>
          <w:sz w:val="71"/>
          <w:szCs w:val="71"/>
          <w:highlight w:val="none"/>
        </w:rPr>
        <w:t>件</w:t>
      </w:r>
    </w:p>
    <w:p w14:paraId="20953CA3">
      <w:pPr>
        <w:spacing w:line="313" w:lineRule="auto"/>
        <w:rPr>
          <w:rFonts w:ascii="Arial"/>
          <w:color w:val="auto"/>
          <w:highlight w:val="none"/>
        </w:rPr>
      </w:pPr>
    </w:p>
    <w:p w14:paraId="551B1EB2">
      <w:pPr>
        <w:spacing w:line="314" w:lineRule="auto"/>
        <w:rPr>
          <w:rFonts w:ascii="Arial"/>
          <w:color w:val="auto"/>
          <w:highlight w:val="none"/>
        </w:rPr>
      </w:pPr>
    </w:p>
    <w:p w14:paraId="780657B0">
      <w:pPr>
        <w:pStyle w:val="35"/>
        <w:ind w:firstLine="810"/>
        <w:rPr>
          <w:rFonts w:ascii="Arial"/>
          <w:color w:val="auto"/>
          <w:sz w:val="21"/>
          <w:highlight w:val="none"/>
        </w:rPr>
      </w:pPr>
    </w:p>
    <w:p w14:paraId="11624036">
      <w:pPr>
        <w:pStyle w:val="9"/>
        <w:rPr>
          <w:rFonts w:ascii="Arial"/>
          <w:color w:val="auto"/>
          <w:sz w:val="21"/>
          <w:highlight w:val="none"/>
        </w:rPr>
      </w:pPr>
    </w:p>
    <w:p w14:paraId="349874DB">
      <w:pPr>
        <w:rPr>
          <w:rFonts w:ascii="Arial"/>
          <w:color w:val="auto"/>
          <w:highlight w:val="none"/>
        </w:rPr>
      </w:pPr>
    </w:p>
    <w:p w14:paraId="2736758A">
      <w:pPr>
        <w:pStyle w:val="35"/>
        <w:ind w:firstLine="915"/>
        <w:rPr>
          <w:color w:val="auto"/>
          <w:highlight w:val="none"/>
        </w:rPr>
      </w:pPr>
    </w:p>
    <w:p w14:paraId="12052B9E">
      <w:pPr>
        <w:spacing w:line="700" w:lineRule="exact"/>
        <w:ind w:left="6" w:firstLine="1280" w:firstLineChars="400"/>
        <w:rPr>
          <w:rFonts w:ascii="宋体" w:hAnsi="宋体" w:cs="宋体"/>
          <w:color w:val="auto"/>
          <w:sz w:val="31"/>
          <w:szCs w:val="31"/>
          <w:highlight w:val="none"/>
        </w:rPr>
      </w:pPr>
      <w:r>
        <w:rPr>
          <w:rFonts w:ascii="宋体" w:hAnsi="宋体" w:cs="宋体"/>
          <w:color w:val="auto"/>
          <w:spacing w:val="5"/>
          <w:sz w:val="31"/>
          <w:szCs w:val="31"/>
          <w:highlight w:val="none"/>
        </w:rPr>
        <w:t>项</w:t>
      </w:r>
      <w:r>
        <w:rPr>
          <w:rFonts w:ascii="宋体" w:hAnsi="宋体" w:cs="宋体"/>
          <w:color w:val="auto"/>
          <w:spacing w:val="4"/>
          <w:sz w:val="31"/>
          <w:szCs w:val="31"/>
          <w:highlight w:val="none"/>
        </w:rPr>
        <w:t>目名称：</w:t>
      </w:r>
    </w:p>
    <w:p w14:paraId="6A750F49">
      <w:pPr>
        <w:spacing w:line="700" w:lineRule="exact"/>
        <w:ind w:left="6" w:firstLine="1280" w:firstLineChars="400"/>
        <w:rPr>
          <w:rFonts w:ascii="宋体" w:hAnsi="宋体" w:cs="宋体"/>
          <w:color w:val="auto"/>
          <w:sz w:val="31"/>
          <w:szCs w:val="31"/>
          <w:highlight w:val="none"/>
        </w:rPr>
      </w:pPr>
      <w:r>
        <w:rPr>
          <w:rFonts w:ascii="宋体" w:hAnsi="宋体" w:cs="宋体"/>
          <w:color w:val="auto"/>
          <w:spacing w:val="5"/>
          <w:sz w:val="31"/>
          <w:szCs w:val="31"/>
          <w:highlight w:val="none"/>
        </w:rPr>
        <w:t>项</w:t>
      </w:r>
      <w:r>
        <w:rPr>
          <w:rFonts w:ascii="宋体" w:hAnsi="宋体" w:cs="宋体"/>
          <w:color w:val="auto"/>
          <w:spacing w:val="4"/>
          <w:sz w:val="31"/>
          <w:szCs w:val="31"/>
          <w:highlight w:val="none"/>
        </w:rPr>
        <w:t>目编号：</w:t>
      </w:r>
    </w:p>
    <w:p w14:paraId="538C1EB4">
      <w:pPr>
        <w:spacing w:line="700" w:lineRule="exact"/>
        <w:jc w:val="center"/>
        <w:rPr>
          <w:rFonts w:ascii="宋体" w:hAnsi="宋体" w:cs="宋体"/>
          <w:color w:val="auto"/>
          <w:sz w:val="31"/>
          <w:szCs w:val="31"/>
          <w:highlight w:val="none"/>
        </w:rPr>
      </w:pPr>
      <w:r>
        <w:rPr>
          <w:rFonts w:hint="eastAsia" w:ascii="宋体" w:hAnsi="宋体" w:cs="宋体"/>
          <w:color w:val="auto"/>
          <w:spacing w:val="8"/>
          <w:sz w:val="31"/>
          <w:szCs w:val="31"/>
          <w:highlight w:val="none"/>
        </w:rPr>
        <w:t>响应</w:t>
      </w:r>
      <w:r>
        <w:rPr>
          <w:rFonts w:ascii="宋体" w:hAnsi="宋体" w:cs="宋体"/>
          <w:color w:val="auto"/>
          <w:spacing w:val="4"/>
          <w:sz w:val="31"/>
          <w:szCs w:val="31"/>
          <w:highlight w:val="none"/>
        </w:rPr>
        <w:t>文件名称：</w:t>
      </w:r>
      <w:r>
        <w:rPr>
          <w:rFonts w:hint="eastAsia" w:ascii="宋体" w:hAnsi="宋体" w:cs="宋体"/>
          <w:color w:val="auto"/>
          <w:spacing w:val="4"/>
          <w:sz w:val="31"/>
          <w:szCs w:val="31"/>
          <w:highlight w:val="none"/>
          <w:u w:val="single"/>
        </w:rPr>
        <w:t>资格证明文件/商务技术文件/竞标报价文件</w:t>
      </w:r>
    </w:p>
    <w:p w14:paraId="76EF2196">
      <w:pPr>
        <w:spacing w:line="700" w:lineRule="exact"/>
        <w:rPr>
          <w:rFonts w:ascii="Arial"/>
          <w:color w:val="auto"/>
          <w:highlight w:val="none"/>
        </w:rPr>
      </w:pPr>
    </w:p>
    <w:p w14:paraId="361C7234">
      <w:pPr>
        <w:spacing w:line="700" w:lineRule="exact"/>
        <w:ind w:left="800"/>
        <w:rPr>
          <w:rFonts w:ascii="宋体" w:hAnsi="宋体" w:cs="宋体"/>
          <w:color w:val="auto"/>
          <w:spacing w:val="5"/>
          <w:sz w:val="31"/>
          <w:szCs w:val="31"/>
          <w:highlight w:val="none"/>
        </w:rPr>
      </w:pPr>
    </w:p>
    <w:p w14:paraId="7B74DCE6">
      <w:pPr>
        <w:spacing w:line="700" w:lineRule="exact"/>
        <w:ind w:left="800"/>
        <w:rPr>
          <w:rFonts w:ascii="宋体" w:hAnsi="宋体" w:cs="宋体"/>
          <w:color w:val="auto"/>
          <w:sz w:val="31"/>
          <w:szCs w:val="31"/>
          <w:highlight w:val="none"/>
        </w:rPr>
      </w:pPr>
      <w:r>
        <w:rPr>
          <w:rFonts w:ascii="宋体" w:hAnsi="宋体" w:cs="宋体"/>
          <w:color w:val="auto"/>
          <w:spacing w:val="5"/>
          <w:sz w:val="31"/>
          <w:szCs w:val="31"/>
          <w:highlight w:val="none"/>
        </w:rPr>
        <w:t>供</w:t>
      </w:r>
      <w:r>
        <w:rPr>
          <w:rFonts w:ascii="宋体" w:hAnsi="宋体" w:cs="宋体"/>
          <w:color w:val="auto"/>
          <w:spacing w:val="4"/>
          <w:sz w:val="31"/>
          <w:szCs w:val="31"/>
          <w:highlight w:val="none"/>
        </w:rPr>
        <w:t>应商：</w:t>
      </w:r>
    </w:p>
    <w:p w14:paraId="024D1644">
      <w:pPr>
        <w:spacing w:line="700" w:lineRule="exact"/>
        <w:ind w:left="801"/>
        <w:rPr>
          <w:rFonts w:ascii="宋体" w:hAnsi="宋体" w:cs="宋体"/>
          <w:color w:val="auto"/>
          <w:sz w:val="31"/>
          <w:szCs w:val="31"/>
          <w:highlight w:val="none"/>
        </w:rPr>
      </w:pPr>
      <w:r>
        <w:rPr>
          <w:rFonts w:ascii="宋体" w:hAnsi="宋体" w:cs="宋体"/>
          <w:color w:val="auto"/>
          <w:spacing w:val="9"/>
          <w:sz w:val="31"/>
          <w:szCs w:val="31"/>
          <w:highlight w:val="none"/>
        </w:rPr>
        <w:t>法</w:t>
      </w:r>
      <w:r>
        <w:rPr>
          <w:rFonts w:ascii="宋体" w:hAnsi="宋体" w:cs="宋体"/>
          <w:color w:val="auto"/>
          <w:spacing w:val="8"/>
          <w:sz w:val="31"/>
          <w:szCs w:val="31"/>
          <w:highlight w:val="none"/>
        </w:rPr>
        <w:t>定代表人或其委托代理人：</w:t>
      </w:r>
    </w:p>
    <w:p w14:paraId="1DA90374">
      <w:pPr>
        <w:spacing w:line="258" w:lineRule="auto"/>
        <w:rPr>
          <w:rFonts w:ascii="Arial"/>
          <w:color w:val="auto"/>
          <w:highlight w:val="none"/>
        </w:rPr>
      </w:pPr>
    </w:p>
    <w:p w14:paraId="7470165C">
      <w:pPr>
        <w:spacing w:line="258" w:lineRule="auto"/>
        <w:rPr>
          <w:rFonts w:ascii="Arial"/>
          <w:color w:val="auto"/>
          <w:highlight w:val="none"/>
        </w:rPr>
      </w:pPr>
    </w:p>
    <w:p w14:paraId="440F183E">
      <w:pPr>
        <w:spacing w:before="101" w:line="225" w:lineRule="auto"/>
        <w:ind w:left="1827"/>
        <w:rPr>
          <w:rFonts w:ascii="宋体" w:hAnsi="宋体" w:cs="宋体"/>
          <w:color w:val="auto"/>
          <w:sz w:val="31"/>
          <w:szCs w:val="31"/>
          <w:highlight w:val="none"/>
        </w:rPr>
      </w:pPr>
      <w:r>
        <w:rPr>
          <w:rFonts w:ascii="宋体" w:hAnsi="宋体" w:cs="宋体"/>
          <w:color w:val="auto"/>
          <w:spacing w:val="-10"/>
          <w:sz w:val="31"/>
          <w:szCs w:val="31"/>
          <w:highlight w:val="none"/>
        </w:rPr>
        <w:t>日</w:t>
      </w:r>
      <w:r>
        <w:rPr>
          <w:rFonts w:ascii="宋体" w:hAnsi="宋体" w:cs="宋体"/>
          <w:color w:val="auto"/>
          <w:spacing w:val="-6"/>
          <w:sz w:val="31"/>
          <w:szCs w:val="31"/>
          <w:highlight w:val="none"/>
        </w:rPr>
        <w:t>期：年月日</w:t>
      </w:r>
    </w:p>
    <w:p w14:paraId="358BC8BA">
      <w:pPr>
        <w:rPr>
          <w:color w:val="auto"/>
          <w:highlight w:val="none"/>
        </w:rPr>
        <w:sectPr>
          <w:footerReference r:id="rId5" w:type="default"/>
          <w:pgSz w:w="11906" w:h="16839"/>
          <w:pgMar w:top="1240" w:right="1080" w:bottom="1119" w:left="1300" w:header="0" w:footer="680" w:gutter="0"/>
          <w:pgNumType w:start="3"/>
          <w:cols w:space="720" w:num="1"/>
        </w:sectPr>
      </w:pPr>
    </w:p>
    <w:p w14:paraId="0EBE19F4">
      <w:pPr>
        <w:pStyle w:val="34"/>
        <w:jc w:val="center"/>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  录</w:t>
      </w:r>
    </w:p>
    <w:p w14:paraId="2CC43822">
      <w:pPr>
        <w:pStyle w:val="34"/>
        <w:rPr>
          <w:rFonts w:hAnsi="宋体"/>
          <w:color w:val="auto"/>
          <w:highlight w:val="none"/>
        </w:rPr>
      </w:pPr>
    </w:p>
    <w:p w14:paraId="6194BDB2">
      <w:pPr>
        <w:pStyle w:val="34"/>
        <w:spacing w:line="420" w:lineRule="exact"/>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1. 资格证明文件</w:t>
      </w:r>
    </w:p>
    <w:p w14:paraId="57F7BC22">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 竞标声明书 (格式见附件) ；</w:t>
      </w:r>
    </w:p>
    <w:p w14:paraId="36C334BD">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 法定代表人授权委托书和委托代理人正反面身份证复印件 ；</w:t>
      </w:r>
    </w:p>
    <w:p w14:paraId="310748AD">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(3) 法定代表人正反面身份证复印件； </w:t>
      </w:r>
    </w:p>
    <w:p w14:paraId="57C3C5BF">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(4) </w:t>
      </w:r>
      <w:r>
        <w:rPr>
          <w:rFonts w:hint="eastAsia" w:ascii="宋体" w:hAnsi="宋体" w:cs="宋体"/>
          <w:bCs/>
          <w:color w:val="auto"/>
          <w:szCs w:val="21"/>
          <w:highlight w:val="none"/>
        </w:rPr>
        <w:t>供应商</w:t>
      </w:r>
      <w:r>
        <w:rPr>
          <w:rFonts w:hint="eastAsia" w:ascii="宋体" w:hAnsi="宋体" w:eastAsia="宋体" w:cs="宋体"/>
          <w:color w:val="auto"/>
          <w:highlight w:val="none"/>
        </w:rPr>
        <w:t>有效的三证合一的营业执照或事业单位法人证书、资质证书、有效的安全生产许可证、项目经理执业资格证书等主体资格证明副本复印件；</w:t>
      </w:r>
    </w:p>
    <w:p w14:paraId="440C4E81">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(5) </w:t>
      </w:r>
      <w:r>
        <w:rPr>
          <w:rFonts w:hint="eastAsia" w:ascii="宋体" w:hAnsi="宋体" w:cs="宋体"/>
          <w:bCs/>
          <w:color w:val="auto"/>
          <w:szCs w:val="21"/>
          <w:highlight w:val="none"/>
        </w:rPr>
        <w:t>供应商</w:t>
      </w:r>
      <w:r>
        <w:rPr>
          <w:rFonts w:hint="eastAsia" w:ascii="宋体" w:hAnsi="宋体" w:eastAsia="宋体" w:cs="宋体"/>
          <w:color w:val="auto"/>
          <w:highlight w:val="none"/>
        </w:rPr>
        <w:t>提供《采购项目竞标资格承诺函》；</w:t>
      </w:r>
    </w:p>
    <w:p w14:paraId="7DEE3D12">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(6)中小企业声明函 (参照《政府采购促进中小企业发展暂行办法》 (财库﹝2020﹞46 号)要求，提供中小企业声明函。</w:t>
      </w:r>
    </w:p>
    <w:p w14:paraId="3F5A4E81">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cs="宋体"/>
          <w:bCs/>
          <w:color w:val="auto"/>
          <w:szCs w:val="21"/>
          <w:highlight w:val="none"/>
        </w:rPr>
        <w:t>供应商</w:t>
      </w:r>
      <w:r>
        <w:rPr>
          <w:rFonts w:hint="eastAsia" w:ascii="宋体" w:hAnsi="宋体" w:eastAsia="宋体" w:cs="宋体"/>
          <w:color w:val="auto"/>
          <w:highlight w:val="none"/>
        </w:rPr>
        <w:t xml:space="preserve">针对资格证明需要说明的其他证明文件和说明。  </w:t>
      </w:r>
    </w:p>
    <w:p w14:paraId="68536F0B">
      <w:pPr>
        <w:pStyle w:val="34"/>
        <w:spacing w:line="420" w:lineRule="exact"/>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2.商务技术文件</w:t>
      </w:r>
    </w:p>
    <w:p w14:paraId="6D8AF851">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(1) 施工组织设计；  </w:t>
      </w:r>
    </w:p>
    <w:p w14:paraId="538BB1FC">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(2) 项目管理机构配备情况表；  </w:t>
      </w:r>
    </w:p>
    <w:p w14:paraId="630276A1">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cs="宋体"/>
          <w:bCs/>
          <w:color w:val="auto"/>
          <w:szCs w:val="21"/>
          <w:highlight w:val="none"/>
        </w:rPr>
        <w:t>供应商</w:t>
      </w:r>
      <w:r>
        <w:rPr>
          <w:rFonts w:hint="eastAsia" w:ascii="宋体" w:hAnsi="宋体" w:eastAsia="宋体" w:cs="宋体"/>
          <w:color w:val="auto"/>
          <w:highlight w:val="none"/>
        </w:rPr>
        <w:t>针对商务技术需要说明的其他文件和说明；</w:t>
      </w:r>
    </w:p>
    <w:p w14:paraId="689250B0">
      <w:pPr>
        <w:pStyle w:val="34"/>
        <w:spacing w:line="420" w:lineRule="exact"/>
        <w:ind w:firstLine="422" w:firstLineChars="200"/>
        <w:rPr>
          <w:rFonts w:ascii="宋体" w:hAnsi="宋体" w:eastAsia="宋体" w:cs="宋体"/>
          <w:b/>
          <w:bCs/>
          <w:color w:val="auto"/>
          <w:highlight w:val="none"/>
        </w:rPr>
      </w:pPr>
      <w:r>
        <w:rPr>
          <w:rFonts w:hint="eastAsia" w:ascii="宋体" w:hAnsi="宋体" w:eastAsia="宋体" w:cs="宋体"/>
          <w:b/>
          <w:bCs/>
          <w:color w:val="auto"/>
          <w:highlight w:val="none"/>
        </w:rPr>
        <w:t>3.竞标报价文件</w:t>
      </w:r>
    </w:p>
    <w:p w14:paraId="3525A436">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 磋商函；</w:t>
      </w:r>
    </w:p>
    <w:p w14:paraId="31B9421B">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 磋商函附录；</w:t>
      </w:r>
    </w:p>
    <w:p w14:paraId="699A6C49">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(3) 已标价工程量清单；</w:t>
      </w:r>
    </w:p>
    <w:p w14:paraId="43E31DB7">
      <w:pPr>
        <w:pStyle w:val="34"/>
        <w:spacing w:line="42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bCs/>
          <w:color w:val="auto"/>
          <w:szCs w:val="21"/>
          <w:highlight w:val="none"/>
        </w:rPr>
        <w:t>供应商</w:t>
      </w:r>
      <w:r>
        <w:rPr>
          <w:rFonts w:hint="eastAsia" w:ascii="宋体" w:hAnsi="宋体" w:eastAsia="宋体" w:cs="宋体"/>
          <w:color w:val="auto"/>
          <w:highlight w:val="none"/>
        </w:rPr>
        <w:t>针对商务及报价需要说明的其他文件和说明。</w:t>
      </w:r>
    </w:p>
    <w:p w14:paraId="5D9DBC16">
      <w:pPr>
        <w:pStyle w:val="34"/>
        <w:spacing w:line="360" w:lineRule="auto"/>
        <w:rPr>
          <w:rFonts w:ascii="宋体" w:hAnsi="宋体" w:eastAsia="宋体" w:cs="宋体"/>
          <w:color w:val="auto"/>
          <w:highlight w:val="none"/>
        </w:rPr>
      </w:pPr>
    </w:p>
    <w:p w14:paraId="37157A75">
      <w:pPr>
        <w:pStyle w:val="34"/>
        <w:spacing w:line="360" w:lineRule="auto"/>
        <w:ind w:firstLine="420" w:firstLineChars="200"/>
        <w:rPr>
          <w:rFonts w:ascii="宋体" w:hAnsi="宋体" w:eastAsia="宋体" w:cs="宋体"/>
          <w:color w:val="auto"/>
          <w:highlight w:val="none"/>
        </w:rPr>
      </w:pPr>
    </w:p>
    <w:p w14:paraId="59E019D9">
      <w:pPr>
        <w:rPr>
          <w:rFonts w:ascii="宋体" w:hAnsi="宋体" w:cs="宋体"/>
          <w:color w:val="auto"/>
          <w:spacing w:val="15"/>
          <w:sz w:val="20"/>
          <w:szCs w:val="20"/>
          <w:highlight w:val="none"/>
        </w:rPr>
      </w:pPr>
      <w:r>
        <w:rPr>
          <w:rFonts w:ascii="宋体" w:hAnsi="宋体" w:cs="宋体"/>
          <w:color w:val="auto"/>
          <w:spacing w:val="15"/>
          <w:sz w:val="20"/>
          <w:szCs w:val="20"/>
          <w:highlight w:val="none"/>
        </w:rPr>
        <w:br w:type="page"/>
      </w:r>
    </w:p>
    <w:p w14:paraId="5290C6A7">
      <w:pPr>
        <w:spacing w:before="259" w:line="241" w:lineRule="auto"/>
        <w:outlineLvl w:val="1"/>
        <w:rPr>
          <w:rFonts w:ascii="宋体" w:hAnsi="宋体" w:cs="宋体"/>
          <w:color w:val="auto"/>
          <w:sz w:val="31"/>
          <w:szCs w:val="31"/>
          <w:highlight w:val="none"/>
        </w:rPr>
      </w:pPr>
      <w:r>
        <w:rPr>
          <w:rFonts w:ascii="宋体" w:hAnsi="宋体" w:cs="宋体"/>
          <w:color w:val="auto"/>
          <w:spacing w:val="15"/>
          <w:sz w:val="20"/>
          <w:szCs w:val="20"/>
          <w:highlight w:val="none"/>
        </w:rPr>
        <w:t>一</w:t>
      </w:r>
      <w:r>
        <w:rPr>
          <w:rFonts w:ascii="宋体" w:hAnsi="宋体" w:cs="宋体"/>
          <w:color w:val="auto"/>
          <w:spacing w:val="9"/>
          <w:sz w:val="31"/>
          <w:szCs w:val="31"/>
          <w:highlight w:val="none"/>
        </w:rPr>
        <w:t>、资格证明文件格式</w:t>
      </w:r>
    </w:p>
    <w:p w14:paraId="243A54C1">
      <w:pPr>
        <w:spacing w:line="241" w:lineRule="auto"/>
        <w:rPr>
          <w:rFonts w:ascii="Arial"/>
          <w:color w:val="auto"/>
          <w:highlight w:val="none"/>
        </w:rPr>
      </w:pPr>
    </w:p>
    <w:p w14:paraId="56628A64">
      <w:pPr>
        <w:spacing w:line="241" w:lineRule="auto"/>
        <w:rPr>
          <w:rFonts w:ascii="Arial"/>
          <w:color w:val="auto"/>
          <w:highlight w:val="none"/>
        </w:rPr>
      </w:pPr>
    </w:p>
    <w:p w14:paraId="3FBBDAC3">
      <w:pPr>
        <w:spacing w:line="241" w:lineRule="auto"/>
        <w:rPr>
          <w:rFonts w:ascii="Arial"/>
          <w:color w:val="auto"/>
          <w:highlight w:val="none"/>
        </w:rPr>
      </w:pPr>
    </w:p>
    <w:p w14:paraId="1EFFE6E2">
      <w:pPr>
        <w:spacing w:line="241" w:lineRule="auto"/>
        <w:rPr>
          <w:rFonts w:ascii="Arial"/>
          <w:color w:val="auto"/>
          <w:highlight w:val="none"/>
        </w:rPr>
      </w:pPr>
    </w:p>
    <w:p w14:paraId="39430DB2">
      <w:pPr>
        <w:spacing w:line="241" w:lineRule="auto"/>
        <w:rPr>
          <w:rFonts w:ascii="Arial"/>
          <w:color w:val="auto"/>
          <w:highlight w:val="none"/>
        </w:rPr>
      </w:pPr>
    </w:p>
    <w:p w14:paraId="04831001">
      <w:pPr>
        <w:spacing w:line="241" w:lineRule="auto"/>
        <w:rPr>
          <w:rFonts w:ascii="Arial"/>
          <w:color w:val="auto"/>
          <w:highlight w:val="none"/>
        </w:rPr>
      </w:pPr>
    </w:p>
    <w:p w14:paraId="0B559E9D">
      <w:pPr>
        <w:spacing w:line="242" w:lineRule="auto"/>
        <w:rPr>
          <w:rFonts w:ascii="Arial"/>
          <w:color w:val="auto"/>
          <w:highlight w:val="none"/>
        </w:rPr>
      </w:pPr>
    </w:p>
    <w:p w14:paraId="78B2B3AA">
      <w:pPr>
        <w:spacing w:line="242" w:lineRule="auto"/>
        <w:rPr>
          <w:rFonts w:ascii="Arial"/>
          <w:color w:val="auto"/>
          <w:highlight w:val="none"/>
        </w:rPr>
      </w:pPr>
    </w:p>
    <w:p w14:paraId="1E5570B8">
      <w:pPr>
        <w:spacing w:line="242" w:lineRule="auto"/>
        <w:rPr>
          <w:rFonts w:ascii="Arial"/>
          <w:color w:val="auto"/>
          <w:highlight w:val="none"/>
        </w:rPr>
      </w:pPr>
    </w:p>
    <w:p w14:paraId="18722775">
      <w:pPr>
        <w:spacing w:line="242" w:lineRule="auto"/>
        <w:rPr>
          <w:rFonts w:ascii="Arial"/>
          <w:color w:val="auto"/>
          <w:highlight w:val="none"/>
        </w:rPr>
      </w:pPr>
    </w:p>
    <w:p w14:paraId="3D28F477">
      <w:pPr>
        <w:spacing w:line="242" w:lineRule="auto"/>
        <w:rPr>
          <w:rFonts w:ascii="Arial"/>
          <w:color w:val="auto"/>
          <w:highlight w:val="none"/>
        </w:rPr>
      </w:pPr>
    </w:p>
    <w:p w14:paraId="653A58F9">
      <w:pPr>
        <w:spacing w:line="242" w:lineRule="auto"/>
        <w:rPr>
          <w:rFonts w:ascii="Arial"/>
          <w:color w:val="auto"/>
          <w:highlight w:val="none"/>
        </w:rPr>
      </w:pPr>
    </w:p>
    <w:p w14:paraId="361EC1A3">
      <w:pPr>
        <w:spacing w:line="242" w:lineRule="auto"/>
        <w:rPr>
          <w:rFonts w:ascii="Arial"/>
          <w:color w:val="auto"/>
          <w:highlight w:val="none"/>
        </w:rPr>
      </w:pPr>
    </w:p>
    <w:p w14:paraId="79D5B763">
      <w:pPr>
        <w:spacing w:line="242" w:lineRule="auto"/>
        <w:rPr>
          <w:rFonts w:ascii="Arial"/>
          <w:color w:val="auto"/>
          <w:highlight w:val="none"/>
        </w:rPr>
      </w:pPr>
    </w:p>
    <w:p w14:paraId="456AC9A4">
      <w:pPr>
        <w:spacing w:line="242" w:lineRule="auto"/>
        <w:rPr>
          <w:rFonts w:ascii="Arial"/>
          <w:color w:val="auto"/>
          <w:highlight w:val="none"/>
        </w:rPr>
      </w:pPr>
    </w:p>
    <w:p w14:paraId="6B31E77C">
      <w:pPr>
        <w:spacing w:line="242" w:lineRule="auto"/>
        <w:rPr>
          <w:rFonts w:ascii="Arial"/>
          <w:color w:val="auto"/>
          <w:highlight w:val="none"/>
        </w:rPr>
      </w:pPr>
    </w:p>
    <w:p w14:paraId="5D8CDF06">
      <w:pPr>
        <w:spacing w:before="140" w:line="224" w:lineRule="auto"/>
        <w:jc w:val="center"/>
        <w:outlineLvl w:val="1"/>
        <w:rPr>
          <w:rFonts w:ascii="宋体" w:hAnsi="宋体" w:cs="宋体"/>
          <w:color w:val="auto"/>
          <w:sz w:val="43"/>
          <w:szCs w:val="43"/>
          <w:highlight w:val="none"/>
        </w:rPr>
      </w:pPr>
      <w:r>
        <w:rPr>
          <w:rFonts w:ascii="宋体" w:hAnsi="宋体" w:cs="宋体"/>
          <w:color w:val="auto"/>
          <w:spacing w:val="5"/>
          <w:sz w:val="43"/>
          <w:szCs w:val="43"/>
          <w:highlight w:val="none"/>
        </w:rPr>
        <w:t>资格证明文件</w:t>
      </w:r>
    </w:p>
    <w:p w14:paraId="2450A6B2">
      <w:pPr>
        <w:rPr>
          <w:color w:val="auto"/>
          <w:highlight w:val="none"/>
        </w:rPr>
      </w:pPr>
    </w:p>
    <w:p w14:paraId="76F47720">
      <w:pPr>
        <w:pStyle w:val="34"/>
        <w:rPr>
          <w:color w:val="auto"/>
          <w:highlight w:val="none"/>
        </w:rPr>
      </w:pPr>
    </w:p>
    <w:p w14:paraId="12B8D7C8">
      <w:pPr>
        <w:pStyle w:val="34"/>
        <w:rPr>
          <w:color w:val="auto"/>
          <w:highlight w:val="none"/>
        </w:rPr>
      </w:pPr>
    </w:p>
    <w:p w14:paraId="05F86F96">
      <w:pPr>
        <w:pStyle w:val="34"/>
        <w:rPr>
          <w:color w:val="auto"/>
          <w:highlight w:val="none"/>
        </w:rPr>
      </w:pPr>
    </w:p>
    <w:p w14:paraId="3AF2ABAC">
      <w:pPr>
        <w:pStyle w:val="34"/>
        <w:rPr>
          <w:color w:val="auto"/>
          <w:highlight w:val="none"/>
        </w:rPr>
      </w:pPr>
    </w:p>
    <w:p w14:paraId="58BF3519">
      <w:pPr>
        <w:pStyle w:val="34"/>
        <w:rPr>
          <w:color w:val="auto"/>
          <w:highlight w:val="none"/>
        </w:rPr>
      </w:pPr>
    </w:p>
    <w:p w14:paraId="61C267C5">
      <w:pPr>
        <w:pStyle w:val="34"/>
        <w:rPr>
          <w:color w:val="auto"/>
          <w:highlight w:val="none"/>
        </w:rPr>
      </w:pPr>
    </w:p>
    <w:p w14:paraId="75C38371">
      <w:pPr>
        <w:pStyle w:val="34"/>
        <w:rPr>
          <w:color w:val="auto"/>
          <w:highlight w:val="none"/>
        </w:rPr>
      </w:pPr>
    </w:p>
    <w:p w14:paraId="0256912F">
      <w:pPr>
        <w:pStyle w:val="34"/>
        <w:rPr>
          <w:color w:val="auto"/>
          <w:highlight w:val="none"/>
        </w:rPr>
      </w:pPr>
    </w:p>
    <w:p w14:paraId="6AE84FEE">
      <w:pPr>
        <w:pStyle w:val="34"/>
        <w:rPr>
          <w:color w:val="auto"/>
          <w:highlight w:val="none"/>
        </w:rPr>
      </w:pPr>
    </w:p>
    <w:p w14:paraId="052AF822">
      <w:pPr>
        <w:pStyle w:val="34"/>
        <w:rPr>
          <w:color w:val="auto"/>
          <w:highlight w:val="none"/>
        </w:rPr>
      </w:pPr>
    </w:p>
    <w:p w14:paraId="1FAEC101">
      <w:pPr>
        <w:pStyle w:val="34"/>
        <w:rPr>
          <w:color w:val="auto"/>
          <w:highlight w:val="none"/>
        </w:rPr>
      </w:pPr>
    </w:p>
    <w:p w14:paraId="6F605002">
      <w:pPr>
        <w:pStyle w:val="34"/>
        <w:rPr>
          <w:color w:val="auto"/>
          <w:highlight w:val="none"/>
        </w:rPr>
      </w:pPr>
    </w:p>
    <w:p w14:paraId="1CD2ED37">
      <w:pPr>
        <w:pStyle w:val="34"/>
        <w:rPr>
          <w:color w:val="auto"/>
          <w:highlight w:val="none"/>
        </w:rPr>
      </w:pPr>
    </w:p>
    <w:p w14:paraId="0E9F5D36">
      <w:pPr>
        <w:pStyle w:val="34"/>
        <w:rPr>
          <w:color w:val="auto"/>
          <w:highlight w:val="none"/>
        </w:rPr>
      </w:pPr>
    </w:p>
    <w:p w14:paraId="191EBDBA">
      <w:pPr>
        <w:pStyle w:val="34"/>
        <w:rPr>
          <w:color w:val="auto"/>
          <w:highlight w:val="none"/>
        </w:rPr>
      </w:pPr>
    </w:p>
    <w:p w14:paraId="1F897F54">
      <w:pPr>
        <w:pStyle w:val="34"/>
        <w:rPr>
          <w:color w:val="auto"/>
          <w:highlight w:val="none"/>
        </w:rPr>
      </w:pPr>
    </w:p>
    <w:p w14:paraId="06502DB3">
      <w:pPr>
        <w:pStyle w:val="34"/>
        <w:rPr>
          <w:color w:val="auto"/>
          <w:highlight w:val="none"/>
        </w:rPr>
      </w:pPr>
    </w:p>
    <w:p w14:paraId="6CFA03E8">
      <w:pPr>
        <w:pStyle w:val="34"/>
        <w:rPr>
          <w:color w:val="auto"/>
          <w:highlight w:val="none"/>
        </w:rPr>
      </w:pPr>
    </w:p>
    <w:p w14:paraId="544A0569">
      <w:pPr>
        <w:pStyle w:val="34"/>
        <w:rPr>
          <w:color w:val="auto"/>
          <w:highlight w:val="none"/>
        </w:rPr>
      </w:pPr>
    </w:p>
    <w:p w14:paraId="16DC1181">
      <w:pPr>
        <w:pStyle w:val="34"/>
        <w:rPr>
          <w:color w:val="auto"/>
          <w:highlight w:val="none"/>
        </w:rPr>
      </w:pPr>
    </w:p>
    <w:p w14:paraId="6434487D">
      <w:pPr>
        <w:pStyle w:val="34"/>
        <w:rPr>
          <w:color w:val="auto"/>
          <w:highlight w:val="none"/>
        </w:rPr>
      </w:pPr>
    </w:p>
    <w:p w14:paraId="37553F50">
      <w:pPr>
        <w:pStyle w:val="34"/>
        <w:rPr>
          <w:color w:val="auto"/>
          <w:highlight w:val="none"/>
        </w:rPr>
      </w:pPr>
    </w:p>
    <w:p w14:paraId="6F2A373D">
      <w:pPr>
        <w:pStyle w:val="34"/>
        <w:rPr>
          <w:color w:val="auto"/>
          <w:highlight w:val="none"/>
        </w:rPr>
      </w:pPr>
    </w:p>
    <w:p w14:paraId="76936DD1">
      <w:pPr>
        <w:pStyle w:val="34"/>
        <w:rPr>
          <w:color w:val="auto"/>
          <w:highlight w:val="none"/>
        </w:rPr>
      </w:pPr>
    </w:p>
    <w:p w14:paraId="708F6F4C">
      <w:pPr>
        <w:pStyle w:val="34"/>
        <w:rPr>
          <w:color w:val="auto"/>
          <w:highlight w:val="none"/>
        </w:rPr>
      </w:pPr>
    </w:p>
    <w:p w14:paraId="071ADDEE">
      <w:pPr>
        <w:pStyle w:val="34"/>
        <w:rPr>
          <w:color w:val="auto"/>
          <w:highlight w:val="none"/>
        </w:rPr>
      </w:pPr>
    </w:p>
    <w:p w14:paraId="386C641B">
      <w:pPr>
        <w:pStyle w:val="34"/>
        <w:rPr>
          <w:color w:val="auto"/>
          <w:highlight w:val="none"/>
        </w:rPr>
      </w:pPr>
    </w:p>
    <w:p w14:paraId="5448345C">
      <w:pPr>
        <w:pStyle w:val="34"/>
        <w:rPr>
          <w:color w:val="auto"/>
          <w:highlight w:val="none"/>
        </w:rPr>
      </w:pPr>
    </w:p>
    <w:p w14:paraId="48DEFE79">
      <w:pPr>
        <w:pStyle w:val="34"/>
        <w:rPr>
          <w:color w:val="auto"/>
          <w:highlight w:val="none"/>
        </w:rPr>
      </w:pPr>
    </w:p>
    <w:p w14:paraId="726007B4">
      <w:pPr>
        <w:pStyle w:val="34"/>
        <w:rPr>
          <w:color w:val="auto"/>
          <w:highlight w:val="none"/>
        </w:rPr>
      </w:pPr>
    </w:p>
    <w:p w14:paraId="7D223F32">
      <w:pPr>
        <w:pStyle w:val="34"/>
        <w:rPr>
          <w:color w:val="auto"/>
          <w:highlight w:val="none"/>
        </w:rPr>
      </w:pPr>
    </w:p>
    <w:p w14:paraId="0D051830">
      <w:pPr>
        <w:pStyle w:val="34"/>
        <w:rPr>
          <w:color w:val="auto"/>
          <w:highlight w:val="none"/>
        </w:rPr>
      </w:pPr>
    </w:p>
    <w:p w14:paraId="2AA18387">
      <w:pPr>
        <w:pStyle w:val="34"/>
        <w:rPr>
          <w:rFonts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1.竞标声明书格式：</w:t>
      </w:r>
    </w:p>
    <w:p w14:paraId="2B1A2B82">
      <w:pPr>
        <w:pStyle w:val="34"/>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竞标声明书</w:t>
      </w:r>
    </w:p>
    <w:p w14:paraId="09866D49">
      <w:pPr>
        <w:pStyle w:val="34"/>
        <w:rPr>
          <w:rFonts w:ascii="宋体" w:hAnsi="宋体" w:eastAsia="宋体" w:cs="宋体"/>
          <w:color w:val="auto"/>
          <w:highlight w:val="none"/>
        </w:rPr>
      </w:pPr>
    </w:p>
    <w:p w14:paraId="368AC445">
      <w:pPr>
        <w:pStyle w:val="34"/>
        <w:rPr>
          <w:rFonts w:ascii="宋体" w:hAnsi="宋体" w:eastAsia="宋体" w:cs="宋体"/>
          <w:color w:val="auto"/>
          <w:highlight w:val="none"/>
        </w:rPr>
      </w:pPr>
    </w:p>
    <w:p w14:paraId="1CAAB893">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(采购人名称)</w:t>
      </w:r>
      <w:r>
        <w:rPr>
          <w:rFonts w:hint="eastAsia" w:ascii="宋体" w:hAnsi="宋体" w:eastAsia="宋体" w:cs="宋体"/>
          <w:color w:val="auto"/>
          <w:highlight w:val="none"/>
        </w:rPr>
        <w:t>：</w:t>
      </w:r>
    </w:p>
    <w:p w14:paraId="77C4B8F0">
      <w:pPr>
        <w:pStyle w:val="34"/>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u w:val="single"/>
        </w:rPr>
        <w:t>(供应商名称)</w:t>
      </w:r>
      <w:r>
        <w:rPr>
          <w:rFonts w:hint="eastAsia" w:ascii="宋体" w:hAnsi="宋体" w:eastAsia="宋体" w:cs="宋体"/>
          <w:color w:val="auto"/>
          <w:highlight w:val="none"/>
        </w:rPr>
        <w:t>系中华人民共和国合法企业，经营地址。</w:t>
      </w:r>
    </w:p>
    <w:p w14:paraId="772B3518">
      <w:pPr>
        <w:pStyle w:val="34"/>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我</w:t>
      </w:r>
      <w:r>
        <w:rPr>
          <w:rFonts w:hint="eastAsia" w:ascii="宋体" w:hAnsi="宋体" w:eastAsia="宋体" w:cs="宋体"/>
          <w:color w:val="auto"/>
          <w:highlight w:val="none"/>
          <w:u w:val="single"/>
        </w:rPr>
        <w:t xml:space="preserve">     (姓名)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(供应商名称)</w:t>
      </w:r>
      <w:r>
        <w:rPr>
          <w:rFonts w:hint="eastAsia" w:ascii="宋体" w:hAnsi="宋体" w:eastAsia="宋体" w:cs="宋体"/>
          <w:color w:val="auto"/>
          <w:highlight w:val="none"/>
        </w:rPr>
        <w:t>的法定代表人，我方愿意参加贵方组织的项目的竞争性磋商采购活动，为便于贵方公正、择优地确定成交人及其竞标产品和服务，我方就本次竞标有关事项郑重声明如下：</w:t>
      </w:r>
    </w:p>
    <w:p w14:paraId="4B14E645">
      <w:pPr>
        <w:pStyle w:val="34"/>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1.我方向贵方提交的所有响应文件、资料都是准确的和真实的。</w:t>
      </w:r>
    </w:p>
    <w:p w14:paraId="446AE0CA">
      <w:pPr>
        <w:pStyle w:val="34"/>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2.我方不是采购人的附属机构；在获知本项目采购信息后，与采购人聘请的为此项目提供咨询服务的公司及其附属机构没有任何联系。</w:t>
      </w:r>
    </w:p>
    <w:p w14:paraId="5CDFAF37">
      <w:pPr>
        <w:pStyle w:val="34"/>
        <w:spacing w:line="440" w:lineRule="exact"/>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3.我方及由本人担任法定代表人的其他机构最近三年内被通报或者被处罚的违法行为有：</w:t>
      </w:r>
    </w:p>
    <w:p w14:paraId="374A6425">
      <w:pPr>
        <w:pStyle w:val="34"/>
        <w:spacing w:line="440" w:lineRule="exact"/>
        <w:rPr>
          <w:rFonts w:ascii="宋体" w:hAnsi="宋体" w:eastAsia="宋体" w:cs="宋体"/>
          <w:color w:val="auto"/>
          <w:highlight w:val="none"/>
        </w:rPr>
      </w:pPr>
    </w:p>
    <w:p w14:paraId="52868D2D">
      <w:pPr>
        <w:pStyle w:val="34"/>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4.以上事项如有虚假或隐瞒，我方愿意承担一切后果，并不再寻求任何旨在减轻或免除法 律责任的辩解。</w:t>
      </w:r>
    </w:p>
    <w:p w14:paraId="0442857E">
      <w:pPr>
        <w:pStyle w:val="34"/>
        <w:spacing w:line="440" w:lineRule="exact"/>
        <w:rPr>
          <w:rFonts w:ascii="宋体" w:hAnsi="宋体" w:eastAsia="宋体" w:cs="宋体"/>
          <w:color w:val="auto"/>
          <w:highlight w:val="none"/>
        </w:rPr>
      </w:pPr>
    </w:p>
    <w:p w14:paraId="74D1AAA5">
      <w:pPr>
        <w:pStyle w:val="34"/>
        <w:spacing w:line="600" w:lineRule="exact"/>
        <w:ind w:firstLine="4830" w:firstLineChars="2300"/>
        <w:rPr>
          <w:rFonts w:ascii="宋体" w:hAnsi="宋体" w:eastAsia="宋体" w:cs="宋体"/>
          <w:color w:val="auto"/>
          <w:highlight w:val="none"/>
        </w:rPr>
      </w:pPr>
      <w:r>
        <w:rPr>
          <w:rFonts w:hint="eastAsia" w:ascii="宋体" w:hAnsi="宋体" w:eastAsia="宋体" w:cs="宋体"/>
          <w:color w:val="auto"/>
          <w:highlight w:val="none"/>
        </w:rPr>
        <w:t>法定代表人签字：</w:t>
      </w:r>
    </w:p>
    <w:p w14:paraId="383B71A4">
      <w:pPr>
        <w:pStyle w:val="34"/>
        <w:spacing w:line="600" w:lineRule="exact"/>
        <w:ind w:firstLine="4830" w:firstLineChars="2300"/>
        <w:rPr>
          <w:rFonts w:ascii="宋体" w:hAnsi="宋体" w:eastAsia="宋体" w:cs="宋体"/>
          <w:color w:val="auto"/>
          <w:highlight w:val="none"/>
          <w:u w:val="single"/>
        </w:rPr>
      </w:pPr>
      <w:r>
        <w:rPr>
          <w:rFonts w:hint="eastAsia" w:ascii="宋体" w:hAnsi="宋体" w:cs="宋体"/>
          <w:bCs/>
          <w:color w:val="auto"/>
          <w:szCs w:val="21"/>
          <w:highlight w:val="none"/>
        </w:rPr>
        <w:t>供应商</w:t>
      </w:r>
      <w:r>
        <w:rPr>
          <w:rFonts w:hint="eastAsia" w:ascii="宋体" w:hAnsi="宋体" w:eastAsia="宋体" w:cs="宋体"/>
          <w:color w:val="auto"/>
          <w:highlight w:val="none"/>
        </w:rPr>
        <w:t>公章：</w:t>
      </w:r>
    </w:p>
    <w:p w14:paraId="3449095D">
      <w:pPr>
        <w:pStyle w:val="34"/>
        <w:spacing w:line="600" w:lineRule="exact"/>
        <w:ind w:firstLine="6930" w:firstLineChars="3300"/>
        <w:rPr>
          <w:rFonts w:ascii="宋体" w:hAnsi="宋体" w:eastAsia="宋体" w:cs="宋体"/>
          <w:color w:val="auto"/>
          <w:highlight w:val="none"/>
        </w:rPr>
      </w:pPr>
      <w:r>
        <w:rPr>
          <w:rFonts w:hint="eastAsia" w:ascii="宋体" w:hAnsi="宋体" w:eastAsia="宋体" w:cs="宋体"/>
          <w:color w:val="auto"/>
          <w:highlight w:val="none"/>
        </w:rPr>
        <w:t>年    月    日</w:t>
      </w:r>
    </w:p>
    <w:p w14:paraId="0295DC55">
      <w:pPr>
        <w:pStyle w:val="34"/>
        <w:spacing w:line="360" w:lineRule="auto"/>
        <w:ind w:firstLine="5670" w:firstLineChars="2700"/>
        <w:rPr>
          <w:rFonts w:ascii="宋体" w:hAnsi="宋体" w:eastAsia="宋体" w:cs="宋体"/>
          <w:color w:val="auto"/>
          <w:highlight w:val="none"/>
        </w:rPr>
      </w:pPr>
    </w:p>
    <w:p w14:paraId="6F875082">
      <w:pPr>
        <w:pStyle w:val="34"/>
        <w:spacing w:line="360" w:lineRule="auto"/>
        <w:ind w:firstLine="5670" w:firstLineChars="2700"/>
        <w:rPr>
          <w:rFonts w:ascii="宋体" w:hAnsi="宋体" w:eastAsia="宋体" w:cs="宋体"/>
          <w:color w:val="auto"/>
          <w:highlight w:val="none"/>
        </w:rPr>
      </w:pPr>
    </w:p>
    <w:p w14:paraId="4B9CCC93">
      <w:pPr>
        <w:pStyle w:val="34"/>
        <w:spacing w:line="360" w:lineRule="auto"/>
        <w:ind w:firstLine="5670" w:firstLineChars="2700"/>
        <w:rPr>
          <w:rFonts w:ascii="宋体" w:hAnsi="宋体" w:eastAsia="宋体" w:cs="宋体"/>
          <w:color w:val="auto"/>
          <w:highlight w:val="none"/>
        </w:rPr>
      </w:pPr>
    </w:p>
    <w:p w14:paraId="7B5BF2D0">
      <w:pPr>
        <w:pStyle w:val="34"/>
        <w:spacing w:line="360" w:lineRule="auto"/>
        <w:ind w:firstLine="5670" w:firstLineChars="2700"/>
        <w:rPr>
          <w:rFonts w:ascii="宋体" w:hAnsi="宋体" w:eastAsia="宋体" w:cs="宋体"/>
          <w:color w:val="auto"/>
          <w:highlight w:val="none"/>
        </w:rPr>
      </w:pPr>
    </w:p>
    <w:p w14:paraId="6A39F5AD">
      <w:pPr>
        <w:pStyle w:val="34"/>
        <w:spacing w:line="360" w:lineRule="auto"/>
        <w:ind w:firstLine="5670" w:firstLineChars="2700"/>
        <w:rPr>
          <w:rFonts w:ascii="宋体" w:hAnsi="宋体" w:eastAsia="宋体" w:cs="宋体"/>
          <w:color w:val="auto"/>
          <w:highlight w:val="none"/>
        </w:rPr>
      </w:pPr>
    </w:p>
    <w:p w14:paraId="27240D88">
      <w:pPr>
        <w:pStyle w:val="34"/>
        <w:spacing w:line="360" w:lineRule="auto"/>
        <w:ind w:firstLine="5670" w:firstLineChars="2700"/>
        <w:rPr>
          <w:rFonts w:ascii="宋体" w:hAnsi="宋体" w:eastAsia="宋体" w:cs="宋体"/>
          <w:color w:val="auto"/>
          <w:highlight w:val="none"/>
        </w:rPr>
      </w:pPr>
    </w:p>
    <w:p w14:paraId="7EBABA72">
      <w:pPr>
        <w:pStyle w:val="34"/>
        <w:spacing w:line="360" w:lineRule="auto"/>
        <w:ind w:firstLine="5670" w:firstLineChars="2700"/>
        <w:rPr>
          <w:rFonts w:ascii="宋体" w:hAnsi="宋体" w:eastAsia="宋体" w:cs="宋体"/>
          <w:color w:val="auto"/>
          <w:highlight w:val="none"/>
        </w:rPr>
      </w:pPr>
    </w:p>
    <w:p w14:paraId="4D0D437A">
      <w:pPr>
        <w:pStyle w:val="34"/>
        <w:spacing w:line="360" w:lineRule="auto"/>
        <w:ind w:firstLine="5670" w:firstLineChars="2700"/>
        <w:rPr>
          <w:rFonts w:ascii="宋体" w:hAnsi="宋体" w:eastAsia="宋体" w:cs="宋体"/>
          <w:color w:val="auto"/>
          <w:highlight w:val="none"/>
        </w:rPr>
      </w:pPr>
    </w:p>
    <w:p w14:paraId="5CB742EB">
      <w:pPr>
        <w:pStyle w:val="34"/>
        <w:spacing w:line="360" w:lineRule="auto"/>
        <w:ind w:firstLine="5670" w:firstLineChars="2700"/>
        <w:rPr>
          <w:rFonts w:ascii="宋体" w:hAnsi="宋体" w:eastAsia="宋体" w:cs="宋体"/>
          <w:color w:val="auto"/>
          <w:highlight w:val="none"/>
        </w:rPr>
      </w:pPr>
    </w:p>
    <w:p w14:paraId="6132A32A">
      <w:pPr>
        <w:pStyle w:val="34"/>
        <w:spacing w:line="360" w:lineRule="auto"/>
        <w:ind w:firstLine="5670" w:firstLineChars="2700"/>
        <w:rPr>
          <w:rFonts w:ascii="宋体" w:hAnsi="宋体" w:eastAsia="宋体" w:cs="宋体"/>
          <w:color w:val="auto"/>
          <w:highlight w:val="none"/>
        </w:rPr>
      </w:pPr>
    </w:p>
    <w:p w14:paraId="40131F22">
      <w:pPr>
        <w:pStyle w:val="34"/>
        <w:spacing w:line="360" w:lineRule="auto"/>
        <w:ind w:firstLine="5670" w:firstLineChars="2700"/>
        <w:rPr>
          <w:rFonts w:ascii="宋体" w:hAnsi="宋体" w:eastAsia="宋体" w:cs="宋体"/>
          <w:color w:val="auto"/>
          <w:highlight w:val="none"/>
        </w:rPr>
      </w:pPr>
    </w:p>
    <w:p w14:paraId="3FDEAC50">
      <w:pPr>
        <w:pStyle w:val="34"/>
        <w:spacing w:line="360" w:lineRule="auto"/>
        <w:ind w:firstLine="5670" w:firstLineChars="2700"/>
        <w:rPr>
          <w:rFonts w:ascii="宋体" w:hAnsi="宋体" w:eastAsia="宋体" w:cs="宋体"/>
          <w:color w:val="auto"/>
          <w:highlight w:val="none"/>
        </w:rPr>
      </w:pPr>
    </w:p>
    <w:p w14:paraId="0F707249">
      <w:pPr>
        <w:pStyle w:val="34"/>
        <w:spacing w:line="360" w:lineRule="auto"/>
        <w:ind w:firstLine="5670" w:firstLineChars="2700"/>
        <w:rPr>
          <w:rFonts w:ascii="宋体" w:hAnsi="宋体" w:eastAsia="宋体" w:cs="宋体"/>
          <w:color w:val="auto"/>
          <w:highlight w:val="none"/>
        </w:rPr>
      </w:pPr>
    </w:p>
    <w:p w14:paraId="1D4A9D2C">
      <w:pPr>
        <w:pStyle w:val="34"/>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 法定代表人授权委托书和委托代理人正反面身份证复印件 (委托代理时需要提 供) 格式：</w:t>
      </w:r>
    </w:p>
    <w:p w14:paraId="7436E9EA">
      <w:pPr>
        <w:pStyle w:val="34"/>
        <w:spacing w:line="360" w:lineRule="auto"/>
        <w:jc w:val="center"/>
        <w:rPr>
          <w:rFonts w:ascii="宋体" w:hAnsi="宋体" w:eastAsia="宋体" w:cs="宋体"/>
          <w:b/>
          <w:bCs/>
          <w:color w:val="auto"/>
          <w:sz w:val="22"/>
          <w:szCs w:val="22"/>
          <w:highlight w:val="none"/>
        </w:rPr>
      </w:pPr>
    </w:p>
    <w:p w14:paraId="4C0DFC16">
      <w:pPr>
        <w:pStyle w:val="34"/>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w:t>
      </w:r>
    </w:p>
    <w:p w14:paraId="02B8B96A">
      <w:pPr>
        <w:pStyle w:val="34"/>
        <w:spacing w:line="360" w:lineRule="auto"/>
        <w:rPr>
          <w:rFonts w:ascii="宋体" w:hAnsi="宋体" w:eastAsia="宋体" w:cs="宋体"/>
          <w:color w:val="auto"/>
          <w:szCs w:val="21"/>
          <w:highlight w:val="none"/>
        </w:rPr>
      </w:pPr>
    </w:p>
    <w:p w14:paraId="62E52A04">
      <w:pPr>
        <w:pStyle w:val="34"/>
        <w:spacing w:line="360" w:lineRule="auto"/>
        <w:rPr>
          <w:rFonts w:ascii="宋体" w:hAnsi="宋体" w:eastAsia="宋体" w:cs="宋体"/>
          <w:color w:val="auto"/>
          <w:szCs w:val="21"/>
          <w:highlight w:val="none"/>
        </w:rPr>
      </w:pPr>
    </w:p>
    <w:p w14:paraId="4E673688">
      <w:pPr>
        <w:pStyle w:val="34"/>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(采购人名称)</w:t>
      </w:r>
      <w:r>
        <w:rPr>
          <w:rFonts w:hint="eastAsia" w:ascii="宋体" w:hAnsi="宋体" w:eastAsia="宋体" w:cs="宋体"/>
          <w:color w:val="auto"/>
          <w:szCs w:val="21"/>
          <w:highlight w:val="none"/>
        </w:rPr>
        <w:t>：</w:t>
      </w:r>
    </w:p>
    <w:p w14:paraId="2AAC69CD">
      <w:pPr>
        <w:pStyle w:val="34"/>
        <w:spacing w:line="360" w:lineRule="auto"/>
        <w:rPr>
          <w:rFonts w:ascii="宋体" w:hAnsi="宋体" w:eastAsia="宋体" w:cs="宋体"/>
          <w:color w:val="auto"/>
          <w:szCs w:val="21"/>
          <w:highlight w:val="none"/>
        </w:rPr>
      </w:pPr>
    </w:p>
    <w:p w14:paraId="6E19FA59">
      <w:pPr>
        <w:pStyle w:val="34"/>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我 </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 xml:space="preserve">系 </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的法定代表人，现授权委托 本单位在职职工</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以我方的名义参加项目的竞争性磋商采购活动， 并代表我方全权办理针对上述项目的竞标、开标、评标、签约等具体事务和签署相关文件。</w:t>
      </w:r>
    </w:p>
    <w:p w14:paraId="437F29DC">
      <w:pPr>
        <w:pStyle w:val="34"/>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我方对被授权人的签名事项负全部责任。</w:t>
      </w:r>
    </w:p>
    <w:p w14:paraId="208B136D">
      <w:pPr>
        <w:pStyle w:val="34"/>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在撤销授权的书面通知以前，本授权书一直有效。被授权人在授权书有效期内签署的所 有文件不因授权的撤销而失效。</w:t>
      </w:r>
    </w:p>
    <w:p w14:paraId="498B074B">
      <w:pPr>
        <w:pStyle w:val="34"/>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15D63400">
      <w:pPr>
        <w:pStyle w:val="34"/>
        <w:spacing w:line="360" w:lineRule="auto"/>
        <w:rPr>
          <w:rFonts w:ascii="宋体" w:hAnsi="宋体" w:eastAsia="宋体" w:cs="宋体"/>
          <w:color w:val="auto"/>
          <w:szCs w:val="21"/>
          <w:highlight w:val="none"/>
        </w:rPr>
      </w:pPr>
    </w:p>
    <w:p w14:paraId="6A2A05AA">
      <w:pPr>
        <w:pStyle w:val="34"/>
        <w:spacing w:line="360" w:lineRule="auto"/>
        <w:rPr>
          <w:rFonts w:ascii="宋体" w:hAnsi="宋体" w:eastAsia="宋体" w:cs="宋体"/>
          <w:color w:val="auto"/>
          <w:szCs w:val="21"/>
          <w:highlight w:val="none"/>
        </w:rPr>
      </w:pPr>
    </w:p>
    <w:p w14:paraId="5AED463E">
      <w:pPr>
        <w:pStyle w:val="34"/>
        <w:spacing w:line="6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               法定代表人签名或盖章：</w:t>
      </w:r>
    </w:p>
    <w:p w14:paraId="0E183A57">
      <w:pPr>
        <w:pStyle w:val="34"/>
        <w:spacing w:line="6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所在部门：              职务：</w:t>
      </w:r>
    </w:p>
    <w:p w14:paraId="4A19028B">
      <w:pPr>
        <w:pStyle w:val="34"/>
        <w:spacing w:line="6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p>
    <w:p w14:paraId="3F194960">
      <w:pPr>
        <w:pStyle w:val="34"/>
        <w:spacing w:line="640" w:lineRule="exact"/>
        <w:rPr>
          <w:rFonts w:ascii="宋体" w:hAnsi="宋体" w:eastAsia="宋体" w:cs="宋体"/>
          <w:color w:val="auto"/>
          <w:szCs w:val="21"/>
          <w:highlight w:val="none"/>
        </w:rPr>
      </w:pPr>
    </w:p>
    <w:p w14:paraId="48CBE795">
      <w:pPr>
        <w:pStyle w:val="34"/>
        <w:spacing w:line="640" w:lineRule="exact"/>
        <w:ind w:firstLine="4620" w:firstLineChars="2200"/>
        <w:rPr>
          <w:rFonts w:ascii="宋体" w:hAnsi="宋体" w:eastAsia="宋体" w:cs="宋体"/>
          <w:color w:val="auto"/>
          <w:szCs w:val="21"/>
          <w:highlight w:val="none"/>
        </w:rPr>
      </w:pPr>
      <w:r>
        <w:rPr>
          <w:rFonts w:hint="eastAsia" w:ascii="宋体" w:hAnsi="宋体" w:cs="宋体"/>
          <w:bCs/>
          <w:color w:val="auto"/>
          <w:szCs w:val="21"/>
          <w:highlight w:val="none"/>
        </w:rPr>
        <w:t>供应商</w:t>
      </w:r>
      <w:r>
        <w:rPr>
          <w:rFonts w:hint="eastAsia" w:ascii="宋体" w:hAnsi="宋体" w:eastAsia="宋体" w:cs="宋体"/>
          <w:color w:val="auto"/>
          <w:szCs w:val="21"/>
          <w:highlight w:val="none"/>
        </w:rPr>
        <w:t>公章：</w:t>
      </w:r>
    </w:p>
    <w:p w14:paraId="492E6709">
      <w:pPr>
        <w:pStyle w:val="34"/>
        <w:spacing w:line="640" w:lineRule="exact"/>
        <w:ind w:firstLine="5460" w:firstLineChars="2600"/>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23717C1E">
      <w:pPr>
        <w:pStyle w:val="34"/>
        <w:spacing w:line="360" w:lineRule="auto"/>
        <w:rPr>
          <w:rFonts w:ascii="宋体" w:hAnsi="宋体" w:eastAsia="宋体" w:cs="宋体"/>
          <w:color w:val="auto"/>
          <w:szCs w:val="21"/>
          <w:highlight w:val="none"/>
        </w:rPr>
      </w:pPr>
    </w:p>
    <w:p w14:paraId="4CD7F742">
      <w:pPr>
        <w:pStyle w:val="34"/>
        <w:spacing w:line="360" w:lineRule="auto"/>
        <w:rPr>
          <w:rFonts w:ascii="宋体" w:hAnsi="宋体" w:eastAsia="宋体" w:cs="宋体"/>
          <w:color w:val="auto"/>
          <w:szCs w:val="21"/>
          <w:highlight w:val="none"/>
        </w:rPr>
      </w:pPr>
    </w:p>
    <w:p w14:paraId="0678161B">
      <w:pPr>
        <w:pStyle w:val="34"/>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附：委托代理人正反面身份证复印件。</w:t>
      </w:r>
    </w:p>
    <w:p w14:paraId="13B6B3C4">
      <w:pPr>
        <w:pStyle w:val="34"/>
        <w:spacing w:line="360" w:lineRule="auto"/>
        <w:rPr>
          <w:rFonts w:ascii="宋体" w:hAnsi="宋体" w:eastAsia="宋体" w:cs="宋体"/>
          <w:color w:val="auto"/>
          <w:szCs w:val="21"/>
          <w:highlight w:val="none"/>
        </w:rPr>
      </w:pPr>
    </w:p>
    <w:p w14:paraId="2E9AA698">
      <w:pPr>
        <w:pStyle w:val="34"/>
        <w:spacing w:line="360" w:lineRule="auto"/>
        <w:rPr>
          <w:rFonts w:ascii="宋体" w:hAnsi="宋体" w:eastAsia="宋体" w:cs="宋体"/>
          <w:color w:val="auto"/>
          <w:szCs w:val="21"/>
          <w:highlight w:val="none"/>
        </w:rPr>
      </w:pPr>
    </w:p>
    <w:p w14:paraId="6FF06147">
      <w:pPr>
        <w:pStyle w:val="34"/>
        <w:spacing w:line="360" w:lineRule="auto"/>
        <w:rPr>
          <w:rFonts w:ascii="宋体" w:hAnsi="宋体" w:eastAsia="宋体" w:cs="宋体"/>
          <w:color w:val="auto"/>
          <w:szCs w:val="21"/>
          <w:highlight w:val="none"/>
        </w:rPr>
      </w:pPr>
    </w:p>
    <w:p w14:paraId="63E6ED14">
      <w:pPr>
        <w:pStyle w:val="34"/>
        <w:spacing w:line="360" w:lineRule="auto"/>
        <w:rPr>
          <w:rFonts w:ascii="宋体" w:hAnsi="宋体" w:eastAsia="宋体" w:cs="宋体"/>
          <w:color w:val="auto"/>
          <w:szCs w:val="21"/>
          <w:highlight w:val="none"/>
        </w:rPr>
      </w:pPr>
    </w:p>
    <w:p w14:paraId="445074A2">
      <w:pPr>
        <w:spacing w:line="193" w:lineRule="auto"/>
        <w:ind w:left="5"/>
        <w:rPr>
          <w:rFonts w:ascii="宋体" w:hAnsi="宋体" w:cs="宋体"/>
          <w:b/>
          <w:bCs/>
          <w:color w:val="auto"/>
          <w:kern w:val="0"/>
          <w:szCs w:val="21"/>
          <w:highlight w:val="none"/>
        </w:rPr>
      </w:pPr>
    </w:p>
    <w:p w14:paraId="6C98111E">
      <w:pPr>
        <w:pStyle w:val="34"/>
        <w:rPr>
          <w:b/>
          <w:bCs/>
          <w:color w:val="auto"/>
          <w:highlight w:val="none"/>
        </w:rPr>
      </w:pPr>
      <w:r>
        <w:rPr>
          <w:rFonts w:hint="eastAsia"/>
          <w:b/>
          <w:bCs/>
          <w:color w:val="auto"/>
          <w:highlight w:val="none"/>
        </w:rPr>
        <w:t>3.法定代表人正反面身份证复印件；</w:t>
      </w:r>
    </w:p>
    <w:p w14:paraId="7D31B6D0">
      <w:pPr>
        <w:pStyle w:val="34"/>
        <w:spacing w:line="360" w:lineRule="auto"/>
        <w:rPr>
          <w:rFonts w:ascii="宋体" w:hAnsi="宋体" w:eastAsia="宋体" w:cs="宋体"/>
          <w:b/>
          <w:bCs/>
          <w:color w:val="auto"/>
          <w:szCs w:val="21"/>
          <w:highlight w:val="none"/>
        </w:rPr>
      </w:pPr>
    </w:p>
    <w:p w14:paraId="64A00DFC">
      <w:pPr>
        <w:pStyle w:val="34"/>
        <w:spacing w:line="360" w:lineRule="auto"/>
        <w:ind w:left="5"/>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4.供应商有效的三证合一的营业执照或事业单位法人证书、资质证书、有效的安全生产许可证、项目经理执业资格证书等主体资格证明副本复印件；</w:t>
      </w:r>
    </w:p>
    <w:p w14:paraId="3990DC33">
      <w:pPr>
        <w:pStyle w:val="34"/>
        <w:spacing w:line="360" w:lineRule="auto"/>
        <w:rPr>
          <w:rFonts w:ascii="宋体" w:hAnsi="宋体" w:eastAsia="宋体" w:cs="宋体"/>
          <w:b/>
          <w:bCs/>
          <w:color w:val="auto"/>
          <w:szCs w:val="21"/>
          <w:highlight w:val="none"/>
        </w:rPr>
      </w:pPr>
    </w:p>
    <w:p w14:paraId="3F3CFACA">
      <w:pPr>
        <w:pStyle w:val="34"/>
        <w:spacing w:line="360" w:lineRule="auto"/>
        <w:jc w:val="center"/>
        <w:rPr>
          <w:rFonts w:ascii="宋体" w:hAnsi="宋体" w:eastAsia="宋体" w:cs="宋体"/>
          <w:b/>
          <w:bCs/>
          <w:color w:val="auto"/>
          <w:szCs w:val="21"/>
          <w:highlight w:val="none"/>
        </w:rPr>
      </w:pPr>
    </w:p>
    <w:p w14:paraId="3D43FF3F">
      <w:pPr>
        <w:pStyle w:val="34"/>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无重大违法记录声明书（格式）</w:t>
      </w:r>
    </w:p>
    <w:p w14:paraId="1B628B04">
      <w:pPr>
        <w:pStyle w:val="34"/>
        <w:spacing w:line="360" w:lineRule="auto"/>
        <w:rPr>
          <w:rFonts w:ascii="宋体" w:hAnsi="宋体" w:eastAsia="宋体" w:cs="宋体"/>
          <w:b/>
          <w:bCs/>
          <w:color w:val="auto"/>
          <w:szCs w:val="21"/>
          <w:highlight w:val="none"/>
        </w:rPr>
      </w:pPr>
    </w:p>
    <w:p w14:paraId="23A0AAF8">
      <w:pPr>
        <w:pStyle w:val="34"/>
        <w:spacing w:line="360" w:lineRule="auto"/>
        <w:rPr>
          <w:rFonts w:ascii="宋体" w:hAnsi="宋体" w:eastAsia="宋体" w:cs="宋体"/>
          <w:color w:val="auto"/>
          <w:szCs w:val="21"/>
          <w:highlight w:val="none"/>
        </w:rPr>
      </w:pPr>
    </w:p>
    <w:p w14:paraId="512C7A8E">
      <w:pPr>
        <w:pStyle w:val="34"/>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(采购人名称)       </w:t>
      </w:r>
      <w:r>
        <w:rPr>
          <w:rFonts w:hint="eastAsia" w:ascii="宋体" w:hAnsi="宋体" w:eastAsia="宋体" w:cs="宋体"/>
          <w:color w:val="auto"/>
          <w:szCs w:val="21"/>
          <w:highlight w:val="none"/>
        </w:rPr>
        <w:t xml:space="preserve"> ：</w:t>
      </w:r>
    </w:p>
    <w:p w14:paraId="59D605D7">
      <w:pPr>
        <w:pStyle w:val="34"/>
        <w:spacing w:line="360" w:lineRule="auto"/>
        <w:rPr>
          <w:rFonts w:ascii="宋体" w:hAnsi="宋体" w:eastAsia="宋体" w:cs="宋体"/>
          <w:color w:val="auto"/>
          <w:szCs w:val="21"/>
          <w:highlight w:val="none"/>
        </w:rPr>
      </w:pPr>
    </w:p>
    <w:p w14:paraId="2E318030">
      <w:pPr>
        <w:pStyle w:val="34"/>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我公司参加贵公司组织 项目的政府采购活动。我公司在此郑重声明，我公司参加本项目的政府采购活动前三年内在经营活动中没有重大违法记录，符合《中华人民共和国政府采购法》及《中华人民共和国政府采购法实施条例》规定的供应商条件，我公司对此声明负全部法律责任。</w:t>
      </w:r>
    </w:p>
    <w:p w14:paraId="387BE3C1">
      <w:pPr>
        <w:pStyle w:val="34"/>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A6F08E0">
      <w:pPr>
        <w:pStyle w:val="34"/>
        <w:spacing w:line="360" w:lineRule="auto"/>
        <w:rPr>
          <w:rFonts w:ascii="宋体" w:hAnsi="宋体" w:eastAsia="宋体" w:cs="宋体"/>
          <w:b/>
          <w:bCs/>
          <w:color w:val="auto"/>
          <w:szCs w:val="21"/>
          <w:highlight w:val="none"/>
        </w:rPr>
      </w:pPr>
    </w:p>
    <w:p w14:paraId="7C778FAE">
      <w:pPr>
        <w:pStyle w:val="34"/>
        <w:spacing w:line="360" w:lineRule="auto"/>
        <w:rPr>
          <w:rFonts w:ascii="宋体" w:hAnsi="宋体" w:eastAsia="宋体" w:cs="宋体"/>
          <w:b/>
          <w:bCs/>
          <w:color w:val="auto"/>
          <w:szCs w:val="21"/>
          <w:highlight w:val="none"/>
        </w:rPr>
      </w:pPr>
    </w:p>
    <w:p w14:paraId="5F06616E">
      <w:pPr>
        <w:pStyle w:val="34"/>
        <w:spacing w:line="360" w:lineRule="auto"/>
        <w:rPr>
          <w:rFonts w:ascii="宋体" w:hAnsi="宋体" w:eastAsia="宋体" w:cs="宋体"/>
          <w:b/>
          <w:bCs/>
          <w:color w:val="auto"/>
          <w:szCs w:val="21"/>
          <w:highlight w:val="none"/>
        </w:rPr>
      </w:pPr>
    </w:p>
    <w:p w14:paraId="05762193">
      <w:pPr>
        <w:pStyle w:val="34"/>
        <w:spacing w:line="360" w:lineRule="auto"/>
        <w:rPr>
          <w:rFonts w:ascii="宋体" w:hAnsi="宋体" w:eastAsia="宋体" w:cs="宋体"/>
          <w:b/>
          <w:bCs/>
          <w:color w:val="auto"/>
          <w:szCs w:val="21"/>
          <w:highlight w:val="none"/>
        </w:rPr>
      </w:pPr>
    </w:p>
    <w:p w14:paraId="6BBC99E3">
      <w:pPr>
        <w:pStyle w:val="34"/>
        <w:spacing w:line="360" w:lineRule="auto"/>
        <w:rPr>
          <w:rFonts w:ascii="宋体" w:hAnsi="宋体" w:eastAsia="宋体" w:cs="宋体"/>
          <w:color w:val="auto"/>
          <w:szCs w:val="21"/>
          <w:highlight w:val="none"/>
        </w:rPr>
      </w:pPr>
    </w:p>
    <w:p w14:paraId="57FFB6E9">
      <w:pPr>
        <w:pStyle w:val="34"/>
        <w:spacing w:line="640" w:lineRule="exact"/>
        <w:ind w:firstLine="420" w:firstLineChars="200"/>
        <w:rPr>
          <w:rFonts w:ascii="宋体" w:hAnsi="宋体" w:eastAsia="宋体" w:cs="宋体"/>
          <w:color w:val="auto"/>
          <w:szCs w:val="21"/>
          <w:highlight w:val="none"/>
          <w:u w:val="single"/>
        </w:rPr>
      </w:pPr>
      <w:r>
        <w:rPr>
          <w:rFonts w:hint="eastAsia" w:ascii="宋体" w:hAnsi="宋体" w:cs="宋体"/>
          <w:bCs/>
          <w:color w:val="auto"/>
          <w:szCs w:val="21"/>
          <w:highlight w:val="none"/>
        </w:rPr>
        <w:t>供应商</w:t>
      </w:r>
      <w:r>
        <w:rPr>
          <w:rFonts w:hint="eastAsia" w:ascii="宋体" w:hAnsi="宋体" w:eastAsia="宋体" w:cs="宋体"/>
          <w:color w:val="auto"/>
          <w:szCs w:val="21"/>
          <w:highlight w:val="none"/>
        </w:rPr>
        <w:t>全称 (盖公章) ：</w:t>
      </w:r>
    </w:p>
    <w:p w14:paraId="07394CB3">
      <w:pPr>
        <w:pStyle w:val="34"/>
        <w:spacing w:line="64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法定代表人或授权代表签字：</w:t>
      </w:r>
    </w:p>
    <w:p w14:paraId="3EAC3A8A">
      <w:pPr>
        <w:pStyle w:val="34"/>
        <w:spacing w:line="6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14:paraId="76AB8673">
      <w:pPr>
        <w:pStyle w:val="34"/>
        <w:spacing w:line="360" w:lineRule="auto"/>
        <w:rPr>
          <w:rFonts w:ascii="宋体" w:hAnsi="宋体" w:eastAsia="宋体" w:cs="宋体"/>
          <w:color w:val="auto"/>
          <w:szCs w:val="21"/>
          <w:highlight w:val="none"/>
        </w:rPr>
      </w:pPr>
    </w:p>
    <w:p w14:paraId="26712420">
      <w:pPr>
        <w:pStyle w:val="34"/>
        <w:spacing w:line="360" w:lineRule="auto"/>
        <w:rPr>
          <w:rFonts w:ascii="宋体" w:hAnsi="宋体" w:eastAsia="宋体" w:cs="宋体"/>
          <w:color w:val="auto"/>
          <w:szCs w:val="21"/>
          <w:highlight w:val="none"/>
        </w:rPr>
      </w:pPr>
    </w:p>
    <w:p w14:paraId="2571D313">
      <w:pPr>
        <w:pStyle w:val="34"/>
        <w:spacing w:line="360" w:lineRule="auto"/>
        <w:rPr>
          <w:rFonts w:ascii="宋体" w:hAnsi="宋体" w:eastAsia="宋体" w:cs="宋体"/>
          <w:color w:val="auto"/>
          <w:szCs w:val="21"/>
          <w:highlight w:val="none"/>
        </w:rPr>
      </w:pPr>
    </w:p>
    <w:p w14:paraId="743E6EAD">
      <w:pPr>
        <w:pStyle w:val="34"/>
        <w:spacing w:line="360" w:lineRule="auto"/>
        <w:rPr>
          <w:rFonts w:ascii="宋体" w:hAnsi="宋体" w:eastAsia="宋体" w:cs="宋体"/>
          <w:color w:val="auto"/>
          <w:szCs w:val="21"/>
          <w:highlight w:val="none"/>
        </w:rPr>
      </w:pPr>
    </w:p>
    <w:p w14:paraId="2C09D78A">
      <w:pPr>
        <w:pStyle w:val="34"/>
        <w:spacing w:line="360" w:lineRule="auto"/>
        <w:rPr>
          <w:rFonts w:ascii="宋体" w:hAnsi="宋体" w:eastAsia="宋体" w:cs="宋体"/>
          <w:color w:val="auto"/>
          <w:szCs w:val="21"/>
          <w:highlight w:val="none"/>
        </w:rPr>
        <w:sectPr>
          <w:footerReference r:id="rId6" w:type="default"/>
          <w:pgSz w:w="11906" w:h="16839"/>
          <w:pgMar w:top="1440" w:right="1080" w:bottom="1440" w:left="1300" w:header="0" w:footer="567" w:gutter="0"/>
          <w:cols w:space="720" w:num="1"/>
        </w:sectPr>
      </w:pPr>
    </w:p>
    <w:p w14:paraId="17E1E4E1">
      <w:pPr>
        <w:pStyle w:val="34"/>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5.供应商提供《采购项目竞标资格承诺函》</w:t>
      </w:r>
    </w:p>
    <w:p w14:paraId="285EAA04">
      <w:pPr>
        <w:pStyle w:val="34"/>
        <w:spacing w:line="360" w:lineRule="auto"/>
        <w:rPr>
          <w:rFonts w:ascii="宋体" w:hAnsi="宋体" w:eastAsia="宋体" w:cs="宋体"/>
          <w:color w:val="auto"/>
          <w:highlight w:val="none"/>
        </w:rPr>
      </w:pPr>
    </w:p>
    <w:p w14:paraId="02E08910">
      <w:pPr>
        <w:pStyle w:val="34"/>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采购项目竞标资格承诺函</w:t>
      </w:r>
    </w:p>
    <w:p w14:paraId="17BBC2A3">
      <w:pPr>
        <w:pStyle w:val="34"/>
        <w:spacing w:line="360" w:lineRule="auto"/>
        <w:jc w:val="center"/>
        <w:rPr>
          <w:rFonts w:ascii="宋体" w:hAnsi="宋体" w:eastAsia="宋体" w:cs="宋体"/>
          <w:b/>
          <w:bCs/>
          <w:color w:val="auto"/>
          <w:sz w:val="22"/>
          <w:szCs w:val="28"/>
          <w:highlight w:val="none"/>
        </w:rPr>
      </w:pPr>
    </w:p>
    <w:p w14:paraId="74FE89A8">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本公司郑重承诺，根据《中华人民共和国政府采购法》第二十二条的规定， 本公司为参加政府采购活动的合格供应商。即本公司同时满足以下条件：</w:t>
      </w:r>
    </w:p>
    <w:p w14:paraId="078E25E3">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7AF3D9C5">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04CEF986">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283245A0">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525C51E3">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5、提交响应文件截止日期前三年内，在经营活动中没有重大违法记录。</w:t>
      </w:r>
    </w:p>
    <w:p w14:paraId="5F2BB952">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6、本公司对上述承诺的真实性负责，并接受政府采购、税务、社会保障等</w:t>
      </w:r>
    </w:p>
    <w:p w14:paraId="4250F22E">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监督管理部门、采购文件规定的资格审查机构、社会公众的监督和检查。如有虚 假，将依法承担相应责任。</w:t>
      </w:r>
    </w:p>
    <w:p w14:paraId="01F77BDE">
      <w:pPr>
        <w:pStyle w:val="34"/>
        <w:spacing w:line="360" w:lineRule="auto"/>
        <w:ind w:firstLine="420" w:firstLineChars="200"/>
        <w:rPr>
          <w:rFonts w:ascii="宋体" w:hAnsi="宋体" w:eastAsia="宋体" w:cs="宋体"/>
          <w:color w:val="auto"/>
          <w:highlight w:val="none"/>
        </w:rPr>
      </w:pPr>
    </w:p>
    <w:p w14:paraId="5695FFCE">
      <w:pPr>
        <w:pStyle w:val="34"/>
        <w:spacing w:line="360" w:lineRule="auto"/>
        <w:rPr>
          <w:rFonts w:ascii="宋体" w:hAnsi="宋体" w:eastAsia="宋体" w:cs="宋体"/>
          <w:color w:val="auto"/>
          <w:highlight w:val="none"/>
        </w:rPr>
      </w:pPr>
    </w:p>
    <w:p w14:paraId="55135239">
      <w:pPr>
        <w:pStyle w:val="34"/>
        <w:spacing w:line="360" w:lineRule="auto"/>
        <w:rPr>
          <w:rFonts w:ascii="宋体" w:hAnsi="宋体" w:eastAsia="宋体" w:cs="宋体"/>
          <w:color w:val="auto"/>
          <w:highlight w:val="none"/>
        </w:rPr>
      </w:pPr>
    </w:p>
    <w:p w14:paraId="5C6FA6BA">
      <w:pPr>
        <w:pStyle w:val="34"/>
        <w:spacing w:line="640" w:lineRule="exact"/>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企业名称 (盖章) ：</w:t>
      </w:r>
    </w:p>
    <w:p w14:paraId="211DDA20">
      <w:pPr>
        <w:pStyle w:val="34"/>
        <w:spacing w:line="640" w:lineRule="exact"/>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法定代表人 (签名) ：</w:t>
      </w:r>
    </w:p>
    <w:p w14:paraId="3F381EC8">
      <w:pPr>
        <w:pStyle w:val="34"/>
        <w:spacing w:line="6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日期：年月日</w:t>
      </w:r>
    </w:p>
    <w:p w14:paraId="3ACF9DEE">
      <w:pPr>
        <w:pStyle w:val="34"/>
        <w:rPr>
          <w:rFonts w:hAnsi="宋体"/>
          <w:color w:val="auto"/>
          <w:highlight w:val="none"/>
        </w:rPr>
      </w:pPr>
    </w:p>
    <w:p w14:paraId="23C15A6C">
      <w:pPr>
        <w:pStyle w:val="34"/>
        <w:rPr>
          <w:rFonts w:hAnsi="宋体"/>
          <w:color w:val="auto"/>
          <w:highlight w:val="none"/>
        </w:rPr>
      </w:pPr>
    </w:p>
    <w:p w14:paraId="17B23601">
      <w:pPr>
        <w:pStyle w:val="34"/>
        <w:rPr>
          <w:rFonts w:hAnsi="宋体"/>
          <w:color w:val="auto"/>
          <w:highlight w:val="none"/>
        </w:rPr>
      </w:pPr>
    </w:p>
    <w:p w14:paraId="169214BC">
      <w:pPr>
        <w:pStyle w:val="34"/>
        <w:rPr>
          <w:rFonts w:ascii="宋体" w:hAnsi="宋体" w:eastAsia="宋体" w:cs="宋体"/>
          <w:b/>
          <w:bCs/>
          <w:color w:val="auto"/>
          <w:highlight w:val="none"/>
        </w:rPr>
      </w:pPr>
      <w:r>
        <w:rPr>
          <w:rFonts w:hint="eastAsia" w:ascii="宋体" w:hAnsi="宋体" w:eastAsia="宋体" w:cs="宋体"/>
          <w:b/>
          <w:bCs/>
          <w:color w:val="auto"/>
          <w:highlight w:val="none"/>
        </w:rPr>
        <w:t>6.中小企业声明函 (参照《政府采购促进中小企业发展暂行办法》 (财库﹝2020﹞46 号)要求，提供中小企业声明函。</w:t>
      </w:r>
    </w:p>
    <w:p w14:paraId="3DBA9935">
      <w:pPr>
        <w:pStyle w:val="34"/>
        <w:rPr>
          <w:rFonts w:hAnsi="宋体"/>
          <w:color w:val="auto"/>
          <w:highlight w:val="none"/>
        </w:rPr>
      </w:pPr>
    </w:p>
    <w:p w14:paraId="5F6C7E9E">
      <w:pPr>
        <w:pStyle w:val="34"/>
        <w:rPr>
          <w:rFonts w:hAnsi="宋体"/>
          <w:color w:val="auto"/>
          <w:highlight w:val="none"/>
        </w:rPr>
      </w:pPr>
    </w:p>
    <w:p w14:paraId="6FED9460">
      <w:pPr>
        <w:pStyle w:val="34"/>
        <w:rPr>
          <w:rFonts w:hAnsi="宋体"/>
          <w:color w:val="auto"/>
          <w:highlight w:val="none"/>
        </w:rPr>
      </w:pPr>
      <w:r>
        <w:rPr>
          <w:rFonts w:hint="eastAsia" w:ascii="宋体" w:hAnsi="宋体" w:eastAsia="宋体" w:cs="宋体"/>
          <w:b/>
          <w:bCs/>
          <w:color w:val="auto"/>
          <w:highlight w:val="none"/>
        </w:rPr>
        <w:t xml:space="preserve">7.供应商针对资格证明需要说明的其他证明文件和说明。 </w:t>
      </w:r>
    </w:p>
    <w:p w14:paraId="5E7D817F">
      <w:pPr>
        <w:pStyle w:val="34"/>
        <w:rPr>
          <w:rFonts w:hAnsi="宋体"/>
          <w:color w:val="auto"/>
          <w:highlight w:val="none"/>
        </w:rPr>
      </w:pPr>
    </w:p>
    <w:p w14:paraId="34ABF092">
      <w:pPr>
        <w:pStyle w:val="34"/>
        <w:rPr>
          <w:rFonts w:hAnsi="宋体"/>
          <w:color w:val="auto"/>
          <w:highlight w:val="none"/>
        </w:rPr>
      </w:pPr>
    </w:p>
    <w:p w14:paraId="3280C4AC">
      <w:pPr>
        <w:pStyle w:val="34"/>
        <w:rPr>
          <w:rFonts w:hAnsi="宋体"/>
          <w:color w:val="auto"/>
          <w:highlight w:val="none"/>
        </w:rPr>
      </w:pPr>
    </w:p>
    <w:p w14:paraId="58E142E3">
      <w:pPr>
        <w:pStyle w:val="34"/>
        <w:rPr>
          <w:rFonts w:hAnsi="宋体"/>
          <w:color w:val="auto"/>
          <w:highlight w:val="none"/>
        </w:rPr>
      </w:pPr>
    </w:p>
    <w:p w14:paraId="5F4946C5">
      <w:pPr>
        <w:pStyle w:val="34"/>
        <w:rPr>
          <w:rFonts w:hAnsi="宋体"/>
          <w:color w:val="auto"/>
          <w:highlight w:val="none"/>
        </w:rPr>
      </w:pPr>
    </w:p>
    <w:p w14:paraId="63F1790F">
      <w:pPr>
        <w:pStyle w:val="34"/>
        <w:numPr>
          <w:ilvl w:val="0"/>
          <w:numId w:val="3"/>
        </w:numPr>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商务技术文件格式</w:t>
      </w:r>
    </w:p>
    <w:p w14:paraId="60EC794B">
      <w:pPr>
        <w:pStyle w:val="34"/>
        <w:rPr>
          <w:rFonts w:ascii="宋体" w:hAnsi="宋体" w:eastAsia="宋体" w:cs="宋体"/>
          <w:b/>
          <w:bCs/>
          <w:color w:val="auto"/>
          <w:sz w:val="24"/>
          <w:szCs w:val="32"/>
          <w:highlight w:val="none"/>
        </w:rPr>
      </w:pPr>
    </w:p>
    <w:p w14:paraId="7575548D">
      <w:pPr>
        <w:pStyle w:val="34"/>
        <w:rPr>
          <w:rFonts w:ascii="宋体" w:hAnsi="宋体" w:eastAsia="宋体" w:cs="宋体"/>
          <w:b/>
          <w:bCs/>
          <w:color w:val="auto"/>
          <w:sz w:val="24"/>
          <w:szCs w:val="32"/>
          <w:highlight w:val="none"/>
        </w:rPr>
      </w:pPr>
    </w:p>
    <w:p w14:paraId="523CFBDF">
      <w:pPr>
        <w:pStyle w:val="34"/>
        <w:rPr>
          <w:rFonts w:ascii="宋体" w:hAnsi="宋体" w:eastAsia="宋体" w:cs="宋体"/>
          <w:b/>
          <w:bCs/>
          <w:color w:val="auto"/>
          <w:sz w:val="24"/>
          <w:szCs w:val="32"/>
          <w:highlight w:val="none"/>
        </w:rPr>
      </w:pPr>
    </w:p>
    <w:p w14:paraId="0293FBA2">
      <w:pPr>
        <w:pStyle w:val="34"/>
        <w:rPr>
          <w:rFonts w:ascii="宋体" w:hAnsi="宋体" w:eastAsia="宋体" w:cs="宋体"/>
          <w:b/>
          <w:bCs/>
          <w:color w:val="auto"/>
          <w:sz w:val="24"/>
          <w:szCs w:val="32"/>
          <w:highlight w:val="none"/>
        </w:rPr>
      </w:pPr>
    </w:p>
    <w:p w14:paraId="397DA913">
      <w:pPr>
        <w:pStyle w:val="34"/>
        <w:rPr>
          <w:rFonts w:ascii="宋体" w:hAnsi="宋体" w:eastAsia="宋体" w:cs="宋体"/>
          <w:b/>
          <w:bCs/>
          <w:color w:val="auto"/>
          <w:sz w:val="24"/>
          <w:szCs w:val="32"/>
          <w:highlight w:val="none"/>
        </w:rPr>
      </w:pPr>
    </w:p>
    <w:p w14:paraId="2A25312E">
      <w:pPr>
        <w:pStyle w:val="34"/>
        <w:rPr>
          <w:rFonts w:ascii="宋体" w:hAnsi="宋体" w:eastAsia="宋体" w:cs="宋体"/>
          <w:b/>
          <w:bCs/>
          <w:color w:val="auto"/>
          <w:sz w:val="24"/>
          <w:szCs w:val="32"/>
          <w:highlight w:val="none"/>
        </w:rPr>
      </w:pPr>
    </w:p>
    <w:p w14:paraId="534027DF">
      <w:pPr>
        <w:pStyle w:val="34"/>
        <w:rPr>
          <w:rFonts w:ascii="宋体" w:hAnsi="宋体" w:eastAsia="宋体" w:cs="宋体"/>
          <w:b/>
          <w:bCs/>
          <w:color w:val="auto"/>
          <w:sz w:val="24"/>
          <w:szCs w:val="32"/>
          <w:highlight w:val="none"/>
        </w:rPr>
      </w:pPr>
    </w:p>
    <w:p w14:paraId="0D19CACB">
      <w:pPr>
        <w:pStyle w:val="34"/>
        <w:rPr>
          <w:rFonts w:ascii="宋体" w:hAnsi="宋体" w:eastAsia="宋体" w:cs="宋体"/>
          <w:b/>
          <w:bCs/>
          <w:color w:val="auto"/>
          <w:sz w:val="24"/>
          <w:szCs w:val="32"/>
          <w:highlight w:val="none"/>
        </w:rPr>
      </w:pPr>
    </w:p>
    <w:p w14:paraId="1C9A3EC9">
      <w:pPr>
        <w:pStyle w:val="34"/>
        <w:rPr>
          <w:rFonts w:ascii="宋体" w:hAnsi="宋体" w:eastAsia="宋体" w:cs="宋体"/>
          <w:b/>
          <w:bCs/>
          <w:color w:val="auto"/>
          <w:sz w:val="24"/>
          <w:szCs w:val="32"/>
          <w:highlight w:val="none"/>
        </w:rPr>
      </w:pPr>
    </w:p>
    <w:p w14:paraId="78F282A0">
      <w:pPr>
        <w:pStyle w:val="34"/>
        <w:rPr>
          <w:rFonts w:ascii="宋体" w:hAnsi="宋体" w:eastAsia="宋体" w:cs="宋体"/>
          <w:b/>
          <w:bCs/>
          <w:color w:val="auto"/>
          <w:sz w:val="24"/>
          <w:szCs w:val="32"/>
          <w:highlight w:val="none"/>
        </w:rPr>
      </w:pPr>
    </w:p>
    <w:p w14:paraId="73F33D93">
      <w:pPr>
        <w:pStyle w:val="34"/>
        <w:rPr>
          <w:rFonts w:ascii="宋体" w:hAnsi="宋体" w:eastAsia="宋体" w:cs="宋体"/>
          <w:b/>
          <w:bCs/>
          <w:color w:val="auto"/>
          <w:sz w:val="24"/>
          <w:szCs w:val="32"/>
          <w:highlight w:val="none"/>
        </w:rPr>
      </w:pPr>
    </w:p>
    <w:p w14:paraId="487B9091">
      <w:pPr>
        <w:pStyle w:val="34"/>
        <w:jc w:val="center"/>
        <w:rPr>
          <w:rFonts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商 务 技 术 文 件</w:t>
      </w:r>
    </w:p>
    <w:p w14:paraId="6E1FAB36">
      <w:pPr>
        <w:pStyle w:val="34"/>
        <w:rPr>
          <w:rFonts w:hAnsi="宋体"/>
          <w:color w:val="auto"/>
          <w:highlight w:val="none"/>
        </w:rPr>
      </w:pPr>
    </w:p>
    <w:p w14:paraId="45B6B2E3">
      <w:pPr>
        <w:pStyle w:val="34"/>
        <w:rPr>
          <w:rFonts w:hAnsi="宋体"/>
          <w:color w:val="auto"/>
          <w:highlight w:val="none"/>
        </w:rPr>
      </w:pPr>
    </w:p>
    <w:p w14:paraId="44322B83">
      <w:pPr>
        <w:pStyle w:val="34"/>
        <w:rPr>
          <w:rFonts w:hAnsi="宋体"/>
          <w:color w:val="auto"/>
          <w:highlight w:val="none"/>
        </w:rPr>
      </w:pPr>
    </w:p>
    <w:p w14:paraId="4C3A77E1">
      <w:pPr>
        <w:pStyle w:val="34"/>
        <w:rPr>
          <w:rFonts w:hAnsi="宋体"/>
          <w:color w:val="auto"/>
          <w:highlight w:val="none"/>
        </w:rPr>
      </w:pPr>
    </w:p>
    <w:p w14:paraId="148F85C2">
      <w:pPr>
        <w:pStyle w:val="34"/>
        <w:rPr>
          <w:rFonts w:hAnsi="宋体"/>
          <w:color w:val="auto"/>
          <w:highlight w:val="none"/>
        </w:rPr>
      </w:pPr>
    </w:p>
    <w:p w14:paraId="1698224B">
      <w:pPr>
        <w:pStyle w:val="34"/>
        <w:rPr>
          <w:rFonts w:hAnsi="宋体"/>
          <w:color w:val="auto"/>
          <w:highlight w:val="none"/>
        </w:rPr>
      </w:pPr>
    </w:p>
    <w:p w14:paraId="4DC5DFE8">
      <w:pPr>
        <w:pStyle w:val="34"/>
        <w:rPr>
          <w:rFonts w:hAnsi="宋体"/>
          <w:color w:val="auto"/>
          <w:highlight w:val="none"/>
        </w:rPr>
      </w:pPr>
    </w:p>
    <w:p w14:paraId="7C9E2071">
      <w:pPr>
        <w:pStyle w:val="34"/>
        <w:rPr>
          <w:rFonts w:hAnsi="宋体"/>
          <w:color w:val="auto"/>
          <w:highlight w:val="none"/>
        </w:rPr>
      </w:pPr>
    </w:p>
    <w:p w14:paraId="45E48F81">
      <w:pPr>
        <w:pStyle w:val="34"/>
        <w:rPr>
          <w:rFonts w:hAnsi="宋体"/>
          <w:color w:val="auto"/>
          <w:highlight w:val="none"/>
        </w:rPr>
      </w:pPr>
    </w:p>
    <w:p w14:paraId="5962EFB0">
      <w:pPr>
        <w:pStyle w:val="34"/>
        <w:rPr>
          <w:rFonts w:hAnsi="宋体"/>
          <w:color w:val="auto"/>
          <w:highlight w:val="none"/>
        </w:rPr>
      </w:pPr>
    </w:p>
    <w:p w14:paraId="7E66823A">
      <w:pPr>
        <w:pStyle w:val="34"/>
        <w:rPr>
          <w:rFonts w:hAnsi="宋体"/>
          <w:color w:val="auto"/>
          <w:highlight w:val="none"/>
        </w:rPr>
      </w:pPr>
    </w:p>
    <w:p w14:paraId="690B6D8E">
      <w:pPr>
        <w:pStyle w:val="34"/>
        <w:rPr>
          <w:rFonts w:hAnsi="宋体"/>
          <w:color w:val="auto"/>
          <w:highlight w:val="none"/>
        </w:rPr>
      </w:pPr>
    </w:p>
    <w:p w14:paraId="5E2E4DF6">
      <w:pPr>
        <w:pStyle w:val="34"/>
        <w:rPr>
          <w:rFonts w:hAnsi="宋体"/>
          <w:color w:val="auto"/>
          <w:highlight w:val="none"/>
        </w:rPr>
      </w:pPr>
    </w:p>
    <w:p w14:paraId="11DF8635">
      <w:pPr>
        <w:pStyle w:val="34"/>
        <w:rPr>
          <w:rFonts w:hAnsi="宋体"/>
          <w:color w:val="auto"/>
          <w:highlight w:val="none"/>
        </w:rPr>
      </w:pPr>
    </w:p>
    <w:p w14:paraId="0EF4315B">
      <w:pPr>
        <w:pStyle w:val="34"/>
        <w:rPr>
          <w:rFonts w:hAnsi="宋体"/>
          <w:color w:val="auto"/>
          <w:highlight w:val="none"/>
        </w:rPr>
      </w:pPr>
    </w:p>
    <w:p w14:paraId="61FB7940">
      <w:pPr>
        <w:pStyle w:val="34"/>
        <w:rPr>
          <w:rFonts w:hAnsi="宋体"/>
          <w:color w:val="auto"/>
          <w:highlight w:val="none"/>
        </w:rPr>
      </w:pPr>
    </w:p>
    <w:p w14:paraId="30DE80F0">
      <w:pPr>
        <w:pStyle w:val="34"/>
        <w:rPr>
          <w:rFonts w:hAnsi="宋体"/>
          <w:color w:val="auto"/>
          <w:highlight w:val="none"/>
        </w:rPr>
      </w:pPr>
    </w:p>
    <w:p w14:paraId="5ACF1F40">
      <w:pPr>
        <w:pStyle w:val="34"/>
        <w:rPr>
          <w:rFonts w:hAnsi="宋体"/>
          <w:color w:val="auto"/>
          <w:highlight w:val="none"/>
        </w:rPr>
      </w:pPr>
    </w:p>
    <w:p w14:paraId="71759DF9">
      <w:pPr>
        <w:pStyle w:val="34"/>
        <w:rPr>
          <w:rFonts w:hAnsi="宋体"/>
          <w:color w:val="auto"/>
          <w:highlight w:val="none"/>
        </w:rPr>
      </w:pPr>
    </w:p>
    <w:p w14:paraId="609E1989">
      <w:pPr>
        <w:pStyle w:val="34"/>
        <w:rPr>
          <w:rFonts w:hAnsi="宋体"/>
          <w:color w:val="auto"/>
          <w:highlight w:val="none"/>
        </w:rPr>
      </w:pPr>
    </w:p>
    <w:p w14:paraId="74E9C92D">
      <w:pPr>
        <w:pStyle w:val="34"/>
        <w:rPr>
          <w:rFonts w:hAnsi="宋体"/>
          <w:color w:val="auto"/>
          <w:highlight w:val="none"/>
        </w:rPr>
      </w:pPr>
    </w:p>
    <w:p w14:paraId="168CBAE7">
      <w:pPr>
        <w:pStyle w:val="34"/>
        <w:rPr>
          <w:rFonts w:hAnsi="宋体"/>
          <w:color w:val="auto"/>
          <w:highlight w:val="none"/>
        </w:rPr>
      </w:pPr>
    </w:p>
    <w:p w14:paraId="63C5775B">
      <w:pPr>
        <w:pStyle w:val="34"/>
        <w:rPr>
          <w:rFonts w:hAnsi="宋体"/>
          <w:color w:val="auto"/>
          <w:highlight w:val="none"/>
        </w:rPr>
      </w:pPr>
    </w:p>
    <w:p w14:paraId="5CA69144">
      <w:pPr>
        <w:pStyle w:val="34"/>
        <w:rPr>
          <w:rFonts w:hAnsi="宋体"/>
          <w:color w:val="auto"/>
          <w:highlight w:val="none"/>
        </w:rPr>
      </w:pPr>
    </w:p>
    <w:p w14:paraId="6D956B29">
      <w:pPr>
        <w:pStyle w:val="34"/>
        <w:rPr>
          <w:rFonts w:hAnsi="宋体"/>
          <w:color w:val="auto"/>
          <w:highlight w:val="none"/>
        </w:rPr>
      </w:pPr>
    </w:p>
    <w:p w14:paraId="703447B0">
      <w:pPr>
        <w:pStyle w:val="34"/>
        <w:rPr>
          <w:rFonts w:hAnsi="宋体"/>
          <w:color w:val="auto"/>
          <w:highlight w:val="none"/>
        </w:rPr>
      </w:pPr>
    </w:p>
    <w:p w14:paraId="2EDA2CB0">
      <w:pPr>
        <w:pStyle w:val="34"/>
        <w:rPr>
          <w:rFonts w:hAnsi="宋体"/>
          <w:color w:val="auto"/>
          <w:highlight w:val="none"/>
        </w:rPr>
      </w:pPr>
    </w:p>
    <w:p w14:paraId="5F20E1BB">
      <w:pPr>
        <w:pStyle w:val="34"/>
        <w:rPr>
          <w:rFonts w:hAnsi="宋体"/>
          <w:color w:val="auto"/>
          <w:highlight w:val="none"/>
        </w:rPr>
      </w:pPr>
    </w:p>
    <w:p w14:paraId="1C29B3F6">
      <w:pPr>
        <w:pStyle w:val="34"/>
        <w:rPr>
          <w:rFonts w:hAnsi="宋体"/>
          <w:color w:val="auto"/>
          <w:highlight w:val="none"/>
        </w:rPr>
      </w:pPr>
    </w:p>
    <w:p w14:paraId="794F7F74">
      <w:pPr>
        <w:pStyle w:val="34"/>
        <w:rPr>
          <w:rFonts w:ascii="宋体" w:hAnsi="宋体" w:eastAsia="宋体" w:cs="宋体"/>
          <w:b/>
          <w:bCs/>
          <w:color w:val="auto"/>
          <w:highlight w:val="none"/>
        </w:rPr>
      </w:pPr>
      <w:r>
        <w:rPr>
          <w:rFonts w:hint="eastAsia" w:ascii="宋体" w:hAnsi="宋体" w:eastAsia="宋体" w:cs="宋体"/>
          <w:b/>
          <w:bCs/>
          <w:color w:val="auto"/>
          <w:highlight w:val="none"/>
        </w:rPr>
        <w:t>一、施工组织设计</w:t>
      </w:r>
    </w:p>
    <w:p w14:paraId="5F5FD815">
      <w:pPr>
        <w:pStyle w:val="34"/>
        <w:spacing w:line="440" w:lineRule="exact"/>
        <w:ind w:firstLine="420" w:firstLineChars="200"/>
        <w:rPr>
          <w:rFonts w:hAnsi="宋体"/>
          <w:color w:val="auto"/>
          <w:highlight w:val="none"/>
        </w:rPr>
      </w:pPr>
      <w:r>
        <w:rPr>
          <w:rFonts w:hint="eastAsia" w:hAnsi="宋体"/>
          <w:color w:val="auto"/>
          <w:highlight w:val="none"/>
        </w:rPr>
        <w:t>1.</w:t>
      </w:r>
      <w:r>
        <w:rPr>
          <w:rFonts w:hint="eastAsia" w:ascii="宋体" w:hAnsi="宋体" w:cs="宋体"/>
          <w:bCs/>
          <w:color w:val="auto"/>
          <w:szCs w:val="21"/>
          <w:highlight w:val="none"/>
        </w:rPr>
        <w:t>供应商</w:t>
      </w:r>
      <w:r>
        <w:rPr>
          <w:rFonts w:hint="eastAsia" w:hAnsi="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 污染、地下管线及其他地上地下设施的保护加固措施等。</w:t>
      </w:r>
    </w:p>
    <w:p w14:paraId="4EB44098">
      <w:pPr>
        <w:pStyle w:val="34"/>
        <w:spacing w:line="440" w:lineRule="exact"/>
        <w:ind w:firstLine="420" w:firstLineChars="200"/>
        <w:rPr>
          <w:rFonts w:hAnsi="宋体"/>
          <w:color w:val="auto"/>
          <w:highlight w:val="none"/>
        </w:rPr>
      </w:pPr>
      <w:r>
        <w:rPr>
          <w:rFonts w:hint="eastAsia" w:hAnsi="宋体"/>
          <w:color w:val="auto"/>
          <w:highlight w:val="none"/>
        </w:rPr>
        <w:t>2.施工组织设计除采用文字表述外可附下列图表，图表及格式要求附后。</w:t>
      </w:r>
    </w:p>
    <w:p w14:paraId="54497711">
      <w:pPr>
        <w:pStyle w:val="34"/>
        <w:spacing w:line="440" w:lineRule="exact"/>
        <w:ind w:firstLine="420" w:firstLineChars="200"/>
        <w:rPr>
          <w:rFonts w:hAnsi="宋体"/>
          <w:color w:val="auto"/>
          <w:highlight w:val="none"/>
        </w:rPr>
      </w:pPr>
      <w:r>
        <w:rPr>
          <w:rFonts w:hint="eastAsia" w:hAnsi="宋体"/>
          <w:color w:val="auto"/>
          <w:highlight w:val="none"/>
        </w:rPr>
        <w:t>附表一</w:t>
      </w:r>
      <w:r>
        <w:rPr>
          <w:rFonts w:hint="eastAsia" w:hAnsi="宋体"/>
          <w:color w:val="auto"/>
          <w:highlight w:val="none"/>
        </w:rPr>
        <w:tab/>
      </w:r>
      <w:r>
        <w:rPr>
          <w:rFonts w:hint="eastAsia" w:hAnsi="宋体"/>
          <w:color w:val="auto"/>
          <w:highlight w:val="none"/>
        </w:rPr>
        <w:t>拟投入本工程的主要施工设备表</w:t>
      </w:r>
    </w:p>
    <w:p w14:paraId="4973A15D">
      <w:pPr>
        <w:pStyle w:val="34"/>
        <w:spacing w:line="440" w:lineRule="exact"/>
        <w:ind w:firstLine="420" w:firstLineChars="200"/>
        <w:rPr>
          <w:rFonts w:hAnsi="宋体"/>
          <w:color w:val="auto"/>
          <w:highlight w:val="none"/>
        </w:rPr>
      </w:pPr>
      <w:r>
        <w:rPr>
          <w:rFonts w:hint="eastAsia" w:hAnsi="宋体"/>
          <w:color w:val="auto"/>
          <w:highlight w:val="none"/>
        </w:rPr>
        <w:t>附表二</w:t>
      </w:r>
      <w:r>
        <w:rPr>
          <w:rFonts w:hint="eastAsia" w:hAnsi="宋体"/>
          <w:color w:val="auto"/>
          <w:highlight w:val="none"/>
        </w:rPr>
        <w:tab/>
      </w:r>
      <w:r>
        <w:rPr>
          <w:rFonts w:hint="eastAsia" w:hAnsi="宋体"/>
          <w:color w:val="auto"/>
          <w:highlight w:val="none"/>
        </w:rPr>
        <w:t>拟配备本工程的试验和检测仪器设备表</w:t>
      </w:r>
    </w:p>
    <w:p w14:paraId="61B3AD84">
      <w:pPr>
        <w:pStyle w:val="34"/>
        <w:spacing w:line="440" w:lineRule="exact"/>
        <w:ind w:firstLine="420" w:firstLineChars="200"/>
        <w:rPr>
          <w:rFonts w:hAnsi="宋体"/>
          <w:color w:val="auto"/>
          <w:highlight w:val="none"/>
        </w:rPr>
      </w:pPr>
      <w:r>
        <w:rPr>
          <w:rFonts w:hint="eastAsia" w:hAnsi="宋体"/>
          <w:color w:val="auto"/>
          <w:highlight w:val="none"/>
        </w:rPr>
        <w:t>附表三</w:t>
      </w:r>
      <w:r>
        <w:rPr>
          <w:rFonts w:hint="eastAsia" w:hAnsi="宋体"/>
          <w:color w:val="auto"/>
          <w:highlight w:val="none"/>
        </w:rPr>
        <w:tab/>
      </w:r>
      <w:r>
        <w:rPr>
          <w:rFonts w:hint="eastAsia" w:hAnsi="宋体"/>
          <w:color w:val="auto"/>
          <w:highlight w:val="none"/>
        </w:rPr>
        <w:t>劳动力计划表</w:t>
      </w:r>
    </w:p>
    <w:p w14:paraId="24042018">
      <w:pPr>
        <w:pStyle w:val="34"/>
        <w:spacing w:line="440" w:lineRule="exact"/>
        <w:ind w:firstLine="420" w:firstLineChars="200"/>
        <w:rPr>
          <w:rFonts w:hAnsi="宋体"/>
          <w:color w:val="auto"/>
          <w:highlight w:val="none"/>
        </w:rPr>
      </w:pPr>
      <w:r>
        <w:rPr>
          <w:rFonts w:hint="eastAsia" w:hAnsi="宋体"/>
          <w:color w:val="auto"/>
          <w:highlight w:val="none"/>
        </w:rPr>
        <w:t>附表四</w:t>
      </w:r>
      <w:r>
        <w:rPr>
          <w:rFonts w:hint="eastAsia" w:hAnsi="宋体"/>
          <w:color w:val="auto"/>
          <w:highlight w:val="none"/>
        </w:rPr>
        <w:tab/>
      </w:r>
      <w:r>
        <w:rPr>
          <w:rFonts w:hint="eastAsia" w:hAnsi="宋体"/>
          <w:color w:val="auto"/>
          <w:highlight w:val="none"/>
        </w:rPr>
        <w:t>计划开、竣工日期和施工进度网络图</w:t>
      </w:r>
    </w:p>
    <w:p w14:paraId="658167ED">
      <w:pPr>
        <w:pStyle w:val="34"/>
        <w:spacing w:line="440" w:lineRule="exact"/>
        <w:ind w:firstLine="420" w:firstLineChars="200"/>
        <w:rPr>
          <w:rFonts w:hAnsi="宋体"/>
          <w:color w:val="auto"/>
          <w:highlight w:val="none"/>
        </w:rPr>
      </w:pPr>
      <w:r>
        <w:rPr>
          <w:rFonts w:hint="eastAsia" w:hAnsi="宋体"/>
          <w:color w:val="auto"/>
          <w:highlight w:val="none"/>
        </w:rPr>
        <w:t>附表五</w:t>
      </w:r>
      <w:r>
        <w:rPr>
          <w:rFonts w:hint="eastAsia" w:hAnsi="宋体"/>
          <w:color w:val="auto"/>
          <w:highlight w:val="none"/>
        </w:rPr>
        <w:tab/>
      </w:r>
      <w:r>
        <w:rPr>
          <w:rFonts w:hint="eastAsia" w:hAnsi="宋体"/>
          <w:color w:val="auto"/>
          <w:highlight w:val="none"/>
        </w:rPr>
        <w:t>施工总平面图</w:t>
      </w:r>
    </w:p>
    <w:p w14:paraId="0A75C210">
      <w:pPr>
        <w:pStyle w:val="34"/>
        <w:spacing w:line="440" w:lineRule="exact"/>
        <w:ind w:firstLine="420" w:firstLineChars="200"/>
        <w:rPr>
          <w:rFonts w:hAnsi="宋体"/>
          <w:color w:val="auto"/>
          <w:highlight w:val="none"/>
        </w:rPr>
      </w:pPr>
      <w:r>
        <w:rPr>
          <w:rFonts w:hint="eastAsia" w:hAnsi="宋体"/>
          <w:color w:val="auto"/>
          <w:highlight w:val="none"/>
        </w:rPr>
        <w:t>附表六</w:t>
      </w:r>
      <w:r>
        <w:rPr>
          <w:rFonts w:hint="eastAsia" w:hAnsi="宋体"/>
          <w:color w:val="auto"/>
          <w:highlight w:val="none"/>
        </w:rPr>
        <w:tab/>
      </w:r>
      <w:r>
        <w:rPr>
          <w:rFonts w:hint="eastAsia" w:hAnsi="宋体"/>
          <w:color w:val="auto"/>
          <w:highlight w:val="none"/>
        </w:rPr>
        <w:t>临时用地表</w:t>
      </w:r>
    </w:p>
    <w:p w14:paraId="49D389AE">
      <w:pPr>
        <w:pStyle w:val="34"/>
        <w:spacing w:line="360" w:lineRule="auto"/>
        <w:ind w:firstLine="420" w:firstLineChars="200"/>
        <w:rPr>
          <w:rFonts w:hAnsi="宋体"/>
          <w:color w:val="auto"/>
          <w:highlight w:val="none"/>
        </w:rPr>
      </w:pPr>
    </w:p>
    <w:p w14:paraId="1827B2AC">
      <w:pPr>
        <w:pStyle w:val="34"/>
        <w:spacing w:line="360" w:lineRule="auto"/>
        <w:ind w:firstLine="422" w:firstLineChars="200"/>
        <w:rPr>
          <w:rFonts w:hAnsi="宋体"/>
          <w:b/>
          <w:bCs/>
          <w:color w:val="auto"/>
          <w:highlight w:val="none"/>
        </w:rPr>
      </w:pPr>
      <w:r>
        <w:rPr>
          <w:rFonts w:hint="eastAsia" w:hAnsi="宋体"/>
          <w:b/>
          <w:bCs/>
          <w:color w:val="auto"/>
          <w:highlight w:val="none"/>
        </w:rPr>
        <w:t>附表一：劳动力计划表</w:t>
      </w:r>
    </w:p>
    <w:p w14:paraId="57752C66">
      <w:pPr>
        <w:pStyle w:val="34"/>
        <w:spacing w:line="360" w:lineRule="auto"/>
        <w:ind w:firstLine="420" w:firstLineChars="200"/>
        <w:jc w:val="center"/>
        <w:rPr>
          <w:rFonts w:hAnsi="宋体"/>
          <w:color w:val="auto"/>
          <w:highlight w:val="none"/>
        </w:rPr>
      </w:pPr>
      <w:r>
        <w:rPr>
          <w:rFonts w:hint="eastAsia" w:hAnsi="宋体"/>
          <w:color w:val="auto"/>
          <w:highlight w:val="none"/>
        </w:rPr>
        <w:t>单位：人</w:t>
      </w:r>
    </w:p>
    <w:tbl>
      <w:tblPr>
        <w:tblStyle w:val="47"/>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1170"/>
        <w:gridCol w:w="1170"/>
        <w:gridCol w:w="1170"/>
        <w:gridCol w:w="1170"/>
        <w:gridCol w:w="1170"/>
        <w:gridCol w:w="1170"/>
        <w:gridCol w:w="1173"/>
      </w:tblGrid>
      <w:tr w14:paraId="4663D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70" w:type="dxa"/>
          </w:tcPr>
          <w:p w14:paraId="0FC63B1E">
            <w:pPr>
              <w:spacing w:before="37" w:line="229" w:lineRule="auto"/>
              <w:jc w:val="center"/>
              <w:rPr>
                <w:rFonts w:ascii="宋体" w:hAnsi="宋体" w:cs="宋体"/>
                <w:color w:val="auto"/>
                <w:szCs w:val="21"/>
                <w:highlight w:val="none"/>
              </w:rPr>
            </w:pPr>
            <w:r>
              <w:rPr>
                <w:rFonts w:ascii="宋体" w:hAnsi="宋体" w:cs="宋体"/>
                <w:color w:val="auto"/>
                <w:spacing w:val="4"/>
                <w:szCs w:val="21"/>
                <w:highlight w:val="none"/>
              </w:rPr>
              <w:t>工</w:t>
            </w:r>
            <w:r>
              <w:rPr>
                <w:rFonts w:ascii="宋体" w:hAnsi="宋体" w:cs="宋体"/>
                <w:color w:val="auto"/>
                <w:spacing w:val="3"/>
                <w:szCs w:val="21"/>
                <w:highlight w:val="none"/>
              </w:rPr>
              <w:t>种</w:t>
            </w:r>
          </w:p>
        </w:tc>
        <w:tc>
          <w:tcPr>
            <w:tcW w:w="8193" w:type="dxa"/>
            <w:gridSpan w:val="7"/>
          </w:tcPr>
          <w:p w14:paraId="743817DE">
            <w:pPr>
              <w:spacing w:before="37" w:line="228" w:lineRule="auto"/>
              <w:jc w:val="center"/>
              <w:rPr>
                <w:rFonts w:ascii="宋体" w:hAnsi="宋体" w:cs="宋体"/>
                <w:color w:val="auto"/>
                <w:szCs w:val="21"/>
                <w:highlight w:val="none"/>
              </w:rPr>
            </w:pPr>
            <w:r>
              <w:rPr>
                <w:rFonts w:ascii="宋体" w:hAnsi="宋体" w:cs="宋体"/>
                <w:color w:val="auto"/>
                <w:spacing w:val="10"/>
                <w:szCs w:val="21"/>
                <w:highlight w:val="none"/>
              </w:rPr>
              <w:t>按</w:t>
            </w:r>
            <w:r>
              <w:rPr>
                <w:rFonts w:ascii="宋体" w:hAnsi="宋体" w:cs="宋体"/>
                <w:color w:val="auto"/>
                <w:spacing w:val="9"/>
                <w:szCs w:val="21"/>
                <w:highlight w:val="none"/>
              </w:rPr>
              <w:t>工程施工阶段投入劳动力情况</w:t>
            </w:r>
          </w:p>
        </w:tc>
      </w:tr>
      <w:tr w14:paraId="69F6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tcPr>
          <w:p w14:paraId="60157F11">
            <w:pPr>
              <w:rPr>
                <w:rFonts w:ascii="Arial"/>
                <w:color w:val="auto"/>
                <w:szCs w:val="21"/>
                <w:highlight w:val="none"/>
              </w:rPr>
            </w:pPr>
          </w:p>
        </w:tc>
        <w:tc>
          <w:tcPr>
            <w:tcW w:w="1170" w:type="dxa"/>
          </w:tcPr>
          <w:p w14:paraId="09FC92EE">
            <w:pPr>
              <w:rPr>
                <w:rFonts w:ascii="Arial"/>
                <w:color w:val="auto"/>
                <w:szCs w:val="21"/>
                <w:highlight w:val="none"/>
              </w:rPr>
            </w:pPr>
          </w:p>
        </w:tc>
        <w:tc>
          <w:tcPr>
            <w:tcW w:w="1170" w:type="dxa"/>
          </w:tcPr>
          <w:p w14:paraId="5495BE70">
            <w:pPr>
              <w:rPr>
                <w:rFonts w:ascii="Arial"/>
                <w:color w:val="auto"/>
                <w:szCs w:val="21"/>
                <w:highlight w:val="none"/>
              </w:rPr>
            </w:pPr>
          </w:p>
        </w:tc>
        <w:tc>
          <w:tcPr>
            <w:tcW w:w="1170" w:type="dxa"/>
          </w:tcPr>
          <w:p w14:paraId="0A031725">
            <w:pPr>
              <w:rPr>
                <w:rFonts w:ascii="Arial"/>
                <w:color w:val="auto"/>
                <w:szCs w:val="21"/>
                <w:highlight w:val="none"/>
              </w:rPr>
            </w:pPr>
          </w:p>
        </w:tc>
        <w:tc>
          <w:tcPr>
            <w:tcW w:w="1170" w:type="dxa"/>
          </w:tcPr>
          <w:p w14:paraId="554D1A9B">
            <w:pPr>
              <w:rPr>
                <w:rFonts w:ascii="Arial"/>
                <w:color w:val="auto"/>
                <w:szCs w:val="21"/>
                <w:highlight w:val="none"/>
              </w:rPr>
            </w:pPr>
          </w:p>
        </w:tc>
        <w:tc>
          <w:tcPr>
            <w:tcW w:w="1170" w:type="dxa"/>
          </w:tcPr>
          <w:p w14:paraId="38758632">
            <w:pPr>
              <w:rPr>
                <w:rFonts w:ascii="Arial"/>
                <w:color w:val="auto"/>
                <w:szCs w:val="21"/>
                <w:highlight w:val="none"/>
              </w:rPr>
            </w:pPr>
          </w:p>
        </w:tc>
        <w:tc>
          <w:tcPr>
            <w:tcW w:w="1170" w:type="dxa"/>
          </w:tcPr>
          <w:p w14:paraId="086673C5">
            <w:pPr>
              <w:rPr>
                <w:rFonts w:ascii="Arial"/>
                <w:color w:val="auto"/>
                <w:szCs w:val="21"/>
                <w:highlight w:val="none"/>
              </w:rPr>
            </w:pPr>
          </w:p>
        </w:tc>
        <w:tc>
          <w:tcPr>
            <w:tcW w:w="1173" w:type="dxa"/>
          </w:tcPr>
          <w:p w14:paraId="3F01E509">
            <w:pPr>
              <w:rPr>
                <w:rFonts w:ascii="Arial"/>
                <w:color w:val="auto"/>
                <w:szCs w:val="21"/>
                <w:highlight w:val="none"/>
              </w:rPr>
            </w:pPr>
          </w:p>
        </w:tc>
      </w:tr>
      <w:tr w14:paraId="554B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0" w:type="dxa"/>
          </w:tcPr>
          <w:p w14:paraId="7EA8017B">
            <w:pPr>
              <w:rPr>
                <w:rFonts w:ascii="Arial"/>
                <w:color w:val="auto"/>
                <w:szCs w:val="21"/>
                <w:highlight w:val="none"/>
              </w:rPr>
            </w:pPr>
          </w:p>
        </w:tc>
        <w:tc>
          <w:tcPr>
            <w:tcW w:w="1170" w:type="dxa"/>
          </w:tcPr>
          <w:p w14:paraId="0B423E72">
            <w:pPr>
              <w:rPr>
                <w:rFonts w:ascii="Arial"/>
                <w:color w:val="auto"/>
                <w:szCs w:val="21"/>
                <w:highlight w:val="none"/>
              </w:rPr>
            </w:pPr>
          </w:p>
        </w:tc>
        <w:tc>
          <w:tcPr>
            <w:tcW w:w="1170" w:type="dxa"/>
          </w:tcPr>
          <w:p w14:paraId="7D54DF45">
            <w:pPr>
              <w:rPr>
                <w:rFonts w:ascii="Arial"/>
                <w:color w:val="auto"/>
                <w:szCs w:val="21"/>
                <w:highlight w:val="none"/>
              </w:rPr>
            </w:pPr>
          </w:p>
        </w:tc>
        <w:tc>
          <w:tcPr>
            <w:tcW w:w="1170" w:type="dxa"/>
          </w:tcPr>
          <w:p w14:paraId="2630632A">
            <w:pPr>
              <w:rPr>
                <w:rFonts w:ascii="Arial"/>
                <w:color w:val="auto"/>
                <w:szCs w:val="21"/>
                <w:highlight w:val="none"/>
              </w:rPr>
            </w:pPr>
          </w:p>
        </w:tc>
        <w:tc>
          <w:tcPr>
            <w:tcW w:w="1170" w:type="dxa"/>
          </w:tcPr>
          <w:p w14:paraId="31FFDEC1">
            <w:pPr>
              <w:rPr>
                <w:rFonts w:ascii="Arial"/>
                <w:color w:val="auto"/>
                <w:szCs w:val="21"/>
                <w:highlight w:val="none"/>
              </w:rPr>
            </w:pPr>
          </w:p>
        </w:tc>
        <w:tc>
          <w:tcPr>
            <w:tcW w:w="1170" w:type="dxa"/>
          </w:tcPr>
          <w:p w14:paraId="7C60D5C0">
            <w:pPr>
              <w:rPr>
                <w:rFonts w:ascii="Arial"/>
                <w:color w:val="auto"/>
                <w:szCs w:val="21"/>
                <w:highlight w:val="none"/>
              </w:rPr>
            </w:pPr>
          </w:p>
        </w:tc>
        <w:tc>
          <w:tcPr>
            <w:tcW w:w="1170" w:type="dxa"/>
          </w:tcPr>
          <w:p w14:paraId="17D642F1">
            <w:pPr>
              <w:rPr>
                <w:rFonts w:ascii="Arial"/>
                <w:color w:val="auto"/>
                <w:szCs w:val="21"/>
                <w:highlight w:val="none"/>
              </w:rPr>
            </w:pPr>
          </w:p>
        </w:tc>
        <w:tc>
          <w:tcPr>
            <w:tcW w:w="1173" w:type="dxa"/>
          </w:tcPr>
          <w:p w14:paraId="24FECCA4">
            <w:pPr>
              <w:rPr>
                <w:rFonts w:ascii="Arial"/>
                <w:color w:val="auto"/>
                <w:szCs w:val="21"/>
                <w:highlight w:val="none"/>
              </w:rPr>
            </w:pPr>
          </w:p>
        </w:tc>
      </w:tr>
      <w:tr w14:paraId="68C5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tcPr>
          <w:p w14:paraId="05819AC3">
            <w:pPr>
              <w:rPr>
                <w:rFonts w:ascii="Arial"/>
                <w:color w:val="auto"/>
                <w:szCs w:val="21"/>
                <w:highlight w:val="none"/>
              </w:rPr>
            </w:pPr>
          </w:p>
        </w:tc>
        <w:tc>
          <w:tcPr>
            <w:tcW w:w="1170" w:type="dxa"/>
          </w:tcPr>
          <w:p w14:paraId="74E9A69C">
            <w:pPr>
              <w:rPr>
                <w:rFonts w:ascii="Arial"/>
                <w:color w:val="auto"/>
                <w:szCs w:val="21"/>
                <w:highlight w:val="none"/>
              </w:rPr>
            </w:pPr>
          </w:p>
        </w:tc>
        <w:tc>
          <w:tcPr>
            <w:tcW w:w="1170" w:type="dxa"/>
          </w:tcPr>
          <w:p w14:paraId="5E619C41">
            <w:pPr>
              <w:rPr>
                <w:rFonts w:ascii="Arial"/>
                <w:color w:val="auto"/>
                <w:szCs w:val="21"/>
                <w:highlight w:val="none"/>
              </w:rPr>
            </w:pPr>
          </w:p>
        </w:tc>
        <w:tc>
          <w:tcPr>
            <w:tcW w:w="1170" w:type="dxa"/>
          </w:tcPr>
          <w:p w14:paraId="79A89F03">
            <w:pPr>
              <w:rPr>
                <w:rFonts w:ascii="Arial"/>
                <w:color w:val="auto"/>
                <w:szCs w:val="21"/>
                <w:highlight w:val="none"/>
              </w:rPr>
            </w:pPr>
          </w:p>
        </w:tc>
        <w:tc>
          <w:tcPr>
            <w:tcW w:w="1170" w:type="dxa"/>
          </w:tcPr>
          <w:p w14:paraId="4B6D6C46">
            <w:pPr>
              <w:rPr>
                <w:rFonts w:ascii="Arial"/>
                <w:color w:val="auto"/>
                <w:szCs w:val="21"/>
                <w:highlight w:val="none"/>
              </w:rPr>
            </w:pPr>
          </w:p>
        </w:tc>
        <w:tc>
          <w:tcPr>
            <w:tcW w:w="1170" w:type="dxa"/>
          </w:tcPr>
          <w:p w14:paraId="408009C0">
            <w:pPr>
              <w:rPr>
                <w:rFonts w:ascii="Arial"/>
                <w:color w:val="auto"/>
                <w:szCs w:val="21"/>
                <w:highlight w:val="none"/>
              </w:rPr>
            </w:pPr>
          </w:p>
        </w:tc>
        <w:tc>
          <w:tcPr>
            <w:tcW w:w="1170" w:type="dxa"/>
          </w:tcPr>
          <w:p w14:paraId="55A33A92">
            <w:pPr>
              <w:rPr>
                <w:rFonts w:ascii="Arial"/>
                <w:color w:val="auto"/>
                <w:szCs w:val="21"/>
                <w:highlight w:val="none"/>
              </w:rPr>
            </w:pPr>
          </w:p>
        </w:tc>
        <w:tc>
          <w:tcPr>
            <w:tcW w:w="1173" w:type="dxa"/>
          </w:tcPr>
          <w:p w14:paraId="57CC2DD6">
            <w:pPr>
              <w:rPr>
                <w:rFonts w:ascii="Arial"/>
                <w:color w:val="auto"/>
                <w:szCs w:val="21"/>
                <w:highlight w:val="none"/>
              </w:rPr>
            </w:pPr>
          </w:p>
        </w:tc>
      </w:tr>
      <w:tr w14:paraId="257FE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tcPr>
          <w:p w14:paraId="1B42834C">
            <w:pPr>
              <w:rPr>
                <w:rFonts w:ascii="Arial"/>
                <w:color w:val="auto"/>
                <w:szCs w:val="21"/>
                <w:highlight w:val="none"/>
              </w:rPr>
            </w:pPr>
          </w:p>
        </w:tc>
        <w:tc>
          <w:tcPr>
            <w:tcW w:w="1170" w:type="dxa"/>
          </w:tcPr>
          <w:p w14:paraId="2A2E1EBB">
            <w:pPr>
              <w:rPr>
                <w:rFonts w:ascii="Arial"/>
                <w:color w:val="auto"/>
                <w:szCs w:val="21"/>
                <w:highlight w:val="none"/>
              </w:rPr>
            </w:pPr>
          </w:p>
        </w:tc>
        <w:tc>
          <w:tcPr>
            <w:tcW w:w="1170" w:type="dxa"/>
          </w:tcPr>
          <w:p w14:paraId="7F0F9906">
            <w:pPr>
              <w:rPr>
                <w:rFonts w:ascii="Arial"/>
                <w:color w:val="auto"/>
                <w:szCs w:val="21"/>
                <w:highlight w:val="none"/>
              </w:rPr>
            </w:pPr>
          </w:p>
        </w:tc>
        <w:tc>
          <w:tcPr>
            <w:tcW w:w="1170" w:type="dxa"/>
          </w:tcPr>
          <w:p w14:paraId="6CAF2C4B">
            <w:pPr>
              <w:rPr>
                <w:rFonts w:ascii="Arial"/>
                <w:color w:val="auto"/>
                <w:szCs w:val="21"/>
                <w:highlight w:val="none"/>
              </w:rPr>
            </w:pPr>
          </w:p>
        </w:tc>
        <w:tc>
          <w:tcPr>
            <w:tcW w:w="1170" w:type="dxa"/>
          </w:tcPr>
          <w:p w14:paraId="574D3A38">
            <w:pPr>
              <w:rPr>
                <w:rFonts w:ascii="Arial"/>
                <w:color w:val="auto"/>
                <w:szCs w:val="21"/>
                <w:highlight w:val="none"/>
              </w:rPr>
            </w:pPr>
          </w:p>
        </w:tc>
        <w:tc>
          <w:tcPr>
            <w:tcW w:w="1170" w:type="dxa"/>
          </w:tcPr>
          <w:p w14:paraId="7B066431">
            <w:pPr>
              <w:rPr>
                <w:rFonts w:ascii="Arial"/>
                <w:color w:val="auto"/>
                <w:szCs w:val="21"/>
                <w:highlight w:val="none"/>
              </w:rPr>
            </w:pPr>
          </w:p>
        </w:tc>
        <w:tc>
          <w:tcPr>
            <w:tcW w:w="1170" w:type="dxa"/>
          </w:tcPr>
          <w:p w14:paraId="660AFAA3">
            <w:pPr>
              <w:rPr>
                <w:rFonts w:ascii="Arial"/>
                <w:color w:val="auto"/>
                <w:szCs w:val="21"/>
                <w:highlight w:val="none"/>
              </w:rPr>
            </w:pPr>
          </w:p>
        </w:tc>
        <w:tc>
          <w:tcPr>
            <w:tcW w:w="1173" w:type="dxa"/>
          </w:tcPr>
          <w:p w14:paraId="40331233">
            <w:pPr>
              <w:rPr>
                <w:rFonts w:ascii="Arial"/>
                <w:color w:val="auto"/>
                <w:szCs w:val="21"/>
                <w:highlight w:val="none"/>
              </w:rPr>
            </w:pPr>
          </w:p>
        </w:tc>
      </w:tr>
      <w:tr w14:paraId="6B15E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tcPr>
          <w:p w14:paraId="7752FA19">
            <w:pPr>
              <w:rPr>
                <w:rFonts w:ascii="Arial"/>
                <w:color w:val="auto"/>
                <w:szCs w:val="21"/>
                <w:highlight w:val="none"/>
              </w:rPr>
            </w:pPr>
          </w:p>
        </w:tc>
        <w:tc>
          <w:tcPr>
            <w:tcW w:w="1170" w:type="dxa"/>
          </w:tcPr>
          <w:p w14:paraId="68F5C8F9">
            <w:pPr>
              <w:rPr>
                <w:rFonts w:ascii="Arial"/>
                <w:color w:val="auto"/>
                <w:szCs w:val="21"/>
                <w:highlight w:val="none"/>
              </w:rPr>
            </w:pPr>
          </w:p>
        </w:tc>
        <w:tc>
          <w:tcPr>
            <w:tcW w:w="1170" w:type="dxa"/>
          </w:tcPr>
          <w:p w14:paraId="4E92BCC0">
            <w:pPr>
              <w:rPr>
                <w:rFonts w:ascii="Arial"/>
                <w:color w:val="auto"/>
                <w:szCs w:val="21"/>
                <w:highlight w:val="none"/>
              </w:rPr>
            </w:pPr>
          </w:p>
        </w:tc>
        <w:tc>
          <w:tcPr>
            <w:tcW w:w="1170" w:type="dxa"/>
          </w:tcPr>
          <w:p w14:paraId="3D289BB6">
            <w:pPr>
              <w:rPr>
                <w:rFonts w:ascii="Arial"/>
                <w:color w:val="auto"/>
                <w:szCs w:val="21"/>
                <w:highlight w:val="none"/>
              </w:rPr>
            </w:pPr>
          </w:p>
        </w:tc>
        <w:tc>
          <w:tcPr>
            <w:tcW w:w="1170" w:type="dxa"/>
          </w:tcPr>
          <w:p w14:paraId="70C10B8E">
            <w:pPr>
              <w:rPr>
                <w:rFonts w:ascii="Arial"/>
                <w:color w:val="auto"/>
                <w:szCs w:val="21"/>
                <w:highlight w:val="none"/>
              </w:rPr>
            </w:pPr>
          </w:p>
        </w:tc>
        <w:tc>
          <w:tcPr>
            <w:tcW w:w="1170" w:type="dxa"/>
          </w:tcPr>
          <w:p w14:paraId="282489F9">
            <w:pPr>
              <w:rPr>
                <w:rFonts w:ascii="Arial"/>
                <w:color w:val="auto"/>
                <w:szCs w:val="21"/>
                <w:highlight w:val="none"/>
              </w:rPr>
            </w:pPr>
          </w:p>
        </w:tc>
        <w:tc>
          <w:tcPr>
            <w:tcW w:w="1170" w:type="dxa"/>
          </w:tcPr>
          <w:p w14:paraId="7CED489B">
            <w:pPr>
              <w:rPr>
                <w:rFonts w:ascii="Arial"/>
                <w:color w:val="auto"/>
                <w:szCs w:val="21"/>
                <w:highlight w:val="none"/>
              </w:rPr>
            </w:pPr>
          </w:p>
        </w:tc>
        <w:tc>
          <w:tcPr>
            <w:tcW w:w="1173" w:type="dxa"/>
          </w:tcPr>
          <w:p w14:paraId="4006C84D">
            <w:pPr>
              <w:rPr>
                <w:rFonts w:ascii="Arial"/>
                <w:color w:val="auto"/>
                <w:szCs w:val="21"/>
                <w:highlight w:val="none"/>
              </w:rPr>
            </w:pPr>
          </w:p>
        </w:tc>
      </w:tr>
      <w:tr w14:paraId="0956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tcPr>
          <w:p w14:paraId="11686161">
            <w:pPr>
              <w:rPr>
                <w:rFonts w:ascii="Arial"/>
                <w:color w:val="auto"/>
                <w:szCs w:val="21"/>
                <w:highlight w:val="none"/>
              </w:rPr>
            </w:pPr>
          </w:p>
        </w:tc>
        <w:tc>
          <w:tcPr>
            <w:tcW w:w="1170" w:type="dxa"/>
          </w:tcPr>
          <w:p w14:paraId="179C048D">
            <w:pPr>
              <w:rPr>
                <w:rFonts w:ascii="Arial"/>
                <w:color w:val="auto"/>
                <w:szCs w:val="21"/>
                <w:highlight w:val="none"/>
              </w:rPr>
            </w:pPr>
          </w:p>
        </w:tc>
        <w:tc>
          <w:tcPr>
            <w:tcW w:w="1170" w:type="dxa"/>
          </w:tcPr>
          <w:p w14:paraId="6E840B35">
            <w:pPr>
              <w:rPr>
                <w:rFonts w:ascii="Arial"/>
                <w:color w:val="auto"/>
                <w:szCs w:val="21"/>
                <w:highlight w:val="none"/>
              </w:rPr>
            </w:pPr>
          </w:p>
        </w:tc>
        <w:tc>
          <w:tcPr>
            <w:tcW w:w="1170" w:type="dxa"/>
          </w:tcPr>
          <w:p w14:paraId="0904CFF9">
            <w:pPr>
              <w:rPr>
                <w:rFonts w:ascii="Arial"/>
                <w:color w:val="auto"/>
                <w:szCs w:val="21"/>
                <w:highlight w:val="none"/>
              </w:rPr>
            </w:pPr>
          </w:p>
        </w:tc>
        <w:tc>
          <w:tcPr>
            <w:tcW w:w="1170" w:type="dxa"/>
          </w:tcPr>
          <w:p w14:paraId="596D82AA">
            <w:pPr>
              <w:rPr>
                <w:rFonts w:ascii="Arial"/>
                <w:color w:val="auto"/>
                <w:szCs w:val="21"/>
                <w:highlight w:val="none"/>
              </w:rPr>
            </w:pPr>
          </w:p>
        </w:tc>
        <w:tc>
          <w:tcPr>
            <w:tcW w:w="1170" w:type="dxa"/>
          </w:tcPr>
          <w:p w14:paraId="6F5B9CF9">
            <w:pPr>
              <w:rPr>
                <w:rFonts w:ascii="Arial"/>
                <w:color w:val="auto"/>
                <w:szCs w:val="21"/>
                <w:highlight w:val="none"/>
              </w:rPr>
            </w:pPr>
          </w:p>
        </w:tc>
        <w:tc>
          <w:tcPr>
            <w:tcW w:w="1170" w:type="dxa"/>
          </w:tcPr>
          <w:p w14:paraId="19C0FF87">
            <w:pPr>
              <w:rPr>
                <w:rFonts w:ascii="Arial"/>
                <w:color w:val="auto"/>
                <w:szCs w:val="21"/>
                <w:highlight w:val="none"/>
              </w:rPr>
            </w:pPr>
          </w:p>
        </w:tc>
        <w:tc>
          <w:tcPr>
            <w:tcW w:w="1173" w:type="dxa"/>
          </w:tcPr>
          <w:p w14:paraId="7FEC1102">
            <w:pPr>
              <w:rPr>
                <w:rFonts w:ascii="Arial"/>
                <w:color w:val="auto"/>
                <w:szCs w:val="21"/>
                <w:highlight w:val="none"/>
              </w:rPr>
            </w:pPr>
          </w:p>
        </w:tc>
      </w:tr>
      <w:tr w14:paraId="17F89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70" w:type="dxa"/>
          </w:tcPr>
          <w:p w14:paraId="1C136919">
            <w:pPr>
              <w:rPr>
                <w:rFonts w:ascii="Arial"/>
                <w:color w:val="auto"/>
                <w:szCs w:val="21"/>
                <w:highlight w:val="none"/>
              </w:rPr>
            </w:pPr>
          </w:p>
        </w:tc>
        <w:tc>
          <w:tcPr>
            <w:tcW w:w="1170" w:type="dxa"/>
          </w:tcPr>
          <w:p w14:paraId="3EF86A9A">
            <w:pPr>
              <w:rPr>
                <w:rFonts w:ascii="Arial"/>
                <w:color w:val="auto"/>
                <w:szCs w:val="21"/>
                <w:highlight w:val="none"/>
              </w:rPr>
            </w:pPr>
          </w:p>
        </w:tc>
        <w:tc>
          <w:tcPr>
            <w:tcW w:w="1170" w:type="dxa"/>
          </w:tcPr>
          <w:p w14:paraId="153F3EA8">
            <w:pPr>
              <w:rPr>
                <w:rFonts w:ascii="Arial"/>
                <w:color w:val="auto"/>
                <w:szCs w:val="21"/>
                <w:highlight w:val="none"/>
              </w:rPr>
            </w:pPr>
          </w:p>
        </w:tc>
        <w:tc>
          <w:tcPr>
            <w:tcW w:w="1170" w:type="dxa"/>
          </w:tcPr>
          <w:p w14:paraId="7A81FDDB">
            <w:pPr>
              <w:rPr>
                <w:rFonts w:ascii="Arial"/>
                <w:color w:val="auto"/>
                <w:szCs w:val="21"/>
                <w:highlight w:val="none"/>
              </w:rPr>
            </w:pPr>
          </w:p>
        </w:tc>
        <w:tc>
          <w:tcPr>
            <w:tcW w:w="1170" w:type="dxa"/>
          </w:tcPr>
          <w:p w14:paraId="08D52B76">
            <w:pPr>
              <w:rPr>
                <w:rFonts w:ascii="Arial"/>
                <w:color w:val="auto"/>
                <w:szCs w:val="21"/>
                <w:highlight w:val="none"/>
              </w:rPr>
            </w:pPr>
          </w:p>
        </w:tc>
        <w:tc>
          <w:tcPr>
            <w:tcW w:w="1170" w:type="dxa"/>
          </w:tcPr>
          <w:p w14:paraId="434AED2D">
            <w:pPr>
              <w:rPr>
                <w:rFonts w:ascii="Arial"/>
                <w:color w:val="auto"/>
                <w:szCs w:val="21"/>
                <w:highlight w:val="none"/>
              </w:rPr>
            </w:pPr>
          </w:p>
        </w:tc>
        <w:tc>
          <w:tcPr>
            <w:tcW w:w="1170" w:type="dxa"/>
          </w:tcPr>
          <w:p w14:paraId="34DBD372">
            <w:pPr>
              <w:rPr>
                <w:rFonts w:ascii="Arial"/>
                <w:color w:val="auto"/>
                <w:szCs w:val="21"/>
                <w:highlight w:val="none"/>
              </w:rPr>
            </w:pPr>
          </w:p>
        </w:tc>
        <w:tc>
          <w:tcPr>
            <w:tcW w:w="1173" w:type="dxa"/>
          </w:tcPr>
          <w:p w14:paraId="380E2E51">
            <w:pPr>
              <w:rPr>
                <w:rFonts w:ascii="Arial"/>
                <w:color w:val="auto"/>
                <w:szCs w:val="21"/>
                <w:highlight w:val="none"/>
              </w:rPr>
            </w:pPr>
          </w:p>
        </w:tc>
      </w:tr>
    </w:tbl>
    <w:p w14:paraId="423773BF">
      <w:pPr>
        <w:pStyle w:val="34"/>
        <w:spacing w:line="420" w:lineRule="exact"/>
        <w:ind w:firstLine="420" w:firstLineChars="200"/>
        <w:rPr>
          <w:rFonts w:hAnsi="宋体"/>
          <w:color w:val="auto"/>
          <w:highlight w:val="none"/>
        </w:rPr>
      </w:pPr>
      <w:r>
        <w:rPr>
          <w:rFonts w:hint="eastAsia" w:hAnsi="宋体"/>
          <w:color w:val="auto"/>
          <w:highlight w:val="none"/>
        </w:rPr>
        <w:t>附表二：计划开、竣工日期和施工进度计划 (网络图或横道图)</w:t>
      </w:r>
    </w:p>
    <w:p w14:paraId="1E3C75EB">
      <w:pPr>
        <w:pStyle w:val="34"/>
        <w:spacing w:line="420" w:lineRule="exact"/>
        <w:ind w:firstLine="420" w:firstLineChars="200"/>
        <w:rPr>
          <w:rFonts w:hAnsi="宋体"/>
          <w:color w:val="auto"/>
          <w:highlight w:val="none"/>
        </w:rPr>
      </w:pPr>
      <w:r>
        <w:rPr>
          <w:rFonts w:hint="eastAsia" w:hAnsi="宋体"/>
          <w:color w:val="auto"/>
          <w:highlight w:val="none"/>
        </w:rPr>
        <w:t xml:space="preserve">1. </w:t>
      </w:r>
      <w:r>
        <w:rPr>
          <w:rFonts w:hint="eastAsia" w:ascii="宋体" w:hAnsi="宋体" w:cs="宋体"/>
          <w:bCs/>
          <w:color w:val="auto"/>
          <w:szCs w:val="21"/>
          <w:highlight w:val="none"/>
        </w:rPr>
        <w:t>供应商</w:t>
      </w:r>
      <w:r>
        <w:rPr>
          <w:rFonts w:hint="eastAsia" w:hAnsi="宋体"/>
          <w:color w:val="auto"/>
          <w:highlight w:val="none"/>
        </w:rPr>
        <w:t>应提交施工进度计划，说明按采购文件要求的工期进行施工的各个关键日期。 成交的</w:t>
      </w:r>
      <w:r>
        <w:rPr>
          <w:rFonts w:hint="eastAsia" w:ascii="宋体" w:hAnsi="宋体" w:cs="宋体"/>
          <w:bCs/>
          <w:color w:val="auto"/>
          <w:szCs w:val="21"/>
          <w:highlight w:val="none"/>
        </w:rPr>
        <w:t>供应商</w:t>
      </w:r>
      <w:r>
        <w:rPr>
          <w:rFonts w:hint="eastAsia" w:hAnsi="宋体"/>
          <w:color w:val="auto"/>
          <w:highlight w:val="none"/>
        </w:rPr>
        <w:t>还应按合同条件有关条款的要求提交详细的施工进度计划。</w:t>
      </w:r>
    </w:p>
    <w:p w14:paraId="422E33C8">
      <w:pPr>
        <w:pStyle w:val="34"/>
        <w:spacing w:line="420" w:lineRule="exact"/>
        <w:ind w:firstLine="420" w:firstLineChars="200"/>
        <w:rPr>
          <w:rFonts w:hAnsi="宋体"/>
          <w:color w:val="auto"/>
          <w:highlight w:val="none"/>
        </w:rPr>
      </w:pPr>
      <w:r>
        <w:rPr>
          <w:rFonts w:hint="eastAsia" w:hAnsi="宋体"/>
          <w:color w:val="auto"/>
          <w:highlight w:val="none"/>
        </w:rPr>
        <w:t>2. 施工进度计划可采用网络图 (或横道图) 表示，说明计划开工日期和各分项工程各阶段的完工日期和分包合同签订的日期。</w:t>
      </w:r>
    </w:p>
    <w:p w14:paraId="3FC6D6FE">
      <w:pPr>
        <w:pStyle w:val="34"/>
        <w:spacing w:line="420" w:lineRule="exact"/>
        <w:ind w:firstLine="420" w:firstLineChars="200"/>
        <w:rPr>
          <w:rFonts w:hAnsi="宋体"/>
          <w:color w:val="auto"/>
          <w:highlight w:val="none"/>
        </w:rPr>
      </w:pPr>
      <w:r>
        <w:rPr>
          <w:rFonts w:hint="eastAsia" w:hAnsi="宋体"/>
          <w:color w:val="auto"/>
          <w:highlight w:val="none"/>
        </w:rPr>
        <w:t>3. 施工进度计划应与施工组织设计相适应。</w:t>
      </w:r>
    </w:p>
    <w:p w14:paraId="5CCFEB90">
      <w:pPr>
        <w:pStyle w:val="34"/>
        <w:ind w:firstLine="420" w:firstLineChars="200"/>
        <w:rPr>
          <w:rFonts w:hAnsi="宋体"/>
          <w:color w:val="auto"/>
          <w:highlight w:val="none"/>
        </w:rPr>
      </w:pPr>
    </w:p>
    <w:p w14:paraId="0B6BE7A9">
      <w:pPr>
        <w:pStyle w:val="34"/>
        <w:rPr>
          <w:rFonts w:hAnsi="宋体"/>
          <w:color w:val="auto"/>
          <w:highlight w:val="none"/>
        </w:rPr>
      </w:pPr>
    </w:p>
    <w:p w14:paraId="32D0D400">
      <w:pPr>
        <w:pStyle w:val="34"/>
        <w:spacing w:line="400" w:lineRule="exact"/>
        <w:ind w:firstLine="422" w:firstLineChars="200"/>
        <w:rPr>
          <w:rFonts w:hAnsi="宋体"/>
          <w:b/>
          <w:bCs/>
          <w:color w:val="auto"/>
          <w:highlight w:val="none"/>
        </w:rPr>
      </w:pPr>
      <w:r>
        <w:rPr>
          <w:rFonts w:hint="eastAsia" w:hAnsi="宋体"/>
          <w:b/>
          <w:bCs/>
          <w:color w:val="auto"/>
          <w:highlight w:val="none"/>
        </w:rPr>
        <w:t>附表三：施工总平面图</w:t>
      </w:r>
    </w:p>
    <w:p w14:paraId="105A5560">
      <w:pPr>
        <w:pStyle w:val="34"/>
        <w:spacing w:line="400" w:lineRule="exact"/>
        <w:ind w:firstLine="420" w:firstLineChars="200"/>
        <w:rPr>
          <w:rFonts w:hAnsi="宋体"/>
          <w:color w:val="auto"/>
          <w:highlight w:val="none"/>
        </w:rPr>
      </w:pPr>
      <w:r>
        <w:rPr>
          <w:rFonts w:hint="eastAsia" w:ascii="宋体" w:hAnsi="宋体" w:cs="宋体"/>
          <w:bCs/>
          <w:color w:val="auto"/>
          <w:szCs w:val="21"/>
          <w:highlight w:val="none"/>
        </w:rPr>
        <w:t>供应商</w:t>
      </w:r>
      <w:r>
        <w:rPr>
          <w:rFonts w:hint="eastAsia" w:hAnsi="宋体"/>
          <w:color w:val="auto"/>
          <w:highlight w:val="none"/>
        </w:rPr>
        <w:t>应递交一份施工总平面图，绘出现场临时设施布置图表并附文字说明，说明临时设施、加工车间、现场办公、设备及仓储、供电、供水、卫生、生活、道路、消防等设施的情况和布置。</w:t>
      </w:r>
    </w:p>
    <w:p w14:paraId="68474771">
      <w:pPr>
        <w:pStyle w:val="34"/>
        <w:ind w:firstLine="420" w:firstLineChars="200"/>
        <w:rPr>
          <w:rFonts w:hAnsi="宋体"/>
          <w:color w:val="auto"/>
          <w:highlight w:val="none"/>
        </w:rPr>
      </w:pPr>
    </w:p>
    <w:p w14:paraId="772AC008">
      <w:pPr>
        <w:pStyle w:val="34"/>
        <w:ind w:firstLine="422" w:firstLineChars="200"/>
        <w:rPr>
          <w:rFonts w:hAnsi="宋体"/>
          <w:b/>
          <w:bCs/>
          <w:color w:val="auto"/>
          <w:highlight w:val="none"/>
        </w:rPr>
      </w:pPr>
      <w:r>
        <w:rPr>
          <w:rFonts w:hint="eastAsia" w:hAnsi="宋体"/>
          <w:b/>
          <w:bCs/>
          <w:color w:val="auto"/>
          <w:highlight w:val="none"/>
        </w:rPr>
        <w:t>附表四：临时用地表</w:t>
      </w:r>
    </w:p>
    <w:tbl>
      <w:tblPr>
        <w:tblStyle w:val="47"/>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0ABB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tcPr>
          <w:p w14:paraId="71EEC0E4">
            <w:pPr>
              <w:spacing w:before="205" w:line="230" w:lineRule="auto"/>
              <w:ind w:left="978"/>
              <w:rPr>
                <w:rFonts w:ascii="宋体" w:hAnsi="宋体" w:cs="宋体"/>
                <w:color w:val="auto"/>
                <w:szCs w:val="21"/>
                <w:highlight w:val="none"/>
              </w:rPr>
            </w:pPr>
            <w:r>
              <w:rPr>
                <w:rFonts w:ascii="宋体" w:hAnsi="宋体" w:cs="宋体"/>
                <w:color w:val="auto"/>
                <w:spacing w:val="4"/>
                <w:szCs w:val="21"/>
                <w:highlight w:val="none"/>
              </w:rPr>
              <w:t>用</w:t>
            </w:r>
            <w:r>
              <w:rPr>
                <w:rFonts w:ascii="宋体" w:hAnsi="宋体" w:cs="宋体"/>
                <w:color w:val="auto"/>
                <w:spacing w:val="3"/>
                <w:szCs w:val="21"/>
                <w:highlight w:val="none"/>
              </w:rPr>
              <w:t>途</w:t>
            </w:r>
          </w:p>
        </w:tc>
        <w:tc>
          <w:tcPr>
            <w:tcW w:w="2356" w:type="dxa"/>
          </w:tcPr>
          <w:p w14:paraId="3BC5051D">
            <w:pPr>
              <w:spacing w:before="206" w:line="228" w:lineRule="auto"/>
              <w:ind w:left="449"/>
              <w:rPr>
                <w:rFonts w:ascii="宋体" w:hAnsi="宋体" w:cs="宋体"/>
                <w:color w:val="auto"/>
                <w:szCs w:val="21"/>
                <w:highlight w:val="none"/>
              </w:rPr>
            </w:pPr>
            <w:r>
              <w:rPr>
                <w:rFonts w:ascii="宋体" w:hAnsi="宋体" w:cs="宋体"/>
                <w:color w:val="auto"/>
                <w:spacing w:val="6"/>
                <w:szCs w:val="21"/>
                <w:highlight w:val="none"/>
              </w:rPr>
              <w:t>面积 (平方米)</w:t>
            </w:r>
          </w:p>
        </w:tc>
        <w:tc>
          <w:tcPr>
            <w:tcW w:w="2355" w:type="dxa"/>
          </w:tcPr>
          <w:p w14:paraId="3139E89C">
            <w:pPr>
              <w:spacing w:before="205" w:line="230" w:lineRule="auto"/>
              <w:ind w:left="974"/>
              <w:rPr>
                <w:rFonts w:ascii="宋体" w:hAnsi="宋体" w:cs="宋体"/>
                <w:color w:val="auto"/>
                <w:szCs w:val="21"/>
                <w:highlight w:val="none"/>
              </w:rPr>
            </w:pPr>
            <w:r>
              <w:rPr>
                <w:rFonts w:ascii="宋体" w:hAnsi="宋体" w:cs="宋体"/>
                <w:color w:val="auto"/>
                <w:spacing w:val="5"/>
                <w:szCs w:val="21"/>
                <w:highlight w:val="none"/>
              </w:rPr>
              <w:t>位</w:t>
            </w:r>
            <w:r>
              <w:rPr>
                <w:rFonts w:ascii="宋体" w:hAnsi="宋体" w:cs="宋体"/>
                <w:color w:val="auto"/>
                <w:spacing w:val="4"/>
                <w:szCs w:val="21"/>
                <w:highlight w:val="none"/>
              </w:rPr>
              <w:t>置</w:t>
            </w:r>
          </w:p>
        </w:tc>
        <w:tc>
          <w:tcPr>
            <w:tcW w:w="2360" w:type="dxa"/>
          </w:tcPr>
          <w:p w14:paraId="6C2738C7">
            <w:pPr>
              <w:spacing w:before="206" w:line="229" w:lineRule="auto"/>
              <w:ind w:left="775"/>
              <w:rPr>
                <w:rFonts w:ascii="宋体" w:hAnsi="宋体" w:cs="宋体"/>
                <w:color w:val="auto"/>
                <w:szCs w:val="21"/>
                <w:highlight w:val="none"/>
              </w:rPr>
            </w:pPr>
            <w:r>
              <w:rPr>
                <w:rFonts w:ascii="宋体" w:hAnsi="宋体" w:cs="宋体"/>
                <w:color w:val="auto"/>
                <w:spacing w:val="5"/>
                <w:szCs w:val="21"/>
                <w:highlight w:val="none"/>
              </w:rPr>
              <w:t>需用时</w:t>
            </w:r>
            <w:r>
              <w:rPr>
                <w:rFonts w:ascii="宋体" w:hAnsi="宋体" w:cs="宋体"/>
                <w:color w:val="auto"/>
                <w:spacing w:val="4"/>
                <w:szCs w:val="21"/>
                <w:highlight w:val="none"/>
              </w:rPr>
              <w:t>间</w:t>
            </w:r>
          </w:p>
        </w:tc>
      </w:tr>
      <w:tr w14:paraId="4DD4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tcPr>
          <w:p w14:paraId="521ECBDA">
            <w:pPr>
              <w:rPr>
                <w:rFonts w:ascii="Arial"/>
                <w:color w:val="auto"/>
                <w:szCs w:val="21"/>
                <w:highlight w:val="none"/>
              </w:rPr>
            </w:pPr>
          </w:p>
        </w:tc>
        <w:tc>
          <w:tcPr>
            <w:tcW w:w="2356" w:type="dxa"/>
          </w:tcPr>
          <w:p w14:paraId="4E053E75">
            <w:pPr>
              <w:rPr>
                <w:rFonts w:ascii="Arial"/>
                <w:color w:val="auto"/>
                <w:szCs w:val="21"/>
                <w:highlight w:val="none"/>
              </w:rPr>
            </w:pPr>
          </w:p>
        </w:tc>
        <w:tc>
          <w:tcPr>
            <w:tcW w:w="2355" w:type="dxa"/>
          </w:tcPr>
          <w:p w14:paraId="53A1D5A3">
            <w:pPr>
              <w:rPr>
                <w:rFonts w:ascii="Arial"/>
                <w:color w:val="auto"/>
                <w:szCs w:val="21"/>
                <w:highlight w:val="none"/>
              </w:rPr>
            </w:pPr>
          </w:p>
        </w:tc>
        <w:tc>
          <w:tcPr>
            <w:tcW w:w="2360" w:type="dxa"/>
          </w:tcPr>
          <w:p w14:paraId="4C15DD0F">
            <w:pPr>
              <w:rPr>
                <w:rFonts w:ascii="Arial"/>
                <w:color w:val="auto"/>
                <w:szCs w:val="21"/>
                <w:highlight w:val="none"/>
              </w:rPr>
            </w:pPr>
          </w:p>
        </w:tc>
      </w:tr>
      <w:tr w14:paraId="3F089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tcPr>
          <w:p w14:paraId="672822C3">
            <w:pPr>
              <w:rPr>
                <w:rFonts w:ascii="Arial"/>
                <w:color w:val="auto"/>
                <w:szCs w:val="21"/>
                <w:highlight w:val="none"/>
              </w:rPr>
            </w:pPr>
          </w:p>
        </w:tc>
        <w:tc>
          <w:tcPr>
            <w:tcW w:w="2356" w:type="dxa"/>
          </w:tcPr>
          <w:p w14:paraId="50343D87">
            <w:pPr>
              <w:rPr>
                <w:rFonts w:ascii="Arial"/>
                <w:color w:val="auto"/>
                <w:szCs w:val="21"/>
                <w:highlight w:val="none"/>
              </w:rPr>
            </w:pPr>
          </w:p>
        </w:tc>
        <w:tc>
          <w:tcPr>
            <w:tcW w:w="2355" w:type="dxa"/>
          </w:tcPr>
          <w:p w14:paraId="0CDD2E89">
            <w:pPr>
              <w:rPr>
                <w:rFonts w:ascii="Arial"/>
                <w:color w:val="auto"/>
                <w:szCs w:val="21"/>
                <w:highlight w:val="none"/>
              </w:rPr>
            </w:pPr>
          </w:p>
        </w:tc>
        <w:tc>
          <w:tcPr>
            <w:tcW w:w="2360" w:type="dxa"/>
          </w:tcPr>
          <w:p w14:paraId="77AB640E">
            <w:pPr>
              <w:rPr>
                <w:rFonts w:ascii="Arial"/>
                <w:color w:val="auto"/>
                <w:szCs w:val="21"/>
                <w:highlight w:val="none"/>
              </w:rPr>
            </w:pPr>
          </w:p>
        </w:tc>
      </w:tr>
      <w:tr w14:paraId="4C16F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tcPr>
          <w:p w14:paraId="565C4FBE">
            <w:pPr>
              <w:rPr>
                <w:rFonts w:ascii="Arial"/>
                <w:color w:val="auto"/>
                <w:szCs w:val="21"/>
                <w:highlight w:val="none"/>
              </w:rPr>
            </w:pPr>
          </w:p>
        </w:tc>
        <w:tc>
          <w:tcPr>
            <w:tcW w:w="2356" w:type="dxa"/>
          </w:tcPr>
          <w:p w14:paraId="506A6E9A">
            <w:pPr>
              <w:rPr>
                <w:rFonts w:ascii="Arial"/>
                <w:color w:val="auto"/>
                <w:szCs w:val="21"/>
                <w:highlight w:val="none"/>
              </w:rPr>
            </w:pPr>
          </w:p>
        </w:tc>
        <w:tc>
          <w:tcPr>
            <w:tcW w:w="2355" w:type="dxa"/>
          </w:tcPr>
          <w:p w14:paraId="43417D9C">
            <w:pPr>
              <w:rPr>
                <w:rFonts w:ascii="Arial"/>
                <w:color w:val="auto"/>
                <w:szCs w:val="21"/>
                <w:highlight w:val="none"/>
              </w:rPr>
            </w:pPr>
          </w:p>
        </w:tc>
        <w:tc>
          <w:tcPr>
            <w:tcW w:w="2360" w:type="dxa"/>
          </w:tcPr>
          <w:p w14:paraId="3EEEBB76">
            <w:pPr>
              <w:rPr>
                <w:rFonts w:ascii="Arial"/>
                <w:color w:val="auto"/>
                <w:szCs w:val="21"/>
                <w:highlight w:val="none"/>
              </w:rPr>
            </w:pPr>
          </w:p>
        </w:tc>
      </w:tr>
      <w:tr w14:paraId="057F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tcPr>
          <w:p w14:paraId="60BAEC66">
            <w:pPr>
              <w:rPr>
                <w:rFonts w:ascii="Arial"/>
                <w:color w:val="auto"/>
                <w:szCs w:val="21"/>
                <w:highlight w:val="none"/>
              </w:rPr>
            </w:pPr>
          </w:p>
        </w:tc>
        <w:tc>
          <w:tcPr>
            <w:tcW w:w="2356" w:type="dxa"/>
          </w:tcPr>
          <w:p w14:paraId="4C469D57">
            <w:pPr>
              <w:rPr>
                <w:rFonts w:ascii="Arial"/>
                <w:color w:val="auto"/>
                <w:szCs w:val="21"/>
                <w:highlight w:val="none"/>
              </w:rPr>
            </w:pPr>
          </w:p>
        </w:tc>
        <w:tc>
          <w:tcPr>
            <w:tcW w:w="2355" w:type="dxa"/>
          </w:tcPr>
          <w:p w14:paraId="77BB3916">
            <w:pPr>
              <w:rPr>
                <w:rFonts w:ascii="Arial"/>
                <w:color w:val="auto"/>
                <w:szCs w:val="21"/>
                <w:highlight w:val="none"/>
              </w:rPr>
            </w:pPr>
          </w:p>
        </w:tc>
        <w:tc>
          <w:tcPr>
            <w:tcW w:w="2360" w:type="dxa"/>
          </w:tcPr>
          <w:p w14:paraId="53EBA6E0">
            <w:pPr>
              <w:rPr>
                <w:rFonts w:ascii="Arial"/>
                <w:color w:val="auto"/>
                <w:szCs w:val="21"/>
                <w:highlight w:val="none"/>
              </w:rPr>
            </w:pPr>
          </w:p>
        </w:tc>
      </w:tr>
    </w:tbl>
    <w:p w14:paraId="473AC7CF">
      <w:pPr>
        <w:pStyle w:val="34"/>
        <w:ind w:firstLine="420" w:firstLineChars="200"/>
        <w:rPr>
          <w:rFonts w:hAnsi="宋体"/>
          <w:color w:val="auto"/>
          <w:highlight w:val="none"/>
        </w:rPr>
      </w:pPr>
    </w:p>
    <w:p w14:paraId="5EBC02E2">
      <w:pPr>
        <w:pStyle w:val="34"/>
        <w:rPr>
          <w:rFonts w:ascii="宋体" w:hAnsi="宋体" w:eastAsia="宋体" w:cs="宋体"/>
          <w:b/>
          <w:bCs/>
          <w:color w:val="auto"/>
          <w:highlight w:val="none"/>
        </w:rPr>
      </w:pPr>
      <w:r>
        <w:rPr>
          <w:rFonts w:hint="eastAsia" w:ascii="宋体" w:hAnsi="宋体" w:eastAsia="宋体" w:cs="宋体"/>
          <w:b/>
          <w:bCs/>
          <w:color w:val="auto"/>
          <w:highlight w:val="none"/>
        </w:rPr>
        <w:t>二、项目管理机构配备情况表；</w:t>
      </w:r>
    </w:p>
    <w:p w14:paraId="261C790C">
      <w:pPr>
        <w:pStyle w:val="34"/>
        <w:rPr>
          <w:rFonts w:ascii="宋体" w:hAnsi="宋体" w:eastAsia="宋体" w:cs="宋体"/>
          <w:b/>
          <w:bCs/>
          <w:color w:val="auto"/>
          <w:highlight w:val="none"/>
        </w:rPr>
      </w:pPr>
    </w:p>
    <w:p w14:paraId="66B169AE">
      <w:pPr>
        <w:pStyle w:val="34"/>
        <w:numPr>
          <w:ilvl w:val="0"/>
          <w:numId w:val="4"/>
        </w:numPr>
        <w:jc w:val="center"/>
        <w:rPr>
          <w:rFonts w:ascii="宋体" w:hAnsi="宋体" w:eastAsia="宋体" w:cs="宋体"/>
          <w:b/>
          <w:bCs/>
          <w:color w:val="auto"/>
          <w:highlight w:val="none"/>
        </w:rPr>
      </w:pPr>
      <w:r>
        <w:rPr>
          <w:rFonts w:hint="eastAsia" w:ascii="宋体" w:hAnsi="宋体" w:eastAsia="宋体" w:cs="宋体"/>
          <w:b/>
          <w:bCs/>
          <w:color w:val="auto"/>
          <w:highlight w:val="none"/>
        </w:rPr>
        <w:t>项目管理机构配备情况表</w:t>
      </w:r>
    </w:p>
    <w:tbl>
      <w:tblPr>
        <w:tblStyle w:val="47"/>
        <w:tblW w:w="84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2"/>
        <w:gridCol w:w="1843"/>
        <w:gridCol w:w="1134"/>
        <w:gridCol w:w="1274"/>
        <w:gridCol w:w="2196"/>
      </w:tblGrid>
      <w:tr w14:paraId="57236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992" w:type="dxa"/>
          </w:tcPr>
          <w:p w14:paraId="7DF92E0E">
            <w:pPr>
              <w:spacing w:before="181" w:line="230" w:lineRule="auto"/>
              <w:ind w:left="761"/>
              <w:rPr>
                <w:rFonts w:ascii="宋体" w:hAnsi="宋体" w:cs="宋体"/>
                <w:color w:val="auto"/>
                <w:szCs w:val="21"/>
                <w:highlight w:val="none"/>
              </w:rPr>
            </w:pPr>
            <w:r>
              <w:rPr>
                <w:rFonts w:hint="eastAsia" w:ascii="宋体" w:hAnsi="宋体" w:cs="宋体"/>
                <w:color w:val="auto"/>
                <w:spacing w:val="4"/>
                <w:szCs w:val="21"/>
                <w:highlight w:val="none"/>
              </w:rPr>
              <w:t>名 称</w:t>
            </w:r>
          </w:p>
        </w:tc>
        <w:tc>
          <w:tcPr>
            <w:tcW w:w="1843" w:type="dxa"/>
          </w:tcPr>
          <w:p w14:paraId="481D9A67">
            <w:pPr>
              <w:spacing w:before="181" w:line="228" w:lineRule="auto"/>
              <w:ind w:left="684"/>
              <w:rPr>
                <w:rFonts w:ascii="宋体" w:hAnsi="宋体" w:cs="宋体"/>
                <w:color w:val="auto"/>
                <w:szCs w:val="21"/>
                <w:highlight w:val="none"/>
              </w:rPr>
            </w:pPr>
            <w:r>
              <w:rPr>
                <w:rFonts w:hint="eastAsia" w:ascii="宋体" w:hAnsi="宋体" w:cs="宋体"/>
                <w:color w:val="auto"/>
                <w:spacing w:val="6"/>
                <w:szCs w:val="21"/>
                <w:highlight w:val="none"/>
              </w:rPr>
              <w:t xml:space="preserve">姓 </w:t>
            </w:r>
            <w:r>
              <w:rPr>
                <w:rFonts w:hint="eastAsia" w:ascii="宋体" w:hAnsi="宋体" w:cs="宋体"/>
                <w:color w:val="auto"/>
                <w:spacing w:val="5"/>
                <w:szCs w:val="21"/>
                <w:highlight w:val="none"/>
              </w:rPr>
              <w:t>名</w:t>
            </w:r>
          </w:p>
        </w:tc>
        <w:tc>
          <w:tcPr>
            <w:tcW w:w="1134" w:type="dxa"/>
          </w:tcPr>
          <w:p w14:paraId="57C88DE5">
            <w:pPr>
              <w:spacing w:before="181" w:line="228" w:lineRule="auto"/>
              <w:ind w:left="330"/>
              <w:rPr>
                <w:rFonts w:ascii="宋体" w:hAnsi="宋体" w:cs="宋体"/>
                <w:color w:val="auto"/>
                <w:szCs w:val="21"/>
                <w:highlight w:val="none"/>
              </w:rPr>
            </w:pPr>
            <w:r>
              <w:rPr>
                <w:rFonts w:hint="eastAsia" w:ascii="宋体" w:hAnsi="宋体" w:cs="宋体"/>
                <w:color w:val="auto"/>
                <w:spacing w:val="5"/>
                <w:szCs w:val="21"/>
                <w:highlight w:val="none"/>
              </w:rPr>
              <w:t>职 务</w:t>
            </w:r>
          </w:p>
        </w:tc>
        <w:tc>
          <w:tcPr>
            <w:tcW w:w="1274" w:type="dxa"/>
          </w:tcPr>
          <w:p w14:paraId="722339E9">
            <w:pPr>
              <w:spacing w:before="181" w:line="230" w:lineRule="auto"/>
              <w:ind w:left="492"/>
              <w:rPr>
                <w:rFonts w:ascii="宋体" w:hAnsi="宋体" w:cs="宋体"/>
                <w:color w:val="auto"/>
                <w:szCs w:val="21"/>
                <w:highlight w:val="none"/>
              </w:rPr>
            </w:pPr>
            <w:r>
              <w:rPr>
                <w:rFonts w:hint="eastAsia" w:ascii="宋体" w:hAnsi="宋体" w:cs="宋体"/>
                <w:color w:val="auto"/>
                <w:spacing w:val="5"/>
                <w:szCs w:val="21"/>
                <w:highlight w:val="none"/>
              </w:rPr>
              <w:t xml:space="preserve">职 </w:t>
            </w:r>
            <w:r>
              <w:rPr>
                <w:rFonts w:hint="eastAsia" w:ascii="宋体" w:hAnsi="宋体" w:cs="宋体"/>
                <w:color w:val="auto"/>
                <w:spacing w:val="4"/>
                <w:szCs w:val="21"/>
                <w:highlight w:val="none"/>
              </w:rPr>
              <w:t>称</w:t>
            </w:r>
          </w:p>
        </w:tc>
        <w:tc>
          <w:tcPr>
            <w:tcW w:w="2196" w:type="dxa"/>
          </w:tcPr>
          <w:p w14:paraId="022C4B63">
            <w:pPr>
              <w:spacing w:before="181" w:line="228" w:lineRule="auto"/>
              <w:ind w:left="200"/>
              <w:rPr>
                <w:rFonts w:ascii="宋体" w:hAnsi="宋体" w:cs="宋体"/>
                <w:color w:val="auto"/>
                <w:szCs w:val="21"/>
                <w:highlight w:val="none"/>
              </w:rPr>
            </w:pPr>
            <w:r>
              <w:rPr>
                <w:rFonts w:hint="eastAsia" w:ascii="宋体" w:hAnsi="宋体" w:cs="宋体"/>
                <w:color w:val="auto"/>
                <w:spacing w:val="9"/>
                <w:szCs w:val="21"/>
                <w:highlight w:val="none"/>
              </w:rPr>
              <w:t>任职务及资格经</w:t>
            </w:r>
            <w:r>
              <w:rPr>
                <w:rFonts w:hint="eastAsia" w:ascii="宋体" w:hAnsi="宋体" w:cs="宋体"/>
                <w:color w:val="auto"/>
                <w:spacing w:val="8"/>
                <w:szCs w:val="21"/>
                <w:highlight w:val="none"/>
              </w:rPr>
              <w:t>历</w:t>
            </w:r>
          </w:p>
        </w:tc>
      </w:tr>
      <w:tr w14:paraId="161E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tcPr>
          <w:p w14:paraId="7ED40B4A">
            <w:pPr>
              <w:rPr>
                <w:rFonts w:ascii="宋体" w:hAnsi="宋体" w:cs="宋体"/>
                <w:color w:val="auto"/>
                <w:szCs w:val="21"/>
                <w:highlight w:val="none"/>
              </w:rPr>
            </w:pPr>
          </w:p>
        </w:tc>
        <w:tc>
          <w:tcPr>
            <w:tcW w:w="1843" w:type="dxa"/>
          </w:tcPr>
          <w:p w14:paraId="3AA8CA4A">
            <w:pPr>
              <w:rPr>
                <w:rFonts w:ascii="宋体" w:hAnsi="宋体" w:cs="宋体"/>
                <w:color w:val="auto"/>
                <w:szCs w:val="21"/>
                <w:highlight w:val="none"/>
              </w:rPr>
            </w:pPr>
          </w:p>
        </w:tc>
        <w:tc>
          <w:tcPr>
            <w:tcW w:w="1134" w:type="dxa"/>
          </w:tcPr>
          <w:p w14:paraId="5D5682B2">
            <w:pPr>
              <w:rPr>
                <w:rFonts w:ascii="宋体" w:hAnsi="宋体" w:cs="宋体"/>
                <w:color w:val="auto"/>
                <w:szCs w:val="21"/>
                <w:highlight w:val="none"/>
              </w:rPr>
            </w:pPr>
          </w:p>
        </w:tc>
        <w:tc>
          <w:tcPr>
            <w:tcW w:w="1274" w:type="dxa"/>
          </w:tcPr>
          <w:p w14:paraId="1939AF3A">
            <w:pPr>
              <w:rPr>
                <w:rFonts w:ascii="宋体" w:hAnsi="宋体" w:cs="宋体"/>
                <w:color w:val="auto"/>
                <w:szCs w:val="21"/>
                <w:highlight w:val="none"/>
              </w:rPr>
            </w:pPr>
          </w:p>
        </w:tc>
        <w:tc>
          <w:tcPr>
            <w:tcW w:w="2196" w:type="dxa"/>
          </w:tcPr>
          <w:p w14:paraId="1195AC5E">
            <w:pPr>
              <w:rPr>
                <w:rFonts w:ascii="宋体" w:hAnsi="宋体" w:cs="宋体"/>
                <w:color w:val="auto"/>
                <w:szCs w:val="21"/>
                <w:highlight w:val="none"/>
              </w:rPr>
            </w:pPr>
          </w:p>
        </w:tc>
      </w:tr>
      <w:tr w14:paraId="127A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tcPr>
          <w:p w14:paraId="537E9A05">
            <w:pPr>
              <w:rPr>
                <w:rFonts w:ascii="宋体" w:hAnsi="宋体" w:cs="宋体"/>
                <w:color w:val="auto"/>
                <w:szCs w:val="21"/>
                <w:highlight w:val="none"/>
              </w:rPr>
            </w:pPr>
          </w:p>
        </w:tc>
        <w:tc>
          <w:tcPr>
            <w:tcW w:w="1843" w:type="dxa"/>
          </w:tcPr>
          <w:p w14:paraId="1E61E927">
            <w:pPr>
              <w:rPr>
                <w:rFonts w:ascii="宋体" w:hAnsi="宋体" w:cs="宋体"/>
                <w:color w:val="auto"/>
                <w:szCs w:val="21"/>
                <w:highlight w:val="none"/>
              </w:rPr>
            </w:pPr>
          </w:p>
        </w:tc>
        <w:tc>
          <w:tcPr>
            <w:tcW w:w="1134" w:type="dxa"/>
          </w:tcPr>
          <w:p w14:paraId="37451E9A">
            <w:pPr>
              <w:rPr>
                <w:rFonts w:ascii="宋体" w:hAnsi="宋体" w:cs="宋体"/>
                <w:color w:val="auto"/>
                <w:szCs w:val="21"/>
                <w:highlight w:val="none"/>
              </w:rPr>
            </w:pPr>
          </w:p>
        </w:tc>
        <w:tc>
          <w:tcPr>
            <w:tcW w:w="1274" w:type="dxa"/>
          </w:tcPr>
          <w:p w14:paraId="096F7965">
            <w:pPr>
              <w:rPr>
                <w:rFonts w:ascii="宋体" w:hAnsi="宋体" w:cs="宋体"/>
                <w:color w:val="auto"/>
                <w:szCs w:val="21"/>
                <w:highlight w:val="none"/>
              </w:rPr>
            </w:pPr>
          </w:p>
        </w:tc>
        <w:tc>
          <w:tcPr>
            <w:tcW w:w="2196" w:type="dxa"/>
          </w:tcPr>
          <w:p w14:paraId="1C7454CA">
            <w:pPr>
              <w:rPr>
                <w:rFonts w:ascii="宋体" w:hAnsi="宋体" w:cs="宋体"/>
                <w:color w:val="auto"/>
                <w:szCs w:val="21"/>
                <w:highlight w:val="none"/>
              </w:rPr>
            </w:pPr>
          </w:p>
        </w:tc>
      </w:tr>
      <w:tr w14:paraId="161F2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992" w:type="dxa"/>
          </w:tcPr>
          <w:p w14:paraId="77E049AB">
            <w:pPr>
              <w:rPr>
                <w:rFonts w:ascii="宋体" w:hAnsi="宋体" w:cs="宋体"/>
                <w:color w:val="auto"/>
                <w:szCs w:val="21"/>
                <w:highlight w:val="none"/>
              </w:rPr>
            </w:pPr>
          </w:p>
        </w:tc>
        <w:tc>
          <w:tcPr>
            <w:tcW w:w="1843" w:type="dxa"/>
          </w:tcPr>
          <w:p w14:paraId="23F29CC7">
            <w:pPr>
              <w:rPr>
                <w:rFonts w:ascii="宋体" w:hAnsi="宋体" w:cs="宋体"/>
                <w:color w:val="auto"/>
                <w:szCs w:val="21"/>
                <w:highlight w:val="none"/>
              </w:rPr>
            </w:pPr>
          </w:p>
        </w:tc>
        <w:tc>
          <w:tcPr>
            <w:tcW w:w="1134" w:type="dxa"/>
          </w:tcPr>
          <w:p w14:paraId="744203FF">
            <w:pPr>
              <w:rPr>
                <w:rFonts w:ascii="宋体" w:hAnsi="宋体" w:cs="宋体"/>
                <w:color w:val="auto"/>
                <w:szCs w:val="21"/>
                <w:highlight w:val="none"/>
              </w:rPr>
            </w:pPr>
          </w:p>
        </w:tc>
        <w:tc>
          <w:tcPr>
            <w:tcW w:w="1274" w:type="dxa"/>
          </w:tcPr>
          <w:p w14:paraId="31D74E5B">
            <w:pPr>
              <w:rPr>
                <w:rFonts w:ascii="宋体" w:hAnsi="宋体" w:cs="宋体"/>
                <w:color w:val="auto"/>
                <w:szCs w:val="21"/>
                <w:highlight w:val="none"/>
              </w:rPr>
            </w:pPr>
          </w:p>
        </w:tc>
        <w:tc>
          <w:tcPr>
            <w:tcW w:w="2196" w:type="dxa"/>
          </w:tcPr>
          <w:p w14:paraId="57DEECDD">
            <w:pPr>
              <w:rPr>
                <w:rFonts w:ascii="宋体" w:hAnsi="宋体" w:cs="宋体"/>
                <w:color w:val="auto"/>
                <w:szCs w:val="21"/>
                <w:highlight w:val="none"/>
              </w:rPr>
            </w:pPr>
          </w:p>
        </w:tc>
      </w:tr>
      <w:tr w14:paraId="52108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992" w:type="dxa"/>
          </w:tcPr>
          <w:p w14:paraId="2AA5CFC9">
            <w:pPr>
              <w:rPr>
                <w:rFonts w:ascii="宋体" w:hAnsi="宋体" w:cs="宋体"/>
                <w:color w:val="auto"/>
                <w:szCs w:val="21"/>
                <w:highlight w:val="none"/>
              </w:rPr>
            </w:pPr>
          </w:p>
        </w:tc>
        <w:tc>
          <w:tcPr>
            <w:tcW w:w="1843" w:type="dxa"/>
          </w:tcPr>
          <w:p w14:paraId="35A40E51">
            <w:pPr>
              <w:rPr>
                <w:rFonts w:ascii="宋体" w:hAnsi="宋体" w:cs="宋体"/>
                <w:color w:val="auto"/>
                <w:szCs w:val="21"/>
                <w:highlight w:val="none"/>
              </w:rPr>
            </w:pPr>
          </w:p>
        </w:tc>
        <w:tc>
          <w:tcPr>
            <w:tcW w:w="1134" w:type="dxa"/>
          </w:tcPr>
          <w:p w14:paraId="68CD988D">
            <w:pPr>
              <w:rPr>
                <w:rFonts w:ascii="宋体" w:hAnsi="宋体" w:cs="宋体"/>
                <w:color w:val="auto"/>
                <w:szCs w:val="21"/>
                <w:highlight w:val="none"/>
              </w:rPr>
            </w:pPr>
          </w:p>
        </w:tc>
        <w:tc>
          <w:tcPr>
            <w:tcW w:w="1274" w:type="dxa"/>
          </w:tcPr>
          <w:p w14:paraId="6578A854">
            <w:pPr>
              <w:rPr>
                <w:rFonts w:ascii="宋体" w:hAnsi="宋体" w:cs="宋体"/>
                <w:color w:val="auto"/>
                <w:szCs w:val="21"/>
                <w:highlight w:val="none"/>
              </w:rPr>
            </w:pPr>
          </w:p>
        </w:tc>
        <w:tc>
          <w:tcPr>
            <w:tcW w:w="2196" w:type="dxa"/>
          </w:tcPr>
          <w:p w14:paraId="47A38CDD">
            <w:pPr>
              <w:rPr>
                <w:rFonts w:ascii="宋体" w:hAnsi="宋体" w:cs="宋体"/>
                <w:color w:val="auto"/>
                <w:szCs w:val="21"/>
                <w:highlight w:val="none"/>
              </w:rPr>
            </w:pPr>
          </w:p>
        </w:tc>
      </w:tr>
      <w:tr w14:paraId="2A30F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992" w:type="dxa"/>
          </w:tcPr>
          <w:p w14:paraId="3847AB49">
            <w:pPr>
              <w:rPr>
                <w:rFonts w:ascii="宋体" w:hAnsi="宋体" w:cs="宋体"/>
                <w:color w:val="auto"/>
                <w:szCs w:val="21"/>
                <w:highlight w:val="none"/>
              </w:rPr>
            </w:pPr>
          </w:p>
        </w:tc>
        <w:tc>
          <w:tcPr>
            <w:tcW w:w="1843" w:type="dxa"/>
          </w:tcPr>
          <w:p w14:paraId="4592AFA2">
            <w:pPr>
              <w:rPr>
                <w:rFonts w:ascii="宋体" w:hAnsi="宋体" w:cs="宋体"/>
                <w:color w:val="auto"/>
                <w:szCs w:val="21"/>
                <w:highlight w:val="none"/>
              </w:rPr>
            </w:pPr>
          </w:p>
        </w:tc>
        <w:tc>
          <w:tcPr>
            <w:tcW w:w="1134" w:type="dxa"/>
          </w:tcPr>
          <w:p w14:paraId="45F7FBB8">
            <w:pPr>
              <w:rPr>
                <w:rFonts w:ascii="宋体" w:hAnsi="宋体" w:cs="宋体"/>
                <w:color w:val="auto"/>
                <w:szCs w:val="21"/>
                <w:highlight w:val="none"/>
              </w:rPr>
            </w:pPr>
          </w:p>
        </w:tc>
        <w:tc>
          <w:tcPr>
            <w:tcW w:w="1274" w:type="dxa"/>
          </w:tcPr>
          <w:p w14:paraId="69E4D0FE">
            <w:pPr>
              <w:rPr>
                <w:rFonts w:ascii="宋体" w:hAnsi="宋体" w:cs="宋体"/>
                <w:color w:val="auto"/>
                <w:szCs w:val="21"/>
                <w:highlight w:val="none"/>
              </w:rPr>
            </w:pPr>
          </w:p>
        </w:tc>
        <w:tc>
          <w:tcPr>
            <w:tcW w:w="2196" w:type="dxa"/>
          </w:tcPr>
          <w:p w14:paraId="434B20F2">
            <w:pPr>
              <w:rPr>
                <w:rFonts w:ascii="宋体" w:hAnsi="宋体" w:cs="宋体"/>
                <w:color w:val="auto"/>
                <w:szCs w:val="21"/>
                <w:highlight w:val="none"/>
              </w:rPr>
            </w:pPr>
          </w:p>
        </w:tc>
      </w:tr>
      <w:tr w14:paraId="44B7D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992" w:type="dxa"/>
          </w:tcPr>
          <w:p w14:paraId="6DB865FC">
            <w:pPr>
              <w:rPr>
                <w:rFonts w:ascii="宋体" w:hAnsi="宋体" w:cs="宋体"/>
                <w:color w:val="auto"/>
                <w:szCs w:val="21"/>
                <w:highlight w:val="none"/>
              </w:rPr>
            </w:pPr>
          </w:p>
        </w:tc>
        <w:tc>
          <w:tcPr>
            <w:tcW w:w="1843" w:type="dxa"/>
          </w:tcPr>
          <w:p w14:paraId="1126277C">
            <w:pPr>
              <w:rPr>
                <w:rFonts w:ascii="宋体" w:hAnsi="宋体" w:cs="宋体"/>
                <w:color w:val="auto"/>
                <w:szCs w:val="21"/>
                <w:highlight w:val="none"/>
              </w:rPr>
            </w:pPr>
          </w:p>
        </w:tc>
        <w:tc>
          <w:tcPr>
            <w:tcW w:w="1134" w:type="dxa"/>
          </w:tcPr>
          <w:p w14:paraId="11B0C54B">
            <w:pPr>
              <w:rPr>
                <w:rFonts w:ascii="宋体" w:hAnsi="宋体" w:cs="宋体"/>
                <w:color w:val="auto"/>
                <w:szCs w:val="21"/>
                <w:highlight w:val="none"/>
              </w:rPr>
            </w:pPr>
          </w:p>
        </w:tc>
        <w:tc>
          <w:tcPr>
            <w:tcW w:w="1274" w:type="dxa"/>
          </w:tcPr>
          <w:p w14:paraId="40DB10E9">
            <w:pPr>
              <w:rPr>
                <w:rFonts w:ascii="宋体" w:hAnsi="宋体" w:cs="宋体"/>
                <w:color w:val="auto"/>
                <w:szCs w:val="21"/>
                <w:highlight w:val="none"/>
              </w:rPr>
            </w:pPr>
          </w:p>
        </w:tc>
        <w:tc>
          <w:tcPr>
            <w:tcW w:w="2196" w:type="dxa"/>
          </w:tcPr>
          <w:p w14:paraId="5EF7B63D">
            <w:pPr>
              <w:rPr>
                <w:rFonts w:ascii="宋体" w:hAnsi="宋体" w:cs="宋体"/>
                <w:color w:val="auto"/>
                <w:szCs w:val="21"/>
                <w:highlight w:val="none"/>
              </w:rPr>
            </w:pPr>
          </w:p>
        </w:tc>
      </w:tr>
      <w:tr w14:paraId="104A6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tcPr>
          <w:p w14:paraId="773B7464">
            <w:pPr>
              <w:rPr>
                <w:rFonts w:ascii="宋体" w:hAnsi="宋体" w:cs="宋体"/>
                <w:color w:val="auto"/>
                <w:szCs w:val="21"/>
                <w:highlight w:val="none"/>
              </w:rPr>
            </w:pPr>
          </w:p>
        </w:tc>
        <w:tc>
          <w:tcPr>
            <w:tcW w:w="1843" w:type="dxa"/>
          </w:tcPr>
          <w:p w14:paraId="521669D1">
            <w:pPr>
              <w:rPr>
                <w:rFonts w:ascii="宋体" w:hAnsi="宋体" w:cs="宋体"/>
                <w:color w:val="auto"/>
                <w:szCs w:val="21"/>
                <w:highlight w:val="none"/>
              </w:rPr>
            </w:pPr>
          </w:p>
        </w:tc>
        <w:tc>
          <w:tcPr>
            <w:tcW w:w="1134" w:type="dxa"/>
          </w:tcPr>
          <w:p w14:paraId="536927DA">
            <w:pPr>
              <w:rPr>
                <w:rFonts w:ascii="宋体" w:hAnsi="宋体" w:cs="宋体"/>
                <w:color w:val="auto"/>
                <w:szCs w:val="21"/>
                <w:highlight w:val="none"/>
              </w:rPr>
            </w:pPr>
          </w:p>
        </w:tc>
        <w:tc>
          <w:tcPr>
            <w:tcW w:w="1274" w:type="dxa"/>
          </w:tcPr>
          <w:p w14:paraId="1A924463">
            <w:pPr>
              <w:rPr>
                <w:rFonts w:ascii="宋体" w:hAnsi="宋体" w:cs="宋体"/>
                <w:color w:val="auto"/>
                <w:szCs w:val="21"/>
                <w:highlight w:val="none"/>
              </w:rPr>
            </w:pPr>
          </w:p>
        </w:tc>
        <w:tc>
          <w:tcPr>
            <w:tcW w:w="2196" w:type="dxa"/>
          </w:tcPr>
          <w:p w14:paraId="0C437D1E">
            <w:pPr>
              <w:rPr>
                <w:rFonts w:ascii="宋体" w:hAnsi="宋体" w:cs="宋体"/>
                <w:color w:val="auto"/>
                <w:szCs w:val="21"/>
                <w:highlight w:val="none"/>
              </w:rPr>
            </w:pPr>
          </w:p>
        </w:tc>
      </w:tr>
      <w:tr w14:paraId="0D0E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992" w:type="dxa"/>
          </w:tcPr>
          <w:p w14:paraId="1699BA71">
            <w:pPr>
              <w:rPr>
                <w:rFonts w:ascii="宋体" w:hAnsi="宋体" w:cs="宋体"/>
                <w:color w:val="auto"/>
                <w:szCs w:val="21"/>
                <w:highlight w:val="none"/>
              </w:rPr>
            </w:pPr>
          </w:p>
        </w:tc>
        <w:tc>
          <w:tcPr>
            <w:tcW w:w="1843" w:type="dxa"/>
          </w:tcPr>
          <w:p w14:paraId="7E1CE00C">
            <w:pPr>
              <w:rPr>
                <w:rFonts w:ascii="宋体" w:hAnsi="宋体" w:cs="宋体"/>
                <w:color w:val="auto"/>
                <w:szCs w:val="21"/>
                <w:highlight w:val="none"/>
              </w:rPr>
            </w:pPr>
          </w:p>
        </w:tc>
        <w:tc>
          <w:tcPr>
            <w:tcW w:w="1134" w:type="dxa"/>
          </w:tcPr>
          <w:p w14:paraId="59FB3E7C">
            <w:pPr>
              <w:rPr>
                <w:rFonts w:ascii="宋体" w:hAnsi="宋体" w:cs="宋体"/>
                <w:color w:val="auto"/>
                <w:szCs w:val="21"/>
                <w:highlight w:val="none"/>
              </w:rPr>
            </w:pPr>
          </w:p>
        </w:tc>
        <w:tc>
          <w:tcPr>
            <w:tcW w:w="1274" w:type="dxa"/>
          </w:tcPr>
          <w:p w14:paraId="023D9FA4">
            <w:pPr>
              <w:rPr>
                <w:rFonts w:ascii="宋体" w:hAnsi="宋体" w:cs="宋体"/>
                <w:color w:val="auto"/>
                <w:szCs w:val="21"/>
                <w:highlight w:val="none"/>
              </w:rPr>
            </w:pPr>
          </w:p>
        </w:tc>
        <w:tc>
          <w:tcPr>
            <w:tcW w:w="2196" w:type="dxa"/>
          </w:tcPr>
          <w:p w14:paraId="0C8C11E1">
            <w:pPr>
              <w:rPr>
                <w:rFonts w:ascii="宋体" w:hAnsi="宋体" w:cs="宋体"/>
                <w:color w:val="auto"/>
                <w:szCs w:val="21"/>
                <w:highlight w:val="none"/>
              </w:rPr>
            </w:pPr>
          </w:p>
        </w:tc>
      </w:tr>
      <w:tr w14:paraId="7BA53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tcPr>
          <w:p w14:paraId="29DC80AE">
            <w:pPr>
              <w:rPr>
                <w:rFonts w:ascii="宋体" w:hAnsi="宋体" w:cs="宋体"/>
                <w:color w:val="auto"/>
                <w:szCs w:val="21"/>
                <w:highlight w:val="none"/>
              </w:rPr>
            </w:pPr>
          </w:p>
        </w:tc>
        <w:tc>
          <w:tcPr>
            <w:tcW w:w="1843" w:type="dxa"/>
          </w:tcPr>
          <w:p w14:paraId="018EE379">
            <w:pPr>
              <w:rPr>
                <w:rFonts w:ascii="宋体" w:hAnsi="宋体" w:cs="宋体"/>
                <w:color w:val="auto"/>
                <w:szCs w:val="21"/>
                <w:highlight w:val="none"/>
              </w:rPr>
            </w:pPr>
          </w:p>
        </w:tc>
        <w:tc>
          <w:tcPr>
            <w:tcW w:w="1134" w:type="dxa"/>
          </w:tcPr>
          <w:p w14:paraId="3F56ACF2">
            <w:pPr>
              <w:rPr>
                <w:rFonts w:ascii="宋体" w:hAnsi="宋体" w:cs="宋体"/>
                <w:color w:val="auto"/>
                <w:szCs w:val="21"/>
                <w:highlight w:val="none"/>
              </w:rPr>
            </w:pPr>
          </w:p>
        </w:tc>
        <w:tc>
          <w:tcPr>
            <w:tcW w:w="1274" w:type="dxa"/>
          </w:tcPr>
          <w:p w14:paraId="745DD929">
            <w:pPr>
              <w:rPr>
                <w:rFonts w:ascii="宋体" w:hAnsi="宋体" w:cs="宋体"/>
                <w:color w:val="auto"/>
                <w:szCs w:val="21"/>
                <w:highlight w:val="none"/>
              </w:rPr>
            </w:pPr>
          </w:p>
        </w:tc>
        <w:tc>
          <w:tcPr>
            <w:tcW w:w="2196" w:type="dxa"/>
          </w:tcPr>
          <w:p w14:paraId="36A7931C">
            <w:pPr>
              <w:rPr>
                <w:rFonts w:ascii="宋体" w:hAnsi="宋体" w:cs="宋体"/>
                <w:color w:val="auto"/>
                <w:szCs w:val="21"/>
                <w:highlight w:val="none"/>
              </w:rPr>
            </w:pPr>
          </w:p>
        </w:tc>
      </w:tr>
      <w:tr w14:paraId="5FC8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992" w:type="dxa"/>
          </w:tcPr>
          <w:p w14:paraId="0755F82A">
            <w:pPr>
              <w:rPr>
                <w:rFonts w:ascii="宋体" w:hAnsi="宋体" w:cs="宋体"/>
                <w:color w:val="auto"/>
                <w:szCs w:val="21"/>
                <w:highlight w:val="none"/>
              </w:rPr>
            </w:pPr>
          </w:p>
        </w:tc>
        <w:tc>
          <w:tcPr>
            <w:tcW w:w="1843" w:type="dxa"/>
          </w:tcPr>
          <w:p w14:paraId="34E4EA0A">
            <w:pPr>
              <w:rPr>
                <w:rFonts w:ascii="宋体" w:hAnsi="宋体" w:cs="宋体"/>
                <w:color w:val="auto"/>
                <w:szCs w:val="21"/>
                <w:highlight w:val="none"/>
              </w:rPr>
            </w:pPr>
          </w:p>
        </w:tc>
        <w:tc>
          <w:tcPr>
            <w:tcW w:w="1134" w:type="dxa"/>
          </w:tcPr>
          <w:p w14:paraId="728C1C09">
            <w:pPr>
              <w:rPr>
                <w:rFonts w:ascii="宋体" w:hAnsi="宋体" w:cs="宋体"/>
                <w:color w:val="auto"/>
                <w:szCs w:val="21"/>
                <w:highlight w:val="none"/>
              </w:rPr>
            </w:pPr>
          </w:p>
        </w:tc>
        <w:tc>
          <w:tcPr>
            <w:tcW w:w="1274" w:type="dxa"/>
          </w:tcPr>
          <w:p w14:paraId="279574CB">
            <w:pPr>
              <w:rPr>
                <w:rFonts w:ascii="宋体" w:hAnsi="宋体" w:cs="宋体"/>
                <w:color w:val="auto"/>
                <w:szCs w:val="21"/>
                <w:highlight w:val="none"/>
              </w:rPr>
            </w:pPr>
          </w:p>
        </w:tc>
        <w:tc>
          <w:tcPr>
            <w:tcW w:w="2196" w:type="dxa"/>
          </w:tcPr>
          <w:p w14:paraId="49BA148D">
            <w:pPr>
              <w:rPr>
                <w:rFonts w:ascii="宋体" w:hAnsi="宋体" w:cs="宋体"/>
                <w:color w:val="auto"/>
                <w:szCs w:val="21"/>
                <w:highlight w:val="none"/>
              </w:rPr>
            </w:pPr>
          </w:p>
        </w:tc>
      </w:tr>
      <w:tr w14:paraId="7A85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992" w:type="dxa"/>
          </w:tcPr>
          <w:p w14:paraId="3CA0654B">
            <w:pPr>
              <w:rPr>
                <w:rFonts w:ascii="宋体" w:hAnsi="宋体" w:cs="宋体"/>
                <w:color w:val="auto"/>
                <w:szCs w:val="21"/>
                <w:highlight w:val="none"/>
              </w:rPr>
            </w:pPr>
          </w:p>
        </w:tc>
        <w:tc>
          <w:tcPr>
            <w:tcW w:w="1843" w:type="dxa"/>
          </w:tcPr>
          <w:p w14:paraId="432FE9B6">
            <w:pPr>
              <w:rPr>
                <w:rFonts w:ascii="宋体" w:hAnsi="宋体" w:cs="宋体"/>
                <w:color w:val="auto"/>
                <w:szCs w:val="21"/>
                <w:highlight w:val="none"/>
              </w:rPr>
            </w:pPr>
          </w:p>
        </w:tc>
        <w:tc>
          <w:tcPr>
            <w:tcW w:w="1134" w:type="dxa"/>
          </w:tcPr>
          <w:p w14:paraId="185D9DC4">
            <w:pPr>
              <w:rPr>
                <w:rFonts w:ascii="宋体" w:hAnsi="宋体" w:cs="宋体"/>
                <w:color w:val="auto"/>
                <w:szCs w:val="21"/>
                <w:highlight w:val="none"/>
              </w:rPr>
            </w:pPr>
          </w:p>
        </w:tc>
        <w:tc>
          <w:tcPr>
            <w:tcW w:w="1274" w:type="dxa"/>
          </w:tcPr>
          <w:p w14:paraId="5850C935">
            <w:pPr>
              <w:rPr>
                <w:rFonts w:ascii="宋体" w:hAnsi="宋体" w:cs="宋体"/>
                <w:color w:val="auto"/>
                <w:szCs w:val="21"/>
                <w:highlight w:val="none"/>
              </w:rPr>
            </w:pPr>
          </w:p>
        </w:tc>
        <w:tc>
          <w:tcPr>
            <w:tcW w:w="2196" w:type="dxa"/>
          </w:tcPr>
          <w:p w14:paraId="4DCD0EB5">
            <w:pPr>
              <w:rPr>
                <w:rFonts w:ascii="宋体" w:hAnsi="宋体" w:cs="宋体"/>
                <w:color w:val="auto"/>
                <w:szCs w:val="21"/>
                <w:highlight w:val="none"/>
              </w:rPr>
            </w:pPr>
          </w:p>
        </w:tc>
      </w:tr>
      <w:tr w14:paraId="7780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992" w:type="dxa"/>
          </w:tcPr>
          <w:p w14:paraId="247E2B8A">
            <w:pPr>
              <w:rPr>
                <w:rFonts w:ascii="宋体" w:hAnsi="宋体" w:cs="宋体"/>
                <w:color w:val="auto"/>
                <w:szCs w:val="21"/>
                <w:highlight w:val="none"/>
              </w:rPr>
            </w:pPr>
          </w:p>
        </w:tc>
        <w:tc>
          <w:tcPr>
            <w:tcW w:w="1843" w:type="dxa"/>
          </w:tcPr>
          <w:p w14:paraId="1AC35806">
            <w:pPr>
              <w:rPr>
                <w:rFonts w:ascii="宋体" w:hAnsi="宋体" w:cs="宋体"/>
                <w:color w:val="auto"/>
                <w:szCs w:val="21"/>
                <w:highlight w:val="none"/>
              </w:rPr>
            </w:pPr>
          </w:p>
        </w:tc>
        <w:tc>
          <w:tcPr>
            <w:tcW w:w="1134" w:type="dxa"/>
          </w:tcPr>
          <w:p w14:paraId="391ABB3E">
            <w:pPr>
              <w:rPr>
                <w:rFonts w:ascii="宋体" w:hAnsi="宋体" w:cs="宋体"/>
                <w:color w:val="auto"/>
                <w:szCs w:val="21"/>
                <w:highlight w:val="none"/>
              </w:rPr>
            </w:pPr>
          </w:p>
        </w:tc>
        <w:tc>
          <w:tcPr>
            <w:tcW w:w="1274" w:type="dxa"/>
          </w:tcPr>
          <w:p w14:paraId="0DF64513">
            <w:pPr>
              <w:rPr>
                <w:rFonts w:ascii="宋体" w:hAnsi="宋体" w:cs="宋体"/>
                <w:color w:val="auto"/>
                <w:szCs w:val="21"/>
                <w:highlight w:val="none"/>
              </w:rPr>
            </w:pPr>
          </w:p>
        </w:tc>
        <w:tc>
          <w:tcPr>
            <w:tcW w:w="2196" w:type="dxa"/>
          </w:tcPr>
          <w:p w14:paraId="45A9C538">
            <w:pPr>
              <w:rPr>
                <w:rFonts w:ascii="宋体" w:hAnsi="宋体" w:cs="宋体"/>
                <w:color w:val="auto"/>
                <w:szCs w:val="21"/>
                <w:highlight w:val="none"/>
              </w:rPr>
            </w:pPr>
          </w:p>
        </w:tc>
      </w:tr>
      <w:tr w14:paraId="5D978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992" w:type="dxa"/>
          </w:tcPr>
          <w:p w14:paraId="66D9A186">
            <w:pPr>
              <w:rPr>
                <w:rFonts w:ascii="宋体" w:hAnsi="宋体" w:cs="宋体"/>
                <w:color w:val="auto"/>
                <w:szCs w:val="21"/>
                <w:highlight w:val="none"/>
              </w:rPr>
            </w:pPr>
          </w:p>
        </w:tc>
        <w:tc>
          <w:tcPr>
            <w:tcW w:w="1843" w:type="dxa"/>
          </w:tcPr>
          <w:p w14:paraId="60AC198C">
            <w:pPr>
              <w:rPr>
                <w:rFonts w:ascii="宋体" w:hAnsi="宋体" w:cs="宋体"/>
                <w:color w:val="auto"/>
                <w:szCs w:val="21"/>
                <w:highlight w:val="none"/>
              </w:rPr>
            </w:pPr>
          </w:p>
        </w:tc>
        <w:tc>
          <w:tcPr>
            <w:tcW w:w="1134" w:type="dxa"/>
          </w:tcPr>
          <w:p w14:paraId="15E46222">
            <w:pPr>
              <w:rPr>
                <w:rFonts w:ascii="宋体" w:hAnsi="宋体" w:cs="宋体"/>
                <w:color w:val="auto"/>
                <w:szCs w:val="21"/>
                <w:highlight w:val="none"/>
              </w:rPr>
            </w:pPr>
          </w:p>
        </w:tc>
        <w:tc>
          <w:tcPr>
            <w:tcW w:w="1274" w:type="dxa"/>
          </w:tcPr>
          <w:p w14:paraId="77C04623">
            <w:pPr>
              <w:rPr>
                <w:rFonts w:ascii="宋体" w:hAnsi="宋体" w:cs="宋体"/>
                <w:color w:val="auto"/>
                <w:szCs w:val="21"/>
                <w:highlight w:val="none"/>
              </w:rPr>
            </w:pPr>
          </w:p>
        </w:tc>
        <w:tc>
          <w:tcPr>
            <w:tcW w:w="2196" w:type="dxa"/>
          </w:tcPr>
          <w:p w14:paraId="73C1E666">
            <w:pPr>
              <w:rPr>
                <w:rFonts w:ascii="宋体" w:hAnsi="宋体" w:cs="宋体"/>
                <w:color w:val="auto"/>
                <w:szCs w:val="21"/>
                <w:highlight w:val="none"/>
              </w:rPr>
            </w:pPr>
          </w:p>
        </w:tc>
      </w:tr>
      <w:tr w14:paraId="1A460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992" w:type="dxa"/>
          </w:tcPr>
          <w:p w14:paraId="3ADF76C4">
            <w:pPr>
              <w:rPr>
                <w:rFonts w:ascii="宋体" w:hAnsi="宋体" w:cs="宋体"/>
                <w:color w:val="auto"/>
                <w:szCs w:val="21"/>
                <w:highlight w:val="none"/>
              </w:rPr>
            </w:pPr>
          </w:p>
        </w:tc>
        <w:tc>
          <w:tcPr>
            <w:tcW w:w="1843" w:type="dxa"/>
          </w:tcPr>
          <w:p w14:paraId="726B78C7">
            <w:pPr>
              <w:rPr>
                <w:rFonts w:ascii="宋体" w:hAnsi="宋体" w:cs="宋体"/>
                <w:color w:val="auto"/>
                <w:szCs w:val="21"/>
                <w:highlight w:val="none"/>
              </w:rPr>
            </w:pPr>
          </w:p>
        </w:tc>
        <w:tc>
          <w:tcPr>
            <w:tcW w:w="1134" w:type="dxa"/>
          </w:tcPr>
          <w:p w14:paraId="109ED62A">
            <w:pPr>
              <w:rPr>
                <w:rFonts w:ascii="宋体" w:hAnsi="宋体" w:cs="宋体"/>
                <w:color w:val="auto"/>
                <w:szCs w:val="21"/>
                <w:highlight w:val="none"/>
              </w:rPr>
            </w:pPr>
          </w:p>
        </w:tc>
        <w:tc>
          <w:tcPr>
            <w:tcW w:w="1274" w:type="dxa"/>
          </w:tcPr>
          <w:p w14:paraId="0250D831">
            <w:pPr>
              <w:rPr>
                <w:rFonts w:ascii="宋体" w:hAnsi="宋体" w:cs="宋体"/>
                <w:color w:val="auto"/>
                <w:szCs w:val="21"/>
                <w:highlight w:val="none"/>
              </w:rPr>
            </w:pPr>
          </w:p>
        </w:tc>
        <w:tc>
          <w:tcPr>
            <w:tcW w:w="2196" w:type="dxa"/>
          </w:tcPr>
          <w:p w14:paraId="79CA336F">
            <w:pPr>
              <w:rPr>
                <w:rFonts w:ascii="宋体" w:hAnsi="宋体" w:cs="宋体"/>
                <w:color w:val="auto"/>
                <w:szCs w:val="21"/>
                <w:highlight w:val="none"/>
              </w:rPr>
            </w:pPr>
          </w:p>
        </w:tc>
      </w:tr>
    </w:tbl>
    <w:p w14:paraId="0FC9B9E3">
      <w:pPr>
        <w:pStyle w:val="34"/>
        <w:spacing w:line="400" w:lineRule="exact"/>
        <w:ind w:firstLine="420" w:firstLineChars="200"/>
        <w:rPr>
          <w:rFonts w:hAnsi="宋体"/>
          <w:color w:val="auto"/>
          <w:highlight w:val="none"/>
        </w:rPr>
      </w:pPr>
      <w:r>
        <w:rPr>
          <w:rFonts w:hint="eastAsia" w:hAnsi="宋体"/>
          <w:color w:val="auto"/>
          <w:highlight w:val="none"/>
        </w:rPr>
        <w:t>【备注：附以上各岗位人员资格证件等相关证明材料复印件，以及供应商认为需要增加的其他证明材料复印件，以上复印件均须加盖供应商单位公章。</w:t>
      </w:r>
    </w:p>
    <w:p w14:paraId="2776E829">
      <w:pPr>
        <w:pStyle w:val="34"/>
        <w:numPr>
          <w:ilvl w:val="0"/>
          <w:numId w:val="4"/>
        </w:numPr>
        <w:jc w:val="center"/>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项目经理 (注册建造师) 简历表</w:t>
      </w:r>
    </w:p>
    <w:p w14:paraId="30567290">
      <w:pPr>
        <w:pStyle w:val="34"/>
        <w:jc w:val="both"/>
        <w:rPr>
          <w:rFonts w:asciiTheme="majorEastAsia" w:hAnsiTheme="majorEastAsia" w:eastAsiaTheme="majorEastAsia" w:cstheme="majorEastAsia"/>
          <w:b/>
          <w:bCs/>
          <w:color w:val="auto"/>
          <w:highlight w:val="none"/>
        </w:rPr>
      </w:pPr>
    </w:p>
    <w:tbl>
      <w:tblPr>
        <w:tblStyle w:val="47"/>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3568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087" w:type="dxa"/>
          </w:tcPr>
          <w:p w14:paraId="7930AFD2">
            <w:pPr>
              <w:spacing w:before="202" w:line="228" w:lineRule="auto"/>
              <w:ind w:left="340"/>
              <w:rPr>
                <w:rFonts w:ascii="宋体" w:hAnsi="宋体" w:cs="宋体"/>
                <w:color w:val="auto"/>
                <w:szCs w:val="21"/>
                <w:highlight w:val="none"/>
              </w:rPr>
            </w:pPr>
            <w:r>
              <w:rPr>
                <w:rFonts w:hint="eastAsia" w:ascii="宋体" w:hAnsi="宋体" w:cs="宋体"/>
                <w:color w:val="auto"/>
                <w:spacing w:val="5"/>
                <w:szCs w:val="21"/>
                <w:highlight w:val="none"/>
              </w:rPr>
              <w:t>姓</w:t>
            </w:r>
            <w:r>
              <w:rPr>
                <w:rFonts w:hint="eastAsia" w:ascii="宋体" w:hAnsi="宋体" w:cs="宋体"/>
                <w:color w:val="auto"/>
                <w:spacing w:val="4"/>
                <w:szCs w:val="21"/>
                <w:highlight w:val="none"/>
              </w:rPr>
              <w:t>名</w:t>
            </w:r>
          </w:p>
        </w:tc>
        <w:tc>
          <w:tcPr>
            <w:tcW w:w="2339" w:type="dxa"/>
            <w:gridSpan w:val="3"/>
          </w:tcPr>
          <w:p w14:paraId="70FA74AB">
            <w:pPr>
              <w:rPr>
                <w:rFonts w:ascii="宋体" w:hAnsi="宋体" w:cs="宋体"/>
                <w:color w:val="auto"/>
                <w:szCs w:val="21"/>
                <w:highlight w:val="none"/>
              </w:rPr>
            </w:pPr>
          </w:p>
        </w:tc>
        <w:tc>
          <w:tcPr>
            <w:tcW w:w="1892" w:type="dxa"/>
            <w:gridSpan w:val="2"/>
          </w:tcPr>
          <w:p w14:paraId="435C7056">
            <w:pPr>
              <w:spacing w:before="202" w:line="229" w:lineRule="auto"/>
              <w:ind w:left="742"/>
              <w:rPr>
                <w:rFonts w:ascii="宋体" w:hAnsi="宋体" w:cs="宋体"/>
                <w:color w:val="auto"/>
                <w:szCs w:val="21"/>
                <w:highlight w:val="none"/>
              </w:rPr>
            </w:pPr>
            <w:r>
              <w:rPr>
                <w:rFonts w:hint="eastAsia" w:ascii="宋体" w:hAnsi="宋体" w:cs="宋体"/>
                <w:color w:val="auto"/>
                <w:spacing w:val="5"/>
                <w:szCs w:val="21"/>
                <w:highlight w:val="none"/>
              </w:rPr>
              <w:t>性</w:t>
            </w:r>
            <w:r>
              <w:rPr>
                <w:rFonts w:hint="eastAsia" w:ascii="宋体" w:hAnsi="宋体" w:cs="宋体"/>
                <w:color w:val="auto"/>
                <w:spacing w:val="4"/>
                <w:szCs w:val="21"/>
                <w:highlight w:val="none"/>
              </w:rPr>
              <w:t>别</w:t>
            </w:r>
          </w:p>
        </w:tc>
        <w:tc>
          <w:tcPr>
            <w:tcW w:w="1584" w:type="dxa"/>
            <w:gridSpan w:val="2"/>
          </w:tcPr>
          <w:p w14:paraId="2236CFB3">
            <w:pPr>
              <w:rPr>
                <w:rFonts w:ascii="宋体" w:hAnsi="宋体" w:cs="宋体"/>
                <w:color w:val="auto"/>
                <w:szCs w:val="21"/>
                <w:highlight w:val="none"/>
              </w:rPr>
            </w:pPr>
          </w:p>
        </w:tc>
        <w:tc>
          <w:tcPr>
            <w:tcW w:w="1107" w:type="dxa"/>
            <w:gridSpan w:val="2"/>
          </w:tcPr>
          <w:p w14:paraId="047C591E">
            <w:pPr>
              <w:spacing w:before="202" w:line="228" w:lineRule="auto"/>
              <w:ind w:left="356"/>
              <w:rPr>
                <w:rFonts w:ascii="宋体" w:hAnsi="宋体" w:cs="宋体"/>
                <w:color w:val="auto"/>
                <w:szCs w:val="21"/>
                <w:highlight w:val="none"/>
              </w:rPr>
            </w:pPr>
            <w:r>
              <w:rPr>
                <w:rFonts w:hint="eastAsia" w:ascii="宋体" w:hAnsi="宋体" w:cs="宋体"/>
                <w:color w:val="auto"/>
                <w:spacing w:val="4"/>
                <w:szCs w:val="21"/>
                <w:highlight w:val="none"/>
              </w:rPr>
              <w:t>年龄</w:t>
            </w:r>
          </w:p>
        </w:tc>
        <w:tc>
          <w:tcPr>
            <w:tcW w:w="1280" w:type="dxa"/>
          </w:tcPr>
          <w:p w14:paraId="57E8A349">
            <w:pPr>
              <w:rPr>
                <w:rFonts w:ascii="宋体" w:hAnsi="宋体" w:cs="宋体"/>
                <w:color w:val="auto"/>
                <w:szCs w:val="21"/>
                <w:highlight w:val="none"/>
              </w:rPr>
            </w:pPr>
          </w:p>
        </w:tc>
      </w:tr>
      <w:tr w14:paraId="5AA2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87" w:type="dxa"/>
          </w:tcPr>
          <w:p w14:paraId="5B3F11BF">
            <w:pPr>
              <w:spacing w:before="210" w:line="228" w:lineRule="auto"/>
              <w:ind w:left="341"/>
              <w:rPr>
                <w:rFonts w:ascii="宋体" w:hAnsi="宋体" w:cs="宋体"/>
                <w:color w:val="auto"/>
                <w:szCs w:val="21"/>
                <w:highlight w:val="none"/>
              </w:rPr>
            </w:pPr>
            <w:r>
              <w:rPr>
                <w:rFonts w:hint="eastAsia" w:ascii="宋体" w:hAnsi="宋体" w:cs="宋体"/>
                <w:color w:val="auto"/>
                <w:spacing w:val="4"/>
                <w:szCs w:val="21"/>
                <w:highlight w:val="none"/>
              </w:rPr>
              <w:t>职务</w:t>
            </w:r>
          </w:p>
        </w:tc>
        <w:tc>
          <w:tcPr>
            <w:tcW w:w="2339" w:type="dxa"/>
            <w:gridSpan w:val="3"/>
          </w:tcPr>
          <w:p w14:paraId="6094262F">
            <w:pPr>
              <w:rPr>
                <w:rFonts w:ascii="宋体" w:hAnsi="宋体" w:cs="宋体"/>
                <w:color w:val="auto"/>
                <w:szCs w:val="21"/>
                <w:highlight w:val="none"/>
              </w:rPr>
            </w:pPr>
          </w:p>
        </w:tc>
        <w:tc>
          <w:tcPr>
            <w:tcW w:w="1892" w:type="dxa"/>
            <w:gridSpan w:val="2"/>
          </w:tcPr>
          <w:p w14:paraId="51236667">
            <w:pPr>
              <w:spacing w:before="209" w:line="231" w:lineRule="auto"/>
              <w:ind w:left="743"/>
              <w:rPr>
                <w:rFonts w:ascii="宋体" w:hAnsi="宋体" w:cs="宋体"/>
                <w:color w:val="auto"/>
                <w:szCs w:val="21"/>
                <w:highlight w:val="none"/>
              </w:rPr>
            </w:pPr>
            <w:r>
              <w:rPr>
                <w:rFonts w:hint="eastAsia" w:ascii="宋体" w:hAnsi="宋体" w:cs="宋体"/>
                <w:color w:val="auto"/>
                <w:spacing w:val="4"/>
                <w:szCs w:val="21"/>
                <w:highlight w:val="none"/>
              </w:rPr>
              <w:t>职称</w:t>
            </w:r>
          </w:p>
        </w:tc>
        <w:tc>
          <w:tcPr>
            <w:tcW w:w="1584" w:type="dxa"/>
            <w:gridSpan w:val="2"/>
          </w:tcPr>
          <w:p w14:paraId="5540FE09">
            <w:pPr>
              <w:rPr>
                <w:rFonts w:ascii="宋体" w:hAnsi="宋体" w:cs="宋体"/>
                <w:color w:val="auto"/>
                <w:szCs w:val="21"/>
                <w:highlight w:val="none"/>
              </w:rPr>
            </w:pPr>
          </w:p>
        </w:tc>
        <w:tc>
          <w:tcPr>
            <w:tcW w:w="1107" w:type="dxa"/>
            <w:gridSpan w:val="2"/>
          </w:tcPr>
          <w:p w14:paraId="5FA6DCD9">
            <w:pPr>
              <w:spacing w:before="209" w:line="230" w:lineRule="auto"/>
              <w:ind w:left="359"/>
              <w:rPr>
                <w:rFonts w:ascii="宋体" w:hAnsi="宋体" w:cs="宋体"/>
                <w:color w:val="auto"/>
                <w:szCs w:val="21"/>
                <w:highlight w:val="none"/>
              </w:rPr>
            </w:pPr>
            <w:r>
              <w:rPr>
                <w:rFonts w:hint="eastAsia" w:ascii="宋体" w:hAnsi="宋体" w:cs="宋体"/>
                <w:color w:val="auto"/>
                <w:spacing w:val="3"/>
                <w:szCs w:val="21"/>
                <w:highlight w:val="none"/>
              </w:rPr>
              <w:t>学</w:t>
            </w:r>
            <w:r>
              <w:rPr>
                <w:rFonts w:hint="eastAsia" w:ascii="宋体" w:hAnsi="宋体" w:cs="宋体"/>
                <w:color w:val="auto"/>
                <w:spacing w:val="2"/>
                <w:szCs w:val="21"/>
                <w:highlight w:val="none"/>
              </w:rPr>
              <w:t>历</w:t>
            </w:r>
          </w:p>
        </w:tc>
        <w:tc>
          <w:tcPr>
            <w:tcW w:w="1280" w:type="dxa"/>
          </w:tcPr>
          <w:p w14:paraId="66381141">
            <w:pPr>
              <w:rPr>
                <w:rFonts w:ascii="宋体" w:hAnsi="宋体" w:cs="宋体"/>
                <w:color w:val="auto"/>
                <w:szCs w:val="21"/>
                <w:highlight w:val="none"/>
              </w:rPr>
            </w:pPr>
          </w:p>
        </w:tc>
      </w:tr>
      <w:tr w14:paraId="2451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3426" w:type="dxa"/>
            <w:gridSpan w:val="4"/>
          </w:tcPr>
          <w:p w14:paraId="2244417A">
            <w:pPr>
              <w:spacing w:before="200" w:line="229" w:lineRule="auto"/>
              <w:ind w:left="1093"/>
              <w:rPr>
                <w:rFonts w:ascii="宋体" w:hAnsi="宋体" w:cs="宋体"/>
                <w:color w:val="auto"/>
                <w:szCs w:val="21"/>
                <w:highlight w:val="none"/>
              </w:rPr>
            </w:pPr>
            <w:r>
              <w:rPr>
                <w:rFonts w:hint="eastAsia" w:ascii="宋体" w:hAnsi="宋体" w:cs="宋体"/>
                <w:color w:val="auto"/>
                <w:spacing w:val="8"/>
                <w:szCs w:val="21"/>
                <w:highlight w:val="none"/>
              </w:rPr>
              <w:t>参加工作时</w:t>
            </w:r>
            <w:r>
              <w:rPr>
                <w:rFonts w:hint="eastAsia" w:ascii="宋体" w:hAnsi="宋体" w:cs="宋体"/>
                <w:color w:val="auto"/>
                <w:spacing w:val="7"/>
                <w:szCs w:val="21"/>
                <w:highlight w:val="none"/>
              </w:rPr>
              <w:t>间</w:t>
            </w:r>
          </w:p>
        </w:tc>
        <w:tc>
          <w:tcPr>
            <w:tcW w:w="1892" w:type="dxa"/>
            <w:gridSpan w:val="2"/>
          </w:tcPr>
          <w:p w14:paraId="526A2131">
            <w:pPr>
              <w:rPr>
                <w:rFonts w:ascii="宋体" w:hAnsi="宋体" w:cs="宋体"/>
                <w:color w:val="auto"/>
                <w:szCs w:val="21"/>
                <w:highlight w:val="none"/>
              </w:rPr>
            </w:pPr>
          </w:p>
        </w:tc>
        <w:tc>
          <w:tcPr>
            <w:tcW w:w="2691" w:type="dxa"/>
            <w:gridSpan w:val="4"/>
          </w:tcPr>
          <w:p w14:paraId="7E78BD66">
            <w:pPr>
              <w:spacing w:before="200" w:line="228" w:lineRule="auto"/>
              <w:ind w:left="514"/>
              <w:rPr>
                <w:rFonts w:ascii="宋体" w:hAnsi="宋体" w:cs="宋体"/>
                <w:color w:val="auto"/>
                <w:szCs w:val="21"/>
                <w:highlight w:val="none"/>
              </w:rPr>
            </w:pPr>
            <w:r>
              <w:rPr>
                <w:rFonts w:hint="eastAsia" w:ascii="宋体" w:hAnsi="宋体" w:cs="宋体"/>
                <w:color w:val="auto"/>
                <w:spacing w:val="12"/>
                <w:szCs w:val="21"/>
                <w:highlight w:val="none"/>
              </w:rPr>
              <w:t>担</w:t>
            </w:r>
            <w:r>
              <w:rPr>
                <w:rFonts w:hint="eastAsia" w:ascii="宋体" w:hAnsi="宋体" w:cs="宋体"/>
                <w:color w:val="auto"/>
                <w:spacing w:val="8"/>
                <w:szCs w:val="21"/>
                <w:highlight w:val="none"/>
              </w:rPr>
              <w:t>任项目经理年限</w:t>
            </w:r>
          </w:p>
        </w:tc>
        <w:tc>
          <w:tcPr>
            <w:tcW w:w="1280" w:type="dxa"/>
          </w:tcPr>
          <w:p w14:paraId="2337E91D">
            <w:pPr>
              <w:rPr>
                <w:rFonts w:ascii="宋体" w:hAnsi="宋体" w:cs="宋体"/>
                <w:color w:val="auto"/>
                <w:szCs w:val="21"/>
                <w:highlight w:val="none"/>
              </w:rPr>
            </w:pPr>
          </w:p>
        </w:tc>
      </w:tr>
      <w:tr w14:paraId="47F4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426" w:type="dxa"/>
            <w:gridSpan w:val="4"/>
          </w:tcPr>
          <w:p w14:paraId="4C766663">
            <w:pPr>
              <w:spacing w:before="131" w:line="228" w:lineRule="auto"/>
              <w:ind w:left="991"/>
              <w:rPr>
                <w:rFonts w:ascii="宋体" w:hAnsi="宋体" w:cs="宋体"/>
                <w:color w:val="auto"/>
                <w:szCs w:val="21"/>
                <w:highlight w:val="none"/>
              </w:rPr>
            </w:pPr>
            <w:r>
              <w:rPr>
                <w:rFonts w:hint="eastAsia" w:ascii="宋体" w:hAnsi="宋体" w:cs="宋体"/>
                <w:color w:val="auto"/>
                <w:spacing w:val="10"/>
                <w:szCs w:val="21"/>
                <w:highlight w:val="none"/>
              </w:rPr>
              <w:t>建</w:t>
            </w:r>
            <w:r>
              <w:rPr>
                <w:rFonts w:hint="eastAsia" w:ascii="宋体" w:hAnsi="宋体" w:cs="宋体"/>
                <w:color w:val="auto"/>
                <w:spacing w:val="8"/>
                <w:szCs w:val="21"/>
                <w:highlight w:val="none"/>
              </w:rPr>
              <w:t>造师注册编号</w:t>
            </w:r>
          </w:p>
        </w:tc>
        <w:tc>
          <w:tcPr>
            <w:tcW w:w="5863" w:type="dxa"/>
            <w:gridSpan w:val="7"/>
          </w:tcPr>
          <w:p w14:paraId="534F36BE">
            <w:pPr>
              <w:rPr>
                <w:rFonts w:ascii="宋体" w:hAnsi="宋体" w:cs="宋体"/>
                <w:color w:val="auto"/>
                <w:szCs w:val="21"/>
                <w:highlight w:val="none"/>
              </w:rPr>
            </w:pPr>
          </w:p>
        </w:tc>
      </w:tr>
      <w:tr w14:paraId="15715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289" w:type="dxa"/>
            <w:gridSpan w:val="11"/>
          </w:tcPr>
          <w:p w14:paraId="2DBA2B44">
            <w:pPr>
              <w:spacing w:before="209" w:line="228" w:lineRule="auto"/>
              <w:ind w:left="3496"/>
              <w:rPr>
                <w:rFonts w:ascii="宋体" w:hAnsi="宋体" w:cs="宋体"/>
                <w:color w:val="auto"/>
                <w:szCs w:val="21"/>
                <w:highlight w:val="none"/>
              </w:rPr>
            </w:pPr>
            <w:r>
              <w:rPr>
                <w:rFonts w:hint="eastAsia" w:ascii="宋体" w:hAnsi="宋体" w:cs="宋体"/>
                <w:color w:val="auto"/>
                <w:spacing w:val="11"/>
                <w:szCs w:val="21"/>
                <w:highlight w:val="none"/>
              </w:rPr>
              <w:t>在</w:t>
            </w:r>
            <w:r>
              <w:rPr>
                <w:rFonts w:hint="eastAsia" w:ascii="宋体" w:hAnsi="宋体" w:cs="宋体"/>
                <w:color w:val="auto"/>
                <w:spacing w:val="9"/>
                <w:szCs w:val="21"/>
                <w:highlight w:val="none"/>
              </w:rPr>
              <w:t>建和已完工程项目情况</w:t>
            </w:r>
          </w:p>
        </w:tc>
      </w:tr>
      <w:tr w14:paraId="073A0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551" w:type="dxa"/>
            <w:gridSpan w:val="2"/>
          </w:tcPr>
          <w:p w14:paraId="5B181208">
            <w:pPr>
              <w:spacing w:before="201" w:line="229" w:lineRule="auto"/>
              <w:ind w:left="367"/>
              <w:rPr>
                <w:rFonts w:ascii="宋体" w:hAnsi="宋体" w:cs="宋体"/>
                <w:color w:val="auto"/>
                <w:szCs w:val="21"/>
                <w:highlight w:val="none"/>
              </w:rPr>
            </w:pPr>
            <w:r>
              <w:rPr>
                <w:rFonts w:hint="eastAsia" w:ascii="宋体" w:hAnsi="宋体" w:cs="宋体"/>
                <w:color w:val="auto"/>
                <w:spacing w:val="9"/>
                <w:szCs w:val="21"/>
                <w:highlight w:val="none"/>
              </w:rPr>
              <w:t>建</w:t>
            </w:r>
            <w:r>
              <w:rPr>
                <w:rFonts w:hint="eastAsia" w:ascii="宋体" w:hAnsi="宋体" w:cs="宋体"/>
                <w:color w:val="auto"/>
                <w:spacing w:val="6"/>
                <w:szCs w:val="21"/>
                <w:highlight w:val="none"/>
              </w:rPr>
              <w:t>设单位</w:t>
            </w:r>
          </w:p>
        </w:tc>
        <w:tc>
          <w:tcPr>
            <w:tcW w:w="1547" w:type="dxa"/>
          </w:tcPr>
          <w:p w14:paraId="105DAE07">
            <w:pPr>
              <w:spacing w:before="201" w:line="229" w:lineRule="auto"/>
              <w:ind w:left="365"/>
              <w:rPr>
                <w:rFonts w:ascii="宋体" w:hAnsi="宋体" w:cs="宋体"/>
                <w:color w:val="auto"/>
                <w:szCs w:val="21"/>
                <w:highlight w:val="none"/>
              </w:rPr>
            </w:pPr>
            <w:r>
              <w:rPr>
                <w:rFonts w:hint="eastAsia" w:ascii="宋体" w:hAnsi="宋体" w:cs="宋体"/>
                <w:color w:val="auto"/>
                <w:spacing w:val="8"/>
                <w:szCs w:val="21"/>
                <w:highlight w:val="none"/>
              </w:rPr>
              <w:t>项</w:t>
            </w:r>
            <w:r>
              <w:rPr>
                <w:rFonts w:hint="eastAsia" w:ascii="宋体" w:hAnsi="宋体" w:cs="宋体"/>
                <w:color w:val="auto"/>
                <w:spacing w:val="6"/>
                <w:szCs w:val="21"/>
                <w:highlight w:val="none"/>
              </w:rPr>
              <w:t>目名称</w:t>
            </w:r>
          </w:p>
        </w:tc>
        <w:tc>
          <w:tcPr>
            <w:tcW w:w="1546" w:type="dxa"/>
            <w:gridSpan w:val="2"/>
          </w:tcPr>
          <w:p w14:paraId="09E0A72E">
            <w:pPr>
              <w:spacing w:before="201" w:line="228" w:lineRule="auto"/>
              <w:ind w:left="365"/>
              <w:rPr>
                <w:rFonts w:ascii="宋体" w:hAnsi="宋体" w:cs="宋体"/>
                <w:color w:val="auto"/>
                <w:szCs w:val="21"/>
                <w:highlight w:val="none"/>
              </w:rPr>
            </w:pPr>
            <w:r>
              <w:rPr>
                <w:rFonts w:hint="eastAsia" w:ascii="宋体" w:hAnsi="宋体" w:cs="宋体"/>
                <w:color w:val="auto"/>
                <w:spacing w:val="9"/>
                <w:szCs w:val="21"/>
                <w:highlight w:val="none"/>
              </w:rPr>
              <w:t>建</w:t>
            </w:r>
            <w:r>
              <w:rPr>
                <w:rFonts w:hint="eastAsia" w:ascii="宋体" w:hAnsi="宋体" w:cs="宋体"/>
                <w:color w:val="auto"/>
                <w:spacing w:val="6"/>
                <w:szCs w:val="21"/>
                <w:highlight w:val="none"/>
              </w:rPr>
              <w:t>设规模</w:t>
            </w:r>
          </w:p>
        </w:tc>
        <w:tc>
          <w:tcPr>
            <w:tcW w:w="1547" w:type="dxa"/>
            <w:gridSpan w:val="2"/>
          </w:tcPr>
          <w:p w14:paraId="3A92A716">
            <w:pPr>
              <w:spacing w:before="201" w:line="230" w:lineRule="auto"/>
              <w:ind w:left="154"/>
              <w:rPr>
                <w:rFonts w:ascii="宋体" w:hAnsi="宋体" w:cs="宋体"/>
                <w:color w:val="auto"/>
                <w:szCs w:val="21"/>
                <w:highlight w:val="none"/>
              </w:rPr>
            </w:pPr>
            <w:r>
              <w:rPr>
                <w:rFonts w:hint="eastAsia" w:ascii="宋体" w:hAnsi="宋体" w:cs="宋体"/>
                <w:color w:val="auto"/>
                <w:spacing w:val="8"/>
                <w:szCs w:val="21"/>
                <w:highlight w:val="none"/>
              </w:rPr>
              <w:t>开、竣工日期</w:t>
            </w:r>
          </w:p>
        </w:tc>
        <w:tc>
          <w:tcPr>
            <w:tcW w:w="1546" w:type="dxa"/>
            <w:gridSpan w:val="2"/>
          </w:tcPr>
          <w:p w14:paraId="2E2EB5EC">
            <w:pPr>
              <w:spacing w:before="201" w:line="228" w:lineRule="auto"/>
              <w:ind w:left="257"/>
              <w:rPr>
                <w:rFonts w:ascii="宋体" w:hAnsi="宋体" w:cs="宋体"/>
                <w:color w:val="auto"/>
                <w:szCs w:val="21"/>
                <w:highlight w:val="none"/>
              </w:rPr>
            </w:pPr>
            <w:r>
              <w:rPr>
                <w:rFonts w:hint="eastAsia" w:ascii="宋体" w:hAnsi="宋体" w:cs="宋体"/>
                <w:color w:val="auto"/>
                <w:spacing w:val="9"/>
                <w:szCs w:val="21"/>
                <w:highlight w:val="none"/>
              </w:rPr>
              <w:t>在</w:t>
            </w:r>
            <w:r>
              <w:rPr>
                <w:rFonts w:hint="eastAsia" w:ascii="宋体" w:hAnsi="宋体" w:cs="宋体"/>
                <w:color w:val="auto"/>
                <w:spacing w:val="8"/>
                <w:szCs w:val="21"/>
                <w:highlight w:val="none"/>
              </w:rPr>
              <w:t>建或已完</w:t>
            </w:r>
          </w:p>
        </w:tc>
        <w:tc>
          <w:tcPr>
            <w:tcW w:w="1552" w:type="dxa"/>
            <w:gridSpan w:val="2"/>
          </w:tcPr>
          <w:p w14:paraId="457A4D38">
            <w:pPr>
              <w:spacing w:before="201" w:line="229" w:lineRule="auto"/>
              <w:ind w:left="370"/>
              <w:rPr>
                <w:rFonts w:ascii="宋体" w:hAnsi="宋体" w:cs="宋体"/>
                <w:color w:val="auto"/>
                <w:szCs w:val="21"/>
                <w:highlight w:val="none"/>
              </w:rPr>
            </w:pPr>
            <w:r>
              <w:rPr>
                <w:rFonts w:hint="eastAsia" w:ascii="宋体" w:hAnsi="宋体" w:cs="宋体"/>
                <w:color w:val="auto"/>
                <w:spacing w:val="9"/>
                <w:szCs w:val="21"/>
                <w:highlight w:val="none"/>
              </w:rPr>
              <w:t>工</w:t>
            </w:r>
            <w:r>
              <w:rPr>
                <w:rFonts w:hint="eastAsia" w:ascii="宋体" w:hAnsi="宋体" w:cs="宋体"/>
                <w:color w:val="auto"/>
                <w:spacing w:val="6"/>
                <w:szCs w:val="21"/>
                <w:highlight w:val="none"/>
              </w:rPr>
              <w:t>程质量</w:t>
            </w:r>
          </w:p>
        </w:tc>
      </w:tr>
      <w:tr w14:paraId="51B3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551" w:type="dxa"/>
            <w:gridSpan w:val="2"/>
          </w:tcPr>
          <w:p w14:paraId="234789EC">
            <w:pPr>
              <w:rPr>
                <w:rFonts w:ascii="宋体" w:hAnsi="宋体" w:cs="宋体"/>
                <w:color w:val="auto"/>
                <w:szCs w:val="21"/>
                <w:highlight w:val="none"/>
              </w:rPr>
            </w:pPr>
          </w:p>
        </w:tc>
        <w:tc>
          <w:tcPr>
            <w:tcW w:w="1547" w:type="dxa"/>
          </w:tcPr>
          <w:p w14:paraId="194CC955">
            <w:pPr>
              <w:rPr>
                <w:rFonts w:ascii="宋体" w:hAnsi="宋体" w:cs="宋体"/>
                <w:color w:val="auto"/>
                <w:szCs w:val="21"/>
                <w:highlight w:val="none"/>
              </w:rPr>
            </w:pPr>
          </w:p>
        </w:tc>
        <w:tc>
          <w:tcPr>
            <w:tcW w:w="1546" w:type="dxa"/>
            <w:gridSpan w:val="2"/>
          </w:tcPr>
          <w:p w14:paraId="73621F05">
            <w:pPr>
              <w:rPr>
                <w:rFonts w:ascii="宋体" w:hAnsi="宋体" w:cs="宋体"/>
                <w:color w:val="auto"/>
                <w:szCs w:val="21"/>
                <w:highlight w:val="none"/>
              </w:rPr>
            </w:pPr>
          </w:p>
        </w:tc>
        <w:tc>
          <w:tcPr>
            <w:tcW w:w="1547" w:type="dxa"/>
            <w:gridSpan w:val="2"/>
          </w:tcPr>
          <w:p w14:paraId="06305DA3">
            <w:pPr>
              <w:rPr>
                <w:rFonts w:ascii="宋体" w:hAnsi="宋体" w:cs="宋体"/>
                <w:color w:val="auto"/>
                <w:szCs w:val="21"/>
                <w:highlight w:val="none"/>
              </w:rPr>
            </w:pPr>
          </w:p>
        </w:tc>
        <w:tc>
          <w:tcPr>
            <w:tcW w:w="1546" w:type="dxa"/>
            <w:gridSpan w:val="2"/>
          </w:tcPr>
          <w:p w14:paraId="44006784">
            <w:pPr>
              <w:rPr>
                <w:rFonts w:ascii="宋体" w:hAnsi="宋体" w:cs="宋体"/>
                <w:color w:val="auto"/>
                <w:szCs w:val="21"/>
                <w:highlight w:val="none"/>
              </w:rPr>
            </w:pPr>
          </w:p>
        </w:tc>
        <w:tc>
          <w:tcPr>
            <w:tcW w:w="1552" w:type="dxa"/>
            <w:gridSpan w:val="2"/>
          </w:tcPr>
          <w:p w14:paraId="35B6EE4D">
            <w:pPr>
              <w:rPr>
                <w:rFonts w:ascii="宋体" w:hAnsi="宋体" w:cs="宋体"/>
                <w:color w:val="auto"/>
                <w:szCs w:val="21"/>
                <w:highlight w:val="none"/>
              </w:rPr>
            </w:pPr>
          </w:p>
        </w:tc>
      </w:tr>
      <w:tr w14:paraId="34FB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tcPr>
          <w:p w14:paraId="0639E104">
            <w:pPr>
              <w:rPr>
                <w:rFonts w:ascii="宋体" w:hAnsi="宋体" w:cs="宋体"/>
                <w:color w:val="auto"/>
                <w:szCs w:val="21"/>
                <w:highlight w:val="none"/>
              </w:rPr>
            </w:pPr>
          </w:p>
        </w:tc>
        <w:tc>
          <w:tcPr>
            <w:tcW w:w="1547" w:type="dxa"/>
          </w:tcPr>
          <w:p w14:paraId="603D1072">
            <w:pPr>
              <w:rPr>
                <w:rFonts w:ascii="宋体" w:hAnsi="宋体" w:cs="宋体"/>
                <w:color w:val="auto"/>
                <w:szCs w:val="21"/>
                <w:highlight w:val="none"/>
              </w:rPr>
            </w:pPr>
          </w:p>
        </w:tc>
        <w:tc>
          <w:tcPr>
            <w:tcW w:w="1546" w:type="dxa"/>
            <w:gridSpan w:val="2"/>
          </w:tcPr>
          <w:p w14:paraId="5F32F60D">
            <w:pPr>
              <w:rPr>
                <w:rFonts w:ascii="宋体" w:hAnsi="宋体" w:cs="宋体"/>
                <w:color w:val="auto"/>
                <w:szCs w:val="21"/>
                <w:highlight w:val="none"/>
              </w:rPr>
            </w:pPr>
          </w:p>
        </w:tc>
        <w:tc>
          <w:tcPr>
            <w:tcW w:w="1547" w:type="dxa"/>
            <w:gridSpan w:val="2"/>
          </w:tcPr>
          <w:p w14:paraId="38444795">
            <w:pPr>
              <w:rPr>
                <w:rFonts w:ascii="宋体" w:hAnsi="宋体" w:cs="宋体"/>
                <w:color w:val="auto"/>
                <w:szCs w:val="21"/>
                <w:highlight w:val="none"/>
              </w:rPr>
            </w:pPr>
          </w:p>
        </w:tc>
        <w:tc>
          <w:tcPr>
            <w:tcW w:w="1546" w:type="dxa"/>
            <w:gridSpan w:val="2"/>
          </w:tcPr>
          <w:p w14:paraId="484C7691">
            <w:pPr>
              <w:rPr>
                <w:rFonts w:ascii="宋体" w:hAnsi="宋体" w:cs="宋体"/>
                <w:color w:val="auto"/>
                <w:szCs w:val="21"/>
                <w:highlight w:val="none"/>
              </w:rPr>
            </w:pPr>
          </w:p>
        </w:tc>
        <w:tc>
          <w:tcPr>
            <w:tcW w:w="1552" w:type="dxa"/>
            <w:gridSpan w:val="2"/>
          </w:tcPr>
          <w:p w14:paraId="458BB647">
            <w:pPr>
              <w:rPr>
                <w:rFonts w:ascii="宋体" w:hAnsi="宋体" w:cs="宋体"/>
                <w:color w:val="auto"/>
                <w:szCs w:val="21"/>
                <w:highlight w:val="none"/>
              </w:rPr>
            </w:pPr>
          </w:p>
        </w:tc>
      </w:tr>
      <w:tr w14:paraId="5E6E5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tcPr>
          <w:p w14:paraId="75A9FB8E">
            <w:pPr>
              <w:rPr>
                <w:rFonts w:ascii="宋体" w:hAnsi="宋体" w:cs="宋体"/>
                <w:color w:val="auto"/>
                <w:szCs w:val="21"/>
                <w:highlight w:val="none"/>
              </w:rPr>
            </w:pPr>
          </w:p>
        </w:tc>
        <w:tc>
          <w:tcPr>
            <w:tcW w:w="1547" w:type="dxa"/>
          </w:tcPr>
          <w:p w14:paraId="14FC7E8A">
            <w:pPr>
              <w:rPr>
                <w:rFonts w:ascii="宋体" w:hAnsi="宋体" w:cs="宋体"/>
                <w:color w:val="auto"/>
                <w:szCs w:val="21"/>
                <w:highlight w:val="none"/>
              </w:rPr>
            </w:pPr>
          </w:p>
        </w:tc>
        <w:tc>
          <w:tcPr>
            <w:tcW w:w="1546" w:type="dxa"/>
            <w:gridSpan w:val="2"/>
          </w:tcPr>
          <w:p w14:paraId="2DE4B12E">
            <w:pPr>
              <w:rPr>
                <w:rFonts w:ascii="宋体" w:hAnsi="宋体" w:cs="宋体"/>
                <w:color w:val="auto"/>
                <w:szCs w:val="21"/>
                <w:highlight w:val="none"/>
              </w:rPr>
            </w:pPr>
          </w:p>
        </w:tc>
        <w:tc>
          <w:tcPr>
            <w:tcW w:w="1547" w:type="dxa"/>
            <w:gridSpan w:val="2"/>
          </w:tcPr>
          <w:p w14:paraId="089B9A05">
            <w:pPr>
              <w:rPr>
                <w:rFonts w:ascii="宋体" w:hAnsi="宋体" w:cs="宋体"/>
                <w:color w:val="auto"/>
                <w:szCs w:val="21"/>
                <w:highlight w:val="none"/>
              </w:rPr>
            </w:pPr>
          </w:p>
        </w:tc>
        <w:tc>
          <w:tcPr>
            <w:tcW w:w="1546" w:type="dxa"/>
            <w:gridSpan w:val="2"/>
          </w:tcPr>
          <w:p w14:paraId="0D7ED3D5">
            <w:pPr>
              <w:rPr>
                <w:rFonts w:ascii="宋体" w:hAnsi="宋体" w:cs="宋体"/>
                <w:color w:val="auto"/>
                <w:szCs w:val="21"/>
                <w:highlight w:val="none"/>
              </w:rPr>
            </w:pPr>
          </w:p>
        </w:tc>
        <w:tc>
          <w:tcPr>
            <w:tcW w:w="1552" w:type="dxa"/>
            <w:gridSpan w:val="2"/>
          </w:tcPr>
          <w:p w14:paraId="27AEEF77">
            <w:pPr>
              <w:rPr>
                <w:rFonts w:ascii="宋体" w:hAnsi="宋体" w:cs="宋体"/>
                <w:color w:val="auto"/>
                <w:szCs w:val="21"/>
                <w:highlight w:val="none"/>
              </w:rPr>
            </w:pPr>
          </w:p>
        </w:tc>
      </w:tr>
      <w:tr w14:paraId="60D0A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551" w:type="dxa"/>
            <w:gridSpan w:val="2"/>
          </w:tcPr>
          <w:p w14:paraId="0CA09C48">
            <w:pPr>
              <w:rPr>
                <w:rFonts w:ascii="宋体" w:hAnsi="宋体" w:cs="宋体"/>
                <w:color w:val="auto"/>
                <w:szCs w:val="21"/>
                <w:highlight w:val="none"/>
              </w:rPr>
            </w:pPr>
          </w:p>
        </w:tc>
        <w:tc>
          <w:tcPr>
            <w:tcW w:w="1547" w:type="dxa"/>
          </w:tcPr>
          <w:p w14:paraId="16C3BFD3">
            <w:pPr>
              <w:rPr>
                <w:rFonts w:ascii="宋体" w:hAnsi="宋体" w:cs="宋体"/>
                <w:color w:val="auto"/>
                <w:szCs w:val="21"/>
                <w:highlight w:val="none"/>
              </w:rPr>
            </w:pPr>
          </w:p>
        </w:tc>
        <w:tc>
          <w:tcPr>
            <w:tcW w:w="1546" w:type="dxa"/>
            <w:gridSpan w:val="2"/>
          </w:tcPr>
          <w:p w14:paraId="17F0029B">
            <w:pPr>
              <w:rPr>
                <w:rFonts w:ascii="宋体" w:hAnsi="宋体" w:cs="宋体"/>
                <w:color w:val="auto"/>
                <w:szCs w:val="21"/>
                <w:highlight w:val="none"/>
              </w:rPr>
            </w:pPr>
          </w:p>
        </w:tc>
        <w:tc>
          <w:tcPr>
            <w:tcW w:w="1547" w:type="dxa"/>
            <w:gridSpan w:val="2"/>
          </w:tcPr>
          <w:p w14:paraId="4FBC1E40">
            <w:pPr>
              <w:rPr>
                <w:rFonts w:ascii="宋体" w:hAnsi="宋体" w:cs="宋体"/>
                <w:color w:val="auto"/>
                <w:szCs w:val="21"/>
                <w:highlight w:val="none"/>
              </w:rPr>
            </w:pPr>
          </w:p>
        </w:tc>
        <w:tc>
          <w:tcPr>
            <w:tcW w:w="1546" w:type="dxa"/>
            <w:gridSpan w:val="2"/>
          </w:tcPr>
          <w:p w14:paraId="77B1265E">
            <w:pPr>
              <w:rPr>
                <w:rFonts w:ascii="宋体" w:hAnsi="宋体" w:cs="宋体"/>
                <w:color w:val="auto"/>
                <w:szCs w:val="21"/>
                <w:highlight w:val="none"/>
              </w:rPr>
            </w:pPr>
          </w:p>
        </w:tc>
        <w:tc>
          <w:tcPr>
            <w:tcW w:w="1552" w:type="dxa"/>
            <w:gridSpan w:val="2"/>
          </w:tcPr>
          <w:p w14:paraId="517FCB34">
            <w:pPr>
              <w:rPr>
                <w:rFonts w:ascii="宋体" w:hAnsi="宋体" w:cs="宋体"/>
                <w:color w:val="auto"/>
                <w:szCs w:val="21"/>
                <w:highlight w:val="none"/>
              </w:rPr>
            </w:pPr>
          </w:p>
        </w:tc>
      </w:tr>
    </w:tbl>
    <w:p w14:paraId="455F0096">
      <w:pPr>
        <w:pStyle w:val="34"/>
        <w:spacing w:line="400" w:lineRule="exact"/>
        <w:rPr>
          <w:rFonts w:hAnsi="宋体"/>
          <w:color w:val="auto"/>
          <w:highlight w:val="none"/>
        </w:rPr>
      </w:pPr>
      <w:r>
        <w:rPr>
          <w:rFonts w:hint="eastAsia" w:hAnsi="宋体"/>
          <w:color w:val="auto"/>
          <w:highlight w:val="none"/>
        </w:rPr>
        <w:t>备注：附项目经理注册建造师注册证书、安全生产考核合格证书 (B 证) 和已完工程中标通知书 (如有) 、工程合同协议书 (如有) 证明材料复印件，以及供应商认为需要增加的其他证明材料复印件，以上复印件均须加盖供应商单位公章。</w:t>
      </w:r>
    </w:p>
    <w:p w14:paraId="160CFD6C">
      <w:pPr>
        <w:pStyle w:val="34"/>
        <w:rPr>
          <w:rFonts w:hAnsi="宋体"/>
          <w:color w:val="auto"/>
          <w:highlight w:val="none"/>
        </w:rPr>
      </w:pPr>
    </w:p>
    <w:p w14:paraId="67BE24E1">
      <w:pPr>
        <w:pStyle w:val="34"/>
        <w:rPr>
          <w:rFonts w:hAnsi="宋体"/>
          <w:color w:val="auto"/>
          <w:highlight w:val="none"/>
        </w:rPr>
      </w:pPr>
    </w:p>
    <w:p w14:paraId="5A5E36E9">
      <w:pPr>
        <w:pStyle w:val="34"/>
        <w:rPr>
          <w:rFonts w:hAnsi="宋体"/>
          <w:color w:val="auto"/>
          <w:highlight w:val="none"/>
        </w:rPr>
      </w:pPr>
    </w:p>
    <w:p w14:paraId="628BA7C5">
      <w:pPr>
        <w:pStyle w:val="34"/>
        <w:rPr>
          <w:rFonts w:hAnsi="宋体"/>
          <w:color w:val="auto"/>
          <w:highlight w:val="none"/>
        </w:rPr>
      </w:pPr>
    </w:p>
    <w:p w14:paraId="183E6040">
      <w:pPr>
        <w:pStyle w:val="34"/>
        <w:rPr>
          <w:rFonts w:hAnsi="宋体"/>
          <w:color w:val="auto"/>
          <w:highlight w:val="none"/>
        </w:rPr>
      </w:pPr>
    </w:p>
    <w:p w14:paraId="74C8228A">
      <w:pPr>
        <w:pStyle w:val="34"/>
        <w:rPr>
          <w:rFonts w:hAnsi="宋体"/>
          <w:color w:val="auto"/>
          <w:highlight w:val="none"/>
        </w:rPr>
      </w:pPr>
    </w:p>
    <w:p w14:paraId="06E15366">
      <w:pPr>
        <w:pStyle w:val="34"/>
        <w:rPr>
          <w:rFonts w:hAnsi="宋体"/>
          <w:color w:val="auto"/>
          <w:highlight w:val="none"/>
        </w:rPr>
      </w:pPr>
    </w:p>
    <w:p w14:paraId="7864C26B">
      <w:pPr>
        <w:pStyle w:val="34"/>
        <w:rPr>
          <w:rFonts w:hAnsi="宋体"/>
          <w:color w:val="auto"/>
          <w:highlight w:val="none"/>
        </w:rPr>
      </w:pPr>
    </w:p>
    <w:p w14:paraId="2AB8C111">
      <w:pPr>
        <w:pStyle w:val="34"/>
        <w:rPr>
          <w:rFonts w:hAnsi="宋体"/>
          <w:color w:val="auto"/>
          <w:highlight w:val="none"/>
        </w:rPr>
      </w:pPr>
    </w:p>
    <w:p w14:paraId="3963AA25">
      <w:pPr>
        <w:pStyle w:val="34"/>
        <w:rPr>
          <w:rFonts w:hAnsi="宋体"/>
          <w:color w:val="auto"/>
          <w:highlight w:val="none"/>
        </w:rPr>
      </w:pPr>
    </w:p>
    <w:p w14:paraId="6F0C03D6">
      <w:pPr>
        <w:pStyle w:val="34"/>
        <w:rPr>
          <w:rFonts w:hAnsi="宋体"/>
          <w:color w:val="auto"/>
          <w:highlight w:val="none"/>
        </w:rPr>
      </w:pPr>
    </w:p>
    <w:p w14:paraId="26CF7CA1">
      <w:pPr>
        <w:pStyle w:val="34"/>
        <w:rPr>
          <w:rFonts w:hAnsi="宋体"/>
          <w:color w:val="auto"/>
          <w:highlight w:val="none"/>
        </w:rPr>
      </w:pPr>
    </w:p>
    <w:p w14:paraId="06A66804">
      <w:pPr>
        <w:pStyle w:val="34"/>
        <w:rPr>
          <w:rFonts w:hAnsi="宋体"/>
          <w:color w:val="auto"/>
          <w:highlight w:val="none"/>
        </w:rPr>
      </w:pPr>
    </w:p>
    <w:p w14:paraId="47C77BD2">
      <w:pPr>
        <w:pStyle w:val="34"/>
        <w:rPr>
          <w:rFonts w:hAnsi="宋体"/>
          <w:color w:val="auto"/>
          <w:highlight w:val="none"/>
        </w:rPr>
      </w:pPr>
    </w:p>
    <w:p w14:paraId="754A1291">
      <w:pPr>
        <w:pStyle w:val="34"/>
        <w:rPr>
          <w:rFonts w:hAnsi="宋体"/>
          <w:color w:val="auto"/>
          <w:highlight w:val="none"/>
        </w:rPr>
      </w:pPr>
    </w:p>
    <w:p w14:paraId="66ED1CD7">
      <w:pPr>
        <w:pStyle w:val="34"/>
        <w:rPr>
          <w:rFonts w:hAnsi="宋体"/>
          <w:color w:val="auto"/>
          <w:highlight w:val="none"/>
        </w:rPr>
      </w:pPr>
    </w:p>
    <w:p w14:paraId="475DC98B">
      <w:pPr>
        <w:pStyle w:val="34"/>
        <w:rPr>
          <w:rFonts w:hAnsi="宋体"/>
          <w:color w:val="auto"/>
          <w:highlight w:val="none"/>
        </w:rPr>
      </w:pPr>
    </w:p>
    <w:p w14:paraId="40F4E581">
      <w:pPr>
        <w:pStyle w:val="34"/>
        <w:rPr>
          <w:rFonts w:hAnsi="宋体"/>
          <w:color w:val="auto"/>
          <w:highlight w:val="none"/>
        </w:rPr>
      </w:pPr>
    </w:p>
    <w:p w14:paraId="6D1F3264">
      <w:pPr>
        <w:pStyle w:val="34"/>
        <w:rPr>
          <w:rFonts w:hAnsi="宋体"/>
          <w:color w:val="auto"/>
          <w:highlight w:val="none"/>
        </w:rPr>
      </w:pPr>
    </w:p>
    <w:p w14:paraId="7A3575A0">
      <w:pPr>
        <w:pStyle w:val="34"/>
        <w:rPr>
          <w:rFonts w:hAnsi="宋体"/>
          <w:color w:val="auto"/>
          <w:highlight w:val="none"/>
        </w:rPr>
      </w:pPr>
    </w:p>
    <w:p w14:paraId="3AB4DC2D">
      <w:pPr>
        <w:pStyle w:val="34"/>
        <w:spacing w:line="360" w:lineRule="auto"/>
        <w:rPr>
          <w:rFonts w:ascii="宋体" w:hAnsi="宋体" w:eastAsia="宋体" w:cs="宋体"/>
          <w:color w:val="auto"/>
          <w:highlight w:val="none"/>
        </w:rPr>
      </w:pPr>
      <w:r>
        <w:rPr>
          <w:rFonts w:hint="eastAsia" w:ascii="宋体" w:hAnsi="宋体" w:eastAsia="宋体" w:cs="宋体"/>
          <w:b/>
          <w:bCs/>
          <w:color w:val="auto"/>
          <w:highlight w:val="none"/>
        </w:rPr>
        <w:t>(3) 供应商针对商务技术需要说明的其他文件和说明 (格式自拟) ；</w:t>
      </w:r>
    </w:p>
    <w:p w14:paraId="7455D957">
      <w:pPr>
        <w:pStyle w:val="34"/>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7BE0DD0C">
      <w:pPr>
        <w:pStyle w:val="34"/>
        <w:spacing w:line="360" w:lineRule="auto"/>
        <w:rPr>
          <w:rFonts w:ascii="宋体" w:hAnsi="宋体" w:eastAsia="宋体" w:cs="宋体"/>
          <w:color w:val="auto"/>
          <w:highlight w:val="none"/>
        </w:rPr>
      </w:pPr>
    </w:p>
    <w:p w14:paraId="17CC3E08">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本公司郑重声明，根据《政府采购促进中小企业发展管理办法》(财库﹝2020﹞46 号) 的规定，本公司参加</w:t>
      </w:r>
      <w:r>
        <w:rPr>
          <w:rFonts w:hint="eastAsia" w:ascii="宋体" w:hAnsi="宋体" w:eastAsia="宋体" w:cs="宋体"/>
          <w:color w:val="auto"/>
          <w:highlight w:val="none"/>
          <w:u w:val="single"/>
        </w:rPr>
        <w:t xml:space="preserve"> (单位名称) </w:t>
      </w:r>
      <w:r>
        <w:rPr>
          <w:rFonts w:hint="eastAsia" w:ascii="宋体" w:hAnsi="宋体" w:eastAsia="宋体" w:cs="宋体"/>
          <w:color w:val="auto"/>
          <w:highlight w:val="none"/>
        </w:rPr>
        <w:t xml:space="preserve">的 </w:t>
      </w:r>
      <w:r>
        <w:rPr>
          <w:rFonts w:hint="eastAsia" w:ascii="宋体" w:hAnsi="宋体" w:eastAsia="宋体" w:cs="宋体"/>
          <w:color w:val="auto"/>
          <w:highlight w:val="none"/>
          <w:u w:val="single"/>
        </w:rPr>
        <w:t xml:space="preserve">(项目名称) </w:t>
      </w:r>
      <w:r>
        <w:rPr>
          <w:rFonts w:hint="eastAsia" w:ascii="宋体" w:hAnsi="宋体" w:eastAsia="宋体" w:cs="宋体"/>
          <w:color w:val="auto"/>
          <w:highlight w:val="none"/>
        </w:rPr>
        <w:t>采购活动，工程的施工单位全部为符合政策要求的中小企业 (或者：服务全部由符合政策要求的中小企业承接) 。相关企业 (含联合体中的中小企业、签 订分包意向协议的中小企业) 的具体情况如下：</w:t>
      </w:r>
    </w:p>
    <w:p w14:paraId="1C2464C9">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 ；承建 (承接) 企业为</w:t>
      </w:r>
      <w:r>
        <w:rPr>
          <w:rFonts w:hint="eastAsia" w:ascii="宋体" w:hAnsi="宋体" w:eastAsia="宋体" w:cs="宋体"/>
          <w:color w:val="auto"/>
          <w:highlight w:val="none"/>
          <w:u w:val="single"/>
        </w:rPr>
        <w:t xml:space="preserve"> (企业名称)</w:t>
      </w:r>
      <w:r>
        <w:rPr>
          <w:rFonts w:hint="eastAsia" w:ascii="宋体" w:hAnsi="宋体" w:eastAsia="宋体" w:cs="宋体"/>
          <w:color w:val="auto"/>
          <w:highlight w:val="none"/>
        </w:rPr>
        <w:t xml:space="preserve"> ，从业人员人，营业收入为万元，资产总额为 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0FF6044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其他  </w:t>
      </w:r>
      <w:r>
        <w:rPr>
          <w:rFonts w:hint="eastAsia" w:ascii="宋体" w:hAnsi="宋体" w:eastAsia="宋体" w:cs="宋体"/>
          <w:color w:val="auto"/>
          <w:highlight w:val="none"/>
        </w:rPr>
        <w:t xml:space="preserve"> ；承建 (承接) 企业为</w:t>
      </w:r>
      <w:r>
        <w:rPr>
          <w:rFonts w:hint="eastAsia" w:ascii="宋体" w:hAnsi="宋体" w:eastAsia="宋体" w:cs="宋体"/>
          <w:color w:val="auto"/>
          <w:highlight w:val="none"/>
          <w:u w:val="single"/>
        </w:rPr>
        <w:t xml:space="preserve"> (企业名称)</w:t>
      </w:r>
      <w:r>
        <w:rPr>
          <w:rFonts w:hint="eastAsia" w:ascii="宋体" w:hAnsi="宋体" w:eastAsia="宋体" w:cs="宋体"/>
          <w:color w:val="auto"/>
          <w:highlight w:val="none"/>
        </w:rPr>
        <w:t xml:space="preserve"> ，从业人员人，营业收入为万元，资产总额为 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4226694E">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w:t>
      </w:r>
    </w:p>
    <w:p w14:paraId="682EB286">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5DD4DB0">
      <w:pPr>
        <w:pStyle w:val="34"/>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5971DCEE">
      <w:pPr>
        <w:pStyle w:val="34"/>
        <w:spacing w:line="360" w:lineRule="auto"/>
        <w:rPr>
          <w:rFonts w:ascii="宋体" w:hAnsi="宋体" w:eastAsia="宋体" w:cs="宋体"/>
          <w:color w:val="auto"/>
          <w:highlight w:val="none"/>
        </w:rPr>
      </w:pPr>
    </w:p>
    <w:p w14:paraId="6263A2CF">
      <w:pPr>
        <w:pStyle w:val="34"/>
        <w:spacing w:line="360" w:lineRule="auto"/>
        <w:rPr>
          <w:rFonts w:ascii="宋体" w:hAnsi="宋体" w:eastAsia="宋体" w:cs="宋体"/>
          <w:color w:val="auto"/>
          <w:highlight w:val="none"/>
        </w:rPr>
      </w:pPr>
    </w:p>
    <w:p w14:paraId="5DD495BC">
      <w:pPr>
        <w:pStyle w:val="34"/>
        <w:spacing w:line="360" w:lineRule="auto"/>
        <w:ind w:firstLine="5460" w:firstLineChars="2600"/>
        <w:rPr>
          <w:rFonts w:ascii="宋体" w:hAnsi="宋体" w:eastAsia="宋体" w:cs="宋体"/>
          <w:color w:val="auto"/>
          <w:highlight w:val="none"/>
        </w:rPr>
      </w:pPr>
      <w:r>
        <w:rPr>
          <w:rFonts w:hint="eastAsia" w:ascii="宋体" w:hAnsi="宋体" w:eastAsia="宋体" w:cs="宋体"/>
          <w:color w:val="auto"/>
          <w:highlight w:val="none"/>
        </w:rPr>
        <w:t>企业名称 (盖章) ：</w:t>
      </w:r>
    </w:p>
    <w:p w14:paraId="1AB939FC">
      <w:pPr>
        <w:pStyle w:val="34"/>
        <w:spacing w:line="360" w:lineRule="auto"/>
        <w:ind w:firstLine="6720" w:firstLineChars="3200"/>
        <w:rPr>
          <w:rFonts w:ascii="宋体" w:hAnsi="宋体" w:eastAsia="宋体" w:cs="宋体"/>
          <w:color w:val="auto"/>
          <w:highlight w:val="none"/>
        </w:rPr>
      </w:pPr>
      <w:r>
        <w:rPr>
          <w:rFonts w:hint="eastAsia" w:ascii="宋体" w:hAnsi="宋体" w:eastAsia="宋体" w:cs="宋体"/>
          <w:color w:val="auto"/>
          <w:highlight w:val="none"/>
        </w:rPr>
        <w:t>日期：</w:t>
      </w:r>
    </w:p>
    <w:p w14:paraId="64D5B74F">
      <w:pPr>
        <w:pStyle w:val="34"/>
        <w:spacing w:line="360" w:lineRule="auto"/>
        <w:rPr>
          <w:rFonts w:ascii="宋体" w:hAnsi="宋体" w:eastAsia="宋体" w:cs="宋体"/>
          <w:color w:val="auto"/>
          <w:highlight w:val="none"/>
        </w:rPr>
      </w:pPr>
    </w:p>
    <w:p w14:paraId="782EE59F">
      <w:pPr>
        <w:pStyle w:val="34"/>
        <w:spacing w:line="360" w:lineRule="auto"/>
        <w:rPr>
          <w:rFonts w:ascii="宋体" w:hAnsi="宋体" w:eastAsia="宋体" w:cs="宋体"/>
          <w:color w:val="auto"/>
          <w:highlight w:val="none"/>
        </w:rPr>
      </w:pPr>
    </w:p>
    <w:p w14:paraId="3EB05A4C">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从业人员、营业收入、资产总额填报上一年度数据，无上一年度数据的新成立企业可不填报。</w:t>
      </w:r>
    </w:p>
    <w:p w14:paraId="12760573">
      <w:pPr>
        <w:pStyle w:val="34"/>
        <w:spacing w:line="360" w:lineRule="auto"/>
        <w:rPr>
          <w:rFonts w:ascii="宋体" w:hAnsi="宋体" w:eastAsia="宋体" w:cs="宋体"/>
          <w:color w:val="auto"/>
          <w:highlight w:val="none"/>
        </w:rPr>
      </w:pPr>
    </w:p>
    <w:p w14:paraId="0D025677">
      <w:pPr>
        <w:rPr>
          <w:rFonts w:ascii="宋体" w:hAnsi="宋体" w:cs="宋体"/>
          <w:color w:val="auto"/>
          <w:highlight w:val="none"/>
        </w:rPr>
      </w:pPr>
      <w:r>
        <w:rPr>
          <w:rFonts w:hint="eastAsia" w:ascii="宋体" w:hAnsi="宋体" w:cs="宋体"/>
          <w:color w:val="auto"/>
          <w:highlight w:val="none"/>
        </w:rPr>
        <w:br w:type="page"/>
      </w:r>
    </w:p>
    <w:p w14:paraId="249F50D1">
      <w:pPr>
        <w:pStyle w:val="34"/>
        <w:spacing w:line="400" w:lineRule="exact"/>
        <w:rPr>
          <w:rFonts w:ascii="宋体" w:hAnsi="宋体" w:eastAsia="宋体" w:cs="宋体"/>
          <w:color w:val="auto"/>
          <w:highlight w:val="none"/>
        </w:rPr>
      </w:pPr>
      <w:r>
        <w:rPr>
          <w:rFonts w:hint="eastAsia" w:ascii="宋体" w:hAnsi="宋体" w:eastAsia="宋体" w:cs="宋体"/>
          <w:color w:val="auto"/>
          <w:highlight w:val="none"/>
        </w:rPr>
        <w:t>附：大型、中型和小型、微型企业划型标准</w:t>
      </w:r>
    </w:p>
    <w:p w14:paraId="669F045B">
      <w:pPr>
        <w:pStyle w:val="34"/>
        <w:spacing w:line="400" w:lineRule="exact"/>
        <w:jc w:val="center"/>
        <w:rPr>
          <w:rFonts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大型、 中型和小型、微型企业划型标准</w:t>
      </w:r>
    </w:p>
    <w:p w14:paraId="1F3C24E5">
      <w:pPr>
        <w:pStyle w:val="34"/>
        <w:spacing w:line="400" w:lineRule="exact"/>
        <w:jc w:val="center"/>
        <w:rPr>
          <w:rFonts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47"/>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44BC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6ACD5B2F">
            <w:pPr>
              <w:spacing w:before="104" w:line="200" w:lineRule="exact"/>
              <w:ind w:left="126"/>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行业名称</w:t>
            </w:r>
          </w:p>
        </w:tc>
        <w:tc>
          <w:tcPr>
            <w:tcW w:w="1187" w:type="dxa"/>
          </w:tcPr>
          <w:p w14:paraId="6389823C">
            <w:pPr>
              <w:spacing w:before="104" w:line="200" w:lineRule="exact"/>
              <w:ind w:left="126"/>
              <w:rPr>
                <w:rFonts w:ascii="仿宋" w:hAnsi="仿宋" w:eastAsia="仿宋" w:cs="仿宋"/>
                <w:color w:val="auto"/>
                <w:sz w:val="23"/>
                <w:szCs w:val="23"/>
                <w:highlight w:val="none"/>
              </w:rPr>
            </w:pPr>
            <w:r>
              <w:rPr>
                <w:rFonts w:ascii="仿宋" w:hAnsi="仿宋" w:eastAsia="仿宋" w:cs="仿宋"/>
                <w:color w:val="auto"/>
                <w:spacing w:val="8"/>
                <w:sz w:val="23"/>
                <w:szCs w:val="23"/>
                <w:highlight w:val="none"/>
              </w:rPr>
              <w:t>指</w:t>
            </w:r>
            <w:r>
              <w:rPr>
                <w:rFonts w:ascii="仿宋" w:hAnsi="仿宋" w:eastAsia="仿宋" w:cs="仿宋"/>
                <w:color w:val="auto"/>
                <w:spacing w:val="6"/>
                <w:sz w:val="23"/>
                <w:szCs w:val="23"/>
                <w:highlight w:val="none"/>
              </w:rPr>
              <w:t>标名称</w:t>
            </w:r>
          </w:p>
        </w:tc>
        <w:tc>
          <w:tcPr>
            <w:tcW w:w="900" w:type="dxa"/>
          </w:tcPr>
          <w:p w14:paraId="7415FD62">
            <w:pPr>
              <w:spacing w:before="104" w:line="200" w:lineRule="exact"/>
              <w:ind w:left="228"/>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单</w:t>
            </w:r>
            <w:r>
              <w:rPr>
                <w:rFonts w:ascii="仿宋" w:hAnsi="仿宋" w:eastAsia="仿宋" w:cs="仿宋"/>
                <w:color w:val="auto"/>
                <w:sz w:val="23"/>
                <w:szCs w:val="23"/>
                <w:highlight w:val="none"/>
              </w:rPr>
              <w:t>位</w:t>
            </w:r>
          </w:p>
        </w:tc>
        <w:tc>
          <w:tcPr>
            <w:tcW w:w="1399" w:type="dxa"/>
          </w:tcPr>
          <w:p w14:paraId="7697D8B2">
            <w:pPr>
              <w:spacing w:before="104" w:line="200" w:lineRule="exact"/>
              <w:ind w:left="47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大</w:t>
            </w:r>
            <w:r>
              <w:rPr>
                <w:rFonts w:ascii="仿宋" w:hAnsi="仿宋" w:eastAsia="仿宋" w:cs="仿宋"/>
                <w:color w:val="auto"/>
                <w:sz w:val="23"/>
                <w:szCs w:val="23"/>
                <w:highlight w:val="none"/>
              </w:rPr>
              <w:t>型</w:t>
            </w:r>
          </w:p>
        </w:tc>
        <w:tc>
          <w:tcPr>
            <w:tcW w:w="1535" w:type="dxa"/>
          </w:tcPr>
          <w:p w14:paraId="7EA226A1">
            <w:pPr>
              <w:spacing w:before="104" w:line="200" w:lineRule="exact"/>
              <w:ind w:left="571"/>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rPr>
              <w:t>中</w:t>
            </w:r>
            <w:r>
              <w:rPr>
                <w:rFonts w:ascii="仿宋" w:hAnsi="仿宋" w:eastAsia="仿宋" w:cs="仿宋"/>
                <w:color w:val="auto"/>
                <w:spacing w:val="-13"/>
                <w:sz w:val="23"/>
                <w:szCs w:val="23"/>
                <w:highlight w:val="none"/>
              </w:rPr>
              <w:t>型</w:t>
            </w:r>
          </w:p>
        </w:tc>
        <w:tc>
          <w:tcPr>
            <w:tcW w:w="1295" w:type="dxa"/>
          </w:tcPr>
          <w:p w14:paraId="118B6B92">
            <w:pPr>
              <w:spacing w:before="105" w:line="200" w:lineRule="exact"/>
              <w:ind w:left="42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小型</w:t>
            </w:r>
          </w:p>
        </w:tc>
        <w:tc>
          <w:tcPr>
            <w:tcW w:w="1004" w:type="dxa"/>
          </w:tcPr>
          <w:p w14:paraId="45D75BEC">
            <w:pPr>
              <w:spacing w:before="104" w:line="200" w:lineRule="exact"/>
              <w:ind w:left="275"/>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微型</w:t>
            </w:r>
          </w:p>
        </w:tc>
      </w:tr>
      <w:tr w14:paraId="30158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3D06DFD6">
            <w:pPr>
              <w:spacing w:before="99"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农林牧</w:t>
            </w:r>
            <w:r>
              <w:rPr>
                <w:rFonts w:ascii="仿宋" w:hAnsi="仿宋" w:eastAsia="仿宋" w:cs="仿宋"/>
                <w:color w:val="auto"/>
                <w:spacing w:val="5"/>
                <w:sz w:val="23"/>
                <w:szCs w:val="23"/>
                <w:highlight w:val="none"/>
              </w:rPr>
              <w:t>渔</w:t>
            </w:r>
          </w:p>
        </w:tc>
        <w:tc>
          <w:tcPr>
            <w:tcW w:w="1187" w:type="dxa"/>
          </w:tcPr>
          <w:p w14:paraId="01E5C99C">
            <w:pPr>
              <w:spacing w:before="100"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1E1D25A1">
            <w:pPr>
              <w:spacing w:before="100"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770F8171">
            <w:pPr>
              <w:spacing w:before="100"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≥2</w:t>
            </w:r>
            <w:r>
              <w:rPr>
                <w:rFonts w:ascii="仿宋" w:hAnsi="仿宋" w:eastAsia="仿宋" w:cs="仿宋"/>
                <w:color w:val="auto"/>
                <w:position w:val="1"/>
                <w:sz w:val="23"/>
                <w:szCs w:val="23"/>
                <w:highlight w:val="none"/>
              </w:rPr>
              <w:t>0000</w:t>
            </w:r>
          </w:p>
        </w:tc>
        <w:tc>
          <w:tcPr>
            <w:tcW w:w="1535" w:type="dxa"/>
          </w:tcPr>
          <w:p w14:paraId="499E59E7">
            <w:pPr>
              <w:spacing w:before="141" w:line="200" w:lineRule="exact"/>
              <w:ind w:left="237"/>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0-20000</w:t>
            </w:r>
          </w:p>
        </w:tc>
        <w:tc>
          <w:tcPr>
            <w:tcW w:w="1295" w:type="dxa"/>
          </w:tcPr>
          <w:p w14:paraId="3309C5A6">
            <w:pPr>
              <w:spacing w:before="141" w:line="200" w:lineRule="exact"/>
              <w:ind w:left="298"/>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50</w:t>
            </w:r>
            <w:r>
              <w:rPr>
                <w:rFonts w:ascii="仿宋" w:hAnsi="仿宋" w:eastAsia="仿宋" w:cs="仿宋"/>
                <w:color w:val="auto"/>
                <w:spacing w:val="2"/>
                <w:sz w:val="23"/>
                <w:szCs w:val="23"/>
                <w:highlight w:val="none"/>
              </w:rPr>
              <w:t>-500</w:t>
            </w:r>
          </w:p>
        </w:tc>
        <w:tc>
          <w:tcPr>
            <w:tcW w:w="1004" w:type="dxa"/>
          </w:tcPr>
          <w:p w14:paraId="7E87A24E">
            <w:pPr>
              <w:spacing w:before="100"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50</w:t>
            </w:r>
          </w:p>
        </w:tc>
      </w:tr>
      <w:tr w14:paraId="299F1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05A1B94F">
            <w:pPr>
              <w:spacing w:line="200" w:lineRule="exact"/>
              <w:rPr>
                <w:rFonts w:ascii="Arial"/>
                <w:color w:val="auto"/>
                <w:highlight w:val="none"/>
              </w:rPr>
            </w:pPr>
          </w:p>
          <w:p w14:paraId="522DE02B">
            <w:pPr>
              <w:spacing w:before="75" w:line="200" w:lineRule="exact"/>
              <w:ind w:left="370"/>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工业</w:t>
            </w:r>
          </w:p>
        </w:tc>
        <w:tc>
          <w:tcPr>
            <w:tcW w:w="1187" w:type="dxa"/>
          </w:tcPr>
          <w:p w14:paraId="715E1AA6">
            <w:pPr>
              <w:spacing w:before="101"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6F5C1C61">
            <w:pPr>
              <w:spacing w:before="101"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2D1146E">
            <w:pPr>
              <w:spacing w:before="101" w:line="200" w:lineRule="exact"/>
              <w:ind w:left="37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tcPr>
          <w:p w14:paraId="7110793D">
            <w:pPr>
              <w:spacing w:before="142" w:line="200" w:lineRule="exact"/>
              <w:ind w:left="297"/>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tcPr>
          <w:p w14:paraId="24684B15">
            <w:pPr>
              <w:spacing w:before="142" w:line="200" w:lineRule="exact"/>
              <w:ind w:left="296"/>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tcPr>
          <w:p w14:paraId="6DAC95D1">
            <w:pPr>
              <w:spacing w:before="101"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7C4C6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3ECFBF01">
            <w:pPr>
              <w:spacing w:line="200" w:lineRule="exact"/>
              <w:rPr>
                <w:rFonts w:ascii="Arial"/>
                <w:color w:val="auto"/>
                <w:highlight w:val="none"/>
              </w:rPr>
            </w:pPr>
          </w:p>
        </w:tc>
        <w:tc>
          <w:tcPr>
            <w:tcW w:w="1187" w:type="dxa"/>
          </w:tcPr>
          <w:p w14:paraId="343B370C">
            <w:pPr>
              <w:spacing w:before="101"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3D5D30B7">
            <w:pPr>
              <w:spacing w:before="101"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3DC13A54">
            <w:pPr>
              <w:spacing w:before="101"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≥4</w:t>
            </w:r>
            <w:r>
              <w:rPr>
                <w:rFonts w:ascii="仿宋" w:hAnsi="仿宋" w:eastAsia="仿宋" w:cs="仿宋"/>
                <w:color w:val="auto"/>
                <w:position w:val="1"/>
                <w:sz w:val="23"/>
                <w:szCs w:val="23"/>
                <w:highlight w:val="none"/>
              </w:rPr>
              <w:t>0000</w:t>
            </w:r>
          </w:p>
        </w:tc>
        <w:tc>
          <w:tcPr>
            <w:tcW w:w="1535" w:type="dxa"/>
          </w:tcPr>
          <w:p w14:paraId="48BF9EB5">
            <w:pPr>
              <w:spacing w:before="142" w:line="200" w:lineRule="exact"/>
              <w:ind w:left="175"/>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2000-4000</w:t>
            </w:r>
            <w:r>
              <w:rPr>
                <w:rFonts w:ascii="仿宋" w:hAnsi="仿宋" w:eastAsia="仿宋" w:cs="仿宋"/>
                <w:color w:val="auto"/>
                <w:spacing w:val="2"/>
                <w:sz w:val="23"/>
                <w:szCs w:val="23"/>
                <w:highlight w:val="none"/>
              </w:rPr>
              <w:t>0</w:t>
            </w:r>
          </w:p>
        </w:tc>
        <w:tc>
          <w:tcPr>
            <w:tcW w:w="1295" w:type="dxa"/>
          </w:tcPr>
          <w:p w14:paraId="26B4FCFF">
            <w:pPr>
              <w:spacing w:before="142" w:line="200" w:lineRule="exact"/>
              <w:ind w:left="178"/>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00-2000</w:t>
            </w:r>
          </w:p>
        </w:tc>
        <w:tc>
          <w:tcPr>
            <w:tcW w:w="1004" w:type="dxa"/>
          </w:tcPr>
          <w:p w14:paraId="7F43B6F6">
            <w:pPr>
              <w:spacing w:before="101"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65A8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349213A8">
            <w:pPr>
              <w:spacing w:line="200" w:lineRule="exact"/>
              <w:rPr>
                <w:rFonts w:ascii="Arial"/>
                <w:color w:val="auto"/>
                <w:highlight w:val="none"/>
              </w:rPr>
            </w:pPr>
          </w:p>
          <w:p w14:paraId="0E5B3401">
            <w:pPr>
              <w:spacing w:before="74" w:line="200" w:lineRule="exact"/>
              <w:ind w:left="244"/>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建</w:t>
            </w:r>
            <w:r>
              <w:rPr>
                <w:rFonts w:ascii="仿宋" w:hAnsi="仿宋" w:eastAsia="仿宋" w:cs="仿宋"/>
                <w:color w:val="auto"/>
                <w:spacing w:val="4"/>
                <w:sz w:val="23"/>
                <w:szCs w:val="23"/>
                <w:highlight w:val="none"/>
              </w:rPr>
              <w:t>筑业</w:t>
            </w:r>
          </w:p>
        </w:tc>
        <w:tc>
          <w:tcPr>
            <w:tcW w:w="1187" w:type="dxa"/>
          </w:tcPr>
          <w:p w14:paraId="6B1DC756">
            <w:pPr>
              <w:spacing w:before="101"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376EACEC">
            <w:pPr>
              <w:spacing w:before="101"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4BEC0981">
            <w:pPr>
              <w:spacing w:before="100"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≥8</w:t>
            </w:r>
            <w:r>
              <w:rPr>
                <w:rFonts w:ascii="仿宋" w:hAnsi="仿宋" w:eastAsia="仿宋" w:cs="仿宋"/>
                <w:color w:val="auto"/>
                <w:position w:val="1"/>
                <w:sz w:val="23"/>
                <w:szCs w:val="23"/>
                <w:highlight w:val="none"/>
              </w:rPr>
              <w:t>0000</w:t>
            </w:r>
          </w:p>
        </w:tc>
        <w:tc>
          <w:tcPr>
            <w:tcW w:w="1535" w:type="dxa"/>
          </w:tcPr>
          <w:p w14:paraId="3931BD33">
            <w:pPr>
              <w:spacing w:before="141" w:line="200" w:lineRule="exact"/>
              <w:ind w:left="174"/>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6000-8000</w:t>
            </w:r>
            <w:r>
              <w:rPr>
                <w:rFonts w:ascii="仿宋" w:hAnsi="仿宋" w:eastAsia="仿宋" w:cs="仿宋"/>
                <w:color w:val="auto"/>
                <w:spacing w:val="3"/>
                <w:sz w:val="23"/>
                <w:szCs w:val="23"/>
                <w:highlight w:val="none"/>
              </w:rPr>
              <w:t>0</w:t>
            </w:r>
          </w:p>
        </w:tc>
        <w:tc>
          <w:tcPr>
            <w:tcW w:w="1295" w:type="dxa"/>
          </w:tcPr>
          <w:p w14:paraId="27E00A6B">
            <w:pPr>
              <w:spacing w:before="141" w:line="200" w:lineRule="exact"/>
              <w:ind w:left="178"/>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00-6000</w:t>
            </w:r>
          </w:p>
        </w:tc>
        <w:tc>
          <w:tcPr>
            <w:tcW w:w="1004" w:type="dxa"/>
          </w:tcPr>
          <w:p w14:paraId="7671B2E2">
            <w:pPr>
              <w:spacing w:before="100"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52F1A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02DCEEFD">
            <w:pPr>
              <w:spacing w:line="200" w:lineRule="exact"/>
              <w:rPr>
                <w:rFonts w:ascii="Arial"/>
                <w:color w:val="auto"/>
                <w:highlight w:val="none"/>
              </w:rPr>
            </w:pPr>
          </w:p>
        </w:tc>
        <w:tc>
          <w:tcPr>
            <w:tcW w:w="1187" w:type="dxa"/>
          </w:tcPr>
          <w:p w14:paraId="062CFCAA">
            <w:pPr>
              <w:spacing w:before="101" w:line="200" w:lineRule="exact"/>
              <w:ind w:left="138"/>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tcPr>
          <w:p w14:paraId="7C15381D">
            <w:pPr>
              <w:spacing w:before="101"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2A409C6D">
            <w:pPr>
              <w:spacing w:before="101"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≥8</w:t>
            </w:r>
            <w:r>
              <w:rPr>
                <w:rFonts w:ascii="仿宋" w:hAnsi="仿宋" w:eastAsia="仿宋" w:cs="仿宋"/>
                <w:color w:val="auto"/>
                <w:position w:val="1"/>
                <w:sz w:val="23"/>
                <w:szCs w:val="23"/>
                <w:highlight w:val="none"/>
              </w:rPr>
              <w:t>0000</w:t>
            </w:r>
          </w:p>
        </w:tc>
        <w:tc>
          <w:tcPr>
            <w:tcW w:w="1535" w:type="dxa"/>
          </w:tcPr>
          <w:p w14:paraId="06BA9BB1">
            <w:pPr>
              <w:spacing w:before="142" w:line="200" w:lineRule="exact"/>
              <w:ind w:left="177"/>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00-80000</w:t>
            </w:r>
          </w:p>
        </w:tc>
        <w:tc>
          <w:tcPr>
            <w:tcW w:w="1295" w:type="dxa"/>
          </w:tcPr>
          <w:p w14:paraId="78803CB0">
            <w:pPr>
              <w:spacing w:before="142" w:line="200" w:lineRule="exact"/>
              <w:ind w:left="178"/>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00-5000</w:t>
            </w:r>
          </w:p>
        </w:tc>
        <w:tc>
          <w:tcPr>
            <w:tcW w:w="1004" w:type="dxa"/>
          </w:tcPr>
          <w:p w14:paraId="50B914DE">
            <w:pPr>
              <w:spacing w:before="101"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16991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6DFD0979">
            <w:pPr>
              <w:spacing w:line="200" w:lineRule="exact"/>
              <w:rPr>
                <w:rFonts w:ascii="Arial"/>
                <w:color w:val="auto"/>
                <w:highlight w:val="none"/>
              </w:rPr>
            </w:pPr>
          </w:p>
          <w:p w14:paraId="7523EA27">
            <w:pPr>
              <w:spacing w:before="74" w:line="200" w:lineRule="exact"/>
              <w:ind w:left="244"/>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批</w:t>
            </w:r>
            <w:r>
              <w:rPr>
                <w:rFonts w:ascii="仿宋" w:hAnsi="仿宋" w:eastAsia="仿宋" w:cs="仿宋"/>
                <w:color w:val="auto"/>
                <w:spacing w:val="4"/>
                <w:sz w:val="23"/>
                <w:szCs w:val="23"/>
                <w:highlight w:val="none"/>
              </w:rPr>
              <w:t>发业</w:t>
            </w:r>
          </w:p>
        </w:tc>
        <w:tc>
          <w:tcPr>
            <w:tcW w:w="1187" w:type="dxa"/>
          </w:tcPr>
          <w:p w14:paraId="30D4FD6A">
            <w:pPr>
              <w:spacing w:before="101"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5FD0C556">
            <w:pPr>
              <w:spacing w:before="101"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85E37B3">
            <w:pPr>
              <w:spacing w:before="101" w:line="200" w:lineRule="exact"/>
              <w:ind w:left="430"/>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≥200</w:t>
            </w:r>
          </w:p>
        </w:tc>
        <w:tc>
          <w:tcPr>
            <w:tcW w:w="1535" w:type="dxa"/>
          </w:tcPr>
          <w:p w14:paraId="12227067">
            <w:pPr>
              <w:spacing w:before="142" w:line="200" w:lineRule="exact"/>
              <w:ind w:left="415"/>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20-200</w:t>
            </w:r>
          </w:p>
        </w:tc>
        <w:tc>
          <w:tcPr>
            <w:tcW w:w="1295" w:type="dxa"/>
          </w:tcPr>
          <w:p w14:paraId="4A3DB4AF">
            <w:pPr>
              <w:spacing w:before="142" w:line="200" w:lineRule="exact"/>
              <w:ind w:left="418"/>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5-</w:t>
            </w:r>
            <w:r>
              <w:rPr>
                <w:rFonts w:ascii="仿宋" w:hAnsi="仿宋" w:eastAsia="仿宋" w:cs="仿宋"/>
                <w:color w:val="auto"/>
                <w:spacing w:val="1"/>
                <w:sz w:val="23"/>
                <w:szCs w:val="23"/>
                <w:highlight w:val="none"/>
              </w:rPr>
              <w:t>20</w:t>
            </w:r>
          </w:p>
        </w:tc>
        <w:tc>
          <w:tcPr>
            <w:tcW w:w="1004" w:type="dxa"/>
          </w:tcPr>
          <w:p w14:paraId="2EAF59BE">
            <w:pPr>
              <w:spacing w:before="101" w:line="200" w:lineRule="exact"/>
              <w:ind w:left="347"/>
              <w:rPr>
                <w:rFonts w:ascii="仿宋" w:hAnsi="仿宋" w:eastAsia="仿宋" w:cs="仿宋"/>
                <w:color w:val="auto"/>
                <w:sz w:val="23"/>
                <w:szCs w:val="23"/>
                <w:highlight w:val="none"/>
              </w:rPr>
            </w:pPr>
            <w:r>
              <w:rPr>
                <w:rFonts w:ascii="仿宋" w:hAnsi="仿宋" w:eastAsia="仿宋" w:cs="仿宋"/>
                <w:color w:val="auto"/>
                <w:spacing w:val="-7"/>
                <w:position w:val="2"/>
                <w:sz w:val="23"/>
                <w:szCs w:val="23"/>
                <w:highlight w:val="none"/>
              </w:rPr>
              <w:t>＜</w:t>
            </w:r>
            <w:r>
              <w:rPr>
                <w:rFonts w:ascii="仿宋" w:hAnsi="仿宋" w:eastAsia="仿宋" w:cs="仿宋"/>
                <w:color w:val="auto"/>
                <w:spacing w:val="-6"/>
                <w:position w:val="2"/>
                <w:sz w:val="23"/>
                <w:szCs w:val="23"/>
                <w:highlight w:val="none"/>
              </w:rPr>
              <w:t>5</w:t>
            </w:r>
          </w:p>
        </w:tc>
      </w:tr>
      <w:tr w14:paraId="44BD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21BDFA0">
            <w:pPr>
              <w:spacing w:line="200" w:lineRule="exact"/>
              <w:rPr>
                <w:rFonts w:ascii="Arial"/>
                <w:color w:val="auto"/>
                <w:highlight w:val="none"/>
              </w:rPr>
            </w:pPr>
          </w:p>
        </w:tc>
        <w:tc>
          <w:tcPr>
            <w:tcW w:w="1187" w:type="dxa"/>
          </w:tcPr>
          <w:p w14:paraId="46369397">
            <w:pPr>
              <w:spacing w:before="102"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03C304C8">
            <w:pPr>
              <w:spacing w:before="102"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6256F9C6">
            <w:pPr>
              <w:spacing w:before="102"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≥4</w:t>
            </w:r>
            <w:r>
              <w:rPr>
                <w:rFonts w:ascii="仿宋" w:hAnsi="仿宋" w:eastAsia="仿宋" w:cs="仿宋"/>
                <w:color w:val="auto"/>
                <w:position w:val="1"/>
                <w:sz w:val="23"/>
                <w:szCs w:val="23"/>
                <w:highlight w:val="none"/>
              </w:rPr>
              <w:t>0000</w:t>
            </w:r>
          </w:p>
        </w:tc>
        <w:tc>
          <w:tcPr>
            <w:tcW w:w="1535" w:type="dxa"/>
          </w:tcPr>
          <w:p w14:paraId="2485674C">
            <w:pPr>
              <w:spacing w:before="143" w:line="200" w:lineRule="exact"/>
              <w:ind w:left="177"/>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00-40000</w:t>
            </w:r>
          </w:p>
        </w:tc>
        <w:tc>
          <w:tcPr>
            <w:tcW w:w="1295" w:type="dxa"/>
          </w:tcPr>
          <w:p w14:paraId="355B5D2C">
            <w:pPr>
              <w:spacing w:before="143" w:line="200" w:lineRule="exact"/>
              <w:ind w:left="13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1000-5000</w:t>
            </w:r>
          </w:p>
        </w:tc>
        <w:tc>
          <w:tcPr>
            <w:tcW w:w="1004" w:type="dxa"/>
          </w:tcPr>
          <w:p w14:paraId="17C52EE7">
            <w:pPr>
              <w:spacing w:before="102" w:line="200" w:lineRule="exact"/>
              <w:ind w:left="16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w:t>
            </w:r>
            <w:r>
              <w:rPr>
                <w:rFonts w:ascii="仿宋" w:hAnsi="仿宋" w:eastAsia="仿宋" w:cs="仿宋"/>
                <w:color w:val="auto"/>
                <w:position w:val="2"/>
                <w:sz w:val="23"/>
                <w:szCs w:val="23"/>
                <w:highlight w:val="none"/>
              </w:rPr>
              <w:t>000</w:t>
            </w:r>
          </w:p>
        </w:tc>
      </w:tr>
      <w:tr w14:paraId="725E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1A3F7F00">
            <w:pPr>
              <w:spacing w:line="200" w:lineRule="exact"/>
              <w:rPr>
                <w:rFonts w:ascii="Arial"/>
                <w:color w:val="auto"/>
                <w:highlight w:val="none"/>
              </w:rPr>
            </w:pPr>
          </w:p>
          <w:p w14:paraId="3C3B1444">
            <w:pPr>
              <w:spacing w:before="75" w:line="200" w:lineRule="exact"/>
              <w:ind w:left="245"/>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零</w:t>
            </w:r>
            <w:r>
              <w:rPr>
                <w:rFonts w:ascii="仿宋" w:hAnsi="仿宋" w:eastAsia="仿宋" w:cs="仿宋"/>
                <w:color w:val="auto"/>
                <w:spacing w:val="4"/>
                <w:sz w:val="23"/>
                <w:szCs w:val="23"/>
                <w:highlight w:val="none"/>
              </w:rPr>
              <w:t>售业</w:t>
            </w:r>
          </w:p>
        </w:tc>
        <w:tc>
          <w:tcPr>
            <w:tcW w:w="1187" w:type="dxa"/>
          </w:tcPr>
          <w:p w14:paraId="67E77CBC">
            <w:pPr>
              <w:spacing w:before="102"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6543CA1A">
            <w:pPr>
              <w:spacing w:before="101"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FA21424">
            <w:pPr>
              <w:spacing w:before="102" w:line="200" w:lineRule="exact"/>
              <w:ind w:left="430"/>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tcPr>
          <w:p w14:paraId="39EA6ABD">
            <w:pPr>
              <w:spacing w:before="143" w:line="200" w:lineRule="exact"/>
              <w:ind w:left="417"/>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50</w:t>
            </w:r>
            <w:r>
              <w:rPr>
                <w:rFonts w:ascii="仿宋" w:hAnsi="仿宋" w:eastAsia="仿宋" w:cs="仿宋"/>
                <w:color w:val="auto"/>
                <w:spacing w:val="2"/>
                <w:sz w:val="23"/>
                <w:szCs w:val="23"/>
                <w:highlight w:val="none"/>
              </w:rPr>
              <w:t>-300</w:t>
            </w:r>
          </w:p>
        </w:tc>
        <w:tc>
          <w:tcPr>
            <w:tcW w:w="1295" w:type="dxa"/>
          </w:tcPr>
          <w:p w14:paraId="0E639C89">
            <w:pPr>
              <w:spacing w:before="143" w:line="200" w:lineRule="exact"/>
              <w:ind w:left="371"/>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-50</w:t>
            </w:r>
          </w:p>
        </w:tc>
        <w:tc>
          <w:tcPr>
            <w:tcW w:w="1004" w:type="dxa"/>
          </w:tcPr>
          <w:p w14:paraId="38FECFE2">
            <w:pPr>
              <w:spacing w:before="102"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r w14:paraId="4B49C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4A8E46FB">
            <w:pPr>
              <w:spacing w:line="200" w:lineRule="exact"/>
              <w:rPr>
                <w:rFonts w:ascii="Arial"/>
                <w:color w:val="auto"/>
                <w:highlight w:val="none"/>
              </w:rPr>
            </w:pPr>
          </w:p>
        </w:tc>
        <w:tc>
          <w:tcPr>
            <w:tcW w:w="1187" w:type="dxa"/>
          </w:tcPr>
          <w:p w14:paraId="3D951271">
            <w:pPr>
              <w:spacing w:before="102"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35A6D6F6">
            <w:pPr>
              <w:spacing w:before="102"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3883A6BC">
            <w:pPr>
              <w:spacing w:before="101" w:line="200" w:lineRule="exact"/>
              <w:ind w:left="303"/>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w:t>
            </w:r>
            <w:r>
              <w:rPr>
                <w:rFonts w:ascii="仿宋" w:hAnsi="仿宋" w:eastAsia="仿宋" w:cs="仿宋"/>
                <w:color w:val="auto"/>
                <w:spacing w:val="1"/>
                <w:position w:val="1"/>
                <w:sz w:val="23"/>
                <w:szCs w:val="23"/>
                <w:highlight w:val="none"/>
              </w:rPr>
              <w:t>0000</w:t>
            </w:r>
          </w:p>
        </w:tc>
        <w:tc>
          <w:tcPr>
            <w:tcW w:w="1535" w:type="dxa"/>
          </w:tcPr>
          <w:p w14:paraId="01ED6B30">
            <w:pPr>
              <w:spacing w:before="142" w:line="200" w:lineRule="exact"/>
              <w:ind w:left="237"/>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0-20000</w:t>
            </w:r>
          </w:p>
        </w:tc>
        <w:tc>
          <w:tcPr>
            <w:tcW w:w="1295" w:type="dxa"/>
          </w:tcPr>
          <w:p w14:paraId="62980B92">
            <w:pPr>
              <w:spacing w:before="142" w:line="200" w:lineRule="exact"/>
              <w:ind w:left="25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00-500</w:t>
            </w:r>
          </w:p>
        </w:tc>
        <w:tc>
          <w:tcPr>
            <w:tcW w:w="1004" w:type="dxa"/>
          </w:tcPr>
          <w:p w14:paraId="21C86362">
            <w:pPr>
              <w:spacing w:before="101"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68B21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4BD678D6">
            <w:pPr>
              <w:spacing w:line="200" w:lineRule="exact"/>
              <w:rPr>
                <w:rFonts w:ascii="Arial"/>
                <w:color w:val="auto"/>
                <w:highlight w:val="none"/>
              </w:rPr>
            </w:pPr>
          </w:p>
          <w:p w14:paraId="0E12D94A">
            <w:pPr>
              <w:spacing w:before="75" w:line="200" w:lineRule="exact"/>
              <w:ind w:left="130"/>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交</w:t>
            </w:r>
            <w:r>
              <w:rPr>
                <w:rFonts w:ascii="仿宋" w:hAnsi="仿宋" w:eastAsia="仿宋" w:cs="仿宋"/>
                <w:color w:val="auto"/>
                <w:spacing w:val="4"/>
                <w:sz w:val="23"/>
                <w:szCs w:val="23"/>
                <w:highlight w:val="none"/>
              </w:rPr>
              <w:t>通运输</w:t>
            </w:r>
          </w:p>
        </w:tc>
        <w:tc>
          <w:tcPr>
            <w:tcW w:w="1187" w:type="dxa"/>
          </w:tcPr>
          <w:p w14:paraId="1886E186">
            <w:pPr>
              <w:spacing w:before="102"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58C618B0">
            <w:pPr>
              <w:spacing w:before="102"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DE7AE62">
            <w:pPr>
              <w:spacing w:before="102" w:line="200" w:lineRule="exact"/>
              <w:ind w:left="37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tcPr>
          <w:p w14:paraId="1B989D26">
            <w:pPr>
              <w:spacing w:before="143" w:line="200" w:lineRule="exact"/>
              <w:ind w:left="297"/>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tcPr>
          <w:p w14:paraId="4B7932BF">
            <w:pPr>
              <w:spacing w:before="143" w:line="200" w:lineRule="exact"/>
              <w:ind w:left="296"/>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tcPr>
          <w:p w14:paraId="14701AFB">
            <w:pPr>
              <w:spacing w:before="102"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5CAAF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3ACAAA72">
            <w:pPr>
              <w:spacing w:line="200" w:lineRule="exact"/>
              <w:rPr>
                <w:rFonts w:ascii="Arial"/>
                <w:color w:val="auto"/>
                <w:highlight w:val="none"/>
              </w:rPr>
            </w:pPr>
          </w:p>
        </w:tc>
        <w:tc>
          <w:tcPr>
            <w:tcW w:w="1187" w:type="dxa"/>
          </w:tcPr>
          <w:p w14:paraId="64CB4609">
            <w:pPr>
              <w:spacing w:before="105"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7929FAAD">
            <w:pPr>
              <w:spacing w:before="105"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1837C871">
            <w:pPr>
              <w:spacing w:before="104"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tcPr>
          <w:p w14:paraId="660B42C6">
            <w:pPr>
              <w:spacing w:before="145" w:line="200" w:lineRule="exact"/>
              <w:ind w:left="177"/>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30</w:t>
            </w:r>
            <w:r>
              <w:rPr>
                <w:rFonts w:ascii="仿宋" w:hAnsi="仿宋" w:eastAsia="仿宋" w:cs="仿宋"/>
                <w:color w:val="auto"/>
                <w:spacing w:val="3"/>
                <w:sz w:val="23"/>
                <w:szCs w:val="23"/>
                <w:highlight w:val="none"/>
              </w:rPr>
              <w:t>00-30000</w:t>
            </w:r>
          </w:p>
        </w:tc>
        <w:tc>
          <w:tcPr>
            <w:tcW w:w="1295" w:type="dxa"/>
          </w:tcPr>
          <w:p w14:paraId="34BB161A">
            <w:pPr>
              <w:spacing w:before="145" w:line="200" w:lineRule="exact"/>
              <w:ind w:left="176"/>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2</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0-3000</w:t>
            </w:r>
          </w:p>
        </w:tc>
        <w:tc>
          <w:tcPr>
            <w:tcW w:w="1004" w:type="dxa"/>
          </w:tcPr>
          <w:p w14:paraId="23897807">
            <w:pPr>
              <w:spacing w:before="104"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＜20</w:t>
            </w:r>
            <w:r>
              <w:rPr>
                <w:rFonts w:ascii="仿宋" w:hAnsi="仿宋" w:eastAsia="仿宋" w:cs="仿宋"/>
                <w:color w:val="auto"/>
                <w:position w:val="2"/>
                <w:sz w:val="23"/>
                <w:szCs w:val="23"/>
                <w:highlight w:val="none"/>
              </w:rPr>
              <w:t>0</w:t>
            </w:r>
          </w:p>
        </w:tc>
      </w:tr>
      <w:tr w14:paraId="0B99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6E054657">
            <w:pPr>
              <w:spacing w:line="200" w:lineRule="exact"/>
              <w:rPr>
                <w:rFonts w:ascii="Arial"/>
                <w:color w:val="auto"/>
                <w:highlight w:val="none"/>
              </w:rPr>
            </w:pPr>
          </w:p>
          <w:p w14:paraId="3546CAEE">
            <w:pPr>
              <w:spacing w:before="75" w:line="200" w:lineRule="exact"/>
              <w:ind w:left="369"/>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仓</w:t>
            </w:r>
            <w:r>
              <w:rPr>
                <w:rFonts w:ascii="仿宋" w:hAnsi="仿宋" w:eastAsia="仿宋" w:cs="仿宋"/>
                <w:color w:val="auto"/>
                <w:sz w:val="23"/>
                <w:szCs w:val="23"/>
                <w:highlight w:val="none"/>
              </w:rPr>
              <w:t>储</w:t>
            </w:r>
          </w:p>
        </w:tc>
        <w:tc>
          <w:tcPr>
            <w:tcW w:w="1187" w:type="dxa"/>
          </w:tcPr>
          <w:p w14:paraId="7A12A1F7">
            <w:pPr>
              <w:spacing w:before="104"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43B50680">
            <w:pPr>
              <w:spacing w:before="104"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5E8C822">
            <w:pPr>
              <w:spacing w:before="104" w:line="200" w:lineRule="exact"/>
              <w:ind w:left="430"/>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≥200</w:t>
            </w:r>
          </w:p>
        </w:tc>
        <w:tc>
          <w:tcPr>
            <w:tcW w:w="1535" w:type="dxa"/>
          </w:tcPr>
          <w:p w14:paraId="04A60978">
            <w:pPr>
              <w:spacing w:before="145" w:line="200" w:lineRule="exact"/>
              <w:ind w:left="37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00-200</w:t>
            </w:r>
          </w:p>
        </w:tc>
        <w:tc>
          <w:tcPr>
            <w:tcW w:w="1295" w:type="dxa"/>
          </w:tcPr>
          <w:p w14:paraId="4DD0A6F4">
            <w:pPr>
              <w:spacing w:before="145" w:line="200" w:lineRule="exact"/>
              <w:ind w:left="296"/>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20-100</w:t>
            </w:r>
          </w:p>
        </w:tc>
        <w:tc>
          <w:tcPr>
            <w:tcW w:w="1004" w:type="dxa"/>
          </w:tcPr>
          <w:p w14:paraId="01B9FC0D">
            <w:pPr>
              <w:spacing w:before="104"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5C26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28EDA0F0">
            <w:pPr>
              <w:spacing w:line="200" w:lineRule="exact"/>
              <w:rPr>
                <w:rFonts w:ascii="Arial"/>
                <w:color w:val="auto"/>
                <w:highlight w:val="none"/>
              </w:rPr>
            </w:pPr>
          </w:p>
        </w:tc>
        <w:tc>
          <w:tcPr>
            <w:tcW w:w="1187" w:type="dxa"/>
          </w:tcPr>
          <w:p w14:paraId="4A190BE5">
            <w:pPr>
              <w:spacing w:before="104"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7B83C107">
            <w:pPr>
              <w:spacing w:before="104"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7358D629">
            <w:pPr>
              <w:spacing w:before="104"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tcPr>
          <w:p w14:paraId="7C0EB3D9">
            <w:pPr>
              <w:spacing w:before="145" w:line="200" w:lineRule="exact"/>
              <w:ind w:left="190"/>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w:t>
            </w:r>
            <w:r>
              <w:rPr>
                <w:rFonts w:ascii="仿宋" w:hAnsi="仿宋" w:eastAsia="仿宋" w:cs="仿宋"/>
                <w:color w:val="auto"/>
                <w:spacing w:val="3"/>
                <w:sz w:val="23"/>
                <w:szCs w:val="23"/>
                <w:highlight w:val="none"/>
              </w:rPr>
              <w:t>0</w:t>
            </w:r>
            <w:r>
              <w:rPr>
                <w:rFonts w:ascii="仿宋" w:hAnsi="仿宋" w:eastAsia="仿宋" w:cs="仿宋"/>
                <w:color w:val="auto"/>
                <w:spacing w:val="2"/>
                <w:sz w:val="23"/>
                <w:szCs w:val="23"/>
                <w:highlight w:val="none"/>
              </w:rPr>
              <w:t>00-30000</w:t>
            </w:r>
          </w:p>
        </w:tc>
        <w:tc>
          <w:tcPr>
            <w:tcW w:w="1295" w:type="dxa"/>
          </w:tcPr>
          <w:p w14:paraId="79AFC0F0">
            <w:pPr>
              <w:spacing w:before="145" w:line="200" w:lineRule="exact"/>
              <w:ind w:left="19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100-1</w:t>
            </w:r>
            <w:r>
              <w:rPr>
                <w:rFonts w:ascii="仿宋" w:hAnsi="仿宋" w:eastAsia="仿宋" w:cs="仿宋"/>
                <w:color w:val="auto"/>
                <w:spacing w:val="1"/>
                <w:sz w:val="23"/>
                <w:szCs w:val="23"/>
                <w:highlight w:val="none"/>
              </w:rPr>
              <w:t>000</w:t>
            </w:r>
          </w:p>
        </w:tc>
        <w:tc>
          <w:tcPr>
            <w:tcW w:w="1004" w:type="dxa"/>
          </w:tcPr>
          <w:p w14:paraId="43D9FC2F">
            <w:pPr>
              <w:spacing w:before="104"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51F9D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3AD80536">
            <w:pPr>
              <w:spacing w:line="200" w:lineRule="exact"/>
              <w:rPr>
                <w:rFonts w:ascii="Arial"/>
                <w:color w:val="auto"/>
                <w:highlight w:val="none"/>
              </w:rPr>
            </w:pPr>
          </w:p>
          <w:p w14:paraId="453E0B08">
            <w:pPr>
              <w:spacing w:before="75" w:line="200" w:lineRule="exact"/>
              <w:ind w:left="262"/>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邮</w:t>
            </w:r>
            <w:r>
              <w:rPr>
                <w:rFonts w:ascii="仿宋" w:hAnsi="仿宋" w:eastAsia="仿宋" w:cs="仿宋"/>
                <w:color w:val="auto"/>
                <w:spacing w:val="-1"/>
                <w:sz w:val="23"/>
                <w:szCs w:val="23"/>
                <w:highlight w:val="none"/>
              </w:rPr>
              <w:t>政业</w:t>
            </w:r>
          </w:p>
        </w:tc>
        <w:tc>
          <w:tcPr>
            <w:tcW w:w="1187" w:type="dxa"/>
          </w:tcPr>
          <w:p w14:paraId="1ABDB1DE">
            <w:pPr>
              <w:spacing w:before="104"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7BB14B6A">
            <w:pPr>
              <w:spacing w:before="104"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4AA5399">
            <w:pPr>
              <w:spacing w:before="104" w:line="200" w:lineRule="exact"/>
              <w:ind w:left="37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tcPr>
          <w:p w14:paraId="58200152">
            <w:pPr>
              <w:spacing w:before="145" w:line="200" w:lineRule="exact"/>
              <w:ind w:left="237"/>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3</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0- 1000</w:t>
            </w:r>
          </w:p>
        </w:tc>
        <w:tc>
          <w:tcPr>
            <w:tcW w:w="1295" w:type="dxa"/>
          </w:tcPr>
          <w:p w14:paraId="30296F96">
            <w:pPr>
              <w:spacing w:before="145" w:line="200" w:lineRule="exact"/>
              <w:ind w:left="296"/>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tcPr>
          <w:p w14:paraId="399823BA">
            <w:pPr>
              <w:spacing w:before="104"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58285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48238B54">
            <w:pPr>
              <w:spacing w:line="200" w:lineRule="exact"/>
              <w:rPr>
                <w:rFonts w:ascii="Arial"/>
                <w:color w:val="auto"/>
                <w:highlight w:val="none"/>
              </w:rPr>
            </w:pPr>
          </w:p>
        </w:tc>
        <w:tc>
          <w:tcPr>
            <w:tcW w:w="1187" w:type="dxa"/>
          </w:tcPr>
          <w:p w14:paraId="5232522D">
            <w:pPr>
              <w:spacing w:before="104"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17F307CD">
            <w:pPr>
              <w:spacing w:before="104"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74AAFFFB">
            <w:pPr>
              <w:spacing w:before="104"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tcPr>
          <w:p w14:paraId="79A4C7AE">
            <w:pPr>
              <w:spacing w:before="145" w:line="200" w:lineRule="exact"/>
              <w:ind w:left="175"/>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2000-3000</w:t>
            </w:r>
            <w:r>
              <w:rPr>
                <w:rFonts w:ascii="仿宋" w:hAnsi="仿宋" w:eastAsia="仿宋" w:cs="仿宋"/>
                <w:color w:val="auto"/>
                <w:spacing w:val="2"/>
                <w:sz w:val="23"/>
                <w:szCs w:val="23"/>
                <w:highlight w:val="none"/>
              </w:rPr>
              <w:t>0</w:t>
            </w:r>
          </w:p>
        </w:tc>
        <w:tc>
          <w:tcPr>
            <w:tcW w:w="1295" w:type="dxa"/>
          </w:tcPr>
          <w:p w14:paraId="35756F8B">
            <w:pPr>
              <w:spacing w:before="145" w:line="200" w:lineRule="exact"/>
              <w:ind w:left="19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100-2</w:t>
            </w:r>
            <w:r>
              <w:rPr>
                <w:rFonts w:ascii="仿宋" w:hAnsi="仿宋" w:eastAsia="仿宋" w:cs="仿宋"/>
                <w:color w:val="auto"/>
                <w:spacing w:val="1"/>
                <w:sz w:val="23"/>
                <w:szCs w:val="23"/>
                <w:highlight w:val="none"/>
              </w:rPr>
              <w:t>000</w:t>
            </w:r>
          </w:p>
        </w:tc>
        <w:tc>
          <w:tcPr>
            <w:tcW w:w="1004" w:type="dxa"/>
          </w:tcPr>
          <w:p w14:paraId="528F9901">
            <w:pPr>
              <w:spacing w:before="104"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7F16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561A3EC1">
            <w:pPr>
              <w:spacing w:line="200" w:lineRule="exact"/>
              <w:rPr>
                <w:rFonts w:ascii="Arial"/>
                <w:color w:val="auto"/>
                <w:highlight w:val="none"/>
              </w:rPr>
            </w:pPr>
          </w:p>
          <w:p w14:paraId="1871C888">
            <w:pPr>
              <w:spacing w:before="75" w:line="200" w:lineRule="exact"/>
              <w:ind w:left="124"/>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住宿餐饮</w:t>
            </w:r>
          </w:p>
        </w:tc>
        <w:tc>
          <w:tcPr>
            <w:tcW w:w="1187" w:type="dxa"/>
          </w:tcPr>
          <w:p w14:paraId="34AD2386">
            <w:pPr>
              <w:spacing w:before="104"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17541E5E">
            <w:pPr>
              <w:spacing w:before="103"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7417928">
            <w:pPr>
              <w:spacing w:before="103" w:line="200" w:lineRule="exact"/>
              <w:ind w:left="430"/>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tcPr>
          <w:p w14:paraId="4620391F">
            <w:pPr>
              <w:spacing w:before="144" w:line="200" w:lineRule="exact"/>
              <w:ind w:left="37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tcPr>
          <w:p w14:paraId="036ECDB1">
            <w:pPr>
              <w:spacing w:before="144" w:line="200" w:lineRule="exact"/>
              <w:ind w:left="311"/>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tcPr>
          <w:p w14:paraId="4E103F05">
            <w:pPr>
              <w:spacing w:before="103"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r w14:paraId="49399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07389369">
            <w:pPr>
              <w:spacing w:line="200" w:lineRule="exact"/>
              <w:rPr>
                <w:rFonts w:ascii="Arial"/>
                <w:color w:val="auto"/>
                <w:highlight w:val="none"/>
              </w:rPr>
            </w:pPr>
          </w:p>
        </w:tc>
        <w:tc>
          <w:tcPr>
            <w:tcW w:w="1187" w:type="dxa"/>
          </w:tcPr>
          <w:p w14:paraId="4CC82CB3">
            <w:pPr>
              <w:spacing w:before="103"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326231DC">
            <w:pPr>
              <w:spacing w:before="103"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72296CA6">
            <w:pPr>
              <w:spacing w:before="103"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tcPr>
          <w:p w14:paraId="08B764A4">
            <w:pPr>
              <w:spacing w:before="144" w:line="200" w:lineRule="exact"/>
              <w:ind w:left="175"/>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2000-1000</w:t>
            </w:r>
            <w:r>
              <w:rPr>
                <w:rFonts w:ascii="仿宋" w:hAnsi="仿宋" w:eastAsia="仿宋" w:cs="仿宋"/>
                <w:color w:val="auto"/>
                <w:spacing w:val="2"/>
                <w:sz w:val="23"/>
                <w:szCs w:val="23"/>
                <w:highlight w:val="none"/>
              </w:rPr>
              <w:t>0</w:t>
            </w:r>
          </w:p>
        </w:tc>
        <w:tc>
          <w:tcPr>
            <w:tcW w:w="1295" w:type="dxa"/>
          </w:tcPr>
          <w:p w14:paraId="3F15AC2C">
            <w:pPr>
              <w:spacing w:before="144" w:line="200" w:lineRule="exact"/>
              <w:ind w:left="19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100-2</w:t>
            </w:r>
            <w:r>
              <w:rPr>
                <w:rFonts w:ascii="仿宋" w:hAnsi="仿宋" w:eastAsia="仿宋" w:cs="仿宋"/>
                <w:color w:val="auto"/>
                <w:spacing w:val="1"/>
                <w:sz w:val="23"/>
                <w:szCs w:val="23"/>
                <w:highlight w:val="none"/>
              </w:rPr>
              <w:t>000</w:t>
            </w:r>
          </w:p>
        </w:tc>
        <w:tc>
          <w:tcPr>
            <w:tcW w:w="1004" w:type="dxa"/>
          </w:tcPr>
          <w:p w14:paraId="4CADE6EA">
            <w:pPr>
              <w:spacing w:before="103"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5765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4CBC1BFD">
            <w:pPr>
              <w:spacing w:before="172" w:line="200" w:lineRule="exact"/>
              <w:ind w:left="124" w:right="110" w:firstLine="124"/>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房地产</w:t>
            </w:r>
            <w:r>
              <w:rPr>
                <w:rFonts w:ascii="仿宋" w:hAnsi="仿宋" w:eastAsia="仿宋" w:cs="仿宋"/>
                <w:color w:val="auto"/>
                <w:spacing w:val="6"/>
                <w:sz w:val="23"/>
                <w:szCs w:val="23"/>
                <w:highlight w:val="none"/>
              </w:rPr>
              <w:t>开发经营</w:t>
            </w:r>
          </w:p>
        </w:tc>
        <w:tc>
          <w:tcPr>
            <w:tcW w:w="1187" w:type="dxa"/>
          </w:tcPr>
          <w:p w14:paraId="4FE177FB">
            <w:pPr>
              <w:spacing w:before="103" w:line="200" w:lineRule="exact"/>
              <w:ind w:left="138"/>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tcPr>
          <w:p w14:paraId="3554C306">
            <w:pPr>
              <w:spacing w:before="103"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31763B91">
            <w:pPr>
              <w:spacing w:before="103"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tcPr>
          <w:p w14:paraId="0CAB5B36">
            <w:pPr>
              <w:spacing w:before="144" w:line="200" w:lineRule="exact"/>
              <w:ind w:left="177"/>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00-10000</w:t>
            </w:r>
          </w:p>
        </w:tc>
        <w:tc>
          <w:tcPr>
            <w:tcW w:w="1295" w:type="dxa"/>
          </w:tcPr>
          <w:p w14:paraId="314AA884">
            <w:pPr>
              <w:spacing w:before="103" w:line="200" w:lineRule="exact"/>
              <w:ind w:left="116"/>
              <w:rPr>
                <w:rFonts w:ascii="仿宋" w:hAnsi="仿宋" w:eastAsia="仿宋" w:cs="仿宋"/>
                <w:color w:val="auto"/>
                <w:sz w:val="23"/>
                <w:szCs w:val="23"/>
                <w:highlight w:val="none"/>
              </w:rPr>
            </w:pPr>
            <w:r>
              <w:rPr>
                <w:rFonts w:ascii="仿宋" w:hAnsi="仿宋" w:eastAsia="仿宋" w:cs="仿宋"/>
                <w:color w:val="auto"/>
                <w:spacing w:val="6"/>
                <w:position w:val="1"/>
                <w:sz w:val="23"/>
                <w:szCs w:val="23"/>
                <w:highlight w:val="none"/>
              </w:rPr>
              <w:t>20</w:t>
            </w:r>
            <w:r>
              <w:rPr>
                <w:rFonts w:ascii="仿宋" w:hAnsi="仿宋" w:eastAsia="仿宋" w:cs="仿宋"/>
                <w:color w:val="auto"/>
                <w:spacing w:val="3"/>
                <w:position w:val="1"/>
                <w:sz w:val="23"/>
                <w:szCs w:val="23"/>
                <w:highlight w:val="none"/>
              </w:rPr>
              <w:t>00&lt;5000</w:t>
            </w:r>
          </w:p>
        </w:tc>
        <w:tc>
          <w:tcPr>
            <w:tcW w:w="1004" w:type="dxa"/>
          </w:tcPr>
          <w:p w14:paraId="03B069EC">
            <w:pPr>
              <w:spacing w:before="103" w:line="200" w:lineRule="exact"/>
              <w:ind w:left="16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＜2</w:t>
            </w:r>
            <w:r>
              <w:rPr>
                <w:rFonts w:ascii="仿宋" w:hAnsi="仿宋" w:eastAsia="仿宋" w:cs="仿宋"/>
                <w:color w:val="auto"/>
                <w:position w:val="2"/>
                <w:sz w:val="23"/>
                <w:szCs w:val="23"/>
                <w:highlight w:val="none"/>
              </w:rPr>
              <w:t>000</w:t>
            </w:r>
          </w:p>
        </w:tc>
      </w:tr>
      <w:tr w14:paraId="29B8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3C88EEFC">
            <w:pPr>
              <w:spacing w:line="200" w:lineRule="exact"/>
              <w:rPr>
                <w:rFonts w:ascii="Arial"/>
                <w:color w:val="auto"/>
                <w:highlight w:val="none"/>
              </w:rPr>
            </w:pPr>
          </w:p>
        </w:tc>
        <w:tc>
          <w:tcPr>
            <w:tcW w:w="1187" w:type="dxa"/>
          </w:tcPr>
          <w:p w14:paraId="04094E1B">
            <w:pPr>
              <w:spacing w:before="103"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6B214973">
            <w:pPr>
              <w:spacing w:before="103"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2252C959">
            <w:pPr>
              <w:spacing w:before="103" w:line="200" w:lineRule="exact"/>
              <w:ind w:left="25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≥200000</w:t>
            </w:r>
          </w:p>
        </w:tc>
        <w:tc>
          <w:tcPr>
            <w:tcW w:w="1535" w:type="dxa"/>
          </w:tcPr>
          <w:p w14:paraId="47FDA6EA">
            <w:pPr>
              <w:spacing w:before="144" w:line="200" w:lineRule="exact"/>
              <w:ind w:left="130"/>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100</w:t>
            </w:r>
            <w:r>
              <w:rPr>
                <w:rFonts w:ascii="仿宋" w:hAnsi="仿宋" w:eastAsia="仿宋" w:cs="仿宋"/>
                <w:color w:val="auto"/>
                <w:spacing w:val="2"/>
                <w:sz w:val="23"/>
                <w:szCs w:val="23"/>
                <w:highlight w:val="none"/>
              </w:rPr>
              <w:t>0-200000</w:t>
            </w:r>
          </w:p>
        </w:tc>
        <w:tc>
          <w:tcPr>
            <w:tcW w:w="1295" w:type="dxa"/>
          </w:tcPr>
          <w:p w14:paraId="4EEE460B">
            <w:pPr>
              <w:spacing w:before="103" w:line="200" w:lineRule="exact"/>
              <w:ind w:left="131"/>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100&lt;10000</w:t>
            </w:r>
          </w:p>
        </w:tc>
        <w:tc>
          <w:tcPr>
            <w:tcW w:w="1004" w:type="dxa"/>
          </w:tcPr>
          <w:p w14:paraId="6908389A">
            <w:pPr>
              <w:spacing w:before="103"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36ACF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02E65E59">
            <w:pPr>
              <w:spacing w:before="263"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物业管</w:t>
            </w:r>
            <w:r>
              <w:rPr>
                <w:rFonts w:ascii="仿宋" w:hAnsi="仿宋" w:eastAsia="仿宋" w:cs="仿宋"/>
                <w:color w:val="auto"/>
                <w:spacing w:val="5"/>
                <w:sz w:val="23"/>
                <w:szCs w:val="23"/>
                <w:highlight w:val="none"/>
              </w:rPr>
              <w:t>理</w:t>
            </w:r>
          </w:p>
        </w:tc>
        <w:tc>
          <w:tcPr>
            <w:tcW w:w="1187" w:type="dxa"/>
          </w:tcPr>
          <w:p w14:paraId="15DBD105">
            <w:pPr>
              <w:spacing w:before="40"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75749DFA">
            <w:pPr>
              <w:spacing w:before="40"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484E826">
            <w:pPr>
              <w:spacing w:before="40" w:line="200" w:lineRule="exact"/>
              <w:ind w:left="370"/>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00</w:t>
            </w:r>
          </w:p>
        </w:tc>
        <w:tc>
          <w:tcPr>
            <w:tcW w:w="1535" w:type="dxa"/>
          </w:tcPr>
          <w:p w14:paraId="6C4E1620">
            <w:pPr>
              <w:spacing w:before="81" w:line="200" w:lineRule="exact"/>
              <w:ind w:left="297"/>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tcPr>
          <w:p w14:paraId="30747742">
            <w:pPr>
              <w:spacing w:before="81" w:line="200" w:lineRule="exact"/>
              <w:ind w:left="25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004" w:type="dxa"/>
          </w:tcPr>
          <w:p w14:paraId="48373564">
            <w:pPr>
              <w:spacing w:before="40" w:line="200" w:lineRule="exact"/>
              <w:ind w:left="227"/>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0</w:t>
            </w:r>
          </w:p>
        </w:tc>
      </w:tr>
      <w:tr w14:paraId="7B6C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2F7464C1">
            <w:pPr>
              <w:spacing w:line="200" w:lineRule="exact"/>
              <w:rPr>
                <w:rFonts w:ascii="Arial"/>
                <w:color w:val="auto"/>
                <w:highlight w:val="none"/>
              </w:rPr>
            </w:pPr>
          </w:p>
        </w:tc>
        <w:tc>
          <w:tcPr>
            <w:tcW w:w="1187" w:type="dxa"/>
          </w:tcPr>
          <w:p w14:paraId="098E305C">
            <w:pPr>
              <w:spacing w:before="103"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3D40740D">
            <w:pPr>
              <w:spacing w:before="103"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6B6BD2DE">
            <w:pPr>
              <w:spacing w:before="103" w:line="200" w:lineRule="exact"/>
              <w:ind w:left="37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≥50</w:t>
            </w:r>
            <w:r>
              <w:rPr>
                <w:rFonts w:ascii="仿宋" w:hAnsi="仿宋" w:eastAsia="仿宋" w:cs="仿宋"/>
                <w:color w:val="auto"/>
                <w:position w:val="1"/>
                <w:sz w:val="23"/>
                <w:szCs w:val="23"/>
                <w:highlight w:val="none"/>
              </w:rPr>
              <w:t>00</w:t>
            </w:r>
          </w:p>
        </w:tc>
        <w:tc>
          <w:tcPr>
            <w:tcW w:w="1535" w:type="dxa"/>
          </w:tcPr>
          <w:p w14:paraId="1E72A019">
            <w:pPr>
              <w:spacing w:before="144" w:line="200" w:lineRule="exact"/>
              <w:ind w:left="25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1000-5000</w:t>
            </w:r>
          </w:p>
        </w:tc>
        <w:tc>
          <w:tcPr>
            <w:tcW w:w="1295" w:type="dxa"/>
          </w:tcPr>
          <w:p w14:paraId="4FF0D0B9">
            <w:pPr>
              <w:spacing w:before="144" w:line="200" w:lineRule="exact"/>
              <w:ind w:left="118"/>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0- 1000</w:t>
            </w:r>
          </w:p>
        </w:tc>
        <w:tc>
          <w:tcPr>
            <w:tcW w:w="1004" w:type="dxa"/>
          </w:tcPr>
          <w:p w14:paraId="6E6BDB03">
            <w:pPr>
              <w:spacing w:before="103"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＜50</w:t>
            </w:r>
            <w:r>
              <w:rPr>
                <w:rFonts w:ascii="仿宋" w:hAnsi="仿宋" w:eastAsia="仿宋" w:cs="仿宋"/>
                <w:color w:val="auto"/>
                <w:position w:val="2"/>
                <w:sz w:val="23"/>
                <w:szCs w:val="23"/>
                <w:highlight w:val="none"/>
              </w:rPr>
              <w:t>0</w:t>
            </w:r>
          </w:p>
        </w:tc>
      </w:tr>
      <w:tr w14:paraId="794F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7FD750">
            <w:pPr>
              <w:spacing w:before="263" w:line="200" w:lineRule="exact"/>
              <w:ind w:left="124"/>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信息传输</w:t>
            </w:r>
          </w:p>
        </w:tc>
        <w:tc>
          <w:tcPr>
            <w:tcW w:w="1187" w:type="dxa"/>
          </w:tcPr>
          <w:p w14:paraId="7652E72D">
            <w:pPr>
              <w:spacing w:before="40"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1C889F0C">
            <w:pPr>
              <w:spacing w:before="40"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FD58B73">
            <w:pPr>
              <w:spacing w:before="40" w:line="200" w:lineRule="exact"/>
              <w:ind w:left="370"/>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≥20</w:t>
            </w:r>
            <w:r>
              <w:rPr>
                <w:rFonts w:ascii="仿宋" w:hAnsi="仿宋" w:eastAsia="仿宋" w:cs="仿宋"/>
                <w:color w:val="auto"/>
                <w:sz w:val="23"/>
                <w:szCs w:val="23"/>
                <w:highlight w:val="none"/>
              </w:rPr>
              <w:t>00</w:t>
            </w:r>
          </w:p>
        </w:tc>
        <w:tc>
          <w:tcPr>
            <w:tcW w:w="1535" w:type="dxa"/>
          </w:tcPr>
          <w:p w14:paraId="3DFD9E19">
            <w:pPr>
              <w:spacing w:before="82" w:line="200" w:lineRule="exact"/>
              <w:ind w:left="37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00-200</w:t>
            </w:r>
          </w:p>
        </w:tc>
        <w:tc>
          <w:tcPr>
            <w:tcW w:w="1295" w:type="dxa"/>
          </w:tcPr>
          <w:p w14:paraId="6198A45D">
            <w:pPr>
              <w:spacing w:before="82" w:line="200" w:lineRule="exact"/>
              <w:ind w:left="311"/>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tcPr>
          <w:p w14:paraId="5661BB5C">
            <w:pPr>
              <w:spacing w:before="40" w:line="200" w:lineRule="exact"/>
              <w:ind w:left="287"/>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28669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D0AAFD9">
            <w:pPr>
              <w:spacing w:line="200" w:lineRule="exact"/>
              <w:rPr>
                <w:rFonts w:ascii="Arial"/>
                <w:color w:val="auto"/>
                <w:highlight w:val="none"/>
              </w:rPr>
            </w:pPr>
          </w:p>
        </w:tc>
        <w:tc>
          <w:tcPr>
            <w:tcW w:w="1187" w:type="dxa"/>
          </w:tcPr>
          <w:p w14:paraId="4FCBDCAC">
            <w:pPr>
              <w:spacing w:before="103"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47304829">
            <w:pPr>
              <w:spacing w:before="103"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3EBCDBC4">
            <w:pPr>
              <w:spacing w:before="103" w:line="200" w:lineRule="exact"/>
              <w:ind w:left="25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≥100000</w:t>
            </w:r>
          </w:p>
        </w:tc>
        <w:tc>
          <w:tcPr>
            <w:tcW w:w="1535" w:type="dxa"/>
          </w:tcPr>
          <w:p w14:paraId="7C7BA349">
            <w:pPr>
              <w:spacing w:before="144" w:line="200" w:lineRule="exact"/>
              <w:ind w:left="130"/>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100</w:t>
            </w:r>
            <w:r>
              <w:rPr>
                <w:rFonts w:ascii="仿宋" w:hAnsi="仿宋" w:eastAsia="仿宋" w:cs="仿宋"/>
                <w:color w:val="auto"/>
                <w:spacing w:val="2"/>
                <w:sz w:val="23"/>
                <w:szCs w:val="23"/>
                <w:highlight w:val="none"/>
              </w:rPr>
              <w:t>0-100000</w:t>
            </w:r>
          </w:p>
        </w:tc>
        <w:tc>
          <w:tcPr>
            <w:tcW w:w="1295" w:type="dxa"/>
          </w:tcPr>
          <w:p w14:paraId="27B97270">
            <w:pPr>
              <w:spacing w:before="144" w:line="200" w:lineRule="exact"/>
              <w:ind w:left="19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100-1</w:t>
            </w:r>
            <w:r>
              <w:rPr>
                <w:rFonts w:ascii="仿宋" w:hAnsi="仿宋" w:eastAsia="仿宋" w:cs="仿宋"/>
                <w:color w:val="auto"/>
                <w:spacing w:val="1"/>
                <w:sz w:val="23"/>
                <w:szCs w:val="23"/>
                <w:highlight w:val="none"/>
              </w:rPr>
              <w:t>000</w:t>
            </w:r>
          </w:p>
        </w:tc>
        <w:tc>
          <w:tcPr>
            <w:tcW w:w="1004" w:type="dxa"/>
          </w:tcPr>
          <w:p w14:paraId="69F1499E">
            <w:pPr>
              <w:spacing w:before="103"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6C4F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5C5D8F51">
            <w:pPr>
              <w:spacing w:before="127" w:line="200" w:lineRule="exact"/>
              <w:ind w:left="124" w:right="110" w:firstLine="120"/>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软</w:t>
            </w:r>
            <w:r>
              <w:rPr>
                <w:rFonts w:ascii="仿宋" w:hAnsi="仿宋" w:eastAsia="仿宋" w:cs="仿宋"/>
                <w:color w:val="auto"/>
                <w:spacing w:val="4"/>
                <w:sz w:val="23"/>
                <w:szCs w:val="23"/>
                <w:highlight w:val="none"/>
              </w:rPr>
              <w:t>件和</w:t>
            </w:r>
            <w:r>
              <w:rPr>
                <w:rFonts w:ascii="仿宋" w:hAnsi="仿宋" w:eastAsia="仿宋" w:cs="仿宋"/>
                <w:color w:val="auto"/>
                <w:spacing w:val="6"/>
                <w:sz w:val="23"/>
                <w:szCs w:val="23"/>
                <w:highlight w:val="none"/>
              </w:rPr>
              <w:t>信息技术</w:t>
            </w:r>
          </w:p>
        </w:tc>
        <w:tc>
          <w:tcPr>
            <w:tcW w:w="1187" w:type="dxa"/>
          </w:tcPr>
          <w:p w14:paraId="6E675982">
            <w:pPr>
              <w:spacing w:before="57"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064FE999">
            <w:pPr>
              <w:spacing w:before="57"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EAACE92">
            <w:pPr>
              <w:spacing w:before="57" w:line="200" w:lineRule="exact"/>
              <w:ind w:left="43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≥300</w:t>
            </w:r>
          </w:p>
        </w:tc>
        <w:tc>
          <w:tcPr>
            <w:tcW w:w="1535" w:type="dxa"/>
          </w:tcPr>
          <w:p w14:paraId="00378AC4">
            <w:pPr>
              <w:spacing w:before="98" w:line="200" w:lineRule="exact"/>
              <w:ind w:left="37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tcPr>
          <w:p w14:paraId="7F36ED80">
            <w:pPr>
              <w:spacing w:before="98" w:line="200" w:lineRule="exact"/>
              <w:ind w:left="311"/>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tcPr>
          <w:p w14:paraId="5D24D081">
            <w:pPr>
              <w:spacing w:before="57" w:line="200" w:lineRule="exact"/>
              <w:ind w:left="287"/>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7567C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778C55CE">
            <w:pPr>
              <w:spacing w:line="200" w:lineRule="exact"/>
              <w:rPr>
                <w:rFonts w:ascii="Arial"/>
                <w:color w:val="auto"/>
                <w:highlight w:val="none"/>
              </w:rPr>
            </w:pPr>
          </w:p>
        </w:tc>
        <w:tc>
          <w:tcPr>
            <w:tcW w:w="1187" w:type="dxa"/>
          </w:tcPr>
          <w:p w14:paraId="3BD2C4F6">
            <w:pPr>
              <w:spacing w:before="104" w:line="200" w:lineRule="exact"/>
              <w:ind w:left="13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tcPr>
          <w:p w14:paraId="6E75CA40">
            <w:pPr>
              <w:spacing w:before="104"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3CB9C799">
            <w:pPr>
              <w:spacing w:before="103" w:line="200" w:lineRule="exact"/>
              <w:ind w:left="31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tcPr>
          <w:p w14:paraId="68EA2DF9">
            <w:pPr>
              <w:spacing w:before="144" w:line="200" w:lineRule="exact"/>
              <w:ind w:left="190"/>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w:t>
            </w:r>
            <w:r>
              <w:rPr>
                <w:rFonts w:ascii="仿宋" w:hAnsi="仿宋" w:eastAsia="仿宋" w:cs="仿宋"/>
                <w:color w:val="auto"/>
                <w:spacing w:val="3"/>
                <w:sz w:val="23"/>
                <w:szCs w:val="23"/>
                <w:highlight w:val="none"/>
              </w:rPr>
              <w:t>0</w:t>
            </w:r>
            <w:r>
              <w:rPr>
                <w:rFonts w:ascii="仿宋" w:hAnsi="仿宋" w:eastAsia="仿宋" w:cs="仿宋"/>
                <w:color w:val="auto"/>
                <w:spacing w:val="2"/>
                <w:sz w:val="23"/>
                <w:szCs w:val="23"/>
                <w:highlight w:val="none"/>
              </w:rPr>
              <w:t>00-10000</w:t>
            </w:r>
          </w:p>
        </w:tc>
        <w:tc>
          <w:tcPr>
            <w:tcW w:w="1295" w:type="dxa"/>
          </w:tcPr>
          <w:p w14:paraId="5FB591E7">
            <w:pPr>
              <w:spacing w:before="144" w:line="200" w:lineRule="exact"/>
              <w:ind w:left="238"/>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50-1000</w:t>
            </w:r>
          </w:p>
        </w:tc>
        <w:tc>
          <w:tcPr>
            <w:tcW w:w="1004" w:type="dxa"/>
          </w:tcPr>
          <w:p w14:paraId="1790097B">
            <w:pPr>
              <w:spacing w:before="103"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50</w:t>
            </w:r>
          </w:p>
        </w:tc>
      </w:tr>
      <w:tr w14:paraId="20D5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FA04E62">
            <w:pPr>
              <w:spacing w:before="117" w:line="200" w:lineRule="exact"/>
              <w:ind w:left="133" w:right="110" w:firstLine="112"/>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租</w:t>
            </w:r>
            <w:r>
              <w:rPr>
                <w:rFonts w:ascii="仿宋" w:hAnsi="仿宋" w:eastAsia="仿宋" w:cs="仿宋"/>
                <w:color w:val="auto"/>
                <w:spacing w:val="4"/>
                <w:sz w:val="23"/>
                <w:szCs w:val="23"/>
                <w:highlight w:val="none"/>
              </w:rPr>
              <w:t>赁和商务服</w:t>
            </w:r>
            <w:r>
              <w:rPr>
                <w:rFonts w:ascii="仿宋" w:hAnsi="仿宋" w:eastAsia="仿宋" w:cs="仿宋"/>
                <w:color w:val="auto"/>
                <w:spacing w:val="3"/>
                <w:sz w:val="23"/>
                <w:szCs w:val="23"/>
                <w:highlight w:val="none"/>
              </w:rPr>
              <w:t>务</w:t>
            </w:r>
          </w:p>
        </w:tc>
        <w:tc>
          <w:tcPr>
            <w:tcW w:w="1187" w:type="dxa"/>
          </w:tcPr>
          <w:p w14:paraId="07B65E0F">
            <w:pPr>
              <w:spacing w:before="48"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3DB96921">
            <w:pPr>
              <w:spacing w:before="48"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514DB4F">
            <w:pPr>
              <w:spacing w:before="48" w:line="200" w:lineRule="exact"/>
              <w:ind w:left="43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≥300</w:t>
            </w:r>
          </w:p>
        </w:tc>
        <w:tc>
          <w:tcPr>
            <w:tcW w:w="1535" w:type="dxa"/>
          </w:tcPr>
          <w:p w14:paraId="651E0595">
            <w:pPr>
              <w:spacing w:before="89" w:line="200" w:lineRule="exact"/>
              <w:ind w:left="37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tcPr>
          <w:p w14:paraId="76A6839B">
            <w:pPr>
              <w:spacing w:before="89" w:line="200" w:lineRule="exact"/>
              <w:ind w:left="311"/>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tcPr>
          <w:p w14:paraId="28FE7814">
            <w:pPr>
              <w:spacing w:before="48" w:line="200" w:lineRule="exact"/>
              <w:ind w:left="287"/>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7A6E3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5EAE774E">
            <w:pPr>
              <w:spacing w:line="200" w:lineRule="exact"/>
              <w:rPr>
                <w:rFonts w:ascii="Arial"/>
                <w:color w:val="auto"/>
                <w:highlight w:val="none"/>
              </w:rPr>
            </w:pPr>
          </w:p>
        </w:tc>
        <w:tc>
          <w:tcPr>
            <w:tcW w:w="1187" w:type="dxa"/>
          </w:tcPr>
          <w:p w14:paraId="21108D8E">
            <w:pPr>
              <w:spacing w:before="102" w:line="200" w:lineRule="exact"/>
              <w:ind w:left="138"/>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tcPr>
          <w:p w14:paraId="405B4AE4">
            <w:pPr>
              <w:spacing w:before="102" w:line="200" w:lineRule="exact"/>
              <w:ind w:left="225"/>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tcPr>
          <w:p w14:paraId="7EBB1F14">
            <w:pPr>
              <w:spacing w:before="102" w:line="200" w:lineRule="exact"/>
              <w:ind w:left="250"/>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≥120000</w:t>
            </w:r>
          </w:p>
        </w:tc>
        <w:tc>
          <w:tcPr>
            <w:tcW w:w="1535" w:type="dxa"/>
          </w:tcPr>
          <w:p w14:paraId="0681EE3C">
            <w:pPr>
              <w:spacing w:before="143" w:line="200" w:lineRule="exact"/>
              <w:ind w:left="113"/>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8</w:t>
            </w:r>
            <w:r>
              <w:rPr>
                <w:rFonts w:ascii="仿宋" w:hAnsi="仿宋" w:eastAsia="仿宋" w:cs="仿宋"/>
                <w:color w:val="auto"/>
                <w:spacing w:val="4"/>
                <w:sz w:val="23"/>
                <w:szCs w:val="23"/>
                <w:highlight w:val="none"/>
              </w:rPr>
              <w:t>000-120000</w:t>
            </w:r>
          </w:p>
        </w:tc>
        <w:tc>
          <w:tcPr>
            <w:tcW w:w="1295" w:type="dxa"/>
          </w:tcPr>
          <w:p w14:paraId="149395B3">
            <w:pPr>
              <w:spacing w:before="143" w:line="200" w:lineRule="exact"/>
              <w:ind w:left="191"/>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100-8</w:t>
            </w:r>
            <w:r>
              <w:rPr>
                <w:rFonts w:ascii="仿宋" w:hAnsi="仿宋" w:eastAsia="仿宋" w:cs="仿宋"/>
                <w:color w:val="auto"/>
                <w:spacing w:val="1"/>
                <w:sz w:val="23"/>
                <w:szCs w:val="23"/>
                <w:highlight w:val="none"/>
              </w:rPr>
              <w:t>000</w:t>
            </w:r>
          </w:p>
        </w:tc>
        <w:tc>
          <w:tcPr>
            <w:tcW w:w="1004" w:type="dxa"/>
          </w:tcPr>
          <w:p w14:paraId="61A3F062">
            <w:pPr>
              <w:spacing w:before="102" w:line="200" w:lineRule="exact"/>
              <w:ind w:left="227"/>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6E2A4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2B94B1DF">
            <w:pPr>
              <w:spacing w:before="40" w:line="200" w:lineRule="exact"/>
              <w:ind w:left="259" w:right="110" w:hanging="133"/>
              <w:rPr>
                <w:rFonts w:ascii="仿宋" w:hAnsi="仿宋" w:eastAsia="仿宋" w:cs="仿宋"/>
                <w:color w:val="auto"/>
                <w:sz w:val="23"/>
                <w:szCs w:val="23"/>
                <w:highlight w:val="none"/>
              </w:rPr>
            </w:pPr>
            <w:r>
              <w:rPr>
                <w:rFonts w:ascii="仿宋" w:hAnsi="仿宋" w:eastAsia="仿宋" w:cs="仿宋"/>
                <w:color w:val="auto"/>
                <w:spacing w:val="7"/>
                <w:sz w:val="23"/>
                <w:szCs w:val="23"/>
                <w:highlight w:val="none"/>
              </w:rPr>
              <w:t>其</w:t>
            </w:r>
            <w:r>
              <w:rPr>
                <w:rFonts w:ascii="仿宋" w:hAnsi="仿宋" w:eastAsia="仿宋" w:cs="仿宋"/>
                <w:color w:val="auto"/>
                <w:spacing w:val="5"/>
                <w:sz w:val="23"/>
                <w:szCs w:val="23"/>
                <w:highlight w:val="none"/>
              </w:rPr>
              <w:t>他未列</w:t>
            </w:r>
            <w:r>
              <w:rPr>
                <w:rFonts w:ascii="仿宋" w:hAnsi="仿宋" w:eastAsia="仿宋" w:cs="仿宋"/>
                <w:color w:val="auto"/>
                <w:spacing w:val="-1"/>
                <w:sz w:val="23"/>
                <w:szCs w:val="23"/>
                <w:highlight w:val="none"/>
              </w:rPr>
              <w:t>明</w:t>
            </w:r>
            <w:r>
              <w:rPr>
                <w:rFonts w:ascii="仿宋" w:hAnsi="仿宋" w:eastAsia="仿宋" w:cs="仿宋"/>
                <w:color w:val="auto"/>
                <w:sz w:val="23"/>
                <w:szCs w:val="23"/>
                <w:highlight w:val="none"/>
              </w:rPr>
              <w:t>行业</w:t>
            </w:r>
          </w:p>
        </w:tc>
        <w:tc>
          <w:tcPr>
            <w:tcW w:w="1187" w:type="dxa"/>
          </w:tcPr>
          <w:p w14:paraId="1E8FBB27">
            <w:pPr>
              <w:spacing w:before="195" w:line="200" w:lineRule="exact"/>
              <w:ind w:left="125"/>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tcPr>
          <w:p w14:paraId="21D795A0">
            <w:pPr>
              <w:spacing w:before="195" w:line="200" w:lineRule="exact"/>
              <w:ind w:left="347"/>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5CAB870">
            <w:pPr>
              <w:spacing w:before="195" w:line="200" w:lineRule="exact"/>
              <w:ind w:left="430"/>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tcPr>
          <w:p w14:paraId="472E68C8">
            <w:pPr>
              <w:spacing w:before="236" w:line="200" w:lineRule="exact"/>
              <w:ind w:left="370"/>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tcPr>
          <w:p w14:paraId="3881A153">
            <w:pPr>
              <w:spacing w:before="236" w:line="200" w:lineRule="exact"/>
              <w:ind w:left="311"/>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tcPr>
          <w:p w14:paraId="3631CC6B">
            <w:pPr>
              <w:spacing w:before="195" w:line="200" w:lineRule="exact"/>
              <w:ind w:left="287"/>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bl>
    <w:p w14:paraId="7FCB42D6">
      <w:pPr>
        <w:pStyle w:val="34"/>
        <w:spacing w:line="360" w:lineRule="auto"/>
        <w:jc w:val="both"/>
        <w:rPr>
          <w:rFonts w:ascii="宋体" w:hAnsi="宋体" w:eastAsia="宋体" w:cs="宋体"/>
          <w:color w:val="auto"/>
          <w:highlight w:val="none"/>
        </w:rPr>
      </w:pPr>
      <w:r>
        <w:rPr>
          <w:rFonts w:hint="eastAsia" w:ascii="宋体" w:hAnsi="宋体" w:eastAsia="宋体" w:cs="宋体"/>
          <w:color w:val="auto"/>
          <w:highlight w:val="none"/>
        </w:rPr>
        <w:t>说明： 中、小、微型企业只须满足所列指标中的一项，即为该型企业。</w:t>
      </w:r>
    </w:p>
    <w:p w14:paraId="28488717">
      <w:pPr>
        <w:pStyle w:val="34"/>
        <w:spacing w:line="360" w:lineRule="auto"/>
        <w:jc w:val="both"/>
        <w:rPr>
          <w:rFonts w:ascii="宋体" w:hAnsi="宋体" w:eastAsia="宋体" w:cs="宋体"/>
          <w:b/>
          <w:bCs/>
          <w:color w:val="auto"/>
          <w:sz w:val="24"/>
          <w:szCs w:val="32"/>
          <w:highlight w:val="none"/>
        </w:rPr>
      </w:pPr>
    </w:p>
    <w:p w14:paraId="079A0F9D">
      <w:pPr>
        <w:pStyle w:val="34"/>
        <w:spacing w:line="360" w:lineRule="auto"/>
        <w:jc w:val="both"/>
        <w:rPr>
          <w:rFonts w:ascii="宋体" w:hAnsi="宋体" w:eastAsia="宋体" w:cs="宋体"/>
          <w:b/>
          <w:bCs/>
          <w:color w:val="auto"/>
          <w:sz w:val="24"/>
          <w:szCs w:val="32"/>
          <w:highlight w:val="none"/>
        </w:rPr>
      </w:pPr>
    </w:p>
    <w:p w14:paraId="54BA268A">
      <w:pPr>
        <w:pStyle w:val="34"/>
        <w:spacing w:line="360" w:lineRule="auto"/>
        <w:jc w:val="both"/>
        <w:rPr>
          <w:rFonts w:ascii="宋体" w:hAnsi="宋体" w:eastAsia="宋体" w:cs="宋体"/>
          <w:b/>
          <w:bCs/>
          <w:color w:val="auto"/>
          <w:sz w:val="24"/>
          <w:szCs w:val="32"/>
          <w:highlight w:val="none"/>
        </w:rPr>
      </w:pPr>
    </w:p>
    <w:p w14:paraId="5AE572D8">
      <w:pPr>
        <w:pStyle w:val="34"/>
        <w:spacing w:line="360" w:lineRule="auto"/>
        <w:jc w:val="both"/>
        <w:rPr>
          <w:rFonts w:ascii="宋体" w:hAnsi="宋体" w:eastAsia="宋体" w:cs="宋体"/>
          <w:color w:val="auto"/>
          <w:highlight w:val="none"/>
        </w:rPr>
      </w:pPr>
      <w:r>
        <w:rPr>
          <w:rFonts w:hint="eastAsia" w:ascii="宋体" w:hAnsi="宋体" w:eastAsia="宋体" w:cs="宋体"/>
          <w:color w:val="auto"/>
          <w:highlight w:val="none"/>
        </w:rPr>
        <w:t>③监狱企业由省级以上监狱管理局、戒毒管理局 (含新疆生产建设兵团) 出具的属于监狱企业的证明文件；</w:t>
      </w:r>
    </w:p>
    <w:p w14:paraId="76832C83">
      <w:pPr>
        <w:pStyle w:val="34"/>
        <w:spacing w:line="360" w:lineRule="auto"/>
        <w:jc w:val="both"/>
        <w:rPr>
          <w:rFonts w:ascii="宋体" w:hAnsi="宋体" w:eastAsia="宋体" w:cs="宋体"/>
          <w:color w:val="auto"/>
          <w:highlight w:val="none"/>
        </w:rPr>
      </w:pPr>
      <w:r>
        <w:rPr>
          <w:rFonts w:hint="eastAsia" w:ascii="宋体" w:hAnsi="宋体" w:eastAsia="宋体" w:cs="宋体"/>
          <w:color w:val="auto"/>
          <w:highlight w:val="none"/>
        </w:rPr>
        <w:t>④残疾人福利性单位声明函 (参照《关于促进残疾人就业政府采购政策的通知》(财库〔2017〕 141 号)认定为残疾人福利性单位的，在政府采购活动中，残疾人福利性单位视同小型、微型 企业。符合条件的残疾人福利性单位在参加政府采购活动时，应当提供本通知规定的《残疾人 福利性单位声明函》，并对声明的真实性负责(如有请提供，格式见附件) ；</w:t>
      </w:r>
    </w:p>
    <w:p w14:paraId="471FD760">
      <w:pPr>
        <w:pStyle w:val="34"/>
        <w:spacing w:line="360" w:lineRule="auto"/>
        <w:jc w:val="center"/>
        <w:rPr>
          <w:rFonts w:ascii="宋体" w:hAnsi="宋体" w:eastAsia="宋体" w:cs="宋体"/>
          <w:b/>
          <w:bCs/>
          <w:color w:val="auto"/>
          <w:sz w:val="24"/>
          <w:szCs w:val="32"/>
          <w:highlight w:val="none"/>
        </w:rPr>
      </w:pPr>
    </w:p>
    <w:p w14:paraId="2E5AC222">
      <w:pPr>
        <w:pStyle w:val="34"/>
        <w:spacing w:line="360" w:lineRule="auto"/>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2C026F93">
      <w:pPr>
        <w:pStyle w:val="34"/>
        <w:spacing w:line="360" w:lineRule="auto"/>
        <w:jc w:val="both"/>
        <w:rPr>
          <w:rFonts w:ascii="宋体" w:hAnsi="宋体" w:eastAsia="宋体" w:cs="宋体"/>
          <w:color w:val="auto"/>
          <w:sz w:val="24"/>
          <w:szCs w:val="32"/>
          <w:highlight w:val="none"/>
        </w:rPr>
      </w:pPr>
    </w:p>
    <w:p w14:paraId="12DC38EE">
      <w:pPr>
        <w:pStyle w:val="34"/>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 (财库〔2017〕141 号) 的规定，本单位为符合条件的残疾人福利性单位，且本单位参加______单位的______项目采购活动提供本单位制造的货物 (由本单位承担工程/提供服务) ，或者提供其他残疾人福利性单位制造的货物 (不包括使用非残疾人福利性单位注册商标的货物) 。</w:t>
      </w:r>
    </w:p>
    <w:p w14:paraId="605552B1">
      <w:pPr>
        <w:pStyle w:val="34"/>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33F31DAE">
      <w:pPr>
        <w:pStyle w:val="34"/>
        <w:spacing w:line="360" w:lineRule="auto"/>
        <w:jc w:val="both"/>
        <w:rPr>
          <w:rFonts w:ascii="宋体" w:hAnsi="宋体" w:eastAsia="宋体" w:cs="宋体"/>
          <w:color w:val="auto"/>
          <w:highlight w:val="none"/>
        </w:rPr>
      </w:pPr>
    </w:p>
    <w:p w14:paraId="24BFD43F">
      <w:pPr>
        <w:pStyle w:val="34"/>
        <w:spacing w:line="360" w:lineRule="auto"/>
        <w:jc w:val="both"/>
        <w:rPr>
          <w:rFonts w:ascii="宋体" w:hAnsi="宋体" w:eastAsia="宋体" w:cs="宋体"/>
          <w:color w:val="auto"/>
          <w:highlight w:val="none"/>
        </w:rPr>
      </w:pPr>
    </w:p>
    <w:p w14:paraId="3AEF1DB4">
      <w:pPr>
        <w:pStyle w:val="34"/>
        <w:spacing w:line="360" w:lineRule="auto"/>
        <w:ind w:firstLine="5670" w:firstLineChars="2700"/>
        <w:jc w:val="both"/>
        <w:rPr>
          <w:rFonts w:ascii="宋体" w:hAnsi="宋体" w:eastAsia="宋体" w:cs="宋体"/>
          <w:color w:val="auto"/>
          <w:highlight w:val="none"/>
        </w:rPr>
      </w:pPr>
      <w:r>
        <w:rPr>
          <w:rFonts w:hint="eastAsia" w:ascii="宋体" w:hAnsi="宋体" w:eastAsia="宋体" w:cs="宋体"/>
          <w:color w:val="auto"/>
          <w:highlight w:val="none"/>
        </w:rPr>
        <w:t>单位名称 (盖章) ：</w:t>
      </w:r>
    </w:p>
    <w:p w14:paraId="02334CA5">
      <w:pPr>
        <w:pStyle w:val="34"/>
        <w:spacing w:line="360" w:lineRule="auto"/>
        <w:ind w:firstLine="5880" w:firstLineChars="2800"/>
        <w:jc w:val="both"/>
        <w:rPr>
          <w:rFonts w:ascii="宋体" w:hAnsi="宋体" w:eastAsia="宋体" w:cs="宋体"/>
          <w:color w:val="auto"/>
          <w:highlight w:val="none"/>
        </w:rPr>
      </w:pPr>
      <w:r>
        <w:rPr>
          <w:rFonts w:hint="eastAsia" w:ascii="宋体" w:hAnsi="宋体" w:eastAsia="宋体" w:cs="宋体"/>
          <w:color w:val="auto"/>
          <w:highlight w:val="none"/>
        </w:rPr>
        <w:t>日  期：</w:t>
      </w:r>
    </w:p>
    <w:p w14:paraId="231B01F9">
      <w:pPr>
        <w:pStyle w:val="34"/>
        <w:spacing w:line="360" w:lineRule="auto"/>
        <w:ind w:firstLine="5880" w:firstLineChars="2800"/>
        <w:jc w:val="both"/>
        <w:rPr>
          <w:rFonts w:ascii="宋体" w:hAnsi="宋体" w:eastAsia="宋体" w:cs="宋体"/>
          <w:color w:val="auto"/>
          <w:highlight w:val="none"/>
        </w:rPr>
      </w:pPr>
    </w:p>
    <w:p w14:paraId="119F071B">
      <w:pPr>
        <w:pStyle w:val="34"/>
        <w:spacing w:line="360" w:lineRule="auto"/>
        <w:ind w:firstLine="5880" w:firstLineChars="2800"/>
        <w:jc w:val="both"/>
        <w:rPr>
          <w:rFonts w:ascii="宋体" w:hAnsi="宋体" w:eastAsia="宋体" w:cs="宋体"/>
          <w:color w:val="auto"/>
          <w:highlight w:val="none"/>
        </w:rPr>
      </w:pPr>
    </w:p>
    <w:p w14:paraId="013BEF87">
      <w:pPr>
        <w:pStyle w:val="34"/>
        <w:spacing w:line="360" w:lineRule="auto"/>
        <w:jc w:val="both"/>
        <w:rPr>
          <w:rFonts w:ascii="宋体" w:hAnsi="宋体" w:eastAsia="宋体" w:cs="宋体"/>
          <w:color w:val="auto"/>
          <w:highlight w:val="none"/>
        </w:rPr>
      </w:pPr>
      <w:r>
        <w:rPr>
          <w:rFonts w:hint="eastAsia" w:ascii="宋体" w:hAnsi="宋体" w:eastAsia="宋体" w:cs="宋体"/>
          <w:color w:val="auto"/>
          <w:highlight w:val="none"/>
        </w:rPr>
        <w:t>注：如磋商人为残疾人福利性单位，可提供声明函作为评分项加分依据。但除了提供本声明函外，还须提供工商办理残疾人福利性单位相关证明材料 (如残疾人证件等被认定为残疾人福利性单位的相关证明材料)</w:t>
      </w:r>
    </w:p>
    <w:p w14:paraId="40F1892C">
      <w:pPr>
        <w:pStyle w:val="34"/>
        <w:spacing w:line="360" w:lineRule="auto"/>
        <w:jc w:val="both"/>
        <w:rPr>
          <w:rFonts w:ascii="宋体" w:hAnsi="宋体" w:eastAsia="宋体" w:cs="宋体"/>
          <w:color w:val="auto"/>
          <w:sz w:val="24"/>
          <w:szCs w:val="32"/>
          <w:highlight w:val="none"/>
        </w:rPr>
      </w:pPr>
    </w:p>
    <w:p w14:paraId="3B12DCD6">
      <w:pPr>
        <w:pStyle w:val="34"/>
        <w:rPr>
          <w:rFonts w:hAnsi="宋体"/>
          <w:color w:val="auto"/>
          <w:highlight w:val="none"/>
        </w:rPr>
      </w:pPr>
    </w:p>
    <w:p w14:paraId="6EAF85F7">
      <w:pPr>
        <w:pStyle w:val="34"/>
        <w:rPr>
          <w:rFonts w:hAnsi="宋体"/>
          <w:color w:val="auto"/>
          <w:highlight w:val="none"/>
        </w:rPr>
      </w:pPr>
    </w:p>
    <w:p w14:paraId="0FAF9804">
      <w:pPr>
        <w:pStyle w:val="34"/>
        <w:rPr>
          <w:rFonts w:hAnsi="宋体"/>
          <w:color w:val="auto"/>
          <w:highlight w:val="none"/>
        </w:rPr>
      </w:pPr>
    </w:p>
    <w:p w14:paraId="52B2841E">
      <w:pPr>
        <w:pStyle w:val="34"/>
        <w:rPr>
          <w:rFonts w:hAnsi="宋体"/>
          <w:color w:val="auto"/>
          <w:highlight w:val="none"/>
        </w:rPr>
      </w:pPr>
    </w:p>
    <w:p w14:paraId="34FA92F0">
      <w:pPr>
        <w:pStyle w:val="34"/>
        <w:rPr>
          <w:rFonts w:hAnsi="宋体"/>
          <w:color w:val="auto"/>
          <w:highlight w:val="none"/>
        </w:rPr>
      </w:pPr>
    </w:p>
    <w:p w14:paraId="54143A6D">
      <w:pPr>
        <w:pStyle w:val="34"/>
        <w:rPr>
          <w:rFonts w:hAnsi="宋体"/>
          <w:color w:val="auto"/>
          <w:highlight w:val="none"/>
        </w:rPr>
      </w:pPr>
    </w:p>
    <w:p w14:paraId="35951BFF">
      <w:pPr>
        <w:pStyle w:val="34"/>
        <w:rPr>
          <w:rFonts w:hAnsi="宋体"/>
          <w:color w:val="auto"/>
          <w:highlight w:val="none"/>
        </w:rPr>
      </w:pPr>
    </w:p>
    <w:p w14:paraId="7C331C7D">
      <w:pPr>
        <w:pStyle w:val="34"/>
        <w:rPr>
          <w:rFonts w:hAnsi="宋体"/>
          <w:color w:val="auto"/>
          <w:highlight w:val="none"/>
        </w:rPr>
      </w:pPr>
    </w:p>
    <w:p w14:paraId="30FABF8D">
      <w:pPr>
        <w:pStyle w:val="34"/>
        <w:rPr>
          <w:rFonts w:asciiTheme="majorEastAsia" w:hAnsiTheme="majorEastAsia" w:eastAsiaTheme="majorEastAsia" w:cstheme="majorEastAsia"/>
          <w:b/>
          <w:bCs/>
          <w:color w:val="auto"/>
          <w:sz w:val="28"/>
          <w:szCs w:val="36"/>
          <w:highlight w:val="none"/>
        </w:rPr>
      </w:pPr>
      <w:r>
        <w:rPr>
          <w:rFonts w:hint="eastAsia" w:asciiTheme="majorEastAsia" w:hAnsiTheme="majorEastAsia" w:eastAsiaTheme="majorEastAsia" w:cstheme="majorEastAsia"/>
          <w:b/>
          <w:bCs/>
          <w:color w:val="auto"/>
          <w:sz w:val="28"/>
          <w:szCs w:val="36"/>
          <w:highlight w:val="none"/>
        </w:rPr>
        <w:t>三、竞标报价文件格式</w:t>
      </w:r>
    </w:p>
    <w:p w14:paraId="6856D551">
      <w:pPr>
        <w:pStyle w:val="34"/>
        <w:rPr>
          <w:rFonts w:asciiTheme="majorEastAsia" w:hAnsiTheme="majorEastAsia" w:eastAsiaTheme="majorEastAsia" w:cstheme="majorEastAsia"/>
          <w:b/>
          <w:bCs/>
          <w:color w:val="auto"/>
          <w:sz w:val="28"/>
          <w:szCs w:val="36"/>
          <w:highlight w:val="none"/>
        </w:rPr>
      </w:pPr>
    </w:p>
    <w:p w14:paraId="217B43B9">
      <w:pPr>
        <w:pStyle w:val="34"/>
        <w:rPr>
          <w:rFonts w:asciiTheme="majorEastAsia" w:hAnsiTheme="majorEastAsia" w:eastAsiaTheme="majorEastAsia" w:cstheme="majorEastAsia"/>
          <w:b/>
          <w:bCs/>
          <w:color w:val="auto"/>
          <w:sz w:val="28"/>
          <w:szCs w:val="36"/>
          <w:highlight w:val="none"/>
        </w:rPr>
      </w:pPr>
    </w:p>
    <w:p w14:paraId="588CD601">
      <w:pPr>
        <w:pStyle w:val="34"/>
        <w:rPr>
          <w:rFonts w:asciiTheme="majorEastAsia" w:hAnsiTheme="majorEastAsia" w:eastAsiaTheme="majorEastAsia" w:cstheme="majorEastAsia"/>
          <w:b/>
          <w:bCs/>
          <w:color w:val="auto"/>
          <w:sz w:val="28"/>
          <w:szCs w:val="36"/>
          <w:highlight w:val="none"/>
        </w:rPr>
      </w:pPr>
    </w:p>
    <w:p w14:paraId="429AFA32">
      <w:pPr>
        <w:pStyle w:val="34"/>
        <w:rPr>
          <w:rFonts w:asciiTheme="majorEastAsia" w:hAnsiTheme="majorEastAsia" w:eastAsiaTheme="majorEastAsia" w:cstheme="majorEastAsia"/>
          <w:b/>
          <w:bCs/>
          <w:color w:val="auto"/>
          <w:sz w:val="28"/>
          <w:szCs w:val="36"/>
          <w:highlight w:val="none"/>
        </w:rPr>
      </w:pPr>
    </w:p>
    <w:p w14:paraId="554A2AB1">
      <w:pPr>
        <w:pStyle w:val="34"/>
        <w:rPr>
          <w:rFonts w:asciiTheme="majorEastAsia" w:hAnsiTheme="majorEastAsia" w:eastAsiaTheme="majorEastAsia" w:cstheme="majorEastAsia"/>
          <w:b/>
          <w:bCs/>
          <w:color w:val="auto"/>
          <w:sz w:val="28"/>
          <w:szCs w:val="36"/>
          <w:highlight w:val="none"/>
        </w:rPr>
      </w:pPr>
    </w:p>
    <w:p w14:paraId="213CD043">
      <w:pPr>
        <w:pStyle w:val="34"/>
        <w:rPr>
          <w:rFonts w:asciiTheme="majorEastAsia" w:hAnsiTheme="majorEastAsia" w:eastAsiaTheme="majorEastAsia" w:cstheme="majorEastAsia"/>
          <w:b/>
          <w:bCs/>
          <w:color w:val="auto"/>
          <w:sz w:val="28"/>
          <w:szCs w:val="36"/>
          <w:highlight w:val="none"/>
        </w:rPr>
      </w:pPr>
    </w:p>
    <w:p w14:paraId="50BEDB35">
      <w:pPr>
        <w:pStyle w:val="34"/>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竞 标 报 价 文 件</w:t>
      </w:r>
    </w:p>
    <w:p w14:paraId="201B037D">
      <w:pPr>
        <w:pStyle w:val="34"/>
        <w:jc w:val="center"/>
        <w:rPr>
          <w:rFonts w:asciiTheme="majorEastAsia" w:hAnsiTheme="majorEastAsia" w:eastAsiaTheme="majorEastAsia" w:cstheme="majorEastAsia"/>
          <w:b/>
          <w:bCs/>
          <w:color w:val="auto"/>
          <w:sz w:val="32"/>
          <w:szCs w:val="40"/>
          <w:highlight w:val="none"/>
        </w:rPr>
      </w:pPr>
    </w:p>
    <w:p w14:paraId="7694DBC4">
      <w:pPr>
        <w:pStyle w:val="34"/>
        <w:jc w:val="center"/>
        <w:rPr>
          <w:rFonts w:asciiTheme="majorEastAsia" w:hAnsiTheme="majorEastAsia" w:eastAsiaTheme="majorEastAsia" w:cstheme="majorEastAsia"/>
          <w:b/>
          <w:bCs/>
          <w:color w:val="auto"/>
          <w:sz w:val="32"/>
          <w:szCs w:val="40"/>
          <w:highlight w:val="none"/>
        </w:rPr>
      </w:pPr>
    </w:p>
    <w:p w14:paraId="0DBF51EF">
      <w:pPr>
        <w:pStyle w:val="34"/>
        <w:jc w:val="center"/>
        <w:rPr>
          <w:rFonts w:asciiTheme="majorEastAsia" w:hAnsiTheme="majorEastAsia" w:eastAsiaTheme="majorEastAsia" w:cstheme="majorEastAsia"/>
          <w:b/>
          <w:bCs/>
          <w:color w:val="auto"/>
          <w:sz w:val="32"/>
          <w:szCs w:val="40"/>
          <w:highlight w:val="none"/>
        </w:rPr>
      </w:pPr>
    </w:p>
    <w:p w14:paraId="73B035AE">
      <w:pPr>
        <w:pStyle w:val="34"/>
        <w:jc w:val="center"/>
        <w:rPr>
          <w:rFonts w:asciiTheme="majorEastAsia" w:hAnsiTheme="majorEastAsia" w:eastAsiaTheme="majorEastAsia" w:cstheme="majorEastAsia"/>
          <w:b/>
          <w:bCs/>
          <w:color w:val="auto"/>
          <w:sz w:val="32"/>
          <w:szCs w:val="40"/>
          <w:highlight w:val="none"/>
        </w:rPr>
      </w:pPr>
    </w:p>
    <w:p w14:paraId="4E57C774">
      <w:pPr>
        <w:pStyle w:val="34"/>
        <w:jc w:val="center"/>
        <w:rPr>
          <w:rFonts w:asciiTheme="majorEastAsia" w:hAnsiTheme="majorEastAsia" w:eastAsiaTheme="majorEastAsia" w:cstheme="majorEastAsia"/>
          <w:b/>
          <w:bCs/>
          <w:color w:val="auto"/>
          <w:sz w:val="32"/>
          <w:szCs w:val="40"/>
          <w:highlight w:val="none"/>
        </w:rPr>
      </w:pPr>
    </w:p>
    <w:p w14:paraId="06788D19">
      <w:pPr>
        <w:pStyle w:val="34"/>
        <w:jc w:val="center"/>
        <w:rPr>
          <w:rFonts w:asciiTheme="majorEastAsia" w:hAnsiTheme="majorEastAsia" w:eastAsiaTheme="majorEastAsia" w:cstheme="majorEastAsia"/>
          <w:b/>
          <w:bCs/>
          <w:color w:val="auto"/>
          <w:sz w:val="32"/>
          <w:szCs w:val="40"/>
          <w:highlight w:val="none"/>
        </w:rPr>
      </w:pPr>
    </w:p>
    <w:p w14:paraId="26467CA3">
      <w:pPr>
        <w:pStyle w:val="34"/>
        <w:jc w:val="center"/>
        <w:rPr>
          <w:rFonts w:asciiTheme="majorEastAsia" w:hAnsiTheme="majorEastAsia" w:eastAsiaTheme="majorEastAsia" w:cstheme="majorEastAsia"/>
          <w:b/>
          <w:bCs/>
          <w:color w:val="auto"/>
          <w:sz w:val="32"/>
          <w:szCs w:val="40"/>
          <w:highlight w:val="none"/>
        </w:rPr>
      </w:pPr>
    </w:p>
    <w:p w14:paraId="368FD971">
      <w:pPr>
        <w:pStyle w:val="34"/>
        <w:jc w:val="center"/>
        <w:rPr>
          <w:rFonts w:asciiTheme="majorEastAsia" w:hAnsiTheme="majorEastAsia" w:eastAsiaTheme="majorEastAsia" w:cstheme="majorEastAsia"/>
          <w:b/>
          <w:bCs/>
          <w:color w:val="auto"/>
          <w:sz w:val="32"/>
          <w:szCs w:val="40"/>
          <w:highlight w:val="none"/>
        </w:rPr>
      </w:pPr>
    </w:p>
    <w:p w14:paraId="53F84740">
      <w:pPr>
        <w:pStyle w:val="34"/>
        <w:jc w:val="center"/>
        <w:rPr>
          <w:rFonts w:asciiTheme="majorEastAsia" w:hAnsiTheme="majorEastAsia" w:eastAsiaTheme="majorEastAsia" w:cstheme="majorEastAsia"/>
          <w:b/>
          <w:bCs/>
          <w:color w:val="auto"/>
          <w:sz w:val="32"/>
          <w:szCs w:val="40"/>
          <w:highlight w:val="none"/>
        </w:rPr>
      </w:pPr>
    </w:p>
    <w:p w14:paraId="01A9C8CB">
      <w:pPr>
        <w:pStyle w:val="34"/>
        <w:jc w:val="center"/>
        <w:rPr>
          <w:rFonts w:asciiTheme="majorEastAsia" w:hAnsiTheme="majorEastAsia" w:eastAsiaTheme="majorEastAsia" w:cstheme="majorEastAsia"/>
          <w:b/>
          <w:bCs/>
          <w:color w:val="auto"/>
          <w:sz w:val="32"/>
          <w:szCs w:val="40"/>
          <w:highlight w:val="none"/>
        </w:rPr>
      </w:pPr>
    </w:p>
    <w:p w14:paraId="361A90AF">
      <w:pPr>
        <w:pStyle w:val="34"/>
        <w:jc w:val="center"/>
        <w:rPr>
          <w:rFonts w:asciiTheme="majorEastAsia" w:hAnsiTheme="majorEastAsia" w:eastAsiaTheme="majorEastAsia" w:cstheme="majorEastAsia"/>
          <w:b/>
          <w:bCs/>
          <w:color w:val="auto"/>
          <w:sz w:val="32"/>
          <w:szCs w:val="40"/>
          <w:highlight w:val="none"/>
        </w:rPr>
      </w:pPr>
    </w:p>
    <w:p w14:paraId="2F2800F7">
      <w:pPr>
        <w:pStyle w:val="34"/>
        <w:jc w:val="both"/>
        <w:rPr>
          <w:rFonts w:asciiTheme="majorEastAsia" w:hAnsiTheme="majorEastAsia" w:eastAsiaTheme="majorEastAsia" w:cstheme="majorEastAsia"/>
          <w:b/>
          <w:bCs/>
          <w:color w:val="auto"/>
          <w:sz w:val="32"/>
          <w:szCs w:val="40"/>
          <w:highlight w:val="none"/>
        </w:rPr>
      </w:pPr>
    </w:p>
    <w:p w14:paraId="50A5484C">
      <w:pPr>
        <w:pStyle w:val="34"/>
        <w:jc w:val="both"/>
        <w:rPr>
          <w:rFonts w:asciiTheme="majorEastAsia" w:hAnsiTheme="majorEastAsia" w:eastAsiaTheme="majorEastAsia" w:cstheme="majorEastAsia"/>
          <w:b/>
          <w:bCs/>
          <w:color w:val="auto"/>
          <w:sz w:val="32"/>
          <w:szCs w:val="40"/>
          <w:highlight w:val="none"/>
        </w:rPr>
      </w:pPr>
    </w:p>
    <w:p w14:paraId="4DD57226">
      <w:pPr>
        <w:pStyle w:val="34"/>
        <w:jc w:val="center"/>
        <w:rPr>
          <w:rFonts w:asciiTheme="majorEastAsia" w:hAnsiTheme="majorEastAsia" w:eastAsiaTheme="majorEastAsia" w:cstheme="majorEastAsia"/>
          <w:b/>
          <w:bCs/>
          <w:color w:val="auto"/>
          <w:sz w:val="32"/>
          <w:szCs w:val="40"/>
          <w:highlight w:val="none"/>
        </w:rPr>
      </w:pPr>
    </w:p>
    <w:p w14:paraId="4A6707DF">
      <w:pPr>
        <w:pStyle w:val="34"/>
        <w:jc w:val="both"/>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1、磋商函；</w:t>
      </w:r>
    </w:p>
    <w:p w14:paraId="064C4EAB">
      <w:pPr>
        <w:pStyle w:val="34"/>
        <w:jc w:val="center"/>
        <w:rPr>
          <w:rFonts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w:t>
      </w:r>
    </w:p>
    <w:p w14:paraId="43EEB467">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招标投标采购法》、《中华人民共和国招标投标采购法实施条例》、《招标投标采购竞争性磋商采购方式管理暂行办法》等有关规定，经踏勘项目现场和研究上述竞争性磋商文件的磋商须知、合同 条款、图纸、工程建设标准和工程量清单及其他有关文件后，我方愿以人民币 (大 写)</w:t>
      </w:r>
      <w:r>
        <w:rPr>
          <w:rFonts w:hint="eastAsia" w:asciiTheme="majorEastAsia" w:hAnsiTheme="majorEastAsia" w:eastAsiaTheme="majorEastAsia" w:cstheme="majorEastAsia"/>
          <w:color w:val="auto"/>
          <w:highlight w:val="none"/>
          <w:u w:val="single"/>
        </w:rPr>
        <w:t xml:space="preserve">                (</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的磋商报价，并按上述图纸、合同条款、工程建设标准和工程量清单 (如有时) 的条件要求承包上述工程的施工、竣工，并承担任何质量缺陷保修责任。我方保证工程质量达到等级。</w:t>
      </w:r>
    </w:p>
    <w:p w14:paraId="5BA4F519">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 (如有时) 及有关附件。</w:t>
      </w:r>
    </w:p>
    <w:p w14:paraId="095C2D2D">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06EAA1E1">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4、我方承诺已经具备《中华人民共和国招标投标采购法》中规定的参加招标投标采购活动的供应商应当具备的条件：</w:t>
      </w:r>
    </w:p>
    <w:p w14:paraId="3C8DE090">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具有独立承担民事责任的能力；</w:t>
      </w:r>
    </w:p>
    <w:p w14:paraId="6046DF22">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 具有良好的商业信誉和健全的财务会计制度；</w:t>
      </w:r>
    </w:p>
    <w:p w14:paraId="4C425223">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 具有履行合同所必需的设备和专业技术能力；</w:t>
      </w:r>
    </w:p>
    <w:p w14:paraId="202DFC5F">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 有依法缴纳税收和社会保障资金的良好记录；</w:t>
      </w:r>
    </w:p>
    <w:p w14:paraId="79DF5E24">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 参加招标投标采购活动前三年内，在经营活动中没有重大违法记录；</w:t>
      </w:r>
    </w:p>
    <w:p w14:paraId="52E42E2B">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 法律、行政法规规定的其他条件。</w:t>
      </w:r>
    </w:p>
    <w:p w14:paraId="2D7F98EF">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5、一旦我方成交，我方保证按合同书中规定的工期日历天内完成并移交全部工程。</w:t>
      </w:r>
    </w:p>
    <w:p w14:paraId="4B6D8C4B">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19B6AB92">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51168AA6">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5E5E508E">
      <w:pPr>
        <w:pStyle w:val="34"/>
        <w:spacing w:line="400" w:lineRule="exact"/>
        <w:ind w:firstLine="420" w:firstLineChars="200"/>
        <w:jc w:val="both"/>
        <w:rPr>
          <w:rFonts w:asciiTheme="majorEastAsia" w:hAnsiTheme="majorEastAsia" w:eastAsiaTheme="majorEastAsia" w:cstheme="majorEastAsia"/>
          <w:color w:val="auto"/>
          <w:highlight w:val="none"/>
        </w:rPr>
      </w:pPr>
    </w:p>
    <w:p w14:paraId="5FE38425">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商：(盖单位章)</w:t>
      </w:r>
    </w:p>
    <w:p w14:paraId="4C4431EE">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单位地址：</w:t>
      </w:r>
    </w:p>
    <w:p w14:paraId="36BF4BE8">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           (签字或盖章)</w:t>
      </w:r>
    </w:p>
    <w:p w14:paraId="3ADD1849">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7798EAFD">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498E1055">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5EF26D84">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73FCFDB2">
      <w:pPr>
        <w:pStyle w:val="34"/>
        <w:spacing w:line="400" w:lineRule="exact"/>
        <w:ind w:firstLine="420" w:firstLineChars="200"/>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3B1C3996">
      <w:pPr>
        <w:pStyle w:val="34"/>
        <w:spacing w:line="400" w:lineRule="exact"/>
        <w:ind w:firstLine="420" w:firstLineChars="200"/>
        <w:jc w:val="both"/>
        <w:rPr>
          <w:rFonts w:asciiTheme="majorEastAsia" w:hAnsiTheme="majorEastAsia" w:eastAsiaTheme="majorEastAsia" w:cstheme="majorEastAsia"/>
          <w:color w:val="auto"/>
          <w:highlight w:val="none"/>
        </w:rPr>
      </w:pPr>
    </w:p>
    <w:p w14:paraId="04FDACD2">
      <w:pPr>
        <w:pStyle w:val="34"/>
        <w:spacing w:line="360" w:lineRule="exact"/>
        <w:jc w:val="both"/>
        <w:rPr>
          <w:rFonts w:asciiTheme="majorEastAsia" w:hAnsiTheme="majorEastAsia" w:eastAsiaTheme="majorEastAsia" w:cstheme="majorEastAsia"/>
          <w:b/>
          <w:bCs/>
          <w:color w:val="auto"/>
          <w:sz w:val="24"/>
          <w:szCs w:val="32"/>
          <w:highlight w:val="none"/>
        </w:rPr>
      </w:pPr>
      <w:r>
        <w:rPr>
          <w:rFonts w:hint="eastAsia" w:asciiTheme="majorEastAsia" w:hAnsiTheme="majorEastAsia" w:eastAsiaTheme="majorEastAsia" w:cstheme="majorEastAsia"/>
          <w:b/>
          <w:bCs/>
          <w:color w:val="auto"/>
          <w:sz w:val="24"/>
          <w:szCs w:val="32"/>
          <w:highlight w:val="none"/>
        </w:rPr>
        <w:t>2、磋商函附录</w:t>
      </w:r>
    </w:p>
    <w:p w14:paraId="33ADF3D0">
      <w:pPr>
        <w:pStyle w:val="34"/>
        <w:spacing w:line="360" w:lineRule="exact"/>
        <w:ind w:firstLine="562" w:firstLineChars="200"/>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w:t>
      </w:r>
    </w:p>
    <w:tbl>
      <w:tblPr>
        <w:tblStyle w:val="47"/>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2F991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4E28D61A">
            <w:pPr>
              <w:spacing w:before="181" w:line="230" w:lineRule="auto"/>
              <w:ind w:left="292"/>
              <w:rPr>
                <w:rFonts w:ascii="宋体" w:hAnsi="宋体" w:cs="宋体"/>
                <w:color w:val="auto"/>
                <w:szCs w:val="21"/>
                <w:highlight w:val="none"/>
              </w:rPr>
            </w:pPr>
            <w:r>
              <w:rPr>
                <w:rFonts w:hint="eastAsia" w:ascii="宋体" w:hAnsi="宋体" w:cs="宋体"/>
                <w:color w:val="auto"/>
                <w:spacing w:val="5"/>
                <w:szCs w:val="21"/>
                <w:highlight w:val="none"/>
              </w:rPr>
              <w:t>序号</w:t>
            </w:r>
          </w:p>
        </w:tc>
        <w:tc>
          <w:tcPr>
            <w:tcW w:w="3424" w:type="dxa"/>
          </w:tcPr>
          <w:p w14:paraId="76A2ACCE">
            <w:pPr>
              <w:spacing w:before="181" w:line="228" w:lineRule="auto"/>
              <w:ind w:left="1298"/>
              <w:rPr>
                <w:rFonts w:ascii="宋体" w:hAnsi="宋体" w:cs="宋体"/>
                <w:color w:val="auto"/>
                <w:szCs w:val="21"/>
                <w:highlight w:val="none"/>
              </w:rPr>
            </w:pPr>
            <w:r>
              <w:rPr>
                <w:rFonts w:hint="eastAsia" w:ascii="宋体" w:hAnsi="宋体" w:cs="宋体"/>
                <w:color w:val="auto"/>
                <w:spacing w:val="7"/>
                <w:szCs w:val="21"/>
                <w:highlight w:val="none"/>
              </w:rPr>
              <w:t>条款内</w:t>
            </w:r>
            <w:r>
              <w:rPr>
                <w:rFonts w:hint="eastAsia" w:ascii="宋体" w:hAnsi="宋体" w:cs="宋体"/>
                <w:color w:val="auto"/>
                <w:spacing w:val="6"/>
                <w:szCs w:val="21"/>
                <w:highlight w:val="none"/>
              </w:rPr>
              <w:t>容</w:t>
            </w:r>
          </w:p>
        </w:tc>
        <w:tc>
          <w:tcPr>
            <w:tcW w:w="2818" w:type="dxa"/>
          </w:tcPr>
          <w:p w14:paraId="178A6B89">
            <w:pPr>
              <w:spacing w:before="181" w:line="228" w:lineRule="auto"/>
              <w:ind w:left="1000"/>
              <w:rPr>
                <w:rFonts w:ascii="宋体" w:hAnsi="宋体" w:cs="宋体"/>
                <w:color w:val="auto"/>
                <w:szCs w:val="21"/>
                <w:highlight w:val="none"/>
              </w:rPr>
            </w:pPr>
            <w:r>
              <w:rPr>
                <w:rFonts w:hint="eastAsia" w:ascii="宋体" w:hAnsi="宋体" w:cs="宋体"/>
                <w:color w:val="auto"/>
                <w:spacing w:val="6"/>
                <w:szCs w:val="21"/>
                <w:highlight w:val="none"/>
              </w:rPr>
              <w:t>约定内容</w:t>
            </w:r>
          </w:p>
        </w:tc>
        <w:tc>
          <w:tcPr>
            <w:tcW w:w="1696" w:type="dxa"/>
          </w:tcPr>
          <w:p w14:paraId="68438AA3">
            <w:pPr>
              <w:spacing w:before="181" w:line="230" w:lineRule="auto"/>
              <w:ind w:left="646"/>
              <w:rPr>
                <w:rFonts w:ascii="宋体" w:hAnsi="宋体" w:cs="宋体"/>
                <w:color w:val="auto"/>
                <w:szCs w:val="21"/>
                <w:highlight w:val="none"/>
              </w:rPr>
            </w:pPr>
            <w:r>
              <w:rPr>
                <w:rFonts w:hint="eastAsia" w:ascii="宋体" w:hAnsi="宋体" w:cs="宋体"/>
                <w:color w:val="auto"/>
                <w:spacing w:val="4"/>
                <w:szCs w:val="21"/>
                <w:highlight w:val="none"/>
              </w:rPr>
              <w:t>备</w:t>
            </w:r>
            <w:r>
              <w:rPr>
                <w:rFonts w:hint="eastAsia" w:ascii="宋体" w:hAnsi="宋体" w:cs="宋体"/>
                <w:color w:val="auto"/>
                <w:spacing w:val="3"/>
                <w:szCs w:val="21"/>
                <w:highlight w:val="none"/>
              </w:rPr>
              <w:t>注</w:t>
            </w:r>
          </w:p>
        </w:tc>
      </w:tr>
      <w:tr w14:paraId="37F86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4B2279D7">
            <w:pPr>
              <w:spacing w:before="211" w:line="193" w:lineRule="auto"/>
              <w:ind w:left="467"/>
              <w:rPr>
                <w:rFonts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36971DD2">
            <w:pPr>
              <w:spacing w:before="180" w:line="229" w:lineRule="auto"/>
              <w:ind w:left="1300"/>
              <w:rPr>
                <w:rFonts w:ascii="宋体" w:hAnsi="宋体" w:cs="宋体"/>
                <w:color w:val="auto"/>
                <w:szCs w:val="21"/>
                <w:highlight w:val="none"/>
              </w:rPr>
            </w:pPr>
            <w:r>
              <w:rPr>
                <w:rFonts w:hint="eastAsia" w:ascii="宋体" w:hAnsi="宋体" w:cs="宋体"/>
                <w:color w:val="auto"/>
                <w:spacing w:val="8"/>
                <w:szCs w:val="21"/>
                <w:highlight w:val="none"/>
              </w:rPr>
              <w:t>项</w:t>
            </w:r>
            <w:r>
              <w:rPr>
                <w:rFonts w:hint="eastAsia" w:ascii="宋体" w:hAnsi="宋体" w:cs="宋体"/>
                <w:color w:val="auto"/>
                <w:spacing w:val="6"/>
                <w:szCs w:val="21"/>
                <w:highlight w:val="none"/>
              </w:rPr>
              <w:t>目经理</w:t>
            </w:r>
          </w:p>
        </w:tc>
        <w:tc>
          <w:tcPr>
            <w:tcW w:w="2818" w:type="dxa"/>
          </w:tcPr>
          <w:p w14:paraId="68DA6158">
            <w:pPr>
              <w:spacing w:before="180" w:line="228" w:lineRule="auto"/>
              <w:jc w:val="center"/>
              <w:rPr>
                <w:rFonts w:ascii="宋体" w:hAnsi="宋体" w:cs="宋体"/>
                <w:color w:val="auto"/>
                <w:szCs w:val="21"/>
                <w:highlight w:val="none"/>
              </w:rPr>
            </w:pPr>
            <w:r>
              <w:rPr>
                <w:rFonts w:hint="eastAsia" w:ascii="宋体" w:hAnsi="宋体" w:cs="宋体"/>
                <w:color w:val="auto"/>
                <w:spacing w:val="3"/>
                <w:szCs w:val="21"/>
                <w:highlight w:val="none"/>
              </w:rPr>
              <w:t>姓名：</w:t>
            </w:r>
          </w:p>
        </w:tc>
        <w:tc>
          <w:tcPr>
            <w:tcW w:w="1696" w:type="dxa"/>
          </w:tcPr>
          <w:p w14:paraId="0ADB2F45">
            <w:pPr>
              <w:rPr>
                <w:rFonts w:ascii="宋体" w:hAnsi="宋体" w:cs="宋体"/>
                <w:color w:val="auto"/>
                <w:szCs w:val="21"/>
                <w:highlight w:val="none"/>
              </w:rPr>
            </w:pPr>
          </w:p>
        </w:tc>
      </w:tr>
      <w:tr w14:paraId="45E7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501DCC2B">
            <w:pPr>
              <w:spacing w:before="211" w:line="192" w:lineRule="auto"/>
              <w:ind w:left="454"/>
              <w:rPr>
                <w:rFonts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2186AC49">
            <w:pPr>
              <w:spacing w:before="179" w:line="228" w:lineRule="auto"/>
              <w:ind w:left="993"/>
              <w:rPr>
                <w:rFonts w:ascii="宋体" w:hAnsi="宋体" w:cs="宋体"/>
                <w:color w:val="auto"/>
                <w:szCs w:val="21"/>
                <w:highlight w:val="none"/>
              </w:rPr>
            </w:pPr>
            <w:r>
              <w:rPr>
                <w:rFonts w:hint="eastAsia" w:ascii="宋体" w:hAnsi="宋体" w:cs="宋体"/>
                <w:color w:val="auto"/>
                <w:spacing w:val="8"/>
                <w:szCs w:val="21"/>
                <w:highlight w:val="none"/>
              </w:rPr>
              <w:t>响</w:t>
            </w:r>
            <w:r>
              <w:rPr>
                <w:rFonts w:hint="eastAsia" w:ascii="宋体" w:hAnsi="宋体" w:cs="宋体"/>
                <w:color w:val="auto"/>
                <w:spacing w:val="7"/>
                <w:szCs w:val="21"/>
                <w:highlight w:val="none"/>
              </w:rPr>
              <w:t>应文件有效期</w:t>
            </w:r>
          </w:p>
        </w:tc>
        <w:tc>
          <w:tcPr>
            <w:tcW w:w="2818" w:type="dxa"/>
          </w:tcPr>
          <w:p w14:paraId="36755ED9">
            <w:pPr>
              <w:rPr>
                <w:rFonts w:ascii="宋体" w:hAnsi="宋体" w:cs="宋体"/>
                <w:color w:val="auto"/>
                <w:szCs w:val="21"/>
                <w:highlight w:val="none"/>
              </w:rPr>
            </w:pPr>
          </w:p>
        </w:tc>
        <w:tc>
          <w:tcPr>
            <w:tcW w:w="1696" w:type="dxa"/>
          </w:tcPr>
          <w:p w14:paraId="06C95897">
            <w:pPr>
              <w:rPr>
                <w:rFonts w:ascii="宋体" w:hAnsi="宋体" w:cs="宋体"/>
                <w:color w:val="auto"/>
                <w:szCs w:val="21"/>
                <w:highlight w:val="none"/>
              </w:rPr>
            </w:pPr>
          </w:p>
        </w:tc>
      </w:tr>
      <w:tr w14:paraId="0414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0D369A66">
            <w:pPr>
              <w:spacing w:before="212" w:line="190" w:lineRule="auto"/>
              <w:ind w:left="456"/>
              <w:rPr>
                <w:rFonts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727A7194">
            <w:pPr>
              <w:spacing w:before="179" w:line="229" w:lineRule="auto"/>
              <w:ind w:left="1510"/>
              <w:rPr>
                <w:rFonts w:ascii="宋体" w:hAnsi="宋体" w:cs="宋体"/>
                <w:color w:val="auto"/>
                <w:szCs w:val="21"/>
                <w:highlight w:val="none"/>
              </w:rPr>
            </w:pPr>
            <w:r>
              <w:rPr>
                <w:rFonts w:hint="eastAsia" w:ascii="宋体" w:hAnsi="宋体" w:cs="宋体"/>
                <w:color w:val="auto"/>
                <w:spacing w:val="4"/>
                <w:szCs w:val="21"/>
                <w:highlight w:val="none"/>
              </w:rPr>
              <w:t>工</w:t>
            </w:r>
            <w:r>
              <w:rPr>
                <w:rFonts w:hint="eastAsia" w:ascii="宋体" w:hAnsi="宋体" w:cs="宋体"/>
                <w:color w:val="auto"/>
                <w:spacing w:val="3"/>
                <w:szCs w:val="21"/>
                <w:highlight w:val="none"/>
              </w:rPr>
              <w:t>期</w:t>
            </w:r>
          </w:p>
        </w:tc>
        <w:tc>
          <w:tcPr>
            <w:tcW w:w="2818" w:type="dxa"/>
          </w:tcPr>
          <w:p w14:paraId="6B3B152B">
            <w:pPr>
              <w:tabs>
                <w:tab w:val="left" w:pos="1506"/>
              </w:tabs>
              <w:spacing w:before="179" w:line="229" w:lineRule="auto"/>
              <w:ind w:left="832"/>
              <w:rPr>
                <w:rFonts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pacing w:val="-5"/>
                <w:szCs w:val="21"/>
                <w:highlight w:val="none"/>
              </w:rPr>
              <w:t>日历天</w:t>
            </w:r>
          </w:p>
        </w:tc>
        <w:tc>
          <w:tcPr>
            <w:tcW w:w="1696" w:type="dxa"/>
          </w:tcPr>
          <w:p w14:paraId="7170079B">
            <w:pPr>
              <w:rPr>
                <w:rFonts w:ascii="宋体" w:hAnsi="宋体" w:cs="宋体"/>
                <w:color w:val="auto"/>
                <w:szCs w:val="21"/>
                <w:highlight w:val="none"/>
              </w:rPr>
            </w:pPr>
          </w:p>
        </w:tc>
      </w:tr>
      <w:tr w14:paraId="7F7E9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2C0C899E">
            <w:pPr>
              <w:spacing w:before="215" w:line="192" w:lineRule="auto"/>
              <w:ind w:left="451"/>
              <w:rPr>
                <w:rFonts w:ascii="宋体" w:hAnsi="宋体" w:cs="宋体"/>
                <w:color w:val="auto"/>
                <w:szCs w:val="21"/>
                <w:highlight w:val="none"/>
              </w:rPr>
            </w:pPr>
            <w:r>
              <w:rPr>
                <w:rFonts w:hint="eastAsia" w:ascii="宋体" w:hAnsi="宋体" w:cs="宋体"/>
                <w:color w:val="auto"/>
                <w:szCs w:val="21"/>
                <w:highlight w:val="none"/>
              </w:rPr>
              <w:t>4</w:t>
            </w:r>
          </w:p>
        </w:tc>
        <w:tc>
          <w:tcPr>
            <w:tcW w:w="3424" w:type="dxa"/>
          </w:tcPr>
          <w:p w14:paraId="104CAF31">
            <w:pPr>
              <w:spacing w:before="182" w:line="229" w:lineRule="auto"/>
              <w:ind w:left="1191"/>
              <w:rPr>
                <w:rFonts w:ascii="宋体" w:hAnsi="宋体" w:cs="宋体"/>
                <w:color w:val="auto"/>
                <w:szCs w:val="21"/>
                <w:highlight w:val="none"/>
              </w:rPr>
            </w:pPr>
            <w:r>
              <w:rPr>
                <w:rFonts w:hint="eastAsia" w:ascii="宋体" w:hAnsi="宋体" w:cs="宋体"/>
                <w:color w:val="auto"/>
                <w:spacing w:val="8"/>
                <w:szCs w:val="21"/>
                <w:highlight w:val="none"/>
              </w:rPr>
              <w:t>质量保证金</w:t>
            </w:r>
          </w:p>
        </w:tc>
        <w:tc>
          <w:tcPr>
            <w:tcW w:w="2818" w:type="dxa"/>
          </w:tcPr>
          <w:p w14:paraId="14849B75">
            <w:pPr>
              <w:spacing w:before="182" w:line="227" w:lineRule="auto"/>
              <w:ind w:left="690"/>
              <w:rPr>
                <w:rFonts w:ascii="宋体" w:hAnsi="宋体" w:cs="宋体"/>
                <w:color w:val="auto"/>
                <w:szCs w:val="21"/>
                <w:highlight w:val="none"/>
              </w:rPr>
            </w:pPr>
            <w:r>
              <w:rPr>
                <w:rFonts w:hint="eastAsia" w:ascii="宋体" w:hAnsi="宋体" w:cs="宋体"/>
                <w:color w:val="auto"/>
                <w:spacing w:val="9"/>
                <w:szCs w:val="21"/>
                <w:highlight w:val="none"/>
              </w:rPr>
              <w:t>结</w:t>
            </w:r>
            <w:r>
              <w:rPr>
                <w:rFonts w:hint="eastAsia" w:ascii="宋体" w:hAnsi="宋体" w:cs="宋体"/>
                <w:color w:val="auto"/>
                <w:spacing w:val="5"/>
                <w:szCs w:val="21"/>
                <w:highlight w:val="none"/>
              </w:rPr>
              <w:t>算价的%</w:t>
            </w:r>
          </w:p>
        </w:tc>
        <w:tc>
          <w:tcPr>
            <w:tcW w:w="1696" w:type="dxa"/>
          </w:tcPr>
          <w:p w14:paraId="2F6B2940">
            <w:pPr>
              <w:rPr>
                <w:rFonts w:ascii="宋体" w:hAnsi="宋体" w:cs="宋体"/>
                <w:color w:val="auto"/>
                <w:szCs w:val="21"/>
                <w:highlight w:val="none"/>
              </w:rPr>
            </w:pPr>
          </w:p>
        </w:tc>
      </w:tr>
      <w:tr w14:paraId="327E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62A5CFAB">
            <w:pPr>
              <w:spacing w:before="215" w:line="189" w:lineRule="auto"/>
              <w:ind w:left="456"/>
              <w:rPr>
                <w:rFonts w:ascii="宋体" w:hAnsi="宋体" w:cs="宋体"/>
                <w:color w:val="auto"/>
                <w:szCs w:val="21"/>
                <w:highlight w:val="none"/>
              </w:rPr>
            </w:pPr>
            <w:r>
              <w:rPr>
                <w:rFonts w:hint="eastAsia" w:ascii="宋体" w:hAnsi="宋体" w:cs="宋体"/>
                <w:color w:val="auto"/>
                <w:szCs w:val="21"/>
                <w:highlight w:val="none"/>
              </w:rPr>
              <w:t>5</w:t>
            </w:r>
          </w:p>
        </w:tc>
        <w:tc>
          <w:tcPr>
            <w:tcW w:w="3424" w:type="dxa"/>
          </w:tcPr>
          <w:p w14:paraId="710E18F6">
            <w:pPr>
              <w:spacing w:before="181" w:line="229" w:lineRule="auto"/>
              <w:ind w:left="1297"/>
              <w:rPr>
                <w:rFonts w:ascii="宋体" w:hAnsi="宋体" w:cs="宋体"/>
                <w:color w:val="auto"/>
                <w:szCs w:val="21"/>
                <w:highlight w:val="none"/>
              </w:rPr>
            </w:pPr>
            <w:r>
              <w:rPr>
                <w:rFonts w:hint="eastAsia" w:ascii="宋体" w:hAnsi="宋体" w:cs="宋体"/>
                <w:color w:val="auto"/>
                <w:spacing w:val="7"/>
                <w:szCs w:val="21"/>
                <w:highlight w:val="none"/>
              </w:rPr>
              <w:t>质量标准</w:t>
            </w:r>
          </w:p>
        </w:tc>
        <w:tc>
          <w:tcPr>
            <w:tcW w:w="2818" w:type="dxa"/>
          </w:tcPr>
          <w:p w14:paraId="56C58D4F">
            <w:pPr>
              <w:rPr>
                <w:rFonts w:ascii="宋体" w:hAnsi="宋体" w:cs="宋体"/>
                <w:color w:val="auto"/>
                <w:szCs w:val="21"/>
                <w:highlight w:val="none"/>
              </w:rPr>
            </w:pPr>
          </w:p>
        </w:tc>
        <w:tc>
          <w:tcPr>
            <w:tcW w:w="1696" w:type="dxa"/>
          </w:tcPr>
          <w:p w14:paraId="1519F274">
            <w:pPr>
              <w:rPr>
                <w:rFonts w:ascii="宋体" w:hAnsi="宋体" w:cs="宋体"/>
                <w:color w:val="auto"/>
                <w:szCs w:val="21"/>
                <w:highlight w:val="none"/>
              </w:rPr>
            </w:pPr>
          </w:p>
        </w:tc>
      </w:tr>
      <w:tr w14:paraId="3334F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0B6FB9C5">
            <w:pPr>
              <w:spacing w:before="181" w:line="325" w:lineRule="exact"/>
              <w:ind w:left="306"/>
              <w:rPr>
                <w:rFonts w:ascii="宋体" w:hAnsi="宋体" w:cs="宋体"/>
                <w:color w:val="auto"/>
                <w:szCs w:val="21"/>
                <w:highlight w:val="none"/>
              </w:rPr>
            </w:pPr>
            <w:r>
              <w:rPr>
                <w:rFonts w:hint="eastAsia" w:ascii="宋体" w:hAnsi="宋体" w:cs="宋体"/>
                <w:color w:val="auto"/>
                <w:spacing w:val="4"/>
                <w:position w:val="3"/>
                <w:szCs w:val="21"/>
                <w:highlight w:val="none"/>
              </w:rPr>
              <w:t>……</w:t>
            </w:r>
          </w:p>
        </w:tc>
        <w:tc>
          <w:tcPr>
            <w:tcW w:w="3424" w:type="dxa"/>
          </w:tcPr>
          <w:p w14:paraId="328DD7E2">
            <w:pPr>
              <w:spacing w:before="181" w:line="325" w:lineRule="exact"/>
              <w:ind w:left="1521"/>
              <w:rPr>
                <w:rFonts w:ascii="宋体" w:hAnsi="宋体" w:cs="宋体"/>
                <w:color w:val="auto"/>
                <w:szCs w:val="21"/>
                <w:highlight w:val="none"/>
              </w:rPr>
            </w:pPr>
            <w:r>
              <w:rPr>
                <w:rFonts w:hint="eastAsia" w:ascii="宋体" w:hAnsi="宋体" w:cs="宋体"/>
                <w:color w:val="auto"/>
                <w:spacing w:val="4"/>
                <w:position w:val="3"/>
                <w:szCs w:val="21"/>
                <w:highlight w:val="none"/>
              </w:rPr>
              <w:t>……</w:t>
            </w:r>
          </w:p>
        </w:tc>
        <w:tc>
          <w:tcPr>
            <w:tcW w:w="2818" w:type="dxa"/>
          </w:tcPr>
          <w:p w14:paraId="3722AE8E">
            <w:pPr>
              <w:rPr>
                <w:rFonts w:ascii="宋体" w:hAnsi="宋体" w:cs="宋体"/>
                <w:color w:val="auto"/>
                <w:szCs w:val="21"/>
                <w:highlight w:val="none"/>
              </w:rPr>
            </w:pPr>
          </w:p>
        </w:tc>
        <w:tc>
          <w:tcPr>
            <w:tcW w:w="1696" w:type="dxa"/>
          </w:tcPr>
          <w:p w14:paraId="4CA2839D">
            <w:pPr>
              <w:rPr>
                <w:rFonts w:ascii="宋体" w:hAnsi="宋体" w:cs="宋体"/>
                <w:color w:val="auto"/>
                <w:szCs w:val="21"/>
                <w:highlight w:val="none"/>
              </w:rPr>
            </w:pPr>
          </w:p>
        </w:tc>
      </w:tr>
      <w:tr w14:paraId="748C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0FDF90BF">
            <w:pPr>
              <w:spacing w:line="400" w:lineRule="exact"/>
              <w:ind w:left="119" w:right="102" w:firstLine="6"/>
              <w:rPr>
                <w:rFonts w:ascii="宋体" w:hAnsi="宋体" w:cs="宋体"/>
                <w:color w:val="auto"/>
                <w:szCs w:val="21"/>
                <w:highlight w:val="none"/>
              </w:rPr>
            </w:pPr>
            <w:r>
              <w:rPr>
                <w:rFonts w:hint="eastAsia" w:ascii="宋体" w:hAnsi="宋体" w:cs="宋体"/>
                <w:color w:val="auto"/>
                <w:spacing w:val="14"/>
                <w:szCs w:val="21"/>
                <w:highlight w:val="none"/>
              </w:rPr>
              <w:t>备</w:t>
            </w:r>
            <w:r>
              <w:rPr>
                <w:rFonts w:hint="eastAsia" w:ascii="宋体" w:hAnsi="宋体" w:cs="宋体"/>
                <w:color w:val="auto"/>
                <w:spacing w:val="7"/>
                <w:szCs w:val="21"/>
                <w:highlight w:val="none"/>
              </w:rPr>
              <w:t>注：供应商在响应竞争性磋商文件中规定的实质性要求和条件的基础上，可做出其他有利于采</w:t>
            </w:r>
            <w:r>
              <w:rPr>
                <w:rFonts w:hint="eastAsia" w:ascii="宋体" w:hAnsi="宋体" w:cs="宋体"/>
                <w:color w:val="auto"/>
                <w:spacing w:val="13"/>
                <w:szCs w:val="21"/>
                <w:highlight w:val="none"/>
              </w:rPr>
              <w:t>购</w:t>
            </w:r>
            <w:r>
              <w:rPr>
                <w:rFonts w:hint="eastAsia" w:ascii="宋体" w:hAnsi="宋体" w:cs="宋体"/>
                <w:color w:val="auto"/>
                <w:spacing w:val="9"/>
                <w:szCs w:val="21"/>
                <w:highlight w:val="none"/>
              </w:rPr>
              <w:t>单位的承诺。此类承诺可在本表中予以补充填写。</w:t>
            </w:r>
          </w:p>
        </w:tc>
      </w:tr>
    </w:tbl>
    <w:p w14:paraId="0C165D13">
      <w:pPr>
        <w:pStyle w:val="34"/>
        <w:spacing w:line="360" w:lineRule="exact"/>
        <w:ind w:firstLine="482" w:firstLineChars="200"/>
        <w:jc w:val="both"/>
        <w:rPr>
          <w:rFonts w:asciiTheme="majorEastAsia" w:hAnsiTheme="majorEastAsia" w:eastAsiaTheme="majorEastAsia" w:cstheme="majorEastAsia"/>
          <w:b/>
          <w:bCs/>
          <w:color w:val="auto"/>
          <w:sz w:val="24"/>
          <w:szCs w:val="32"/>
          <w:highlight w:val="none"/>
        </w:rPr>
      </w:pPr>
    </w:p>
    <w:p w14:paraId="0582438F">
      <w:pPr>
        <w:pStyle w:val="34"/>
        <w:spacing w:line="360" w:lineRule="auto"/>
        <w:jc w:val="both"/>
        <w:rPr>
          <w:rFonts w:asciiTheme="majorEastAsia" w:hAnsiTheme="majorEastAsia" w:eastAsiaTheme="majorEastAsia" w:cstheme="majorEastAsia"/>
          <w:color w:val="auto"/>
          <w:highlight w:val="none"/>
        </w:rPr>
      </w:pPr>
      <w:r>
        <w:rPr>
          <w:rFonts w:hint="eastAsia" w:ascii="宋体" w:hAnsi="宋体" w:cs="宋体"/>
          <w:bCs/>
          <w:color w:val="auto"/>
          <w:szCs w:val="21"/>
          <w:highlight w:val="none"/>
        </w:rPr>
        <w:t>供应商</w:t>
      </w:r>
      <w:r>
        <w:rPr>
          <w:rFonts w:hint="eastAsia" w:asciiTheme="majorEastAsia" w:hAnsiTheme="majorEastAsia" w:eastAsiaTheme="majorEastAsia" w:cstheme="majorEastAsia"/>
          <w:color w:val="auto"/>
          <w:highlight w:val="none"/>
        </w:rPr>
        <w:t xml:space="preserve">全称 (盖公章) ：                   </w:t>
      </w:r>
    </w:p>
    <w:p w14:paraId="0E6E3B5D">
      <w:pPr>
        <w:pStyle w:val="34"/>
        <w:spacing w:line="360" w:lineRule="auto"/>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法定代表人或授权代表签字:                </w:t>
      </w:r>
    </w:p>
    <w:p w14:paraId="2D133BA0">
      <w:pPr>
        <w:pStyle w:val="34"/>
        <w:spacing w:line="360" w:lineRule="auto"/>
        <w:jc w:val="both"/>
        <w:rPr>
          <w:rFonts w:asciiTheme="majorEastAsia" w:hAnsiTheme="majorEastAsia" w:eastAsiaTheme="majorEastAsia" w:cstheme="majorEastAsia"/>
          <w:b/>
          <w:bCs/>
          <w:color w:val="auto"/>
          <w:sz w:val="32"/>
          <w:szCs w:val="40"/>
          <w:highlight w:val="none"/>
        </w:rPr>
      </w:pPr>
      <w:r>
        <w:rPr>
          <w:rFonts w:hint="eastAsia" w:asciiTheme="majorEastAsia" w:hAnsiTheme="majorEastAsia" w:eastAsiaTheme="majorEastAsia" w:cstheme="majorEastAsia"/>
          <w:color w:val="auto"/>
          <w:highlight w:val="none"/>
        </w:rPr>
        <w:t>日期：</w:t>
      </w:r>
    </w:p>
    <w:p w14:paraId="59492729">
      <w:pPr>
        <w:pStyle w:val="34"/>
        <w:spacing w:line="360" w:lineRule="auto"/>
        <w:jc w:val="both"/>
        <w:rPr>
          <w:rFonts w:asciiTheme="majorEastAsia" w:hAnsiTheme="majorEastAsia" w:eastAsiaTheme="majorEastAsia" w:cstheme="majorEastAsia"/>
          <w:b/>
          <w:bCs/>
          <w:color w:val="auto"/>
          <w:sz w:val="32"/>
          <w:szCs w:val="40"/>
          <w:highlight w:val="none"/>
        </w:rPr>
      </w:pPr>
    </w:p>
    <w:p w14:paraId="55DC7B6B">
      <w:pPr>
        <w:pStyle w:val="34"/>
        <w:spacing w:line="360" w:lineRule="auto"/>
        <w:jc w:val="both"/>
        <w:rPr>
          <w:rFonts w:asciiTheme="majorEastAsia" w:hAnsiTheme="majorEastAsia" w:eastAsiaTheme="majorEastAsia" w:cstheme="majorEastAsia"/>
          <w:b/>
          <w:bCs/>
          <w:color w:val="auto"/>
          <w:sz w:val="32"/>
          <w:szCs w:val="40"/>
          <w:highlight w:val="none"/>
        </w:rPr>
      </w:pPr>
    </w:p>
    <w:p w14:paraId="551A045B">
      <w:pPr>
        <w:pStyle w:val="34"/>
        <w:spacing w:line="360" w:lineRule="auto"/>
        <w:jc w:val="both"/>
        <w:rPr>
          <w:rFonts w:asciiTheme="majorEastAsia" w:hAnsiTheme="majorEastAsia" w:eastAsiaTheme="majorEastAsia" w:cstheme="majorEastAsia"/>
          <w:b/>
          <w:bCs/>
          <w:color w:val="auto"/>
          <w:sz w:val="32"/>
          <w:szCs w:val="40"/>
          <w:highlight w:val="none"/>
        </w:rPr>
      </w:pPr>
    </w:p>
    <w:p w14:paraId="6231DFF3">
      <w:pPr>
        <w:pStyle w:val="34"/>
        <w:spacing w:line="360" w:lineRule="auto"/>
        <w:jc w:val="both"/>
        <w:rPr>
          <w:rFonts w:asciiTheme="majorEastAsia" w:hAnsiTheme="majorEastAsia" w:eastAsiaTheme="majorEastAsia" w:cstheme="majorEastAsia"/>
          <w:b/>
          <w:bCs/>
          <w:color w:val="auto"/>
          <w:sz w:val="32"/>
          <w:szCs w:val="40"/>
          <w:highlight w:val="none"/>
        </w:rPr>
      </w:pPr>
    </w:p>
    <w:p w14:paraId="59419557">
      <w:pPr>
        <w:pStyle w:val="34"/>
        <w:spacing w:line="360" w:lineRule="auto"/>
        <w:jc w:val="both"/>
        <w:rPr>
          <w:rFonts w:asciiTheme="majorEastAsia" w:hAnsiTheme="majorEastAsia" w:eastAsiaTheme="majorEastAsia" w:cstheme="majorEastAsia"/>
          <w:b/>
          <w:bCs/>
          <w:color w:val="auto"/>
          <w:sz w:val="32"/>
          <w:szCs w:val="40"/>
          <w:highlight w:val="none"/>
        </w:rPr>
      </w:pPr>
    </w:p>
    <w:p w14:paraId="6FD0E624">
      <w:pPr>
        <w:pStyle w:val="34"/>
        <w:spacing w:line="360" w:lineRule="auto"/>
        <w:jc w:val="both"/>
        <w:rPr>
          <w:rFonts w:asciiTheme="majorEastAsia" w:hAnsiTheme="majorEastAsia" w:eastAsiaTheme="majorEastAsia" w:cstheme="majorEastAsia"/>
          <w:b/>
          <w:bCs/>
          <w:color w:val="auto"/>
          <w:sz w:val="32"/>
          <w:szCs w:val="40"/>
          <w:highlight w:val="none"/>
        </w:rPr>
      </w:pPr>
    </w:p>
    <w:p w14:paraId="2BD6D2F6">
      <w:pPr>
        <w:pStyle w:val="34"/>
        <w:spacing w:line="360" w:lineRule="auto"/>
        <w:jc w:val="both"/>
        <w:rPr>
          <w:rFonts w:asciiTheme="majorEastAsia" w:hAnsiTheme="majorEastAsia" w:eastAsiaTheme="majorEastAsia" w:cstheme="majorEastAsia"/>
          <w:b/>
          <w:bCs/>
          <w:color w:val="auto"/>
          <w:sz w:val="32"/>
          <w:szCs w:val="40"/>
          <w:highlight w:val="none"/>
        </w:rPr>
      </w:pPr>
    </w:p>
    <w:p w14:paraId="405AEC22">
      <w:pPr>
        <w:pStyle w:val="34"/>
        <w:spacing w:line="360" w:lineRule="auto"/>
        <w:jc w:val="both"/>
        <w:rPr>
          <w:rFonts w:asciiTheme="majorEastAsia" w:hAnsiTheme="majorEastAsia" w:eastAsiaTheme="majorEastAsia" w:cstheme="majorEastAsia"/>
          <w:b/>
          <w:bCs/>
          <w:color w:val="auto"/>
          <w:sz w:val="32"/>
          <w:szCs w:val="40"/>
          <w:highlight w:val="none"/>
        </w:rPr>
      </w:pPr>
    </w:p>
    <w:p w14:paraId="1A303791">
      <w:pPr>
        <w:pStyle w:val="34"/>
        <w:spacing w:line="360" w:lineRule="auto"/>
        <w:jc w:val="both"/>
        <w:rPr>
          <w:rFonts w:asciiTheme="majorEastAsia" w:hAnsiTheme="majorEastAsia" w:eastAsiaTheme="majorEastAsia" w:cstheme="majorEastAsia"/>
          <w:b/>
          <w:bCs/>
          <w:color w:val="auto"/>
          <w:sz w:val="32"/>
          <w:szCs w:val="40"/>
          <w:highlight w:val="none"/>
        </w:rPr>
      </w:pPr>
    </w:p>
    <w:p w14:paraId="66999104">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099AA52">
      <w:pPr>
        <w:rPr>
          <w:rFonts w:ascii="宋体" w:hAnsi="宋体" w:cs="宋体"/>
          <w:b/>
          <w:bCs/>
          <w:color w:val="auto"/>
          <w:highlight w:val="none"/>
        </w:rPr>
      </w:pPr>
    </w:p>
    <w:p w14:paraId="30B10946">
      <w:pPr>
        <w:pStyle w:val="34"/>
        <w:spacing w:line="360" w:lineRule="auto"/>
        <w:jc w:val="both"/>
        <w:rPr>
          <w:rFonts w:ascii="宋体" w:hAnsi="宋体" w:eastAsia="宋体" w:cs="宋体"/>
          <w:b/>
          <w:bCs/>
          <w:color w:val="auto"/>
          <w:highlight w:val="none"/>
        </w:rPr>
      </w:pPr>
      <w:r>
        <w:rPr>
          <w:rFonts w:hint="eastAsia" w:ascii="宋体" w:hAnsi="宋体" w:eastAsia="宋体" w:cs="宋体"/>
          <w:b/>
          <w:bCs/>
          <w:color w:val="auto"/>
          <w:highlight w:val="none"/>
        </w:rPr>
        <w:t>3、已标价工程量清单</w:t>
      </w:r>
    </w:p>
    <w:p w14:paraId="1FE54210">
      <w:pPr>
        <w:pStyle w:val="34"/>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6F72DE8F">
      <w:pPr>
        <w:pStyle w:val="34"/>
        <w:spacing w:line="360" w:lineRule="auto"/>
        <w:jc w:val="both"/>
        <w:rPr>
          <w:rFonts w:ascii="宋体" w:hAnsi="宋体" w:eastAsia="宋体" w:cs="宋体"/>
          <w:b/>
          <w:bCs/>
          <w:color w:val="auto"/>
          <w:highlight w:val="none"/>
        </w:rPr>
      </w:pPr>
    </w:p>
    <w:p w14:paraId="4A649B8F">
      <w:pPr>
        <w:pStyle w:val="34"/>
        <w:spacing w:line="360" w:lineRule="auto"/>
        <w:jc w:val="both"/>
        <w:rPr>
          <w:rFonts w:ascii="宋体" w:hAnsi="宋体" w:eastAsia="宋体" w:cs="宋体"/>
          <w:b/>
          <w:bCs/>
          <w:color w:val="auto"/>
          <w:highlight w:val="none"/>
        </w:rPr>
      </w:pPr>
    </w:p>
    <w:p w14:paraId="0A1193D8">
      <w:pPr>
        <w:pStyle w:val="34"/>
        <w:spacing w:line="360" w:lineRule="auto"/>
        <w:jc w:val="both"/>
        <w:rPr>
          <w:rFonts w:ascii="宋体" w:hAnsi="宋体" w:eastAsia="宋体" w:cs="宋体"/>
          <w:b/>
          <w:bCs/>
          <w:color w:val="auto"/>
          <w:highlight w:val="none"/>
        </w:rPr>
      </w:pPr>
    </w:p>
    <w:p w14:paraId="57D67080">
      <w:pPr>
        <w:pStyle w:val="34"/>
        <w:spacing w:line="360" w:lineRule="auto"/>
        <w:jc w:val="both"/>
        <w:rPr>
          <w:rFonts w:ascii="宋体" w:hAnsi="宋体" w:eastAsia="宋体" w:cs="宋体"/>
          <w:b/>
          <w:bCs/>
          <w:color w:val="auto"/>
          <w:highlight w:val="none"/>
        </w:rPr>
      </w:pPr>
    </w:p>
    <w:p w14:paraId="0CDFB25F">
      <w:pPr>
        <w:pStyle w:val="34"/>
        <w:spacing w:line="360" w:lineRule="auto"/>
        <w:jc w:val="both"/>
        <w:rPr>
          <w:rFonts w:ascii="宋体" w:hAnsi="宋体" w:eastAsia="宋体" w:cs="宋体"/>
          <w:b/>
          <w:bCs/>
          <w:color w:val="auto"/>
          <w:highlight w:val="none"/>
        </w:rPr>
      </w:pPr>
    </w:p>
    <w:p w14:paraId="2F8CCA0E">
      <w:pPr>
        <w:pStyle w:val="34"/>
        <w:spacing w:line="360" w:lineRule="auto"/>
        <w:jc w:val="both"/>
        <w:rPr>
          <w:rFonts w:ascii="宋体" w:hAnsi="宋体" w:eastAsia="宋体" w:cs="宋体"/>
          <w:b/>
          <w:bCs/>
          <w:color w:val="auto"/>
          <w:highlight w:val="none"/>
        </w:rPr>
      </w:pPr>
    </w:p>
    <w:p w14:paraId="2EEEE5CF">
      <w:pPr>
        <w:pStyle w:val="34"/>
        <w:spacing w:line="360" w:lineRule="auto"/>
        <w:jc w:val="both"/>
        <w:rPr>
          <w:rFonts w:ascii="宋体" w:hAnsi="宋体" w:eastAsia="宋体" w:cs="宋体"/>
          <w:b/>
          <w:bCs/>
          <w:color w:val="auto"/>
          <w:highlight w:val="none"/>
        </w:rPr>
      </w:pPr>
      <w:r>
        <w:rPr>
          <w:rFonts w:hint="eastAsia" w:ascii="宋体" w:hAnsi="宋体" w:eastAsia="宋体" w:cs="宋体"/>
          <w:b/>
          <w:bCs/>
          <w:color w:val="auto"/>
          <w:highlight w:val="none"/>
        </w:rPr>
        <w:t>4、供应商针对商务及报价需要说明的其他文件和说明 (格式自拟)</w:t>
      </w:r>
    </w:p>
    <w:p w14:paraId="733A94B8">
      <w:pPr>
        <w:pStyle w:val="34"/>
        <w:spacing w:line="360" w:lineRule="auto"/>
        <w:jc w:val="both"/>
        <w:rPr>
          <w:rFonts w:asciiTheme="majorEastAsia" w:hAnsiTheme="majorEastAsia" w:eastAsiaTheme="majorEastAsia" w:cstheme="majorEastAsia"/>
          <w:b/>
          <w:bCs/>
          <w:color w:val="auto"/>
          <w:sz w:val="32"/>
          <w:szCs w:val="40"/>
          <w:highlight w:val="none"/>
        </w:rPr>
      </w:pPr>
    </w:p>
    <w:p w14:paraId="33E0C0D5">
      <w:pPr>
        <w:pStyle w:val="34"/>
        <w:spacing w:line="360" w:lineRule="auto"/>
        <w:jc w:val="both"/>
        <w:rPr>
          <w:rFonts w:asciiTheme="majorEastAsia" w:hAnsiTheme="majorEastAsia" w:eastAsiaTheme="majorEastAsia" w:cstheme="majorEastAsia"/>
          <w:b/>
          <w:bCs/>
          <w:color w:val="auto"/>
          <w:sz w:val="32"/>
          <w:szCs w:val="40"/>
          <w:highlight w:val="none"/>
        </w:rPr>
      </w:pPr>
    </w:p>
    <w:p w14:paraId="46052B3A">
      <w:pPr>
        <w:pStyle w:val="34"/>
        <w:spacing w:line="360" w:lineRule="auto"/>
        <w:jc w:val="both"/>
        <w:rPr>
          <w:rFonts w:asciiTheme="majorEastAsia" w:hAnsiTheme="majorEastAsia" w:eastAsiaTheme="majorEastAsia" w:cstheme="majorEastAsia"/>
          <w:b/>
          <w:bCs/>
          <w:color w:val="auto"/>
          <w:sz w:val="32"/>
          <w:szCs w:val="40"/>
          <w:highlight w:val="none"/>
        </w:rPr>
      </w:pPr>
    </w:p>
    <w:p w14:paraId="4E3E39D9">
      <w:pPr>
        <w:pStyle w:val="34"/>
        <w:spacing w:line="360" w:lineRule="auto"/>
        <w:jc w:val="both"/>
        <w:rPr>
          <w:rFonts w:asciiTheme="majorEastAsia" w:hAnsiTheme="majorEastAsia" w:eastAsiaTheme="majorEastAsia" w:cstheme="majorEastAsia"/>
          <w:b/>
          <w:bCs/>
          <w:color w:val="auto"/>
          <w:sz w:val="32"/>
          <w:szCs w:val="40"/>
          <w:highlight w:val="none"/>
        </w:rPr>
      </w:pPr>
    </w:p>
    <w:p w14:paraId="7867AF86">
      <w:pPr>
        <w:pStyle w:val="34"/>
        <w:spacing w:line="360" w:lineRule="auto"/>
        <w:jc w:val="both"/>
        <w:rPr>
          <w:rFonts w:asciiTheme="majorEastAsia" w:hAnsiTheme="majorEastAsia" w:eastAsiaTheme="majorEastAsia" w:cstheme="majorEastAsia"/>
          <w:b/>
          <w:bCs/>
          <w:color w:val="auto"/>
          <w:sz w:val="32"/>
          <w:szCs w:val="40"/>
          <w:highlight w:val="none"/>
        </w:rPr>
      </w:pPr>
    </w:p>
    <w:p w14:paraId="2834B097">
      <w:pPr>
        <w:pStyle w:val="34"/>
        <w:rPr>
          <w:rFonts w:hAnsi="宋体"/>
          <w:color w:val="auto"/>
          <w:highlight w:val="none"/>
        </w:rPr>
      </w:pPr>
    </w:p>
    <w:p w14:paraId="54C957FC">
      <w:pPr>
        <w:rPr>
          <w:rFonts w:ascii="宋体" w:hAnsi="宋体" w:cs="宋体"/>
          <w:color w:val="auto"/>
          <w:spacing w:val="-14"/>
          <w:kern w:val="0"/>
          <w:position w:val="-6"/>
          <w:sz w:val="36"/>
          <w:szCs w:val="36"/>
          <w:highlight w:val="none"/>
        </w:rPr>
      </w:pPr>
      <w:r>
        <w:rPr>
          <w:rFonts w:hint="eastAsia" w:ascii="宋体" w:hAnsi="宋体" w:cs="宋体"/>
          <w:color w:val="auto"/>
          <w:spacing w:val="-14"/>
          <w:kern w:val="0"/>
          <w:position w:val="-6"/>
          <w:sz w:val="36"/>
          <w:szCs w:val="36"/>
          <w:highlight w:val="none"/>
        </w:rPr>
        <w:br w:type="page"/>
      </w:r>
    </w:p>
    <w:p w14:paraId="4EC39170">
      <w:pPr>
        <w:pStyle w:val="2"/>
        <w:spacing w:line="560" w:lineRule="exact"/>
        <w:jc w:val="center"/>
        <w:rPr>
          <w:rFonts w:ascii="宋体" w:hAnsi="宋体" w:cs="宋体"/>
          <w:color w:val="auto"/>
          <w:spacing w:val="-14"/>
          <w:kern w:val="0"/>
          <w:position w:val="-6"/>
          <w:sz w:val="36"/>
          <w:szCs w:val="36"/>
          <w:highlight w:val="none"/>
        </w:rPr>
      </w:pPr>
      <w:r>
        <w:rPr>
          <w:rFonts w:hint="eastAsia" w:ascii="宋体" w:hAnsi="宋体" w:cs="宋体"/>
          <w:color w:val="auto"/>
          <w:spacing w:val="-14"/>
          <w:kern w:val="0"/>
          <w:position w:val="-6"/>
          <w:sz w:val="36"/>
          <w:szCs w:val="36"/>
          <w:highlight w:val="none"/>
        </w:rPr>
        <w:t>第六章</w:t>
      </w:r>
      <w:bookmarkStart w:id="68" w:name="_Toc3612"/>
      <w:r>
        <w:rPr>
          <w:rFonts w:hint="eastAsia" w:ascii="宋体" w:hAnsi="宋体" w:cs="宋体"/>
          <w:color w:val="auto"/>
          <w:spacing w:val="-14"/>
          <w:kern w:val="0"/>
          <w:position w:val="-6"/>
          <w:sz w:val="36"/>
          <w:szCs w:val="36"/>
          <w:highlight w:val="none"/>
        </w:rPr>
        <w:t>合同主要条款 (参考格式)</w:t>
      </w:r>
      <w:bookmarkEnd w:id="68"/>
    </w:p>
    <w:p w14:paraId="75F78334">
      <w:pPr>
        <w:pStyle w:val="2"/>
        <w:spacing w:line="560" w:lineRule="exact"/>
        <w:jc w:val="center"/>
        <w:rPr>
          <w:rFonts w:ascii="宋体" w:hAnsi="宋体" w:cs="宋体"/>
          <w:color w:val="auto"/>
          <w:spacing w:val="-14"/>
          <w:kern w:val="0"/>
          <w:position w:val="-6"/>
          <w:sz w:val="36"/>
          <w:szCs w:val="36"/>
          <w:highlight w:val="none"/>
        </w:rPr>
      </w:pPr>
      <w:bookmarkStart w:id="69" w:name="_Toc31567"/>
      <w:r>
        <w:rPr>
          <w:rFonts w:hint="eastAsia" w:ascii="宋体" w:hAnsi="宋体" w:cs="宋体"/>
          <w:color w:val="auto"/>
          <w:spacing w:val="-14"/>
          <w:kern w:val="0"/>
          <w:position w:val="-6"/>
          <w:sz w:val="36"/>
          <w:szCs w:val="36"/>
          <w:highlight w:val="none"/>
        </w:rPr>
        <w:t>(仅供参考，由双方按实际情况调整)</w:t>
      </w:r>
      <w:bookmarkEnd w:id="69"/>
    </w:p>
    <w:p w14:paraId="70220C4C">
      <w:pPr>
        <w:spacing w:line="400" w:lineRule="exact"/>
        <w:jc w:val="center"/>
        <w:rPr>
          <w:b/>
          <w:color w:val="auto"/>
          <w:sz w:val="25"/>
          <w:szCs w:val="21"/>
          <w:highlight w:val="none"/>
        </w:rPr>
      </w:pPr>
      <w:r>
        <w:rPr>
          <w:rFonts w:hint="eastAsia"/>
          <w:b/>
          <w:color w:val="auto"/>
          <w:sz w:val="25"/>
          <w:szCs w:val="21"/>
          <w:highlight w:val="none"/>
        </w:rPr>
        <w:t>工程施工合同</w:t>
      </w:r>
    </w:p>
    <w:p w14:paraId="755CDFFB">
      <w:pPr>
        <w:spacing w:line="400" w:lineRule="exact"/>
        <w:jc w:val="center"/>
        <w:rPr>
          <w:b/>
          <w:color w:val="auto"/>
          <w:szCs w:val="21"/>
          <w:highlight w:val="none"/>
        </w:rPr>
      </w:pPr>
    </w:p>
    <w:p w14:paraId="15CD52D2">
      <w:pPr>
        <w:spacing w:line="400" w:lineRule="exact"/>
        <w:jc w:val="center"/>
        <w:rPr>
          <w:b/>
          <w:color w:val="auto"/>
          <w:szCs w:val="21"/>
          <w:highlight w:val="none"/>
        </w:rPr>
      </w:pPr>
    </w:p>
    <w:p w14:paraId="7CA2D2C3">
      <w:pPr>
        <w:spacing w:line="400" w:lineRule="exact"/>
        <w:jc w:val="center"/>
        <w:rPr>
          <w:b/>
          <w:color w:val="auto"/>
          <w:szCs w:val="21"/>
          <w:highlight w:val="none"/>
        </w:rPr>
      </w:pPr>
    </w:p>
    <w:p w14:paraId="7D842183">
      <w:pPr>
        <w:spacing w:line="400" w:lineRule="exact"/>
        <w:jc w:val="center"/>
        <w:rPr>
          <w:b/>
          <w:color w:val="auto"/>
          <w:szCs w:val="21"/>
          <w:highlight w:val="none"/>
        </w:rPr>
      </w:pPr>
    </w:p>
    <w:p w14:paraId="0D0CD92B">
      <w:pPr>
        <w:spacing w:line="400" w:lineRule="exact"/>
        <w:jc w:val="center"/>
        <w:rPr>
          <w:b/>
          <w:color w:val="auto"/>
          <w:sz w:val="25"/>
          <w:szCs w:val="21"/>
          <w:highlight w:val="none"/>
        </w:rPr>
      </w:pPr>
      <w:r>
        <w:rPr>
          <w:rFonts w:hint="eastAsia"/>
          <w:b/>
          <w:color w:val="auto"/>
          <w:sz w:val="25"/>
          <w:szCs w:val="21"/>
          <w:highlight w:val="none"/>
        </w:rPr>
        <w:t>项目编号：</w:t>
      </w:r>
    </w:p>
    <w:p w14:paraId="7DE1D56B">
      <w:pPr>
        <w:spacing w:line="400" w:lineRule="exact"/>
        <w:jc w:val="center"/>
        <w:rPr>
          <w:b/>
          <w:color w:val="auto"/>
          <w:szCs w:val="21"/>
          <w:highlight w:val="none"/>
        </w:rPr>
      </w:pPr>
    </w:p>
    <w:p w14:paraId="3E1223D0">
      <w:pPr>
        <w:spacing w:line="400" w:lineRule="exact"/>
        <w:jc w:val="center"/>
        <w:rPr>
          <w:b/>
          <w:color w:val="auto"/>
          <w:szCs w:val="21"/>
          <w:highlight w:val="none"/>
        </w:rPr>
      </w:pPr>
    </w:p>
    <w:p w14:paraId="4BA926BD">
      <w:pPr>
        <w:spacing w:line="400" w:lineRule="exact"/>
        <w:jc w:val="center"/>
        <w:rPr>
          <w:b/>
          <w:color w:val="auto"/>
          <w:szCs w:val="21"/>
          <w:highlight w:val="none"/>
        </w:rPr>
      </w:pPr>
    </w:p>
    <w:p w14:paraId="21338E8B">
      <w:pPr>
        <w:spacing w:line="400" w:lineRule="exact"/>
        <w:jc w:val="center"/>
        <w:rPr>
          <w:b/>
          <w:color w:val="auto"/>
          <w:szCs w:val="21"/>
          <w:highlight w:val="none"/>
        </w:rPr>
      </w:pPr>
    </w:p>
    <w:p w14:paraId="51AED312">
      <w:pPr>
        <w:spacing w:line="400" w:lineRule="exact"/>
        <w:jc w:val="center"/>
        <w:rPr>
          <w:b/>
          <w:color w:val="auto"/>
          <w:szCs w:val="21"/>
          <w:highlight w:val="none"/>
        </w:rPr>
      </w:pPr>
    </w:p>
    <w:p w14:paraId="273B1139">
      <w:pPr>
        <w:spacing w:line="400" w:lineRule="exact"/>
        <w:jc w:val="center"/>
        <w:rPr>
          <w:b/>
          <w:color w:val="auto"/>
          <w:szCs w:val="21"/>
          <w:highlight w:val="none"/>
        </w:rPr>
      </w:pPr>
    </w:p>
    <w:p w14:paraId="3902B612">
      <w:pPr>
        <w:spacing w:line="400" w:lineRule="exact"/>
        <w:jc w:val="center"/>
        <w:rPr>
          <w:b/>
          <w:color w:val="auto"/>
          <w:szCs w:val="21"/>
          <w:highlight w:val="none"/>
        </w:rPr>
      </w:pPr>
    </w:p>
    <w:p w14:paraId="5070EE20">
      <w:pPr>
        <w:spacing w:line="400" w:lineRule="exact"/>
        <w:jc w:val="center"/>
        <w:rPr>
          <w:b/>
          <w:color w:val="auto"/>
          <w:szCs w:val="21"/>
          <w:highlight w:val="none"/>
        </w:rPr>
      </w:pPr>
    </w:p>
    <w:p w14:paraId="69234440">
      <w:pPr>
        <w:spacing w:line="400" w:lineRule="exact"/>
        <w:jc w:val="center"/>
        <w:rPr>
          <w:b/>
          <w:color w:val="auto"/>
          <w:szCs w:val="21"/>
          <w:highlight w:val="none"/>
        </w:rPr>
      </w:pPr>
    </w:p>
    <w:p w14:paraId="1983B6F2">
      <w:pPr>
        <w:spacing w:line="400" w:lineRule="exact"/>
        <w:jc w:val="center"/>
        <w:rPr>
          <w:b/>
          <w:color w:val="auto"/>
          <w:szCs w:val="21"/>
          <w:highlight w:val="none"/>
        </w:rPr>
      </w:pPr>
    </w:p>
    <w:p w14:paraId="3C05A916">
      <w:pPr>
        <w:spacing w:line="400" w:lineRule="exact"/>
        <w:jc w:val="center"/>
        <w:rPr>
          <w:b/>
          <w:color w:val="auto"/>
          <w:szCs w:val="21"/>
          <w:highlight w:val="none"/>
        </w:rPr>
      </w:pPr>
    </w:p>
    <w:p w14:paraId="5BBEB33A">
      <w:pPr>
        <w:spacing w:line="400" w:lineRule="exact"/>
        <w:jc w:val="center"/>
        <w:rPr>
          <w:b/>
          <w:color w:val="auto"/>
          <w:szCs w:val="21"/>
          <w:highlight w:val="none"/>
        </w:rPr>
      </w:pPr>
    </w:p>
    <w:p w14:paraId="6EF1D70E">
      <w:pPr>
        <w:spacing w:line="400" w:lineRule="exact"/>
        <w:jc w:val="center"/>
        <w:rPr>
          <w:b/>
          <w:color w:val="auto"/>
          <w:szCs w:val="21"/>
          <w:highlight w:val="none"/>
        </w:rPr>
      </w:pPr>
    </w:p>
    <w:p w14:paraId="3BFB9E38">
      <w:pPr>
        <w:spacing w:line="400" w:lineRule="exact"/>
        <w:jc w:val="center"/>
        <w:rPr>
          <w:b/>
          <w:color w:val="auto"/>
          <w:szCs w:val="21"/>
          <w:highlight w:val="none"/>
        </w:rPr>
      </w:pPr>
    </w:p>
    <w:p w14:paraId="31B63C39">
      <w:pPr>
        <w:spacing w:line="400" w:lineRule="exact"/>
        <w:ind w:firstLine="938" w:firstLineChars="445"/>
        <w:rPr>
          <w:b/>
          <w:color w:val="auto"/>
          <w:szCs w:val="21"/>
          <w:highlight w:val="none"/>
          <w:u w:val="single"/>
        </w:rPr>
      </w:pPr>
      <w:r>
        <w:rPr>
          <w:rFonts w:hint="eastAsia"/>
          <w:b/>
          <w:color w:val="auto"/>
          <w:szCs w:val="21"/>
          <w:highlight w:val="none"/>
        </w:rPr>
        <w:t>发包人：</w:t>
      </w:r>
    </w:p>
    <w:p w14:paraId="084285CD">
      <w:pPr>
        <w:spacing w:line="400" w:lineRule="exact"/>
        <w:ind w:firstLine="938" w:firstLineChars="445"/>
        <w:rPr>
          <w:b/>
          <w:color w:val="auto"/>
          <w:szCs w:val="21"/>
          <w:highlight w:val="none"/>
          <w:u w:val="single"/>
        </w:rPr>
      </w:pPr>
      <w:r>
        <w:rPr>
          <w:rFonts w:hint="eastAsia"/>
          <w:b/>
          <w:color w:val="auto"/>
          <w:szCs w:val="21"/>
          <w:highlight w:val="none"/>
        </w:rPr>
        <w:t>承包人：</w:t>
      </w:r>
    </w:p>
    <w:p w14:paraId="7FD74D4B">
      <w:pPr>
        <w:spacing w:line="400" w:lineRule="exact"/>
        <w:jc w:val="center"/>
        <w:rPr>
          <w:b/>
          <w:color w:val="auto"/>
          <w:szCs w:val="21"/>
          <w:highlight w:val="none"/>
        </w:rPr>
      </w:pPr>
    </w:p>
    <w:p w14:paraId="5773033B">
      <w:pPr>
        <w:spacing w:line="400" w:lineRule="exact"/>
        <w:rPr>
          <w:b/>
          <w:color w:val="auto"/>
          <w:szCs w:val="21"/>
          <w:highlight w:val="none"/>
        </w:rPr>
      </w:pPr>
    </w:p>
    <w:p w14:paraId="53E3AF5A">
      <w:pPr>
        <w:rPr>
          <w:rFonts w:hAnsi="Courier New"/>
          <w:color w:val="auto"/>
          <w:szCs w:val="21"/>
          <w:highlight w:val="none"/>
        </w:rPr>
      </w:pPr>
    </w:p>
    <w:p w14:paraId="4D3A40B6">
      <w:pPr>
        <w:jc w:val="center"/>
        <w:rPr>
          <w:rFonts w:hAnsi="Courier New"/>
          <w:color w:val="auto"/>
          <w:szCs w:val="21"/>
          <w:highlight w:val="none"/>
        </w:rPr>
      </w:pPr>
      <w:r>
        <w:rPr>
          <w:rFonts w:hint="eastAsia" w:hAnsi="Courier New"/>
          <w:color w:val="auto"/>
          <w:szCs w:val="21"/>
          <w:highlight w:val="none"/>
        </w:rPr>
        <w:br w:type="page"/>
      </w:r>
    </w:p>
    <w:p w14:paraId="6674A426">
      <w:pPr>
        <w:jc w:val="center"/>
        <w:rPr>
          <w:rFonts w:hAnsi="Courier New"/>
          <w:b/>
          <w:bCs/>
          <w:color w:val="auto"/>
          <w:sz w:val="28"/>
          <w:szCs w:val="28"/>
          <w:highlight w:val="none"/>
        </w:rPr>
      </w:pPr>
      <w:r>
        <w:rPr>
          <w:rFonts w:hint="eastAsia" w:hAnsi="Courier New"/>
          <w:b/>
          <w:bCs/>
          <w:color w:val="auto"/>
          <w:sz w:val="28"/>
          <w:szCs w:val="28"/>
          <w:highlight w:val="none"/>
        </w:rPr>
        <w:t>一、协议书</w:t>
      </w:r>
    </w:p>
    <w:p w14:paraId="3B84F128">
      <w:pPr>
        <w:rPr>
          <w:rFonts w:hAnsi="Courier New"/>
          <w:b/>
          <w:bCs/>
          <w:color w:val="auto"/>
          <w:szCs w:val="21"/>
          <w:highlight w:val="none"/>
        </w:rPr>
      </w:pPr>
    </w:p>
    <w:p w14:paraId="4EB3D4D4">
      <w:pPr>
        <w:spacing w:line="360" w:lineRule="exact"/>
        <w:rPr>
          <w:rFonts w:hAnsi="Courier New"/>
          <w:color w:val="auto"/>
          <w:szCs w:val="21"/>
          <w:highlight w:val="none"/>
        </w:rPr>
      </w:pPr>
      <w:r>
        <w:rPr>
          <w:rFonts w:hint="eastAsia" w:hAnsi="Courier New"/>
          <w:color w:val="auto"/>
          <w:szCs w:val="21"/>
          <w:highlight w:val="none"/>
        </w:rPr>
        <w:t>发包人（全称）：</w:t>
      </w:r>
    </w:p>
    <w:p w14:paraId="1A1888FC">
      <w:pPr>
        <w:spacing w:line="360" w:lineRule="exact"/>
        <w:rPr>
          <w:rFonts w:hAnsi="Courier New"/>
          <w:color w:val="auto"/>
          <w:szCs w:val="21"/>
          <w:highlight w:val="none"/>
        </w:rPr>
      </w:pPr>
      <w:r>
        <w:rPr>
          <w:rFonts w:hint="eastAsia" w:hAnsi="Courier New"/>
          <w:color w:val="auto"/>
          <w:szCs w:val="21"/>
          <w:highlight w:val="none"/>
        </w:rPr>
        <w:t>承包人（全称）：</w:t>
      </w:r>
    </w:p>
    <w:p w14:paraId="4C7B8B85">
      <w:pPr>
        <w:spacing w:line="360" w:lineRule="exact"/>
        <w:rPr>
          <w:rFonts w:hAnsi="Courier New"/>
          <w:color w:val="auto"/>
          <w:szCs w:val="21"/>
          <w:highlight w:val="none"/>
        </w:rPr>
      </w:pPr>
    </w:p>
    <w:p w14:paraId="63DEFC69">
      <w:pPr>
        <w:spacing w:line="360" w:lineRule="exact"/>
        <w:rPr>
          <w:rFonts w:hAnsi="Courier New"/>
          <w:color w:val="auto"/>
          <w:szCs w:val="21"/>
          <w:highlight w:val="none"/>
        </w:rPr>
      </w:pPr>
      <w:r>
        <w:rPr>
          <w:rFonts w:hint="eastAsia" w:hAnsi="Courier New"/>
          <w:color w:val="auto"/>
          <w:szCs w:val="21"/>
          <w:highlight w:val="none"/>
        </w:rPr>
        <w:t xml:space="preserve">    依照《中华人民共和国政府采购法》、《中华人民共和国投采购法》、《中华人民共和国民法典》和《中华人民共和国建筑法》及其他有关法律、行政法规，遵循平等、自愿、公平和诚实信用的原则，双方就本建设工程施工事项协商一致，订立本合同。</w:t>
      </w:r>
    </w:p>
    <w:p w14:paraId="015627F3">
      <w:pPr>
        <w:spacing w:line="360" w:lineRule="exact"/>
        <w:rPr>
          <w:rFonts w:hAnsi="Courier New"/>
          <w:color w:val="auto"/>
          <w:szCs w:val="21"/>
          <w:highlight w:val="none"/>
        </w:rPr>
      </w:pPr>
      <w:r>
        <w:rPr>
          <w:rFonts w:hint="eastAsia" w:hAnsi="Courier New"/>
          <w:color w:val="auto"/>
          <w:szCs w:val="21"/>
          <w:highlight w:val="none"/>
        </w:rPr>
        <w:t>一、工程概况</w:t>
      </w:r>
    </w:p>
    <w:p w14:paraId="377934E4">
      <w:pPr>
        <w:spacing w:line="360" w:lineRule="exact"/>
        <w:rPr>
          <w:rFonts w:hAnsi="Courier New"/>
          <w:color w:val="auto"/>
          <w:szCs w:val="21"/>
          <w:highlight w:val="none"/>
        </w:rPr>
      </w:pPr>
      <w:r>
        <w:rPr>
          <w:rFonts w:hint="eastAsia" w:hAnsi="Courier New"/>
          <w:color w:val="auto"/>
          <w:szCs w:val="21"/>
          <w:highlight w:val="none"/>
        </w:rPr>
        <w:t xml:space="preserve">    工程名称：</w:t>
      </w:r>
    </w:p>
    <w:p w14:paraId="607F65F3">
      <w:pPr>
        <w:spacing w:line="360" w:lineRule="exact"/>
        <w:rPr>
          <w:rFonts w:hAnsi="Courier New"/>
          <w:color w:val="auto"/>
          <w:szCs w:val="21"/>
          <w:highlight w:val="none"/>
        </w:rPr>
      </w:pPr>
      <w:r>
        <w:rPr>
          <w:rFonts w:hint="eastAsia" w:hAnsi="Courier New"/>
          <w:color w:val="auto"/>
          <w:szCs w:val="21"/>
          <w:highlight w:val="none"/>
        </w:rPr>
        <w:t xml:space="preserve">    工程地点：</w:t>
      </w:r>
    </w:p>
    <w:p w14:paraId="158630DB">
      <w:pPr>
        <w:spacing w:line="360" w:lineRule="exact"/>
        <w:rPr>
          <w:rFonts w:hAnsi="Courier New"/>
          <w:color w:val="auto"/>
          <w:szCs w:val="21"/>
          <w:highlight w:val="none"/>
          <w:shd w:val="clear" w:color="auto" w:fill="FFC000"/>
        </w:rPr>
      </w:pPr>
      <w:r>
        <w:rPr>
          <w:rFonts w:hint="eastAsia" w:hAnsi="Courier New"/>
          <w:color w:val="auto"/>
          <w:szCs w:val="21"/>
          <w:highlight w:val="none"/>
        </w:rPr>
        <w:t xml:space="preserve">    工程内容：</w:t>
      </w:r>
    </w:p>
    <w:p w14:paraId="75000303">
      <w:pPr>
        <w:spacing w:line="360" w:lineRule="exact"/>
        <w:ind w:firstLine="420"/>
        <w:rPr>
          <w:rFonts w:hAnsi="Courier New"/>
          <w:color w:val="auto"/>
          <w:szCs w:val="21"/>
          <w:highlight w:val="none"/>
        </w:rPr>
      </w:pPr>
      <w:r>
        <w:rPr>
          <w:rFonts w:hint="eastAsia" w:hAnsi="Courier New"/>
          <w:color w:val="auto"/>
          <w:szCs w:val="21"/>
          <w:highlight w:val="none"/>
        </w:rPr>
        <w:t>建筑规模：</w:t>
      </w:r>
    </w:p>
    <w:p w14:paraId="1229B8D3">
      <w:pPr>
        <w:spacing w:line="360" w:lineRule="exact"/>
        <w:ind w:firstLine="420"/>
        <w:rPr>
          <w:rFonts w:hAnsi="Courier New"/>
          <w:color w:val="auto"/>
          <w:szCs w:val="21"/>
          <w:highlight w:val="none"/>
        </w:rPr>
      </w:pPr>
      <w:r>
        <w:rPr>
          <w:rFonts w:hint="eastAsia" w:hAnsi="Courier New"/>
          <w:color w:val="auto"/>
          <w:szCs w:val="21"/>
          <w:highlight w:val="none"/>
        </w:rPr>
        <w:t>工程立项批准文号：</w:t>
      </w:r>
    </w:p>
    <w:p w14:paraId="69A4B237">
      <w:pPr>
        <w:spacing w:line="360" w:lineRule="exact"/>
        <w:rPr>
          <w:rFonts w:hAnsi="Courier New"/>
          <w:color w:val="auto"/>
          <w:szCs w:val="21"/>
          <w:highlight w:val="none"/>
        </w:rPr>
      </w:pPr>
      <w:r>
        <w:rPr>
          <w:rFonts w:hint="eastAsia" w:hAnsi="Courier New"/>
          <w:color w:val="auto"/>
          <w:szCs w:val="21"/>
          <w:highlight w:val="none"/>
        </w:rPr>
        <w:t xml:space="preserve">    资金来源：</w:t>
      </w:r>
    </w:p>
    <w:p w14:paraId="09EB7265">
      <w:pPr>
        <w:spacing w:line="360" w:lineRule="exact"/>
        <w:rPr>
          <w:rFonts w:hAnsi="Courier New"/>
          <w:color w:val="auto"/>
          <w:szCs w:val="21"/>
          <w:highlight w:val="none"/>
        </w:rPr>
      </w:pPr>
      <w:r>
        <w:rPr>
          <w:rFonts w:hint="eastAsia" w:hAnsi="Courier New"/>
          <w:color w:val="auto"/>
          <w:szCs w:val="21"/>
          <w:highlight w:val="none"/>
        </w:rPr>
        <w:t>二、工程承包范围</w:t>
      </w:r>
    </w:p>
    <w:p w14:paraId="1D212DBB">
      <w:pPr>
        <w:spacing w:line="360" w:lineRule="exact"/>
        <w:rPr>
          <w:rFonts w:hAnsi="Courier New"/>
          <w:color w:val="auto"/>
          <w:szCs w:val="21"/>
          <w:highlight w:val="none"/>
        </w:rPr>
      </w:pPr>
      <w:r>
        <w:rPr>
          <w:rFonts w:hint="eastAsia" w:hAnsi="Courier New"/>
          <w:color w:val="auto"/>
          <w:szCs w:val="21"/>
          <w:highlight w:val="none"/>
        </w:rPr>
        <w:t xml:space="preserve">    承包范围：</w:t>
      </w:r>
    </w:p>
    <w:p w14:paraId="231F075D">
      <w:pPr>
        <w:spacing w:line="360" w:lineRule="exact"/>
        <w:rPr>
          <w:rFonts w:hAnsi="Courier New"/>
          <w:color w:val="auto"/>
          <w:szCs w:val="21"/>
          <w:highlight w:val="none"/>
        </w:rPr>
      </w:pPr>
      <w:r>
        <w:rPr>
          <w:rFonts w:hint="eastAsia" w:hAnsi="Courier New"/>
          <w:color w:val="auto"/>
          <w:szCs w:val="21"/>
          <w:highlight w:val="none"/>
        </w:rPr>
        <w:t>三、合同工期</w:t>
      </w:r>
    </w:p>
    <w:p w14:paraId="36466045">
      <w:pPr>
        <w:spacing w:line="360" w:lineRule="exact"/>
        <w:rPr>
          <w:rFonts w:hAnsi="Courier New"/>
          <w:color w:val="auto"/>
          <w:szCs w:val="21"/>
          <w:highlight w:val="none"/>
        </w:rPr>
      </w:pPr>
      <w:r>
        <w:rPr>
          <w:rFonts w:hint="eastAsia" w:hAnsi="Courier New"/>
          <w:color w:val="auto"/>
          <w:szCs w:val="21"/>
          <w:highlight w:val="none"/>
        </w:rPr>
        <w:t xml:space="preserve">    开工日期：</w:t>
      </w:r>
      <w:r>
        <w:rPr>
          <w:rFonts w:hint="eastAsia" w:hAnsi="Courier New"/>
          <w:color w:val="auto"/>
          <w:szCs w:val="21"/>
          <w:highlight w:val="none"/>
          <w:u w:val="single"/>
        </w:rPr>
        <w:t xml:space="preserve">以总监理工程师开具并有发包人签认的开工令为准 </w:t>
      </w:r>
      <w:r>
        <w:rPr>
          <w:rFonts w:hint="eastAsia" w:hAnsi="Courier New"/>
          <w:color w:val="auto"/>
          <w:szCs w:val="21"/>
          <w:highlight w:val="none"/>
        </w:rPr>
        <w:t>。</w:t>
      </w:r>
    </w:p>
    <w:p w14:paraId="37D73894">
      <w:pPr>
        <w:spacing w:line="360" w:lineRule="exact"/>
        <w:ind w:firstLine="420" w:firstLineChars="200"/>
        <w:rPr>
          <w:rFonts w:hAnsi="Courier New"/>
          <w:color w:val="auto"/>
          <w:szCs w:val="21"/>
          <w:highlight w:val="none"/>
        </w:rPr>
      </w:pPr>
      <w:r>
        <w:rPr>
          <w:rFonts w:hint="eastAsia" w:hAnsi="Courier New"/>
          <w:color w:val="auto"/>
          <w:szCs w:val="21"/>
          <w:highlight w:val="none"/>
        </w:rPr>
        <w:t>竣工日期：年月日。</w:t>
      </w:r>
    </w:p>
    <w:p w14:paraId="1A8B0A08">
      <w:pPr>
        <w:spacing w:line="360" w:lineRule="exact"/>
        <w:ind w:firstLine="420" w:firstLineChars="200"/>
        <w:rPr>
          <w:rFonts w:hAnsi="Courier New"/>
          <w:color w:val="auto"/>
          <w:szCs w:val="21"/>
          <w:highlight w:val="none"/>
        </w:rPr>
      </w:pPr>
      <w:r>
        <w:rPr>
          <w:rFonts w:hint="eastAsia" w:hAnsi="Courier New"/>
          <w:color w:val="auto"/>
          <w:szCs w:val="21"/>
          <w:highlight w:val="none"/>
        </w:rPr>
        <w:t>合同工期总日历天数：天。</w:t>
      </w:r>
    </w:p>
    <w:p w14:paraId="3CD33524">
      <w:pPr>
        <w:spacing w:line="360" w:lineRule="exact"/>
        <w:rPr>
          <w:rFonts w:hAnsi="Courier New"/>
          <w:color w:val="auto"/>
          <w:szCs w:val="21"/>
          <w:highlight w:val="none"/>
        </w:rPr>
      </w:pPr>
      <w:r>
        <w:rPr>
          <w:rFonts w:hint="eastAsia" w:hAnsi="Courier New"/>
          <w:color w:val="auto"/>
          <w:szCs w:val="21"/>
          <w:highlight w:val="none"/>
        </w:rPr>
        <w:t>四、质量标准</w:t>
      </w:r>
    </w:p>
    <w:p w14:paraId="09AAC407">
      <w:pPr>
        <w:spacing w:line="360" w:lineRule="exact"/>
        <w:ind w:firstLine="315" w:firstLineChars="150"/>
        <w:rPr>
          <w:rFonts w:hAnsi="Courier New"/>
          <w:color w:val="auto"/>
          <w:szCs w:val="21"/>
          <w:highlight w:val="none"/>
        </w:rPr>
      </w:pPr>
      <w:r>
        <w:rPr>
          <w:rFonts w:hint="eastAsia" w:hAnsi="Courier New"/>
          <w:color w:val="auto"/>
          <w:szCs w:val="21"/>
          <w:highlight w:val="none"/>
        </w:rPr>
        <w:t xml:space="preserve"> 工程质量标准：。</w:t>
      </w:r>
    </w:p>
    <w:p w14:paraId="24CE4AEA">
      <w:pPr>
        <w:spacing w:line="360" w:lineRule="exact"/>
        <w:rPr>
          <w:rFonts w:hAnsi="Courier New"/>
          <w:color w:val="auto"/>
          <w:szCs w:val="21"/>
          <w:highlight w:val="none"/>
        </w:rPr>
      </w:pPr>
      <w:r>
        <w:rPr>
          <w:rFonts w:hint="eastAsia" w:hAnsi="Courier New"/>
          <w:color w:val="auto"/>
          <w:szCs w:val="21"/>
          <w:highlight w:val="none"/>
        </w:rPr>
        <w:t>五、合同价款</w:t>
      </w:r>
    </w:p>
    <w:p w14:paraId="744836DE">
      <w:pPr>
        <w:spacing w:line="360" w:lineRule="exact"/>
        <w:ind w:firstLine="440"/>
        <w:rPr>
          <w:rFonts w:hAnsi="Courier New"/>
          <w:color w:val="auto"/>
          <w:szCs w:val="21"/>
          <w:highlight w:val="none"/>
        </w:rPr>
      </w:pPr>
      <w:r>
        <w:rPr>
          <w:rFonts w:hint="eastAsia" w:hAnsi="Courier New"/>
          <w:color w:val="auto"/>
          <w:szCs w:val="21"/>
          <w:highlight w:val="none"/>
        </w:rPr>
        <w:t>金额(人民币大写)：元（人民币） ￥：元。</w:t>
      </w:r>
    </w:p>
    <w:p w14:paraId="5071F672">
      <w:pPr>
        <w:spacing w:line="360" w:lineRule="exact"/>
        <w:rPr>
          <w:rFonts w:hAnsi="Courier New"/>
          <w:color w:val="auto"/>
          <w:szCs w:val="21"/>
          <w:highlight w:val="none"/>
        </w:rPr>
      </w:pPr>
      <w:r>
        <w:rPr>
          <w:rFonts w:hint="eastAsia" w:hAnsi="Courier New"/>
          <w:color w:val="auto"/>
          <w:szCs w:val="21"/>
          <w:highlight w:val="none"/>
        </w:rPr>
        <w:t>六、组成合同的文件</w:t>
      </w:r>
    </w:p>
    <w:p w14:paraId="7FC9D57E">
      <w:pPr>
        <w:spacing w:line="360" w:lineRule="exact"/>
        <w:rPr>
          <w:rFonts w:hAnsi="Courier New"/>
          <w:color w:val="auto"/>
          <w:szCs w:val="21"/>
          <w:highlight w:val="none"/>
        </w:rPr>
      </w:pPr>
      <w:r>
        <w:rPr>
          <w:rFonts w:hint="eastAsia" w:hAnsi="Courier New"/>
          <w:color w:val="auto"/>
          <w:szCs w:val="21"/>
          <w:highlight w:val="none"/>
        </w:rPr>
        <w:t xml:space="preserve">    组成本合同的文件包括：</w:t>
      </w:r>
    </w:p>
    <w:p w14:paraId="5652C1FF">
      <w:pPr>
        <w:spacing w:line="360" w:lineRule="exact"/>
        <w:rPr>
          <w:rFonts w:hAnsi="Courier New"/>
          <w:color w:val="auto"/>
          <w:szCs w:val="21"/>
          <w:highlight w:val="none"/>
        </w:rPr>
      </w:pPr>
      <w:r>
        <w:rPr>
          <w:rFonts w:hint="eastAsia" w:hAnsi="Courier New"/>
          <w:color w:val="auto"/>
          <w:szCs w:val="21"/>
          <w:highlight w:val="none"/>
        </w:rPr>
        <w:t xml:space="preserve">    1．本合同协议书；</w:t>
      </w:r>
    </w:p>
    <w:p w14:paraId="133F0BB1">
      <w:pPr>
        <w:spacing w:line="360" w:lineRule="exact"/>
        <w:rPr>
          <w:rFonts w:hAnsi="Courier New"/>
          <w:color w:val="auto"/>
          <w:szCs w:val="21"/>
          <w:highlight w:val="none"/>
        </w:rPr>
      </w:pPr>
      <w:r>
        <w:rPr>
          <w:rFonts w:hint="eastAsia" w:hAnsi="Courier New"/>
          <w:color w:val="auto"/>
          <w:szCs w:val="21"/>
          <w:highlight w:val="none"/>
        </w:rPr>
        <w:t xml:space="preserve">    2．成交通知书；</w:t>
      </w:r>
    </w:p>
    <w:p w14:paraId="3FA4675C">
      <w:pPr>
        <w:spacing w:line="360" w:lineRule="exact"/>
        <w:rPr>
          <w:rFonts w:hAnsi="Courier New"/>
          <w:color w:val="auto"/>
          <w:szCs w:val="21"/>
          <w:highlight w:val="none"/>
        </w:rPr>
      </w:pPr>
      <w:r>
        <w:rPr>
          <w:rFonts w:hint="eastAsia" w:hAnsi="Courier New"/>
          <w:color w:val="auto"/>
          <w:szCs w:val="21"/>
          <w:highlight w:val="none"/>
        </w:rPr>
        <w:t xml:space="preserve">    3．响应文件及其附件；</w:t>
      </w:r>
    </w:p>
    <w:p w14:paraId="1FFEB267">
      <w:pPr>
        <w:spacing w:line="360" w:lineRule="exact"/>
        <w:rPr>
          <w:rFonts w:hAnsi="Courier New"/>
          <w:color w:val="auto"/>
          <w:szCs w:val="21"/>
          <w:highlight w:val="none"/>
        </w:rPr>
      </w:pPr>
      <w:r>
        <w:rPr>
          <w:rFonts w:hint="eastAsia" w:hAnsi="Courier New"/>
          <w:color w:val="auto"/>
          <w:szCs w:val="21"/>
          <w:highlight w:val="none"/>
        </w:rPr>
        <w:t xml:space="preserve">    4．本合同专用条款；</w:t>
      </w:r>
    </w:p>
    <w:p w14:paraId="2EE29EF2">
      <w:pPr>
        <w:spacing w:line="360" w:lineRule="exact"/>
        <w:rPr>
          <w:rFonts w:hAnsi="Courier New"/>
          <w:color w:val="auto"/>
          <w:szCs w:val="21"/>
          <w:highlight w:val="none"/>
        </w:rPr>
      </w:pPr>
      <w:r>
        <w:rPr>
          <w:rFonts w:hint="eastAsia" w:hAnsi="Courier New"/>
          <w:color w:val="auto"/>
          <w:szCs w:val="21"/>
          <w:highlight w:val="none"/>
        </w:rPr>
        <w:t xml:space="preserve">    5．本合同通用条款；</w:t>
      </w:r>
    </w:p>
    <w:p w14:paraId="0E9E7382">
      <w:pPr>
        <w:spacing w:line="360" w:lineRule="exact"/>
        <w:rPr>
          <w:rFonts w:hAnsi="Courier New"/>
          <w:color w:val="auto"/>
          <w:szCs w:val="21"/>
          <w:highlight w:val="none"/>
        </w:rPr>
      </w:pPr>
      <w:r>
        <w:rPr>
          <w:rFonts w:hint="eastAsia" w:hAnsi="Courier New"/>
          <w:color w:val="auto"/>
          <w:szCs w:val="21"/>
          <w:highlight w:val="none"/>
        </w:rPr>
        <w:t xml:space="preserve">    6．标准、规范及有关技术文件；</w:t>
      </w:r>
    </w:p>
    <w:p w14:paraId="584AF33F">
      <w:pPr>
        <w:spacing w:line="360" w:lineRule="exact"/>
        <w:rPr>
          <w:rFonts w:hAnsi="Courier New"/>
          <w:color w:val="auto"/>
          <w:szCs w:val="21"/>
          <w:highlight w:val="none"/>
        </w:rPr>
      </w:pPr>
      <w:r>
        <w:rPr>
          <w:rFonts w:hint="eastAsia" w:hAnsi="Courier New"/>
          <w:color w:val="auto"/>
          <w:szCs w:val="21"/>
          <w:highlight w:val="none"/>
        </w:rPr>
        <w:t xml:space="preserve">    7．图纸；</w:t>
      </w:r>
    </w:p>
    <w:p w14:paraId="1E6EAB50">
      <w:pPr>
        <w:spacing w:line="360" w:lineRule="exact"/>
        <w:rPr>
          <w:rFonts w:hAnsi="Courier New"/>
          <w:color w:val="auto"/>
          <w:szCs w:val="21"/>
          <w:highlight w:val="none"/>
        </w:rPr>
      </w:pPr>
      <w:r>
        <w:rPr>
          <w:rFonts w:hint="eastAsia" w:hAnsi="Courier New"/>
          <w:color w:val="auto"/>
          <w:szCs w:val="21"/>
          <w:highlight w:val="none"/>
        </w:rPr>
        <w:t xml:space="preserve">    8．工程量清单；</w:t>
      </w:r>
    </w:p>
    <w:p w14:paraId="213E8B5D">
      <w:pPr>
        <w:spacing w:line="360" w:lineRule="exact"/>
        <w:rPr>
          <w:rFonts w:hAnsi="Courier New"/>
          <w:color w:val="auto"/>
          <w:szCs w:val="21"/>
          <w:highlight w:val="none"/>
        </w:rPr>
      </w:pPr>
      <w:r>
        <w:rPr>
          <w:rFonts w:hint="eastAsia" w:hAnsi="Courier New"/>
          <w:color w:val="auto"/>
          <w:szCs w:val="21"/>
          <w:highlight w:val="none"/>
        </w:rPr>
        <w:t xml:space="preserve">    9．采购文件(含补充通知和答疑)；</w:t>
      </w:r>
    </w:p>
    <w:p w14:paraId="1B2DE7F4">
      <w:pPr>
        <w:spacing w:line="360" w:lineRule="exact"/>
        <w:rPr>
          <w:rFonts w:hAnsi="Courier New"/>
          <w:color w:val="auto"/>
          <w:szCs w:val="21"/>
          <w:highlight w:val="none"/>
        </w:rPr>
      </w:pPr>
      <w:r>
        <w:rPr>
          <w:rFonts w:hint="eastAsia" w:hAnsi="Courier New"/>
          <w:color w:val="auto"/>
          <w:szCs w:val="21"/>
          <w:highlight w:val="none"/>
        </w:rPr>
        <w:t xml:space="preserve">    10．廉政责任书；</w:t>
      </w:r>
    </w:p>
    <w:p w14:paraId="0BEFB1E8">
      <w:pPr>
        <w:spacing w:line="360" w:lineRule="exact"/>
        <w:rPr>
          <w:rFonts w:hAnsi="Courier New"/>
          <w:color w:val="auto"/>
          <w:szCs w:val="21"/>
          <w:highlight w:val="none"/>
        </w:rPr>
      </w:pPr>
      <w:r>
        <w:rPr>
          <w:rFonts w:hint="eastAsia" w:hAnsi="Courier New"/>
          <w:color w:val="auto"/>
          <w:szCs w:val="21"/>
          <w:highlight w:val="none"/>
        </w:rPr>
        <w:t xml:space="preserve">    11．履约保证金缴纳证明；</w:t>
      </w:r>
    </w:p>
    <w:p w14:paraId="7864BBFF">
      <w:pPr>
        <w:spacing w:line="360" w:lineRule="exact"/>
        <w:rPr>
          <w:rFonts w:hAnsi="Courier New"/>
          <w:color w:val="auto"/>
          <w:szCs w:val="21"/>
          <w:highlight w:val="none"/>
        </w:rPr>
      </w:pPr>
    </w:p>
    <w:p w14:paraId="7B975365">
      <w:pPr>
        <w:spacing w:line="360" w:lineRule="exact"/>
        <w:ind w:firstLine="480"/>
        <w:rPr>
          <w:rFonts w:hAnsi="Courier New"/>
          <w:color w:val="auto"/>
          <w:szCs w:val="21"/>
          <w:highlight w:val="none"/>
        </w:rPr>
      </w:pPr>
      <w:r>
        <w:rPr>
          <w:rFonts w:hint="eastAsia" w:hAnsi="Courier New"/>
          <w:color w:val="auto"/>
          <w:szCs w:val="21"/>
          <w:highlight w:val="none"/>
        </w:rPr>
        <w:t>双方有关工程的洽商、变更等书面协议或文件，视为本合同的组成部分。</w:t>
      </w:r>
    </w:p>
    <w:p w14:paraId="5060DBE7">
      <w:pPr>
        <w:spacing w:line="360" w:lineRule="exact"/>
        <w:rPr>
          <w:rFonts w:hAnsi="Courier New"/>
          <w:color w:val="auto"/>
          <w:szCs w:val="21"/>
          <w:highlight w:val="none"/>
        </w:rPr>
      </w:pPr>
      <w:r>
        <w:rPr>
          <w:rFonts w:hint="eastAsia" w:hAnsi="Courier New"/>
          <w:color w:val="auto"/>
          <w:szCs w:val="21"/>
          <w:highlight w:val="none"/>
        </w:rPr>
        <w:t xml:space="preserve">七、本协议书中有关词语含义与采购文件第四章(通用条款)中分别赋予它们的定义相同。                                 </w:t>
      </w:r>
    </w:p>
    <w:p w14:paraId="02B44CEB">
      <w:pPr>
        <w:spacing w:line="360" w:lineRule="exact"/>
        <w:rPr>
          <w:rFonts w:hAnsi="Courier New"/>
          <w:color w:val="auto"/>
          <w:szCs w:val="21"/>
          <w:highlight w:val="none"/>
        </w:rPr>
      </w:pPr>
      <w:r>
        <w:rPr>
          <w:rFonts w:hint="eastAsia" w:hAnsi="Courier New"/>
          <w:color w:val="auto"/>
          <w:szCs w:val="21"/>
          <w:highlight w:val="none"/>
        </w:rPr>
        <w:t>八、承包人向发包人承诺按照合同约定进行施工、竣工并在质量保修期内承担工程质量保修责任。</w:t>
      </w:r>
    </w:p>
    <w:p w14:paraId="6A5401A5">
      <w:pPr>
        <w:spacing w:line="360" w:lineRule="exact"/>
        <w:rPr>
          <w:rFonts w:hAnsi="Courier New"/>
          <w:color w:val="auto"/>
          <w:szCs w:val="21"/>
          <w:highlight w:val="none"/>
        </w:rPr>
      </w:pPr>
      <w:r>
        <w:rPr>
          <w:rFonts w:hint="eastAsia" w:hAnsi="Courier New"/>
          <w:color w:val="auto"/>
          <w:szCs w:val="21"/>
          <w:highlight w:val="none"/>
        </w:rPr>
        <w:t>九、发包人向承包人承诺按照合同约定的期限和方式支付合同价款及其他应当支付的款项。</w:t>
      </w:r>
    </w:p>
    <w:p w14:paraId="2779F4E9">
      <w:pPr>
        <w:spacing w:line="360" w:lineRule="exact"/>
        <w:rPr>
          <w:rFonts w:hAnsi="Courier New"/>
          <w:color w:val="auto"/>
          <w:szCs w:val="21"/>
          <w:highlight w:val="none"/>
        </w:rPr>
      </w:pPr>
      <w:r>
        <w:rPr>
          <w:rFonts w:hint="eastAsia" w:hAnsi="Courier New"/>
          <w:color w:val="auto"/>
          <w:szCs w:val="21"/>
          <w:highlight w:val="none"/>
        </w:rPr>
        <w:t>十、合同生效</w:t>
      </w:r>
    </w:p>
    <w:p w14:paraId="636C23FE">
      <w:pPr>
        <w:spacing w:line="360" w:lineRule="exact"/>
        <w:rPr>
          <w:rFonts w:hAnsi="Courier New"/>
          <w:color w:val="auto"/>
          <w:szCs w:val="21"/>
          <w:highlight w:val="none"/>
        </w:rPr>
      </w:pPr>
      <w:r>
        <w:rPr>
          <w:rFonts w:hint="eastAsia" w:hAnsi="Courier New"/>
          <w:color w:val="auto"/>
          <w:szCs w:val="21"/>
          <w:highlight w:val="none"/>
        </w:rPr>
        <w:t xml:space="preserve">    合同订立时间：年月日。</w:t>
      </w:r>
    </w:p>
    <w:p w14:paraId="0B9BE523">
      <w:pPr>
        <w:spacing w:line="360" w:lineRule="exact"/>
        <w:rPr>
          <w:rFonts w:hAnsi="Courier New"/>
          <w:color w:val="auto"/>
          <w:szCs w:val="21"/>
          <w:highlight w:val="none"/>
          <w:u w:val="single"/>
        </w:rPr>
      </w:pPr>
      <w:r>
        <w:rPr>
          <w:rFonts w:hint="eastAsia" w:hAnsi="Courier New"/>
          <w:color w:val="auto"/>
          <w:szCs w:val="21"/>
          <w:highlight w:val="none"/>
        </w:rPr>
        <w:t xml:space="preserve">    合同订立地点：</w:t>
      </w:r>
      <w:r>
        <w:rPr>
          <w:rFonts w:hint="eastAsia" w:hAnsi="Courier New"/>
          <w:color w:val="auto"/>
          <w:szCs w:val="21"/>
          <w:highlight w:val="none"/>
          <w:u w:val="single"/>
        </w:rPr>
        <w:t>广西钦州市</w:t>
      </w:r>
      <w:r>
        <w:rPr>
          <w:rFonts w:hint="eastAsia" w:hAnsi="Courier New"/>
          <w:color w:val="auto"/>
          <w:szCs w:val="21"/>
          <w:highlight w:val="none"/>
        </w:rPr>
        <w:t>。</w:t>
      </w:r>
    </w:p>
    <w:p w14:paraId="68CB1CF5">
      <w:pPr>
        <w:spacing w:line="360" w:lineRule="exact"/>
        <w:rPr>
          <w:rFonts w:hAnsi="Courier New"/>
          <w:color w:val="auto"/>
          <w:szCs w:val="21"/>
          <w:highlight w:val="none"/>
        </w:rPr>
      </w:pPr>
      <w:r>
        <w:rPr>
          <w:rFonts w:hint="eastAsia" w:hAnsi="Courier New"/>
          <w:color w:val="auto"/>
          <w:szCs w:val="21"/>
          <w:highlight w:val="none"/>
        </w:rPr>
        <w:t xml:space="preserve">    本合同双方约定</w:t>
      </w:r>
      <w:r>
        <w:rPr>
          <w:rFonts w:hint="eastAsia" w:hAnsi="Courier New"/>
          <w:color w:val="auto"/>
          <w:szCs w:val="21"/>
          <w:highlight w:val="none"/>
          <w:u w:val="single"/>
        </w:rPr>
        <w:t>双方法定代表人或其授权代理人签字或盖章并加盖单位公章后生效</w:t>
      </w:r>
      <w:r>
        <w:rPr>
          <w:rFonts w:hint="eastAsia" w:hAnsi="Courier New"/>
          <w:color w:val="auto"/>
          <w:szCs w:val="21"/>
          <w:highlight w:val="none"/>
        </w:rPr>
        <w:t>。</w:t>
      </w:r>
    </w:p>
    <w:p w14:paraId="3C499E25">
      <w:pPr>
        <w:tabs>
          <w:tab w:val="left" w:pos="5220"/>
        </w:tabs>
        <w:spacing w:line="360" w:lineRule="exact"/>
        <w:ind w:firstLine="470" w:firstLineChars="224"/>
        <w:rPr>
          <w:rFonts w:hAnsi="Courier New"/>
          <w:color w:val="auto"/>
          <w:szCs w:val="21"/>
          <w:highlight w:val="none"/>
        </w:rPr>
      </w:pPr>
      <w:r>
        <w:rPr>
          <w:rFonts w:hint="eastAsia" w:hAnsi="Courier New"/>
          <w:color w:val="auto"/>
          <w:szCs w:val="21"/>
          <w:highlight w:val="none"/>
        </w:rPr>
        <w:t>本合同一式</w:t>
      </w:r>
      <w:r>
        <w:rPr>
          <w:rFonts w:hint="eastAsia" w:hAnsi="Courier New"/>
          <w:color w:val="auto"/>
          <w:szCs w:val="21"/>
          <w:highlight w:val="none"/>
          <w:u w:val="single"/>
        </w:rPr>
        <w:t>八</w:t>
      </w:r>
      <w:r>
        <w:rPr>
          <w:rFonts w:hint="eastAsia" w:hAnsi="Courier New"/>
          <w:color w:val="auto"/>
          <w:szCs w:val="21"/>
          <w:highlight w:val="none"/>
        </w:rPr>
        <w:t>份，正本</w:t>
      </w:r>
      <w:r>
        <w:rPr>
          <w:rFonts w:hint="eastAsia" w:hAnsi="Courier New"/>
          <w:color w:val="auto"/>
          <w:szCs w:val="21"/>
          <w:highlight w:val="none"/>
          <w:u w:val="single"/>
        </w:rPr>
        <w:t>两</w:t>
      </w:r>
      <w:r>
        <w:rPr>
          <w:rFonts w:hint="eastAsia" w:hAnsi="Courier New"/>
          <w:color w:val="auto"/>
          <w:szCs w:val="21"/>
          <w:highlight w:val="none"/>
        </w:rPr>
        <w:t>份、副本</w:t>
      </w:r>
      <w:r>
        <w:rPr>
          <w:rFonts w:hint="eastAsia" w:hAnsi="Courier New"/>
          <w:color w:val="auto"/>
          <w:szCs w:val="21"/>
          <w:highlight w:val="none"/>
          <w:u w:val="single"/>
        </w:rPr>
        <w:t>陆</w:t>
      </w:r>
      <w:r>
        <w:rPr>
          <w:rFonts w:hint="eastAsia" w:hAnsi="Courier New"/>
          <w:color w:val="auto"/>
          <w:szCs w:val="21"/>
          <w:highlight w:val="none"/>
        </w:rPr>
        <w:t>份。</w:t>
      </w:r>
    </w:p>
    <w:p w14:paraId="0F0FCED0">
      <w:pPr>
        <w:pStyle w:val="12"/>
        <w:spacing w:line="360" w:lineRule="exact"/>
        <w:ind w:left="479" w:leftChars="228" w:firstLine="52" w:firstLineChars="25"/>
        <w:rPr>
          <w:color w:val="auto"/>
          <w:highlight w:val="none"/>
        </w:rPr>
      </w:pPr>
    </w:p>
    <w:p w14:paraId="15971DDC">
      <w:pPr>
        <w:pStyle w:val="12"/>
        <w:spacing w:line="360" w:lineRule="exact"/>
        <w:ind w:left="479" w:leftChars="228" w:firstLine="52" w:firstLineChars="25"/>
        <w:rPr>
          <w:color w:val="auto"/>
          <w:highlight w:val="none"/>
        </w:rPr>
      </w:pPr>
      <w:r>
        <w:rPr>
          <w:rFonts w:hint="eastAsia"/>
          <w:color w:val="auto"/>
          <w:highlight w:val="none"/>
        </w:rPr>
        <w:t>发包人：(公章)                    承包人：(公章)</w:t>
      </w:r>
    </w:p>
    <w:p w14:paraId="76E23D26">
      <w:pPr>
        <w:pStyle w:val="12"/>
        <w:tabs>
          <w:tab w:val="left" w:pos="4500"/>
        </w:tabs>
        <w:spacing w:line="360" w:lineRule="exact"/>
        <w:ind w:firstLine="540"/>
        <w:rPr>
          <w:color w:val="auto"/>
          <w:highlight w:val="none"/>
        </w:rPr>
      </w:pPr>
      <w:r>
        <w:rPr>
          <w:rFonts w:hint="eastAsia"/>
          <w:color w:val="auto"/>
          <w:highlight w:val="none"/>
        </w:rPr>
        <w:t>住  所：</w:t>
      </w:r>
      <w:r>
        <w:rPr>
          <w:rFonts w:hint="eastAsia"/>
          <w:color w:val="auto"/>
          <w:highlight w:val="none"/>
        </w:rPr>
        <w:tab/>
      </w:r>
      <w:r>
        <w:rPr>
          <w:rFonts w:hint="eastAsia"/>
          <w:color w:val="auto"/>
          <w:highlight w:val="none"/>
        </w:rPr>
        <w:t xml:space="preserve"> 住  所：</w:t>
      </w:r>
    </w:p>
    <w:p w14:paraId="0A74ABC6">
      <w:pPr>
        <w:pStyle w:val="12"/>
        <w:tabs>
          <w:tab w:val="left" w:pos="4500"/>
        </w:tabs>
        <w:spacing w:line="360" w:lineRule="exact"/>
        <w:ind w:firstLine="540"/>
        <w:rPr>
          <w:color w:val="auto"/>
          <w:highlight w:val="none"/>
        </w:rPr>
      </w:pPr>
      <w:r>
        <w:rPr>
          <w:rFonts w:hint="eastAsia"/>
          <w:color w:val="auto"/>
          <w:highlight w:val="none"/>
        </w:rPr>
        <w:t xml:space="preserve">法定代表人： </w:t>
      </w:r>
      <w:r>
        <w:rPr>
          <w:rFonts w:hint="eastAsia"/>
          <w:color w:val="auto"/>
          <w:highlight w:val="none"/>
        </w:rPr>
        <w:tab/>
      </w:r>
      <w:r>
        <w:rPr>
          <w:rFonts w:hint="eastAsia"/>
          <w:color w:val="auto"/>
          <w:highlight w:val="none"/>
        </w:rPr>
        <w:t xml:space="preserve"> 法定代表人：</w:t>
      </w:r>
    </w:p>
    <w:p w14:paraId="36947296">
      <w:pPr>
        <w:pStyle w:val="12"/>
        <w:tabs>
          <w:tab w:val="left" w:pos="4500"/>
        </w:tabs>
        <w:spacing w:line="360" w:lineRule="exact"/>
        <w:ind w:firstLine="540"/>
        <w:rPr>
          <w:color w:val="auto"/>
          <w:highlight w:val="none"/>
        </w:rPr>
      </w:pPr>
      <w:r>
        <w:rPr>
          <w:rFonts w:hint="eastAsia"/>
          <w:color w:val="auto"/>
          <w:highlight w:val="none"/>
        </w:rPr>
        <w:t xml:space="preserve">委托代理人： </w:t>
      </w:r>
      <w:r>
        <w:rPr>
          <w:rFonts w:hint="eastAsia"/>
          <w:color w:val="auto"/>
          <w:highlight w:val="none"/>
        </w:rPr>
        <w:tab/>
      </w:r>
      <w:r>
        <w:rPr>
          <w:rFonts w:hint="eastAsia"/>
          <w:color w:val="auto"/>
          <w:highlight w:val="none"/>
        </w:rPr>
        <w:t xml:space="preserve"> 委托代理人：</w:t>
      </w:r>
    </w:p>
    <w:p w14:paraId="2A5B6D8E">
      <w:pPr>
        <w:pStyle w:val="12"/>
        <w:tabs>
          <w:tab w:val="left" w:pos="4500"/>
        </w:tabs>
        <w:spacing w:line="360" w:lineRule="exact"/>
        <w:ind w:firstLine="540"/>
        <w:rPr>
          <w:color w:val="auto"/>
          <w:highlight w:val="none"/>
        </w:rPr>
      </w:pPr>
      <w:r>
        <w:rPr>
          <w:rFonts w:hint="eastAsia"/>
          <w:color w:val="auto"/>
          <w:highlight w:val="none"/>
        </w:rPr>
        <w:t xml:space="preserve">电  话： </w:t>
      </w:r>
      <w:r>
        <w:rPr>
          <w:rFonts w:hint="eastAsia"/>
          <w:color w:val="auto"/>
          <w:highlight w:val="none"/>
        </w:rPr>
        <w:tab/>
      </w:r>
      <w:r>
        <w:rPr>
          <w:rFonts w:hint="eastAsia"/>
          <w:color w:val="auto"/>
          <w:highlight w:val="none"/>
        </w:rPr>
        <w:t xml:space="preserve"> 电  话：</w:t>
      </w:r>
    </w:p>
    <w:p w14:paraId="2D160C7D">
      <w:pPr>
        <w:pStyle w:val="12"/>
        <w:tabs>
          <w:tab w:val="left" w:pos="4500"/>
        </w:tabs>
        <w:spacing w:line="360" w:lineRule="exact"/>
        <w:ind w:firstLine="540"/>
        <w:rPr>
          <w:color w:val="auto"/>
          <w:highlight w:val="none"/>
        </w:rPr>
      </w:pPr>
      <w:r>
        <w:rPr>
          <w:rFonts w:hint="eastAsia"/>
          <w:color w:val="auto"/>
          <w:highlight w:val="none"/>
        </w:rPr>
        <w:t xml:space="preserve">传  真： </w:t>
      </w:r>
      <w:r>
        <w:rPr>
          <w:rFonts w:hint="eastAsia"/>
          <w:color w:val="auto"/>
          <w:highlight w:val="none"/>
        </w:rPr>
        <w:tab/>
      </w:r>
      <w:r>
        <w:rPr>
          <w:rFonts w:hint="eastAsia"/>
          <w:color w:val="auto"/>
          <w:highlight w:val="none"/>
        </w:rPr>
        <w:t xml:space="preserve"> 传  真：</w:t>
      </w:r>
    </w:p>
    <w:p w14:paraId="0786A5D4">
      <w:pPr>
        <w:pStyle w:val="12"/>
        <w:tabs>
          <w:tab w:val="left" w:pos="4500"/>
        </w:tabs>
        <w:spacing w:line="360" w:lineRule="exact"/>
        <w:ind w:firstLine="540"/>
        <w:rPr>
          <w:color w:val="auto"/>
          <w:highlight w:val="none"/>
        </w:rPr>
      </w:pPr>
      <w:r>
        <w:rPr>
          <w:rFonts w:hint="eastAsia"/>
          <w:color w:val="auto"/>
          <w:highlight w:val="none"/>
        </w:rPr>
        <w:t xml:space="preserve">开户银行： </w:t>
      </w:r>
      <w:r>
        <w:rPr>
          <w:rFonts w:hint="eastAsia"/>
          <w:color w:val="auto"/>
          <w:highlight w:val="none"/>
        </w:rPr>
        <w:tab/>
      </w:r>
      <w:r>
        <w:rPr>
          <w:rFonts w:hint="eastAsia"/>
          <w:color w:val="auto"/>
          <w:highlight w:val="none"/>
        </w:rPr>
        <w:t xml:space="preserve"> 开户银行：</w:t>
      </w:r>
    </w:p>
    <w:p w14:paraId="21BEAD66">
      <w:pPr>
        <w:pStyle w:val="12"/>
        <w:tabs>
          <w:tab w:val="left" w:pos="4500"/>
        </w:tabs>
        <w:spacing w:line="360" w:lineRule="exact"/>
        <w:ind w:firstLine="540"/>
        <w:rPr>
          <w:color w:val="auto"/>
          <w:highlight w:val="none"/>
        </w:rPr>
      </w:pPr>
      <w:r>
        <w:rPr>
          <w:rFonts w:hint="eastAsia"/>
          <w:color w:val="auto"/>
          <w:highlight w:val="none"/>
        </w:rPr>
        <w:t xml:space="preserve">帐  号： </w:t>
      </w:r>
      <w:r>
        <w:rPr>
          <w:rFonts w:hint="eastAsia"/>
          <w:color w:val="auto"/>
          <w:highlight w:val="none"/>
        </w:rPr>
        <w:tab/>
      </w:r>
      <w:r>
        <w:rPr>
          <w:rFonts w:hint="eastAsia"/>
          <w:color w:val="auto"/>
          <w:highlight w:val="none"/>
        </w:rPr>
        <w:t xml:space="preserve"> 帐  号：</w:t>
      </w:r>
    </w:p>
    <w:p w14:paraId="7F7DEF77">
      <w:pPr>
        <w:pStyle w:val="12"/>
        <w:tabs>
          <w:tab w:val="left" w:pos="4500"/>
        </w:tabs>
        <w:spacing w:line="360" w:lineRule="exact"/>
        <w:ind w:firstLine="540"/>
        <w:rPr>
          <w:color w:val="auto"/>
          <w:highlight w:val="none"/>
        </w:rPr>
      </w:pPr>
      <w:r>
        <w:rPr>
          <w:rFonts w:hint="eastAsia"/>
          <w:color w:val="auto"/>
          <w:highlight w:val="none"/>
        </w:rPr>
        <w:t xml:space="preserve">邮政编码： </w:t>
      </w:r>
      <w:r>
        <w:rPr>
          <w:rFonts w:hint="eastAsia"/>
          <w:color w:val="auto"/>
          <w:highlight w:val="none"/>
        </w:rPr>
        <w:tab/>
      </w:r>
      <w:r>
        <w:rPr>
          <w:rFonts w:hint="eastAsia"/>
          <w:color w:val="auto"/>
          <w:highlight w:val="none"/>
        </w:rPr>
        <w:t xml:space="preserve"> 邮政编码：</w:t>
      </w:r>
    </w:p>
    <w:p w14:paraId="35D312E5">
      <w:pPr>
        <w:pStyle w:val="12"/>
        <w:spacing w:line="25" w:lineRule="atLeast"/>
        <w:rPr>
          <w:color w:val="auto"/>
          <w:highlight w:val="none"/>
        </w:rPr>
      </w:pPr>
    </w:p>
    <w:p w14:paraId="31197179">
      <w:pPr>
        <w:pStyle w:val="12"/>
        <w:spacing w:line="25" w:lineRule="atLeast"/>
        <w:rPr>
          <w:color w:val="auto"/>
          <w:highlight w:val="none"/>
        </w:rPr>
      </w:pPr>
    </w:p>
    <w:p w14:paraId="5061C6E5">
      <w:pPr>
        <w:pStyle w:val="12"/>
        <w:spacing w:line="25" w:lineRule="atLeast"/>
        <w:rPr>
          <w:color w:val="auto"/>
          <w:highlight w:val="none"/>
        </w:rPr>
      </w:pPr>
    </w:p>
    <w:p w14:paraId="279D0DD1">
      <w:pPr>
        <w:pStyle w:val="12"/>
        <w:spacing w:line="25" w:lineRule="atLeast"/>
        <w:rPr>
          <w:color w:val="auto"/>
          <w:highlight w:val="none"/>
        </w:rPr>
      </w:pPr>
    </w:p>
    <w:p w14:paraId="2E165AEA">
      <w:pPr>
        <w:pStyle w:val="12"/>
        <w:spacing w:line="25" w:lineRule="atLeast"/>
        <w:rPr>
          <w:color w:val="auto"/>
          <w:highlight w:val="none"/>
        </w:rPr>
      </w:pPr>
    </w:p>
    <w:p w14:paraId="00635431">
      <w:pPr>
        <w:pStyle w:val="12"/>
        <w:spacing w:line="25" w:lineRule="atLeast"/>
        <w:rPr>
          <w:color w:val="auto"/>
          <w:highlight w:val="none"/>
        </w:rPr>
      </w:pPr>
    </w:p>
    <w:p w14:paraId="5F2E3A83">
      <w:pPr>
        <w:pStyle w:val="12"/>
        <w:spacing w:line="25" w:lineRule="atLeast"/>
        <w:rPr>
          <w:color w:val="auto"/>
          <w:highlight w:val="none"/>
        </w:rPr>
      </w:pPr>
    </w:p>
    <w:p w14:paraId="65ADE892">
      <w:pPr>
        <w:pStyle w:val="12"/>
        <w:spacing w:line="25" w:lineRule="atLeast"/>
        <w:rPr>
          <w:color w:val="auto"/>
          <w:highlight w:val="none"/>
        </w:rPr>
      </w:pPr>
    </w:p>
    <w:p w14:paraId="67EFE1CB">
      <w:pPr>
        <w:pStyle w:val="12"/>
        <w:spacing w:line="25" w:lineRule="atLeast"/>
        <w:rPr>
          <w:color w:val="auto"/>
          <w:highlight w:val="none"/>
        </w:rPr>
      </w:pPr>
    </w:p>
    <w:p w14:paraId="4C14006B">
      <w:pPr>
        <w:pStyle w:val="12"/>
        <w:spacing w:line="25" w:lineRule="atLeast"/>
        <w:rPr>
          <w:color w:val="auto"/>
          <w:highlight w:val="none"/>
        </w:rPr>
      </w:pPr>
    </w:p>
    <w:p w14:paraId="3E9C08CB">
      <w:pPr>
        <w:pStyle w:val="12"/>
        <w:spacing w:line="25" w:lineRule="atLeast"/>
        <w:rPr>
          <w:color w:val="auto"/>
          <w:highlight w:val="none"/>
        </w:rPr>
      </w:pPr>
    </w:p>
    <w:p w14:paraId="7C9A5C7A">
      <w:pPr>
        <w:pStyle w:val="12"/>
        <w:spacing w:line="25" w:lineRule="atLeast"/>
        <w:rPr>
          <w:color w:val="auto"/>
          <w:highlight w:val="none"/>
        </w:rPr>
      </w:pPr>
    </w:p>
    <w:p w14:paraId="28B275BF">
      <w:pPr>
        <w:pStyle w:val="12"/>
        <w:spacing w:line="25" w:lineRule="atLeast"/>
        <w:rPr>
          <w:color w:val="auto"/>
          <w:highlight w:val="none"/>
        </w:rPr>
      </w:pPr>
      <w:r>
        <w:rPr>
          <w:rFonts w:hint="eastAsia"/>
          <w:color w:val="auto"/>
          <w:highlight w:val="none"/>
        </w:rPr>
        <w:br w:type="page"/>
      </w:r>
    </w:p>
    <w:p w14:paraId="24F4FDCA">
      <w:pPr>
        <w:numPr>
          <w:ilvl w:val="0"/>
          <w:numId w:val="5"/>
        </w:numPr>
        <w:adjustRightInd w:val="0"/>
        <w:spacing w:line="312" w:lineRule="atLeast"/>
        <w:jc w:val="center"/>
        <w:textAlignment w:val="baseline"/>
        <w:rPr>
          <w:rFonts w:hAnsi="Courier New"/>
          <w:b/>
          <w:bCs/>
          <w:color w:val="auto"/>
          <w:szCs w:val="21"/>
          <w:highlight w:val="none"/>
        </w:rPr>
      </w:pPr>
      <w:r>
        <w:rPr>
          <w:rFonts w:hint="eastAsia" w:hAnsi="Courier New"/>
          <w:b/>
          <w:bCs/>
          <w:color w:val="auto"/>
          <w:szCs w:val="21"/>
          <w:highlight w:val="none"/>
        </w:rPr>
        <w:t>专用条款</w:t>
      </w:r>
    </w:p>
    <w:p w14:paraId="59DC7E1F">
      <w:pPr>
        <w:rPr>
          <w:rFonts w:hAnsi="Courier New"/>
          <w:b/>
          <w:bCs/>
          <w:color w:val="auto"/>
          <w:szCs w:val="21"/>
          <w:highlight w:val="none"/>
        </w:rPr>
      </w:pPr>
      <w:r>
        <w:rPr>
          <w:rFonts w:hint="eastAsia" w:hAnsi="Courier New"/>
          <w:b/>
          <w:bCs/>
          <w:color w:val="auto"/>
          <w:szCs w:val="21"/>
          <w:highlight w:val="none"/>
        </w:rPr>
        <w:t>一、词语定义及合同文件</w:t>
      </w:r>
    </w:p>
    <w:p w14:paraId="570DD296">
      <w:pPr>
        <w:pStyle w:val="12"/>
        <w:spacing w:line="360" w:lineRule="exact"/>
        <w:ind w:firstLine="487" w:firstLineChars="232"/>
        <w:rPr>
          <w:color w:val="auto"/>
          <w:highlight w:val="none"/>
        </w:rPr>
      </w:pPr>
      <w:r>
        <w:rPr>
          <w:rFonts w:hint="eastAsia"/>
          <w:color w:val="auto"/>
          <w:highlight w:val="none"/>
        </w:rPr>
        <w:t>2.合同文件及解释顺序</w:t>
      </w:r>
    </w:p>
    <w:p w14:paraId="4D9DCFB9">
      <w:pPr>
        <w:spacing w:line="360" w:lineRule="exact"/>
        <w:ind w:firstLine="501" w:firstLineChars="239"/>
        <w:rPr>
          <w:rFonts w:hAnsi="Courier New"/>
          <w:color w:val="auto"/>
          <w:szCs w:val="21"/>
          <w:highlight w:val="none"/>
        </w:rPr>
      </w:pPr>
      <w:r>
        <w:rPr>
          <w:rFonts w:hint="eastAsia" w:hAnsi="Courier New"/>
          <w:color w:val="auto"/>
          <w:szCs w:val="21"/>
          <w:highlight w:val="none"/>
        </w:rPr>
        <w:t>合同文件组成及解释顺序：</w:t>
      </w:r>
    </w:p>
    <w:p w14:paraId="3D09CB8F">
      <w:pPr>
        <w:spacing w:line="360" w:lineRule="exact"/>
        <w:ind w:firstLine="516" w:firstLineChars="246"/>
        <w:rPr>
          <w:rFonts w:hAnsi="Courier New"/>
          <w:color w:val="auto"/>
          <w:szCs w:val="21"/>
          <w:highlight w:val="none"/>
        </w:rPr>
      </w:pPr>
      <w:r>
        <w:rPr>
          <w:rFonts w:hint="eastAsia" w:hAnsi="Courier New"/>
          <w:color w:val="auto"/>
          <w:szCs w:val="21"/>
          <w:highlight w:val="none"/>
        </w:rPr>
        <w:t>(l)本合同协议书；</w:t>
      </w:r>
    </w:p>
    <w:p w14:paraId="4F28074A">
      <w:pPr>
        <w:spacing w:line="360" w:lineRule="exact"/>
        <w:ind w:firstLine="516" w:firstLineChars="246"/>
        <w:rPr>
          <w:rFonts w:hAnsi="Courier New"/>
          <w:color w:val="auto"/>
          <w:szCs w:val="21"/>
          <w:highlight w:val="none"/>
        </w:rPr>
      </w:pPr>
      <w:r>
        <w:rPr>
          <w:rFonts w:hint="eastAsia" w:hAnsi="Courier New"/>
          <w:color w:val="auto"/>
          <w:szCs w:val="21"/>
          <w:highlight w:val="none"/>
        </w:rPr>
        <w:t>(2)成交通知书；</w:t>
      </w:r>
    </w:p>
    <w:p w14:paraId="1A7D770A">
      <w:pPr>
        <w:spacing w:line="360" w:lineRule="exact"/>
        <w:ind w:firstLine="516" w:firstLineChars="246"/>
        <w:rPr>
          <w:rFonts w:hAnsi="Courier New"/>
          <w:color w:val="auto"/>
          <w:szCs w:val="21"/>
          <w:highlight w:val="none"/>
        </w:rPr>
      </w:pPr>
      <w:r>
        <w:rPr>
          <w:rFonts w:hint="eastAsia" w:hAnsi="Courier New"/>
          <w:color w:val="auto"/>
          <w:szCs w:val="21"/>
          <w:highlight w:val="none"/>
        </w:rPr>
        <w:t>(3)响应文件及其附件；</w:t>
      </w:r>
    </w:p>
    <w:p w14:paraId="713AE699">
      <w:pPr>
        <w:spacing w:line="360" w:lineRule="exact"/>
        <w:ind w:firstLine="516" w:firstLineChars="246"/>
        <w:rPr>
          <w:rFonts w:hAnsi="Courier New"/>
          <w:color w:val="auto"/>
          <w:szCs w:val="21"/>
          <w:highlight w:val="none"/>
        </w:rPr>
      </w:pPr>
      <w:r>
        <w:rPr>
          <w:rFonts w:hint="eastAsia" w:hAnsi="Courier New"/>
          <w:color w:val="auto"/>
          <w:szCs w:val="21"/>
          <w:highlight w:val="none"/>
        </w:rPr>
        <w:t>(4)本合同专用条款；</w:t>
      </w:r>
    </w:p>
    <w:p w14:paraId="4C58C724">
      <w:pPr>
        <w:spacing w:line="360" w:lineRule="exact"/>
        <w:ind w:firstLine="516" w:firstLineChars="246"/>
        <w:rPr>
          <w:rFonts w:hAnsi="Courier New"/>
          <w:color w:val="auto"/>
          <w:szCs w:val="21"/>
          <w:highlight w:val="none"/>
        </w:rPr>
      </w:pPr>
      <w:r>
        <w:rPr>
          <w:rFonts w:hint="eastAsia" w:hAnsi="Courier New"/>
          <w:color w:val="auto"/>
          <w:szCs w:val="21"/>
          <w:highlight w:val="none"/>
        </w:rPr>
        <w:t>(5)本合同通用条款；</w:t>
      </w:r>
    </w:p>
    <w:p w14:paraId="5BA5D718">
      <w:pPr>
        <w:spacing w:line="360" w:lineRule="exact"/>
        <w:ind w:firstLine="516" w:firstLineChars="246"/>
        <w:rPr>
          <w:rFonts w:hAnsi="Courier New"/>
          <w:color w:val="auto"/>
          <w:szCs w:val="21"/>
          <w:highlight w:val="none"/>
        </w:rPr>
      </w:pPr>
      <w:r>
        <w:rPr>
          <w:rFonts w:hint="eastAsia" w:hAnsi="Courier New"/>
          <w:color w:val="auto"/>
          <w:szCs w:val="21"/>
          <w:highlight w:val="none"/>
        </w:rPr>
        <w:t>(6) 采购文件(含补充通知和答疑)；</w:t>
      </w:r>
    </w:p>
    <w:p w14:paraId="64AF4D5A">
      <w:pPr>
        <w:spacing w:line="360" w:lineRule="exact"/>
        <w:ind w:firstLine="516" w:firstLineChars="246"/>
        <w:rPr>
          <w:rFonts w:hAnsi="Courier New"/>
          <w:color w:val="auto"/>
          <w:szCs w:val="21"/>
          <w:highlight w:val="none"/>
        </w:rPr>
      </w:pPr>
      <w:r>
        <w:rPr>
          <w:rFonts w:hint="eastAsia" w:hAnsi="Courier New"/>
          <w:color w:val="auto"/>
          <w:szCs w:val="21"/>
          <w:highlight w:val="none"/>
        </w:rPr>
        <w:t>(7)标准、规范及有关技术文件；</w:t>
      </w:r>
    </w:p>
    <w:p w14:paraId="12AF5F58">
      <w:pPr>
        <w:spacing w:line="360" w:lineRule="exact"/>
        <w:ind w:firstLine="516" w:firstLineChars="246"/>
        <w:rPr>
          <w:rFonts w:hAnsi="Courier New"/>
          <w:color w:val="auto"/>
          <w:szCs w:val="21"/>
          <w:highlight w:val="none"/>
        </w:rPr>
      </w:pPr>
      <w:r>
        <w:rPr>
          <w:rFonts w:hint="eastAsia" w:hAnsi="Courier New"/>
          <w:color w:val="auto"/>
          <w:szCs w:val="21"/>
          <w:highlight w:val="none"/>
        </w:rPr>
        <w:t>(8)图纸；</w:t>
      </w:r>
    </w:p>
    <w:p w14:paraId="5AE7B2BF">
      <w:pPr>
        <w:spacing w:line="360" w:lineRule="exact"/>
        <w:ind w:firstLine="516" w:firstLineChars="246"/>
        <w:rPr>
          <w:rFonts w:hAnsi="Courier New"/>
          <w:color w:val="auto"/>
          <w:szCs w:val="21"/>
          <w:highlight w:val="none"/>
        </w:rPr>
      </w:pPr>
      <w:r>
        <w:rPr>
          <w:rFonts w:hint="eastAsia" w:hAnsi="Courier New"/>
          <w:color w:val="auto"/>
          <w:szCs w:val="21"/>
          <w:highlight w:val="none"/>
        </w:rPr>
        <w:t>(9)工程报价单或预算书。</w:t>
      </w:r>
    </w:p>
    <w:p w14:paraId="1148517A">
      <w:pPr>
        <w:spacing w:line="360" w:lineRule="exact"/>
        <w:ind w:firstLine="516" w:firstLineChars="246"/>
        <w:rPr>
          <w:rFonts w:hAnsi="Courier New"/>
          <w:color w:val="auto"/>
          <w:szCs w:val="21"/>
          <w:highlight w:val="none"/>
        </w:rPr>
      </w:pPr>
      <w:r>
        <w:rPr>
          <w:rFonts w:hint="eastAsia" w:hAnsi="Courier New"/>
          <w:color w:val="auto"/>
          <w:szCs w:val="21"/>
          <w:highlight w:val="none"/>
        </w:rPr>
        <w:t>3．语言文字和适用法律、标准及规范</w:t>
      </w:r>
    </w:p>
    <w:p w14:paraId="01208383">
      <w:pPr>
        <w:tabs>
          <w:tab w:val="left" w:pos="5220"/>
        </w:tabs>
        <w:spacing w:line="360" w:lineRule="exact"/>
        <w:ind w:firstLine="516" w:firstLineChars="246"/>
        <w:rPr>
          <w:rFonts w:hAnsi="Courier New"/>
          <w:color w:val="auto"/>
          <w:szCs w:val="21"/>
          <w:highlight w:val="none"/>
        </w:rPr>
      </w:pPr>
      <w:r>
        <w:rPr>
          <w:rFonts w:hint="eastAsia" w:hAnsi="Courier New"/>
          <w:color w:val="auto"/>
          <w:szCs w:val="21"/>
          <w:highlight w:val="none"/>
        </w:rPr>
        <w:t>3.1本合同除使用汉语外，无其它语言文字。</w:t>
      </w:r>
    </w:p>
    <w:p w14:paraId="6548FB10">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3.2适用法律和法规    </w:t>
      </w:r>
    </w:p>
    <w:p w14:paraId="37B353B4">
      <w:pPr>
        <w:spacing w:line="360" w:lineRule="exact"/>
        <w:ind w:firstLine="516" w:firstLineChars="246"/>
        <w:rPr>
          <w:rFonts w:hAnsi="Courier New"/>
          <w:color w:val="auto"/>
          <w:szCs w:val="21"/>
          <w:highlight w:val="none"/>
        </w:rPr>
      </w:pPr>
      <w:r>
        <w:rPr>
          <w:rFonts w:hint="eastAsia" w:hAnsi="Courier New"/>
          <w:color w:val="auto"/>
          <w:szCs w:val="21"/>
          <w:highlight w:val="none"/>
        </w:rPr>
        <w:t>需要明示的法律、行政法规：现行的国家法律和行政法规，工程所在地政府的有关法规和规章 。</w:t>
      </w:r>
    </w:p>
    <w:p w14:paraId="46702E81">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3.3适用标准、规范    </w:t>
      </w:r>
    </w:p>
    <w:p w14:paraId="65EB17B4">
      <w:pPr>
        <w:spacing w:line="360" w:lineRule="exact"/>
        <w:ind w:firstLine="516" w:firstLineChars="246"/>
        <w:rPr>
          <w:rFonts w:hAnsi="Courier New"/>
          <w:color w:val="auto"/>
          <w:szCs w:val="21"/>
          <w:highlight w:val="none"/>
        </w:rPr>
      </w:pPr>
      <w:r>
        <w:rPr>
          <w:rFonts w:hint="eastAsia" w:hAnsi="Courier New"/>
          <w:color w:val="auto"/>
          <w:szCs w:val="21"/>
          <w:highlight w:val="none"/>
        </w:rPr>
        <w:t>适用标准、规范的名称：现行的国家标准、规范、行业标准、规范等（本条款应于签订合同时由甲乙双方协商后写明具体标准、规范的名称及编号）。</w:t>
      </w:r>
    </w:p>
    <w:p w14:paraId="462C5416">
      <w:pPr>
        <w:spacing w:line="360" w:lineRule="exact"/>
        <w:ind w:firstLine="516" w:firstLineChars="246"/>
        <w:rPr>
          <w:rFonts w:hAnsi="Courier New"/>
          <w:color w:val="auto"/>
          <w:szCs w:val="21"/>
          <w:highlight w:val="none"/>
        </w:rPr>
      </w:pPr>
      <w:r>
        <w:rPr>
          <w:rFonts w:hint="eastAsia" w:hAnsi="Courier New"/>
          <w:color w:val="auto"/>
          <w:szCs w:val="21"/>
          <w:highlight w:val="none"/>
        </w:rPr>
        <w:t>发包人提供标准、规范的时间：无 。</w:t>
      </w:r>
    </w:p>
    <w:p w14:paraId="26B9DAAE">
      <w:pPr>
        <w:spacing w:line="360" w:lineRule="exact"/>
        <w:ind w:firstLine="516" w:firstLineChars="246"/>
        <w:rPr>
          <w:rFonts w:hAnsi="Courier New"/>
          <w:color w:val="auto"/>
          <w:szCs w:val="21"/>
          <w:highlight w:val="none"/>
        </w:rPr>
      </w:pPr>
      <w:r>
        <w:rPr>
          <w:rFonts w:hint="eastAsia" w:hAnsi="Courier New"/>
          <w:color w:val="auto"/>
          <w:szCs w:val="21"/>
          <w:highlight w:val="none"/>
        </w:rPr>
        <w:t>国内没有相应标准、规范时的约定：无 。</w:t>
      </w:r>
    </w:p>
    <w:p w14:paraId="7917D159">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4．图纸  </w:t>
      </w:r>
    </w:p>
    <w:p w14:paraId="3B0D6FC5">
      <w:pPr>
        <w:spacing w:line="360" w:lineRule="exact"/>
        <w:ind w:firstLine="516" w:firstLineChars="246"/>
        <w:rPr>
          <w:rFonts w:hAnsi="Courier New"/>
          <w:color w:val="auto"/>
          <w:szCs w:val="21"/>
          <w:highlight w:val="none"/>
        </w:rPr>
      </w:pPr>
      <w:r>
        <w:rPr>
          <w:rFonts w:hint="eastAsia" w:hAnsi="Courier New"/>
          <w:color w:val="auto"/>
          <w:szCs w:val="21"/>
          <w:highlight w:val="none"/>
        </w:rPr>
        <w:t>4.1  发包人向承包人提供图纸日期和套数：合同签定 五 天后提供一式 二 份图纸。</w:t>
      </w:r>
    </w:p>
    <w:p w14:paraId="377878FC">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发包人对图纸的保密要求：无  。    </w:t>
      </w:r>
    </w:p>
    <w:p w14:paraId="42038BD6">
      <w:pPr>
        <w:spacing w:line="360" w:lineRule="exact"/>
        <w:ind w:firstLine="516" w:firstLineChars="246"/>
        <w:rPr>
          <w:rFonts w:hAnsi="Courier New"/>
          <w:color w:val="auto"/>
          <w:szCs w:val="21"/>
          <w:highlight w:val="none"/>
        </w:rPr>
      </w:pPr>
      <w:r>
        <w:rPr>
          <w:rFonts w:hint="eastAsia" w:hAnsi="Courier New"/>
          <w:color w:val="auto"/>
          <w:szCs w:val="21"/>
          <w:highlight w:val="none"/>
        </w:rPr>
        <w:t>使用国外图纸的要求及费用承担：无  。</w:t>
      </w:r>
    </w:p>
    <w:p w14:paraId="42B8FE53">
      <w:pPr>
        <w:spacing w:line="360" w:lineRule="exact"/>
        <w:rPr>
          <w:rFonts w:hAnsi="Courier New"/>
          <w:b/>
          <w:bCs/>
          <w:color w:val="auto"/>
          <w:szCs w:val="21"/>
          <w:highlight w:val="none"/>
        </w:rPr>
      </w:pPr>
      <w:r>
        <w:rPr>
          <w:rFonts w:hint="eastAsia" w:hAnsi="Courier New"/>
          <w:b/>
          <w:bCs/>
          <w:color w:val="auto"/>
          <w:szCs w:val="21"/>
          <w:highlight w:val="none"/>
        </w:rPr>
        <w:t>二、双方一般权利和义务</w:t>
      </w:r>
    </w:p>
    <w:p w14:paraId="4FAAFB3F">
      <w:pPr>
        <w:spacing w:line="360" w:lineRule="exact"/>
        <w:ind w:firstLine="516" w:firstLineChars="246"/>
        <w:rPr>
          <w:rFonts w:hAnsi="Courier New"/>
          <w:color w:val="auto"/>
          <w:szCs w:val="21"/>
          <w:highlight w:val="none"/>
        </w:rPr>
      </w:pPr>
      <w:r>
        <w:rPr>
          <w:rFonts w:hint="eastAsia" w:hAnsi="Courier New"/>
          <w:color w:val="auto"/>
          <w:szCs w:val="21"/>
          <w:highlight w:val="none"/>
        </w:rPr>
        <w:t>5．工程师</w:t>
      </w:r>
    </w:p>
    <w:p w14:paraId="5887D065">
      <w:pPr>
        <w:spacing w:line="360" w:lineRule="exact"/>
        <w:ind w:firstLine="516" w:firstLineChars="246"/>
        <w:rPr>
          <w:rFonts w:hAnsi="Courier New"/>
          <w:color w:val="auto"/>
          <w:szCs w:val="21"/>
          <w:highlight w:val="none"/>
        </w:rPr>
      </w:pPr>
      <w:r>
        <w:rPr>
          <w:rFonts w:hint="eastAsia" w:hAnsi="Courier New"/>
          <w:color w:val="auto"/>
          <w:szCs w:val="21"/>
          <w:highlight w:val="none"/>
        </w:rPr>
        <w:t>5.2监理单位委派的工程师</w:t>
      </w:r>
    </w:p>
    <w:p w14:paraId="36EEA315">
      <w:pPr>
        <w:spacing w:line="360" w:lineRule="exact"/>
        <w:ind w:firstLine="516" w:firstLineChars="246"/>
        <w:rPr>
          <w:rFonts w:hAnsi="Courier New"/>
          <w:color w:val="auto"/>
          <w:szCs w:val="21"/>
          <w:highlight w:val="none"/>
        </w:rPr>
      </w:pPr>
      <w:r>
        <w:rPr>
          <w:rFonts w:hint="eastAsia" w:hAnsi="Courier New"/>
          <w:color w:val="auto"/>
          <w:szCs w:val="21"/>
          <w:highlight w:val="none"/>
        </w:rPr>
        <w:t>姓名：           职务：            。</w:t>
      </w:r>
    </w:p>
    <w:p w14:paraId="04900C5C">
      <w:pPr>
        <w:spacing w:line="360" w:lineRule="exact"/>
        <w:ind w:firstLine="516" w:firstLineChars="246"/>
        <w:rPr>
          <w:rFonts w:hAnsi="Courier New"/>
          <w:color w:val="auto"/>
          <w:szCs w:val="21"/>
          <w:highlight w:val="none"/>
        </w:rPr>
      </w:pPr>
      <w:r>
        <w:rPr>
          <w:rFonts w:hint="eastAsia" w:hAnsi="Courier New"/>
          <w:color w:val="auto"/>
          <w:szCs w:val="21"/>
          <w:highlight w:val="none"/>
        </w:rPr>
        <w:t>发包人委托的职权：按本工程的监理合同中的有关条款 。</w:t>
      </w:r>
    </w:p>
    <w:p w14:paraId="636CAF01">
      <w:pPr>
        <w:spacing w:line="360" w:lineRule="exact"/>
        <w:ind w:firstLine="516" w:firstLineChars="246"/>
        <w:rPr>
          <w:rFonts w:hAnsi="Courier New"/>
          <w:color w:val="auto"/>
          <w:szCs w:val="21"/>
          <w:highlight w:val="none"/>
        </w:rPr>
      </w:pPr>
      <w:r>
        <w:rPr>
          <w:rFonts w:hint="eastAsia" w:hAnsi="Courier New"/>
          <w:color w:val="auto"/>
          <w:szCs w:val="21"/>
          <w:highlight w:val="none"/>
        </w:rPr>
        <w:t>需要取得发包人批准才能行使的职权：接本工程的监理合同中的有关条款。</w:t>
      </w:r>
    </w:p>
    <w:p w14:paraId="6F063096">
      <w:pPr>
        <w:spacing w:line="360" w:lineRule="exact"/>
        <w:ind w:firstLine="516" w:firstLineChars="246"/>
        <w:rPr>
          <w:rFonts w:hAnsi="Courier New"/>
          <w:color w:val="auto"/>
          <w:szCs w:val="21"/>
          <w:highlight w:val="none"/>
        </w:rPr>
      </w:pPr>
      <w:r>
        <w:rPr>
          <w:rFonts w:hint="eastAsia" w:hAnsi="Courier New"/>
          <w:color w:val="auto"/>
          <w:szCs w:val="21"/>
          <w:highlight w:val="none"/>
        </w:rPr>
        <w:t>5.3发包人派驻的工程师</w:t>
      </w:r>
    </w:p>
    <w:p w14:paraId="75AB0194">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姓名：       职务：       </w:t>
      </w:r>
    </w:p>
    <w:p w14:paraId="1CCBF15E">
      <w:pPr>
        <w:spacing w:line="360" w:lineRule="exact"/>
        <w:ind w:firstLine="516" w:firstLineChars="246"/>
        <w:rPr>
          <w:rFonts w:hAnsi="Courier New"/>
          <w:color w:val="auto"/>
          <w:szCs w:val="21"/>
          <w:highlight w:val="none"/>
        </w:rPr>
      </w:pPr>
      <w:r>
        <w:rPr>
          <w:rFonts w:hint="eastAsia" w:hAnsi="Courier New"/>
          <w:color w:val="auto"/>
          <w:szCs w:val="21"/>
          <w:highlight w:val="none"/>
        </w:rPr>
        <w:t>职权：包发人委派的职权范围。</w:t>
      </w:r>
    </w:p>
    <w:p w14:paraId="49ED1CD3">
      <w:pPr>
        <w:spacing w:line="360" w:lineRule="exact"/>
        <w:ind w:firstLine="516" w:firstLineChars="246"/>
        <w:rPr>
          <w:rFonts w:hAnsi="Courier New"/>
          <w:color w:val="auto"/>
          <w:szCs w:val="21"/>
          <w:highlight w:val="none"/>
        </w:rPr>
      </w:pPr>
      <w:r>
        <w:rPr>
          <w:rFonts w:hint="eastAsia" w:hAnsi="Courier New"/>
          <w:color w:val="auto"/>
          <w:szCs w:val="21"/>
          <w:highlight w:val="none"/>
        </w:rPr>
        <w:t>5.6不实行监理的，工程师的职权：无 。</w:t>
      </w:r>
    </w:p>
    <w:p w14:paraId="768356F3">
      <w:pPr>
        <w:spacing w:line="360" w:lineRule="exact"/>
        <w:ind w:firstLine="516" w:firstLineChars="246"/>
        <w:rPr>
          <w:rFonts w:hAnsi="Courier New"/>
          <w:color w:val="auto"/>
          <w:szCs w:val="21"/>
          <w:highlight w:val="none"/>
        </w:rPr>
      </w:pPr>
      <w:r>
        <w:rPr>
          <w:rFonts w:hint="eastAsia" w:hAnsi="Courier New"/>
          <w:color w:val="auto"/>
          <w:szCs w:val="21"/>
          <w:highlight w:val="none"/>
        </w:rPr>
        <w:t>7．项目负责人</w:t>
      </w:r>
    </w:p>
    <w:p w14:paraId="0D92EF3F">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7.1姓名：       职务：      </w:t>
      </w:r>
    </w:p>
    <w:p w14:paraId="2DA16E7A">
      <w:pPr>
        <w:spacing w:line="360" w:lineRule="exact"/>
        <w:ind w:firstLine="516" w:firstLineChars="246"/>
        <w:rPr>
          <w:rFonts w:hAnsi="Courier New"/>
          <w:color w:val="auto"/>
          <w:szCs w:val="21"/>
          <w:highlight w:val="none"/>
        </w:rPr>
      </w:pPr>
      <w:r>
        <w:rPr>
          <w:rFonts w:hint="eastAsia" w:hAnsi="Courier New"/>
          <w:color w:val="auto"/>
          <w:szCs w:val="21"/>
          <w:highlight w:val="none"/>
        </w:rPr>
        <w:t>8．发包人工作</w:t>
      </w:r>
    </w:p>
    <w:p w14:paraId="057185EC">
      <w:pPr>
        <w:spacing w:line="360" w:lineRule="exact"/>
        <w:ind w:firstLine="516" w:firstLineChars="246"/>
        <w:rPr>
          <w:rFonts w:hAnsi="Courier New"/>
          <w:color w:val="auto"/>
          <w:szCs w:val="21"/>
          <w:highlight w:val="none"/>
        </w:rPr>
      </w:pPr>
      <w:r>
        <w:rPr>
          <w:rFonts w:hint="eastAsia" w:hAnsi="Courier New"/>
          <w:color w:val="auto"/>
          <w:szCs w:val="21"/>
          <w:highlight w:val="none"/>
        </w:rPr>
        <w:t>8.1  发包人应按约定的时间和要求完成以下工作：</w:t>
      </w:r>
    </w:p>
    <w:p w14:paraId="3E4EDFE9">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  (1)施工场地具备施工条件的要求及完成的时间：  于开工前七天。</w:t>
      </w:r>
    </w:p>
    <w:p w14:paraId="77C9B900">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 *(2)将施工所需的水、电和电讯线路接至施工场地的时间、地点和供应要求：由承包人在竞标报价中自行考虑。若供电部门的原因造成停电，承包人必须自行解决施工用电，费用自理。</w:t>
      </w:r>
    </w:p>
    <w:p w14:paraId="0ED39F7B">
      <w:pPr>
        <w:spacing w:line="360" w:lineRule="exact"/>
        <w:ind w:firstLine="516" w:firstLineChars="246"/>
        <w:rPr>
          <w:rFonts w:hAnsi="Courier New"/>
          <w:color w:val="auto"/>
          <w:szCs w:val="21"/>
          <w:highlight w:val="none"/>
        </w:rPr>
      </w:pPr>
      <w:r>
        <w:rPr>
          <w:rFonts w:hint="eastAsia" w:hAnsi="Courier New"/>
          <w:color w:val="auto"/>
          <w:szCs w:val="21"/>
          <w:highlight w:val="none"/>
        </w:rPr>
        <w:t>(3)施工场地与公共道路的通道开通时间和要求：  已开通   。</w:t>
      </w:r>
    </w:p>
    <w:p w14:paraId="4342B0F4">
      <w:pPr>
        <w:spacing w:line="360" w:lineRule="exact"/>
        <w:ind w:firstLine="516" w:firstLineChars="246"/>
        <w:rPr>
          <w:rFonts w:hAnsi="Courier New"/>
          <w:color w:val="auto"/>
          <w:szCs w:val="21"/>
          <w:highlight w:val="none"/>
        </w:rPr>
      </w:pPr>
      <w:r>
        <w:rPr>
          <w:rFonts w:hint="eastAsia" w:hAnsi="Courier New"/>
          <w:color w:val="auto"/>
          <w:szCs w:val="21"/>
          <w:highlight w:val="none"/>
        </w:rPr>
        <w:t>*(4)工程地质和地下管线资料的提供时间：采购时已提供，由承包人现场勘测，费用自理 。</w:t>
      </w:r>
    </w:p>
    <w:p w14:paraId="3ABAEE75">
      <w:pPr>
        <w:spacing w:line="360" w:lineRule="exact"/>
        <w:ind w:firstLine="516" w:firstLineChars="246"/>
        <w:rPr>
          <w:rFonts w:hAnsi="Courier New"/>
          <w:color w:val="auto"/>
          <w:szCs w:val="21"/>
          <w:highlight w:val="none"/>
        </w:rPr>
      </w:pPr>
      <w:r>
        <w:rPr>
          <w:rFonts w:hint="eastAsia" w:hAnsi="Courier New"/>
          <w:color w:val="auto"/>
          <w:szCs w:val="21"/>
          <w:highlight w:val="none"/>
        </w:rPr>
        <w:t>(5)由发包人办理的施工所需证件、批件的名称和完成时间：  由发包人负责办理 。</w:t>
      </w:r>
    </w:p>
    <w:p w14:paraId="02A406E1">
      <w:pPr>
        <w:spacing w:line="360" w:lineRule="exact"/>
        <w:ind w:firstLine="516" w:firstLineChars="246"/>
        <w:rPr>
          <w:rFonts w:hAnsi="Courier New"/>
          <w:color w:val="auto"/>
          <w:szCs w:val="21"/>
          <w:highlight w:val="none"/>
        </w:rPr>
      </w:pPr>
      <w:r>
        <w:rPr>
          <w:rFonts w:hint="eastAsia" w:hAnsi="Courier New"/>
          <w:color w:val="auto"/>
          <w:szCs w:val="21"/>
          <w:highlight w:val="none"/>
        </w:rPr>
        <w:t>(6)水准点与座标控制点交验要求：于开工前七日内现场交验，双方做好签认工作 。</w:t>
      </w:r>
    </w:p>
    <w:p w14:paraId="173B71D2">
      <w:pPr>
        <w:spacing w:line="360" w:lineRule="exact"/>
        <w:ind w:firstLine="516" w:firstLineChars="246"/>
        <w:rPr>
          <w:rFonts w:hAnsi="Courier New"/>
          <w:color w:val="auto"/>
          <w:szCs w:val="21"/>
          <w:highlight w:val="none"/>
        </w:rPr>
      </w:pPr>
      <w:r>
        <w:rPr>
          <w:rFonts w:hint="eastAsia" w:hAnsi="Courier New"/>
          <w:color w:val="auto"/>
          <w:szCs w:val="21"/>
          <w:highlight w:val="none"/>
        </w:rPr>
        <w:t xml:space="preserve"> (7)图纸会审和设计交底时间：于开工前七天 。  </w:t>
      </w:r>
    </w:p>
    <w:p w14:paraId="3081A76A">
      <w:pPr>
        <w:spacing w:line="360" w:lineRule="exact"/>
        <w:ind w:firstLine="516" w:firstLineChars="246"/>
        <w:rPr>
          <w:rFonts w:hAnsi="宋体"/>
          <w:b/>
          <w:bCs/>
          <w:color w:val="auto"/>
          <w:szCs w:val="21"/>
          <w:highlight w:val="none"/>
          <w:u w:val="single"/>
        </w:rPr>
      </w:pPr>
      <w:r>
        <w:rPr>
          <w:rFonts w:hint="eastAsia" w:hAnsi="Courier New"/>
          <w:color w:val="auto"/>
          <w:szCs w:val="21"/>
          <w:highlight w:val="none"/>
        </w:rPr>
        <w:t>*(8)协调处理施工场地周围地下管线和邻近建筑物、构筑物(含文物保护建筑</w:t>
      </w:r>
      <w:r>
        <w:rPr>
          <w:rFonts w:hint="eastAsia" w:hAnsi="宋体"/>
          <w:b/>
          <w:bCs/>
          <w:color w:val="auto"/>
          <w:szCs w:val="21"/>
          <w:highlight w:val="none"/>
        </w:rPr>
        <w:t>)、古树名木的保护工作：</w:t>
      </w:r>
      <w:r>
        <w:rPr>
          <w:rFonts w:hint="eastAsia" w:hAnsi="宋体"/>
          <w:b/>
          <w:bCs/>
          <w:color w:val="auto"/>
          <w:szCs w:val="21"/>
          <w:highlight w:val="none"/>
          <w:u w:val="single"/>
        </w:rPr>
        <w:t xml:space="preserve">  由发包人协调，相应费用由承包人承担 </w:t>
      </w:r>
      <w:r>
        <w:rPr>
          <w:rFonts w:hint="eastAsia" w:hAnsi="宋体"/>
          <w:b/>
          <w:bCs/>
          <w:color w:val="auto"/>
          <w:szCs w:val="21"/>
          <w:highlight w:val="none"/>
        </w:rPr>
        <w:t xml:space="preserve"> 。</w:t>
      </w:r>
    </w:p>
    <w:p w14:paraId="37F74342">
      <w:pPr>
        <w:spacing w:line="360" w:lineRule="exact"/>
        <w:ind w:firstLine="516" w:firstLineChars="246"/>
        <w:rPr>
          <w:rFonts w:hAnsi="宋体"/>
          <w:color w:val="auto"/>
          <w:szCs w:val="21"/>
          <w:highlight w:val="none"/>
        </w:rPr>
      </w:pPr>
      <w:r>
        <w:rPr>
          <w:rFonts w:hint="eastAsia" w:hAnsi="宋体"/>
          <w:color w:val="auto"/>
          <w:szCs w:val="21"/>
          <w:highlight w:val="none"/>
        </w:rPr>
        <w:t>(9)双方约定发包人应做的其他工作：</w:t>
      </w:r>
      <w:r>
        <w:rPr>
          <w:rFonts w:hint="eastAsia" w:hAnsi="宋体"/>
          <w:color w:val="auto"/>
          <w:szCs w:val="21"/>
          <w:highlight w:val="none"/>
          <w:u w:val="single"/>
        </w:rPr>
        <w:t xml:space="preserve">无 </w:t>
      </w:r>
      <w:r>
        <w:rPr>
          <w:rFonts w:hint="eastAsia" w:hAnsi="宋体"/>
          <w:color w:val="auto"/>
          <w:szCs w:val="21"/>
          <w:highlight w:val="none"/>
        </w:rPr>
        <w:t>。</w:t>
      </w:r>
    </w:p>
    <w:p w14:paraId="62662E69">
      <w:pPr>
        <w:spacing w:line="360" w:lineRule="exact"/>
        <w:ind w:firstLine="516" w:firstLineChars="246"/>
        <w:jc w:val="left"/>
        <w:rPr>
          <w:rFonts w:hAnsi="宋体"/>
          <w:color w:val="auto"/>
          <w:szCs w:val="21"/>
          <w:highlight w:val="none"/>
          <w:u w:val="single"/>
        </w:rPr>
      </w:pPr>
      <w:r>
        <w:rPr>
          <w:rFonts w:hint="eastAsia" w:hAnsi="宋体"/>
          <w:color w:val="auto"/>
          <w:szCs w:val="21"/>
          <w:highlight w:val="none"/>
        </w:rPr>
        <w:t xml:space="preserve"> 8.2发包人委托承包人办理的工作：。</w:t>
      </w:r>
    </w:p>
    <w:p w14:paraId="3C1F017B">
      <w:pPr>
        <w:spacing w:line="360" w:lineRule="exact"/>
        <w:ind w:firstLine="519" w:firstLineChars="246"/>
        <w:rPr>
          <w:rFonts w:hAnsi="宋体"/>
          <w:color w:val="auto"/>
          <w:szCs w:val="21"/>
          <w:highlight w:val="none"/>
        </w:rPr>
      </w:pPr>
      <w:r>
        <w:rPr>
          <w:rFonts w:hint="eastAsia" w:hAnsi="宋体"/>
          <w:b/>
          <w:color w:val="auto"/>
          <w:szCs w:val="21"/>
          <w:highlight w:val="none"/>
        </w:rPr>
        <w:t xml:space="preserve"> 9．承包人工作                       </w:t>
      </w:r>
    </w:p>
    <w:p w14:paraId="48C36DC2">
      <w:pPr>
        <w:spacing w:line="360" w:lineRule="exact"/>
        <w:ind w:firstLine="516" w:firstLineChars="246"/>
        <w:rPr>
          <w:rFonts w:hAnsi="宋体"/>
          <w:color w:val="auto"/>
          <w:szCs w:val="21"/>
          <w:highlight w:val="none"/>
        </w:rPr>
      </w:pPr>
      <w:r>
        <w:rPr>
          <w:rFonts w:hint="eastAsia" w:hAnsi="宋体"/>
          <w:color w:val="auto"/>
          <w:szCs w:val="21"/>
          <w:highlight w:val="none"/>
        </w:rPr>
        <w:t xml:space="preserve"> 9.1承包人应按约定时间和要求，完成以下工作：</w:t>
      </w:r>
    </w:p>
    <w:p w14:paraId="0D7EBF01">
      <w:pPr>
        <w:spacing w:line="360" w:lineRule="exact"/>
        <w:ind w:firstLine="516" w:firstLineChars="246"/>
        <w:rPr>
          <w:rFonts w:hAnsi="宋体"/>
          <w:color w:val="auto"/>
          <w:szCs w:val="21"/>
          <w:highlight w:val="none"/>
          <w:u w:val="single"/>
        </w:rPr>
      </w:pPr>
      <w:r>
        <w:rPr>
          <w:rFonts w:hint="eastAsia" w:hAnsi="宋体"/>
          <w:color w:val="auto"/>
          <w:szCs w:val="21"/>
          <w:highlight w:val="none"/>
        </w:rPr>
        <w:t>(1)需由设计资质等级和业务范围允许的承包人完成的设计文件提交时间：</w:t>
      </w:r>
      <w:r>
        <w:rPr>
          <w:rFonts w:hint="eastAsia" w:hAnsi="宋体"/>
          <w:color w:val="auto"/>
          <w:szCs w:val="21"/>
          <w:highlight w:val="none"/>
          <w:u w:val="single"/>
        </w:rPr>
        <w:t xml:space="preserve">  待定 </w:t>
      </w:r>
      <w:r>
        <w:rPr>
          <w:rFonts w:hint="eastAsia" w:hAnsi="宋体"/>
          <w:color w:val="auto"/>
          <w:szCs w:val="21"/>
          <w:highlight w:val="none"/>
        </w:rPr>
        <w:t>。</w:t>
      </w:r>
    </w:p>
    <w:p w14:paraId="4F7ADEE1">
      <w:pPr>
        <w:spacing w:line="360" w:lineRule="exact"/>
        <w:ind w:firstLine="516" w:firstLineChars="246"/>
        <w:rPr>
          <w:rFonts w:hAnsi="宋体"/>
          <w:color w:val="auto"/>
          <w:szCs w:val="21"/>
          <w:highlight w:val="none"/>
          <w:u w:val="single"/>
        </w:rPr>
      </w:pPr>
      <w:r>
        <w:rPr>
          <w:rFonts w:hint="eastAsia" w:hAnsi="宋体"/>
          <w:color w:val="auto"/>
          <w:szCs w:val="21"/>
          <w:highlight w:val="none"/>
        </w:rPr>
        <w:t>(2)应提供计划、报表的名称及完成时间：</w:t>
      </w:r>
      <w:r>
        <w:rPr>
          <w:rFonts w:hint="eastAsia" w:hAnsi="宋体"/>
          <w:color w:val="auto"/>
          <w:szCs w:val="21"/>
          <w:highlight w:val="none"/>
          <w:u w:val="single"/>
        </w:rPr>
        <w:t xml:space="preserve">  每月二十五日向监理、发包人提供当月工程进度报表以及下月进度计划各一式两份 </w:t>
      </w:r>
      <w:r>
        <w:rPr>
          <w:rFonts w:hint="eastAsia" w:hAnsi="宋体"/>
          <w:color w:val="auto"/>
          <w:szCs w:val="21"/>
          <w:highlight w:val="none"/>
        </w:rPr>
        <w:t>。</w:t>
      </w:r>
    </w:p>
    <w:p w14:paraId="2B2AD111">
      <w:pPr>
        <w:spacing w:line="360" w:lineRule="exact"/>
        <w:ind w:firstLine="519" w:firstLineChars="246"/>
        <w:rPr>
          <w:rFonts w:hAnsi="宋体"/>
          <w:b/>
          <w:color w:val="auto"/>
          <w:szCs w:val="21"/>
          <w:highlight w:val="none"/>
          <w:u w:val="single"/>
        </w:rPr>
      </w:pPr>
      <w:r>
        <w:rPr>
          <w:rFonts w:hint="eastAsia" w:hAnsi="宋体"/>
          <w:b/>
          <w:color w:val="auto"/>
          <w:szCs w:val="21"/>
          <w:highlight w:val="none"/>
        </w:rPr>
        <w:t>*(3)承担施工安全保卫工作及非夜间施工照明的责任和要求：</w:t>
      </w:r>
      <w:r>
        <w:rPr>
          <w:rFonts w:hint="eastAsia" w:hAnsi="宋体"/>
          <w:b/>
          <w:color w:val="auto"/>
          <w:szCs w:val="21"/>
          <w:highlight w:val="none"/>
          <w:u w:val="single"/>
        </w:rPr>
        <w:t xml:space="preserve">承包人应采取一切合理的的预防措施，防止人员伤亡、财产损失事故，费用由承包人承担 </w:t>
      </w:r>
      <w:r>
        <w:rPr>
          <w:rFonts w:hint="eastAsia" w:hAnsi="宋体"/>
          <w:b/>
          <w:color w:val="auto"/>
          <w:szCs w:val="21"/>
          <w:highlight w:val="none"/>
        </w:rPr>
        <w:t>。</w:t>
      </w:r>
    </w:p>
    <w:p w14:paraId="7217DF45">
      <w:pPr>
        <w:spacing w:line="360" w:lineRule="exact"/>
        <w:ind w:firstLine="516" w:firstLineChars="246"/>
        <w:rPr>
          <w:rFonts w:hAnsi="宋体"/>
          <w:b/>
          <w:color w:val="auto"/>
          <w:szCs w:val="21"/>
          <w:highlight w:val="none"/>
        </w:rPr>
      </w:pPr>
      <w:r>
        <w:rPr>
          <w:rFonts w:hint="eastAsia" w:hAnsi="宋体"/>
          <w:color w:val="auto"/>
          <w:szCs w:val="21"/>
          <w:highlight w:val="none"/>
        </w:rPr>
        <w:t xml:space="preserve"> (4)向发包人提供的办公和生活房屋及设施的要求：</w:t>
      </w:r>
      <w:r>
        <w:rPr>
          <w:rFonts w:hint="eastAsia" w:hAnsi="宋体"/>
          <w:b/>
          <w:color w:val="auto"/>
          <w:szCs w:val="21"/>
          <w:highlight w:val="none"/>
        </w:rPr>
        <w:t>（由双方协商确定）。</w:t>
      </w:r>
    </w:p>
    <w:p w14:paraId="436F132C">
      <w:pPr>
        <w:spacing w:line="360" w:lineRule="exact"/>
        <w:ind w:firstLine="519" w:firstLineChars="246"/>
        <w:rPr>
          <w:rFonts w:hAnsi="宋体"/>
          <w:b/>
          <w:color w:val="auto"/>
          <w:szCs w:val="21"/>
          <w:highlight w:val="none"/>
          <w:u w:val="single"/>
        </w:rPr>
      </w:pPr>
      <w:r>
        <w:rPr>
          <w:rFonts w:hint="eastAsia" w:hAnsi="宋体"/>
          <w:b/>
          <w:color w:val="auto"/>
          <w:szCs w:val="21"/>
          <w:highlight w:val="none"/>
        </w:rPr>
        <w:t>*(5)需承包人办理的有关施工场地交通、环卫和施工噪音管理等手续：</w:t>
      </w:r>
      <w:r>
        <w:rPr>
          <w:rFonts w:hint="eastAsia" w:hAnsi="宋体"/>
          <w:b/>
          <w:color w:val="auto"/>
          <w:szCs w:val="21"/>
          <w:highlight w:val="none"/>
          <w:u w:val="single"/>
        </w:rPr>
        <w:t xml:space="preserve">因施工需要，经发包人批准，由承包人办理和负责费用 </w:t>
      </w:r>
      <w:r>
        <w:rPr>
          <w:rFonts w:hint="eastAsia" w:hAnsi="宋体"/>
          <w:b/>
          <w:color w:val="auto"/>
          <w:szCs w:val="21"/>
          <w:highlight w:val="none"/>
        </w:rPr>
        <w:t>。</w:t>
      </w:r>
    </w:p>
    <w:p w14:paraId="1B8A9322">
      <w:pPr>
        <w:spacing w:line="360" w:lineRule="exact"/>
        <w:ind w:firstLine="516" w:firstLineChars="246"/>
        <w:rPr>
          <w:rFonts w:hAnsi="宋体"/>
          <w:color w:val="auto"/>
          <w:szCs w:val="21"/>
          <w:highlight w:val="none"/>
          <w:u w:val="single"/>
        </w:rPr>
      </w:pPr>
      <w:r>
        <w:rPr>
          <w:rFonts w:hint="eastAsia" w:hAnsi="宋体"/>
          <w:color w:val="auto"/>
          <w:szCs w:val="21"/>
          <w:highlight w:val="none"/>
        </w:rPr>
        <w:t>(6)已完工程成品保护的特殊要求及费用承担：</w:t>
      </w:r>
      <w:r>
        <w:rPr>
          <w:rFonts w:hint="eastAsia" w:hAnsi="宋体"/>
          <w:color w:val="auto"/>
          <w:szCs w:val="21"/>
          <w:highlight w:val="none"/>
          <w:u w:val="single"/>
        </w:rPr>
        <w:t xml:space="preserve">按通用条款第9.1（6）条执行 </w:t>
      </w:r>
      <w:r>
        <w:rPr>
          <w:rFonts w:hint="eastAsia" w:hAnsi="宋体"/>
          <w:color w:val="auto"/>
          <w:szCs w:val="21"/>
          <w:highlight w:val="none"/>
        </w:rPr>
        <w:t>。</w:t>
      </w:r>
    </w:p>
    <w:p w14:paraId="683E6A85">
      <w:pPr>
        <w:spacing w:line="360" w:lineRule="exact"/>
        <w:ind w:firstLine="519" w:firstLineChars="246"/>
        <w:rPr>
          <w:rFonts w:hAnsi="宋体"/>
          <w:b/>
          <w:color w:val="auto"/>
          <w:szCs w:val="21"/>
          <w:highlight w:val="none"/>
          <w:u w:val="single"/>
        </w:rPr>
      </w:pPr>
      <w:r>
        <w:rPr>
          <w:rFonts w:hint="eastAsia" w:hAnsi="宋体"/>
          <w:b/>
          <w:color w:val="auto"/>
          <w:szCs w:val="21"/>
          <w:highlight w:val="none"/>
        </w:rPr>
        <w:t>*(7)施工场地周围地下管线和邻近建筑物、构筑物(含文物保护建筑)、古树名木的保护要求及费用承担：</w:t>
      </w:r>
      <w:r>
        <w:rPr>
          <w:rFonts w:hint="eastAsia" w:hAnsi="宋体"/>
          <w:b/>
          <w:color w:val="auto"/>
          <w:szCs w:val="21"/>
          <w:highlight w:val="none"/>
          <w:u w:val="single"/>
        </w:rPr>
        <w:t xml:space="preserve">承包人施工时应探明并负责保护且承担费用，施工时如损坏地下管线、邻近建筑物、构筑物，所发生费用由承包人承担 </w:t>
      </w:r>
      <w:r>
        <w:rPr>
          <w:rFonts w:hint="eastAsia" w:hAnsi="宋体"/>
          <w:b/>
          <w:color w:val="auto"/>
          <w:szCs w:val="21"/>
          <w:highlight w:val="none"/>
        </w:rPr>
        <w:t>。</w:t>
      </w:r>
    </w:p>
    <w:p w14:paraId="595C1881">
      <w:pPr>
        <w:spacing w:line="360" w:lineRule="exact"/>
        <w:ind w:firstLine="519" w:firstLineChars="246"/>
        <w:rPr>
          <w:rFonts w:hAnsi="宋体"/>
          <w:b/>
          <w:color w:val="auto"/>
          <w:szCs w:val="21"/>
          <w:highlight w:val="none"/>
        </w:rPr>
      </w:pPr>
      <w:r>
        <w:rPr>
          <w:rFonts w:hint="eastAsia" w:hAnsi="宋体"/>
          <w:b/>
          <w:color w:val="auto"/>
          <w:szCs w:val="21"/>
          <w:highlight w:val="none"/>
        </w:rPr>
        <w:t xml:space="preserve"> *(8)施工场地清洁卫生的要求：</w:t>
      </w:r>
      <w:r>
        <w:rPr>
          <w:rFonts w:hint="eastAsia" w:hAnsi="宋体"/>
          <w:b/>
          <w:color w:val="auto"/>
          <w:szCs w:val="21"/>
          <w:highlight w:val="none"/>
          <w:u w:val="single"/>
        </w:rPr>
        <w:t>由于施工造成的环境污染，其责任和费用均由承包人承担</w:t>
      </w:r>
      <w:r>
        <w:rPr>
          <w:rFonts w:hint="eastAsia" w:hAnsi="宋体"/>
          <w:b/>
          <w:color w:val="auto"/>
          <w:szCs w:val="21"/>
          <w:highlight w:val="none"/>
        </w:rPr>
        <w:t>。</w:t>
      </w:r>
    </w:p>
    <w:p w14:paraId="3105795E">
      <w:pPr>
        <w:spacing w:line="360" w:lineRule="exact"/>
        <w:ind w:firstLine="516" w:firstLineChars="246"/>
        <w:rPr>
          <w:rFonts w:hAnsi="宋体"/>
          <w:color w:val="auto"/>
          <w:szCs w:val="21"/>
          <w:highlight w:val="none"/>
        </w:rPr>
      </w:pPr>
      <w:r>
        <w:rPr>
          <w:rFonts w:hint="eastAsia" w:hAnsi="宋体"/>
          <w:color w:val="auto"/>
          <w:szCs w:val="21"/>
          <w:highlight w:val="none"/>
        </w:rPr>
        <w:t xml:space="preserve">  (9)双方约定承包人应做的其他工作：</w:t>
      </w:r>
    </w:p>
    <w:p w14:paraId="78BC676F">
      <w:pPr>
        <w:spacing w:line="360" w:lineRule="exact"/>
        <w:ind w:firstLine="516" w:firstLineChars="246"/>
        <w:rPr>
          <w:rFonts w:hAnsi="宋体"/>
          <w:color w:val="auto"/>
          <w:szCs w:val="21"/>
          <w:highlight w:val="none"/>
        </w:rPr>
      </w:pPr>
      <w:r>
        <w:rPr>
          <w:rFonts w:hint="eastAsia" w:hAnsi="宋体"/>
          <w:color w:val="auto"/>
          <w:szCs w:val="21"/>
          <w:highlight w:val="none"/>
        </w:rPr>
        <w:t xml:space="preserve">  1)配合发包人做好安全文明宣传、领导检查宣传等工作，相关费用由承包人承担。</w:t>
      </w:r>
    </w:p>
    <w:p w14:paraId="03E0E95C">
      <w:pPr>
        <w:spacing w:line="360" w:lineRule="exact"/>
        <w:ind w:firstLine="516" w:firstLineChars="246"/>
        <w:rPr>
          <w:rFonts w:hAnsi="宋体"/>
          <w:color w:val="auto"/>
          <w:szCs w:val="21"/>
          <w:highlight w:val="none"/>
        </w:rPr>
      </w:pPr>
      <w:r>
        <w:rPr>
          <w:rFonts w:hint="eastAsia" w:hAnsi="宋体"/>
          <w:color w:val="auto"/>
          <w:szCs w:val="21"/>
          <w:highlight w:val="none"/>
        </w:rPr>
        <w:t xml:space="preserve">  2)承包人生活设施及施工场地，应自费配备消防设备，防止火灾发生。</w:t>
      </w:r>
    </w:p>
    <w:p w14:paraId="475EB01F">
      <w:pPr>
        <w:spacing w:line="360" w:lineRule="exact"/>
        <w:ind w:firstLine="516" w:firstLineChars="246"/>
        <w:rPr>
          <w:rFonts w:hAnsi="宋体"/>
          <w:color w:val="auto"/>
          <w:szCs w:val="21"/>
          <w:highlight w:val="none"/>
        </w:rPr>
      </w:pPr>
      <w:r>
        <w:rPr>
          <w:rFonts w:hint="eastAsia" w:hAnsi="宋体"/>
          <w:color w:val="auto"/>
          <w:szCs w:val="21"/>
          <w:highlight w:val="none"/>
        </w:rPr>
        <w:t xml:space="preserve">  3)承包人的临时用地(含项目部驻地等)租用费(含拆迁补偿)、临时用地的环保、恢复、临时用地的青苗补偿及地面附着物拆除等费用均由承包人负责，以上费用在竞标报价中综合考虑。</w:t>
      </w:r>
    </w:p>
    <w:p w14:paraId="26B855E7">
      <w:pPr>
        <w:spacing w:line="360" w:lineRule="exact"/>
        <w:ind w:firstLine="711" w:firstLineChars="339"/>
        <w:rPr>
          <w:rFonts w:hAnsi="宋体"/>
          <w:color w:val="auto"/>
          <w:szCs w:val="21"/>
          <w:highlight w:val="none"/>
        </w:rPr>
      </w:pPr>
      <w:r>
        <w:rPr>
          <w:rFonts w:hint="eastAsia" w:hAnsi="宋体"/>
          <w:color w:val="auto"/>
          <w:szCs w:val="21"/>
          <w:highlight w:val="none"/>
        </w:rPr>
        <w:t>4)取土场及弃土场由承包人自行解决，但不得违反相关管理规定，并承担相关费用。</w:t>
      </w:r>
    </w:p>
    <w:p w14:paraId="40DE5A1C">
      <w:pPr>
        <w:spacing w:line="360" w:lineRule="exact"/>
        <w:ind w:firstLine="516" w:firstLineChars="246"/>
        <w:rPr>
          <w:rFonts w:hAnsi="宋体"/>
          <w:color w:val="auto"/>
          <w:szCs w:val="21"/>
          <w:highlight w:val="none"/>
        </w:rPr>
      </w:pPr>
      <w:r>
        <w:rPr>
          <w:rFonts w:hint="eastAsia" w:hAnsi="宋体"/>
          <w:color w:val="auto"/>
          <w:szCs w:val="21"/>
          <w:highlight w:val="none"/>
        </w:rPr>
        <w:t xml:space="preserve">  5)经过城市道路的施工车辆，必须按交警、城管、运输等部门相关规定执行。由于施工车辆造成的道路、环境等污染，其责任和费用均由承包人承担。</w:t>
      </w:r>
    </w:p>
    <w:p w14:paraId="27CC33B0">
      <w:pPr>
        <w:spacing w:line="360" w:lineRule="exact"/>
        <w:ind w:firstLine="516" w:firstLineChars="246"/>
        <w:rPr>
          <w:rFonts w:hAnsi="宋体"/>
          <w:color w:val="auto"/>
          <w:szCs w:val="21"/>
          <w:highlight w:val="none"/>
        </w:rPr>
      </w:pPr>
      <w:r>
        <w:rPr>
          <w:rFonts w:hint="eastAsia" w:hAnsi="宋体"/>
          <w:color w:val="auto"/>
          <w:szCs w:val="21"/>
          <w:highlight w:val="none"/>
        </w:rPr>
        <w:t xml:space="preserve">  6)承包人负责合同实施期间其合同段内临时交通道路(含场内外连接公共交通道路)和交通设施的修建、维修、养护和交通管理工作，并承担一切费用。    </w:t>
      </w:r>
    </w:p>
    <w:p w14:paraId="448BD75C">
      <w:pPr>
        <w:spacing w:line="360" w:lineRule="exact"/>
        <w:ind w:firstLine="516" w:firstLineChars="246"/>
        <w:rPr>
          <w:rFonts w:hAnsi="宋体"/>
          <w:color w:val="auto"/>
          <w:szCs w:val="21"/>
          <w:highlight w:val="none"/>
        </w:rPr>
      </w:pPr>
      <w:r>
        <w:rPr>
          <w:rFonts w:hint="eastAsia" w:hAnsi="宋体"/>
          <w:color w:val="auto"/>
          <w:szCs w:val="21"/>
          <w:highlight w:val="none"/>
        </w:rPr>
        <w:t xml:space="preserve">  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9424959">
      <w:pPr>
        <w:spacing w:line="360" w:lineRule="exact"/>
        <w:rPr>
          <w:rFonts w:hAnsi="宋体"/>
          <w:b/>
          <w:bCs/>
          <w:color w:val="auto"/>
          <w:szCs w:val="21"/>
          <w:highlight w:val="none"/>
        </w:rPr>
      </w:pPr>
      <w:r>
        <w:rPr>
          <w:rFonts w:hint="eastAsia" w:hAnsi="宋体"/>
          <w:b/>
          <w:bCs/>
          <w:color w:val="auto"/>
          <w:szCs w:val="21"/>
          <w:highlight w:val="none"/>
        </w:rPr>
        <w:t>三、施工组织设计和工期</w:t>
      </w:r>
    </w:p>
    <w:p w14:paraId="0868D6CD">
      <w:pPr>
        <w:spacing w:line="360" w:lineRule="exact"/>
        <w:ind w:firstLine="352" w:firstLineChars="167"/>
        <w:rPr>
          <w:rFonts w:hAnsi="宋体"/>
          <w:b/>
          <w:bCs/>
          <w:color w:val="auto"/>
          <w:szCs w:val="21"/>
          <w:highlight w:val="none"/>
        </w:rPr>
      </w:pPr>
      <w:r>
        <w:rPr>
          <w:rFonts w:hint="eastAsia" w:hAnsi="宋体"/>
          <w:b/>
          <w:bCs/>
          <w:color w:val="auto"/>
          <w:szCs w:val="21"/>
          <w:highlight w:val="none"/>
        </w:rPr>
        <w:t xml:space="preserve">  10．进度计划</w:t>
      </w:r>
    </w:p>
    <w:p w14:paraId="3DF391D7">
      <w:pPr>
        <w:spacing w:line="360" w:lineRule="exact"/>
        <w:ind w:firstLine="367" w:firstLineChars="175"/>
        <w:rPr>
          <w:rFonts w:hAnsi="宋体"/>
          <w:color w:val="auto"/>
          <w:szCs w:val="21"/>
          <w:highlight w:val="none"/>
        </w:rPr>
      </w:pPr>
      <w:r>
        <w:rPr>
          <w:rFonts w:hint="eastAsia" w:hAnsi="宋体"/>
          <w:color w:val="auto"/>
          <w:szCs w:val="21"/>
          <w:highlight w:val="none"/>
        </w:rPr>
        <w:t xml:space="preserve">  10.1承包人提供施工组织设计(施工方案)和进度计划的时间</w:t>
      </w:r>
      <w:r>
        <w:rPr>
          <w:rFonts w:hint="eastAsia" w:hAnsi="宋体"/>
          <w:color w:val="auto"/>
          <w:szCs w:val="21"/>
          <w:highlight w:val="none"/>
          <w:u w:val="single"/>
        </w:rPr>
        <w:t xml:space="preserve">：于开工前七日内 </w:t>
      </w:r>
      <w:r>
        <w:rPr>
          <w:rFonts w:hint="eastAsia" w:hAnsi="宋体"/>
          <w:color w:val="auto"/>
          <w:szCs w:val="21"/>
          <w:highlight w:val="none"/>
        </w:rPr>
        <w:t>。</w:t>
      </w:r>
    </w:p>
    <w:p w14:paraId="5774A68A">
      <w:pPr>
        <w:spacing w:line="360" w:lineRule="exact"/>
        <w:ind w:firstLine="441" w:firstLineChars="210"/>
        <w:rPr>
          <w:rFonts w:hAnsi="宋体"/>
          <w:color w:val="auto"/>
          <w:szCs w:val="21"/>
          <w:highlight w:val="none"/>
          <w:u w:val="single"/>
        </w:rPr>
      </w:pPr>
      <w:r>
        <w:rPr>
          <w:rFonts w:hint="eastAsia" w:hAnsi="宋体"/>
          <w:color w:val="auto"/>
          <w:szCs w:val="21"/>
          <w:highlight w:val="none"/>
        </w:rPr>
        <w:t xml:space="preserve">  工程师确认的时间：</w:t>
      </w:r>
      <w:r>
        <w:rPr>
          <w:rFonts w:hint="eastAsia" w:hAnsi="宋体"/>
          <w:color w:val="auto"/>
          <w:szCs w:val="21"/>
          <w:highlight w:val="none"/>
          <w:u w:val="single"/>
        </w:rPr>
        <w:t>收到后五日内予以批复</w:t>
      </w:r>
      <w:r>
        <w:rPr>
          <w:rFonts w:hint="eastAsia" w:hAnsi="宋体"/>
          <w:color w:val="auto"/>
          <w:szCs w:val="21"/>
          <w:highlight w:val="none"/>
        </w:rPr>
        <w:t>。</w:t>
      </w:r>
    </w:p>
    <w:p w14:paraId="5C145429">
      <w:pPr>
        <w:spacing w:line="360" w:lineRule="exact"/>
        <w:ind w:firstLine="636" w:firstLineChars="303"/>
        <w:rPr>
          <w:rFonts w:hAnsi="宋体"/>
          <w:color w:val="auto"/>
          <w:szCs w:val="21"/>
          <w:highlight w:val="none"/>
        </w:rPr>
      </w:pPr>
      <w:r>
        <w:rPr>
          <w:rFonts w:hint="eastAsia" w:hAnsi="宋体"/>
          <w:color w:val="auto"/>
          <w:szCs w:val="21"/>
          <w:highlight w:val="none"/>
        </w:rPr>
        <w:t>10.2群体工程中有关进度计划的要求：。</w:t>
      </w:r>
    </w:p>
    <w:p w14:paraId="3B9FF581">
      <w:pPr>
        <w:spacing w:line="360" w:lineRule="exact"/>
        <w:ind w:firstLine="580" w:firstLineChars="275"/>
        <w:rPr>
          <w:rFonts w:hAnsi="宋体"/>
          <w:b/>
          <w:color w:val="auto"/>
          <w:szCs w:val="21"/>
          <w:highlight w:val="none"/>
        </w:rPr>
      </w:pPr>
      <w:r>
        <w:rPr>
          <w:rFonts w:hint="eastAsia" w:hAnsi="宋体"/>
          <w:b/>
          <w:color w:val="auto"/>
          <w:szCs w:val="21"/>
          <w:highlight w:val="none"/>
        </w:rPr>
        <w:t>13．工期延误</w:t>
      </w:r>
    </w:p>
    <w:p w14:paraId="3CD69E7E">
      <w:pPr>
        <w:spacing w:line="360" w:lineRule="exact"/>
        <w:ind w:firstLine="441" w:firstLineChars="210"/>
        <w:rPr>
          <w:rFonts w:hAnsi="宋体"/>
          <w:color w:val="auto"/>
          <w:szCs w:val="21"/>
          <w:highlight w:val="none"/>
        </w:rPr>
      </w:pPr>
      <w:r>
        <w:rPr>
          <w:rFonts w:hint="eastAsia" w:hAnsi="宋体"/>
          <w:color w:val="auto"/>
          <w:szCs w:val="21"/>
          <w:highlight w:val="none"/>
        </w:rPr>
        <w:t xml:space="preserve">  13.1对以下原因造成工期延误，经工程师确认，工期相应顺延，按通用条款第十三条执行。</w:t>
      </w:r>
    </w:p>
    <w:p w14:paraId="3B2ECF35">
      <w:pPr>
        <w:spacing w:line="360" w:lineRule="exact"/>
        <w:ind w:firstLine="441" w:firstLineChars="210"/>
        <w:rPr>
          <w:rFonts w:hAnsi="宋体"/>
          <w:color w:val="auto"/>
          <w:szCs w:val="21"/>
          <w:highlight w:val="none"/>
          <w:u w:val="single"/>
        </w:rPr>
      </w:pPr>
      <w:r>
        <w:rPr>
          <w:rFonts w:hint="eastAsia" w:hAnsi="宋体"/>
          <w:color w:val="auto"/>
          <w:szCs w:val="21"/>
          <w:highlight w:val="none"/>
        </w:rPr>
        <w:t xml:space="preserve">  13.1.1  双方约定工期顺延的其他情况：</w:t>
      </w:r>
      <w:r>
        <w:rPr>
          <w:rFonts w:hint="eastAsia" w:hAnsi="宋体"/>
          <w:color w:val="auto"/>
          <w:szCs w:val="21"/>
          <w:highlight w:val="none"/>
          <w:u w:val="single"/>
        </w:rPr>
        <w:t xml:space="preserve">  不可抗力的原因  </w:t>
      </w:r>
      <w:r>
        <w:rPr>
          <w:rFonts w:hint="eastAsia" w:hAnsi="宋体"/>
          <w:color w:val="auto"/>
          <w:szCs w:val="21"/>
          <w:highlight w:val="none"/>
        </w:rPr>
        <w:t>。</w:t>
      </w:r>
    </w:p>
    <w:p w14:paraId="553A8B65">
      <w:pPr>
        <w:spacing w:line="360" w:lineRule="exact"/>
        <w:ind w:firstLine="411" w:firstLineChars="196"/>
        <w:rPr>
          <w:rFonts w:hAnsi="宋体"/>
          <w:color w:val="auto"/>
          <w:szCs w:val="21"/>
          <w:highlight w:val="none"/>
        </w:rPr>
      </w:pPr>
      <w:r>
        <w:rPr>
          <w:rFonts w:hint="eastAsia" w:hAnsi="宋体"/>
          <w:color w:val="auto"/>
          <w:szCs w:val="21"/>
          <w:highlight w:val="none"/>
        </w:rPr>
        <w:t xml:space="preserve">  13.2非上述原因，承包人不能按合同约定的时间竣工，承包人应承担违约责任。应向发包人支付误期赔偿费(每天赔偿金额为合同价款的万分之</w:t>
      </w:r>
      <w:r>
        <w:rPr>
          <w:rFonts w:hint="eastAsia" w:hAnsi="宋体"/>
          <w:color w:val="auto"/>
          <w:szCs w:val="21"/>
          <w:highlight w:val="none"/>
          <w:u w:val="single"/>
        </w:rPr>
        <w:t xml:space="preserve">  四  </w:t>
      </w:r>
      <w:r>
        <w:rPr>
          <w:rFonts w:hint="eastAsia" w:hAnsi="宋体"/>
          <w:color w:val="auto"/>
          <w:szCs w:val="21"/>
          <w:highlight w:val="none"/>
        </w:rPr>
        <w:t>)，误期时间从规定竣工日期起直到全部工程或相应部分工程竣工验收各方签章日期之间的天数(扣除发包人批准顺延的工期)，其极限为合同价的</w:t>
      </w:r>
      <w:r>
        <w:rPr>
          <w:rFonts w:hint="eastAsia" w:hAnsi="宋体"/>
          <w:color w:val="auto"/>
          <w:szCs w:val="21"/>
          <w:highlight w:val="none"/>
          <w:u w:val="single"/>
        </w:rPr>
        <w:t xml:space="preserve">5% </w:t>
      </w:r>
      <w:r>
        <w:rPr>
          <w:rFonts w:hint="eastAsia" w:hAnsi="宋体"/>
          <w:color w:val="auto"/>
          <w:szCs w:val="21"/>
          <w:highlight w:val="none"/>
        </w:rPr>
        <w:t xml:space="preserve"> 。发包人可从应向承包人支付的任何金额中扣除此项赔偿款或其他方式收回此款，此赔偿款的支付并不能解除承包人应完成工程的责任或合同规定的其他责任。</w:t>
      </w:r>
    </w:p>
    <w:p w14:paraId="2F221474">
      <w:pPr>
        <w:spacing w:line="360" w:lineRule="exact"/>
        <w:rPr>
          <w:rFonts w:hAnsi="宋体"/>
          <w:color w:val="auto"/>
          <w:szCs w:val="21"/>
          <w:highlight w:val="none"/>
        </w:rPr>
      </w:pPr>
      <w:r>
        <w:rPr>
          <w:rFonts w:hint="eastAsia" w:hAnsi="宋体"/>
          <w:color w:val="auto"/>
          <w:szCs w:val="21"/>
          <w:highlight w:val="none"/>
        </w:rPr>
        <w:t xml:space="preserve">    13.3  因工程量变化和设计变更的工期予以顺延，即工期相应变化，质量要求不变。</w:t>
      </w:r>
    </w:p>
    <w:p w14:paraId="1FE94E94">
      <w:pPr>
        <w:spacing w:line="360" w:lineRule="exact"/>
        <w:rPr>
          <w:rFonts w:hAnsi="宋体"/>
          <w:color w:val="auto"/>
          <w:szCs w:val="21"/>
          <w:highlight w:val="none"/>
        </w:rPr>
      </w:pPr>
      <w:r>
        <w:rPr>
          <w:rFonts w:hint="eastAsia" w:hAnsi="宋体"/>
          <w:color w:val="auto"/>
          <w:szCs w:val="21"/>
          <w:highlight w:val="none"/>
        </w:rPr>
        <w:t xml:space="preserve">    13.4承包人必须按照合同工期或发包人同意顺延的工期竣工。</w:t>
      </w:r>
    </w:p>
    <w:p w14:paraId="5409E04E">
      <w:pPr>
        <w:spacing w:line="360" w:lineRule="exact"/>
        <w:rPr>
          <w:rFonts w:hAnsi="宋体"/>
          <w:b/>
          <w:color w:val="auto"/>
          <w:szCs w:val="21"/>
          <w:highlight w:val="none"/>
        </w:rPr>
      </w:pPr>
      <w:r>
        <w:rPr>
          <w:rFonts w:hint="eastAsia" w:hAnsi="宋体"/>
          <w:b/>
          <w:color w:val="auto"/>
          <w:szCs w:val="21"/>
          <w:highlight w:val="none"/>
        </w:rPr>
        <w:t>四、质量与验收</w:t>
      </w:r>
    </w:p>
    <w:p w14:paraId="209BCD4D">
      <w:pPr>
        <w:spacing w:line="360" w:lineRule="exact"/>
        <w:rPr>
          <w:rFonts w:hAnsi="宋体"/>
          <w:color w:val="auto"/>
          <w:szCs w:val="21"/>
          <w:highlight w:val="none"/>
        </w:rPr>
      </w:pPr>
      <w:r>
        <w:rPr>
          <w:rFonts w:hint="eastAsia" w:hAnsi="宋体"/>
          <w:color w:val="auto"/>
          <w:szCs w:val="21"/>
          <w:highlight w:val="none"/>
        </w:rPr>
        <w:t xml:space="preserve">    15．工程质量</w:t>
      </w:r>
    </w:p>
    <w:p w14:paraId="48B81797">
      <w:pPr>
        <w:spacing w:line="360" w:lineRule="exact"/>
        <w:rPr>
          <w:rFonts w:hAnsi="宋体"/>
          <w:color w:val="auto"/>
          <w:szCs w:val="21"/>
          <w:highlight w:val="none"/>
          <w:u w:val="single"/>
        </w:rPr>
      </w:pPr>
      <w:r>
        <w:rPr>
          <w:rFonts w:hint="eastAsia" w:hAnsi="宋体"/>
          <w:color w:val="auto"/>
          <w:szCs w:val="21"/>
          <w:highlight w:val="none"/>
        </w:rPr>
        <w:t xml:space="preserve">    15.1发包人对工程质量的要求：</w:t>
      </w:r>
      <w:r>
        <w:rPr>
          <w:rFonts w:hint="eastAsia" w:hAnsi="宋体"/>
          <w:b/>
          <w:bCs/>
          <w:color w:val="auto"/>
          <w:szCs w:val="21"/>
          <w:highlight w:val="none"/>
          <w:u w:val="single"/>
        </w:rPr>
        <w:t xml:space="preserve">合格 </w:t>
      </w:r>
      <w:r>
        <w:rPr>
          <w:rFonts w:hint="eastAsia" w:hAnsi="宋体"/>
          <w:b/>
          <w:bCs/>
          <w:color w:val="auto"/>
          <w:szCs w:val="21"/>
          <w:highlight w:val="none"/>
        </w:rPr>
        <w:t>。</w:t>
      </w:r>
    </w:p>
    <w:p w14:paraId="2F7C7856">
      <w:pPr>
        <w:spacing w:line="360" w:lineRule="exact"/>
        <w:rPr>
          <w:rFonts w:hAnsi="宋体"/>
          <w:color w:val="auto"/>
          <w:szCs w:val="21"/>
          <w:highlight w:val="none"/>
        </w:rPr>
      </w:pPr>
      <w:r>
        <w:rPr>
          <w:rFonts w:hint="eastAsia" w:hAnsi="宋体"/>
          <w:color w:val="auto"/>
          <w:szCs w:val="21"/>
          <w:highlight w:val="none"/>
        </w:rPr>
        <w:t xml:space="preserve">    15.2双方对工程质量有争议时，由</w:t>
      </w:r>
      <w:r>
        <w:rPr>
          <w:rFonts w:hint="eastAsia" w:hAnsi="宋体"/>
          <w:color w:val="auto"/>
          <w:szCs w:val="21"/>
          <w:highlight w:val="none"/>
          <w:u w:val="single"/>
          <w:lang w:val="en-US" w:eastAsia="zh-CN"/>
        </w:rPr>
        <w:t xml:space="preserve">         </w:t>
      </w:r>
      <w:r>
        <w:rPr>
          <w:rFonts w:hint="eastAsia" w:hAnsi="宋体"/>
          <w:color w:val="auto"/>
          <w:szCs w:val="21"/>
          <w:highlight w:val="none"/>
        </w:rPr>
        <w:t>仲裁。</w:t>
      </w:r>
    </w:p>
    <w:p w14:paraId="5C1AE776">
      <w:pPr>
        <w:spacing w:line="360" w:lineRule="exact"/>
        <w:rPr>
          <w:rFonts w:hAnsi="宋体"/>
          <w:color w:val="auto"/>
          <w:szCs w:val="21"/>
          <w:highlight w:val="none"/>
        </w:rPr>
      </w:pPr>
      <w:r>
        <w:rPr>
          <w:rFonts w:hint="eastAsia" w:hAnsi="宋体"/>
          <w:b/>
          <w:bCs/>
          <w:color w:val="auto"/>
          <w:szCs w:val="21"/>
          <w:highlight w:val="none"/>
        </w:rPr>
        <w:t>17．隐蔽工程和中间验收</w:t>
      </w:r>
    </w:p>
    <w:p w14:paraId="74346CC3">
      <w:pPr>
        <w:spacing w:line="360" w:lineRule="exact"/>
        <w:rPr>
          <w:rFonts w:hAnsi="宋体"/>
          <w:color w:val="auto"/>
          <w:szCs w:val="21"/>
          <w:highlight w:val="none"/>
          <w:u w:val="single"/>
        </w:rPr>
      </w:pPr>
      <w:r>
        <w:rPr>
          <w:rFonts w:hint="eastAsia" w:hAnsi="宋体"/>
          <w:color w:val="auto"/>
          <w:szCs w:val="21"/>
          <w:highlight w:val="none"/>
        </w:rPr>
        <w:t xml:space="preserve">    17.1双方约定中间验收部位：</w:t>
      </w:r>
      <w:r>
        <w:rPr>
          <w:rFonts w:hint="eastAsia" w:hAnsi="宋体"/>
          <w:color w:val="auto"/>
          <w:szCs w:val="21"/>
          <w:highlight w:val="none"/>
          <w:u w:val="single"/>
        </w:rPr>
        <w:t>待定</w:t>
      </w:r>
      <w:r>
        <w:rPr>
          <w:rFonts w:hint="eastAsia" w:hAnsi="宋体"/>
          <w:color w:val="auto"/>
          <w:szCs w:val="21"/>
          <w:highlight w:val="none"/>
        </w:rPr>
        <w:t>。</w:t>
      </w:r>
    </w:p>
    <w:p w14:paraId="5CAE776A">
      <w:pPr>
        <w:spacing w:line="360" w:lineRule="exact"/>
        <w:ind w:firstLine="105" w:firstLineChars="50"/>
        <w:rPr>
          <w:rFonts w:hAnsi="宋体"/>
          <w:b/>
          <w:color w:val="auto"/>
          <w:szCs w:val="21"/>
          <w:highlight w:val="none"/>
        </w:rPr>
      </w:pPr>
      <w:r>
        <w:rPr>
          <w:rFonts w:hint="eastAsia" w:hAnsi="宋体"/>
          <w:b/>
          <w:color w:val="auto"/>
          <w:szCs w:val="21"/>
          <w:highlight w:val="none"/>
        </w:rPr>
        <w:t xml:space="preserve">  * 17.2工程隐蔽或中间验收前十二小时以书面形式通知发包人和监理工程师验收的内容、时间、地点，承包人准备验收记录单(最好是印制的表格)由双方签证。验收合格，承包人可进行隐蔽和继续施工；验收不合格，双方商订时限内修改后按上述程序重新验收。</w:t>
      </w:r>
    </w:p>
    <w:p w14:paraId="52F4EE30">
      <w:pPr>
        <w:spacing w:line="360" w:lineRule="exact"/>
        <w:rPr>
          <w:rFonts w:hAnsi="宋体"/>
          <w:b/>
          <w:color w:val="auto"/>
          <w:szCs w:val="21"/>
          <w:highlight w:val="none"/>
        </w:rPr>
      </w:pPr>
      <w:r>
        <w:rPr>
          <w:rFonts w:hint="eastAsia" w:hAnsi="宋体"/>
          <w:b/>
          <w:color w:val="auto"/>
          <w:szCs w:val="21"/>
          <w:highlight w:val="none"/>
        </w:rPr>
        <w:t xml:space="preserve">    *17.3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1EF39240">
      <w:pPr>
        <w:spacing w:line="360" w:lineRule="exact"/>
        <w:rPr>
          <w:rFonts w:hAnsi="宋体"/>
          <w:b/>
          <w:color w:val="auto"/>
          <w:szCs w:val="21"/>
          <w:highlight w:val="none"/>
        </w:rPr>
      </w:pPr>
      <w:r>
        <w:rPr>
          <w:rFonts w:hint="eastAsia" w:hAnsi="宋体"/>
          <w:b/>
          <w:color w:val="auto"/>
          <w:szCs w:val="21"/>
          <w:highlight w:val="none"/>
        </w:rPr>
        <w:t>五、合同价款与支付</w:t>
      </w:r>
    </w:p>
    <w:p w14:paraId="5D2753DF">
      <w:pPr>
        <w:spacing w:line="360" w:lineRule="exact"/>
        <w:rPr>
          <w:rFonts w:hAnsi="宋体"/>
          <w:b/>
          <w:color w:val="auto"/>
          <w:szCs w:val="21"/>
          <w:highlight w:val="none"/>
        </w:rPr>
      </w:pPr>
      <w:r>
        <w:rPr>
          <w:rFonts w:hint="eastAsia" w:hAnsi="宋体"/>
          <w:b/>
          <w:color w:val="auto"/>
          <w:szCs w:val="21"/>
          <w:highlight w:val="none"/>
        </w:rPr>
        <w:t xml:space="preserve">    23．合同价款及调整</w:t>
      </w:r>
    </w:p>
    <w:p w14:paraId="643AFE7B">
      <w:pPr>
        <w:keepNext/>
        <w:keepLines/>
        <w:spacing w:line="360" w:lineRule="auto"/>
        <w:outlineLvl w:val="3"/>
        <w:rPr>
          <w:rFonts w:ascii="宋体" w:hAnsi="宋体" w:cs="宋体"/>
          <w:b/>
          <w:bCs/>
          <w:color w:val="auto"/>
          <w:szCs w:val="21"/>
          <w:highlight w:val="none"/>
        </w:rPr>
      </w:pPr>
      <w:bookmarkStart w:id="70" w:name="_Toc229305397"/>
      <w:r>
        <w:rPr>
          <w:rFonts w:hint="eastAsia" w:hAnsi="宋体"/>
          <w:b/>
          <w:color w:val="auto"/>
          <w:szCs w:val="21"/>
          <w:highlight w:val="none"/>
        </w:rPr>
        <w:t xml:space="preserve">  23.1</w:t>
      </w:r>
      <w:r>
        <w:rPr>
          <w:rFonts w:hint="eastAsia" w:ascii="宋体" w:hAnsi="宋体" w:cs="宋体"/>
          <w:b/>
          <w:bCs/>
          <w:color w:val="auto"/>
          <w:szCs w:val="21"/>
          <w:highlight w:val="none"/>
        </w:rPr>
        <w:t>价格调整</w:t>
      </w:r>
      <w:bookmarkEnd w:id="70"/>
    </w:p>
    <w:p w14:paraId="5100DD86">
      <w:pPr>
        <w:keepNext/>
        <w:keepLines/>
        <w:spacing w:line="360" w:lineRule="auto"/>
        <w:ind w:firstLine="422" w:firstLineChars="200"/>
        <w:outlineLvl w:val="3"/>
        <w:rPr>
          <w:rFonts w:ascii="宋体" w:hAnsi="宋体" w:cs="宋体"/>
          <w:b/>
          <w:bCs/>
          <w:color w:val="auto"/>
          <w:szCs w:val="21"/>
          <w:highlight w:val="none"/>
        </w:rPr>
      </w:pPr>
      <w:r>
        <w:rPr>
          <w:rFonts w:hint="eastAsia" w:ascii="宋体" w:hAnsi="宋体" w:cs="宋体"/>
          <w:b/>
          <w:bCs/>
          <w:color w:val="auto"/>
          <w:szCs w:val="21"/>
          <w:highlight w:val="none"/>
        </w:rPr>
        <w:t xml:space="preserve">物价波动引起的价格调整  </w:t>
      </w:r>
    </w:p>
    <w:p w14:paraId="0D4C4F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□本项目不因为物价波动及调差政策原因引起合同价格变动而调整。</w:t>
      </w:r>
    </w:p>
    <w:p w14:paraId="1636FF03">
      <w:pPr>
        <w:spacing w:line="360" w:lineRule="auto"/>
        <w:ind w:right="248" w:firstLine="480"/>
        <w:rPr>
          <w:rFonts w:ascii="宋体" w:hAnsi="宋体" w:cs="宋体"/>
          <w:color w:val="auto"/>
          <w:szCs w:val="21"/>
          <w:highlight w:val="none"/>
        </w:rPr>
      </w:pPr>
      <w:r>
        <w:rPr>
          <w:rFonts w:hint="eastAsia" w:ascii="宋体" w:hAnsi="宋体" w:cs="宋体"/>
          <w:color w:val="auto"/>
          <w:szCs w:val="21"/>
          <w:highlight w:val="none"/>
        </w:rPr>
        <w:t>☑本项目由于物价波动原因引起合同价格变动时，对其价格按下列方式进行调整。</w:t>
      </w:r>
    </w:p>
    <w:p w14:paraId="3721B946">
      <w:pPr>
        <w:spacing w:line="360" w:lineRule="exact"/>
        <w:ind w:firstLine="350" w:firstLineChars="167"/>
        <w:rPr>
          <w:rFonts w:hAnsi="宋体"/>
          <w:b/>
          <w:color w:val="auto"/>
          <w:szCs w:val="21"/>
          <w:highlight w:val="none"/>
          <w:u w:val="single"/>
        </w:rPr>
      </w:pPr>
      <w:r>
        <w:rPr>
          <w:rFonts w:hint="eastAsia" w:ascii="宋体" w:hAnsi="宋体" w:cs="宋体"/>
          <w:color w:val="auto"/>
          <w:szCs w:val="21"/>
          <w:highlight w:val="none"/>
        </w:rPr>
        <w:t>工程施工中，主要原材料单价浮动在±5%范围内时（含本身），按竞标人在竞标报价时的综合单价结算；如果竞标人在施工中主要原材料单价浮动超过±5%范围时，超出部分按实际调整，但按照施工合同规定进行审计结算，结算价如超出下达项目资金的建安费，则按下达项目资金建安费支付，超出部分由施工单位承担。</w:t>
      </w:r>
    </w:p>
    <w:p w14:paraId="6EA8B522">
      <w:pPr>
        <w:spacing w:line="360" w:lineRule="exact"/>
        <w:ind w:firstLine="504" w:firstLineChars="239"/>
        <w:rPr>
          <w:rFonts w:hAnsi="宋体"/>
          <w:b/>
          <w:color w:val="auto"/>
          <w:szCs w:val="21"/>
          <w:highlight w:val="none"/>
        </w:rPr>
      </w:pPr>
      <w:r>
        <w:rPr>
          <w:rFonts w:hint="eastAsia" w:hAnsi="宋体"/>
          <w:b/>
          <w:color w:val="auto"/>
          <w:szCs w:val="21"/>
          <w:highlight w:val="none"/>
        </w:rPr>
        <w:t>25．工程量确认：</w:t>
      </w:r>
    </w:p>
    <w:p w14:paraId="62174014">
      <w:pPr>
        <w:spacing w:line="360" w:lineRule="exact"/>
        <w:ind w:firstLine="457" w:firstLineChars="218"/>
        <w:rPr>
          <w:rFonts w:hAnsi="宋体"/>
          <w:color w:val="auto"/>
          <w:szCs w:val="21"/>
          <w:highlight w:val="none"/>
          <w:u w:val="single"/>
        </w:rPr>
      </w:pPr>
      <w:r>
        <w:rPr>
          <w:rFonts w:hint="eastAsia" w:hAnsi="宋体"/>
          <w:color w:val="auto"/>
          <w:szCs w:val="21"/>
          <w:highlight w:val="none"/>
        </w:rPr>
        <w:t>25.1  承包人向工程师提交已完工程量报告的时间：</w:t>
      </w:r>
      <w:r>
        <w:rPr>
          <w:rFonts w:hint="eastAsia" w:hAnsi="宋体"/>
          <w:color w:val="auto"/>
          <w:szCs w:val="21"/>
          <w:highlight w:val="none"/>
          <w:u w:val="single"/>
        </w:rPr>
        <w:t xml:space="preserve">  每月二十五日前 </w:t>
      </w:r>
      <w:r>
        <w:rPr>
          <w:rFonts w:hint="eastAsia" w:hAnsi="宋体"/>
          <w:color w:val="auto"/>
          <w:szCs w:val="21"/>
          <w:highlight w:val="none"/>
        </w:rPr>
        <w:t>。</w:t>
      </w:r>
    </w:p>
    <w:p w14:paraId="70F4515C">
      <w:pPr>
        <w:spacing w:line="360" w:lineRule="exact"/>
        <w:ind w:firstLine="487" w:firstLineChars="232"/>
        <w:rPr>
          <w:rFonts w:hAnsi="宋体"/>
          <w:color w:val="auto"/>
          <w:szCs w:val="21"/>
          <w:highlight w:val="none"/>
        </w:rPr>
      </w:pPr>
      <w:r>
        <w:rPr>
          <w:rFonts w:hint="eastAsia" w:hAnsi="宋体"/>
          <w:color w:val="auto"/>
          <w:szCs w:val="21"/>
          <w:highlight w:val="none"/>
        </w:rPr>
        <w:t>25.1.1  工程量清单所列的工程量，不能作为承包人按合同履行其责任依据，实际施工中发生的工程量增加或减少并不影响承包人履行合同的责任，工程结算以完成的实际工程量为准。</w:t>
      </w:r>
    </w:p>
    <w:p w14:paraId="0442FB16">
      <w:pPr>
        <w:spacing w:line="360" w:lineRule="exact"/>
        <w:ind w:firstLine="306" w:firstLineChars="146"/>
        <w:rPr>
          <w:rFonts w:hAnsi="宋体"/>
          <w:color w:val="auto"/>
          <w:szCs w:val="21"/>
          <w:highlight w:val="none"/>
        </w:rPr>
      </w:pPr>
      <w:r>
        <w:rPr>
          <w:rFonts w:hint="eastAsia" w:hAnsi="宋体"/>
          <w:color w:val="auto"/>
          <w:szCs w:val="21"/>
          <w:highlight w:val="none"/>
        </w:rPr>
        <w:t xml:space="preserve">  25.2  除另有规定外，工程师应按照合同通过计量来核实确定已完成的工程量和价值，承包人应得到该价值扣除保留金后的价款。当工程师要对已完工的工程量进行计量时，应适时地通知承包人参加。</w:t>
      </w:r>
    </w:p>
    <w:p w14:paraId="0692F955">
      <w:pPr>
        <w:spacing w:line="360" w:lineRule="exact"/>
        <w:ind w:firstLine="350" w:firstLineChars="167"/>
        <w:rPr>
          <w:rFonts w:hAnsi="宋体"/>
          <w:color w:val="auto"/>
          <w:szCs w:val="21"/>
          <w:highlight w:val="none"/>
        </w:rPr>
      </w:pPr>
      <w:r>
        <w:rPr>
          <w:rFonts w:hint="eastAsia" w:hAnsi="宋体"/>
          <w:color w:val="auto"/>
          <w:szCs w:val="21"/>
          <w:highlight w:val="none"/>
        </w:rPr>
        <w:t xml:space="preserve">  25.3计量方法</w:t>
      </w:r>
    </w:p>
    <w:p w14:paraId="6FDB5C81">
      <w:pPr>
        <w:spacing w:line="360" w:lineRule="exact"/>
        <w:rPr>
          <w:rFonts w:hAnsi="宋体"/>
          <w:color w:val="auto"/>
          <w:szCs w:val="21"/>
          <w:highlight w:val="none"/>
        </w:rPr>
      </w:pPr>
      <w:r>
        <w:rPr>
          <w:rFonts w:hint="eastAsia" w:hAnsi="宋体"/>
          <w:color w:val="auto"/>
          <w:szCs w:val="21"/>
          <w:highlight w:val="none"/>
        </w:rPr>
        <w:t xml:space="preserve">    工程的计量均以国家标准《建设工程工程量清单计价规范》、(GB50500-2013)通用安装工程工程量计算规范》GB 50856-2013、《建设工程工程量清单计价规范GB50500-2013广西壮族自治区实施细则》计算的净值为准，如有不明之处，应以监理工程师或造价管理部门指定的计量方法为准。</w:t>
      </w:r>
    </w:p>
    <w:p w14:paraId="2B426C28">
      <w:pPr>
        <w:spacing w:line="360" w:lineRule="exact"/>
        <w:rPr>
          <w:rFonts w:hAnsi="宋体"/>
          <w:color w:val="auto"/>
          <w:szCs w:val="21"/>
          <w:highlight w:val="none"/>
        </w:rPr>
      </w:pPr>
      <w:r>
        <w:rPr>
          <w:rFonts w:hint="eastAsia" w:hAnsi="宋体"/>
          <w:color w:val="auto"/>
          <w:szCs w:val="21"/>
          <w:highlight w:val="none"/>
        </w:rPr>
        <w:t>25.4计量单位</w:t>
      </w:r>
    </w:p>
    <w:p w14:paraId="6CA3E4BB">
      <w:pPr>
        <w:spacing w:line="360" w:lineRule="exact"/>
        <w:ind w:firstLine="546" w:firstLineChars="260"/>
        <w:rPr>
          <w:rFonts w:hAnsi="宋体"/>
          <w:color w:val="auto"/>
          <w:szCs w:val="21"/>
          <w:highlight w:val="none"/>
        </w:rPr>
      </w:pPr>
      <w:r>
        <w:rPr>
          <w:rFonts w:hint="eastAsia" w:hAnsi="宋体"/>
          <w:color w:val="auto"/>
          <w:szCs w:val="21"/>
          <w:highlight w:val="none"/>
        </w:rPr>
        <w:t>除了合同另有规定外，所有计量单位均应符合本工程的工程量清单。</w:t>
      </w:r>
    </w:p>
    <w:p w14:paraId="1472443B">
      <w:pPr>
        <w:spacing w:line="360" w:lineRule="exact"/>
        <w:ind w:firstLine="316" w:firstLineChars="150"/>
        <w:rPr>
          <w:rFonts w:hAnsi="宋体"/>
          <w:b/>
          <w:color w:val="auto"/>
          <w:szCs w:val="21"/>
          <w:highlight w:val="none"/>
        </w:rPr>
      </w:pPr>
      <w:r>
        <w:rPr>
          <w:rFonts w:hint="eastAsia" w:hAnsi="宋体"/>
          <w:b/>
          <w:color w:val="auto"/>
          <w:szCs w:val="21"/>
          <w:highlight w:val="none"/>
        </w:rPr>
        <w:t>*26．工程进度款支付方式：银行转账 。</w:t>
      </w:r>
    </w:p>
    <w:p w14:paraId="193D4987">
      <w:pPr>
        <w:spacing w:line="360" w:lineRule="exact"/>
        <w:ind w:firstLine="422" w:firstLineChars="200"/>
        <w:rPr>
          <w:rFonts w:hAnsi="宋体"/>
          <w:b/>
          <w:color w:val="auto"/>
          <w:szCs w:val="21"/>
          <w:highlight w:val="none"/>
        </w:rPr>
      </w:pPr>
      <w:r>
        <w:rPr>
          <w:rFonts w:hint="eastAsia" w:hAnsi="宋体"/>
          <w:b/>
          <w:color w:val="auto"/>
          <w:szCs w:val="21"/>
          <w:highlight w:val="none"/>
        </w:rPr>
        <w:t>工程进度款支付方式：银行转账 。</w:t>
      </w:r>
    </w:p>
    <w:p w14:paraId="20C2B72F">
      <w:pPr>
        <w:spacing w:line="360" w:lineRule="exact"/>
        <w:ind w:firstLine="422" w:firstLineChars="200"/>
        <w:rPr>
          <w:rFonts w:hAnsi="宋体"/>
          <w:b/>
          <w:color w:val="auto"/>
          <w:szCs w:val="21"/>
          <w:highlight w:val="none"/>
        </w:rPr>
      </w:pPr>
      <w:r>
        <w:rPr>
          <w:rFonts w:hint="eastAsia" w:hAnsi="宋体"/>
          <w:b/>
          <w:color w:val="auto"/>
          <w:szCs w:val="21"/>
          <w:highlight w:val="none"/>
        </w:rPr>
        <w:t>进度款的支付率：按工程进度请款付款。</w:t>
      </w:r>
    </w:p>
    <w:p w14:paraId="4A84F359">
      <w:pPr>
        <w:spacing w:line="360" w:lineRule="exact"/>
        <w:ind w:firstLine="422" w:firstLineChars="200"/>
        <w:rPr>
          <w:rFonts w:hAnsi="宋体"/>
          <w:b/>
          <w:color w:val="auto"/>
          <w:szCs w:val="21"/>
          <w:highlight w:val="none"/>
        </w:rPr>
      </w:pPr>
      <w:r>
        <w:rPr>
          <w:rFonts w:hint="eastAsia" w:hAnsi="宋体"/>
          <w:b/>
          <w:color w:val="auto"/>
          <w:szCs w:val="21"/>
          <w:highlight w:val="none"/>
        </w:rPr>
        <w:t>预付款支付比例或金额：合同价款的%。</w:t>
      </w:r>
    </w:p>
    <w:p w14:paraId="0351316A">
      <w:pPr>
        <w:spacing w:line="360" w:lineRule="exact"/>
        <w:ind w:firstLine="422" w:firstLineChars="200"/>
        <w:rPr>
          <w:rFonts w:hAnsi="宋体"/>
          <w:b/>
          <w:color w:val="auto"/>
          <w:szCs w:val="21"/>
          <w:highlight w:val="none"/>
        </w:rPr>
      </w:pPr>
      <w:r>
        <w:rPr>
          <w:rFonts w:hint="eastAsia" w:hAnsi="宋体"/>
          <w:b/>
          <w:color w:val="auto"/>
          <w:szCs w:val="21"/>
          <w:highlight w:val="none"/>
        </w:rPr>
        <w:t>预付款支付期限：签订合同</w:t>
      </w:r>
      <w:r>
        <w:rPr>
          <w:rFonts w:hint="eastAsia" w:hAnsi="宋体"/>
          <w:b/>
          <w:color w:val="auto"/>
          <w:szCs w:val="21"/>
          <w:highlight w:val="none"/>
          <w:u w:val="single"/>
        </w:rPr>
        <w:t>15</w:t>
      </w:r>
      <w:r>
        <w:rPr>
          <w:rFonts w:hint="eastAsia" w:hAnsi="宋体"/>
          <w:b/>
          <w:color w:val="auto"/>
          <w:szCs w:val="21"/>
          <w:highlight w:val="none"/>
        </w:rPr>
        <w:t>个工作日内支付。</w:t>
      </w:r>
    </w:p>
    <w:p w14:paraId="7459FC0A">
      <w:pPr>
        <w:spacing w:line="360" w:lineRule="exact"/>
        <w:ind w:firstLine="422" w:firstLineChars="200"/>
        <w:rPr>
          <w:rFonts w:hAnsi="宋体"/>
          <w:b/>
          <w:color w:val="auto"/>
          <w:szCs w:val="21"/>
          <w:highlight w:val="none"/>
        </w:rPr>
      </w:pPr>
      <w:r>
        <w:rPr>
          <w:rFonts w:hint="eastAsia" w:hAnsi="宋体"/>
          <w:b/>
          <w:color w:val="auto"/>
          <w:szCs w:val="21"/>
          <w:highlight w:val="none"/>
        </w:rPr>
        <w:t>预付款扣回的方式：</w:t>
      </w:r>
      <w:r>
        <w:rPr>
          <w:rFonts w:hint="eastAsia" w:hAnsi="宋体"/>
          <w:b/>
          <w:color w:val="auto"/>
          <w:szCs w:val="21"/>
          <w:highlight w:val="none"/>
          <w:u w:val="single"/>
        </w:rPr>
        <w:t xml:space="preserve">    /     </w:t>
      </w:r>
      <w:r>
        <w:rPr>
          <w:rFonts w:hint="eastAsia" w:hAnsi="宋体"/>
          <w:b/>
          <w:color w:val="auto"/>
          <w:szCs w:val="21"/>
          <w:highlight w:val="none"/>
        </w:rPr>
        <w:t>。</w:t>
      </w:r>
    </w:p>
    <w:p w14:paraId="703B2CA5">
      <w:pPr>
        <w:spacing w:line="360" w:lineRule="exact"/>
        <w:rPr>
          <w:rFonts w:hAnsi="宋体"/>
          <w:b/>
          <w:color w:val="auto"/>
          <w:szCs w:val="21"/>
          <w:highlight w:val="none"/>
        </w:rPr>
      </w:pPr>
      <w:r>
        <w:rPr>
          <w:rFonts w:hint="eastAsia" w:hAnsi="宋体"/>
          <w:b/>
          <w:color w:val="auto"/>
          <w:szCs w:val="21"/>
          <w:highlight w:val="none"/>
        </w:rPr>
        <w:t>六、材料设备供应</w:t>
      </w:r>
    </w:p>
    <w:p w14:paraId="0DD18144">
      <w:pPr>
        <w:spacing w:line="360" w:lineRule="exact"/>
        <w:ind w:firstLine="293" w:firstLineChars="139"/>
        <w:rPr>
          <w:rFonts w:hAnsi="宋体"/>
          <w:b/>
          <w:color w:val="auto"/>
          <w:szCs w:val="21"/>
          <w:highlight w:val="none"/>
        </w:rPr>
      </w:pPr>
      <w:r>
        <w:rPr>
          <w:rFonts w:hint="eastAsia" w:hAnsi="宋体"/>
          <w:b/>
          <w:color w:val="auto"/>
          <w:szCs w:val="21"/>
          <w:highlight w:val="none"/>
        </w:rPr>
        <w:t xml:space="preserve">  28．承包人采购材料设备</w:t>
      </w:r>
    </w:p>
    <w:p w14:paraId="0297B532">
      <w:pPr>
        <w:spacing w:line="360" w:lineRule="exact"/>
        <w:ind w:firstLine="277" w:firstLineChars="132"/>
        <w:rPr>
          <w:rFonts w:hAnsi="宋体"/>
          <w:color w:val="auto"/>
          <w:szCs w:val="21"/>
          <w:highlight w:val="none"/>
        </w:rPr>
      </w:pPr>
      <w:r>
        <w:rPr>
          <w:rFonts w:hint="eastAsia" w:hAnsi="宋体"/>
          <w:color w:val="auto"/>
          <w:szCs w:val="21"/>
          <w:highlight w:val="none"/>
        </w:rPr>
        <w:t xml:space="preserve">  28.1  承包人采购材料设备的约定：本工程由承包人自行采购的工程材料和设备(政府集中采购的除外)，采购前须征得发包人或其授权人认可同意。主要材料涉及品种、款式、颜色等方面内容的，承包人应提前准备合格的材料样品送发包人选定。</w:t>
      </w:r>
    </w:p>
    <w:p w14:paraId="136C9CBD">
      <w:pPr>
        <w:spacing w:line="360" w:lineRule="exact"/>
        <w:rPr>
          <w:rFonts w:hAnsi="宋体"/>
          <w:b/>
          <w:color w:val="auto"/>
          <w:szCs w:val="21"/>
          <w:highlight w:val="none"/>
        </w:rPr>
      </w:pPr>
      <w:r>
        <w:rPr>
          <w:rFonts w:hint="eastAsia" w:hAnsi="宋体"/>
          <w:b/>
          <w:color w:val="auto"/>
          <w:szCs w:val="21"/>
          <w:highlight w:val="none"/>
        </w:rPr>
        <w:t>七、工程变更</w:t>
      </w:r>
    </w:p>
    <w:p w14:paraId="65D66AA6">
      <w:pPr>
        <w:spacing w:line="360" w:lineRule="exact"/>
        <w:ind w:firstLine="293" w:firstLineChars="139"/>
        <w:rPr>
          <w:rFonts w:hAnsi="宋体"/>
          <w:b/>
          <w:color w:val="auto"/>
          <w:szCs w:val="21"/>
          <w:highlight w:val="none"/>
        </w:rPr>
      </w:pPr>
      <w:r>
        <w:rPr>
          <w:rFonts w:hint="eastAsia" w:hAnsi="宋体"/>
          <w:b/>
          <w:color w:val="auto"/>
          <w:szCs w:val="21"/>
          <w:highlight w:val="none"/>
        </w:rPr>
        <w:t xml:space="preserve">  29．工程设计变更</w:t>
      </w:r>
    </w:p>
    <w:p w14:paraId="35A1E56B">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*29.1.1设计变更和工程签证，按政策规定办理。属不可抗力(自然灾害、突发事件等)造成变更的，按特事特办原则予以办理。</w:t>
      </w:r>
    </w:p>
    <w:p w14:paraId="1355E565">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*29.1.2工程设计变更和签证工程发生后十个工作日内，由建设单位将有关变更文件、签证单审批件、工程联系单、预算书等工程资料送同级财政部门备案，并作为进度款支付、事后抽查和工程结算的主要依据。</w:t>
      </w:r>
    </w:p>
    <w:p w14:paraId="2235504D">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*29.1.3建设单位在实施项目过程中，若发生单价变动，由建设单位、监理单位或财政部门投资评审中心与施工单位共同商定并签字确认。</w:t>
      </w:r>
    </w:p>
    <w:p w14:paraId="4FEB96C0">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*29.1.4建设单位在工程设计变更和工程签证过程中必须认真负责、实事求是，不得弄虚作假，凡因上述问题所造成的损失，相应等额扣除建设单位项目管理费或其他财政拨款。</w:t>
      </w:r>
    </w:p>
    <w:p w14:paraId="1C217538">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29.1.5承包人应当在合同规定的调整情况发生后十四天内，将调整原因，调整金额以书面形式通知发包人，发包人按第29.1.1、29.1.2、29.1.3、29.1.4条款的要求初步确认调整金额后将其作为追加合同价款，按不高于60％的比例与工程进度款同期支付，调整金额待工程单项结算或结算时，由审计部门等有关单位最终审定。</w:t>
      </w:r>
    </w:p>
    <w:p w14:paraId="297A4733">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29.1.6当合同规定的调整合同价款的调整情况发生后，承包人未在规定时间内通知发包人，或者未在规定时间内提出调整报告，发包人可以根据有关资料，决定是否调整和调整的金额，并书面通知承包人。</w:t>
      </w:r>
    </w:p>
    <w:p w14:paraId="5465BD35">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*31变更价款的确定按专用条款第二十三条执行。</w:t>
      </w:r>
    </w:p>
    <w:p w14:paraId="0E39E067">
      <w:pPr>
        <w:spacing w:line="360" w:lineRule="exact"/>
        <w:rPr>
          <w:rFonts w:hAnsi="宋体"/>
          <w:b/>
          <w:color w:val="auto"/>
          <w:szCs w:val="21"/>
          <w:highlight w:val="none"/>
        </w:rPr>
      </w:pPr>
      <w:r>
        <w:rPr>
          <w:rFonts w:hint="eastAsia" w:hAnsi="宋体"/>
          <w:b/>
          <w:color w:val="auto"/>
          <w:szCs w:val="21"/>
          <w:highlight w:val="none"/>
        </w:rPr>
        <w:t>八、竣工验收与结算</w:t>
      </w:r>
    </w:p>
    <w:p w14:paraId="4A246D31">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32．竣工验收</w:t>
      </w:r>
    </w:p>
    <w:p w14:paraId="1BD28402">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32.1承包人提供竣工图的约定：竣工验收正式通过后五天(工程造价在500万元以下含500万元)、十天(工程造价在500万元至1000万元之间含1000万元)、十五天(工程造价在1000万元以上)，提供竣工图的数量分别为二套、四套、六套。</w:t>
      </w:r>
    </w:p>
    <w:p w14:paraId="3CDADEA3">
      <w:pPr>
        <w:spacing w:line="360" w:lineRule="exact"/>
        <w:ind w:firstLine="249" w:firstLineChars="118"/>
        <w:rPr>
          <w:rFonts w:hAnsi="宋体"/>
          <w:color w:val="auto"/>
          <w:szCs w:val="21"/>
          <w:highlight w:val="none"/>
          <w:u w:val="single"/>
        </w:rPr>
      </w:pPr>
      <w:r>
        <w:rPr>
          <w:rFonts w:hint="eastAsia" w:hAnsi="宋体"/>
          <w:b/>
          <w:color w:val="auto"/>
          <w:szCs w:val="21"/>
          <w:highlight w:val="none"/>
        </w:rPr>
        <w:t xml:space="preserve">  32.6中间交工工程的范围和竣工时间：</w:t>
      </w:r>
    </w:p>
    <w:p w14:paraId="57F29456">
      <w:pPr>
        <w:spacing w:line="360" w:lineRule="exact"/>
        <w:ind w:firstLine="170" w:firstLineChars="81"/>
        <w:rPr>
          <w:rFonts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33．竣工结算</w:t>
      </w:r>
    </w:p>
    <w:p w14:paraId="79035C2C">
      <w:pPr>
        <w:spacing w:line="360" w:lineRule="exact"/>
        <w:ind w:firstLine="352" w:firstLineChars="167"/>
        <w:rPr>
          <w:rFonts w:hAnsi="宋体"/>
          <w:b/>
          <w:color w:val="auto"/>
          <w:szCs w:val="21"/>
          <w:highlight w:val="none"/>
        </w:rPr>
      </w:pPr>
      <w:r>
        <w:rPr>
          <w:rFonts w:hint="eastAsia" w:hAnsi="宋体"/>
          <w:b/>
          <w:color w:val="auto"/>
          <w:szCs w:val="21"/>
          <w:highlight w:val="none"/>
        </w:rPr>
        <w:t>（1）工程完工后 60 天内承包人必须向监理单位、发包人提交工程竣工资料；经审核，若竣工资料需要修改的，承包人在接到发包人通知20天内完成修改再报送。工程验收合格后，承包人必须在30天内提供5套完整的竣工资料提交给发包人。工程完工后至提交5套完整的竣工资料的时间按110天计，超过时间要求的，工程结算时每滞后或拖延一天按合同价款万分之四的违约赔偿费，其限额为成交价的5％。</w:t>
      </w:r>
    </w:p>
    <w:p w14:paraId="0EF75D31">
      <w:pPr>
        <w:spacing w:line="360" w:lineRule="exact"/>
        <w:ind w:firstLine="398" w:firstLineChars="189"/>
        <w:rPr>
          <w:rFonts w:hAnsi="宋体"/>
          <w:b/>
          <w:color w:val="auto"/>
          <w:szCs w:val="21"/>
          <w:highlight w:val="none"/>
        </w:rPr>
      </w:pPr>
      <w:r>
        <w:rPr>
          <w:rFonts w:hint="eastAsia" w:hAnsi="宋体"/>
          <w:b/>
          <w:color w:val="auto"/>
          <w:szCs w:val="21"/>
          <w:highlight w:val="none"/>
        </w:rPr>
        <w:t>（2）发包人竣工结算报告审查时间</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580"/>
      </w:tblGrid>
      <w:tr w14:paraId="69F3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ign w:val="center"/>
          </w:tcPr>
          <w:p w14:paraId="7B814FEF">
            <w:pPr>
              <w:spacing w:line="360" w:lineRule="exact"/>
              <w:jc w:val="center"/>
              <w:rPr>
                <w:rFonts w:hAnsi="宋体"/>
                <w:b/>
                <w:color w:val="auto"/>
                <w:szCs w:val="21"/>
                <w:highlight w:val="none"/>
              </w:rPr>
            </w:pPr>
          </w:p>
        </w:tc>
        <w:tc>
          <w:tcPr>
            <w:tcW w:w="2340" w:type="dxa"/>
            <w:noWrap/>
            <w:vAlign w:val="center"/>
          </w:tcPr>
          <w:p w14:paraId="7DA0E62B">
            <w:pPr>
              <w:spacing w:line="360" w:lineRule="exact"/>
              <w:jc w:val="center"/>
              <w:rPr>
                <w:rFonts w:hAnsi="宋体"/>
                <w:b/>
                <w:color w:val="auto"/>
                <w:szCs w:val="21"/>
                <w:highlight w:val="none"/>
              </w:rPr>
            </w:pPr>
            <w:r>
              <w:rPr>
                <w:rFonts w:hint="eastAsia" w:hAnsi="宋体"/>
                <w:color w:val="auto"/>
                <w:szCs w:val="21"/>
                <w:highlight w:val="none"/>
              </w:rPr>
              <w:t>工程竣工结算报告金额</w:t>
            </w:r>
          </w:p>
        </w:tc>
        <w:tc>
          <w:tcPr>
            <w:tcW w:w="5580" w:type="dxa"/>
            <w:noWrap/>
            <w:vAlign w:val="center"/>
          </w:tcPr>
          <w:p w14:paraId="2C90AD61">
            <w:pPr>
              <w:spacing w:line="360" w:lineRule="exact"/>
              <w:jc w:val="center"/>
              <w:rPr>
                <w:rFonts w:hAnsi="宋体"/>
                <w:b/>
                <w:color w:val="auto"/>
                <w:szCs w:val="21"/>
                <w:highlight w:val="none"/>
              </w:rPr>
            </w:pPr>
            <w:r>
              <w:rPr>
                <w:rFonts w:hint="eastAsia" w:hAnsi="宋体"/>
                <w:color w:val="auto"/>
                <w:szCs w:val="21"/>
                <w:highlight w:val="none"/>
              </w:rPr>
              <w:t>发包人审查时间</w:t>
            </w:r>
          </w:p>
        </w:tc>
      </w:tr>
      <w:tr w14:paraId="2C14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ign w:val="center"/>
          </w:tcPr>
          <w:p w14:paraId="6C92C017">
            <w:pPr>
              <w:spacing w:line="360" w:lineRule="exact"/>
              <w:jc w:val="center"/>
              <w:rPr>
                <w:rFonts w:hAnsi="宋体"/>
                <w:b/>
                <w:color w:val="auto"/>
                <w:szCs w:val="21"/>
                <w:highlight w:val="none"/>
              </w:rPr>
            </w:pPr>
            <w:r>
              <w:rPr>
                <w:rFonts w:hint="eastAsia" w:hAnsi="宋体"/>
                <w:b/>
                <w:color w:val="auto"/>
                <w:szCs w:val="21"/>
                <w:highlight w:val="none"/>
              </w:rPr>
              <w:t>1</w:t>
            </w:r>
          </w:p>
        </w:tc>
        <w:tc>
          <w:tcPr>
            <w:tcW w:w="2340" w:type="dxa"/>
            <w:noWrap/>
            <w:vAlign w:val="center"/>
          </w:tcPr>
          <w:p w14:paraId="710F3E87">
            <w:pPr>
              <w:spacing w:line="360" w:lineRule="exact"/>
              <w:rPr>
                <w:rFonts w:hAnsi="宋体"/>
                <w:b/>
                <w:color w:val="auto"/>
                <w:szCs w:val="21"/>
                <w:highlight w:val="none"/>
              </w:rPr>
            </w:pPr>
            <w:r>
              <w:rPr>
                <w:rFonts w:hint="eastAsia" w:hAnsi="宋体"/>
                <w:color w:val="auto"/>
                <w:szCs w:val="21"/>
                <w:highlight w:val="none"/>
              </w:rPr>
              <w:t>500万元以下</w:t>
            </w:r>
          </w:p>
        </w:tc>
        <w:tc>
          <w:tcPr>
            <w:tcW w:w="5580" w:type="dxa"/>
            <w:noWrap/>
            <w:vAlign w:val="center"/>
          </w:tcPr>
          <w:p w14:paraId="2788FC2F">
            <w:pPr>
              <w:spacing w:line="360" w:lineRule="exact"/>
              <w:jc w:val="center"/>
              <w:rPr>
                <w:rFonts w:hAnsi="宋体"/>
                <w:b/>
                <w:color w:val="auto"/>
                <w:szCs w:val="21"/>
                <w:highlight w:val="none"/>
              </w:rPr>
            </w:pPr>
            <w:r>
              <w:rPr>
                <w:rFonts w:hint="eastAsia" w:hAnsi="宋体"/>
                <w:color w:val="auto"/>
                <w:szCs w:val="21"/>
                <w:highlight w:val="none"/>
              </w:rPr>
              <w:t>从接到竣工结算报告和完整的竣工结算资料之日起20天</w:t>
            </w:r>
          </w:p>
        </w:tc>
      </w:tr>
      <w:tr w14:paraId="07A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ign w:val="center"/>
          </w:tcPr>
          <w:p w14:paraId="74B73259">
            <w:pPr>
              <w:spacing w:line="360" w:lineRule="exact"/>
              <w:jc w:val="center"/>
              <w:rPr>
                <w:rFonts w:hAnsi="宋体"/>
                <w:b/>
                <w:color w:val="auto"/>
                <w:szCs w:val="21"/>
                <w:highlight w:val="none"/>
              </w:rPr>
            </w:pPr>
            <w:r>
              <w:rPr>
                <w:rFonts w:hint="eastAsia" w:hAnsi="宋体"/>
                <w:b/>
                <w:color w:val="auto"/>
                <w:szCs w:val="21"/>
                <w:highlight w:val="none"/>
              </w:rPr>
              <w:t>2</w:t>
            </w:r>
          </w:p>
        </w:tc>
        <w:tc>
          <w:tcPr>
            <w:tcW w:w="2340" w:type="dxa"/>
            <w:noWrap/>
            <w:vAlign w:val="center"/>
          </w:tcPr>
          <w:p w14:paraId="3CB6342B">
            <w:pPr>
              <w:spacing w:line="360" w:lineRule="exact"/>
              <w:jc w:val="center"/>
              <w:rPr>
                <w:rFonts w:hAnsi="宋体"/>
                <w:b/>
                <w:color w:val="auto"/>
                <w:szCs w:val="21"/>
                <w:highlight w:val="none"/>
              </w:rPr>
            </w:pPr>
            <w:r>
              <w:rPr>
                <w:rFonts w:hint="eastAsia" w:hAnsi="宋体"/>
                <w:color w:val="auto"/>
                <w:szCs w:val="21"/>
                <w:highlight w:val="none"/>
              </w:rPr>
              <w:t>500万元一2000万元</w:t>
            </w:r>
          </w:p>
        </w:tc>
        <w:tc>
          <w:tcPr>
            <w:tcW w:w="5580" w:type="dxa"/>
            <w:noWrap/>
            <w:vAlign w:val="center"/>
          </w:tcPr>
          <w:p w14:paraId="35AEBF55">
            <w:pPr>
              <w:spacing w:line="360" w:lineRule="exact"/>
              <w:jc w:val="center"/>
              <w:rPr>
                <w:rFonts w:hAnsi="宋体"/>
                <w:b/>
                <w:color w:val="auto"/>
                <w:szCs w:val="21"/>
                <w:highlight w:val="none"/>
              </w:rPr>
            </w:pPr>
            <w:r>
              <w:rPr>
                <w:rFonts w:hint="eastAsia" w:hAnsi="宋体"/>
                <w:color w:val="auto"/>
                <w:szCs w:val="21"/>
                <w:highlight w:val="none"/>
              </w:rPr>
              <w:t>从接到竣工结算报告和完整的竣工结算资料之日起30天</w:t>
            </w:r>
          </w:p>
        </w:tc>
      </w:tr>
      <w:tr w14:paraId="62B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ign w:val="center"/>
          </w:tcPr>
          <w:p w14:paraId="1B06DA74">
            <w:pPr>
              <w:spacing w:line="360" w:lineRule="exact"/>
              <w:jc w:val="center"/>
              <w:rPr>
                <w:rFonts w:hAnsi="宋体"/>
                <w:b/>
                <w:color w:val="auto"/>
                <w:szCs w:val="21"/>
                <w:highlight w:val="none"/>
              </w:rPr>
            </w:pPr>
            <w:r>
              <w:rPr>
                <w:rFonts w:hint="eastAsia" w:hAnsi="宋体"/>
                <w:b/>
                <w:color w:val="auto"/>
                <w:szCs w:val="21"/>
                <w:highlight w:val="none"/>
              </w:rPr>
              <w:t>3</w:t>
            </w:r>
          </w:p>
        </w:tc>
        <w:tc>
          <w:tcPr>
            <w:tcW w:w="2340" w:type="dxa"/>
            <w:noWrap/>
            <w:vAlign w:val="center"/>
          </w:tcPr>
          <w:p w14:paraId="31433DF9">
            <w:pPr>
              <w:spacing w:line="360" w:lineRule="exact"/>
              <w:jc w:val="center"/>
              <w:rPr>
                <w:rFonts w:hAnsi="宋体"/>
                <w:b/>
                <w:color w:val="auto"/>
                <w:szCs w:val="21"/>
                <w:highlight w:val="none"/>
              </w:rPr>
            </w:pPr>
            <w:r>
              <w:rPr>
                <w:rFonts w:hint="eastAsia" w:hAnsi="宋体"/>
                <w:color w:val="auto"/>
                <w:szCs w:val="21"/>
                <w:highlight w:val="none"/>
              </w:rPr>
              <w:t>2000万元一5000万元</w:t>
            </w:r>
          </w:p>
        </w:tc>
        <w:tc>
          <w:tcPr>
            <w:tcW w:w="5580" w:type="dxa"/>
            <w:noWrap/>
            <w:vAlign w:val="center"/>
          </w:tcPr>
          <w:p w14:paraId="448C6C88">
            <w:pPr>
              <w:spacing w:line="360" w:lineRule="exact"/>
              <w:jc w:val="center"/>
              <w:rPr>
                <w:rFonts w:hAnsi="宋体"/>
                <w:b/>
                <w:color w:val="auto"/>
                <w:szCs w:val="21"/>
                <w:highlight w:val="none"/>
              </w:rPr>
            </w:pPr>
            <w:r>
              <w:rPr>
                <w:rFonts w:hint="eastAsia" w:hAnsi="宋体"/>
                <w:color w:val="auto"/>
                <w:szCs w:val="21"/>
                <w:highlight w:val="none"/>
              </w:rPr>
              <w:t>从接到竣工结算报告和完整的竣工结算资料之日起45天</w:t>
            </w:r>
          </w:p>
        </w:tc>
      </w:tr>
      <w:tr w14:paraId="4486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ign w:val="center"/>
          </w:tcPr>
          <w:p w14:paraId="220EC643">
            <w:pPr>
              <w:spacing w:line="360" w:lineRule="exact"/>
              <w:jc w:val="center"/>
              <w:rPr>
                <w:rFonts w:hAnsi="宋体"/>
                <w:b/>
                <w:color w:val="auto"/>
                <w:szCs w:val="21"/>
                <w:highlight w:val="none"/>
              </w:rPr>
            </w:pPr>
            <w:r>
              <w:rPr>
                <w:rFonts w:hint="eastAsia" w:hAnsi="宋体"/>
                <w:b/>
                <w:color w:val="auto"/>
                <w:szCs w:val="21"/>
                <w:highlight w:val="none"/>
              </w:rPr>
              <w:t>4</w:t>
            </w:r>
          </w:p>
        </w:tc>
        <w:tc>
          <w:tcPr>
            <w:tcW w:w="2340" w:type="dxa"/>
            <w:noWrap/>
            <w:vAlign w:val="center"/>
          </w:tcPr>
          <w:p w14:paraId="16887AEC">
            <w:pPr>
              <w:spacing w:line="360" w:lineRule="exact"/>
              <w:rPr>
                <w:rFonts w:hAnsi="宋体"/>
                <w:b/>
                <w:color w:val="auto"/>
                <w:szCs w:val="21"/>
                <w:highlight w:val="none"/>
              </w:rPr>
            </w:pPr>
            <w:r>
              <w:rPr>
                <w:rFonts w:hint="eastAsia" w:hAnsi="宋体"/>
                <w:color w:val="auto"/>
                <w:szCs w:val="21"/>
                <w:highlight w:val="none"/>
              </w:rPr>
              <w:t>5000万元以上</w:t>
            </w:r>
          </w:p>
        </w:tc>
        <w:tc>
          <w:tcPr>
            <w:tcW w:w="5580" w:type="dxa"/>
            <w:noWrap/>
            <w:vAlign w:val="center"/>
          </w:tcPr>
          <w:p w14:paraId="4EB2EE08">
            <w:pPr>
              <w:spacing w:line="360" w:lineRule="exact"/>
              <w:jc w:val="center"/>
              <w:rPr>
                <w:rFonts w:hAnsi="宋体"/>
                <w:b/>
                <w:color w:val="auto"/>
                <w:szCs w:val="21"/>
                <w:highlight w:val="none"/>
              </w:rPr>
            </w:pPr>
            <w:r>
              <w:rPr>
                <w:rFonts w:hint="eastAsia" w:hAnsi="宋体"/>
                <w:color w:val="auto"/>
                <w:szCs w:val="21"/>
                <w:highlight w:val="none"/>
              </w:rPr>
              <w:t>从接到竣工结算报告和完整的竣工结算资料之日起60天</w:t>
            </w:r>
          </w:p>
        </w:tc>
      </w:tr>
    </w:tbl>
    <w:p w14:paraId="406DC479">
      <w:pPr>
        <w:spacing w:line="360" w:lineRule="exact"/>
        <w:rPr>
          <w:rFonts w:hAnsi="宋体"/>
          <w:b/>
          <w:color w:val="auto"/>
          <w:szCs w:val="21"/>
          <w:highlight w:val="none"/>
        </w:rPr>
      </w:pPr>
    </w:p>
    <w:p w14:paraId="266F6E4A">
      <w:pPr>
        <w:spacing w:line="360" w:lineRule="exact"/>
        <w:ind w:firstLine="422" w:firstLineChars="200"/>
        <w:rPr>
          <w:rFonts w:hAnsi="宋体"/>
          <w:b/>
          <w:color w:val="auto"/>
          <w:szCs w:val="21"/>
          <w:highlight w:val="none"/>
        </w:rPr>
      </w:pPr>
      <w:r>
        <w:rPr>
          <w:rFonts w:hint="eastAsia" w:hAnsi="宋体"/>
          <w:b/>
          <w:color w:val="auto"/>
          <w:szCs w:val="21"/>
          <w:highlight w:val="none"/>
        </w:rPr>
        <w:t>因承包人提供的结算资料不完整而需要补充或承包人不按时对账耽误时间时，审查时间应相应顺延。工程竣工结算报告经发包人核对无误后，送钦南区财政局审定，最终审定时间根据实际审查时间顺延。</w:t>
      </w:r>
    </w:p>
    <w:p w14:paraId="18B07A7C">
      <w:pPr>
        <w:spacing w:line="360" w:lineRule="exact"/>
        <w:ind w:firstLine="443" w:firstLineChars="210"/>
        <w:rPr>
          <w:rFonts w:hAnsi="宋体"/>
          <w:b/>
          <w:color w:val="auto"/>
          <w:szCs w:val="21"/>
          <w:highlight w:val="none"/>
        </w:rPr>
      </w:pPr>
      <w:r>
        <w:rPr>
          <w:rFonts w:hint="eastAsia" w:hAnsi="宋体"/>
          <w:b/>
          <w:color w:val="auto"/>
          <w:szCs w:val="21"/>
          <w:highlight w:val="none"/>
        </w:rPr>
        <w:t xml:space="preserve">  其余按通用条款第33.1、33.5、33.6条执行。</w:t>
      </w:r>
    </w:p>
    <w:p w14:paraId="1C480BC0">
      <w:pPr>
        <w:spacing w:line="360" w:lineRule="exact"/>
        <w:rPr>
          <w:rFonts w:hAnsi="宋体"/>
          <w:b/>
          <w:color w:val="auto"/>
          <w:szCs w:val="21"/>
          <w:highlight w:val="none"/>
        </w:rPr>
      </w:pPr>
      <w:r>
        <w:rPr>
          <w:rFonts w:hint="eastAsia" w:hAnsi="宋体"/>
          <w:b/>
          <w:color w:val="auto"/>
          <w:szCs w:val="21"/>
          <w:highlight w:val="none"/>
        </w:rPr>
        <w:t>九、违约、索赔和争议</w:t>
      </w:r>
    </w:p>
    <w:p w14:paraId="6AE264B5">
      <w:pPr>
        <w:spacing w:line="360" w:lineRule="exact"/>
        <w:ind w:firstLine="472" w:firstLineChars="224"/>
        <w:rPr>
          <w:rFonts w:hAnsi="宋体"/>
          <w:b/>
          <w:color w:val="auto"/>
          <w:szCs w:val="21"/>
          <w:highlight w:val="none"/>
        </w:rPr>
      </w:pPr>
      <w:r>
        <w:rPr>
          <w:rFonts w:hint="eastAsia" w:hAnsi="宋体"/>
          <w:b/>
          <w:color w:val="auto"/>
          <w:szCs w:val="21"/>
          <w:highlight w:val="none"/>
        </w:rPr>
        <w:t xml:space="preserve">  35．违约</w:t>
      </w:r>
    </w:p>
    <w:p w14:paraId="2DA340B2">
      <w:pPr>
        <w:spacing w:line="360" w:lineRule="exact"/>
        <w:ind w:firstLine="504" w:firstLineChars="239"/>
        <w:rPr>
          <w:rFonts w:hAnsi="宋体"/>
          <w:b/>
          <w:color w:val="auto"/>
          <w:szCs w:val="21"/>
          <w:highlight w:val="none"/>
        </w:rPr>
      </w:pPr>
      <w:r>
        <w:rPr>
          <w:rFonts w:hint="eastAsia" w:hAnsi="宋体"/>
          <w:b/>
          <w:color w:val="auto"/>
          <w:szCs w:val="21"/>
          <w:highlight w:val="none"/>
        </w:rPr>
        <w:t xml:space="preserve">  35.1本合同中关于发包人违约的具体责任如下：</w:t>
      </w:r>
    </w:p>
    <w:p w14:paraId="276730F9">
      <w:pPr>
        <w:spacing w:line="360" w:lineRule="exact"/>
        <w:ind w:firstLine="428" w:firstLineChars="203"/>
        <w:rPr>
          <w:rFonts w:hAnsi="宋体"/>
          <w:b/>
          <w:color w:val="auto"/>
          <w:szCs w:val="21"/>
          <w:highlight w:val="none"/>
          <w:u w:val="single"/>
        </w:rPr>
      </w:pPr>
      <w:r>
        <w:rPr>
          <w:rFonts w:hint="eastAsia" w:hAnsi="宋体"/>
          <w:b/>
          <w:color w:val="auto"/>
          <w:szCs w:val="21"/>
          <w:highlight w:val="none"/>
        </w:rPr>
        <w:t xml:space="preserve">  *本合同通用条款第24条约定发包人违约应承担的违约责任：</w:t>
      </w:r>
      <w:r>
        <w:rPr>
          <w:rFonts w:hint="eastAsia" w:hAnsi="宋体"/>
          <w:b/>
          <w:color w:val="auto"/>
          <w:szCs w:val="21"/>
          <w:highlight w:val="none"/>
          <w:u w:val="single"/>
        </w:rPr>
        <w:t xml:space="preserve">  无  </w:t>
      </w:r>
      <w:r>
        <w:rPr>
          <w:rFonts w:hint="eastAsia" w:hAnsi="宋体"/>
          <w:b/>
          <w:color w:val="auto"/>
          <w:szCs w:val="21"/>
          <w:highlight w:val="none"/>
        </w:rPr>
        <w:t>。</w:t>
      </w:r>
    </w:p>
    <w:p w14:paraId="022011A9">
      <w:pPr>
        <w:spacing w:line="360" w:lineRule="exact"/>
        <w:ind w:firstLine="443" w:firstLineChars="210"/>
        <w:rPr>
          <w:rFonts w:hAnsi="宋体"/>
          <w:b/>
          <w:color w:val="auto"/>
          <w:szCs w:val="21"/>
          <w:highlight w:val="none"/>
        </w:rPr>
      </w:pPr>
      <w:r>
        <w:rPr>
          <w:rFonts w:hint="eastAsia" w:hAnsi="宋体"/>
          <w:b/>
          <w:color w:val="auto"/>
          <w:szCs w:val="21"/>
          <w:highlight w:val="none"/>
        </w:rPr>
        <w:t xml:space="preserve">  *本合同通用条款第26.4款约定发包人违约应承担的违约责任：</w:t>
      </w:r>
      <w:r>
        <w:rPr>
          <w:rFonts w:hint="eastAsia" w:hAnsi="宋体"/>
          <w:b/>
          <w:color w:val="auto"/>
          <w:szCs w:val="21"/>
          <w:highlight w:val="none"/>
          <w:u w:val="single"/>
        </w:rPr>
        <w:t xml:space="preserve">承包人与发包人签订延期付款协议，延期付款协议须经财政部门认可 </w:t>
      </w:r>
      <w:r>
        <w:rPr>
          <w:rFonts w:hint="eastAsia" w:hAnsi="宋体"/>
          <w:b/>
          <w:color w:val="auto"/>
          <w:szCs w:val="21"/>
          <w:highlight w:val="none"/>
        </w:rPr>
        <w:t>。</w:t>
      </w:r>
    </w:p>
    <w:p w14:paraId="56A201A2">
      <w:pPr>
        <w:spacing w:line="360" w:lineRule="exact"/>
        <w:ind w:firstLine="533" w:firstLineChars="253"/>
        <w:rPr>
          <w:rFonts w:hAnsi="宋体"/>
          <w:color w:val="auto"/>
          <w:szCs w:val="21"/>
          <w:highlight w:val="none"/>
          <w:u w:val="single"/>
        </w:rPr>
      </w:pPr>
      <w:r>
        <w:rPr>
          <w:rFonts w:hint="eastAsia" w:hAnsi="宋体"/>
          <w:b/>
          <w:bCs/>
          <w:color w:val="auto"/>
          <w:szCs w:val="21"/>
          <w:highlight w:val="none"/>
        </w:rPr>
        <w:t>双方约定的发包人其他违约责任</w:t>
      </w:r>
      <w:r>
        <w:rPr>
          <w:rFonts w:hint="eastAsia" w:hAnsi="宋体"/>
          <w:color w:val="auto"/>
          <w:szCs w:val="21"/>
          <w:highlight w:val="none"/>
        </w:rPr>
        <w:t>：。</w:t>
      </w:r>
    </w:p>
    <w:p w14:paraId="107B07D6">
      <w:pPr>
        <w:spacing w:line="360" w:lineRule="exact"/>
        <w:ind w:firstLine="337" w:firstLineChars="160"/>
        <w:rPr>
          <w:rFonts w:hAnsi="宋体"/>
          <w:b/>
          <w:color w:val="auto"/>
          <w:szCs w:val="21"/>
          <w:highlight w:val="none"/>
        </w:rPr>
      </w:pPr>
      <w:r>
        <w:rPr>
          <w:rFonts w:hint="eastAsia" w:hAnsi="宋体"/>
          <w:b/>
          <w:color w:val="auto"/>
          <w:szCs w:val="21"/>
          <w:highlight w:val="none"/>
        </w:rPr>
        <w:t>35.2本合同中关于承包人违约的具体责任如下：</w:t>
      </w:r>
    </w:p>
    <w:p w14:paraId="17CB8628">
      <w:pPr>
        <w:spacing w:line="360" w:lineRule="exact"/>
        <w:ind w:firstLine="369" w:firstLineChars="175"/>
        <w:rPr>
          <w:rFonts w:hAnsi="宋体"/>
          <w:b/>
          <w:color w:val="auto"/>
          <w:szCs w:val="21"/>
          <w:highlight w:val="none"/>
        </w:rPr>
      </w:pPr>
      <w:r>
        <w:rPr>
          <w:rFonts w:hint="eastAsia" w:hAnsi="宋体"/>
          <w:b/>
          <w:color w:val="auto"/>
          <w:szCs w:val="21"/>
          <w:highlight w:val="none"/>
        </w:rPr>
        <w:t xml:space="preserve"> *35.2.1本合同通用条款第14.2款约定承包人违约应承担的违约责任：承包人每延误一天，按合同价款万分之四的违约赔偿费，其限额为成交价的5％。延误天数按本专用条款第13.3条计算。</w:t>
      </w:r>
    </w:p>
    <w:p w14:paraId="45B5ADD8">
      <w:pPr>
        <w:spacing w:line="360" w:lineRule="exact"/>
        <w:ind w:firstLine="382" w:firstLineChars="181"/>
        <w:rPr>
          <w:rFonts w:hAnsi="宋体"/>
          <w:b/>
          <w:color w:val="auto"/>
          <w:szCs w:val="21"/>
          <w:highlight w:val="none"/>
        </w:rPr>
      </w:pPr>
      <w:r>
        <w:rPr>
          <w:rFonts w:hint="eastAsia" w:hAnsi="宋体"/>
          <w:b/>
          <w:color w:val="auto"/>
          <w:szCs w:val="21"/>
          <w:highlight w:val="none"/>
        </w:rPr>
        <w:t xml:space="preserve"> *35.2.2承包人未按本合同通用条款第15.1条内容完成：承包人无条件返工处理，修复至工程质量要求并承担相关费用，并在发包人规定的时间内完成返工，否则，发包人有权扣罚该分项工程10％的工程款作为处罚。</w:t>
      </w:r>
    </w:p>
    <w:p w14:paraId="1F9C1F62">
      <w:pPr>
        <w:spacing w:line="360" w:lineRule="exact"/>
        <w:ind w:firstLine="352" w:firstLineChars="167"/>
        <w:rPr>
          <w:rFonts w:hAnsi="宋体"/>
          <w:color w:val="auto"/>
          <w:szCs w:val="21"/>
          <w:highlight w:val="none"/>
          <w:u w:val="single"/>
        </w:rPr>
      </w:pPr>
      <w:r>
        <w:rPr>
          <w:rFonts w:hint="eastAsia" w:hAnsi="宋体"/>
          <w:b/>
          <w:bCs/>
          <w:color w:val="auto"/>
          <w:szCs w:val="21"/>
          <w:highlight w:val="none"/>
        </w:rPr>
        <w:t xml:space="preserve"> 双方约定的承包人其他违约责任：</w:t>
      </w:r>
      <w:r>
        <w:rPr>
          <w:rFonts w:hint="eastAsia" w:hAnsi="宋体"/>
          <w:color w:val="auto"/>
          <w:szCs w:val="21"/>
          <w:highlight w:val="none"/>
        </w:rPr>
        <w:t>。</w:t>
      </w:r>
    </w:p>
    <w:p w14:paraId="3626EF26">
      <w:pPr>
        <w:spacing w:line="360" w:lineRule="exact"/>
        <w:ind w:firstLine="261" w:firstLineChars="124"/>
        <w:rPr>
          <w:rFonts w:hAnsi="宋体"/>
          <w:b/>
          <w:color w:val="auto"/>
          <w:szCs w:val="21"/>
          <w:highlight w:val="none"/>
        </w:rPr>
      </w:pPr>
      <w:r>
        <w:rPr>
          <w:rFonts w:hint="eastAsia" w:hAnsi="宋体"/>
          <w:b/>
          <w:color w:val="auto"/>
          <w:szCs w:val="21"/>
          <w:highlight w:val="none"/>
        </w:rPr>
        <w:t>35.2.3承包人如违反了以下情况之一者，发包人有权解除合同，并没收其全部履约保证金。</w:t>
      </w:r>
    </w:p>
    <w:p w14:paraId="6F6E0057">
      <w:pPr>
        <w:spacing w:line="360" w:lineRule="exact"/>
        <w:ind w:firstLine="232" w:firstLineChars="110"/>
        <w:rPr>
          <w:rFonts w:hAnsi="宋体"/>
          <w:b/>
          <w:color w:val="auto"/>
          <w:szCs w:val="21"/>
          <w:highlight w:val="none"/>
        </w:rPr>
      </w:pPr>
      <w:r>
        <w:rPr>
          <w:rFonts w:hint="eastAsia" w:hAnsi="宋体"/>
          <w:b/>
          <w:color w:val="auto"/>
          <w:szCs w:val="21"/>
          <w:highlight w:val="none"/>
        </w:rPr>
        <w:t xml:space="preserve">  1)承包人无正当理由不按开工通知的要求及时进点组织施工和不按签订协议书时商定的进度计划有效地开展施工准备，造成工期延误。</w:t>
      </w:r>
    </w:p>
    <w:p w14:paraId="0E96EBD4">
      <w:pPr>
        <w:spacing w:line="360" w:lineRule="exact"/>
        <w:ind w:firstLine="278" w:firstLineChars="132"/>
        <w:rPr>
          <w:rFonts w:hAnsi="宋体"/>
          <w:b/>
          <w:color w:val="auto"/>
          <w:szCs w:val="21"/>
          <w:highlight w:val="none"/>
        </w:rPr>
      </w:pPr>
      <w:r>
        <w:rPr>
          <w:rFonts w:hint="eastAsia" w:hAnsi="宋体"/>
          <w:b/>
          <w:color w:val="auto"/>
          <w:szCs w:val="21"/>
          <w:highlight w:val="none"/>
        </w:rPr>
        <w:t xml:space="preserve">  2)承包人违反第38.1条规定私自将合同或合同的任何部分或任何权利转让给其他人，或私自将工程或工程的一部分分包出去。</w:t>
      </w:r>
    </w:p>
    <w:p w14:paraId="70640AF9">
      <w:pPr>
        <w:spacing w:line="360" w:lineRule="exact"/>
        <w:ind w:firstLine="308" w:firstLineChars="146"/>
        <w:rPr>
          <w:rFonts w:hAnsi="宋体"/>
          <w:b/>
          <w:color w:val="auto"/>
          <w:szCs w:val="21"/>
          <w:highlight w:val="none"/>
        </w:rPr>
      </w:pPr>
      <w:r>
        <w:rPr>
          <w:rFonts w:hint="eastAsia" w:hAnsi="宋体"/>
          <w:b/>
          <w:color w:val="auto"/>
          <w:szCs w:val="21"/>
          <w:highlight w:val="none"/>
        </w:rPr>
        <w:t xml:space="preserve">  3)未经监理人批准，承包人私自将已按竞标书承诺进入工地的工程设备、施工设备、临时工程或材料撤离工地。</w:t>
      </w:r>
    </w:p>
    <w:p w14:paraId="5B63A00E">
      <w:pPr>
        <w:spacing w:line="360" w:lineRule="exact"/>
        <w:ind w:firstLine="232" w:firstLineChars="110"/>
        <w:rPr>
          <w:rFonts w:hAnsi="宋体"/>
          <w:b/>
          <w:color w:val="auto"/>
          <w:szCs w:val="21"/>
          <w:highlight w:val="none"/>
        </w:rPr>
      </w:pPr>
      <w:r>
        <w:rPr>
          <w:rFonts w:hint="eastAsia" w:hAnsi="宋体"/>
          <w:b/>
          <w:color w:val="auto"/>
          <w:szCs w:val="21"/>
          <w:highlight w:val="none"/>
        </w:rPr>
        <w:t xml:space="preserve">  4)由于承包人原因拒绝按合同进度计划及时完成合同规定的工程，而又未采取有效措施赶上进度，造成工期延误。</w:t>
      </w:r>
    </w:p>
    <w:p w14:paraId="2290182D">
      <w:pPr>
        <w:spacing w:line="360" w:lineRule="exact"/>
        <w:ind w:firstLine="249" w:firstLineChars="118"/>
        <w:rPr>
          <w:rFonts w:hAnsi="宋体"/>
          <w:b/>
          <w:color w:val="auto"/>
          <w:szCs w:val="21"/>
          <w:highlight w:val="none"/>
        </w:rPr>
      </w:pPr>
      <w:r>
        <w:rPr>
          <w:rFonts w:hint="eastAsia" w:hAnsi="宋体"/>
          <w:b/>
          <w:color w:val="auto"/>
          <w:szCs w:val="21"/>
          <w:highlight w:val="none"/>
        </w:rPr>
        <w:t xml:space="preserve">  5)承包人否认合同有效或拒绝履行合同规定的承包人义务，或由于法律、财务等原因导致承包人无法继续履行或实质上已停止履行合同的义务。</w:t>
      </w:r>
    </w:p>
    <w:p w14:paraId="3452C90B">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35.2.4承包人在保修期内拒绝按通用条款第34.1条的规定进行修复，或经监理人检验认为修复质量不合格而承包人拒绝再进行修补的，发包人将扣除承包人全部质量保修金。</w:t>
      </w:r>
    </w:p>
    <w:p w14:paraId="1C58DDC2">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35.2.5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入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5584212B">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负责人1.5万元／人·次(人民币，下同)；总工程师1万元／人·次；专业工程师0.5万元／人·次。</w:t>
      </w:r>
    </w:p>
    <w:p w14:paraId="564A4A51">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2)发包人有权检查承包人的人员到岗情况，如发现未经发包人同意或正当理由，项目负责人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69FECEC">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3)未经监理工程师审查批准，施工期内自行调走主要施工机械，经发现不及时调回的，视为承包人违约，发包人有权处违约金为履约保证金金额的10％一50％(视情节严重而定)。</w:t>
      </w:r>
    </w:p>
    <w:p w14:paraId="44189C46">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35.2.6承包人有违反其他规定的，按规定给予处罚。</w:t>
      </w:r>
    </w:p>
    <w:p w14:paraId="455F0CB5">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37．争议</w:t>
      </w:r>
    </w:p>
    <w:p w14:paraId="6D0B4F6B">
      <w:pPr>
        <w:spacing w:line="360" w:lineRule="exact"/>
        <w:ind w:firstLine="321" w:firstLineChars="153"/>
        <w:rPr>
          <w:rFonts w:hAnsi="宋体"/>
          <w:color w:val="auto"/>
          <w:szCs w:val="21"/>
          <w:highlight w:val="none"/>
        </w:rPr>
      </w:pPr>
      <w:r>
        <w:rPr>
          <w:rFonts w:hint="eastAsia" w:hAnsi="宋体"/>
          <w:color w:val="auto"/>
          <w:szCs w:val="21"/>
          <w:highlight w:val="none"/>
        </w:rPr>
        <w:t xml:space="preserve">  37.1双方约定，在履行合同过程中产生争议时：</w:t>
      </w:r>
    </w:p>
    <w:p w14:paraId="328CE999">
      <w:pPr>
        <w:spacing w:line="360" w:lineRule="exact"/>
        <w:ind w:firstLine="291" w:firstLineChars="139"/>
        <w:rPr>
          <w:rFonts w:hAnsi="宋体"/>
          <w:color w:val="auto"/>
          <w:szCs w:val="21"/>
          <w:highlight w:val="none"/>
        </w:rPr>
      </w:pPr>
      <w:r>
        <w:rPr>
          <w:rFonts w:hint="eastAsia" w:hAnsi="宋体"/>
          <w:color w:val="auto"/>
          <w:szCs w:val="21"/>
          <w:highlight w:val="none"/>
        </w:rPr>
        <w:t xml:space="preserve">  (1)由</w:t>
      </w:r>
      <w:r>
        <w:rPr>
          <w:rFonts w:hint="eastAsia" w:hAnsi="宋体"/>
          <w:color w:val="auto"/>
          <w:szCs w:val="21"/>
          <w:highlight w:val="none"/>
          <w:u w:val="single"/>
        </w:rPr>
        <w:t>双方协商</w:t>
      </w:r>
      <w:r>
        <w:rPr>
          <w:rFonts w:hint="eastAsia" w:hAnsi="宋体"/>
          <w:color w:val="auto"/>
          <w:szCs w:val="21"/>
          <w:highlight w:val="none"/>
        </w:rPr>
        <w:t>调解；</w:t>
      </w:r>
    </w:p>
    <w:p w14:paraId="0D243DAC">
      <w:pPr>
        <w:spacing w:line="360" w:lineRule="exact"/>
        <w:ind w:firstLine="247" w:firstLineChars="118"/>
        <w:rPr>
          <w:rFonts w:hAnsi="宋体"/>
          <w:color w:val="auto"/>
          <w:szCs w:val="21"/>
          <w:highlight w:val="none"/>
        </w:rPr>
      </w:pPr>
      <w:r>
        <w:rPr>
          <w:rFonts w:hint="eastAsia" w:hAnsi="宋体"/>
          <w:color w:val="auto"/>
          <w:szCs w:val="21"/>
          <w:highlight w:val="none"/>
        </w:rPr>
        <w:t xml:space="preserve">  (2)向</w:t>
      </w:r>
      <w:r>
        <w:rPr>
          <w:rFonts w:hint="eastAsia" w:hAnsi="宋体"/>
          <w:color w:val="auto"/>
          <w:szCs w:val="21"/>
          <w:highlight w:val="none"/>
          <w:u w:val="single"/>
        </w:rPr>
        <w:t>钦州市仲裁委员会</w:t>
      </w:r>
      <w:r>
        <w:rPr>
          <w:rFonts w:hint="eastAsia" w:hAnsi="宋体"/>
          <w:color w:val="auto"/>
          <w:szCs w:val="21"/>
          <w:highlight w:val="none"/>
        </w:rPr>
        <w:t>提起仲裁。</w:t>
      </w:r>
    </w:p>
    <w:p w14:paraId="4F42FC1F">
      <w:pPr>
        <w:spacing w:line="360" w:lineRule="exact"/>
        <w:ind w:firstLine="249" w:firstLineChars="118"/>
        <w:rPr>
          <w:rFonts w:hAnsi="宋体"/>
          <w:b/>
          <w:color w:val="auto"/>
          <w:szCs w:val="21"/>
          <w:highlight w:val="none"/>
        </w:rPr>
      </w:pPr>
      <w:r>
        <w:rPr>
          <w:rFonts w:hint="eastAsia" w:hAnsi="宋体"/>
          <w:b/>
          <w:color w:val="auto"/>
          <w:szCs w:val="21"/>
          <w:highlight w:val="none"/>
        </w:rPr>
        <w:t>十、其他</w:t>
      </w:r>
    </w:p>
    <w:p w14:paraId="3DCE2AFA">
      <w:pPr>
        <w:spacing w:line="360" w:lineRule="exact"/>
        <w:ind w:firstLine="323" w:firstLineChars="153"/>
        <w:rPr>
          <w:rFonts w:hAnsi="宋体"/>
          <w:b/>
          <w:color w:val="auto"/>
          <w:szCs w:val="21"/>
          <w:highlight w:val="none"/>
        </w:rPr>
      </w:pPr>
      <w:r>
        <w:rPr>
          <w:rFonts w:hint="eastAsia" w:hAnsi="宋体"/>
          <w:b/>
          <w:color w:val="auto"/>
          <w:szCs w:val="21"/>
          <w:highlight w:val="none"/>
        </w:rPr>
        <w:t xml:space="preserve">  38．工程分包</w:t>
      </w:r>
    </w:p>
    <w:p w14:paraId="66EAABEE">
      <w:pPr>
        <w:spacing w:line="360" w:lineRule="exact"/>
        <w:ind w:firstLine="336" w:firstLineChars="160"/>
        <w:rPr>
          <w:rFonts w:hAnsi="宋体"/>
          <w:color w:val="auto"/>
          <w:szCs w:val="21"/>
          <w:highlight w:val="none"/>
        </w:rPr>
      </w:pPr>
      <w:r>
        <w:rPr>
          <w:rFonts w:hint="eastAsia" w:hAnsi="宋体"/>
          <w:color w:val="auto"/>
          <w:szCs w:val="21"/>
          <w:highlight w:val="none"/>
        </w:rPr>
        <w:t xml:space="preserve">  38.1本工程不允许分包。</w:t>
      </w:r>
    </w:p>
    <w:p w14:paraId="451FE5B9">
      <w:pPr>
        <w:spacing w:line="360" w:lineRule="exact"/>
        <w:ind w:firstLine="350" w:firstLineChars="167"/>
        <w:rPr>
          <w:rFonts w:hAnsi="宋体"/>
          <w:color w:val="auto"/>
          <w:szCs w:val="21"/>
          <w:highlight w:val="none"/>
        </w:rPr>
      </w:pPr>
      <w:r>
        <w:rPr>
          <w:rFonts w:hint="eastAsia" w:hAnsi="宋体"/>
          <w:color w:val="auto"/>
          <w:szCs w:val="21"/>
          <w:highlight w:val="none"/>
        </w:rPr>
        <w:t xml:space="preserve">  38.2承包人有以下情况之一者，发包人有权解除合同，并视情况扣除其履约保证金。</w:t>
      </w:r>
    </w:p>
    <w:p w14:paraId="16A772BB">
      <w:pPr>
        <w:spacing w:line="360" w:lineRule="exact"/>
        <w:ind w:firstLine="336" w:firstLineChars="160"/>
        <w:rPr>
          <w:rFonts w:hAnsi="宋体"/>
          <w:color w:val="auto"/>
          <w:szCs w:val="21"/>
          <w:highlight w:val="none"/>
        </w:rPr>
      </w:pPr>
      <w:r>
        <w:rPr>
          <w:rFonts w:hint="eastAsia" w:hAnsi="宋体"/>
          <w:color w:val="auto"/>
          <w:szCs w:val="21"/>
          <w:highlight w:val="none"/>
        </w:rPr>
        <w:t xml:space="preserve">  38.2.1个人承包工程，包括本单位及外单位人员承包，发包人不承认其个人拥有任何资质等级及经营许可资格。没收全部履约保证金。</w:t>
      </w:r>
    </w:p>
    <w:p w14:paraId="3CA30AC7">
      <w:pPr>
        <w:spacing w:line="360" w:lineRule="exact"/>
        <w:ind w:firstLine="501" w:firstLineChars="239"/>
        <w:rPr>
          <w:rFonts w:hAnsi="宋体"/>
          <w:color w:val="auto"/>
          <w:szCs w:val="21"/>
          <w:highlight w:val="none"/>
        </w:rPr>
      </w:pPr>
      <w:r>
        <w:rPr>
          <w:rFonts w:hint="eastAsia" w:hAnsi="宋体"/>
          <w:color w:val="auto"/>
          <w:szCs w:val="21"/>
          <w:highlight w:val="none"/>
        </w:rPr>
        <w:t>38.2.2几个人联合承包工程，就地组织暗分包队伍，不具备完成本工程的技术、机械能力，被发包人判定为没有能力履行的承包人。没收全部履约保证金。</w:t>
      </w:r>
    </w:p>
    <w:p w14:paraId="07BC9260">
      <w:pPr>
        <w:spacing w:line="360" w:lineRule="exact"/>
        <w:ind w:right="-168" w:rightChars="-80" w:firstLine="336" w:firstLineChars="160"/>
        <w:rPr>
          <w:rFonts w:hAnsi="宋体"/>
          <w:color w:val="auto"/>
          <w:szCs w:val="21"/>
          <w:highlight w:val="none"/>
        </w:rPr>
      </w:pPr>
      <w:r>
        <w:rPr>
          <w:rFonts w:hint="eastAsia" w:hAnsi="宋体"/>
          <w:color w:val="auto"/>
          <w:szCs w:val="21"/>
          <w:highlight w:val="none"/>
        </w:rPr>
        <w:t xml:space="preserve">  38.2.3就地转包全部的工程，以谋取高额转让费、管理费的承包人。没收全部履约保证金。</w:t>
      </w:r>
    </w:p>
    <w:p w14:paraId="093D2C21">
      <w:pPr>
        <w:spacing w:line="360" w:lineRule="exact"/>
        <w:ind w:firstLine="336" w:firstLineChars="160"/>
        <w:rPr>
          <w:rFonts w:hAnsi="宋体"/>
          <w:color w:val="auto"/>
          <w:szCs w:val="21"/>
          <w:highlight w:val="none"/>
        </w:rPr>
      </w:pPr>
      <w:r>
        <w:rPr>
          <w:rFonts w:hint="eastAsia" w:hAnsi="宋体"/>
          <w:color w:val="auto"/>
          <w:szCs w:val="21"/>
          <w:highlight w:val="none"/>
        </w:rPr>
        <w:t xml:space="preserve">  38.2.4承包人有部分分包现象(其中包括冒充承包人下属单位的挂钩单位，凭口头协议参与施工的分包人及其他暗分包个体户)，一经发现核实，发包人将采取驱逐该暗分包人措施，并对承包人处予违约处罚金，违约处罚金金额为履约保证金金额的5％～20％(视情节严重而定)。</w:t>
      </w:r>
    </w:p>
    <w:p w14:paraId="2041CE85">
      <w:pPr>
        <w:spacing w:line="360" w:lineRule="exact"/>
        <w:ind w:firstLine="443" w:firstLineChars="210"/>
        <w:rPr>
          <w:rFonts w:hAnsi="宋体"/>
          <w:b/>
          <w:color w:val="auto"/>
          <w:szCs w:val="21"/>
          <w:highlight w:val="none"/>
        </w:rPr>
      </w:pPr>
      <w:r>
        <w:rPr>
          <w:rFonts w:hint="eastAsia" w:hAnsi="宋体"/>
          <w:b/>
          <w:color w:val="auto"/>
          <w:szCs w:val="21"/>
          <w:highlight w:val="none"/>
        </w:rPr>
        <w:t xml:space="preserve">  39．不可抗力    </w:t>
      </w:r>
    </w:p>
    <w:p w14:paraId="5F4EB509">
      <w:pPr>
        <w:spacing w:line="360" w:lineRule="exact"/>
        <w:ind w:firstLine="426" w:firstLineChars="203"/>
        <w:rPr>
          <w:rFonts w:hAnsi="宋体"/>
          <w:color w:val="auto"/>
          <w:szCs w:val="21"/>
          <w:highlight w:val="none"/>
        </w:rPr>
      </w:pPr>
      <w:r>
        <w:rPr>
          <w:rFonts w:hint="eastAsia" w:hAnsi="宋体"/>
          <w:color w:val="auto"/>
          <w:szCs w:val="21"/>
          <w:highlight w:val="none"/>
        </w:rPr>
        <w:t xml:space="preserve">  39.1  双方关于不可抗力的约定：以有关部门发布的文告或文件为准。</w:t>
      </w:r>
    </w:p>
    <w:p w14:paraId="41148E5D">
      <w:pPr>
        <w:spacing w:line="360" w:lineRule="exact"/>
        <w:ind w:firstLine="413" w:firstLineChars="196"/>
        <w:rPr>
          <w:rFonts w:hAnsi="宋体"/>
          <w:color w:val="auto"/>
          <w:szCs w:val="21"/>
          <w:highlight w:val="none"/>
        </w:rPr>
      </w:pPr>
      <w:r>
        <w:rPr>
          <w:rFonts w:hint="eastAsia" w:hAnsi="宋体"/>
          <w:b/>
          <w:bCs/>
          <w:color w:val="auto"/>
          <w:szCs w:val="21"/>
          <w:highlight w:val="none"/>
        </w:rPr>
        <w:t xml:space="preserve"> 40．保险</w:t>
      </w:r>
    </w:p>
    <w:p w14:paraId="3BF172F8">
      <w:pPr>
        <w:spacing w:line="360" w:lineRule="exact"/>
        <w:ind w:firstLine="441" w:firstLineChars="210"/>
        <w:rPr>
          <w:rFonts w:hAnsi="宋体"/>
          <w:color w:val="auto"/>
          <w:szCs w:val="21"/>
          <w:highlight w:val="none"/>
        </w:rPr>
      </w:pPr>
      <w:r>
        <w:rPr>
          <w:rFonts w:hint="eastAsia" w:hAnsi="宋体"/>
          <w:color w:val="auto"/>
          <w:szCs w:val="21"/>
          <w:highlight w:val="none"/>
        </w:rPr>
        <w:t xml:space="preserve">  40.1本工程双方约定投保内容如下：</w:t>
      </w:r>
    </w:p>
    <w:p w14:paraId="3517957C">
      <w:pPr>
        <w:spacing w:line="360" w:lineRule="exact"/>
        <w:ind w:firstLine="470" w:firstLineChars="224"/>
        <w:rPr>
          <w:rFonts w:hAnsi="宋体"/>
          <w:color w:val="auto"/>
          <w:szCs w:val="21"/>
          <w:highlight w:val="none"/>
        </w:rPr>
      </w:pPr>
      <w:r>
        <w:rPr>
          <w:rFonts w:hint="eastAsia" w:hAnsi="宋体"/>
          <w:color w:val="auto"/>
          <w:szCs w:val="21"/>
          <w:highlight w:val="none"/>
        </w:rPr>
        <w:t xml:space="preserve">  (1)发包人投保内容：自行负责办理。</w:t>
      </w:r>
    </w:p>
    <w:p w14:paraId="69C1BA8B">
      <w:pPr>
        <w:spacing w:line="360" w:lineRule="exact"/>
        <w:ind w:firstLine="531" w:firstLineChars="253"/>
        <w:rPr>
          <w:rFonts w:hAnsi="宋体"/>
          <w:color w:val="auto"/>
          <w:szCs w:val="21"/>
          <w:highlight w:val="none"/>
        </w:rPr>
      </w:pPr>
      <w:r>
        <w:rPr>
          <w:rFonts w:hint="eastAsia" w:hAnsi="宋体"/>
          <w:color w:val="auto"/>
          <w:szCs w:val="21"/>
          <w:highlight w:val="none"/>
        </w:rPr>
        <w:t xml:space="preserve">  发包人委托承包人办理的保险事项：</w:t>
      </w:r>
      <w:r>
        <w:rPr>
          <w:rFonts w:hint="eastAsia" w:hAnsi="宋体"/>
          <w:color w:val="auto"/>
          <w:szCs w:val="21"/>
          <w:highlight w:val="none"/>
          <w:u w:val="single"/>
        </w:rPr>
        <w:t xml:space="preserve">无 </w:t>
      </w:r>
      <w:r>
        <w:rPr>
          <w:rFonts w:hint="eastAsia" w:hAnsi="宋体"/>
          <w:color w:val="auto"/>
          <w:szCs w:val="21"/>
          <w:highlight w:val="none"/>
        </w:rPr>
        <w:t xml:space="preserve"> 。</w:t>
      </w:r>
    </w:p>
    <w:p w14:paraId="2A148C62">
      <w:pPr>
        <w:spacing w:line="360" w:lineRule="exact"/>
        <w:ind w:firstLine="636" w:firstLineChars="303"/>
        <w:rPr>
          <w:rFonts w:hAnsi="宋体"/>
          <w:color w:val="auto"/>
          <w:szCs w:val="21"/>
          <w:highlight w:val="none"/>
        </w:rPr>
      </w:pPr>
      <w:r>
        <w:rPr>
          <w:rFonts w:hint="eastAsia" w:hAnsi="宋体"/>
          <w:color w:val="auto"/>
          <w:szCs w:val="21"/>
          <w:highlight w:val="none"/>
        </w:rPr>
        <w:t>(2)承包人投保内容：</w:t>
      </w:r>
    </w:p>
    <w:p w14:paraId="17C9885C">
      <w:pPr>
        <w:spacing w:line="360" w:lineRule="exact"/>
        <w:ind w:firstLine="352" w:firstLineChars="167"/>
        <w:rPr>
          <w:rFonts w:hAnsi="宋体"/>
          <w:color w:val="auto"/>
          <w:szCs w:val="21"/>
          <w:highlight w:val="none"/>
        </w:rPr>
      </w:pPr>
      <w:r>
        <w:rPr>
          <w:rFonts w:hint="eastAsia" w:hAnsi="宋体"/>
          <w:b/>
          <w:color w:val="auto"/>
          <w:szCs w:val="21"/>
          <w:highlight w:val="none"/>
        </w:rPr>
        <w:t xml:space="preserve">*承包人必须为施工现场从事施工的所有作业人员和管理人员办理意外伤害保险，并支付保险费。                             </w:t>
      </w:r>
    </w:p>
    <w:p w14:paraId="0FFF37DA">
      <w:pPr>
        <w:spacing w:line="360" w:lineRule="exact"/>
        <w:ind w:firstLine="369" w:firstLineChars="175"/>
        <w:rPr>
          <w:rFonts w:hAnsi="宋体"/>
          <w:b/>
          <w:color w:val="auto"/>
          <w:szCs w:val="21"/>
          <w:highlight w:val="none"/>
        </w:rPr>
      </w:pPr>
      <w:r>
        <w:rPr>
          <w:rFonts w:hint="eastAsia" w:hAnsi="宋体"/>
          <w:b/>
          <w:color w:val="auto"/>
          <w:szCs w:val="21"/>
          <w:highlight w:val="none"/>
        </w:rPr>
        <w:t xml:space="preserve"> 41．担保</w:t>
      </w:r>
    </w:p>
    <w:p w14:paraId="497ECEFC">
      <w:pPr>
        <w:spacing w:line="360" w:lineRule="exact"/>
        <w:rPr>
          <w:rFonts w:hAnsi="宋体"/>
          <w:color w:val="auto"/>
          <w:szCs w:val="21"/>
          <w:highlight w:val="none"/>
          <w:u w:val="single"/>
        </w:rPr>
      </w:pPr>
      <w:r>
        <w:rPr>
          <w:rFonts w:hint="eastAsia" w:hAnsi="宋体"/>
          <w:color w:val="auto"/>
          <w:szCs w:val="21"/>
          <w:highlight w:val="none"/>
        </w:rPr>
        <w:t xml:space="preserve">     41.1  本工程双方约定担保事项如下：。</w:t>
      </w:r>
    </w:p>
    <w:p w14:paraId="1333C0B4">
      <w:pPr>
        <w:spacing w:line="360" w:lineRule="exact"/>
        <w:rPr>
          <w:rFonts w:hAnsi="宋体"/>
          <w:color w:val="auto"/>
          <w:szCs w:val="21"/>
          <w:highlight w:val="none"/>
        </w:rPr>
      </w:pPr>
      <w:r>
        <w:rPr>
          <w:rFonts w:hint="eastAsia" w:hAnsi="宋体"/>
          <w:color w:val="auto"/>
          <w:szCs w:val="21"/>
          <w:highlight w:val="none"/>
        </w:rPr>
        <w:t xml:space="preserve">     41.2双方约定的其他担保事项：</w:t>
      </w:r>
    </w:p>
    <w:p w14:paraId="5DBCAB30">
      <w:pPr>
        <w:spacing w:line="360" w:lineRule="exact"/>
        <w:ind w:firstLine="201" w:firstLineChars="96"/>
        <w:rPr>
          <w:rFonts w:hAnsi="宋体"/>
          <w:color w:val="auto"/>
          <w:szCs w:val="21"/>
          <w:highlight w:val="none"/>
        </w:rPr>
      </w:pPr>
      <w:r>
        <w:rPr>
          <w:rFonts w:hint="eastAsia" w:hAnsi="宋体"/>
          <w:color w:val="auto"/>
          <w:szCs w:val="21"/>
          <w:highlight w:val="none"/>
        </w:rPr>
        <w:t xml:space="preserve">    (1)双方约定的其他担保事项：。</w:t>
      </w:r>
    </w:p>
    <w:p w14:paraId="76436151">
      <w:pPr>
        <w:spacing w:line="360" w:lineRule="exact"/>
        <w:ind w:firstLine="548"/>
        <w:rPr>
          <w:rFonts w:hAnsi="宋体"/>
          <w:color w:val="auto"/>
          <w:szCs w:val="21"/>
          <w:highlight w:val="none"/>
        </w:rPr>
      </w:pPr>
      <w:r>
        <w:rPr>
          <w:rFonts w:hint="eastAsia" w:hAnsi="宋体"/>
          <w:color w:val="auto"/>
          <w:szCs w:val="21"/>
          <w:highlight w:val="none"/>
        </w:rPr>
        <w:t>(2)履约保证金：</w:t>
      </w:r>
      <w:r>
        <w:rPr>
          <w:rFonts w:hint="eastAsia" w:hAnsi="宋体"/>
          <w:color w:val="auto"/>
          <w:szCs w:val="21"/>
          <w:highlight w:val="none"/>
          <w:u w:val="single"/>
        </w:rPr>
        <w:t xml:space="preserve">       无       </w:t>
      </w:r>
      <w:r>
        <w:rPr>
          <w:rFonts w:hint="eastAsia" w:hAnsi="宋体"/>
          <w:color w:val="auto"/>
          <w:szCs w:val="21"/>
          <w:highlight w:val="none"/>
        </w:rPr>
        <w:t>。</w:t>
      </w:r>
    </w:p>
    <w:p w14:paraId="0280D0B3">
      <w:pPr>
        <w:spacing w:line="360" w:lineRule="exact"/>
        <w:ind w:firstLine="592"/>
        <w:rPr>
          <w:rFonts w:hAnsi="宋体"/>
          <w:color w:val="auto"/>
          <w:szCs w:val="21"/>
          <w:highlight w:val="none"/>
          <w:u w:val="single"/>
        </w:rPr>
      </w:pPr>
      <w:r>
        <w:rPr>
          <w:rFonts w:hint="eastAsia" w:hAnsi="宋体"/>
          <w:color w:val="auto"/>
          <w:szCs w:val="21"/>
          <w:highlight w:val="none"/>
        </w:rPr>
        <w:t>(3)农民工工资保证金：。</w:t>
      </w:r>
    </w:p>
    <w:p w14:paraId="7213B08D">
      <w:pPr>
        <w:spacing w:line="360" w:lineRule="exact"/>
        <w:ind w:firstLine="202" w:firstLineChars="96"/>
        <w:rPr>
          <w:rFonts w:hAnsi="宋体"/>
          <w:color w:val="auto"/>
          <w:szCs w:val="21"/>
          <w:highlight w:val="none"/>
        </w:rPr>
      </w:pPr>
      <w:r>
        <w:rPr>
          <w:rFonts w:hint="eastAsia" w:hAnsi="宋体"/>
          <w:b/>
          <w:bCs/>
          <w:color w:val="auto"/>
          <w:szCs w:val="21"/>
          <w:highlight w:val="none"/>
        </w:rPr>
        <w:t xml:space="preserve">   46．合同份数</w:t>
      </w:r>
    </w:p>
    <w:p w14:paraId="7297A384">
      <w:pPr>
        <w:spacing w:line="360" w:lineRule="exact"/>
        <w:ind w:firstLine="231" w:firstLineChars="110"/>
        <w:rPr>
          <w:rFonts w:hAnsi="宋体"/>
          <w:color w:val="auto"/>
          <w:szCs w:val="21"/>
          <w:highlight w:val="none"/>
          <w:u w:val="single"/>
        </w:rPr>
      </w:pPr>
      <w:r>
        <w:rPr>
          <w:rFonts w:hint="eastAsia" w:hAnsi="宋体"/>
          <w:color w:val="auto"/>
          <w:szCs w:val="21"/>
          <w:highlight w:val="none"/>
        </w:rPr>
        <w:t xml:space="preserve">   46.1双方约定合同正副本份数：</w:t>
      </w:r>
      <w:r>
        <w:rPr>
          <w:rFonts w:hint="eastAsia" w:hAnsi="宋体"/>
          <w:color w:val="auto"/>
          <w:szCs w:val="21"/>
          <w:highlight w:val="none"/>
          <w:u w:val="single"/>
        </w:rPr>
        <w:t xml:space="preserve">两份正本，陆份副本 </w:t>
      </w:r>
      <w:r>
        <w:rPr>
          <w:rFonts w:hint="eastAsia" w:hAnsi="宋体"/>
          <w:color w:val="auto"/>
          <w:szCs w:val="21"/>
          <w:highlight w:val="none"/>
        </w:rPr>
        <w:t>。</w:t>
      </w:r>
    </w:p>
    <w:p w14:paraId="14636F35">
      <w:pPr>
        <w:spacing w:line="360" w:lineRule="exact"/>
        <w:ind w:firstLine="217" w:firstLineChars="103"/>
        <w:rPr>
          <w:rFonts w:hAnsi="宋体"/>
          <w:b/>
          <w:color w:val="auto"/>
          <w:szCs w:val="21"/>
          <w:highlight w:val="none"/>
        </w:rPr>
      </w:pPr>
      <w:r>
        <w:rPr>
          <w:rFonts w:hint="eastAsia" w:hAnsi="宋体"/>
          <w:b/>
          <w:color w:val="auto"/>
          <w:szCs w:val="21"/>
          <w:highlight w:val="none"/>
        </w:rPr>
        <w:t xml:space="preserve">   47．补充条款</w:t>
      </w:r>
    </w:p>
    <w:p w14:paraId="5649D962">
      <w:pPr>
        <w:spacing w:line="360" w:lineRule="exact"/>
        <w:ind w:firstLine="247" w:firstLineChars="118"/>
        <w:rPr>
          <w:rFonts w:hAnsi="宋体"/>
          <w:color w:val="auto"/>
          <w:szCs w:val="21"/>
          <w:highlight w:val="none"/>
        </w:rPr>
      </w:pPr>
      <w:r>
        <w:rPr>
          <w:rFonts w:hint="eastAsia" w:hAnsi="宋体"/>
          <w:color w:val="auto"/>
          <w:szCs w:val="21"/>
          <w:highlight w:val="none"/>
        </w:rPr>
        <w:t xml:space="preserve">   47.1承包人有以下情况之一者，将视为违约，发包人有权采取以下措施处理，并视情节轻重处予违约处罚金。</w:t>
      </w:r>
    </w:p>
    <w:p w14:paraId="5F1C309E">
      <w:pPr>
        <w:spacing w:line="360" w:lineRule="exact"/>
        <w:rPr>
          <w:rFonts w:hAnsi="宋体"/>
          <w:color w:val="auto"/>
          <w:szCs w:val="21"/>
          <w:highlight w:val="none"/>
        </w:rPr>
      </w:pPr>
      <w:r>
        <w:rPr>
          <w:rFonts w:hint="eastAsia" w:hAnsi="宋体"/>
          <w:color w:val="auto"/>
          <w:szCs w:val="21"/>
          <w:highlight w:val="none"/>
        </w:rPr>
        <w:t xml:space="preserve">     47.1.1合同签订之日起十五日内，承包人无法按合同规定及响应文件的承诺进场经监理工程师认可的全部人员和机械时，视为违约，发包人有权解除合同，没收其全部履约保证金，发包人有权另行发包工程。</w:t>
      </w:r>
    </w:p>
    <w:p w14:paraId="222FD775">
      <w:pPr>
        <w:spacing w:line="360" w:lineRule="exact"/>
        <w:rPr>
          <w:rFonts w:hAnsi="宋体"/>
          <w:color w:val="auto"/>
          <w:szCs w:val="21"/>
          <w:highlight w:val="none"/>
        </w:rPr>
      </w:pPr>
      <w:r>
        <w:rPr>
          <w:rFonts w:hint="eastAsia" w:hAnsi="宋体"/>
          <w:color w:val="auto"/>
          <w:szCs w:val="21"/>
          <w:highlight w:val="none"/>
        </w:rPr>
        <w:t xml:space="preserve">    47.1.2主要机械的数量、型号，应与合同相符，若监理工程师认为合同规定的进场机械不能满足施工进度要求，有权指令承包人增加机械投入，承包人不得拒绝。</w:t>
      </w:r>
    </w:p>
    <w:p w14:paraId="49832542">
      <w:pPr>
        <w:spacing w:line="360" w:lineRule="exact"/>
        <w:rPr>
          <w:rFonts w:hAnsi="宋体"/>
          <w:color w:val="auto"/>
          <w:szCs w:val="21"/>
          <w:highlight w:val="none"/>
        </w:rPr>
      </w:pPr>
      <w:r>
        <w:rPr>
          <w:rFonts w:hint="eastAsia" w:hAnsi="宋体"/>
          <w:color w:val="auto"/>
          <w:szCs w:val="21"/>
          <w:highlight w:val="none"/>
        </w:rPr>
        <w:t xml:space="preserve">    47.1．5所有以上违约处罚金金额均在承包人的履约保证金(包括银行利息)及计量支付款内扣除，监理工程师预先下发统一格式含有违约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5AD904F8">
      <w:pPr>
        <w:spacing w:line="360" w:lineRule="exact"/>
        <w:rPr>
          <w:rFonts w:hAnsi="宋体"/>
          <w:color w:val="auto"/>
          <w:szCs w:val="21"/>
          <w:highlight w:val="none"/>
        </w:rPr>
      </w:pPr>
      <w:r>
        <w:rPr>
          <w:rFonts w:hint="eastAsia" w:hAnsi="宋体"/>
          <w:color w:val="auto"/>
          <w:szCs w:val="21"/>
          <w:highlight w:val="none"/>
        </w:rPr>
        <w:t xml:space="preserve">    47.1.6承包人在合同期内，完成合同规定的全部工程，且质量合格，竣工验收后十五天内可申请返还全部或部分违约处罚金(不包括利息)。</w:t>
      </w:r>
    </w:p>
    <w:p w14:paraId="7CCA32D0">
      <w:pPr>
        <w:spacing w:line="360" w:lineRule="exact"/>
        <w:rPr>
          <w:rFonts w:hAnsi="宋体"/>
          <w:color w:val="auto"/>
          <w:szCs w:val="21"/>
          <w:highlight w:val="none"/>
        </w:rPr>
      </w:pPr>
      <w:r>
        <w:rPr>
          <w:rFonts w:hint="eastAsia" w:hAnsi="宋体"/>
          <w:color w:val="auto"/>
          <w:szCs w:val="21"/>
          <w:highlight w:val="none"/>
        </w:rPr>
        <w:t xml:space="preserve">    47.2工程款的使用</w:t>
      </w:r>
    </w:p>
    <w:p w14:paraId="3D45B18B">
      <w:pPr>
        <w:spacing w:line="360" w:lineRule="exact"/>
        <w:rPr>
          <w:rFonts w:hAnsi="宋体"/>
          <w:color w:val="auto"/>
          <w:szCs w:val="21"/>
          <w:highlight w:val="none"/>
        </w:rPr>
      </w:pPr>
      <w:r>
        <w:rPr>
          <w:rFonts w:hint="eastAsia" w:hAnsi="宋体"/>
          <w:color w:val="auto"/>
          <w:szCs w:val="21"/>
          <w:highlight w:val="none"/>
        </w:rPr>
        <w:t xml:space="preserve">  47.2.1本工程资金属地方财政、业主贷款等，承包人在施工期间必须保证资金的专项使用，不得挪作他用，并自觉接受业主和银行的监督，否则将视为承包人违约。</w:t>
      </w:r>
    </w:p>
    <w:p w14:paraId="45EB12F4">
      <w:pPr>
        <w:spacing w:line="360" w:lineRule="exact"/>
        <w:rPr>
          <w:rFonts w:hAnsi="宋体"/>
          <w:color w:val="auto"/>
          <w:szCs w:val="21"/>
          <w:highlight w:val="none"/>
        </w:rPr>
      </w:pPr>
      <w:r>
        <w:rPr>
          <w:rFonts w:hint="eastAsia" w:hAnsi="宋体"/>
          <w:color w:val="auto"/>
          <w:szCs w:val="21"/>
          <w:highlight w:val="none"/>
        </w:rPr>
        <w:t xml:space="preserve">    47.2.2承包人(项目部)账户必须在业主指定的银行开户，否则业主将不支付任何工程款。</w:t>
      </w:r>
    </w:p>
    <w:p w14:paraId="334FC6DE">
      <w:pPr>
        <w:spacing w:line="360" w:lineRule="exact"/>
        <w:rPr>
          <w:rFonts w:hAnsi="宋体"/>
          <w:color w:val="auto"/>
          <w:szCs w:val="21"/>
          <w:highlight w:val="none"/>
        </w:rPr>
      </w:pPr>
      <w:r>
        <w:rPr>
          <w:rFonts w:hint="eastAsia" w:hAnsi="宋体"/>
          <w:color w:val="auto"/>
          <w:szCs w:val="21"/>
          <w:highlight w:val="none"/>
        </w:rPr>
        <w:t xml:space="preserve">    47.2.3承包人对外支付其他工程款，必须按以下规定报批，违者将视情节轻重，给予罚(等额)款、没收履约保证金、终止合同等。</w:t>
      </w:r>
    </w:p>
    <w:p w14:paraId="71605A20">
      <w:pPr>
        <w:spacing w:line="360" w:lineRule="exact"/>
        <w:rPr>
          <w:rFonts w:hAnsi="宋体"/>
          <w:color w:val="auto"/>
          <w:szCs w:val="21"/>
          <w:highlight w:val="none"/>
        </w:rPr>
      </w:pPr>
      <w:r>
        <w:rPr>
          <w:rFonts w:hint="eastAsia" w:hAnsi="宋体"/>
          <w:color w:val="auto"/>
          <w:szCs w:val="21"/>
          <w:highlight w:val="none"/>
        </w:rPr>
        <w:t xml:space="preserve">    47.2.4承包人购买用于本工程的各种材料，施工机械设备、配件等，凡是每次支付的货款金额在贰万元以上，壹拾万元以下者，须附购货发票或购(订)货合同、协议。</w:t>
      </w:r>
    </w:p>
    <w:p w14:paraId="6AC44C76">
      <w:pPr>
        <w:spacing w:line="360" w:lineRule="exact"/>
        <w:rPr>
          <w:rFonts w:hAnsi="宋体"/>
          <w:color w:val="auto"/>
          <w:szCs w:val="21"/>
          <w:highlight w:val="none"/>
        </w:rPr>
      </w:pPr>
      <w:r>
        <w:rPr>
          <w:rFonts w:hint="eastAsia" w:hAnsi="宋体"/>
          <w:color w:val="auto"/>
          <w:szCs w:val="21"/>
          <w:highlight w:val="none"/>
        </w:rPr>
        <w:t xml:space="preserve">    47.2.5对外支付额≥10万元人民币的，必须报经业主批准，承包人的开户银行才给予受理。</w:t>
      </w:r>
    </w:p>
    <w:p w14:paraId="31EBC9FC">
      <w:pPr>
        <w:spacing w:line="360" w:lineRule="exact"/>
        <w:rPr>
          <w:rFonts w:hAnsi="宋体"/>
          <w:color w:val="auto"/>
          <w:szCs w:val="21"/>
          <w:highlight w:val="none"/>
        </w:rPr>
      </w:pPr>
      <w:r>
        <w:rPr>
          <w:rFonts w:hint="eastAsia" w:hAnsi="宋体"/>
          <w:color w:val="auto"/>
          <w:szCs w:val="21"/>
          <w:highlight w:val="none"/>
        </w:rPr>
        <w:t xml:space="preserve">    47.3  凡进入本工程工作的妇女应持有计生证，否则不准安排工作，禁止使用童工。</w:t>
      </w:r>
    </w:p>
    <w:p w14:paraId="107E8EB4">
      <w:pPr>
        <w:spacing w:line="360" w:lineRule="exact"/>
        <w:rPr>
          <w:rFonts w:hAnsi="宋体"/>
          <w:color w:val="auto"/>
          <w:szCs w:val="21"/>
          <w:highlight w:val="none"/>
        </w:rPr>
      </w:pPr>
      <w:r>
        <w:rPr>
          <w:rFonts w:hint="eastAsia" w:hAnsi="宋体"/>
          <w:color w:val="auto"/>
          <w:szCs w:val="21"/>
          <w:highlight w:val="none"/>
        </w:rPr>
        <w:t xml:space="preserve">  47.4本工程合同价款已包含安全防护、文明施工措施费      元。使用要求：专款专用，具体按《广西壮族自治区市政公用工程安全防护、文明施工措施费及使用管理细则》(桂建质安[2006]22号文)要求执行。</w:t>
      </w:r>
    </w:p>
    <w:p w14:paraId="66278321">
      <w:pPr>
        <w:spacing w:line="360" w:lineRule="exact"/>
        <w:rPr>
          <w:rFonts w:hAnsi="宋体"/>
          <w:color w:val="auto"/>
          <w:szCs w:val="21"/>
          <w:highlight w:val="none"/>
        </w:rPr>
      </w:pPr>
    </w:p>
    <w:p w14:paraId="4FB5D1CE">
      <w:pPr>
        <w:spacing w:line="360" w:lineRule="exact"/>
        <w:rPr>
          <w:rFonts w:hAnsi="宋体"/>
          <w:color w:val="auto"/>
          <w:szCs w:val="21"/>
          <w:highlight w:val="none"/>
        </w:rPr>
      </w:pPr>
    </w:p>
    <w:p w14:paraId="3C24E30F">
      <w:pPr>
        <w:spacing w:line="360" w:lineRule="exact"/>
        <w:rPr>
          <w:rFonts w:hAnsi="宋体"/>
          <w:color w:val="auto"/>
          <w:szCs w:val="21"/>
          <w:highlight w:val="none"/>
        </w:rPr>
      </w:pPr>
    </w:p>
    <w:p w14:paraId="6B9664F1">
      <w:pPr>
        <w:spacing w:line="360" w:lineRule="exact"/>
        <w:rPr>
          <w:rFonts w:hAnsi="宋体"/>
          <w:color w:val="auto"/>
          <w:szCs w:val="21"/>
          <w:highlight w:val="none"/>
        </w:rPr>
      </w:pPr>
    </w:p>
    <w:p w14:paraId="1D3339E1">
      <w:pPr>
        <w:spacing w:line="360" w:lineRule="exact"/>
        <w:rPr>
          <w:rFonts w:hAnsi="宋体"/>
          <w:color w:val="auto"/>
          <w:szCs w:val="21"/>
          <w:highlight w:val="none"/>
        </w:rPr>
      </w:pPr>
    </w:p>
    <w:p w14:paraId="1EEE2BED">
      <w:pPr>
        <w:spacing w:line="360" w:lineRule="exact"/>
        <w:rPr>
          <w:rFonts w:hAnsi="宋体"/>
          <w:color w:val="auto"/>
          <w:szCs w:val="21"/>
          <w:highlight w:val="none"/>
        </w:rPr>
      </w:pPr>
    </w:p>
    <w:p w14:paraId="3646AD6B">
      <w:pPr>
        <w:spacing w:line="360" w:lineRule="exact"/>
        <w:rPr>
          <w:rFonts w:hAnsi="宋体"/>
          <w:color w:val="auto"/>
          <w:szCs w:val="21"/>
          <w:highlight w:val="none"/>
        </w:rPr>
      </w:pPr>
    </w:p>
    <w:p w14:paraId="6F3233B1">
      <w:pPr>
        <w:spacing w:line="360" w:lineRule="exact"/>
        <w:rPr>
          <w:rFonts w:hAnsi="宋体"/>
          <w:color w:val="auto"/>
          <w:szCs w:val="21"/>
          <w:highlight w:val="none"/>
        </w:rPr>
      </w:pPr>
    </w:p>
    <w:p w14:paraId="7421334E">
      <w:pPr>
        <w:spacing w:line="360" w:lineRule="exact"/>
        <w:rPr>
          <w:rFonts w:hAnsi="宋体"/>
          <w:color w:val="auto"/>
          <w:szCs w:val="21"/>
          <w:highlight w:val="none"/>
        </w:rPr>
      </w:pPr>
    </w:p>
    <w:p w14:paraId="2C114D7F">
      <w:pPr>
        <w:rPr>
          <w:rFonts w:hAnsi="宋体"/>
          <w:b/>
          <w:color w:val="auto"/>
          <w:szCs w:val="21"/>
          <w:highlight w:val="none"/>
        </w:rPr>
      </w:pPr>
      <w:r>
        <w:rPr>
          <w:rFonts w:hint="eastAsia" w:hAnsi="宋体"/>
          <w:b/>
          <w:color w:val="auto"/>
          <w:szCs w:val="21"/>
          <w:highlight w:val="none"/>
        </w:rPr>
        <w:br w:type="page"/>
      </w:r>
    </w:p>
    <w:p w14:paraId="6BEA1260">
      <w:pPr>
        <w:spacing w:line="360" w:lineRule="exact"/>
        <w:rPr>
          <w:rFonts w:hAnsi="宋体"/>
          <w:b/>
          <w:color w:val="auto"/>
          <w:szCs w:val="21"/>
          <w:highlight w:val="none"/>
        </w:rPr>
      </w:pPr>
      <w:r>
        <w:rPr>
          <w:rFonts w:hint="eastAsia" w:hAnsi="宋体"/>
          <w:b/>
          <w:color w:val="auto"/>
          <w:szCs w:val="21"/>
          <w:highlight w:val="none"/>
        </w:rPr>
        <w:t>附件1：工程质量保修书</w:t>
      </w:r>
    </w:p>
    <w:p w14:paraId="4B817C6F">
      <w:pPr>
        <w:spacing w:line="360" w:lineRule="exact"/>
        <w:rPr>
          <w:rFonts w:hAnsi="宋体"/>
          <w:color w:val="auto"/>
          <w:szCs w:val="21"/>
          <w:highlight w:val="none"/>
        </w:rPr>
      </w:pPr>
    </w:p>
    <w:p w14:paraId="2AC3DFC6">
      <w:pPr>
        <w:spacing w:line="360" w:lineRule="exact"/>
        <w:rPr>
          <w:rFonts w:hAnsi="宋体"/>
          <w:color w:val="auto"/>
          <w:szCs w:val="21"/>
          <w:highlight w:val="none"/>
        </w:rPr>
      </w:pPr>
      <w:r>
        <w:rPr>
          <w:rFonts w:hint="eastAsia" w:hAnsi="宋体"/>
          <w:color w:val="auto"/>
          <w:szCs w:val="21"/>
          <w:highlight w:val="none"/>
        </w:rPr>
        <w:t xml:space="preserve">发包人(全称)：    </w:t>
      </w:r>
    </w:p>
    <w:p w14:paraId="6C829135">
      <w:pPr>
        <w:spacing w:line="360" w:lineRule="exact"/>
        <w:rPr>
          <w:rFonts w:hAnsi="宋体"/>
          <w:color w:val="auto"/>
          <w:szCs w:val="21"/>
          <w:highlight w:val="none"/>
        </w:rPr>
      </w:pPr>
      <w:r>
        <w:rPr>
          <w:rFonts w:hint="eastAsia" w:hAnsi="宋体"/>
          <w:color w:val="auto"/>
          <w:szCs w:val="21"/>
          <w:highlight w:val="none"/>
        </w:rPr>
        <w:t>承包人(全称)：</w:t>
      </w:r>
    </w:p>
    <w:p w14:paraId="22776E51">
      <w:pPr>
        <w:spacing w:line="360" w:lineRule="exact"/>
        <w:rPr>
          <w:rFonts w:hAnsi="宋体"/>
          <w:color w:val="auto"/>
          <w:szCs w:val="21"/>
          <w:highlight w:val="none"/>
        </w:rPr>
      </w:pPr>
      <w:r>
        <w:rPr>
          <w:rFonts w:hint="eastAsia" w:hAnsi="宋体"/>
          <w:color w:val="auto"/>
          <w:szCs w:val="21"/>
          <w:highlight w:val="none"/>
        </w:rPr>
        <w:t xml:space="preserve">   为保证(工程名称)在合理使用期限内正常使用，发包人和承包人协商一致签订工程质量保修书。承包人在质量保修期内按照有关管理规定及双方约定承担工程质量保修责任。</w:t>
      </w:r>
    </w:p>
    <w:p w14:paraId="4697D484">
      <w:pPr>
        <w:spacing w:line="360" w:lineRule="exact"/>
        <w:rPr>
          <w:rFonts w:hAnsi="宋体"/>
          <w:b/>
          <w:color w:val="auto"/>
          <w:szCs w:val="21"/>
          <w:highlight w:val="none"/>
        </w:rPr>
      </w:pPr>
      <w:r>
        <w:rPr>
          <w:rFonts w:hint="eastAsia" w:hAnsi="宋体"/>
          <w:b/>
          <w:color w:val="auto"/>
          <w:szCs w:val="21"/>
          <w:highlight w:val="none"/>
        </w:rPr>
        <w:t>一、工程质量保修范围和内容</w:t>
      </w:r>
    </w:p>
    <w:p w14:paraId="178DFAED">
      <w:pPr>
        <w:spacing w:line="360" w:lineRule="exact"/>
        <w:ind w:firstLine="420"/>
        <w:rPr>
          <w:rFonts w:hAnsi="宋体"/>
          <w:color w:val="auto"/>
          <w:szCs w:val="21"/>
          <w:highlight w:val="none"/>
        </w:rPr>
      </w:pPr>
      <w:r>
        <w:rPr>
          <w:rFonts w:hint="eastAsia" w:hAnsi="宋体"/>
          <w:color w:val="auto"/>
          <w:szCs w:val="21"/>
          <w:highlight w:val="none"/>
        </w:rPr>
        <w:t>质量保修范围包括合同及施工图纸所包括的工程。具体质量保修内容双方约定如下：</w:t>
      </w:r>
    </w:p>
    <w:p w14:paraId="3EE390B9">
      <w:pPr>
        <w:spacing w:line="360" w:lineRule="exact"/>
        <w:rPr>
          <w:rFonts w:hAnsi="宋体"/>
          <w:color w:val="auto"/>
          <w:szCs w:val="21"/>
          <w:highlight w:val="none"/>
        </w:rPr>
      </w:pPr>
      <w:r>
        <w:rPr>
          <w:rFonts w:hint="eastAsia" w:hAnsi="宋体"/>
          <w:b/>
          <w:bCs/>
          <w:color w:val="auto"/>
          <w:szCs w:val="21"/>
          <w:highlight w:val="none"/>
        </w:rPr>
        <w:t>*二、质量保修期</w:t>
      </w:r>
    </w:p>
    <w:p w14:paraId="30752E8D">
      <w:pPr>
        <w:spacing w:line="360" w:lineRule="exact"/>
        <w:ind w:firstLine="315" w:firstLineChars="150"/>
        <w:rPr>
          <w:rFonts w:hAnsi="宋体"/>
          <w:color w:val="auto"/>
          <w:szCs w:val="21"/>
          <w:highlight w:val="none"/>
        </w:rPr>
      </w:pPr>
      <w:r>
        <w:rPr>
          <w:rFonts w:hint="eastAsia" w:hAnsi="宋体"/>
          <w:color w:val="auto"/>
          <w:szCs w:val="21"/>
          <w:highlight w:val="none"/>
        </w:rPr>
        <w:t>1．双方根据《建设工程质量管理条例》及有关规定，约定本工程的质量保修期如下：</w:t>
      </w:r>
    </w:p>
    <w:p w14:paraId="798C1C6A">
      <w:pPr>
        <w:spacing w:line="360" w:lineRule="exact"/>
        <w:ind w:firstLine="210" w:firstLineChars="100"/>
        <w:rPr>
          <w:rFonts w:hAnsi="宋体"/>
          <w:color w:val="auto"/>
          <w:szCs w:val="21"/>
          <w:highlight w:val="none"/>
        </w:rPr>
      </w:pPr>
      <w:r>
        <w:rPr>
          <w:rFonts w:hint="eastAsia" w:hAnsi="宋体"/>
          <w:color w:val="auto"/>
          <w:szCs w:val="21"/>
          <w:highlight w:val="none"/>
        </w:rPr>
        <w:t xml:space="preserve"> (1)桥梁工程为</w:t>
      </w:r>
      <w:r>
        <w:rPr>
          <w:rFonts w:hint="eastAsia" w:hAnsi="宋体"/>
          <w:color w:val="auto"/>
          <w:szCs w:val="21"/>
          <w:highlight w:val="none"/>
          <w:u w:val="single"/>
        </w:rPr>
        <w:t xml:space="preserve">  1   </w:t>
      </w:r>
      <w:r>
        <w:rPr>
          <w:rFonts w:hint="eastAsia" w:hAnsi="宋体"/>
          <w:color w:val="auto"/>
          <w:szCs w:val="21"/>
          <w:highlight w:val="none"/>
        </w:rPr>
        <w:t xml:space="preserve">年；            </w:t>
      </w:r>
    </w:p>
    <w:p w14:paraId="6EB6FEC8">
      <w:pPr>
        <w:spacing w:line="360" w:lineRule="exact"/>
        <w:ind w:firstLine="315" w:firstLineChars="150"/>
        <w:rPr>
          <w:rFonts w:hAnsi="宋体"/>
          <w:color w:val="auto"/>
          <w:szCs w:val="21"/>
          <w:highlight w:val="none"/>
        </w:rPr>
      </w:pPr>
      <w:r>
        <w:rPr>
          <w:rFonts w:hint="eastAsia" w:hAnsi="宋体"/>
          <w:color w:val="auto"/>
          <w:szCs w:val="21"/>
          <w:highlight w:val="none"/>
        </w:rPr>
        <w:t>(2)道路工程为</w:t>
      </w:r>
      <w:r>
        <w:rPr>
          <w:rFonts w:hint="eastAsia" w:hAnsi="宋体"/>
          <w:color w:val="auto"/>
          <w:szCs w:val="21"/>
          <w:highlight w:val="none"/>
          <w:u w:val="single"/>
        </w:rPr>
        <w:t xml:space="preserve">   1  </w:t>
      </w:r>
      <w:r>
        <w:rPr>
          <w:rFonts w:hint="eastAsia" w:hAnsi="宋体"/>
          <w:color w:val="auto"/>
          <w:szCs w:val="21"/>
          <w:highlight w:val="none"/>
        </w:rPr>
        <w:t>年；</w:t>
      </w:r>
    </w:p>
    <w:p w14:paraId="1667EAF8">
      <w:pPr>
        <w:spacing w:line="360" w:lineRule="exact"/>
        <w:ind w:firstLine="210" w:firstLineChars="100"/>
        <w:rPr>
          <w:rFonts w:hAnsi="宋体"/>
          <w:color w:val="auto"/>
          <w:szCs w:val="21"/>
          <w:highlight w:val="none"/>
        </w:rPr>
      </w:pPr>
      <w:r>
        <w:rPr>
          <w:rFonts w:hint="eastAsia" w:hAnsi="宋体"/>
          <w:color w:val="auto"/>
          <w:szCs w:val="21"/>
          <w:highlight w:val="none"/>
        </w:rPr>
        <w:t xml:space="preserve"> (3)地基处理工程为</w:t>
      </w:r>
      <w:r>
        <w:rPr>
          <w:rFonts w:hint="eastAsia" w:hAnsi="宋体"/>
          <w:color w:val="auto"/>
          <w:szCs w:val="21"/>
          <w:highlight w:val="none"/>
          <w:u w:val="single"/>
        </w:rPr>
        <w:t xml:space="preserve">   1  </w:t>
      </w:r>
      <w:r>
        <w:rPr>
          <w:rFonts w:hint="eastAsia" w:hAnsi="宋体"/>
          <w:color w:val="auto"/>
          <w:szCs w:val="21"/>
          <w:highlight w:val="none"/>
        </w:rPr>
        <w:t>年；</w:t>
      </w:r>
    </w:p>
    <w:p w14:paraId="58CCBD00">
      <w:pPr>
        <w:spacing w:line="360" w:lineRule="exact"/>
        <w:ind w:firstLine="210" w:firstLineChars="100"/>
        <w:rPr>
          <w:rFonts w:hAnsi="宋体"/>
          <w:color w:val="auto"/>
          <w:szCs w:val="21"/>
          <w:highlight w:val="none"/>
        </w:rPr>
      </w:pPr>
      <w:r>
        <w:rPr>
          <w:rFonts w:hint="eastAsia" w:hAnsi="宋体"/>
          <w:color w:val="auto"/>
          <w:szCs w:val="21"/>
          <w:highlight w:val="none"/>
        </w:rPr>
        <w:t xml:space="preserve"> (4)排水(雨水)工程为</w:t>
      </w:r>
      <w:r>
        <w:rPr>
          <w:rFonts w:hint="eastAsia" w:hAnsi="宋体"/>
          <w:color w:val="auto"/>
          <w:szCs w:val="21"/>
          <w:highlight w:val="none"/>
          <w:u w:val="single"/>
        </w:rPr>
        <w:t xml:space="preserve">   1  </w:t>
      </w:r>
      <w:r>
        <w:rPr>
          <w:rFonts w:hint="eastAsia" w:hAnsi="宋体"/>
          <w:color w:val="auto"/>
          <w:szCs w:val="21"/>
          <w:highlight w:val="none"/>
        </w:rPr>
        <w:t>年；</w:t>
      </w:r>
    </w:p>
    <w:p w14:paraId="15E7604A">
      <w:pPr>
        <w:spacing w:line="360" w:lineRule="exact"/>
        <w:rPr>
          <w:rFonts w:hAnsi="宋体"/>
          <w:color w:val="auto"/>
          <w:szCs w:val="21"/>
          <w:highlight w:val="none"/>
          <w:u w:val="single"/>
        </w:rPr>
      </w:pPr>
      <w:r>
        <w:rPr>
          <w:rFonts w:hint="eastAsia" w:hAnsi="宋体"/>
          <w:color w:val="auto"/>
          <w:szCs w:val="21"/>
          <w:highlight w:val="none"/>
        </w:rPr>
        <w:t xml:space="preserve">   (5)绿化工程为</w:t>
      </w:r>
      <w:r>
        <w:rPr>
          <w:rFonts w:hint="eastAsia" w:hAnsi="宋体"/>
          <w:color w:val="auto"/>
          <w:szCs w:val="21"/>
          <w:highlight w:val="none"/>
          <w:u w:val="single"/>
        </w:rPr>
        <w:t xml:space="preserve">工程竣工综合验收合格后 12 个月 </w:t>
      </w:r>
      <w:r>
        <w:rPr>
          <w:rFonts w:hint="eastAsia" w:hAnsi="宋体"/>
          <w:color w:val="auto"/>
          <w:szCs w:val="21"/>
          <w:highlight w:val="none"/>
        </w:rPr>
        <w:t>；</w:t>
      </w:r>
    </w:p>
    <w:p w14:paraId="212C2ADD">
      <w:pPr>
        <w:spacing w:line="360" w:lineRule="exact"/>
        <w:rPr>
          <w:rFonts w:hAnsi="宋体"/>
          <w:color w:val="auto"/>
          <w:szCs w:val="21"/>
          <w:highlight w:val="none"/>
        </w:rPr>
      </w:pPr>
      <w:r>
        <w:rPr>
          <w:rFonts w:hint="eastAsia" w:hAnsi="宋体"/>
          <w:color w:val="auto"/>
          <w:szCs w:val="21"/>
          <w:highlight w:val="none"/>
        </w:rPr>
        <w:t xml:space="preserve">   (6)其他附属工程为</w:t>
      </w:r>
      <w:r>
        <w:rPr>
          <w:rFonts w:hint="eastAsia" w:hAnsi="宋体"/>
          <w:color w:val="auto"/>
          <w:szCs w:val="21"/>
          <w:highlight w:val="none"/>
          <w:u w:val="single"/>
        </w:rPr>
        <w:t xml:space="preserve">  1   </w:t>
      </w:r>
      <w:r>
        <w:rPr>
          <w:rFonts w:hint="eastAsia" w:hAnsi="宋体"/>
          <w:color w:val="auto"/>
          <w:szCs w:val="21"/>
          <w:highlight w:val="none"/>
        </w:rPr>
        <w:t>年。</w:t>
      </w:r>
    </w:p>
    <w:p w14:paraId="704AAA68">
      <w:pPr>
        <w:spacing w:line="360" w:lineRule="exact"/>
        <w:ind w:firstLine="67" w:firstLineChars="32"/>
        <w:rPr>
          <w:rFonts w:hAnsi="宋体"/>
          <w:color w:val="auto"/>
          <w:szCs w:val="21"/>
          <w:highlight w:val="none"/>
        </w:rPr>
      </w:pPr>
      <w:r>
        <w:rPr>
          <w:rFonts w:hint="eastAsia" w:hAnsi="宋体"/>
          <w:color w:val="auto"/>
          <w:szCs w:val="21"/>
          <w:highlight w:val="none"/>
        </w:rPr>
        <w:t xml:space="preserve">   2．质量保修期自本合同工程签发的工程竣工验收合格交工证书中写明的竣工日期起计算。</w:t>
      </w:r>
      <w:r>
        <w:rPr>
          <w:rFonts w:hint="eastAsia" w:hAnsi="宋体"/>
          <w:b/>
          <w:bCs/>
          <w:color w:val="auto"/>
          <w:szCs w:val="21"/>
          <w:highlight w:val="none"/>
        </w:rPr>
        <w:t>分单项竣工验收的工程，按单项工程分别计算质量保修期。</w:t>
      </w:r>
    </w:p>
    <w:p w14:paraId="4C4353A9">
      <w:pPr>
        <w:spacing w:line="360" w:lineRule="exact"/>
        <w:rPr>
          <w:rFonts w:hAnsi="宋体"/>
          <w:color w:val="auto"/>
          <w:szCs w:val="21"/>
          <w:highlight w:val="none"/>
        </w:rPr>
      </w:pPr>
      <w:r>
        <w:rPr>
          <w:rFonts w:hint="eastAsia" w:hAnsi="宋体"/>
          <w:color w:val="auto"/>
          <w:szCs w:val="21"/>
          <w:highlight w:val="none"/>
        </w:rPr>
        <w:t xml:space="preserve">   3．其他约定：</w:t>
      </w:r>
    </w:p>
    <w:p w14:paraId="33E0EFE4">
      <w:pPr>
        <w:spacing w:line="360" w:lineRule="exact"/>
        <w:rPr>
          <w:rFonts w:hAnsi="宋体"/>
          <w:b/>
          <w:color w:val="auto"/>
          <w:szCs w:val="21"/>
          <w:highlight w:val="none"/>
        </w:rPr>
      </w:pPr>
      <w:r>
        <w:rPr>
          <w:rFonts w:hint="eastAsia" w:hAnsi="宋体"/>
          <w:b/>
          <w:color w:val="auto"/>
          <w:szCs w:val="21"/>
          <w:highlight w:val="none"/>
        </w:rPr>
        <w:t>三、质量保修保质责任</w:t>
      </w:r>
    </w:p>
    <w:p w14:paraId="6971228E">
      <w:pPr>
        <w:spacing w:line="360" w:lineRule="exact"/>
        <w:rPr>
          <w:rFonts w:hAnsi="宋体"/>
          <w:color w:val="auto"/>
          <w:szCs w:val="21"/>
          <w:highlight w:val="none"/>
        </w:rPr>
      </w:pPr>
      <w:r>
        <w:rPr>
          <w:rFonts w:hint="eastAsia" w:hAnsi="宋体"/>
          <w:color w:val="auto"/>
          <w:szCs w:val="21"/>
          <w:highlight w:val="none"/>
        </w:rPr>
        <w:t xml:space="preserve">   1．质量保修期自工程竣工验收合格之日起计算。</w:t>
      </w:r>
    </w:p>
    <w:p w14:paraId="19F4B959">
      <w:pPr>
        <w:spacing w:line="360" w:lineRule="exact"/>
        <w:rPr>
          <w:rFonts w:hAnsi="宋体"/>
          <w:color w:val="auto"/>
          <w:szCs w:val="21"/>
          <w:highlight w:val="none"/>
        </w:rPr>
      </w:pPr>
      <w:r>
        <w:rPr>
          <w:rFonts w:hint="eastAsia" w:hAnsi="宋体"/>
          <w:color w:val="auto"/>
          <w:szCs w:val="21"/>
          <w:highlight w:val="none"/>
        </w:rPr>
        <w:t xml:space="preserve">   2．质量保修责任</w:t>
      </w:r>
    </w:p>
    <w:p w14:paraId="4D47DAC0">
      <w:pPr>
        <w:spacing w:line="360" w:lineRule="exact"/>
        <w:rPr>
          <w:rFonts w:hAnsi="宋体"/>
          <w:color w:val="auto"/>
          <w:szCs w:val="21"/>
          <w:highlight w:val="none"/>
        </w:rPr>
      </w:pPr>
      <w:r>
        <w:rPr>
          <w:rFonts w:hint="eastAsia" w:hAnsi="宋体"/>
          <w:color w:val="auto"/>
          <w:szCs w:val="21"/>
          <w:highlight w:val="none"/>
        </w:rPr>
        <w:t xml:space="preserve">   2.1属于保修范围、内容的项目，承包人应当在接到保修通知之日起七日内派人保修。承包人不在约定期限内派人保修的，发包人可以委托他人修理，修理费用由承包人承担。</w:t>
      </w:r>
    </w:p>
    <w:p w14:paraId="5B43DE65">
      <w:pPr>
        <w:spacing w:line="360" w:lineRule="exact"/>
        <w:rPr>
          <w:rFonts w:hAnsi="宋体"/>
          <w:color w:val="auto"/>
          <w:szCs w:val="21"/>
          <w:highlight w:val="none"/>
        </w:rPr>
      </w:pPr>
      <w:r>
        <w:rPr>
          <w:rFonts w:hint="eastAsia" w:hAnsi="宋体"/>
          <w:color w:val="auto"/>
          <w:szCs w:val="21"/>
          <w:highlight w:val="none"/>
        </w:rPr>
        <w:t xml:space="preserve">   2.2发生紧急抢修事故的，承包人在接到事故通知后，应当立即到达事故现场抢修。</w:t>
      </w:r>
    </w:p>
    <w:p w14:paraId="402D704C">
      <w:pPr>
        <w:spacing w:line="360" w:lineRule="exact"/>
        <w:rPr>
          <w:rFonts w:hAnsi="宋体"/>
          <w:color w:val="auto"/>
          <w:szCs w:val="21"/>
          <w:highlight w:val="none"/>
        </w:rPr>
      </w:pPr>
      <w:r>
        <w:rPr>
          <w:rFonts w:hint="eastAsia" w:hAnsi="宋体"/>
          <w:color w:val="auto"/>
          <w:szCs w:val="21"/>
          <w:highlight w:val="none"/>
        </w:rPr>
        <w:t xml:space="preserve">   2.3对于涉及结构安全的质量问题，应当按照有关的规定，立即向当地建设行政主管部门报告，采取安全防范措施；由原设计单位或者具有相应资质等级的设计单位提出保修方案，承包人实施保修。</w:t>
      </w:r>
    </w:p>
    <w:p w14:paraId="45BF6FD3">
      <w:pPr>
        <w:spacing w:line="360" w:lineRule="exact"/>
        <w:rPr>
          <w:rFonts w:hAnsi="宋体"/>
          <w:color w:val="auto"/>
          <w:szCs w:val="21"/>
          <w:highlight w:val="none"/>
        </w:rPr>
      </w:pPr>
      <w:r>
        <w:rPr>
          <w:rFonts w:hint="eastAsia" w:hAnsi="宋体"/>
          <w:color w:val="auto"/>
          <w:szCs w:val="21"/>
          <w:highlight w:val="none"/>
        </w:rPr>
        <w:t xml:space="preserve">   2.4质量保修完成后，由发包人组织验收。</w:t>
      </w:r>
    </w:p>
    <w:p w14:paraId="557E3F46">
      <w:pPr>
        <w:spacing w:line="360" w:lineRule="exact"/>
        <w:rPr>
          <w:rFonts w:hAnsi="宋体"/>
          <w:b/>
          <w:color w:val="auto"/>
          <w:szCs w:val="21"/>
          <w:highlight w:val="none"/>
        </w:rPr>
      </w:pPr>
      <w:r>
        <w:rPr>
          <w:rFonts w:hint="eastAsia" w:hAnsi="宋体"/>
          <w:b/>
          <w:color w:val="auto"/>
          <w:szCs w:val="21"/>
          <w:highlight w:val="none"/>
        </w:rPr>
        <w:t xml:space="preserve">   *3．保修费用</w:t>
      </w:r>
    </w:p>
    <w:p w14:paraId="3E7424E5">
      <w:pPr>
        <w:spacing w:line="360" w:lineRule="exact"/>
        <w:rPr>
          <w:rFonts w:hAnsi="宋体"/>
          <w:color w:val="auto"/>
          <w:szCs w:val="21"/>
          <w:highlight w:val="none"/>
        </w:rPr>
      </w:pPr>
      <w:r>
        <w:rPr>
          <w:rFonts w:hint="eastAsia" w:hAnsi="宋体"/>
          <w:color w:val="auto"/>
          <w:szCs w:val="21"/>
          <w:highlight w:val="none"/>
        </w:rPr>
        <w:t xml:space="preserve">   保修费用由造成质量缺陷的责任方承担。</w:t>
      </w:r>
    </w:p>
    <w:p w14:paraId="177B6B59">
      <w:pPr>
        <w:spacing w:line="360" w:lineRule="exact"/>
        <w:rPr>
          <w:rFonts w:hAnsi="宋体"/>
          <w:b/>
          <w:color w:val="auto"/>
          <w:szCs w:val="21"/>
          <w:highlight w:val="none"/>
        </w:rPr>
      </w:pPr>
      <w:r>
        <w:rPr>
          <w:rFonts w:hint="eastAsia" w:hAnsi="宋体"/>
          <w:b/>
          <w:color w:val="auto"/>
          <w:szCs w:val="21"/>
          <w:highlight w:val="none"/>
        </w:rPr>
        <w:t>*四、质量保修金的支付</w:t>
      </w:r>
    </w:p>
    <w:p w14:paraId="25BB69FE">
      <w:pPr>
        <w:spacing w:line="360" w:lineRule="exact"/>
        <w:rPr>
          <w:rFonts w:hAnsi="宋体"/>
          <w:b/>
          <w:color w:val="auto"/>
          <w:szCs w:val="21"/>
          <w:highlight w:val="none"/>
        </w:rPr>
      </w:pPr>
      <w:r>
        <w:rPr>
          <w:rFonts w:hint="eastAsia" w:hAnsi="宋体"/>
          <w:b/>
          <w:color w:val="auto"/>
          <w:szCs w:val="21"/>
          <w:highlight w:val="none"/>
        </w:rPr>
        <w:t xml:space="preserve">    本工程约定的工程质量保修金为施工结算价的</w:t>
      </w:r>
      <w:r>
        <w:rPr>
          <w:rFonts w:hint="eastAsia" w:hAnsi="宋体"/>
          <w:b/>
          <w:color w:val="auto"/>
          <w:szCs w:val="21"/>
          <w:highlight w:val="none"/>
          <w:u w:val="single"/>
        </w:rPr>
        <w:t>3</w:t>
      </w:r>
      <w:r>
        <w:rPr>
          <w:rFonts w:hint="eastAsia" w:hAnsi="宋体"/>
          <w:b/>
          <w:color w:val="auto"/>
          <w:szCs w:val="21"/>
          <w:highlight w:val="none"/>
        </w:rPr>
        <w:t>％，质量保修金不计利息。</w:t>
      </w:r>
    </w:p>
    <w:p w14:paraId="3670904D">
      <w:pPr>
        <w:spacing w:line="360" w:lineRule="exact"/>
        <w:rPr>
          <w:rFonts w:hAnsi="宋体"/>
          <w:b/>
          <w:color w:val="auto"/>
          <w:szCs w:val="21"/>
          <w:highlight w:val="none"/>
        </w:rPr>
      </w:pPr>
      <w:r>
        <w:rPr>
          <w:rFonts w:hint="eastAsia" w:hAnsi="宋体"/>
          <w:b/>
          <w:color w:val="auto"/>
          <w:szCs w:val="21"/>
          <w:highlight w:val="none"/>
        </w:rPr>
        <w:t xml:space="preserve"> 五、质量保修金的返还</w:t>
      </w:r>
    </w:p>
    <w:p w14:paraId="186F7179">
      <w:pPr>
        <w:spacing w:line="360" w:lineRule="exact"/>
        <w:ind w:firstLine="435"/>
        <w:rPr>
          <w:rFonts w:hAnsi="宋体"/>
          <w:color w:val="auto"/>
          <w:szCs w:val="21"/>
          <w:highlight w:val="none"/>
        </w:rPr>
      </w:pPr>
      <w:r>
        <w:rPr>
          <w:rFonts w:hint="eastAsia" w:hAnsi="宋体"/>
          <w:color w:val="auto"/>
          <w:szCs w:val="21"/>
          <w:highlight w:val="none"/>
        </w:rPr>
        <w:t>发包人在应付款中扣出，在工程竣工保修期满后，14日内将质量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6DF4C69F">
      <w:pPr>
        <w:spacing w:line="360" w:lineRule="exact"/>
        <w:rPr>
          <w:rFonts w:hAnsi="宋体"/>
          <w:b/>
          <w:color w:val="auto"/>
          <w:szCs w:val="21"/>
          <w:highlight w:val="none"/>
        </w:rPr>
      </w:pPr>
      <w:r>
        <w:rPr>
          <w:rFonts w:hint="eastAsia" w:hAnsi="宋体"/>
          <w:b/>
          <w:color w:val="auto"/>
          <w:szCs w:val="21"/>
          <w:highlight w:val="none"/>
        </w:rPr>
        <w:t>六、其他</w:t>
      </w:r>
    </w:p>
    <w:p w14:paraId="50479807">
      <w:pPr>
        <w:spacing w:line="360" w:lineRule="exact"/>
        <w:ind w:firstLine="396" w:firstLineChars="189"/>
        <w:rPr>
          <w:rFonts w:hAnsi="宋体"/>
          <w:color w:val="auto"/>
          <w:szCs w:val="21"/>
          <w:highlight w:val="none"/>
          <w:u w:val="single"/>
        </w:rPr>
      </w:pPr>
      <w:r>
        <w:rPr>
          <w:rFonts w:hint="eastAsia" w:hAnsi="宋体"/>
          <w:color w:val="auto"/>
          <w:szCs w:val="21"/>
          <w:highlight w:val="none"/>
        </w:rPr>
        <w:t>双方约定的其他工程质量保修事项：。</w:t>
      </w:r>
    </w:p>
    <w:p w14:paraId="2EF9ABAE">
      <w:pPr>
        <w:spacing w:line="360" w:lineRule="exact"/>
        <w:ind w:firstLine="396" w:firstLineChars="189"/>
        <w:rPr>
          <w:rFonts w:hAnsi="宋体"/>
          <w:color w:val="auto"/>
          <w:szCs w:val="21"/>
          <w:highlight w:val="none"/>
        </w:rPr>
      </w:pPr>
      <w:r>
        <w:rPr>
          <w:rFonts w:hint="eastAsia" w:hAnsi="宋体"/>
          <w:color w:val="auto"/>
          <w:szCs w:val="21"/>
          <w:highlight w:val="none"/>
        </w:rPr>
        <w:t>本工程质量保修书作为施工合同附件，由施工合同发包人和承包人双方共同签署。</w:t>
      </w:r>
    </w:p>
    <w:p w14:paraId="18BCC9B3">
      <w:pPr>
        <w:spacing w:line="360" w:lineRule="exact"/>
        <w:rPr>
          <w:rFonts w:hAnsi="宋体"/>
          <w:color w:val="auto"/>
          <w:szCs w:val="21"/>
          <w:highlight w:val="none"/>
        </w:rPr>
      </w:pPr>
      <w:r>
        <w:rPr>
          <w:rFonts w:hint="eastAsia" w:hAnsi="宋体"/>
          <w:color w:val="auto"/>
          <w:szCs w:val="21"/>
          <w:highlight w:val="none"/>
        </w:rPr>
        <w:t>发包人(公章)：                         承包人(公章)：</w:t>
      </w:r>
    </w:p>
    <w:p w14:paraId="59B860E2">
      <w:pPr>
        <w:spacing w:line="360" w:lineRule="exact"/>
        <w:rPr>
          <w:rFonts w:hAnsi="宋体"/>
          <w:color w:val="auto"/>
          <w:szCs w:val="21"/>
          <w:highlight w:val="none"/>
        </w:rPr>
      </w:pPr>
      <w:r>
        <w:rPr>
          <w:rFonts w:hint="eastAsia" w:hAnsi="宋体"/>
          <w:color w:val="auto"/>
          <w:szCs w:val="21"/>
          <w:highlight w:val="none"/>
        </w:rPr>
        <w:t>法定代表人(签字)：                     法定代表人(签字)：</w:t>
      </w:r>
    </w:p>
    <w:p w14:paraId="48E6C640">
      <w:pPr>
        <w:spacing w:line="360" w:lineRule="exact"/>
        <w:rPr>
          <w:rFonts w:hAnsi="宋体"/>
          <w:b/>
          <w:color w:val="auto"/>
          <w:szCs w:val="21"/>
          <w:highlight w:val="none"/>
        </w:rPr>
      </w:pPr>
      <w:r>
        <w:rPr>
          <w:rFonts w:hint="eastAsia" w:hAnsi="宋体"/>
          <w:color w:val="auto"/>
          <w:szCs w:val="21"/>
          <w:highlight w:val="none"/>
        </w:rPr>
        <w:t>委托代理人(签字)：                     委托代理人(签字)：</w:t>
      </w:r>
    </w:p>
    <w:p w14:paraId="70739D5D">
      <w:pPr>
        <w:spacing w:line="360" w:lineRule="exact"/>
        <w:rPr>
          <w:rFonts w:hAnsi="宋体"/>
          <w:color w:val="auto"/>
          <w:szCs w:val="21"/>
          <w:highlight w:val="none"/>
        </w:rPr>
      </w:pPr>
      <w:r>
        <w:rPr>
          <w:rFonts w:hint="eastAsia" w:hAnsi="宋体"/>
          <w:color w:val="auto"/>
          <w:szCs w:val="21"/>
          <w:highlight w:val="none"/>
        </w:rPr>
        <w:t xml:space="preserve">年  月    日                           年  月    日  </w:t>
      </w:r>
    </w:p>
    <w:p w14:paraId="5725B652">
      <w:pPr>
        <w:spacing w:line="360" w:lineRule="exact"/>
        <w:ind w:firstLine="2310" w:firstLineChars="1100"/>
        <w:rPr>
          <w:rFonts w:hAnsi="宋体"/>
          <w:b/>
          <w:color w:val="auto"/>
          <w:szCs w:val="21"/>
          <w:highlight w:val="none"/>
        </w:rPr>
      </w:pPr>
      <w:r>
        <w:rPr>
          <w:rFonts w:hAnsi="宋体"/>
          <w:color w:val="auto"/>
          <w:szCs w:val="21"/>
          <w:highlight w:val="none"/>
        </w:rPr>
        <w:br w:type="page"/>
      </w:r>
    </w:p>
    <w:p w14:paraId="3E45DD2A">
      <w:pPr>
        <w:rPr>
          <w:rFonts w:hAnsi="宋体"/>
          <w:b/>
          <w:color w:val="auto"/>
          <w:szCs w:val="21"/>
          <w:highlight w:val="none"/>
        </w:rPr>
      </w:pPr>
      <w:r>
        <w:rPr>
          <w:rFonts w:hint="eastAsia" w:hAnsi="宋体"/>
          <w:b/>
          <w:color w:val="auto"/>
          <w:szCs w:val="21"/>
          <w:highlight w:val="none"/>
        </w:rPr>
        <w:t>附件2  廉政合同</w:t>
      </w:r>
    </w:p>
    <w:p w14:paraId="53DD3999">
      <w:pPr>
        <w:spacing w:line="380" w:lineRule="exact"/>
        <w:jc w:val="center"/>
        <w:rPr>
          <w:rFonts w:hAnsi="宋体"/>
          <w:b/>
          <w:bCs/>
          <w:color w:val="auto"/>
          <w:szCs w:val="21"/>
          <w:highlight w:val="none"/>
        </w:rPr>
      </w:pPr>
      <w:r>
        <w:rPr>
          <w:rFonts w:hint="eastAsia" w:ascii="Arial" w:hAnsi="Arial" w:cs="Arial"/>
          <w:b/>
          <w:bCs/>
          <w:color w:val="auto"/>
          <w:szCs w:val="21"/>
          <w:highlight w:val="none"/>
        </w:rPr>
        <w:t>廉政合同</w:t>
      </w:r>
    </w:p>
    <w:p w14:paraId="2340BDDC">
      <w:pPr>
        <w:spacing w:line="380" w:lineRule="exact"/>
        <w:rPr>
          <w:rFonts w:hAnsi="宋体"/>
          <w:color w:val="auto"/>
          <w:szCs w:val="21"/>
          <w:highlight w:val="none"/>
        </w:rPr>
      </w:pPr>
      <w:r>
        <w:rPr>
          <w:rFonts w:hint="eastAsia" w:hAnsi="宋体"/>
          <w:color w:val="auto"/>
          <w:szCs w:val="21"/>
          <w:highlight w:val="none"/>
        </w:rPr>
        <w:t xml:space="preserve">    根据国家有关工程建设、廉政建设的规定，为做好工程建设中的党风廉政建设，保证工程建设高效优质，保证建设资金的安全和有效使用以及投资效益，建设工程的项目法人</w:t>
      </w:r>
      <w:r>
        <w:rPr>
          <w:rFonts w:hint="eastAsia" w:hAnsi="宋体"/>
          <w:color w:val="auto"/>
          <w:szCs w:val="21"/>
          <w:highlight w:val="none"/>
          <w:u w:val="single"/>
        </w:rPr>
        <w:t>（全称）</w:t>
      </w:r>
      <w:r>
        <w:rPr>
          <w:rFonts w:hint="eastAsia" w:hAnsi="宋体"/>
          <w:color w:val="auto"/>
          <w:szCs w:val="21"/>
          <w:highlight w:val="none"/>
        </w:rPr>
        <w:t>（以下简称“甲方”）与施工单位</w:t>
      </w:r>
      <w:r>
        <w:rPr>
          <w:rFonts w:hint="eastAsia" w:hAnsi="宋体"/>
          <w:color w:val="auto"/>
          <w:szCs w:val="21"/>
          <w:highlight w:val="none"/>
          <w:u w:val="single"/>
        </w:rPr>
        <w:t>（全称）</w:t>
      </w:r>
      <w:r>
        <w:rPr>
          <w:rFonts w:hint="eastAsia" w:hAnsi="宋体"/>
          <w:color w:val="auto"/>
          <w:szCs w:val="21"/>
          <w:highlight w:val="none"/>
        </w:rPr>
        <w:t>（以下简称“乙方”），特订立如下合同。</w:t>
      </w:r>
    </w:p>
    <w:p w14:paraId="17E57000">
      <w:pPr>
        <w:spacing w:line="380" w:lineRule="exact"/>
        <w:rPr>
          <w:rFonts w:ascii="楷体_GB2312" w:hAnsi="宋体"/>
          <w:b/>
          <w:color w:val="auto"/>
          <w:szCs w:val="21"/>
          <w:highlight w:val="none"/>
        </w:rPr>
      </w:pPr>
      <w:r>
        <w:rPr>
          <w:rFonts w:hint="eastAsia" w:ascii="楷体_GB2312" w:hAnsi="宋体"/>
          <w:b/>
          <w:color w:val="auto"/>
          <w:szCs w:val="21"/>
          <w:highlight w:val="none"/>
        </w:rPr>
        <w:t xml:space="preserve"> 1.甲乙双方的权利和义务</w:t>
      </w:r>
    </w:p>
    <w:p w14:paraId="2E54CA43">
      <w:pPr>
        <w:spacing w:line="380" w:lineRule="exact"/>
        <w:ind w:firstLine="210" w:firstLineChars="100"/>
        <w:rPr>
          <w:rFonts w:hAnsi="宋体"/>
          <w:color w:val="auto"/>
          <w:szCs w:val="21"/>
          <w:highlight w:val="none"/>
        </w:rPr>
      </w:pPr>
      <w:r>
        <w:rPr>
          <w:rFonts w:hint="eastAsia" w:hAnsi="宋体"/>
          <w:color w:val="auto"/>
          <w:szCs w:val="21"/>
          <w:highlight w:val="none"/>
        </w:rPr>
        <w:t>（1）严格遵守党和国家的有关法律法规及中纪委监察部的有关规定。</w:t>
      </w:r>
    </w:p>
    <w:p w14:paraId="31584FE4">
      <w:pPr>
        <w:spacing w:line="380" w:lineRule="exact"/>
        <w:ind w:firstLine="210" w:firstLineChars="100"/>
        <w:rPr>
          <w:rFonts w:hAnsi="宋体"/>
          <w:color w:val="auto"/>
          <w:szCs w:val="21"/>
          <w:highlight w:val="none"/>
        </w:rPr>
      </w:pPr>
      <w:r>
        <w:rPr>
          <w:rFonts w:hint="eastAsia" w:hAnsi="宋体"/>
          <w:color w:val="auto"/>
          <w:szCs w:val="21"/>
          <w:highlight w:val="none"/>
        </w:rPr>
        <w:t>（2）严格执行</w:t>
      </w:r>
      <w:r>
        <w:rPr>
          <w:rFonts w:hint="eastAsia" w:hAnsi="宋体"/>
          <w:color w:val="auto"/>
          <w:szCs w:val="21"/>
          <w:highlight w:val="none"/>
          <w:u w:val="single"/>
        </w:rPr>
        <w:t>（项目名称）</w:t>
      </w:r>
      <w:r>
        <w:rPr>
          <w:rFonts w:hint="eastAsia" w:hAnsi="宋体"/>
          <w:color w:val="auto"/>
          <w:szCs w:val="21"/>
          <w:highlight w:val="none"/>
        </w:rPr>
        <w:t>工程的合同文件，自觉按合同办事。</w:t>
      </w:r>
    </w:p>
    <w:p w14:paraId="7BD5AEC4">
      <w:pPr>
        <w:spacing w:line="380" w:lineRule="exact"/>
        <w:ind w:firstLine="210" w:firstLineChars="100"/>
        <w:rPr>
          <w:rFonts w:hAnsi="宋体"/>
          <w:color w:val="auto"/>
          <w:szCs w:val="21"/>
          <w:highlight w:val="none"/>
        </w:rPr>
      </w:pPr>
      <w:r>
        <w:rPr>
          <w:rFonts w:hint="eastAsia"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6AAE4460">
      <w:pPr>
        <w:spacing w:line="380" w:lineRule="exact"/>
        <w:ind w:firstLine="210" w:firstLineChars="100"/>
        <w:rPr>
          <w:rFonts w:hAnsi="宋体"/>
          <w:color w:val="auto"/>
          <w:szCs w:val="21"/>
          <w:highlight w:val="none"/>
        </w:rPr>
      </w:pPr>
      <w:r>
        <w:rPr>
          <w:rFonts w:hint="eastAsia" w:hAnsi="宋体"/>
          <w:color w:val="auto"/>
          <w:szCs w:val="21"/>
          <w:highlight w:val="none"/>
        </w:rPr>
        <w:t>（4）建立健全廉政制度，开展廉政教育，设立廉政告示牌，公布举报电话，监督并认真查处违法违纪行为。</w:t>
      </w:r>
    </w:p>
    <w:p w14:paraId="722DAA5E">
      <w:pPr>
        <w:spacing w:line="380" w:lineRule="exact"/>
        <w:ind w:firstLine="85" w:firstLineChars="50"/>
        <w:jc w:val="distribute"/>
        <w:rPr>
          <w:rFonts w:hAnsi="宋体"/>
          <w:color w:val="auto"/>
          <w:spacing w:val="-20"/>
          <w:szCs w:val="21"/>
          <w:highlight w:val="none"/>
        </w:rPr>
      </w:pPr>
      <w:r>
        <w:rPr>
          <w:rFonts w:hint="eastAsia" w:hAnsi="宋体"/>
          <w:color w:val="auto"/>
          <w:spacing w:val="-20"/>
          <w:szCs w:val="21"/>
          <w:highlight w:val="none"/>
        </w:rPr>
        <w:t xml:space="preserve">  （5）发现对方在业务活动中有违反廉政规定的行为，有及时提醒对方纠正的权利和义务。</w:t>
      </w:r>
    </w:p>
    <w:p w14:paraId="140F096F">
      <w:pPr>
        <w:spacing w:line="380" w:lineRule="exact"/>
        <w:ind w:firstLine="210" w:firstLineChars="100"/>
        <w:rPr>
          <w:rFonts w:hAnsi="宋体"/>
          <w:color w:val="auto"/>
          <w:spacing w:val="-20"/>
          <w:szCs w:val="21"/>
          <w:highlight w:val="none"/>
        </w:rPr>
      </w:pPr>
      <w:r>
        <w:rPr>
          <w:rFonts w:hint="eastAsia" w:hAnsi="宋体"/>
          <w:color w:val="auto"/>
          <w:szCs w:val="21"/>
          <w:highlight w:val="none"/>
        </w:rPr>
        <w:t>（6）发现对方严重违反本合同义务条款的行为，有向其上级有关部门举报、建议给予处理并要求告知处理结果的权利。</w:t>
      </w:r>
    </w:p>
    <w:p w14:paraId="7899E732">
      <w:pPr>
        <w:spacing w:line="380" w:lineRule="exact"/>
        <w:rPr>
          <w:rFonts w:ascii="楷体_GB2312" w:hAnsi="宋体"/>
          <w:b/>
          <w:color w:val="auto"/>
          <w:szCs w:val="21"/>
          <w:highlight w:val="none"/>
        </w:rPr>
      </w:pPr>
      <w:r>
        <w:rPr>
          <w:rFonts w:hint="eastAsia" w:hAnsi="宋体"/>
          <w:color w:val="auto"/>
          <w:szCs w:val="21"/>
          <w:highlight w:val="none"/>
        </w:rPr>
        <w:t xml:space="preserve">    2</w:t>
      </w:r>
      <w:r>
        <w:rPr>
          <w:rFonts w:hint="eastAsia" w:ascii="楷体_GB2312" w:hAnsi="宋体"/>
          <w:b/>
          <w:color w:val="auto"/>
          <w:szCs w:val="21"/>
          <w:highlight w:val="none"/>
        </w:rPr>
        <w:t>.甲方的义务</w:t>
      </w:r>
    </w:p>
    <w:p w14:paraId="020DE736">
      <w:pPr>
        <w:spacing w:line="380" w:lineRule="exact"/>
        <w:rPr>
          <w:rFonts w:hAnsi="宋体"/>
          <w:color w:val="auto"/>
          <w:szCs w:val="21"/>
          <w:highlight w:val="none"/>
        </w:rPr>
      </w:pPr>
      <w:r>
        <w:rPr>
          <w:rFonts w:hint="eastAsia" w:hAnsi="宋体"/>
          <w:color w:val="auto"/>
          <w:szCs w:val="21"/>
          <w:highlight w:val="none"/>
        </w:rPr>
        <w:t xml:space="preserve">    （1）甲方及其工作人员不得索要或接受乙方的礼金、有价证券和贵重物品，不得在乙方报销任何应由甲方或甲方工作人员个人支付的费用等。</w:t>
      </w:r>
    </w:p>
    <w:p w14:paraId="683B13C5">
      <w:pPr>
        <w:spacing w:line="380" w:lineRule="exact"/>
        <w:rPr>
          <w:rFonts w:hAnsi="宋体"/>
          <w:color w:val="auto"/>
          <w:szCs w:val="21"/>
          <w:highlight w:val="none"/>
        </w:rPr>
      </w:pPr>
      <w:r>
        <w:rPr>
          <w:rFonts w:hint="eastAsia" w:hAnsi="宋体"/>
          <w:color w:val="auto"/>
          <w:szCs w:val="21"/>
          <w:highlight w:val="none"/>
        </w:rPr>
        <w:t xml:space="preserve">    （2）甲方工作人员不得参加乙方安排的超标准宴请和娱乐活动；不得接受乙方提供的通讯工具、交通工具和高档办公用品等。</w:t>
      </w:r>
    </w:p>
    <w:p w14:paraId="058AADFC">
      <w:pPr>
        <w:spacing w:line="380" w:lineRule="exact"/>
        <w:rPr>
          <w:rFonts w:hAnsi="宋体"/>
          <w:color w:val="auto"/>
          <w:szCs w:val="21"/>
          <w:highlight w:val="none"/>
        </w:rPr>
      </w:pPr>
      <w:r>
        <w:rPr>
          <w:rFonts w:hint="eastAsia" w:hAnsi="宋体"/>
          <w:color w:val="auto"/>
          <w:szCs w:val="21"/>
          <w:highlight w:val="none"/>
        </w:rPr>
        <w:t xml:space="preserve">    （3）甲方及其工作人员不得要求或者接受乙方为其住房装修、婚丧嫁娶活动、配偶子女的工作安排以及出国出境、旅游等提供方便等。</w:t>
      </w:r>
    </w:p>
    <w:p w14:paraId="352BE1BC">
      <w:pPr>
        <w:spacing w:line="380" w:lineRule="exact"/>
        <w:rPr>
          <w:rFonts w:hAnsi="宋体"/>
          <w:color w:val="auto"/>
          <w:szCs w:val="21"/>
          <w:highlight w:val="none"/>
        </w:rPr>
      </w:pPr>
      <w:r>
        <w:rPr>
          <w:rFonts w:hint="eastAsia" w:hAnsi="宋体"/>
          <w:color w:val="auto"/>
          <w:szCs w:val="21"/>
          <w:highlight w:val="none"/>
        </w:rPr>
        <w:t xml:space="preserve">    （4）甲方工作人及其配偶、子女不得从事与甲方工程有关的材料设备供应、工程分包、劳务等经济活动等。</w:t>
      </w:r>
    </w:p>
    <w:p w14:paraId="148B0678">
      <w:pPr>
        <w:spacing w:line="380" w:lineRule="exact"/>
        <w:rPr>
          <w:rFonts w:hAnsi="宋体"/>
          <w:color w:val="auto"/>
          <w:szCs w:val="21"/>
          <w:highlight w:val="none"/>
        </w:rPr>
      </w:pPr>
      <w:r>
        <w:rPr>
          <w:rFonts w:hint="eastAsia" w:hAnsi="宋体"/>
          <w:color w:val="auto"/>
          <w:szCs w:val="21"/>
          <w:highlight w:val="none"/>
        </w:rPr>
        <w:t xml:space="preserve">    （5）甲方及其工作人员不得以任何理由向乙方推荐分包单位或推销材料，不得要求乙方购买合同规定外的材料和设备。</w:t>
      </w:r>
    </w:p>
    <w:p w14:paraId="098AE295">
      <w:pPr>
        <w:spacing w:line="380" w:lineRule="exact"/>
        <w:rPr>
          <w:rFonts w:hAnsi="宋体"/>
          <w:color w:val="auto"/>
          <w:szCs w:val="21"/>
          <w:highlight w:val="none"/>
        </w:rPr>
      </w:pPr>
      <w:r>
        <w:rPr>
          <w:rFonts w:hint="eastAsia" w:hAnsi="宋体"/>
          <w:color w:val="auto"/>
          <w:szCs w:val="21"/>
          <w:highlight w:val="none"/>
        </w:rPr>
        <w:t xml:space="preserve">    （6）甲方工作人员要秉公办事，不准营私舞弊，不准利用职权从事各种个人有偿中介活动和安排个人施工队伍。</w:t>
      </w:r>
    </w:p>
    <w:p w14:paraId="249AF69F">
      <w:pPr>
        <w:spacing w:line="380" w:lineRule="exact"/>
        <w:rPr>
          <w:rFonts w:ascii="楷体_GB2312" w:hAnsi="宋体"/>
          <w:b/>
          <w:color w:val="auto"/>
          <w:szCs w:val="21"/>
          <w:highlight w:val="none"/>
        </w:rPr>
      </w:pPr>
      <w:r>
        <w:rPr>
          <w:rFonts w:hint="eastAsia" w:ascii="楷体_GB2312" w:hAnsi="宋体"/>
          <w:b/>
          <w:color w:val="auto"/>
          <w:szCs w:val="21"/>
          <w:highlight w:val="none"/>
        </w:rPr>
        <w:t>3.乙方义务</w:t>
      </w:r>
    </w:p>
    <w:p w14:paraId="7D8FE828">
      <w:pPr>
        <w:spacing w:line="380" w:lineRule="exact"/>
        <w:ind w:firstLine="420"/>
        <w:jc w:val="distribute"/>
        <w:rPr>
          <w:rFonts w:hAnsi="宋体"/>
          <w:color w:val="auto"/>
          <w:spacing w:val="-20"/>
          <w:szCs w:val="21"/>
          <w:highlight w:val="none"/>
        </w:rPr>
      </w:pPr>
      <w:r>
        <w:rPr>
          <w:rFonts w:hint="eastAsia" w:hAnsi="宋体"/>
          <w:color w:val="auto"/>
          <w:spacing w:val="-20"/>
          <w:szCs w:val="21"/>
          <w:highlight w:val="none"/>
        </w:rPr>
        <w:t>（1）乙方不得以任何理由向甲方及其工作人员行贿或馈赠礼金、有价证券、贵重礼品。</w:t>
      </w:r>
    </w:p>
    <w:p w14:paraId="177863B7">
      <w:pPr>
        <w:spacing w:line="380" w:lineRule="exact"/>
        <w:ind w:firstLine="420"/>
        <w:jc w:val="distribute"/>
        <w:rPr>
          <w:rFonts w:hAnsi="宋体"/>
          <w:color w:val="auto"/>
          <w:spacing w:val="-20"/>
          <w:szCs w:val="21"/>
          <w:highlight w:val="none"/>
        </w:rPr>
      </w:pPr>
      <w:r>
        <w:rPr>
          <w:rFonts w:hint="eastAsia" w:hAnsi="宋体"/>
          <w:color w:val="auto"/>
          <w:spacing w:val="-20"/>
          <w:szCs w:val="21"/>
          <w:highlight w:val="none"/>
        </w:rPr>
        <w:t>（2）乙方不得以任何名义为甲方及其工作人员报销应由甲方单位或个人支付的任何费用。</w:t>
      </w:r>
    </w:p>
    <w:p w14:paraId="748F92C5">
      <w:pPr>
        <w:spacing w:line="380" w:lineRule="exact"/>
        <w:jc w:val="distribute"/>
        <w:rPr>
          <w:rFonts w:hAnsi="宋体"/>
          <w:color w:val="auto"/>
          <w:spacing w:val="-20"/>
          <w:szCs w:val="21"/>
          <w:highlight w:val="none"/>
        </w:rPr>
      </w:pPr>
      <w:r>
        <w:rPr>
          <w:rFonts w:hint="eastAsia" w:hAnsi="宋体"/>
          <w:color w:val="auto"/>
          <w:spacing w:val="-20"/>
          <w:szCs w:val="21"/>
          <w:highlight w:val="none"/>
        </w:rPr>
        <w:t xml:space="preserve">      （3）乙方不得以任何理由安排甲方工作人员参加超标准宴请及娱乐活动。</w:t>
      </w:r>
    </w:p>
    <w:p w14:paraId="7A33DDD7">
      <w:pPr>
        <w:spacing w:line="380" w:lineRule="exact"/>
        <w:jc w:val="distribute"/>
        <w:rPr>
          <w:rFonts w:hAnsi="宋体"/>
          <w:color w:val="auto"/>
          <w:spacing w:val="-20"/>
          <w:szCs w:val="21"/>
          <w:highlight w:val="none"/>
        </w:rPr>
      </w:pPr>
      <w:r>
        <w:rPr>
          <w:rFonts w:hint="eastAsia" w:hAnsi="宋体"/>
          <w:color w:val="auto"/>
          <w:szCs w:val="21"/>
          <w:highlight w:val="none"/>
        </w:rPr>
        <w:t>（4）乙方不得为甲方单位和个人购置或提供通讯工具、交通工具和高档办公用品等。</w:t>
      </w:r>
    </w:p>
    <w:p w14:paraId="15167938">
      <w:pPr>
        <w:spacing w:line="380" w:lineRule="exact"/>
        <w:rPr>
          <w:rFonts w:ascii="楷体_GB2312" w:hAnsi="宋体"/>
          <w:b/>
          <w:color w:val="auto"/>
          <w:szCs w:val="21"/>
          <w:highlight w:val="none"/>
        </w:rPr>
      </w:pPr>
      <w:r>
        <w:rPr>
          <w:rFonts w:hint="eastAsia" w:ascii="楷体_GB2312" w:hAnsi="宋体"/>
          <w:b/>
          <w:color w:val="auto"/>
          <w:szCs w:val="21"/>
          <w:highlight w:val="none"/>
        </w:rPr>
        <w:t xml:space="preserve"> 4.违约责任</w:t>
      </w:r>
    </w:p>
    <w:p w14:paraId="75FDD3AC">
      <w:pPr>
        <w:spacing w:line="380" w:lineRule="exact"/>
        <w:rPr>
          <w:rFonts w:hAnsi="宋体"/>
          <w:color w:val="auto"/>
          <w:szCs w:val="21"/>
          <w:highlight w:val="none"/>
        </w:rPr>
      </w:pPr>
      <w:r>
        <w:rPr>
          <w:rFonts w:hint="eastAsia" w:hAnsi="宋体"/>
          <w:color w:val="auto"/>
          <w:szCs w:val="21"/>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423F0B30">
      <w:pPr>
        <w:spacing w:line="380" w:lineRule="exact"/>
        <w:rPr>
          <w:rFonts w:hAnsi="宋体"/>
          <w:color w:val="auto"/>
          <w:szCs w:val="21"/>
          <w:highlight w:val="none"/>
        </w:rPr>
      </w:pPr>
      <w:r>
        <w:rPr>
          <w:rFonts w:hint="eastAsia" w:hAnsi="宋体"/>
          <w:color w:val="auto"/>
          <w:szCs w:val="21"/>
          <w:highlight w:val="none"/>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019DA360">
      <w:pPr>
        <w:spacing w:line="380" w:lineRule="exact"/>
        <w:rPr>
          <w:rFonts w:hAnsi="宋体"/>
          <w:color w:val="auto"/>
          <w:szCs w:val="21"/>
          <w:highlight w:val="none"/>
        </w:rPr>
      </w:pPr>
      <w:r>
        <w:rPr>
          <w:rFonts w:hint="eastAsia" w:ascii="楷体_GB2312" w:hAnsi="宋体"/>
          <w:b/>
          <w:color w:val="auto"/>
          <w:szCs w:val="21"/>
          <w:highlight w:val="none"/>
        </w:rPr>
        <w:t>5.双方约定</w:t>
      </w:r>
      <w:r>
        <w:rPr>
          <w:rFonts w:hint="eastAsia" w:hAnsi="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51164076">
      <w:pPr>
        <w:spacing w:line="380" w:lineRule="exact"/>
        <w:rPr>
          <w:rFonts w:hAnsi="宋体"/>
          <w:color w:val="auto"/>
          <w:szCs w:val="21"/>
          <w:highlight w:val="none"/>
        </w:rPr>
      </w:pPr>
      <w:r>
        <w:rPr>
          <w:rFonts w:hint="eastAsia" w:hAnsi="宋体"/>
          <w:color w:val="auto"/>
          <w:szCs w:val="21"/>
          <w:highlight w:val="none"/>
        </w:rPr>
        <w:t xml:space="preserve">    6.本合同有效期为甲乙双签署之日起至该工程项目竣工验收后止。</w:t>
      </w:r>
    </w:p>
    <w:p w14:paraId="507D1413">
      <w:pPr>
        <w:spacing w:line="380" w:lineRule="exact"/>
        <w:rPr>
          <w:rFonts w:hAnsi="宋体"/>
          <w:color w:val="auto"/>
          <w:szCs w:val="21"/>
          <w:highlight w:val="none"/>
        </w:rPr>
      </w:pPr>
      <w:r>
        <w:rPr>
          <w:rFonts w:hint="eastAsia" w:hAnsi="宋体"/>
          <w:color w:val="auto"/>
          <w:szCs w:val="21"/>
          <w:highlight w:val="none"/>
        </w:rPr>
        <w:t xml:space="preserve">    7.本合同作为</w:t>
      </w:r>
      <w:r>
        <w:rPr>
          <w:rFonts w:hint="eastAsia" w:hAnsi="宋体"/>
          <w:color w:val="auto"/>
          <w:szCs w:val="21"/>
          <w:highlight w:val="none"/>
          <w:u w:val="single"/>
        </w:rPr>
        <w:t>（项目名称）</w:t>
      </w:r>
      <w:r>
        <w:rPr>
          <w:rFonts w:hint="eastAsia" w:hAnsi="宋体"/>
          <w:color w:val="auto"/>
          <w:szCs w:val="21"/>
          <w:highlight w:val="none"/>
        </w:rPr>
        <w:t>工程施工合同的附件，与工程施工合同具有同等的法律效力，经合同双方签署立即生效。</w:t>
      </w:r>
    </w:p>
    <w:p w14:paraId="4B1A2E8C">
      <w:pPr>
        <w:spacing w:line="380" w:lineRule="exact"/>
        <w:rPr>
          <w:rFonts w:hAnsi="宋体"/>
          <w:color w:val="auto"/>
          <w:szCs w:val="21"/>
          <w:highlight w:val="none"/>
        </w:rPr>
      </w:pPr>
      <w:r>
        <w:rPr>
          <w:rFonts w:hint="eastAsia" w:hAnsi="宋体"/>
          <w:color w:val="auto"/>
          <w:szCs w:val="21"/>
          <w:highlight w:val="none"/>
        </w:rPr>
        <w:t xml:space="preserve">    8.本合同一式四份，由甲乙双方各执一份，送交甲乙双方的监督单位各一份。</w:t>
      </w:r>
    </w:p>
    <w:p w14:paraId="27084209">
      <w:pPr>
        <w:spacing w:line="380" w:lineRule="exact"/>
        <w:ind w:firstLine="315" w:firstLineChars="150"/>
        <w:rPr>
          <w:rFonts w:hAnsi="宋体"/>
          <w:color w:val="auto"/>
          <w:szCs w:val="21"/>
          <w:highlight w:val="none"/>
        </w:rPr>
      </w:pPr>
    </w:p>
    <w:p w14:paraId="5A9492CE">
      <w:pPr>
        <w:spacing w:line="380" w:lineRule="exact"/>
        <w:ind w:firstLine="315" w:firstLineChars="150"/>
        <w:rPr>
          <w:rFonts w:hAnsi="宋体"/>
          <w:color w:val="auto"/>
          <w:szCs w:val="21"/>
          <w:highlight w:val="none"/>
        </w:rPr>
      </w:pPr>
    </w:p>
    <w:p w14:paraId="01CA709C">
      <w:pPr>
        <w:spacing w:line="380" w:lineRule="exact"/>
        <w:ind w:firstLine="315" w:firstLineChars="150"/>
        <w:rPr>
          <w:rFonts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45975078">
      <w:pPr>
        <w:spacing w:line="380" w:lineRule="exact"/>
        <w:ind w:firstLine="315" w:firstLineChars="150"/>
        <w:rPr>
          <w:rFonts w:hAnsi="宋体"/>
          <w:color w:val="auto"/>
          <w:szCs w:val="21"/>
          <w:highlight w:val="none"/>
        </w:rPr>
      </w:pPr>
      <w:r>
        <w:rPr>
          <w:rFonts w:hint="eastAsia" w:hAnsi="宋体"/>
          <w:color w:val="auto"/>
          <w:szCs w:val="21"/>
          <w:highlight w:val="none"/>
        </w:rPr>
        <w:t>法定代表人(签字)：                     法定代表人(签字)：</w:t>
      </w:r>
    </w:p>
    <w:p w14:paraId="46427AF0">
      <w:pPr>
        <w:spacing w:line="380" w:lineRule="exact"/>
        <w:ind w:firstLine="315" w:firstLineChars="150"/>
        <w:rPr>
          <w:rFonts w:hAnsi="宋体"/>
          <w:color w:val="auto"/>
          <w:szCs w:val="21"/>
          <w:highlight w:val="none"/>
        </w:rPr>
      </w:pPr>
      <w:r>
        <w:rPr>
          <w:rFonts w:hint="eastAsia" w:hAnsi="宋体"/>
          <w:color w:val="auto"/>
          <w:szCs w:val="21"/>
          <w:highlight w:val="none"/>
        </w:rPr>
        <w:t>委托代理人(签字)：                     委托代理人(签字)：</w:t>
      </w:r>
    </w:p>
    <w:p w14:paraId="3B82E72B">
      <w:pPr>
        <w:spacing w:line="380" w:lineRule="exact"/>
        <w:ind w:firstLine="315" w:firstLineChars="150"/>
        <w:rPr>
          <w:rFonts w:hAnsi="宋体"/>
          <w:color w:val="auto"/>
          <w:szCs w:val="21"/>
          <w:highlight w:val="none"/>
        </w:rPr>
      </w:pPr>
      <w:r>
        <w:rPr>
          <w:rFonts w:hint="eastAsia" w:hAnsi="宋体"/>
          <w:color w:val="auto"/>
          <w:szCs w:val="21"/>
          <w:highlight w:val="none"/>
        </w:rPr>
        <w:t>地         址：                        地         址：</w:t>
      </w:r>
    </w:p>
    <w:p w14:paraId="4560A5AE">
      <w:pPr>
        <w:spacing w:line="380" w:lineRule="exact"/>
        <w:ind w:firstLine="315" w:firstLineChars="150"/>
        <w:rPr>
          <w:rFonts w:hAnsi="宋体"/>
          <w:color w:val="auto"/>
          <w:szCs w:val="21"/>
          <w:highlight w:val="none"/>
        </w:rPr>
      </w:pPr>
      <w:r>
        <w:rPr>
          <w:rFonts w:hint="eastAsia" w:hAnsi="宋体"/>
          <w:color w:val="auto"/>
          <w:szCs w:val="21"/>
          <w:highlight w:val="none"/>
        </w:rPr>
        <w:t>电         话：                        电         话：</w:t>
      </w:r>
    </w:p>
    <w:p w14:paraId="3DECB3EE">
      <w:pPr>
        <w:spacing w:line="380" w:lineRule="exact"/>
        <w:ind w:firstLine="315" w:firstLineChars="150"/>
        <w:rPr>
          <w:rFonts w:hAnsi="宋体"/>
          <w:color w:val="auto"/>
          <w:szCs w:val="21"/>
          <w:highlight w:val="none"/>
        </w:rPr>
      </w:pPr>
      <w:r>
        <w:rPr>
          <w:rFonts w:hint="eastAsia" w:hAnsi="宋体"/>
          <w:color w:val="auto"/>
          <w:szCs w:val="21"/>
          <w:highlight w:val="none"/>
        </w:rPr>
        <w:t>日         期：                        日         期：</w:t>
      </w:r>
    </w:p>
    <w:p w14:paraId="557C5EE0">
      <w:pPr>
        <w:spacing w:line="360" w:lineRule="auto"/>
        <w:rPr>
          <w:rFonts w:hAnsi="宋体"/>
          <w:color w:val="auto"/>
          <w:szCs w:val="21"/>
          <w:highlight w:val="none"/>
        </w:rPr>
      </w:pPr>
    </w:p>
    <w:p w14:paraId="6A40973F">
      <w:pPr>
        <w:spacing w:line="360" w:lineRule="auto"/>
        <w:rPr>
          <w:rFonts w:hAnsi="宋体"/>
          <w:color w:val="auto"/>
          <w:szCs w:val="21"/>
          <w:highlight w:val="none"/>
        </w:rPr>
      </w:pPr>
    </w:p>
    <w:p w14:paraId="16AE6C6F">
      <w:pPr>
        <w:spacing w:line="360" w:lineRule="auto"/>
        <w:rPr>
          <w:rFonts w:hAnsi="宋体"/>
          <w:color w:val="auto"/>
          <w:szCs w:val="21"/>
          <w:highlight w:val="none"/>
        </w:rPr>
      </w:pPr>
    </w:p>
    <w:p w14:paraId="2ABFD59E">
      <w:pPr>
        <w:spacing w:line="360" w:lineRule="auto"/>
        <w:rPr>
          <w:rFonts w:hAnsi="宋体"/>
          <w:color w:val="auto"/>
          <w:szCs w:val="21"/>
          <w:highlight w:val="none"/>
        </w:rPr>
      </w:pPr>
    </w:p>
    <w:p w14:paraId="4F344192">
      <w:pPr>
        <w:spacing w:line="360" w:lineRule="auto"/>
        <w:rPr>
          <w:rFonts w:hAnsi="宋体"/>
          <w:color w:val="auto"/>
          <w:szCs w:val="21"/>
          <w:highlight w:val="none"/>
        </w:rPr>
      </w:pPr>
    </w:p>
    <w:p w14:paraId="0BBB81CD">
      <w:pPr>
        <w:spacing w:line="360" w:lineRule="auto"/>
        <w:rPr>
          <w:rFonts w:hAnsi="宋体"/>
          <w:color w:val="auto"/>
          <w:szCs w:val="21"/>
          <w:highlight w:val="none"/>
        </w:rPr>
      </w:pPr>
    </w:p>
    <w:p w14:paraId="71930814">
      <w:pPr>
        <w:spacing w:line="360" w:lineRule="auto"/>
        <w:rPr>
          <w:rFonts w:hAnsi="宋体"/>
          <w:color w:val="auto"/>
          <w:szCs w:val="21"/>
          <w:highlight w:val="none"/>
        </w:rPr>
      </w:pPr>
    </w:p>
    <w:p w14:paraId="6EDCC979">
      <w:pPr>
        <w:spacing w:line="360" w:lineRule="auto"/>
        <w:rPr>
          <w:rFonts w:hAnsi="宋体"/>
          <w:color w:val="auto"/>
          <w:szCs w:val="21"/>
          <w:highlight w:val="none"/>
        </w:rPr>
      </w:pPr>
    </w:p>
    <w:p w14:paraId="453EAE5C">
      <w:pPr>
        <w:spacing w:line="360" w:lineRule="auto"/>
        <w:rPr>
          <w:rFonts w:hAnsi="宋体"/>
          <w:color w:val="auto"/>
          <w:szCs w:val="21"/>
          <w:highlight w:val="none"/>
        </w:rPr>
      </w:pPr>
    </w:p>
    <w:p w14:paraId="1B1EBAAF">
      <w:pPr>
        <w:spacing w:line="360" w:lineRule="auto"/>
        <w:rPr>
          <w:rFonts w:hAnsi="宋体"/>
          <w:color w:val="auto"/>
          <w:szCs w:val="21"/>
          <w:highlight w:val="none"/>
        </w:rPr>
      </w:pPr>
    </w:p>
    <w:p w14:paraId="6EEEA9C2">
      <w:pPr>
        <w:spacing w:line="360" w:lineRule="auto"/>
        <w:rPr>
          <w:rFonts w:hAnsi="宋体"/>
          <w:color w:val="auto"/>
          <w:szCs w:val="21"/>
          <w:highlight w:val="none"/>
        </w:rPr>
      </w:pPr>
    </w:p>
    <w:p w14:paraId="2651868D">
      <w:pPr>
        <w:spacing w:line="360" w:lineRule="auto"/>
        <w:rPr>
          <w:rFonts w:hAnsi="宋体"/>
          <w:color w:val="auto"/>
          <w:szCs w:val="21"/>
          <w:highlight w:val="none"/>
        </w:rPr>
      </w:pPr>
    </w:p>
    <w:p w14:paraId="04793D07">
      <w:pPr>
        <w:spacing w:line="360" w:lineRule="auto"/>
        <w:rPr>
          <w:rFonts w:hAnsi="宋体"/>
          <w:color w:val="auto"/>
          <w:szCs w:val="21"/>
          <w:highlight w:val="none"/>
        </w:rPr>
      </w:pPr>
    </w:p>
    <w:p w14:paraId="52672A5B">
      <w:pPr>
        <w:spacing w:line="360" w:lineRule="auto"/>
        <w:rPr>
          <w:rFonts w:hAnsi="宋体"/>
          <w:color w:val="auto"/>
          <w:szCs w:val="21"/>
          <w:highlight w:val="none"/>
        </w:rPr>
      </w:pPr>
    </w:p>
    <w:p w14:paraId="6312A7B1">
      <w:pPr>
        <w:rPr>
          <w:rFonts w:hAnsi="宋体"/>
          <w:b/>
          <w:color w:val="auto"/>
          <w:szCs w:val="21"/>
          <w:highlight w:val="none"/>
        </w:rPr>
      </w:pPr>
    </w:p>
    <w:p w14:paraId="7453CE38">
      <w:pPr>
        <w:rPr>
          <w:rFonts w:ascii="黑体" w:eastAsia="黑体"/>
          <w:color w:val="auto"/>
          <w:szCs w:val="21"/>
          <w:highlight w:val="none"/>
        </w:rPr>
      </w:pPr>
      <w:r>
        <w:rPr>
          <w:rFonts w:hint="eastAsia" w:hAnsi="宋体"/>
          <w:b/>
          <w:color w:val="auto"/>
          <w:szCs w:val="21"/>
          <w:highlight w:val="none"/>
        </w:rPr>
        <w:t>附件3   安全生产合同</w:t>
      </w:r>
    </w:p>
    <w:p w14:paraId="4290B980">
      <w:pPr>
        <w:spacing w:line="400" w:lineRule="exact"/>
        <w:jc w:val="center"/>
        <w:rPr>
          <w:rFonts w:hAnsi="宋体"/>
          <w:b/>
          <w:bCs/>
          <w:color w:val="auto"/>
          <w:szCs w:val="21"/>
          <w:highlight w:val="none"/>
        </w:rPr>
      </w:pPr>
      <w:r>
        <w:rPr>
          <w:rFonts w:hint="eastAsia" w:ascii="Arial" w:hAnsi="Arial" w:cs="Arial"/>
          <w:b/>
          <w:bCs/>
          <w:color w:val="auto"/>
          <w:szCs w:val="21"/>
          <w:highlight w:val="none"/>
        </w:rPr>
        <w:t>安全生产合同</w:t>
      </w:r>
    </w:p>
    <w:p w14:paraId="41CBEEEC">
      <w:pPr>
        <w:spacing w:line="400" w:lineRule="exact"/>
        <w:rPr>
          <w:rFonts w:hAnsi="宋体"/>
          <w:color w:val="auto"/>
          <w:szCs w:val="21"/>
          <w:highlight w:val="none"/>
        </w:rPr>
      </w:pPr>
      <w:r>
        <w:rPr>
          <w:rFonts w:hint="eastAsia" w:hAnsi="宋体"/>
          <w:color w:val="auto"/>
          <w:szCs w:val="21"/>
          <w:highlight w:val="none"/>
        </w:rPr>
        <w:t xml:space="preserve">    为在施工合同的实施过程中创造安全、高效的施工环境，切实搞好本项目的安全管理工作，本项目业主（以下简称“甲方”）与承包人</w:t>
      </w:r>
      <w:r>
        <w:rPr>
          <w:rFonts w:hint="eastAsia" w:hAnsi="宋体"/>
          <w:color w:val="auto"/>
          <w:szCs w:val="21"/>
          <w:highlight w:val="none"/>
          <w:u w:val="single"/>
        </w:rPr>
        <w:t xml:space="preserve">     （全称）      </w:t>
      </w:r>
      <w:r>
        <w:rPr>
          <w:rFonts w:hint="eastAsia" w:hAnsi="宋体"/>
          <w:color w:val="auto"/>
          <w:szCs w:val="21"/>
          <w:highlight w:val="none"/>
        </w:rPr>
        <w:t>（以下简称“乙方”）特此签订安全生产合同：</w:t>
      </w:r>
    </w:p>
    <w:p w14:paraId="28BBE066">
      <w:pPr>
        <w:spacing w:line="400" w:lineRule="exact"/>
        <w:rPr>
          <w:rFonts w:hAnsi="宋体"/>
          <w:b/>
          <w:color w:val="auto"/>
          <w:szCs w:val="21"/>
          <w:highlight w:val="none"/>
        </w:rPr>
      </w:pPr>
      <w:r>
        <w:rPr>
          <w:rFonts w:hint="eastAsia" w:hAnsi="宋体"/>
          <w:b/>
          <w:color w:val="auto"/>
          <w:szCs w:val="21"/>
          <w:highlight w:val="none"/>
        </w:rPr>
        <w:t>一、甲方职责</w:t>
      </w:r>
    </w:p>
    <w:p w14:paraId="7AC77CA9">
      <w:pPr>
        <w:spacing w:line="400" w:lineRule="exact"/>
        <w:jc w:val="distribute"/>
        <w:rPr>
          <w:rFonts w:hAnsi="宋体"/>
          <w:color w:val="auto"/>
          <w:spacing w:val="-20"/>
          <w:szCs w:val="21"/>
          <w:highlight w:val="none"/>
        </w:rPr>
      </w:pPr>
      <w:r>
        <w:rPr>
          <w:rFonts w:hint="eastAsia" w:hAnsi="宋体"/>
          <w:color w:val="auto"/>
          <w:spacing w:val="-20"/>
          <w:szCs w:val="21"/>
          <w:highlight w:val="none"/>
        </w:rPr>
        <w:t xml:space="preserve"> 1.严格遵守国家有关安全生产的法律法规，认真执行工程承包合同中的有关安全要求。</w:t>
      </w:r>
    </w:p>
    <w:p w14:paraId="15ABD049">
      <w:pPr>
        <w:spacing w:line="400" w:lineRule="exact"/>
        <w:rPr>
          <w:rFonts w:hAnsi="宋体"/>
          <w:color w:val="auto"/>
          <w:szCs w:val="21"/>
          <w:highlight w:val="none"/>
        </w:rPr>
      </w:pPr>
      <w:r>
        <w:rPr>
          <w:rFonts w:hint="eastAsia" w:hAnsi="宋体"/>
          <w:color w:val="auto"/>
          <w:szCs w:val="21"/>
          <w:highlight w:val="none"/>
        </w:rPr>
        <w:t xml:space="preserve">    2.按照“安全第一、预防为主”和坚持“管生产必须管安全”的原则进行安全生产管理，做到生产与安全工作同时计划、布置、检查、总结和评比。</w:t>
      </w:r>
    </w:p>
    <w:p w14:paraId="46981EE7">
      <w:pPr>
        <w:spacing w:line="400" w:lineRule="exact"/>
        <w:rPr>
          <w:rFonts w:hAnsi="宋体"/>
          <w:color w:val="auto"/>
          <w:szCs w:val="21"/>
          <w:highlight w:val="none"/>
        </w:rPr>
      </w:pPr>
      <w:r>
        <w:rPr>
          <w:rFonts w:hint="eastAsia" w:hAnsi="宋体"/>
          <w:color w:val="auto"/>
          <w:szCs w:val="21"/>
          <w:highlight w:val="none"/>
        </w:rPr>
        <w:t xml:space="preserve">    3.重要的安全设施必须坚持与主体工程“三同时”的原则，即：同时设计、审批，同时施工，同时验收，投入使用。</w:t>
      </w:r>
    </w:p>
    <w:p w14:paraId="3921D791">
      <w:pPr>
        <w:spacing w:line="400" w:lineRule="exact"/>
        <w:rPr>
          <w:rFonts w:hAnsi="宋体"/>
          <w:color w:val="auto"/>
          <w:szCs w:val="21"/>
          <w:highlight w:val="none"/>
        </w:rPr>
      </w:pPr>
      <w:r>
        <w:rPr>
          <w:rFonts w:hint="eastAsia" w:hAnsi="宋体"/>
          <w:color w:val="auto"/>
          <w:szCs w:val="21"/>
          <w:highlight w:val="none"/>
        </w:rPr>
        <w:t xml:space="preserve">    4.定期召开安全生产调度会，及时传达中央及地方有关安全生产的精神。</w:t>
      </w:r>
    </w:p>
    <w:p w14:paraId="782DD4CF">
      <w:pPr>
        <w:spacing w:line="400" w:lineRule="exact"/>
        <w:rPr>
          <w:rFonts w:hAnsi="宋体"/>
          <w:color w:val="auto"/>
          <w:szCs w:val="21"/>
          <w:highlight w:val="none"/>
        </w:rPr>
      </w:pPr>
      <w:r>
        <w:rPr>
          <w:rFonts w:hint="eastAsia" w:hAnsi="宋体"/>
          <w:color w:val="auto"/>
          <w:szCs w:val="21"/>
          <w:highlight w:val="none"/>
        </w:rPr>
        <w:t xml:space="preserve">    5.组织对乙方施工现场安全生产检查，监督乙方及时处理发现的各种安全隐患。</w:t>
      </w:r>
    </w:p>
    <w:p w14:paraId="5B7D7C42">
      <w:pPr>
        <w:spacing w:line="400" w:lineRule="exact"/>
        <w:rPr>
          <w:rFonts w:hAnsi="宋体"/>
          <w:b/>
          <w:color w:val="auto"/>
          <w:szCs w:val="21"/>
          <w:highlight w:val="none"/>
        </w:rPr>
      </w:pPr>
      <w:r>
        <w:rPr>
          <w:rFonts w:hint="eastAsia" w:hAnsi="宋体"/>
          <w:b/>
          <w:color w:val="auto"/>
          <w:szCs w:val="21"/>
          <w:highlight w:val="none"/>
        </w:rPr>
        <w:t>二、乙方职责</w:t>
      </w:r>
    </w:p>
    <w:p w14:paraId="418DAD15">
      <w:pPr>
        <w:spacing w:line="400" w:lineRule="exact"/>
        <w:rPr>
          <w:rFonts w:hAnsi="宋体"/>
          <w:color w:val="auto"/>
          <w:szCs w:val="21"/>
          <w:highlight w:val="none"/>
        </w:rPr>
      </w:pPr>
      <w:r>
        <w:rPr>
          <w:rFonts w:hint="eastAsia" w:hAnsi="宋体"/>
          <w:color w:val="auto"/>
          <w:szCs w:val="21"/>
          <w:highlight w:val="none"/>
        </w:rPr>
        <w:t xml:space="preserve">    1.严格遵守国家有关安全生产的法律法规及市政公用工程有关安全生产的规定，认真执行工程承包合同中的有关安全要求。</w:t>
      </w:r>
    </w:p>
    <w:p w14:paraId="62563795">
      <w:pPr>
        <w:spacing w:line="400" w:lineRule="exact"/>
        <w:rPr>
          <w:rFonts w:hAnsi="宋体"/>
          <w:color w:val="auto"/>
          <w:szCs w:val="21"/>
          <w:highlight w:val="none"/>
        </w:rPr>
      </w:pPr>
      <w:r>
        <w:rPr>
          <w:rFonts w:hint="eastAsia" w:hAnsi="宋体"/>
          <w:color w:val="auto"/>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72C7D35">
      <w:pPr>
        <w:spacing w:line="400" w:lineRule="exact"/>
        <w:rPr>
          <w:rFonts w:hAnsi="宋体"/>
          <w:color w:val="auto"/>
          <w:szCs w:val="21"/>
          <w:highlight w:val="none"/>
        </w:rPr>
      </w:pPr>
      <w:r>
        <w:rPr>
          <w:rFonts w:hint="eastAsia" w:hAnsi="宋体"/>
          <w:color w:val="auto"/>
          <w:szCs w:val="21"/>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C2A475F">
      <w:pPr>
        <w:spacing w:line="400" w:lineRule="exact"/>
        <w:rPr>
          <w:rFonts w:hAnsi="宋体"/>
          <w:color w:val="auto"/>
          <w:szCs w:val="21"/>
          <w:highlight w:val="none"/>
        </w:rPr>
      </w:pPr>
      <w:r>
        <w:rPr>
          <w:rFonts w:hint="eastAsia" w:hAnsi="宋体"/>
          <w:color w:val="auto"/>
          <w:szCs w:val="21"/>
          <w:highlight w:val="none"/>
        </w:rPr>
        <w:t xml:space="preserve">    4.乙方在任何时候都应采取各种合理的预防措施，防止其员工发生任何违法、违禁、暴力或妨碍治安的行为。</w:t>
      </w:r>
    </w:p>
    <w:p w14:paraId="20E2625A">
      <w:pPr>
        <w:spacing w:line="400" w:lineRule="exact"/>
        <w:rPr>
          <w:rFonts w:hAnsi="宋体"/>
          <w:color w:val="auto"/>
          <w:szCs w:val="21"/>
          <w:highlight w:val="none"/>
        </w:rPr>
      </w:pPr>
      <w:r>
        <w:rPr>
          <w:rFonts w:hint="eastAsia" w:hAnsi="宋体"/>
          <w:color w:val="auto"/>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3449C625">
      <w:pPr>
        <w:spacing w:line="400" w:lineRule="exact"/>
        <w:rPr>
          <w:rFonts w:hAnsi="宋体"/>
          <w:color w:val="auto"/>
          <w:szCs w:val="21"/>
          <w:highlight w:val="none"/>
        </w:rPr>
      </w:pPr>
      <w:r>
        <w:rPr>
          <w:rFonts w:hint="eastAsia" w:hAnsi="宋体"/>
          <w:color w:val="auto"/>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F0D395A">
      <w:pPr>
        <w:spacing w:line="400" w:lineRule="exact"/>
        <w:rPr>
          <w:rFonts w:hAnsi="宋体"/>
          <w:color w:val="auto"/>
          <w:szCs w:val="21"/>
          <w:highlight w:val="none"/>
        </w:rPr>
      </w:pPr>
      <w:r>
        <w:rPr>
          <w:rFonts w:hint="eastAsia" w:hAnsi="宋体"/>
          <w:color w:val="auto"/>
          <w:szCs w:val="21"/>
          <w:highlight w:val="none"/>
        </w:rPr>
        <w:t xml:space="preserve">    7.操作人员上岗，必须按规定穿戴防护用品。施工负责人和安全检查员应随时检查劳动防护用品的穿戴情况，不按规定穿戴防护用品的人员不得上岗。</w:t>
      </w:r>
    </w:p>
    <w:p w14:paraId="5B6ECEF3">
      <w:pPr>
        <w:spacing w:line="400" w:lineRule="exact"/>
        <w:rPr>
          <w:rFonts w:hAnsi="宋体"/>
          <w:color w:val="auto"/>
          <w:szCs w:val="21"/>
          <w:highlight w:val="none"/>
        </w:rPr>
      </w:pPr>
      <w:r>
        <w:rPr>
          <w:rFonts w:hint="eastAsia" w:hAnsi="宋体"/>
          <w:color w:val="auto"/>
          <w:szCs w:val="21"/>
          <w:highlight w:val="none"/>
        </w:rPr>
        <w:t xml:space="preserve">    8.所有施工机械设备和高空作业的设备均应定期检查，并有安全员的签字记录，保证其经常处于完好状态；不合格的机具、设备和劳动保护用品严禁使用。</w:t>
      </w:r>
    </w:p>
    <w:p w14:paraId="6F4B3BA4">
      <w:pPr>
        <w:spacing w:line="400" w:lineRule="exact"/>
        <w:rPr>
          <w:rFonts w:hAnsi="宋体"/>
          <w:color w:val="auto"/>
          <w:szCs w:val="21"/>
          <w:highlight w:val="none"/>
        </w:rPr>
      </w:pPr>
      <w:r>
        <w:rPr>
          <w:rFonts w:hint="eastAsia" w:hAnsi="宋体"/>
          <w:color w:val="auto"/>
          <w:szCs w:val="21"/>
          <w:highlight w:val="none"/>
        </w:rPr>
        <w:t xml:space="preserve">    9.施工中采用新技术、新工艺、新设备、新材料时，必须制定相应的安全技术措施，施工现场必须具有相关的安全标志牌。</w:t>
      </w:r>
    </w:p>
    <w:p w14:paraId="22B469B3">
      <w:pPr>
        <w:spacing w:line="400" w:lineRule="exact"/>
        <w:rPr>
          <w:rFonts w:hAnsi="宋体"/>
          <w:color w:val="auto"/>
          <w:szCs w:val="21"/>
          <w:highlight w:val="none"/>
        </w:rPr>
      </w:pPr>
      <w:r>
        <w:rPr>
          <w:rFonts w:hint="eastAsia" w:hAnsi="宋体"/>
          <w:color w:val="auto"/>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260DA868">
      <w:pPr>
        <w:spacing w:line="400" w:lineRule="exact"/>
        <w:rPr>
          <w:rFonts w:hAnsi="宋体"/>
          <w:b/>
          <w:color w:val="auto"/>
          <w:szCs w:val="21"/>
          <w:highlight w:val="none"/>
        </w:rPr>
      </w:pPr>
      <w:r>
        <w:rPr>
          <w:rFonts w:hint="eastAsia" w:hAnsi="宋体"/>
          <w:b/>
          <w:color w:val="auto"/>
          <w:szCs w:val="21"/>
          <w:highlight w:val="none"/>
        </w:rPr>
        <w:t>三、违约责任</w:t>
      </w:r>
    </w:p>
    <w:p w14:paraId="67193C55">
      <w:pPr>
        <w:spacing w:line="400" w:lineRule="exact"/>
        <w:rPr>
          <w:rFonts w:hAnsi="宋体"/>
          <w:color w:val="auto"/>
          <w:szCs w:val="21"/>
          <w:highlight w:val="none"/>
        </w:rPr>
      </w:pPr>
      <w:r>
        <w:rPr>
          <w:rFonts w:hint="eastAsia" w:hAnsi="宋体"/>
          <w:color w:val="auto"/>
          <w:szCs w:val="21"/>
          <w:highlight w:val="none"/>
        </w:rPr>
        <w:t xml:space="preserve">    如因甲方或乙方违约造成安全事故，将依法追究责任。</w:t>
      </w:r>
    </w:p>
    <w:p w14:paraId="19ECFAEE">
      <w:pPr>
        <w:spacing w:line="400" w:lineRule="exact"/>
        <w:rPr>
          <w:rFonts w:hAnsi="宋体"/>
          <w:color w:val="auto"/>
          <w:szCs w:val="21"/>
          <w:highlight w:val="none"/>
        </w:rPr>
      </w:pPr>
      <w:r>
        <w:rPr>
          <w:rFonts w:hint="eastAsia" w:hAnsi="宋体"/>
          <w:color w:val="auto"/>
          <w:szCs w:val="21"/>
          <w:highlight w:val="none"/>
        </w:rPr>
        <w:t xml:space="preserve">    本合同正本一式二份，副本八份，合同双方各执正本一份，副本四份。由双方法定代表人或其授权的代理人签署与加盖公章后生效，全部工程竣工验收后失效。</w:t>
      </w:r>
    </w:p>
    <w:p w14:paraId="4938F306">
      <w:pPr>
        <w:spacing w:line="400" w:lineRule="exact"/>
        <w:rPr>
          <w:rFonts w:hAnsi="宋体"/>
          <w:color w:val="auto"/>
          <w:szCs w:val="21"/>
          <w:highlight w:val="none"/>
        </w:rPr>
      </w:pPr>
    </w:p>
    <w:p w14:paraId="5222D7C1">
      <w:pPr>
        <w:spacing w:line="400" w:lineRule="exact"/>
        <w:rPr>
          <w:rFonts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70FBE1CE">
      <w:pPr>
        <w:spacing w:line="400" w:lineRule="exact"/>
        <w:rPr>
          <w:rFonts w:hAnsi="宋体"/>
          <w:color w:val="auto"/>
          <w:szCs w:val="21"/>
          <w:highlight w:val="none"/>
        </w:rPr>
      </w:pPr>
      <w:r>
        <w:rPr>
          <w:rFonts w:hint="eastAsia" w:hAnsi="宋体"/>
          <w:color w:val="auto"/>
          <w:szCs w:val="21"/>
          <w:highlight w:val="none"/>
        </w:rPr>
        <w:t>法定代表人(签字)：                              法定代表人(签字)：</w:t>
      </w:r>
    </w:p>
    <w:p w14:paraId="7CC68021">
      <w:pPr>
        <w:spacing w:line="400" w:lineRule="exact"/>
        <w:rPr>
          <w:rFonts w:hAnsi="宋体"/>
          <w:color w:val="auto"/>
          <w:szCs w:val="21"/>
          <w:highlight w:val="none"/>
        </w:rPr>
      </w:pPr>
      <w:r>
        <w:rPr>
          <w:rFonts w:hint="eastAsia" w:hAnsi="宋体"/>
          <w:color w:val="auto"/>
          <w:szCs w:val="21"/>
          <w:highlight w:val="none"/>
        </w:rPr>
        <w:t>委托代理人(签字)：                              委托代理人(签字)：</w:t>
      </w:r>
    </w:p>
    <w:p w14:paraId="2F70F508">
      <w:pPr>
        <w:spacing w:line="400" w:lineRule="exact"/>
        <w:rPr>
          <w:rFonts w:hAnsi="宋体"/>
          <w:color w:val="auto"/>
          <w:szCs w:val="21"/>
          <w:highlight w:val="none"/>
        </w:rPr>
      </w:pPr>
      <w:r>
        <w:rPr>
          <w:rFonts w:hint="eastAsia" w:hAnsi="宋体"/>
          <w:color w:val="auto"/>
          <w:szCs w:val="21"/>
          <w:highlight w:val="none"/>
        </w:rPr>
        <w:t>地         址：                                 地         址：</w:t>
      </w:r>
    </w:p>
    <w:p w14:paraId="0DFDFFDC">
      <w:pPr>
        <w:spacing w:line="400" w:lineRule="exact"/>
        <w:rPr>
          <w:rFonts w:hAnsi="宋体"/>
          <w:color w:val="auto"/>
          <w:szCs w:val="21"/>
          <w:highlight w:val="none"/>
        </w:rPr>
      </w:pPr>
      <w:r>
        <w:rPr>
          <w:rFonts w:hint="eastAsia" w:hAnsi="宋体"/>
          <w:color w:val="auto"/>
          <w:szCs w:val="21"/>
          <w:highlight w:val="none"/>
        </w:rPr>
        <w:t>电         话：                                 电         话：</w:t>
      </w:r>
    </w:p>
    <w:p w14:paraId="44F799F6">
      <w:pPr>
        <w:spacing w:line="400" w:lineRule="exact"/>
        <w:rPr>
          <w:color w:val="auto"/>
          <w:szCs w:val="21"/>
          <w:highlight w:val="none"/>
        </w:rPr>
      </w:pPr>
      <w:r>
        <w:rPr>
          <w:rFonts w:hint="eastAsia" w:hAnsi="宋体"/>
          <w:color w:val="auto"/>
          <w:szCs w:val="21"/>
          <w:highlight w:val="none"/>
        </w:rPr>
        <w:t>日         期：                                 日         期：</w:t>
      </w:r>
    </w:p>
    <w:p w14:paraId="04CFF734">
      <w:pPr>
        <w:spacing w:line="400" w:lineRule="exact"/>
        <w:rPr>
          <w:color w:val="auto"/>
          <w:szCs w:val="21"/>
          <w:highlight w:val="none"/>
        </w:rPr>
      </w:pPr>
    </w:p>
    <w:p w14:paraId="4980B3DC">
      <w:pPr>
        <w:rPr>
          <w:color w:val="auto"/>
          <w:szCs w:val="21"/>
          <w:highlight w:val="none"/>
        </w:rPr>
      </w:pPr>
    </w:p>
    <w:p w14:paraId="2E1CFC20">
      <w:pPr>
        <w:rPr>
          <w:color w:val="auto"/>
          <w:szCs w:val="21"/>
          <w:highlight w:val="none"/>
        </w:rPr>
      </w:pPr>
    </w:p>
    <w:p w14:paraId="16E514FF">
      <w:pPr>
        <w:rPr>
          <w:color w:val="auto"/>
          <w:szCs w:val="21"/>
          <w:highlight w:val="none"/>
        </w:rPr>
      </w:pPr>
    </w:p>
    <w:p w14:paraId="5536E76B">
      <w:pPr>
        <w:rPr>
          <w:color w:val="auto"/>
          <w:szCs w:val="21"/>
          <w:highlight w:val="none"/>
        </w:rPr>
      </w:pPr>
    </w:p>
    <w:p w14:paraId="5653054E">
      <w:pPr>
        <w:rPr>
          <w:color w:val="auto"/>
          <w:szCs w:val="21"/>
          <w:highlight w:val="none"/>
        </w:rPr>
      </w:pPr>
    </w:p>
    <w:p w14:paraId="3FAD717A">
      <w:pPr>
        <w:rPr>
          <w:color w:val="auto"/>
          <w:szCs w:val="21"/>
          <w:highlight w:val="none"/>
        </w:rPr>
      </w:pPr>
    </w:p>
    <w:p w14:paraId="60DFE09B">
      <w:pPr>
        <w:rPr>
          <w:color w:val="auto"/>
          <w:szCs w:val="21"/>
          <w:highlight w:val="none"/>
        </w:rPr>
      </w:pPr>
    </w:p>
    <w:p w14:paraId="1566FCE0">
      <w:pPr>
        <w:rPr>
          <w:color w:val="auto"/>
          <w:szCs w:val="21"/>
          <w:highlight w:val="none"/>
        </w:rPr>
      </w:pPr>
    </w:p>
    <w:p w14:paraId="1FA10052">
      <w:pPr>
        <w:rPr>
          <w:color w:val="auto"/>
          <w:szCs w:val="21"/>
          <w:highlight w:val="none"/>
        </w:rPr>
      </w:pPr>
    </w:p>
    <w:p w14:paraId="00FEC84E">
      <w:pPr>
        <w:rPr>
          <w:color w:val="auto"/>
          <w:szCs w:val="21"/>
          <w:highlight w:val="none"/>
        </w:rPr>
      </w:pPr>
    </w:p>
    <w:p w14:paraId="2938A2F6">
      <w:pPr>
        <w:rPr>
          <w:color w:val="auto"/>
          <w:szCs w:val="21"/>
          <w:highlight w:val="none"/>
        </w:rPr>
      </w:pPr>
    </w:p>
    <w:p w14:paraId="475DB6AA">
      <w:pPr>
        <w:rPr>
          <w:color w:val="auto"/>
          <w:szCs w:val="21"/>
          <w:highlight w:val="none"/>
        </w:rPr>
      </w:pPr>
    </w:p>
    <w:p w14:paraId="3F280F85">
      <w:pPr>
        <w:rPr>
          <w:color w:val="auto"/>
          <w:szCs w:val="21"/>
          <w:highlight w:val="none"/>
        </w:rPr>
      </w:pPr>
    </w:p>
    <w:p w14:paraId="0FC38D7A">
      <w:pPr>
        <w:rPr>
          <w:color w:val="auto"/>
          <w:szCs w:val="21"/>
          <w:highlight w:val="none"/>
        </w:rPr>
      </w:pPr>
    </w:p>
    <w:p w14:paraId="2CF11154">
      <w:pPr>
        <w:rPr>
          <w:color w:val="auto"/>
          <w:szCs w:val="21"/>
          <w:highlight w:val="none"/>
        </w:rPr>
      </w:pPr>
    </w:p>
    <w:p w14:paraId="40A2C4D6">
      <w:pPr>
        <w:rPr>
          <w:color w:val="auto"/>
          <w:szCs w:val="21"/>
          <w:highlight w:val="none"/>
        </w:rPr>
      </w:pPr>
    </w:p>
    <w:p w14:paraId="78739628">
      <w:pPr>
        <w:rPr>
          <w:color w:val="auto"/>
          <w:szCs w:val="21"/>
          <w:highlight w:val="none"/>
        </w:rPr>
      </w:pPr>
    </w:p>
    <w:p w14:paraId="1B631012">
      <w:pPr>
        <w:rPr>
          <w:color w:val="auto"/>
          <w:szCs w:val="21"/>
          <w:highlight w:val="none"/>
        </w:rPr>
      </w:pPr>
    </w:p>
    <w:p w14:paraId="72A8F680">
      <w:pPr>
        <w:rPr>
          <w:rFonts w:hAnsi="宋体"/>
          <w:b/>
          <w:color w:val="auto"/>
          <w:szCs w:val="21"/>
          <w:highlight w:val="none"/>
        </w:rPr>
      </w:pPr>
      <w:r>
        <w:rPr>
          <w:rFonts w:hint="eastAsia" w:hAnsi="宋体"/>
          <w:b/>
          <w:color w:val="auto"/>
          <w:szCs w:val="21"/>
          <w:highlight w:val="none"/>
        </w:rPr>
        <w:t>附件4   项目负责人委托书</w:t>
      </w:r>
    </w:p>
    <w:p w14:paraId="360C47E2">
      <w:pPr>
        <w:spacing w:line="400" w:lineRule="exact"/>
        <w:rPr>
          <w:rFonts w:ascii="隶书" w:eastAsia="隶书"/>
          <w:color w:val="auto"/>
          <w:szCs w:val="21"/>
          <w:highlight w:val="none"/>
        </w:rPr>
      </w:pPr>
    </w:p>
    <w:p w14:paraId="650DDF5D">
      <w:pPr>
        <w:spacing w:line="400" w:lineRule="exact"/>
        <w:jc w:val="center"/>
        <w:rPr>
          <w:rFonts w:ascii="黑体" w:hAnsi="宋体" w:eastAsia="黑体"/>
          <w:color w:val="auto"/>
          <w:szCs w:val="21"/>
          <w:highlight w:val="none"/>
          <w:u w:val="single"/>
        </w:rPr>
      </w:pPr>
      <w:r>
        <w:rPr>
          <w:rFonts w:hint="eastAsia" w:ascii="黑体" w:hAnsi="宋体" w:eastAsia="黑体"/>
          <w:color w:val="auto"/>
          <w:szCs w:val="21"/>
          <w:highlight w:val="none"/>
          <w:u w:val="single"/>
        </w:rPr>
        <w:t>（承包人全称）</w:t>
      </w:r>
    </w:p>
    <w:p w14:paraId="47626809">
      <w:pPr>
        <w:spacing w:line="400" w:lineRule="exact"/>
        <w:jc w:val="center"/>
        <w:rPr>
          <w:rFonts w:ascii="黑体" w:hAnsi="宋体" w:eastAsia="黑体"/>
          <w:color w:val="auto"/>
          <w:szCs w:val="21"/>
          <w:highlight w:val="none"/>
          <w:u w:val="single"/>
        </w:rPr>
      </w:pPr>
      <w:r>
        <w:rPr>
          <w:rFonts w:hint="eastAsia" w:ascii="黑体" w:hAnsi="宋体" w:eastAsia="黑体"/>
          <w:color w:val="auto"/>
          <w:szCs w:val="21"/>
          <w:highlight w:val="none"/>
          <w:u w:val="single"/>
        </w:rPr>
        <w:t>（合同工程名称）项目负责人委任书</w:t>
      </w:r>
    </w:p>
    <w:p w14:paraId="082800EB">
      <w:pPr>
        <w:spacing w:line="400" w:lineRule="exact"/>
        <w:rPr>
          <w:rFonts w:hAnsi="宋体"/>
          <w:color w:val="auto"/>
          <w:szCs w:val="21"/>
          <w:highlight w:val="none"/>
        </w:rPr>
      </w:pPr>
    </w:p>
    <w:p w14:paraId="5F97CCFE">
      <w:pPr>
        <w:spacing w:line="360" w:lineRule="auto"/>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（发包人全称</w:t>
      </w:r>
      <w:r>
        <w:rPr>
          <w:rFonts w:hint="eastAsia" w:hAnsi="宋体"/>
          <w:color w:val="auto"/>
          <w:szCs w:val="21"/>
          <w:highlight w:val="none"/>
        </w:rPr>
        <w:t>）</w:t>
      </w:r>
    </w:p>
    <w:p w14:paraId="73C2C1E1">
      <w:pPr>
        <w:spacing w:line="360" w:lineRule="auto"/>
        <w:ind w:firstLine="420" w:firstLineChars="200"/>
        <w:rPr>
          <w:rFonts w:hAnsi="宋体"/>
          <w:color w:val="auto"/>
          <w:szCs w:val="21"/>
          <w:highlight w:val="none"/>
        </w:rPr>
      </w:pPr>
      <w:r>
        <w:rPr>
          <w:rFonts w:hint="eastAsia" w:hAnsi="宋体"/>
          <w:color w:val="auto"/>
          <w:szCs w:val="21"/>
          <w:highlight w:val="none"/>
          <w:u w:val="single"/>
        </w:rPr>
        <w:t>（承包人全称）</w:t>
      </w:r>
      <w:r>
        <w:rPr>
          <w:rFonts w:hint="eastAsia" w:hAnsi="宋体"/>
          <w:color w:val="auto"/>
          <w:szCs w:val="21"/>
          <w:highlight w:val="none"/>
        </w:rPr>
        <w:t xml:space="preserve"> 法定代表人</w:t>
      </w:r>
      <w:r>
        <w:rPr>
          <w:rFonts w:hint="eastAsia" w:hAnsi="宋体"/>
          <w:color w:val="auto"/>
          <w:szCs w:val="21"/>
          <w:highlight w:val="none"/>
          <w:u w:val="single"/>
        </w:rPr>
        <w:t xml:space="preserve"> （职务、姓名）</w:t>
      </w:r>
      <w:r>
        <w:rPr>
          <w:rFonts w:hint="eastAsia" w:hAnsi="宋体"/>
          <w:color w:val="auto"/>
          <w:szCs w:val="21"/>
          <w:highlight w:val="none"/>
        </w:rPr>
        <w:t xml:space="preserve"> 代表本单位委任 </w:t>
      </w:r>
      <w:r>
        <w:rPr>
          <w:rFonts w:hint="eastAsia" w:hAnsi="宋体"/>
          <w:color w:val="auto"/>
          <w:szCs w:val="21"/>
          <w:highlight w:val="none"/>
          <w:u w:val="single"/>
        </w:rPr>
        <w:t>（职务、姓名）</w:t>
      </w:r>
      <w:r>
        <w:rPr>
          <w:rFonts w:hint="eastAsia" w:hAnsi="宋体"/>
          <w:color w:val="auto"/>
          <w:szCs w:val="21"/>
          <w:highlight w:val="none"/>
        </w:rPr>
        <w:t xml:space="preserve"> 为</w:t>
      </w:r>
      <w:r>
        <w:rPr>
          <w:rFonts w:hint="eastAsia" w:hAnsi="宋体"/>
          <w:color w:val="auto"/>
          <w:szCs w:val="21"/>
          <w:highlight w:val="none"/>
          <w:u w:val="single"/>
        </w:rPr>
        <w:t>（合同工程名称）</w:t>
      </w:r>
      <w:r>
        <w:rPr>
          <w:rFonts w:hint="eastAsia" w:hAnsi="宋体"/>
          <w:color w:val="auto"/>
          <w:szCs w:val="21"/>
          <w:highlight w:val="none"/>
        </w:rPr>
        <w:t>的项目负责人。凡本合同执行中的有关技术、工程进度、现场管理、质量检验、结算与支付等方面工作，由</w:t>
      </w:r>
      <w:r>
        <w:rPr>
          <w:rFonts w:hint="eastAsia" w:hAnsi="宋体"/>
          <w:color w:val="auto"/>
          <w:szCs w:val="21"/>
          <w:highlight w:val="none"/>
          <w:u w:val="single"/>
        </w:rPr>
        <w:t xml:space="preserve"> （姓名） </w:t>
      </w:r>
      <w:r>
        <w:rPr>
          <w:rFonts w:hint="eastAsia" w:hAnsi="宋体"/>
          <w:color w:val="auto"/>
          <w:szCs w:val="21"/>
          <w:highlight w:val="none"/>
        </w:rPr>
        <w:t>代表本单位全面负责。</w:t>
      </w:r>
    </w:p>
    <w:p w14:paraId="1FE340D7">
      <w:pPr>
        <w:spacing w:line="360" w:lineRule="auto"/>
        <w:rPr>
          <w:rFonts w:hAnsi="宋体"/>
          <w:color w:val="auto"/>
          <w:szCs w:val="21"/>
          <w:highlight w:val="none"/>
        </w:rPr>
      </w:pPr>
    </w:p>
    <w:p w14:paraId="57F0FD4D">
      <w:pPr>
        <w:spacing w:line="360" w:lineRule="auto"/>
        <w:jc w:val="right"/>
        <w:rPr>
          <w:rFonts w:hAnsi="宋体"/>
          <w:color w:val="auto"/>
          <w:szCs w:val="21"/>
          <w:highlight w:val="none"/>
        </w:rPr>
      </w:pPr>
      <w:r>
        <w:rPr>
          <w:rFonts w:hint="eastAsia" w:hAnsi="宋体"/>
          <w:color w:val="auto"/>
          <w:szCs w:val="21"/>
          <w:highlight w:val="none"/>
        </w:rPr>
        <w:t>承包人：（盖单位章）</w:t>
      </w:r>
    </w:p>
    <w:p w14:paraId="2F68ABA8">
      <w:pPr>
        <w:spacing w:line="360" w:lineRule="auto"/>
        <w:jc w:val="right"/>
        <w:rPr>
          <w:rFonts w:hAnsi="宋体"/>
          <w:color w:val="auto"/>
          <w:szCs w:val="21"/>
          <w:highlight w:val="none"/>
          <w:u w:val="single"/>
        </w:rPr>
      </w:pPr>
      <w:r>
        <w:rPr>
          <w:rFonts w:hint="eastAsia" w:hAnsi="宋体"/>
          <w:color w:val="auto"/>
          <w:szCs w:val="21"/>
          <w:highlight w:val="none"/>
        </w:rPr>
        <w:t>法定代表人：</w:t>
      </w:r>
      <w:r>
        <w:rPr>
          <w:rFonts w:hint="eastAsia" w:hAnsi="宋体"/>
          <w:color w:val="auto"/>
          <w:szCs w:val="21"/>
          <w:highlight w:val="none"/>
          <w:u w:val="single"/>
        </w:rPr>
        <w:t xml:space="preserve">  （职务） </w:t>
      </w:r>
    </w:p>
    <w:p w14:paraId="34D077B0">
      <w:pPr>
        <w:spacing w:line="360" w:lineRule="auto"/>
        <w:ind w:firstLine="1575" w:firstLineChars="750"/>
        <w:jc w:val="right"/>
        <w:rPr>
          <w:rFonts w:hAnsi="宋体"/>
          <w:color w:val="auto"/>
          <w:szCs w:val="21"/>
          <w:highlight w:val="none"/>
          <w:u w:val="single"/>
        </w:rPr>
      </w:pPr>
      <w:r>
        <w:rPr>
          <w:rFonts w:hint="eastAsia" w:hAnsi="宋体"/>
          <w:color w:val="auto"/>
          <w:szCs w:val="21"/>
          <w:highlight w:val="none"/>
          <w:u w:val="single"/>
        </w:rPr>
        <w:t xml:space="preserve">  （姓名） </w:t>
      </w:r>
    </w:p>
    <w:p w14:paraId="0648FDB2">
      <w:pPr>
        <w:spacing w:line="360" w:lineRule="auto"/>
        <w:ind w:firstLine="1575" w:firstLineChars="750"/>
        <w:jc w:val="right"/>
        <w:rPr>
          <w:rFonts w:hAnsi="宋体"/>
          <w:color w:val="auto"/>
          <w:szCs w:val="21"/>
          <w:highlight w:val="none"/>
          <w:u w:val="single"/>
        </w:rPr>
      </w:pPr>
      <w:r>
        <w:rPr>
          <w:rFonts w:hint="eastAsia" w:hAnsi="宋体"/>
          <w:color w:val="auto"/>
          <w:szCs w:val="21"/>
          <w:highlight w:val="none"/>
          <w:u w:val="single"/>
        </w:rPr>
        <w:t xml:space="preserve">  （签字） </w:t>
      </w:r>
    </w:p>
    <w:p w14:paraId="60E4BA38">
      <w:pPr>
        <w:spacing w:line="360" w:lineRule="auto"/>
        <w:rPr>
          <w:rFonts w:hAnsi="宋体"/>
          <w:color w:val="auto"/>
          <w:szCs w:val="21"/>
          <w:highlight w:val="none"/>
        </w:rPr>
      </w:pPr>
    </w:p>
    <w:p w14:paraId="69E8C2A0">
      <w:pPr>
        <w:spacing w:line="400" w:lineRule="exact"/>
        <w:jc w:val="right"/>
        <w:rPr>
          <w:color w:val="auto"/>
          <w:szCs w:val="21"/>
          <w:highlight w:val="none"/>
        </w:rPr>
      </w:pPr>
      <w:r>
        <w:rPr>
          <w:rFonts w:hint="eastAsia"/>
          <w:color w:val="auto"/>
          <w:szCs w:val="21"/>
          <w:highlight w:val="none"/>
        </w:rPr>
        <w:t xml:space="preserve">     年    月      日</w:t>
      </w:r>
    </w:p>
    <w:p w14:paraId="77E05EB7">
      <w:pPr>
        <w:pStyle w:val="12"/>
        <w:spacing w:line="25" w:lineRule="atLeast"/>
        <w:rPr>
          <w:rFonts w:hAnsi="宋体"/>
          <w:color w:val="auto"/>
          <w:highlight w:val="none"/>
        </w:rPr>
      </w:pPr>
    </w:p>
    <w:p w14:paraId="115ECFA3">
      <w:pPr>
        <w:pStyle w:val="12"/>
        <w:spacing w:line="25" w:lineRule="atLeast"/>
        <w:rPr>
          <w:rFonts w:hAnsi="宋体"/>
          <w:color w:val="auto"/>
          <w:highlight w:val="none"/>
        </w:rPr>
      </w:pPr>
    </w:p>
    <w:p w14:paraId="3C00CA05">
      <w:pPr>
        <w:pStyle w:val="12"/>
        <w:spacing w:line="25" w:lineRule="atLeast"/>
        <w:rPr>
          <w:rFonts w:hAnsi="宋体"/>
          <w:color w:val="auto"/>
          <w:highlight w:val="none"/>
        </w:rPr>
      </w:pPr>
    </w:p>
    <w:p w14:paraId="674FB475">
      <w:pPr>
        <w:pStyle w:val="12"/>
        <w:spacing w:line="25" w:lineRule="atLeast"/>
        <w:rPr>
          <w:rFonts w:hAnsi="宋体"/>
          <w:color w:val="auto"/>
          <w:highlight w:val="none"/>
        </w:rPr>
      </w:pPr>
    </w:p>
    <w:p w14:paraId="02D9DC5D">
      <w:pPr>
        <w:pStyle w:val="12"/>
        <w:spacing w:line="25" w:lineRule="atLeast"/>
        <w:rPr>
          <w:rFonts w:hAnsi="宋体"/>
          <w:color w:val="auto"/>
          <w:highlight w:val="none"/>
        </w:rPr>
      </w:pPr>
      <w:r>
        <w:rPr>
          <w:rFonts w:hAnsi="宋体"/>
          <w:color w:val="auto"/>
          <w:highlight w:val="none"/>
        </w:rPr>
        <w:br w:type="page"/>
      </w:r>
    </w:p>
    <w:p w14:paraId="6812599C">
      <w:pPr>
        <w:pStyle w:val="12"/>
        <w:spacing w:line="25" w:lineRule="atLeast"/>
        <w:rPr>
          <w:rFonts w:hAnsi="宋体"/>
          <w:color w:val="auto"/>
          <w:highlight w:val="none"/>
        </w:rPr>
      </w:pPr>
    </w:p>
    <w:p w14:paraId="3D8611D5">
      <w:pPr>
        <w:jc w:val="center"/>
        <w:rPr>
          <w:rFonts w:hAnsi="宋体"/>
          <w:b/>
          <w:color w:val="auto"/>
          <w:szCs w:val="21"/>
          <w:highlight w:val="none"/>
        </w:rPr>
      </w:pPr>
      <w:r>
        <w:rPr>
          <w:rFonts w:hint="eastAsia" w:hAnsi="宋体"/>
          <w:b/>
          <w:color w:val="auto"/>
          <w:szCs w:val="21"/>
          <w:highlight w:val="none"/>
        </w:rPr>
        <w:t>三、通用条款</w:t>
      </w:r>
    </w:p>
    <w:p w14:paraId="066BAAAA">
      <w:pPr>
        <w:spacing w:line="25" w:lineRule="atLeast"/>
        <w:rPr>
          <w:rFonts w:hAnsi="宋体"/>
          <w:color w:val="auto"/>
          <w:szCs w:val="21"/>
          <w:highlight w:val="none"/>
        </w:rPr>
      </w:pPr>
    </w:p>
    <w:p w14:paraId="3A788784">
      <w:pPr>
        <w:spacing w:line="25" w:lineRule="atLeast"/>
        <w:ind w:firstLine="420" w:firstLineChars="200"/>
        <w:rPr>
          <w:rFonts w:hAnsi="宋体"/>
          <w:color w:val="auto"/>
          <w:szCs w:val="21"/>
          <w:highlight w:val="none"/>
        </w:rPr>
      </w:pPr>
      <w:r>
        <w:rPr>
          <w:rFonts w:hint="eastAsia" w:hAnsi="宋体"/>
          <w:color w:val="auto"/>
          <w:szCs w:val="21"/>
          <w:highlight w:val="none"/>
        </w:rPr>
        <w:t>采用国家工商行政管理局和建设部颁发的《建设工程施工合同》</w:t>
      </w:r>
      <w:r>
        <w:rPr>
          <w:rFonts w:hAnsi="宋体"/>
          <w:color w:val="auto"/>
          <w:szCs w:val="21"/>
          <w:highlight w:val="none"/>
        </w:rPr>
        <w:t>(GF-</w:t>
      </w:r>
      <w:r>
        <w:rPr>
          <w:rFonts w:hint="eastAsia" w:hAnsi="宋体"/>
          <w:color w:val="auto"/>
          <w:szCs w:val="21"/>
          <w:highlight w:val="none"/>
        </w:rPr>
        <w:t>19</w:t>
      </w:r>
      <w:r>
        <w:rPr>
          <w:rFonts w:hAnsi="宋体"/>
          <w:color w:val="auto"/>
          <w:szCs w:val="21"/>
          <w:highlight w:val="none"/>
        </w:rPr>
        <w:t>9</w:t>
      </w:r>
      <w:r>
        <w:rPr>
          <w:rFonts w:hint="eastAsia" w:hAnsi="宋体"/>
          <w:color w:val="auto"/>
          <w:szCs w:val="21"/>
          <w:highlight w:val="none"/>
        </w:rPr>
        <w:t>9</w:t>
      </w:r>
      <w:r>
        <w:rPr>
          <w:rFonts w:hAnsi="宋体"/>
          <w:color w:val="auto"/>
          <w:szCs w:val="21"/>
          <w:highlight w:val="none"/>
        </w:rPr>
        <w:t>-0201)</w:t>
      </w:r>
      <w:r>
        <w:rPr>
          <w:rFonts w:hint="eastAsia" w:hAnsi="宋体"/>
          <w:color w:val="auto"/>
          <w:szCs w:val="21"/>
          <w:highlight w:val="none"/>
        </w:rPr>
        <w:t>的通用条款。</w:t>
      </w:r>
    </w:p>
    <w:p w14:paraId="128A8634">
      <w:pPr>
        <w:spacing w:line="25" w:lineRule="atLeast"/>
        <w:ind w:firstLine="420" w:firstLineChars="200"/>
        <w:rPr>
          <w:rFonts w:hAnsi="宋体"/>
          <w:color w:val="auto"/>
          <w:szCs w:val="21"/>
          <w:highlight w:val="none"/>
        </w:rPr>
      </w:pPr>
    </w:p>
    <w:p w14:paraId="28ECB257">
      <w:pPr>
        <w:spacing w:line="25" w:lineRule="atLeast"/>
        <w:ind w:firstLine="420" w:firstLineChars="200"/>
        <w:rPr>
          <w:rFonts w:hAnsi="宋体"/>
          <w:color w:val="auto"/>
          <w:szCs w:val="21"/>
          <w:highlight w:val="none"/>
        </w:rPr>
      </w:pPr>
    </w:p>
    <w:p w14:paraId="30B44B61">
      <w:pPr>
        <w:spacing w:line="25" w:lineRule="atLeast"/>
        <w:ind w:firstLine="420" w:firstLineChars="200"/>
        <w:rPr>
          <w:rFonts w:hAnsi="宋体"/>
          <w:color w:val="auto"/>
          <w:szCs w:val="21"/>
          <w:highlight w:val="none"/>
        </w:rPr>
      </w:pPr>
    </w:p>
    <w:p w14:paraId="6B4F0D16">
      <w:pPr>
        <w:spacing w:line="270" w:lineRule="exact"/>
        <w:ind w:left="434"/>
        <w:rPr>
          <w:color w:val="auto"/>
          <w:highlight w:val="none"/>
        </w:rPr>
      </w:pPr>
    </w:p>
    <w:p w14:paraId="3DFD79A9">
      <w:pPr>
        <w:spacing w:line="270" w:lineRule="exact"/>
        <w:ind w:left="434"/>
        <w:rPr>
          <w:color w:val="auto"/>
          <w:highlight w:val="none"/>
        </w:rPr>
      </w:pPr>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713B">
    <w:pPr>
      <w:pStyle w:val="15"/>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4BDEF9EE">
                <w:pPr>
                  <w:pStyle w:val="1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0C13">
    <w:pPr>
      <w:spacing w:line="196" w:lineRule="auto"/>
      <w:rPr>
        <w:rFonts w:eastAsia="Times New Roman"/>
        <w:sz w:val="17"/>
        <w:szCs w:val="17"/>
      </w:rPr>
    </w:pPr>
    <w:r>
      <w:rPr>
        <w:sz w:val="17"/>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004A5CCD">
                <w:pPr>
                  <w:pStyle w:val="15"/>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4A1D">
    <w:pPr>
      <w:spacing w:line="196" w:lineRule="auto"/>
      <w:rPr>
        <w:rFonts w:eastAsia="Times New Roman"/>
        <w:sz w:val="17"/>
        <w:szCs w:val="17"/>
      </w:rPr>
    </w:pPr>
    <w:r>
      <w:rPr>
        <w:sz w:val="17"/>
      </w:rP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35B39869">
                <w:pPr>
                  <w:pStyle w:val="15"/>
                </w:pPr>
                <w:r>
                  <w:fldChar w:fldCharType="begin"/>
                </w:r>
                <w:r>
                  <w:instrText xml:space="preserve"> PAGE  \* MERGEFORMAT </w:instrText>
                </w:r>
                <w:r>
                  <w:fldChar w:fldCharType="separate"/>
                </w:r>
                <w:r>
                  <w:t>32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91BF">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72BF13A">
                <w:pPr>
                  <w:pStyle w:val="15"/>
                </w:pPr>
                <w:r>
                  <w:fldChar w:fldCharType="begin"/>
                </w:r>
                <w:r>
                  <w:instrText xml:space="preserve"> PAGE  \* MERGEFORMAT </w:instrText>
                </w:r>
                <w:r>
                  <w:fldChar w:fldCharType="separate"/>
                </w:r>
                <w:r>
                  <w:t>67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DFD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FA93">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BBA03"/>
    <w:multiLevelType w:val="singleLevel"/>
    <w:tmpl w:val="984BBA03"/>
    <w:lvl w:ilvl="0" w:tentative="0">
      <w:start w:val="3"/>
      <w:numFmt w:val="chineseCounting"/>
      <w:suff w:val="nothing"/>
      <w:lvlText w:val="%1、"/>
      <w:lvlJc w:val="left"/>
      <w:rPr>
        <w:rFonts w:hint="eastAsia"/>
      </w:rPr>
    </w:lvl>
  </w:abstractNum>
  <w:abstractNum w:abstractNumId="1">
    <w:nsid w:val="0AF5B8FA"/>
    <w:multiLevelType w:val="singleLevel"/>
    <w:tmpl w:val="0AF5B8FA"/>
    <w:lvl w:ilvl="0" w:tentative="0">
      <w:start w:val="1"/>
      <w:numFmt w:val="decimal"/>
      <w:suff w:val="space"/>
      <w:lvlText w:val="(%1)"/>
      <w:lvlJc w:val="left"/>
    </w:lvl>
  </w:abstractNum>
  <w:abstractNum w:abstractNumId="2">
    <w:nsid w:val="1FD6DDE3"/>
    <w:multiLevelType w:val="singleLevel"/>
    <w:tmpl w:val="1FD6DDE3"/>
    <w:lvl w:ilvl="0" w:tentative="0">
      <w:start w:val="2"/>
      <w:numFmt w:val="chineseCounting"/>
      <w:suff w:val="nothing"/>
      <w:lvlText w:val="%1、"/>
      <w:lvlJc w:val="left"/>
      <w:rPr>
        <w:rFonts w:hint="eastAsia"/>
      </w:rPr>
    </w:lvl>
  </w:abstractNum>
  <w:abstractNum w:abstractNumId="3">
    <w:nsid w:val="21A205B0"/>
    <w:multiLevelType w:val="singleLevel"/>
    <w:tmpl w:val="21A205B0"/>
    <w:lvl w:ilvl="0" w:tentative="0">
      <w:start w:val="2"/>
      <w:numFmt w:val="chineseCounting"/>
      <w:suff w:val="space"/>
      <w:lvlText w:val="第%1章"/>
      <w:lvlJc w:val="left"/>
      <w:rPr>
        <w:rFonts w:hint="eastAsia"/>
      </w:rPr>
    </w:lvl>
  </w:abstractNum>
  <w:abstractNum w:abstractNumId="4">
    <w:nsid w:val="57D66720"/>
    <w:multiLevelType w:val="singleLevel"/>
    <w:tmpl w:val="57D66720"/>
    <w:lvl w:ilvl="0" w:tentative="0">
      <w:start w:val="2"/>
      <w:numFmt w:val="chineseCounting"/>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QxNWEzNTA0ODljNmUzY2I5MWM5ZjE1N2YyODkyOTAifQ=="/>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3E98"/>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51329"/>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C3BDB"/>
    <w:rsid w:val="01813E16"/>
    <w:rsid w:val="0190392E"/>
    <w:rsid w:val="01A340D1"/>
    <w:rsid w:val="01CF768D"/>
    <w:rsid w:val="01D152A8"/>
    <w:rsid w:val="01D16F05"/>
    <w:rsid w:val="01D9471B"/>
    <w:rsid w:val="01E5765B"/>
    <w:rsid w:val="01E8610D"/>
    <w:rsid w:val="0217360F"/>
    <w:rsid w:val="02365E7D"/>
    <w:rsid w:val="02756169"/>
    <w:rsid w:val="027827AD"/>
    <w:rsid w:val="02806C74"/>
    <w:rsid w:val="02B62811"/>
    <w:rsid w:val="02C47A2B"/>
    <w:rsid w:val="02DC227F"/>
    <w:rsid w:val="02E80E6A"/>
    <w:rsid w:val="02E93C7C"/>
    <w:rsid w:val="02F76F90"/>
    <w:rsid w:val="032075CD"/>
    <w:rsid w:val="03244D3B"/>
    <w:rsid w:val="03361F3B"/>
    <w:rsid w:val="03A024E0"/>
    <w:rsid w:val="03A41F96"/>
    <w:rsid w:val="03BE5C4F"/>
    <w:rsid w:val="03C57F1D"/>
    <w:rsid w:val="03D3354B"/>
    <w:rsid w:val="03FE40AA"/>
    <w:rsid w:val="043C2B7C"/>
    <w:rsid w:val="045D6149"/>
    <w:rsid w:val="04631E56"/>
    <w:rsid w:val="04832496"/>
    <w:rsid w:val="048838BB"/>
    <w:rsid w:val="04924FE3"/>
    <w:rsid w:val="04A24CDA"/>
    <w:rsid w:val="04AF1326"/>
    <w:rsid w:val="04FD0E31"/>
    <w:rsid w:val="050637A5"/>
    <w:rsid w:val="051554AC"/>
    <w:rsid w:val="054769B3"/>
    <w:rsid w:val="05480B39"/>
    <w:rsid w:val="05571F68"/>
    <w:rsid w:val="05690583"/>
    <w:rsid w:val="05A0262C"/>
    <w:rsid w:val="05F46366"/>
    <w:rsid w:val="06191E33"/>
    <w:rsid w:val="061C3D5B"/>
    <w:rsid w:val="06352C8D"/>
    <w:rsid w:val="06376F97"/>
    <w:rsid w:val="065A3ABE"/>
    <w:rsid w:val="067A79B9"/>
    <w:rsid w:val="06836237"/>
    <w:rsid w:val="06A7419D"/>
    <w:rsid w:val="06E35353"/>
    <w:rsid w:val="07245A59"/>
    <w:rsid w:val="0745028B"/>
    <w:rsid w:val="075A22F1"/>
    <w:rsid w:val="07AD2721"/>
    <w:rsid w:val="07AF6F49"/>
    <w:rsid w:val="07BB664B"/>
    <w:rsid w:val="07C33812"/>
    <w:rsid w:val="082006F3"/>
    <w:rsid w:val="083C3003"/>
    <w:rsid w:val="08406DEA"/>
    <w:rsid w:val="086871CD"/>
    <w:rsid w:val="086E336F"/>
    <w:rsid w:val="087B43C8"/>
    <w:rsid w:val="08B531C4"/>
    <w:rsid w:val="08B74801"/>
    <w:rsid w:val="08E06F07"/>
    <w:rsid w:val="0903492F"/>
    <w:rsid w:val="090A71E9"/>
    <w:rsid w:val="09424131"/>
    <w:rsid w:val="094B34E5"/>
    <w:rsid w:val="0950282C"/>
    <w:rsid w:val="09674E85"/>
    <w:rsid w:val="099D12AF"/>
    <w:rsid w:val="09AA053E"/>
    <w:rsid w:val="09AD5E3C"/>
    <w:rsid w:val="09B12057"/>
    <w:rsid w:val="09C735AB"/>
    <w:rsid w:val="09D41DD9"/>
    <w:rsid w:val="09F36B2E"/>
    <w:rsid w:val="09FB0360"/>
    <w:rsid w:val="0A312D88"/>
    <w:rsid w:val="0A443EE4"/>
    <w:rsid w:val="0A5F1495"/>
    <w:rsid w:val="0A9C7D1B"/>
    <w:rsid w:val="0ADB0DD6"/>
    <w:rsid w:val="0AF95B2E"/>
    <w:rsid w:val="0AFA3F41"/>
    <w:rsid w:val="0AFB404D"/>
    <w:rsid w:val="0B1306DF"/>
    <w:rsid w:val="0B163B89"/>
    <w:rsid w:val="0B1A6F5A"/>
    <w:rsid w:val="0B311F83"/>
    <w:rsid w:val="0B50249F"/>
    <w:rsid w:val="0B5934C2"/>
    <w:rsid w:val="0B7023F3"/>
    <w:rsid w:val="0B9665C6"/>
    <w:rsid w:val="0BC2585F"/>
    <w:rsid w:val="0BC4602F"/>
    <w:rsid w:val="0BC50665"/>
    <w:rsid w:val="0C03028C"/>
    <w:rsid w:val="0C14470F"/>
    <w:rsid w:val="0C5636E2"/>
    <w:rsid w:val="0C770701"/>
    <w:rsid w:val="0C816B43"/>
    <w:rsid w:val="0CB060DE"/>
    <w:rsid w:val="0CB43D56"/>
    <w:rsid w:val="0CBA47E6"/>
    <w:rsid w:val="0CBF41E0"/>
    <w:rsid w:val="0CCE1B67"/>
    <w:rsid w:val="0D001946"/>
    <w:rsid w:val="0D006A41"/>
    <w:rsid w:val="0D1A6DAB"/>
    <w:rsid w:val="0D236286"/>
    <w:rsid w:val="0D4357F1"/>
    <w:rsid w:val="0D6B6817"/>
    <w:rsid w:val="0D98311E"/>
    <w:rsid w:val="0DB92613"/>
    <w:rsid w:val="0DC3449B"/>
    <w:rsid w:val="0DE313A6"/>
    <w:rsid w:val="0DF13383"/>
    <w:rsid w:val="0E2E5189"/>
    <w:rsid w:val="0E4531F0"/>
    <w:rsid w:val="0E8A703D"/>
    <w:rsid w:val="0E8D749E"/>
    <w:rsid w:val="0EB12B04"/>
    <w:rsid w:val="0EB8284C"/>
    <w:rsid w:val="0EBF4D9D"/>
    <w:rsid w:val="0F37609A"/>
    <w:rsid w:val="0F3B689C"/>
    <w:rsid w:val="0F5E7FAF"/>
    <w:rsid w:val="0F637ADE"/>
    <w:rsid w:val="0F666CCA"/>
    <w:rsid w:val="0F801C32"/>
    <w:rsid w:val="0FDD010F"/>
    <w:rsid w:val="0FEC00EE"/>
    <w:rsid w:val="0FEE6836"/>
    <w:rsid w:val="101A1FFE"/>
    <w:rsid w:val="10574280"/>
    <w:rsid w:val="105F18D5"/>
    <w:rsid w:val="108A2DF9"/>
    <w:rsid w:val="109218D9"/>
    <w:rsid w:val="10A1515D"/>
    <w:rsid w:val="10AB7642"/>
    <w:rsid w:val="10B637C0"/>
    <w:rsid w:val="10DF2873"/>
    <w:rsid w:val="10EB474A"/>
    <w:rsid w:val="11170ED8"/>
    <w:rsid w:val="11347157"/>
    <w:rsid w:val="11467149"/>
    <w:rsid w:val="114E2AEE"/>
    <w:rsid w:val="115B567E"/>
    <w:rsid w:val="11A823B3"/>
    <w:rsid w:val="11BF6701"/>
    <w:rsid w:val="11CC3E60"/>
    <w:rsid w:val="11D00048"/>
    <w:rsid w:val="121E0907"/>
    <w:rsid w:val="12417917"/>
    <w:rsid w:val="12423A2C"/>
    <w:rsid w:val="12972A6D"/>
    <w:rsid w:val="12A03046"/>
    <w:rsid w:val="12F16C1F"/>
    <w:rsid w:val="136325A4"/>
    <w:rsid w:val="137F578F"/>
    <w:rsid w:val="138A5D40"/>
    <w:rsid w:val="13B1637B"/>
    <w:rsid w:val="13B33EEB"/>
    <w:rsid w:val="13BC12BF"/>
    <w:rsid w:val="13BF768D"/>
    <w:rsid w:val="13CF3AB0"/>
    <w:rsid w:val="141A5570"/>
    <w:rsid w:val="14236617"/>
    <w:rsid w:val="14405D22"/>
    <w:rsid w:val="1444201F"/>
    <w:rsid w:val="14532B70"/>
    <w:rsid w:val="147914F1"/>
    <w:rsid w:val="14990D44"/>
    <w:rsid w:val="14A33DD8"/>
    <w:rsid w:val="14BE5716"/>
    <w:rsid w:val="14C34F24"/>
    <w:rsid w:val="14F670A8"/>
    <w:rsid w:val="151F00E8"/>
    <w:rsid w:val="155C699E"/>
    <w:rsid w:val="1574696E"/>
    <w:rsid w:val="15BD2C4B"/>
    <w:rsid w:val="15C15585"/>
    <w:rsid w:val="15C6474A"/>
    <w:rsid w:val="15D762E2"/>
    <w:rsid w:val="15F46539"/>
    <w:rsid w:val="15F815D5"/>
    <w:rsid w:val="16326427"/>
    <w:rsid w:val="16433642"/>
    <w:rsid w:val="16441BC9"/>
    <w:rsid w:val="164A3658"/>
    <w:rsid w:val="164E4553"/>
    <w:rsid w:val="16621C8D"/>
    <w:rsid w:val="1665243A"/>
    <w:rsid w:val="16950C3B"/>
    <w:rsid w:val="16A13E1C"/>
    <w:rsid w:val="16CD564A"/>
    <w:rsid w:val="16E77B3D"/>
    <w:rsid w:val="16F23CD8"/>
    <w:rsid w:val="16FA4E2C"/>
    <w:rsid w:val="171C17FB"/>
    <w:rsid w:val="171D46C2"/>
    <w:rsid w:val="171F74F7"/>
    <w:rsid w:val="172B408E"/>
    <w:rsid w:val="17593127"/>
    <w:rsid w:val="17607065"/>
    <w:rsid w:val="17863661"/>
    <w:rsid w:val="178F4343"/>
    <w:rsid w:val="17A941B6"/>
    <w:rsid w:val="180C7126"/>
    <w:rsid w:val="181C7503"/>
    <w:rsid w:val="18236833"/>
    <w:rsid w:val="18333BE2"/>
    <w:rsid w:val="18422604"/>
    <w:rsid w:val="18664E5B"/>
    <w:rsid w:val="18776039"/>
    <w:rsid w:val="188305B7"/>
    <w:rsid w:val="191C7213"/>
    <w:rsid w:val="19434185"/>
    <w:rsid w:val="19813A83"/>
    <w:rsid w:val="19845EE9"/>
    <w:rsid w:val="199D157A"/>
    <w:rsid w:val="199D5C40"/>
    <w:rsid w:val="19A940E1"/>
    <w:rsid w:val="19BA6784"/>
    <w:rsid w:val="19E73463"/>
    <w:rsid w:val="19E80221"/>
    <w:rsid w:val="1A397664"/>
    <w:rsid w:val="1A700B7C"/>
    <w:rsid w:val="1A8F5C7C"/>
    <w:rsid w:val="1A9C70C5"/>
    <w:rsid w:val="1AB8269D"/>
    <w:rsid w:val="1AE41258"/>
    <w:rsid w:val="1B070751"/>
    <w:rsid w:val="1B090479"/>
    <w:rsid w:val="1B093739"/>
    <w:rsid w:val="1B093B1D"/>
    <w:rsid w:val="1B356C3A"/>
    <w:rsid w:val="1B3A401D"/>
    <w:rsid w:val="1B644C78"/>
    <w:rsid w:val="1B7156B8"/>
    <w:rsid w:val="1B757C39"/>
    <w:rsid w:val="1B770817"/>
    <w:rsid w:val="1B7E7F14"/>
    <w:rsid w:val="1BC04FD1"/>
    <w:rsid w:val="1BD27D58"/>
    <w:rsid w:val="1BE54582"/>
    <w:rsid w:val="1BF5716F"/>
    <w:rsid w:val="1BF84AF8"/>
    <w:rsid w:val="1BFB09A3"/>
    <w:rsid w:val="1C164185"/>
    <w:rsid w:val="1C262354"/>
    <w:rsid w:val="1C4D58A1"/>
    <w:rsid w:val="1C542906"/>
    <w:rsid w:val="1C647568"/>
    <w:rsid w:val="1C75643E"/>
    <w:rsid w:val="1C93342E"/>
    <w:rsid w:val="1C986933"/>
    <w:rsid w:val="1CBD2679"/>
    <w:rsid w:val="1CC31008"/>
    <w:rsid w:val="1CCC3CBC"/>
    <w:rsid w:val="1CD566D8"/>
    <w:rsid w:val="1CD974FA"/>
    <w:rsid w:val="1CDF3B2A"/>
    <w:rsid w:val="1CE4752C"/>
    <w:rsid w:val="1CE83302"/>
    <w:rsid w:val="1D167EEA"/>
    <w:rsid w:val="1D2F2D17"/>
    <w:rsid w:val="1D495FAC"/>
    <w:rsid w:val="1D4C4A30"/>
    <w:rsid w:val="1D503E27"/>
    <w:rsid w:val="1D8D58DE"/>
    <w:rsid w:val="1DB2375B"/>
    <w:rsid w:val="1DC05A19"/>
    <w:rsid w:val="1DF71A39"/>
    <w:rsid w:val="1DFB4A45"/>
    <w:rsid w:val="1DFC6FA3"/>
    <w:rsid w:val="1E005F9D"/>
    <w:rsid w:val="1E096100"/>
    <w:rsid w:val="1E1D673B"/>
    <w:rsid w:val="1E231AEA"/>
    <w:rsid w:val="1E4A30BC"/>
    <w:rsid w:val="1E5C7AA3"/>
    <w:rsid w:val="1E6426A0"/>
    <w:rsid w:val="1E8500B7"/>
    <w:rsid w:val="1E8D2FC4"/>
    <w:rsid w:val="1E9F75E1"/>
    <w:rsid w:val="1ECA5910"/>
    <w:rsid w:val="1F3F33F9"/>
    <w:rsid w:val="1F5E1AA4"/>
    <w:rsid w:val="1F655403"/>
    <w:rsid w:val="1F807C45"/>
    <w:rsid w:val="1F86142A"/>
    <w:rsid w:val="1F8D47B9"/>
    <w:rsid w:val="1F8E2E26"/>
    <w:rsid w:val="1F9E53C0"/>
    <w:rsid w:val="1FAB4F33"/>
    <w:rsid w:val="1FC13337"/>
    <w:rsid w:val="1FE67D3D"/>
    <w:rsid w:val="1FE80522"/>
    <w:rsid w:val="1FE9475C"/>
    <w:rsid w:val="1FFC7D8E"/>
    <w:rsid w:val="20254C0F"/>
    <w:rsid w:val="204E5A2F"/>
    <w:rsid w:val="20664963"/>
    <w:rsid w:val="20A9754C"/>
    <w:rsid w:val="20BA111E"/>
    <w:rsid w:val="20C454B5"/>
    <w:rsid w:val="20FE67E9"/>
    <w:rsid w:val="211713ED"/>
    <w:rsid w:val="21241618"/>
    <w:rsid w:val="21460B4D"/>
    <w:rsid w:val="219B7DE7"/>
    <w:rsid w:val="21BA18CA"/>
    <w:rsid w:val="21C4457A"/>
    <w:rsid w:val="21EC3353"/>
    <w:rsid w:val="21F05D61"/>
    <w:rsid w:val="21F3425F"/>
    <w:rsid w:val="22001A09"/>
    <w:rsid w:val="22024965"/>
    <w:rsid w:val="221E50FA"/>
    <w:rsid w:val="222D1D02"/>
    <w:rsid w:val="22366393"/>
    <w:rsid w:val="22771FA7"/>
    <w:rsid w:val="227B4DAD"/>
    <w:rsid w:val="22B4097F"/>
    <w:rsid w:val="22B64134"/>
    <w:rsid w:val="22BB7E2E"/>
    <w:rsid w:val="22D15291"/>
    <w:rsid w:val="23141D1B"/>
    <w:rsid w:val="231470B2"/>
    <w:rsid w:val="236B31BC"/>
    <w:rsid w:val="236D4D88"/>
    <w:rsid w:val="237B3D5E"/>
    <w:rsid w:val="237D3953"/>
    <w:rsid w:val="23856F77"/>
    <w:rsid w:val="239177CA"/>
    <w:rsid w:val="23CB3857"/>
    <w:rsid w:val="23F35D0C"/>
    <w:rsid w:val="23FA7E69"/>
    <w:rsid w:val="244627A5"/>
    <w:rsid w:val="245323A6"/>
    <w:rsid w:val="2460107D"/>
    <w:rsid w:val="24657CB5"/>
    <w:rsid w:val="24756BA6"/>
    <w:rsid w:val="24B060A4"/>
    <w:rsid w:val="24B43F14"/>
    <w:rsid w:val="24E309A7"/>
    <w:rsid w:val="24E449CE"/>
    <w:rsid w:val="25116E92"/>
    <w:rsid w:val="2532575D"/>
    <w:rsid w:val="255D2553"/>
    <w:rsid w:val="25927C62"/>
    <w:rsid w:val="259A0584"/>
    <w:rsid w:val="25A247E7"/>
    <w:rsid w:val="25A87042"/>
    <w:rsid w:val="25B03EE3"/>
    <w:rsid w:val="25B111B0"/>
    <w:rsid w:val="25B92E0A"/>
    <w:rsid w:val="25BA7C53"/>
    <w:rsid w:val="25BE204F"/>
    <w:rsid w:val="26153106"/>
    <w:rsid w:val="261673CB"/>
    <w:rsid w:val="26284610"/>
    <w:rsid w:val="262D2DD3"/>
    <w:rsid w:val="26322B7B"/>
    <w:rsid w:val="26361BCE"/>
    <w:rsid w:val="264A53DE"/>
    <w:rsid w:val="26501172"/>
    <w:rsid w:val="265509DB"/>
    <w:rsid w:val="26616E22"/>
    <w:rsid w:val="266B1340"/>
    <w:rsid w:val="267257B3"/>
    <w:rsid w:val="267A636E"/>
    <w:rsid w:val="268D7140"/>
    <w:rsid w:val="26960553"/>
    <w:rsid w:val="26B26A7B"/>
    <w:rsid w:val="26BD6D0E"/>
    <w:rsid w:val="26D121AE"/>
    <w:rsid w:val="26E873DA"/>
    <w:rsid w:val="270933F2"/>
    <w:rsid w:val="27187560"/>
    <w:rsid w:val="272A0C68"/>
    <w:rsid w:val="27665E21"/>
    <w:rsid w:val="27736981"/>
    <w:rsid w:val="277C2603"/>
    <w:rsid w:val="278230B3"/>
    <w:rsid w:val="279961FC"/>
    <w:rsid w:val="27AE44D5"/>
    <w:rsid w:val="27D80610"/>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2E2667"/>
    <w:rsid w:val="29311834"/>
    <w:rsid w:val="29347D47"/>
    <w:rsid w:val="29611F8B"/>
    <w:rsid w:val="296C7C2C"/>
    <w:rsid w:val="299F4685"/>
    <w:rsid w:val="299F47E5"/>
    <w:rsid w:val="29AD67F7"/>
    <w:rsid w:val="29C76E0D"/>
    <w:rsid w:val="29DC62F2"/>
    <w:rsid w:val="2A021B3E"/>
    <w:rsid w:val="2A257690"/>
    <w:rsid w:val="2A290BDC"/>
    <w:rsid w:val="2A346A47"/>
    <w:rsid w:val="2A3E35AD"/>
    <w:rsid w:val="2A4D76CB"/>
    <w:rsid w:val="2A652BD4"/>
    <w:rsid w:val="2A6C420C"/>
    <w:rsid w:val="2AB26607"/>
    <w:rsid w:val="2AD94755"/>
    <w:rsid w:val="2AF77367"/>
    <w:rsid w:val="2B0A326E"/>
    <w:rsid w:val="2B226DC5"/>
    <w:rsid w:val="2B411857"/>
    <w:rsid w:val="2B54148E"/>
    <w:rsid w:val="2B5E61B8"/>
    <w:rsid w:val="2B6725B9"/>
    <w:rsid w:val="2B7118BF"/>
    <w:rsid w:val="2B724E22"/>
    <w:rsid w:val="2B8818D0"/>
    <w:rsid w:val="2B8A1EA0"/>
    <w:rsid w:val="2BE13188"/>
    <w:rsid w:val="2BE243D2"/>
    <w:rsid w:val="2BE713FE"/>
    <w:rsid w:val="2BF65107"/>
    <w:rsid w:val="2C053476"/>
    <w:rsid w:val="2C113654"/>
    <w:rsid w:val="2C1B212D"/>
    <w:rsid w:val="2C3E2C44"/>
    <w:rsid w:val="2C44674C"/>
    <w:rsid w:val="2C576226"/>
    <w:rsid w:val="2C920372"/>
    <w:rsid w:val="2CBA4CB2"/>
    <w:rsid w:val="2D1C7470"/>
    <w:rsid w:val="2D28535E"/>
    <w:rsid w:val="2D735A67"/>
    <w:rsid w:val="2DBA131A"/>
    <w:rsid w:val="2DBA5AC8"/>
    <w:rsid w:val="2DCB735A"/>
    <w:rsid w:val="2DDD2134"/>
    <w:rsid w:val="2DDD4E5F"/>
    <w:rsid w:val="2DE60BE9"/>
    <w:rsid w:val="2E2668E4"/>
    <w:rsid w:val="2E3B5ECD"/>
    <w:rsid w:val="2E451A7C"/>
    <w:rsid w:val="2ED36202"/>
    <w:rsid w:val="2EE13B2F"/>
    <w:rsid w:val="2EE15691"/>
    <w:rsid w:val="2F155773"/>
    <w:rsid w:val="2F1F4FB0"/>
    <w:rsid w:val="2F4A5657"/>
    <w:rsid w:val="2F9C2E37"/>
    <w:rsid w:val="2FAE21F9"/>
    <w:rsid w:val="2FB000FC"/>
    <w:rsid w:val="2FC93316"/>
    <w:rsid w:val="2FCC5583"/>
    <w:rsid w:val="2FD61001"/>
    <w:rsid w:val="300852DE"/>
    <w:rsid w:val="30464020"/>
    <w:rsid w:val="306B512F"/>
    <w:rsid w:val="306D5C41"/>
    <w:rsid w:val="30A83EC2"/>
    <w:rsid w:val="30B80D4C"/>
    <w:rsid w:val="30BD2B5F"/>
    <w:rsid w:val="30EF5016"/>
    <w:rsid w:val="30F84E6F"/>
    <w:rsid w:val="31127E0D"/>
    <w:rsid w:val="3129025F"/>
    <w:rsid w:val="31320998"/>
    <w:rsid w:val="31453C7B"/>
    <w:rsid w:val="314D312F"/>
    <w:rsid w:val="316D7D22"/>
    <w:rsid w:val="31843543"/>
    <w:rsid w:val="31857990"/>
    <w:rsid w:val="318B126D"/>
    <w:rsid w:val="31A1157A"/>
    <w:rsid w:val="31AF6AA4"/>
    <w:rsid w:val="31C25309"/>
    <w:rsid w:val="31D67B45"/>
    <w:rsid w:val="31E35430"/>
    <w:rsid w:val="3210510A"/>
    <w:rsid w:val="322055D3"/>
    <w:rsid w:val="322E1180"/>
    <w:rsid w:val="324D07E6"/>
    <w:rsid w:val="32757B61"/>
    <w:rsid w:val="32822213"/>
    <w:rsid w:val="32845160"/>
    <w:rsid w:val="328F2B5E"/>
    <w:rsid w:val="32981347"/>
    <w:rsid w:val="329F7A2B"/>
    <w:rsid w:val="3311647A"/>
    <w:rsid w:val="3329346A"/>
    <w:rsid w:val="333659DA"/>
    <w:rsid w:val="335553C6"/>
    <w:rsid w:val="3357102E"/>
    <w:rsid w:val="33572FB0"/>
    <w:rsid w:val="33633EB8"/>
    <w:rsid w:val="336D250C"/>
    <w:rsid w:val="33B30672"/>
    <w:rsid w:val="33D579CF"/>
    <w:rsid w:val="33E836FB"/>
    <w:rsid w:val="33F205F7"/>
    <w:rsid w:val="33FF2179"/>
    <w:rsid w:val="345E3292"/>
    <w:rsid w:val="34664A0B"/>
    <w:rsid w:val="346E2D0F"/>
    <w:rsid w:val="347C327F"/>
    <w:rsid w:val="34AE1E6A"/>
    <w:rsid w:val="34B67472"/>
    <w:rsid w:val="34D676E0"/>
    <w:rsid w:val="34EE6F36"/>
    <w:rsid w:val="350E3B42"/>
    <w:rsid w:val="35125628"/>
    <w:rsid w:val="352100FF"/>
    <w:rsid w:val="352167CF"/>
    <w:rsid w:val="3566212E"/>
    <w:rsid w:val="356B276A"/>
    <w:rsid w:val="357D7D6A"/>
    <w:rsid w:val="358E654C"/>
    <w:rsid w:val="35965B9C"/>
    <w:rsid w:val="359F0A1F"/>
    <w:rsid w:val="35AB3FFF"/>
    <w:rsid w:val="35C43240"/>
    <w:rsid w:val="35D42CBE"/>
    <w:rsid w:val="361B3EDC"/>
    <w:rsid w:val="361C407C"/>
    <w:rsid w:val="365C025C"/>
    <w:rsid w:val="365C4945"/>
    <w:rsid w:val="36626692"/>
    <w:rsid w:val="367242E0"/>
    <w:rsid w:val="36897340"/>
    <w:rsid w:val="368C4D1E"/>
    <w:rsid w:val="369736C3"/>
    <w:rsid w:val="36D05609"/>
    <w:rsid w:val="36E35E9F"/>
    <w:rsid w:val="36EC24B8"/>
    <w:rsid w:val="36FF2B34"/>
    <w:rsid w:val="3712448B"/>
    <w:rsid w:val="37583BBA"/>
    <w:rsid w:val="37A34A15"/>
    <w:rsid w:val="37A52ECC"/>
    <w:rsid w:val="37C64260"/>
    <w:rsid w:val="38282D9D"/>
    <w:rsid w:val="38473444"/>
    <w:rsid w:val="38496EE5"/>
    <w:rsid w:val="385308AB"/>
    <w:rsid w:val="38692F2E"/>
    <w:rsid w:val="38854458"/>
    <w:rsid w:val="389A51EB"/>
    <w:rsid w:val="38A22B6B"/>
    <w:rsid w:val="38D563EE"/>
    <w:rsid w:val="38EA10A6"/>
    <w:rsid w:val="390441CE"/>
    <w:rsid w:val="390B5D7B"/>
    <w:rsid w:val="39166111"/>
    <w:rsid w:val="39255B75"/>
    <w:rsid w:val="395370EE"/>
    <w:rsid w:val="39545D8E"/>
    <w:rsid w:val="396756C1"/>
    <w:rsid w:val="39850A32"/>
    <w:rsid w:val="3985179C"/>
    <w:rsid w:val="39A64349"/>
    <w:rsid w:val="39BF1CE5"/>
    <w:rsid w:val="3A0B1954"/>
    <w:rsid w:val="3A151FA0"/>
    <w:rsid w:val="3A2B232A"/>
    <w:rsid w:val="3A457D7E"/>
    <w:rsid w:val="3A793A8F"/>
    <w:rsid w:val="3ABF2507"/>
    <w:rsid w:val="3AC32E01"/>
    <w:rsid w:val="3AC9498B"/>
    <w:rsid w:val="3B256DAF"/>
    <w:rsid w:val="3B533D48"/>
    <w:rsid w:val="3B5A1A2F"/>
    <w:rsid w:val="3B5B5758"/>
    <w:rsid w:val="3B8D3791"/>
    <w:rsid w:val="3BA27B10"/>
    <w:rsid w:val="3BA92E72"/>
    <w:rsid w:val="3BAA04FF"/>
    <w:rsid w:val="3BAD1686"/>
    <w:rsid w:val="3BAF6081"/>
    <w:rsid w:val="3BE0479C"/>
    <w:rsid w:val="3BEE3761"/>
    <w:rsid w:val="3C0E5061"/>
    <w:rsid w:val="3C9A335A"/>
    <w:rsid w:val="3CBB635D"/>
    <w:rsid w:val="3CC05722"/>
    <w:rsid w:val="3CDC396E"/>
    <w:rsid w:val="3CF248ED"/>
    <w:rsid w:val="3D0D4A0D"/>
    <w:rsid w:val="3D2C32FF"/>
    <w:rsid w:val="3D312940"/>
    <w:rsid w:val="3D681D5A"/>
    <w:rsid w:val="3D6A1C0B"/>
    <w:rsid w:val="3D8D6ED1"/>
    <w:rsid w:val="3D8F3E21"/>
    <w:rsid w:val="3DC31ADA"/>
    <w:rsid w:val="3DFD7731"/>
    <w:rsid w:val="3E0C733A"/>
    <w:rsid w:val="3E874902"/>
    <w:rsid w:val="3E921361"/>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8560B2"/>
    <w:rsid w:val="408F3C3B"/>
    <w:rsid w:val="40AD0BEA"/>
    <w:rsid w:val="40B45FA1"/>
    <w:rsid w:val="40C50789"/>
    <w:rsid w:val="40DC3C67"/>
    <w:rsid w:val="40E2404A"/>
    <w:rsid w:val="40FA0619"/>
    <w:rsid w:val="41141D46"/>
    <w:rsid w:val="41262582"/>
    <w:rsid w:val="41277321"/>
    <w:rsid w:val="41435282"/>
    <w:rsid w:val="415C5513"/>
    <w:rsid w:val="41661CEC"/>
    <w:rsid w:val="417304D2"/>
    <w:rsid w:val="41B67760"/>
    <w:rsid w:val="4200486D"/>
    <w:rsid w:val="42084854"/>
    <w:rsid w:val="420A4AA8"/>
    <w:rsid w:val="423C231C"/>
    <w:rsid w:val="424E5D3B"/>
    <w:rsid w:val="42894103"/>
    <w:rsid w:val="42DA35EB"/>
    <w:rsid w:val="42DC1373"/>
    <w:rsid w:val="432079B0"/>
    <w:rsid w:val="432307B8"/>
    <w:rsid w:val="43494E83"/>
    <w:rsid w:val="434A1ED7"/>
    <w:rsid w:val="434B5F61"/>
    <w:rsid w:val="439452CD"/>
    <w:rsid w:val="43987C3E"/>
    <w:rsid w:val="43C802A3"/>
    <w:rsid w:val="43DF168F"/>
    <w:rsid w:val="43F70347"/>
    <w:rsid w:val="44151500"/>
    <w:rsid w:val="442B2B80"/>
    <w:rsid w:val="442E2C0A"/>
    <w:rsid w:val="443415E8"/>
    <w:rsid w:val="44471AAC"/>
    <w:rsid w:val="444E1385"/>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DC172D"/>
    <w:rsid w:val="45EB5B41"/>
    <w:rsid w:val="45FC5122"/>
    <w:rsid w:val="4608625E"/>
    <w:rsid w:val="460E37F4"/>
    <w:rsid w:val="462E28FA"/>
    <w:rsid w:val="463D21F4"/>
    <w:rsid w:val="46E66176"/>
    <w:rsid w:val="46F618BC"/>
    <w:rsid w:val="47172FCE"/>
    <w:rsid w:val="472D20DA"/>
    <w:rsid w:val="47322751"/>
    <w:rsid w:val="473E0204"/>
    <w:rsid w:val="473E1081"/>
    <w:rsid w:val="474535D0"/>
    <w:rsid w:val="475075B1"/>
    <w:rsid w:val="477301BF"/>
    <w:rsid w:val="47770F2B"/>
    <w:rsid w:val="47D9109A"/>
    <w:rsid w:val="47DF1EDE"/>
    <w:rsid w:val="47E32A44"/>
    <w:rsid w:val="48001EB1"/>
    <w:rsid w:val="485F067A"/>
    <w:rsid w:val="48A46FB5"/>
    <w:rsid w:val="48C63978"/>
    <w:rsid w:val="48C72033"/>
    <w:rsid w:val="48D13995"/>
    <w:rsid w:val="48D931CF"/>
    <w:rsid w:val="48DB1A95"/>
    <w:rsid w:val="49095468"/>
    <w:rsid w:val="492B4F94"/>
    <w:rsid w:val="492E6967"/>
    <w:rsid w:val="49957DEF"/>
    <w:rsid w:val="499B56CA"/>
    <w:rsid w:val="49A25D9E"/>
    <w:rsid w:val="49A96B07"/>
    <w:rsid w:val="49B21A14"/>
    <w:rsid w:val="49C51CAF"/>
    <w:rsid w:val="49F53957"/>
    <w:rsid w:val="4A2057D5"/>
    <w:rsid w:val="4A2A06C4"/>
    <w:rsid w:val="4A6819DC"/>
    <w:rsid w:val="4A8A479E"/>
    <w:rsid w:val="4A8F0E29"/>
    <w:rsid w:val="4A902D26"/>
    <w:rsid w:val="4AC17322"/>
    <w:rsid w:val="4ACE5198"/>
    <w:rsid w:val="4B1506E1"/>
    <w:rsid w:val="4B2E3F72"/>
    <w:rsid w:val="4B341A2A"/>
    <w:rsid w:val="4B375FBE"/>
    <w:rsid w:val="4B3B7B1E"/>
    <w:rsid w:val="4B414BEA"/>
    <w:rsid w:val="4B587F93"/>
    <w:rsid w:val="4B7103C2"/>
    <w:rsid w:val="4B812B8E"/>
    <w:rsid w:val="4B85737C"/>
    <w:rsid w:val="4B9F74CF"/>
    <w:rsid w:val="4BD37249"/>
    <w:rsid w:val="4C073223"/>
    <w:rsid w:val="4C1A464A"/>
    <w:rsid w:val="4C274913"/>
    <w:rsid w:val="4CA14D01"/>
    <w:rsid w:val="4CAC3D23"/>
    <w:rsid w:val="4CBB0999"/>
    <w:rsid w:val="4CCF792C"/>
    <w:rsid w:val="4CED7708"/>
    <w:rsid w:val="4CFB7F38"/>
    <w:rsid w:val="4CFE7AD0"/>
    <w:rsid w:val="4D033455"/>
    <w:rsid w:val="4D10719D"/>
    <w:rsid w:val="4D2211D8"/>
    <w:rsid w:val="4D583F97"/>
    <w:rsid w:val="4DC002E1"/>
    <w:rsid w:val="4DC07059"/>
    <w:rsid w:val="4DD44A19"/>
    <w:rsid w:val="4DE75FC1"/>
    <w:rsid w:val="4E6E58E7"/>
    <w:rsid w:val="4E797593"/>
    <w:rsid w:val="4EA551CE"/>
    <w:rsid w:val="4EA57992"/>
    <w:rsid w:val="4EC86811"/>
    <w:rsid w:val="4F112BD8"/>
    <w:rsid w:val="4F2359D6"/>
    <w:rsid w:val="4F27534F"/>
    <w:rsid w:val="4F3A6B04"/>
    <w:rsid w:val="4F6621C1"/>
    <w:rsid w:val="4F69181E"/>
    <w:rsid w:val="4F9A2167"/>
    <w:rsid w:val="4FCC594B"/>
    <w:rsid w:val="4FD0029E"/>
    <w:rsid w:val="50596932"/>
    <w:rsid w:val="50833C49"/>
    <w:rsid w:val="50880633"/>
    <w:rsid w:val="508F5958"/>
    <w:rsid w:val="50A32944"/>
    <w:rsid w:val="50DD469C"/>
    <w:rsid w:val="50E41AF7"/>
    <w:rsid w:val="50EC3EA9"/>
    <w:rsid w:val="50ED0E10"/>
    <w:rsid w:val="513432D5"/>
    <w:rsid w:val="513B0119"/>
    <w:rsid w:val="513C7D41"/>
    <w:rsid w:val="515A0C65"/>
    <w:rsid w:val="515E27BB"/>
    <w:rsid w:val="51A45F6D"/>
    <w:rsid w:val="51B907B6"/>
    <w:rsid w:val="51DF0CDF"/>
    <w:rsid w:val="51E30B98"/>
    <w:rsid w:val="51E97071"/>
    <w:rsid w:val="51FD61FC"/>
    <w:rsid w:val="52203D61"/>
    <w:rsid w:val="52386D39"/>
    <w:rsid w:val="523C3645"/>
    <w:rsid w:val="5242431B"/>
    <w:rsid w:val="524877D4"/>
    <w:rsid w:val="524F0DF4"/>
    <w:rsid w:val="52750B65"/>
    <w:rsid w:val="52A00B52"/>
    <w:rsid w:val="52A651A9"/>
    <w:rsid w:val="52CB4CC5"/>
    <w:rsid w:val="52D0584F"/>
    <w:rsid w:val="52E23DAC"/>
    <w:rsid w:val="52EB770C"/>
    <w:rsid w:val="52F6441F"/>
    <w:rsid w:val="5309719A"/>
    <w:rsid w:val="53140C09"/>
    <w:rsid w:val="531E1115"/>
    <w:rsid w:val="53311A2E"/>
    <w:rsid w:val="5366484D"/>
    <w:rsid w:val="53731EF1"/>
    <w:rsid w:val="53733493"/>
    <w:rsid w:val="53912B90"/>
    <w:rsid w:val="53AC07DC"/>
    <w:rsid w:val="53C41B44"/>
    <w:rsid w:val="53F969C4"/>
    <w:rsid w:val="5404740A"/>
    <w:rsid w:val="54050B1A"/>
    <w:rsid w:val="542362A5"/>
    <w:rsid w:val="54280325"/>
    <w:rsid w:val="546D41B1"/>
    <w:rsid w:val="547701CD"/>
    <w:rsid w:val="54A65B3A"/>
    <w:rsid w:val="54CD01EC"/>
    <w:rsid w:val="54F558F9"/>
    <w:rsid w:val="550348EE"/>
    <w:rsid w:val="550E3200"/>
    <w:rsid w:val="55135050"/>
    <w:rsid w:val="551E35E3"/>
    <w:rsid w:val="5520072C"/>
    <w:rsid w:val="55373ACE"/>
    <w:rsid w:val="556A2277"/>
    <w:rsid w:val="556F068E"/>
    <w:rsid w:val="558D4430"/>
    <w:rsid w:val="559427CA"/>
    <w:rsid w:val="55C8191C"/>
    <w:rsid w:val="55C8432B"/>
    <w:rsid w:val="55D33DE7"/>
    <w:rsid w:val="55D35D43"/>
    <w:rsid w:val="56223544"/>
    <w:rsid w:val="562B0309"/>
    <w:rsid w:val="56320F1A"/>
    <w:rsid w:val="564D41A9"/>
    <w:rsid w:val="565E4274"/>
    <w:rsid w:val="5666031A"/>
    <w:rsid w:val="566A27F8"/>
    <w:rsid w:val="56803FF0"/>
    <w:rsid w:val="568F750C"/>
    <w:rsid w:val="569014CB"/>
    <w:rsid w:val="56925ED7"/>
    <w:rsid w:val="56B55995"/>
    <w:rsid w:val="56C91168"/>
    <w:rsid w:val="56E15BAE"/>
    <w:rsid w:val="56FA0DF2"/>
    <w:rsid w:val="56FF0F11"/>
    <w:rsid w:val="56FF0F32"/>
    <w:rsid w:val="5714339A"/>
    <w:rsid w:val="5717042A"/>
    <w:rsid w:val="571A1A7B"/>
    <w:rsid w:val="572E4DA3"/>
    <w:rsid w:val="572E781C"/>
    <w:rsid w:val="57456D6D"/>
    <w:rsid w:val="575952E3"/>
    <w:rsid w:val="57842375"/>
    <w:rsid w:val="57866CAC"/>
    <w:rsid w:val="57B2220D"/>
    <w:rsid w:val="57C76DE6"/>
    <w:rsid w:val="57D165DD"/>
    <w:rsid w:val="57D80574"/>
    <w:rsid w:val="580A0E63"/>
    <w:rsid w:val="580E3A4B"/>
    <w:rsid w:val="5814779C"/>
    <w:rsid w:val="58420881"/>
    <w:rsid w:val="584357AA"/>
    <w:rsid w:val="58764BA4"/>
    <w:rsid w:val="587C692E"/>
    <w:rsid w:val="588221AB"/>
    <w:rsid w:val="58870496"/>
    <w:rsid w:val="588A1876"/>
    <w:rsid w:val="58AC68EF"/>
    <w:rsid w:val="58BE53CF"/>
    <w:rsid w:val="58C007C6"/>
    <w:rsid w:val="58C41915"/>
    <w:rsid w:val="58E407EA"/>
    <w:rsid w:val="590649AC"/>
    <w:rsid w:val="591B616B"/>
    <w:rsid w:val="592D1F6B"/>
    <w:rsid w:val="59304CE8"/>
    <w:rsid w:val="59370159"/>
    <w:rsid w:val="59532C2C"/>
    <w:rsid w:val="5981656F"/>
    <w:rsid w:val="59A06B52"/>
    <w:rsid w:val="59A26243"/>
    <w:rsid w:val="59C76055"/>
    <w:rsid w:val="59E074CD"/>
    <w:rsid w:val="59E47F3A"/>
    <w:rsid w:val="59E75FD1"/>
    <w:rsid w:val="5A065F4B"/>
    <w:rsid w:val="5A0B1C28"/>
    <w:rsid w:val="5A2255E6"/>
    <w:rsid w:val="5A772FF3"/>
    <w:rsid w:val="5A851E01"/>
    <w:rsid w:val="5AA15ABA"/>
    <w:rsid w:val="5AB06C76"/>
    <w:rsid w:val="5AF63E2E"/>
    <w:rsid w:val="5B1128EC"/>
    <w:rsid w:val="5B29025F"/>
    <w:rsid w:val="5B3143F9"/>
    <w:rsid w:val="5B503CBD"/>
    <w:rsid w:val="5BBC1352"/>
    <w:rsid w:val="5BF21181"/>
    <w:rsid w:val="5BFA46DF"/>
    <w:rsid w:val="5BFD0432"/>
    <w:rsid w:val="5C1974E5"/>
    <w:rsid w:val="5C1C7E80"/>
    <w:rsid w:val="5C1F17B5"/>
    <w:rsid w:val="5C222CA6"/>
    <w:rsid w:val="5C425F1E"/>
    <w:rsid w:val="5C4828EE"/>
    <w:rsid w:val="5CA72002"/>
    <w:rsid w:val="5CBD3C20"/>
    <w:rsid w:val="5CE075FF"/>
    <w:rsid w:val="5CE9518C"/>
    <w:rsid w:val="5D2166D8"/>
    <w:rsid w:val="5D272680"/>
    <w:rsid w:val="5D45468E"/>
    <w:rsid w:val="5D6B04DF"/>
    <w:rsid w:val="5D9B1497"/>
    <w:rsid w:val="5DDC51F6"/>
    <w:rsid w:val="5DE3422A"/>
    <w:rsid w:val="5E05130E"/>
    <w:rsid w:val="5E135B29"/>
    <w:rsid w:val="5E466F37"/>
    <w:rsid w:val="5E6A0CC2"/>
    <w:rsid w:val="5E845B3F"/>
    <w:rsid w:val="5E8D1899"/>
    <w:rsid w:val="5EF4213A"/>
    <w:rsid w:val="5EF778DD"/>
    <w:rsid w:val="5F012051"/>
    <w:rsid w:val="5F151A68"/>
    <w:rsid w:val="5F1E594E"/>
    <w:rsid w:val="5F2306D2"/>
    <w:rsid w:val="5F364291"/>
    <w:rsid w:val="5F720D05"/>
    <w:rsid w:val="5FB038A7"/>
    <w:rsid w:val="5FBB2542"/>
    <w:rsid w:val="5FFB489D"/>
    <w:rsid w:val="6014637F"/>
    <w:rsid w:val="60304923"/>
    <w:rsid w:val="60340051"/>
    <w:rsid w:val="60350C06"/>
    <w:rsid w:val="603B74D8"/>
    <w:rsid w:val="605F163A"/>
    <w:rsid w:val="60687CAA"/>
    <w:rsid w:val="6074197E"/>
    <w:rsid w:val="60A24FBB"/>
    <w:rsid w:val="60A7279D"/>
    <w:rsid w:val="60C625CB"/>
    <w:rsid w:val="60C71D15"/>
    <w:rsid w:val="61036CD9"/>
    <w:rsid w:val="61097F16"/>
    <w:rsid w:val="612451AE"/>
    <w:rsid w:val="613E3C59"/>
    <w:rsid w:val="61717233"/>
    <w:rsid w:val="61842912"/>
    <w:rsid w:val="619513BF"/>
    <w:rsid w:val="61A55E2E"/>
    <w:rsid w:val="61B90EE2"/>
    <w:rsid w:val="61BE4076"/>
    <w:rsid w:val="61C34C9F"/>
    <w:rsid w:val="61CF1FDD"/>
    <w:rsid w:val="61F061FA"/>
    <w:rsid w:val="61FA205F"/>
    <w:rsid w:val="620D15FF"/>
    <w:rsid w:val="622E021B"/>
    <w:rsid w:val="624F2F20"/>
    <w:rsid w:val="62564672"/>
    <w:rsid w:val="626C2C39"/>
    <w:rsid w:val="627A61C5"/>
    <w:rsid w:val="62841CE0"/>
    <w:rsid w:val="62A6202B"/>
    <w:rsid w:val="62AF7E63"/>
    <w:rsid w:val="62B524F7"/>
    <w:rsid w:val="62E513AE"/>
    <w:rsid w:val="62EF4D57"/>
    <w:rsid w:val="62F1602A"/>
    <w:rsid w:val="63203A10"/>
    <w:rsid w:val="6321699F"/>
    <w:rsid w:val="63360CF0"/>
    <w:rsid w:val="634467FD"/>
    <w:rsid w:val="63554E4D"/>
    <w:rsid w:val="63652DBD"/>
    <w:rsid w:val="63687E84"/>
    <w:rsid w:val="637257E9"/>
    <w:rsid w:val="63951967"/>
    <w:rsid w:val="63981FD0"/>
    <w:rsid w:val="63B50F8C"/>
    <w:rsid w:val="63CB3117"/>
    <w:rsid w:val="640E61DB"/>
    <w:rsid w:val="641206A9"/>
    <w:rsid w:val="64545838"/>
    <w:rsid w:val="645F02B5"/>
    <w:rsid w:val="64681B01"/>
    <w:rsid w:val="64867FEE"/>
    <w:rsid w:val="649007B3"/>
    <w:rsid w:val="64AE06FA"/>
    <w:rsid w:val="64D401A5"/>
    <w:rsid w:val="65024685"/>
    <w:rsid w:val="65535A5A"/>
    <w:rsid w:val="657051C0"/>
    <w:rsid w:val="659D0DEE"/>
    <w:rsid w:val="65A6262A"/>
    <w:rsid w:val="65D219C2"/>
    <w:rsid w:val="65D21E1C"/>
    <w:rsid w:val="65DA54B3"/>
    <w:rsid w:val="65FB4D18"/>
    <w:rsid w:val="65FC4CD8"/>
    <w:rsid w:val="660A7073"/>
    <w:rsid w:val="660E3C9E"/>
    <w:rsid w:val="66164CE6"/>
    <w:rsid w:val="66425F55"/>
    <w:rsid w:val="665C5C0C"/>
    <w:rsid w:val="66AA7499"/>
    <w:rsid w:val="66BF254A"/>
    <w:rsid w:val="66EE49DE"/>
    <w:rsid w:val="676F09D5"/>
    <w:rsid w:val="67790849"/>
    <w:rsid w:val="67AA7DCF"/>
    <w:rsid w:val="67B34464"/>
    <w:rsid w:val="67BD22B9"/>
    <w:rsid w:val="67FE1162"/>
    <w:rsid w:val="681B0E12"/>
    <w:rsid w:val="688F28E2"/>
    <w:rsid w:val="68A11DD7"/>
    <w:rsid w:val="68A51FB8"/>
    <w:rsid w:val="68D6796F"/>
    <w:rsid w:val="68DB53E7"/>
    <w:rsid w:val="68EA3016"/>
    <w:rsid w:val="68EB7ABC"/>
    <w:rsid w:val="68FD6AFA"/>
    <w:rsid w:val="69062705"/>
    <w:rsid w:val="691B0B6B"/>
    <w:rsid w:val="69782CD3"/>
    <w:rsid w:val="697F5EFC"/>
    <w:rsid w:val="698A7439"/>
    <w:rsid w:val="69936875"/>
    <w:rsid w:val="69964E32"/>
    <w:rsid w:val="69AE114D"/>
    <w:rsid w:val="69DC7E67"/>
    <w:rsid w:val="69E80350"/>
    <w:rsid w:val="69FA3D78"/>
    <w:rsid w:val="6A0C52FE"/>
    <w:rsid w:val="6A1D56B2"/>
    <w:rsid w:val="6A2B6FC3"/>
    <w:rsid w:val="6A3A339B"/>
    <w:rsid w:val="6A3A5E65"/>
    <w:rsid w:val="6A6F1C4C"/>
    <w:rsid w:val="6A7202DC"/>
    <w:rsid w:val="6AA74926"/>
    <w:rsid w:val="6AA74E35"/>
    <w:rsid w:val="6AC6225B"/>
    <w:rsid w:val="6B505BBB"/>
    <w:rsid w:val="6B6333A7"/>
    <w:rsid w:val="6BCA5C39"/>
    <w:rsid w:val="6BE27CF9"/>
    <w:rsid w:val="6C2D1409"/>
    <w:rsid w:val="6C2D7D63"/>
    <w:rsid w:val="6C3206C8"/>
    <w:rsid w:val="6C357AB5"/>
    <w:rsid w:val="6C3934B6"/>
    <w:rsid w:val="6C615C61"/>
    <w:rsid w:val="6C6367AC"/>
    <w:rsid w:val="6C862345"/>
    <w:rsid w:val="6C8B724B"/>
    <w:rsid w:val="6C9048E4"/>
    <w:rsid w:val="6C9E2A18"/>
    <w:rsid w:val="6CA35456"/>
    <w:rsid w:val="6CB017D7"/>
    <w:rsid w:val="6CBC68B9"/>
    <w:rsid w:val="6CD66EDA"/>
    <w:rsid w:val="6CE016EF"/>
    <w:rsid w:val="6D146CD3"/>
    <w:rsid w:val="6D1566D6"/>
    <w:rsid w:val="6D30394E"/>
    <w:rsid w:val="6D5502AA"/>
    <w:rsid w:val="6D624403"/>
    <w:rsid w:val="6DA31776"/>
    <w:rsid w:val="6DA45FD5"/>
    <w:rsid w:val="6DA65016"/>
    <w:rsid w:val="6DCB15BA"/>
    <w:rsid w:val="6DEF5697"/>
    <w:rsid w:val="6E290AC9"/>
    <w:rsid w:val="6E2E4332"/>
    <w:rsid w:val="6E366026"/>
    <w:rsid w:val="6E3C157B"/>
    <w:rsid w:val="6E4628B1"/>
    <w:rsid w:val="6E6903A5"/>
    <w:rsid w:val="6E9905B2"/>
    <w:rsid w:val="6EB87125"/>
    <w:rsid w:val="6EBB6069"/>
    <w:rsid w:val="6EC11D71"/>
    <w:rsid w:val="6EC647CC"/>
    <w:rsid w:val="6F1222C5"/>
    <w:rsid w:val="6F161214"/>
    <w:rsid w:val="6F317DD0"/>
    <w:rsid w:val="6F322D6E"/>
    <w:rsid w:val="6F3A0D2D"/>
    <w:rsid w:val="6F3C56C7"/>
    <w:rsid w:val="6F710F7D"/>
    <w:rsid w:val="6F757BA3"/>
    <w:rsid w:val="6F794E16"/>
    <w:rsid w:val="6F8E0F7C"/>
    <w:rsid w:val="6F941F5F"/>
    <w:rsid w:val="6FAF019B"/>
    <w:rsid w:val="6FB202FC"/>
    <w:rsid w:val="6FB9412B"/>
    <w:rsid w:val="6FBA5851"/>
    <w:rsid w:val="6FD431BC"/>
    <w:rsid w:val="6FD64D8A"/>
    <w:rsid w:val="709649ED"/>
    <w:rsid w:val="70A84AD3"/>
    <w:rsid w:val="70AE3508"/>
    <w:rsid w:val="70B351A6"/>
    <w:rsid w:val="70BF773C"/>
    <w:rsid w:val="70C41831"/>
    <w:rsid w:val="70E94F37"/>
    <w:rsid w:val="70EF017D"/>
    <w:rsid w:val="7117334E"/>
    <w:rsid w:val="711F7F62"/>
    <w:rsid w:val="71200E5D"/>
    <w:rsid w:val="712719C8"/>
    <w:rsid w:val="71336359"/>
    <w:rsid w:val="714B63FF"/>
    <w:rsid w:val="717A4EBB"/>
    <w:rsid w:val="71A121E2"/>
    <w:rsid w:val="71AA47BF"/>
    <w:rsid w:val="71C11676"/>
    <w:rsid w:val="71CD5454"/>
    <w:rsid w:val="71D5629F"/>
    <w:rsid w:val="71EB57C6"/>
    <w:rsid w:val="71F46524"/>
    <w:rsid w:val="71FB06B4"/>
    <w:rsid w:val="72112D0B"/>
    <w:rsid w:val="72135613"/>
    <w:rsid w:val="72144DE3"/>
    <w:rsid w:val="72196118"/>
    <w:rsid w:val="723C3D7F"/>
    <w:rsid w:val="72736E18"/>
    <w:rsid w:val="728D1118"/>
    <w:rsid w:val="72B03A9F"/>
    <w:rsid w:val="72B25F6B"/>
    <w:rsid w:val="72B81190"/>
    <w:rsid w:val="72EF7206"/>
    <w:rsid w:val="73032A0D"/>
    <w:rsid w:val="731F3B82"/>
    <w:rsid w:val="734D21A1"/>
    <w:rsid w:val="73836ECE"/>
    <w:rsid w:val="73C67500"/>
    <w:rsid w:val="73C864B5"/>
    <w:rsid w:val="73DE7E71"/>
    <w:rsid w:val="744A3547"/>
    <w:rsid w:val="744D411F"/>
    <w:rsid w:val="745C2CF4"/>
    <w:rsid w:val="74641182"/>
    <w:rsid w:val="74744A68"/>
    <w:rsid w:val="748447E8"/>
    <w:rsid w:val="749D4770"/>
    <w:rsid w:val="74A622B2"/>
    <w:rsid w:val="74D43FCD"/>
    <w:rsid w:val="74D736BD"/>
    <w:rsid w:val="74E403D4"/>
    <w:rsid w:val="74EA6DE6"/>
    <w:rsid w:val="74FC6F38"/>
    <w:rsid w:val="74FE3413"/>
    <w:rsid w:val="751029AE"/>
    <w:rsid w:val="751111C4"/>
    <w:rsid w:val="753649D0"/>
    <w:rsid w:val="756A1040"/>
    <w:rsid w:val="75921044"/>
    <w:rsid w:val="75970512"/>
    <w:rsid w:val="75986535"/>
    <w:rsid w:val="759944E1"/>
    <w:rsid w:val="759B5199"/>
    <w:rsid w:val="75E14DE5"/>
    <w:rsid w:val="761A6BC1"/>
    <w:rsid w:val="762A2A36"/>
    <w:rsid w:val="763E74B8"/>
    <w:rsid w:val="765D6FD0"/>
    <w:rsid w:val="76764904"/>
    <w:rsid w:val="76952171"/>
    <w:rsid w:val="76BA690C"/>
    <w:rsid w:val="76D77B5B"/>
    <w:rsid w:val="76EF17B7"/>
    <w:rsid w:val="76F275B7"/>
    <w:rsid w:val="77057570"/>
    <w:rsid w:val="773118FC"/>
    <w:rsid w:val="77313A2D"/>
    <w:rsid w:val="774A6DC8"/>
    <w:rsid w:val="77503EB2"/>
    <w:rsid w:val="77752D13"/>
    <w:rsid w:val="77953B9B"/>
    <w:rsid w:val="77BF3A96"/>
    <w:rsid w:val="77CD4DD9"/>
    <w:rsid w:val="77F2017E"/>
    <w:rsid w:val="77FA423A"/>
    <w:rsid w:val="78005019"/>
    <w:rsid w:val="78092CC0"/>
    <w:rsid w:val="780C2435"/>
    <w:rsid w:val="782A0B51"/>
    <w:rsid w:val="78353363"/>
    <w:rsid w:val="783A31FE"/>
    <w:rsid w:val="78486CF0"/>
    <w:rsid w:val="78534919"/>
    <w:rsid w:val="785663DA"/>
    <w:rsid w:val="78584462"/>
    <w:rsid w:val="7895462E"/>
    <w:rsid w:val="78961451"/>
    <w:rsid w:val="78D631FC"/>
    <w:rsid w:val="78FC2FBF"/>
    <w:rsid w:val="78FD5501"/>
    <w:rsid w:val="791467F0"/>
    <w:rsid w:val="79430114"/>
    <w:rsid w:val="79430A37"/>
    <w:rsid w:val="79440AEE"/>
    <w:rsid w:val="795E7C16"/>
    <w:rsid w:val="795F01E3"/>
    <w:rsid w:val="79823742"/>
    <w:rsid w:val="79AD6C40"/>
    <w:rsid w:val="79B10333"/>
    <w:rsid w:val="79C95ADF"/>
    <w:rsid w:val="79F47CF4"/>
    <w:rsid w:val="79FF02D1"/>
    <w:rsid w:val="7A0612C2"/>
    <w:rsid w:val="7A1833CE"/>
    <w:rsid w:val="7A1F3257"/>
    <w:rsid w:val="7A3C1967"/>
    <w:rsid w:val="7A60132A"/>
    <w:rsid w:val="7A6E2CF1"/>
    <w:rsid w:val="7AA05017"/>
    <w:rsid w:val="7AA86BBE"/>
    <w:rsid w:val="7AC94AC1"/>
    <w:rsid w:val="7AC977F9"/>
    <w:rsid w:val="7AE11572"/>
    <w:rsid w:val="7AE31524"/>
    <w:rsid w:val="7AE70BEB"/>
    <w:rsid w:val="7AE73374"/>
    <w:rsid w:val="7B057C25"/>
    <w:rsid w:val="7B4C6C66"/>
    <w:rsid w:val="7B5A73E6"/>
    <w:rsid w:val="7B904C22"/>
    <w:rsid w:val="7B9E18EF"/>
    <w:rsid w:val="7BB9672E"/>
    <w:rsid w:val="7C0968F5"/>
    <w:rsid w:val="7C1235AA"/>
    <w:rsid w:val="7C152C7E"/>
    <w:rsid w:val="7C160893"/>
    <w:rsid w:val="7C5622FF"/>
    <w:rsid w:val="7C571497"/>
    <w:rsid w:val="7CB95588"/>
    <w:rsid w:val="7CBA56FF"/>
    <w:rsid w:val="7CE64D15"/>
    <w:rsid w:val="7CF732D1"/>
    <w:rsid w:val="7D131D7B"/>
    <w:rsid w:val="7D1E10B2"/>
    <w:rsid w:val="7D213E13"/>
    <w:rsid w:val="7D3D5EFF"/>
    <w:rsid w:val="7D435739"/>
    <w:rsid w:val="7D5D1D8E"/>
    <w:rsid w:val="7D93221A"/>
    <w:rsid w:val="7DA010E6"/>
    <w:rsid w:val="7DA977AA"/>
    <w:rsid w:val="7DAC0454"/>
    <w:rsid w:val="7DED2A89"/>
    <w:rsid w:val="7DFA3D48"/>
    <w:rsid w:val="7E980733"/>
    <w:rsid w:val="7E9B4DC3"/>
    <w:rsid w:val="7EB937A4"/>
    <w:rsid w:val="7EC57197"/>
    <w:rsid w:val="7ED20D09"/>
    <w:rsid w:val="7EFB4248"/>
    <w:rsid w:val="7EFD7DC7"/>
    <w:rsid w:val="7F274E2A"/>
    <w:rsid w:val="7F2C2F55"/>
    <w:rsid w:val="7F45439F"/>
    <w:rsid w:val="7F4A4D43"/>
    <w:rsid w:val="7F545830"/>
    <w:rsid w:val="7F590F20"/>
    <w:rsid w:val="7F8F3F40"/>
    <w:rsid w:val="7FA62478"/>
    <w:rsid w:val="7FB2257F"/>
    <w:rsid w:val="7FE830FE"/>
    <w:rsid w:val="7FE92E70"/>
    <w:rsid w:val="7FF400FF"/>
    <w:rsid w:val="7FF67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7"/>
    <w:basedOn w:val="1"/>
    <w:next w:val="1"/>
    <w:unhideWhenUsed/>
    <w:qFormat/>
    <w:uiPriority w:val="0"/>
    <w:pPr>
      <w:ind w:left="448"/>
      <w:outlineLvl w:val="6"/>
    </w:pPr>
    <w:rPr>
      <w:rFonts w:ascii="宋体" w:hAnsi="宋体" w:cs="宋体"/>
      <w:sz w:val="24"/>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style>
  <w:style w:type="paragraph" w:styleId="8">
    <w:name w:val="annotation text"/>
    <w:basedOn w:val="1"/>
    <w:link w:val="39"/>
    <w:qFormat/>
    <w:uiPriority w:val="0"/>
    <w:pPr>
      <w:jc w:val="left"/>
    </w:pPr>
  </w:style>
  <w:style w:type="paragraph" w:styleId="9">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envelope return"/>
    <w:basedOn w:val="1"/>
    <w:unhideWhenUsed/>
    <w:qFormat/>
    <w:uiPriority w:val="0"/>
    <w:pPr>
      <w:snapToGrid w:val="0"/>
    </w:pPr>
    <w:rPr>
      <w:rFonts w:ascii="Arial" w:hAnsi="Arial"/>
    </w:rPr>
  </w:style>
  <w:style w:type="paragraph" w:styleId="12">
    <w:name w:val="Plain Text"/>
    <w:basedOn w:val="1"/>
    <w:next w:val="5"/>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Courier New"/>
      <w:bCs/>
      <w:sz w:val="24"/>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Body Text Indent 3"/>
    <w:basedOn w:val="1"/>
    <w:qFormat/>
    <w:uiPriority w:val="0"/>
    <w:pPr>
      <w:spacing w:after="120"/>
      <w:ind w:left="420" w:leftChars="200"/>
    </w:pPr>
    <w:rPr>
      <w:sz w:val="16"/>
      <w:szCs w:val="16"/>
    </w:rPr>
  </w:style>
  <w:style w:type="paragraph" w:styleId="1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index 1"/>
    <w:basedOn w:val="1"/>
    <w:next w:val="1"/>
    <w:qFormat/>
    <w:uiPriority w:val="0"/>
    <w:rPr>
      <w:lang w:eastAsia="en-US"/>
    </w:rPr>
  </w:style>
  <w:style w:type="paragraph" w:styleId="23">
    <w:name w:val="annotation subject"/>
    <w:basedOn w:val="8"/>
    <w:next w:val="8"/>
    <w:link w:val="40"/>
    <w:qFormat/>
    <w:uiPriority w:val="0"/>
    <w:rPr>
      <w:b/>
      <w:bCs/>
    </w:rPr>
  </w:style>
  <w:style w:type="paragraph" w:styleId="24">
    <w:name w:val="Body Text First Indent"/>
    <w:basedOn w:val="9"/>
    <w:next w:val="25"/>
    <w:qFormat/>
    <w:uiPriority w:val="0"/>
    <w:pPr>
      <w:ind w:firstLine="420" w:firstLineChars="100"/>
    </w:pPr>
    <w:rPr>
      <w:rFonts w:ascii="Times New Roman"/>
      <w:sz w:val="21"/>
      <w:szCs w:val="24"/>
    </w:rPr>
  </w:style>
  <w:style w:type="paragraph" w:customStyle="1" w:styleId="25">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styleId="26">
    <w:name w:val="Body Text First Indent 2"/>
    <w:basedOn w:val="10"/>
    <w:next w:val="1"/>
    <w:qFormat/>
    <w:uiPriority w:val="0"/>
    <w:pPr>
      <w:spacing w:line="360" w:lineRule="auto"/>
      <w:ind w:firstLine="420" w:firstLineChars="200"/>
    </w:pPr>
    <w:rPr>
      <w:sz w:val="24"/>
      <w:szCs w:val="24"/>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basedOn w:val="29"/>
    <w:unhideWhenUsed/>
    <w:qFormat/>
    <w:uiPriority w:val="99"/>
    <w:rPr>
      <w:color w:val="0000FF"/>
      <w:u w:val="single"/>
    </w:rPr>
  </w:style>
  <w:style w:type="character" w:styleId="32">
    <w:name w:val="annotation reference"/>
    <w:qFormat/>
    <w:uiPriority w:val="0"/>
    <w:rPr>
      <w:sz w:val="21"/>
      <w:szCs w:val="21"/>
    </w:rPr>
  </w:style>
  <w:style w:type="character" w:styleId="33">
    <w:name w:val="HTML Sample"/>
    <w:basedOn w:val="29"/>
    <w:qFormat/>
    <w:uiPriority w:val="0"/>
    <w:rPr>
      <w:rFonts w:ascii="Courier New" w:hAnsi="Courier New"/>
    </w:rPr>
  </w:style>
  <w:style w:type="paragraph" w:customStyle="1" w:styleId="34">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35">
    <w:name w:val="表格文字"/>
    <w:basedOn w:val="10"/>
    <w:next w:val="9"/>
    <w:qFormat/>
    <w:uiPriority w:val="99"/>
    <w:pPr>
      <w:spacing w:before="25" w:after="25"/>
      <w:jc w:val="left"/>
    </w:pPr>
    <w:rPr>
      <w:bCs/>
      <w:spacing w:val="10"/>
      <w:kern w:val="0"/>
      <w:sz w:val="24"/>
    </w:rPr>
  </w:style>
  <w:style w:type="paragraph" w:styleId="36">
    <w:name w:val="List Paragraph"/>
    <w:basedOn w:val="1"/>
    <w:qFormat/>
    <w:uiPriority w:val="34"/>
    <w:pPr>
      <w:ind w:firstLine="420" w:firstLineChars="200"/>
    </w:pPr>
  </w:style>
  <w:style w:type="paragraph" w:customStyle="1" w:styleId="37">
    <w:name w:val="Plain Text1"/>
    <w:basedOn w:val="1"/>
    <w:qFormat/>
    <w:uiPriority w:val="0"/>
    <w:rPr>
      <w:rFonts w:ascii="宋体" w:hAnsi="Courier New" w:cs="Courier New"/>
      <w:szCs w:val="21"/>
    </w:rPr>
  </w:style>
  <w:style w:type="paragraph" w:customStyle="1" w:styleId="38">
    <w:name w:val="Table Paragraph"/>
    <w:basedOn w:val="1"/>
    <w:qFormat/>
    <w:uiPriority w:val="1"/>
    <w:rPr>
      <w:rFonts w:ascii="宋体" w:hAnsi="宋体" w:cs="宋体"/>
      <w:lang w:val="zh-CN" w:bidi="zh-CN"/>
    </w:rPr>
  </w:style>
  <w:style w:type="character" w:customStyle="1" w:styleId="39">
    <w:name w:val="批注文字 Char"/>
    <w:basedOn w:val="29"/>
    <w:link w:val="8"/>
    <w:qFormat/>
    <w:uiPriority w:val="0"/>
    <w:rPr>
      <w:kern w:val="2"/>
      <w:sz w:val="21"/>
      <w:szCs w:val="24"/>
    </w:rPr>
  </w:style>
  <w:style w:type="character" w:customStyle="1" w:styleId="40">
    <w:name w:val="批注主题 Char"/>
    <w:basedOn w:val="39"/>
    <w:link w:val="23"/>
    <w:qFormat/>
    <w:uiPriority w:val="0"/>
    <w:rPr>
      <w:b/>
      <w:bCs/>
      <w:kern w:val="2"/>
      <w:sz w:val="21"/>
      <w:szCs w:val="24"/>
    </w:rPr>
  </w:style>
  <w:style w:type="character" w:customStyle="1" w:styleId="41">
    <w:name w:val="批注框文本 Char"/>
    <w:basedOn w:val="29"/>
    <w:link w:val="14"/>
    <w:qFormat/>
    <w:uiPriority w:val="0"/>
    <w:rPr>
      <w:kern w:val="2"/>
      <w:sz w:val="18"/>
      <w:szCs w:val="18"/>
    </w:rPr>
  </w:style>
  <w:style w:type="paragraph" w:customStyle="1" w:styleId="42">
    <w:name w:val="纯文本1"/>
    <w:basedOn w:val="1"/>
    <w:qFormat/>
    <w:uiPriority w:val="0"/>
    <w:pPr>
      <w:suppressAutoHyphens/>
    </w:pPr>
    <w:rPr>
      <w:rFonts w:ascii="宋体" w:hAnsi="宋体" w:cs="Courier New"/>
      <w:szCs w:val="21"/>
      <w:lang w:eastAsia="ar-SA"/>
    </w:rPr>
  </w:style>
  <w:style w:type="paragraph" w:customStyle="1" w:styleId="4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4">
    <w:name w:val="textcontents"/>
    <w:basedOn w:val="29"/>
    <w:qFormat/>
    <w:uiPriority w:val="0"/>
  </w:style>
  <w:style w:type="paragraph" w:customStyle="1" w:styleId="45">
    <w:name w:val="正文2"/>
    <w:basedOn w:val="1"/>
    <w:qFormat/>
    <w:uiPriority w:val="0"/>
    <w:pPr>
      <w:adjustRightInd w:val="0"/>
      <w:spacing w:before="156" w:line="360" w:lineRule="auto"/>
      <w:ind w:firstLine="510" w:firstLineChars="200"/>
    </w:pPr>
    <w:rPr>
      <w:kern w:val="0"/>
      <w:sz w:val="24"/>
      <w:szCs w:val="20"/>
    </w:rPr>
  </w:style>
  <w:style w:type="paragraph" w:customStyle="1" w:styleId="46">
    <w:name w:val="WPSOffice手动目录 1"/>
    <w:qFormat/>
    <w:uiPriority w:val="0"/>
    <w:rPr>
      <w:rFonts w:ascii="Times New Roman" w:hAnsi="Times New Roman" w:eastAsia="宋体" w:cs="Times New Roman"/>
      <w:lang w:val="en-US" w:eastAsia="zh-CN" w:bidi="ar-SA"/>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font11"/>
    <w:basedOn w:val="29"/>
    <w:qFormat/>
    <w:uiPriority w:val="0"/>
    <w:rPr>
      <w:rFonts w:hint="eastAsia" w:ascii="宋体" w:hAnsi="宋体" w:eastAsia="宋体" w:cs="宋体"/>
      <w:color w:val="000000"/>
      <w:sz w:val="36"/>
      <w:szCs w:val="36"/>
      <w:u w:val="none"/>
    </w:rPr>
  </w:style>
  <w:style w:type="character" w:customStyle="1" w:styleId="49">
    <w:name w:val="font21"/>
    <w:basedOn w:val="29"/>
    <w:qFormat/>
    <w:uiPriority w:val="0"/>
    <w:rPr>
      <w:rFonts w:ascii="Calibri" w:hAnsi="Calibri" w:cs="Calibri"/>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68</Pages>
  <Words>8259</Words>
  <Characters>8993</Characters>
  <Lines>69</Lines>
  <Paragraphs>102</Paragraphs>
  <TotalTime>15</TotalTime>
  <ScaleCrop>false</ScaleCrop>
  <LinksUpToDate>false</LinksUpToDate>
  <CharactersWithSpaces>9299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飞飞</cp:lastModifiedBy>
  <cp:lastPrinted>2024-07-24T07:47:00Z</cp:lastPrinted>
  <dcterms:modified xsi:type="dcterms:W3CDTF">2026-01-20T03:08:24Z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68168070D63948DAAA6FDE94777CC32E</vt:lpwstr>
  </property>
  <property fmtid="{D5CDD505-2E9C-101B-9397-08002B2CF9AE}" pid="4" name="KSOTemplateDocerSaveRecord">
    <vt:lpwstr>eyJoZGlkIjoiYWM2YWYxMDIxYzdiZTQ2NDkyYTQ0MTI2YzIwNjBjNzYiLCJ1c2VySWQiOiI1Njc0NTE2NzYifQ==</vt:lpwstr>
  </property>
</Properties>
</file>