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4"/>
          <w:tab w:val="left" w:pos="1418"/>
        </w:tabs>
        <w:spacing w:line="600" w:lineRule="exact"/>
        <w:jc w:val="center"/>
        <w:rPr>
          <w:rFonts w:hint="eastAsia" w:ascii="方正小标宋_GBK" w:hAnsi="方正小标宋_GBK" w:eastAsia="方正小标宋_GBK" w:cs="方正小标宋_GBK"/>
          <w:sz w:val="44"/>
          <w:szCs w:val="44"/>
          <w:u w:val="none"/>
          <w:lang w:eastAsia="zh-CN"/>
        </w:rPr>
      </w:pPr>
      <w:r>
        <w:rPr>
          <w:rFonts w:hint="eastAsia" w:ascii="方正小标宋_GBK" w:hAnsi="方正小标宋_GBK" w:eastAsia="方正小标宋_GBK" w:cs="方正小标宋_GBK"/>
          <w:sz w:val="44"/>
          <w:szCs w:val="44"/>
          <w:u w:val="none"/>
          <w:lang w:eastAsia="zh-CN"/>
        </w:rPr>
        <w:t>贵港市发展和改革委员会</w:t>
      </w:r>
    </w:p>
    <w:p>
      <w:pPr>
        <w:tabs>
          <w:tab w:val="left" w:pos="993"/>
          <w:tab w:val="left" w:pos="1134"/>
          <w:tab w:val="left" w:pos="1418"/>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u w:val="none"/>
          <w:lang w:val="en-US" w:eastAsia="zh-CN"/>
        </w:rPr>
        <w:t>2026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u w:val="none"/>
          <w:lang w:val="en-US" w:eastAsia="zh-CN"/>
        </w:rPr>
        <w:t>3</w:t>
      </w:r>
      <w:r>
        <w:rPr>
          <w:rFonts w:hint="eastAsia" w:ascii="方正小标宋_GBK" w:hAnsi="方正小标宋_GBK" w:eastAsia="方正小标宋_GBK" w:cs="方正小标宋_GBK"/>
          <w:sz w:val="44"/>
          <w:szCs w:val="44"/>
        </w:rPr>
        <w:t>月</w:t>
      </w:r>
      <w:r>
        <w:rPr>
          <w:rFonts w:hint="eastAsia" w:ascii="方正小标宋_GBK" w:hAnsi="方正小标宋_GBK" w:eastAsia="方正小标宋_GBK" w:cs="方正小标宋_GBK"/>
          <w:sz w:val="44"/>
          <w:szCs w:val="44"/>
          <w:lang w:val="en-US" w:eastAsia="zh-CN"/>
        </w:rPr>
        <w:t>-5月</w:t>
      </w:r>
      <w:r>
        <w:rPr>
          <w:rFonts w:hint="eastAsia" w:ascii="方正小标宋_GBK" w:hAnsi="方正小标宋_GBK" w:eastAsia="方正小标宋_GBK" w:cs="方正小标宋_GBK"/>
          <w:sz w:val="44"/>
          <w:szCs w:val="44"/>
        </w:rPr>
        <w:t>政府采购意向</w:t>
      </w:r>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为便于供应商及时了解政府采购信息，根据《财政部关于开展政府采购意向公开工作的通知》（财库〔2020〕10号）等有关规定，现将</w:t>
      </w:r>
      <w:r>
        <w:rPr>
          <w:rFonts w:hint="eastAsia" w:ascii="仿宋_GB2312" w:hAnsi="仿宋_GB2312" w:eastAsia="仿宋_GB2312" w:cs="仿宋_GB2312"/>
          <w:sz w:val="32"/>
          <w:szCs w:val="32"/>
          <w:u w:val="single"/>
          <w:lang w:eastAsia="zh-CN"/>
        </w:rPr>
        <w:t>贵港市发展和改革委员会</w:t>
      </w:r>
      <w:r>
        <w:rPr>
          <w:rFonts w:hint="eastAsia" w:ascii="仿宋_GB2312" w:hAnsi="仿宋_GB2312" w:eastAsia="仿宋_GB2312" w:cs="仿宋_GB2312"/>
          <w:sz w:val="32"/>
          <w:szCs w:val="32"/>
          <w:u w:val="single"/>
          <w:lang w:val="en-US" w:eastAsia="zh-CN"/>
        </w:rPr>
        <w:t>2026</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月</w:t>
      </w:r>
      <w:r>
        <w:rPr>
          <w:rFonts w:hint="eastAsia" w:ascii="仿宋_GB2312" w:hAnsi="仿宋_GB2312" w:eastAsia="仿宋_GB2312" w:cs="仿宋_GB2312"/>
          <w:sz w:val="32"/>
          <w:szCs w:val="32"/>
          <w:u w:val="single"/>
          <w:lang w:val="en-US" w:eastAsia="zh-CN"/>
        </w:rPr>
        <w:t>-5月</w:t>
      </w:r>
      <w:r>
        <w:rPr>
          <w:rFonts w:hint="eastAsia" w:ascii="仿宋_GB2312" w:hAnsi="仿宋_GB2312" w:eastAsia="仿宋_GB2312" w:cs="仿宋_GB2312"/>
          <w:sz w:val="32"/>
          <w:szCs w:val="32"/>
        </w:rPr>
        <w:t>采购意向公开如下：</w:t>
      </w:r>
    </w:p>
    <w:tbl>
      <w:tblPr>
        <w:tblStyle w:val="7"/>
        <w:tblpPr w:leftFromText="180" w:rightFromText="180" w:vertAnchor="text" w:horzAnchor="page" w:tblpX="1365" w:tblpY="591"/>
        <w:tblOverlap w:val="never"/>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2659"/>
        <w:gridCol w:w="1119"/>
        <w:gridCol w:w="1441"/>
        <w:gridCol w:w="1275"/>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序号</w:t>
            </w:r>
          </w:p>
        </w:tc>
        <w:tc>
          <w:tcPr>
            <w:tcW w:w="1275"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采购项目</w:t>
            </w:r>
          </w:p>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名称</w:t>
            </w:r>
          </w:p>
        </w:tc>
        <w:tc>
          <w:tcPr>
            <w:tcW w:w="2659"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采购需求概况</w:t>
            </w:r>
          </w:p>
        </w:tc>
        <w:tc>
          <w:tcPr>
            <w:tcW w:w="1119"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预算金额</w:t>
            </w:r>
          </w:p>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（万元）</w:t>
            </w:r>
          </w:p>
        </w:tc>
        <w:tc>
          <w:tcPr>
            <w:tcW w:w="1441"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预计采购时间</w:t>
            </w:r>
          </w:p>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（填写到月）</w:t>
            </w:r>
          </w:p>
        </w:tc>
        <w:tc>
          <w:tcPr>
            <w:tcW w:w="1275" w:type="dxa"/>
          </w:tcPr>
          <w:p>
            <w:pPr>
              <w:tabs>
                <w:tab w:val="left" w:pos="993"/>
                <w:tab w:val="left" w:pos="1134"/>
                <w:tab w:val="left" w:pos="1418"/>
              </w:tabs>
              <w:spacing w:line="440" w:lineRule="exact"/>
              <w:jc w:val="center"/>
              <w:rPr>
                <w:rFonts w:hint="eastAsia"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落实政府采购政策功能情况</w:t>
            </w:r>
          </w:p>
        </w:tc>
        <w:tc>
          <w:tcPr>
            <w:tcW w:w="951" w:type="dxa"/>
            <w:vAlign w:val="center"/>
          </w:tcPr>
          <w:p>
            <w:pPr>
              <w:tabs>
                <w:tab w:val="left" w:pos="993"/>
                <w:tab w:val="left" w:pos="1134"/>
                <w:tab w:val="left" w:pos="1418"/>
              </w:tabs>
              <w:spacing w:line="440" w:lineRule="exact"/>
              <w:jc w:val="center"/>
              <w:rPr>
                <w:rFonts w:cs="仿宋_GB2312" w:asciiTheme="majorEastAsia" w:hAnsiTheme="majorEastAsia" w:eastAsiaTheme="majorEastAsia"/>
                <w:b/>
                <w:bCs/>
                <w:color w:val="auto"/>
                <w:sz w:val="24"/>
                <w:szCs w:val="32"/>
              </w:rPr>
            </w:pPr>
            <w:r>
              <w:rPr>
                <w:rFonts w:hint="eastAsia" w:cs="仿宋_GB2312" w:asciiTheme="majorEastAsia" w:hAnsiTheme="majorEastAsia" w:eastAsiaTheme="majorEastAsia"/>
                <w:b/>
                <w:bCs/>
                <w:color w:val="auto"/>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275" w:type="dxa"/>
            <w:vAlign w:val="center"/>
          </w:tcPr>
          <w:p>
            <w:pPr>
              <w:tabs>
                <w:tab w:val="left" w:pos="993"/>
                <w:tab w:val="left" w:pos="1134"/>
                <w:tab w:val="left" w:pos="1418"/>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2026年度贵港市公共信用信息系统云资源租赁</w:t>
            </w:r>
          </w:p>
        </w:tc>
        <w:tc>
          <w:tcPr>
            <w:tcW w:w="2659" w:type="dxa"/>
            <w:vAlign w:val="center"/>
          </w:tcPr>
          <w:p>
            <w:pPr>
              <w:tabs>
                <w:tab w:val="left" w:pos="993"/>
                <w:tab w:val="left" w:pos="1134"/>
                <w:tab w:val="left" w:pos="1418"/>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rPr>
              <w:t>需租赁6台云资源服务器用于贵港市公共信用信息系统，1项安全服务(堡垒机/主机安全/AF/数据库审计/日志审计)，1项网络服务(50M互联网出口，配置2个IP地址)，要求保障贵港市所有信用信息7x24小时推送到自治区公共信用平台，负责现有数据迁移到租用云资源服务器保证系统功能及数据的完整性与一致性，上门提供ICP备案服务。</w:t>
            </w:r>
          </w:p>
        </w:tc>
        <w:tc>
          <w:tcPr>
            <w:tcW w:w="1119"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1441" w:type="dxa"/>
            <w:vAlign w:val="center"/>
          </w:tcPr>
          <w:p>
            <w:pPr>
              <w:tabs>
                <w:tab w:val="left" w:pos="993"/>
                <w:tab w:val="left" w:pos="1134"/>
                <w:tab w:val="left" w:pos="1418"/>
              </w:tabs>
              <w:spacing w:line="400" w:lineRule="exact"/>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2026年3月</w:t>
            </w:r>
          </w:p>
        </w:tc>
        <w:tc>
          <w:tcPr>
            <w:tcW w:w="1275" w:type="dxa"/>
            <w:vAlign w:val="center"/>
          </w:tcPr>
          <w:p>
            <w:pPr>
              <w:tabs>
                <w:tab w:val="left" w:pos="993"/>
                <w:tab w:val="left" w:pos="1134"/>
                <w:tab w:val="left" w:pos="1418"/>
              </w:tabs>
              <w:spacing w:line="400" w:lineRule="exact"/>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该项目不专门面向中小企业采购</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rPr>
              <w:t>因确需使用不可替代的专利、专有技术，基础设施限制，或者提供特定公共服务等原因，只能从中小企业之外的供应商处采购</w:t>
            </w:r>
            <w:r>
              <w:rPr>
                <w:rFonts w:hint="eastAsia" w:ascii="仿宋_GB2312" w:hAnsi="仿宋_GB2312" w:eastAsia="仿宋_GB2312" w:cs="仿宋_GB2312"/>
                <w:color w:val="auto"/>
                <w:sz w:val="24"/>
                <w:lang w:val="en-US" w:eastAsia="zh-CN"/>
              </w:rPr>
              <w:t>)</w:t>
            </w:r>
          </w:p>
        </w:tc>
        <w:tc>
          <w:tcPr>
            <w:tcW w:w="951" w:type="dxa"/>
            <w:vAlign w:val="center"/>
          </w:tcPr>
          <w:p>
            <w:pPr>
              <w:tabs>
                <w:tab w:val="left" w:pos="993"/>
                <w:tab w:val="left" w:pos="1134"/>
                <w:tab w:val="left" w:pos="1418"/>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贵港市发展和改革委员会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4" w:hRule="atLeast"/>
        </w:trPr>
        <w:tc>
          <w:tcPr>
            <w:tcW w:w="534" w:type="dxa"/>
            <w:vAlign w:val="center"/>
          </w:tcPr>
          <w:p>
            <w:pPr>
              <w:tabs>
                <w:tab w:val="left" w:pos="993"/>
                <w:tab w:val="left" w:pos="1134"/>
                <w:tab w:val="left" w:pos="1418"/>
              </w:tabs>
              <w:spacing w:line="400" w:lineRule="exac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275"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贵港市发展和改革委员会202</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年度社会投资类项目技术审查服务</w:t>
            </w:r>
          </w:p>
        </w:tc>
        <w:tc>
          <w:tcPr>
            <w:tcW w:w="2659" w:type="dxa"/>
            <w:vAlign w:val="center"/>
          </w:tcPr>
          <w:p>
            <w:pPr>
              <w:tabs>
                <w:tab w:val="left" w:pos="993"/>
                <w:tab w:val="left" w:pos="1134"/>
                <w:tab w:val="left" w:pos="1418"/>
              </w:tabs>
              <w:spacing w:line="400" w:lineRule="exac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根据业务安排提供涉及社会投资类/外商投资类项目的申请报告、节能报告、社会稳定性风险评估报告等评估、咨询服务。</w:t>
            </w:r>
          </w:p>
        </w:tc>
        <w:tc>
          <w:tcPr>
            <w:tcW w:w="1119"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69</w:t>
            </w:r>
          </w:p>
        </w:tc>
        <w:tc>
          <w:tcPr>
            <w:tcW w:w="1441" w:type="dxa"/>
            <w:vAlign w:val="center"/>
          </w:tcPr>
          <w:p>
            <w:pPr>
              <w:tabs>
                <w:tab w:val="left" w:pos="993"/>
                <w:tab w:val="left" w:pos="1134"/>
                <w:tab w:val="left" w:pos="1418"/>
              </w:tabs>
              <w:spacing w:line="400" w:lineRule="exact"/>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2026年5月</w:t>
            </w:r>
          </w:p>
        </w:tc>
        <w:tc>
          <w:tcPr>
            <w:tcW w:w="1275" w:type="dxa"/>
            <w:vAlign w:val="center"/>
          </w:tcPr>
          <w:p>
            <w:pPr>
              <w:tabs>
                <w:tab w:val="left" w:pos="993"/>
                <w:tab w:val="left" w:pos="1134"/>
                <w:tab w:val="left" w:pos="1418"/>
              </w:tabs>
              <w:spacing w:line="4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扶持中小企业发展</w:t>
            </w:r>
          </w:p>
        </w:tc>
        <w:tc>
          <w:tcPr>
            <w:tcW w:w="951"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贵港市发展和改革委员会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4" w:hRule="atLeast"/>
        </w:trPr>
        <w:tc>
          <w:tcPr>
            <w:tcW w:w="534"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275"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物业管理费</w:t>
            </w:r>
          </w:p>
        </w:tc>
        <w:tc>
          <w:tcPr>
            <w:tcW w:w="2659" w:type="dxa"/>
            <w:vAlign w:val="center"/>
          </w:tcPr>
          <w:p>
            <w:pPr>
              <w:tabs>
                <w:tab w:val="left" w:pos="993"/>
                <w:tab w:val="left" w:pos="1134"/>
                <w:tab w:val="left" w:pos="1418"/>
              </w:tabs>
              <w:spacing w:line="400" w:lineRule="exac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Cs/>
                <w:color w:val="auto"/>
                <w:sz w:val="24"/>
                <w:szCs w:val="24"/>
              </w:rPr>
              <w:t>期限一年。保安4人，保洁2人，绿化员1人，项目经理和水电工各1人。服务费包括人员工资福利，服装、相关专业工具及消耗品等，电梯维保等。</w:t>
            </w:r>
          </w:p>
        </w:tc>
        <w:tc>
          <w:tcPr>
            <w:tcW w:w="1119"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18.4</w:t>
            </w:r>
          </w:p>
        </w:tc>
        <w:tc>
          <w:tcPr>
            <w:tcW w:w="1441" w:type="dxa"/>
            <w:vAlign w:val="center"/>
          </w:tcPr>
          <w:p>
            <w:pPr>
              <w:tabs>
                <w:tab w:val="left" w:pos="993"/>
                <w:tab w:val="left" w:pos="1134"/>
                <w:tab w:val="left" w:pos="1418"/>
              </w:tabs>
              <w:spacing w:line="400" w:lineRule="exact"/>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2026年5月</w:t>
            </w:r>
          </w:p>
        </w:tc>
        <w:tc>
          <w:tcPr>
            <w:tcW w:w="1275" w:type="dxa"/>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扶持中小企业发展</w:t>
            </w:r>
          </w:p>
          <w:p>
            <w:pPr>
              <w:tabs>
                <w:tab w:val="left" w:pos="993"/>
                <w:tab w:val="left" w:pos="1134"/>
                <w:tab w:val="left" w:pos="1418"/>
              </w:tabs>
              <w:spacing w:line="400" w:lineRule="exact"/>
              <w:jc w:val="center"/>
              <w:rPr>
                <w:rFonts w:hint="eastAsia" w:ascii="仿宋_GB2312" w:hAnsi="仿宋_GB2312" w:eastAsia="仿宋_GB2312" w:cs="仿宋_GB2312"/>
                <w:color w:val="auto"/>
                <w:sz w:val="24"/>
                <w:szCs w:val="24"/>
              </w:rPr>
            </w:pPr>
          </w:p>
        </w:tc>
        <w:tc>
          <w:tcPr>
            <w:tcW w:w="951" w:type="dxa"/>
            <w:vAlign w:val="center"/>
          </w:tcPr>
          <w:p>
            <w:pPr>
              <w:tabs>
                <w:tab w:val="left" w:pos="993"/>
                <w:tab w:val="left" w:pos="1134"/>
                <w:tab w:val="left" w:pos="1418"/>
              </w:tabs>
              <w:spacing w:line="400" w:lineRule="exact"/>
              <w:rPr>
                <w:rFonts w:hint="eastAsia" w:ascii="仿宋_GB2312" w:hAnsi="仿宋_GB2312" w:eastAsia="仿宋_GB2312" w:cs="仿宋_GB2312"/>
                <w:color w:val="auto"/>
                <w:sz w:val="24"/>
                <w:szCs w:val="24"/>
              </w:rPr>
            </w:pPr>
            <w:bookmarkStart w:id="0" w:name="_GoBack"/>
            <w:r>
              <w:rPr>
                <w:rFonts w:ascii="仿宋_GB2312" w:hAnsi="仿宋_GB2312" w:eastAsia="仿宋_GB2312" w:cs="仿宋_GB2312"/>
                <w:color w:val="auto"/>
                <w:sz w:val="24"/>
                <w:szCs w:val="24"/>
              </w:rPr>
              <w:t>贵港市人民防空指挥信息保障中心</w:t>
            </w:r>
            <w:bookmarkEnd w:id="0"/>
          </w:p>
        </w:tc>
      </w:tr>
    </w:tbl>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p>
    <w:p>
      <w:pPr>
        <w:tabs>
          <w:tab w:val="left" w:pos="993"/>
          <w:tab w:val="left" w:pos="1134"/>
          <w:tab w:val="left" w:pos="1418"/>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640" w:firstLineChars="200"/>
        <w:rPr>
          <w:rFonts w:hint="eastAsia" w:ascii="仿宋_GB2312" w:hAnsi="仿宋_GB2312" w:eastAsia="仿宋_GB2312" w:cs="仿宋_GB2312"/>
          <w:sz w:val="32"/>
          <w:szCs w:val="32"/>
        </w:rPr>
      </w:pPr>
    </w:p>
    <w:p>
      <w:pPr>
        <w:tabs>
          <w:tab w:val="left" w:pos="993"/>
          <w:tab w:val="left" w:pos="1134"/>
          <w:tab w:val="left" w:pos="1418"/>
        </w:tabs>
        <w:spacing w:line="600" w:lineRule="exact"/>
        <w:ind w:firstLine="960" w:firstLineChars="30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贵港市发展和改革委员会</w:t>
      </w:r>
    </w:p>
    <w:p>
      <w:pPr>
        <w:tabs>
          <w:tab w:val="left" w:pos="993"/>
          <w:tab w:val="left" w:pos="1134"/>
          <w:tab w:val="left" w:pos="1418"/>
        </w:tabs>
        <w:spacing w:line="600" w:lineRule="exact"/>
        <w:ind w:right="480" w:firstLine="960" w:firstLineChars="300"/>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日  </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Calibri Ligh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7607"/>
    <w:rsid w:val="000A7607"/>
    <w:rsid w:val="00520E8C"/>
    <w:rsid w:val="005D251E"/>
    <w:rsid w:val="09EC7B70"/>
    <w:rsid w:val="0C6B5737"/>
    <w:rsid w:val="0EAF02B5"/>
    <w:rsid w:val="108856CC"/>
    <w:rsid w:val="1CDF6253"/>
    <w:rsid w:val="26451E00"/>
    <w:rsid w:val="30523320"/>
    <w:rsid w:val="374F6EB3"/>
    <w:rsid w:val="37B54749"/>
    <w:rsid w:val="3C4002D8"/>
    <w:rsid w:val="4AF90CD7"/>
    <w:rsid w:val="4E9F5965"/>
    <w:rsid w:val="5B4B1C53"/>
    <w:rsid w:val="619A4C9D"/>
    <w:rsid w:val="61E1282E"/>
    <w:rsid w:val="70FC7D4C"/>
    <w:rsid w:val="734E6105"/>
    <w:rsid w:val="76D83467"/>
    <w:rsid w:val="7A464CA3"/>
    <w:rsid w:val="7D883C9D"/>
    <w:rsid w:val="7F8B7BE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618</Words>
  <Characters>663</Characters>
  <Lines>3</Lines>
  <Paragraphs>1</Paragraphs>
  <ScaleCrop>false</ScaleCrop>
  <LinksUpToDate>false</LinksUpToDate>
  <CharactersWithSpaces>754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2020-02-24T08:15:00Z</dcterms:created>
  <dc:creator>may</dc:creator>
  <cp:lastModifiedBy>Administrator</cp:lastModifiedBy>
  <dcterms:modified xsi:type="dcterms:W3CDTF">2026-03-05T02:21:45Z</dcterms:modified>
  <dc:title>附：政府采购意向公开参考文本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53B770E59DAB4C7F839FCBB46A423AA7</vt:lpwstr>
  </property>
  <property fmtid="{D5CDD505-2E9C-101B-9397-08002B2CF9AE}" pid="4" name="KSOTemplateDocerSaveRecord">
    <vt:lpwstr>eyJoZGlkIjoiY2RmYjVjMWY3ODk2YTAwZTI5NWMyNDljOWY1MjI3OTYiLCJ1c2VySWQiOiI3MTk1MTMwMzkifQ==</vt:lpwstr>
  </property>
</Properties>
</file>