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42618">
      <w:pPr>
        <w:pStyle w:val="15"/>
      </w:pPr>
      <mc:AlternateContent>
        <mc:Choice Requires="wpsCustomData">
          <wpsCustomData:docfieldStart id="0" docfieldname="标题_1" hidden="0" print="1" readonly="0" index="3"/>
        </mc:Choice>
      </mc:AlternateContent>
      <w:bookmarkStart w:id="15" w:name="_GoBack"/>
      <w:r>
        <w:t>隆林各族自治县医疗设备采购项目实施方案</w:t>
      </w:r>
      <mc:AlternateContent>
        <mc:Choice Requires="wpsCustomData">
          <wpsCustomData:docfieldEnd id="0"/>
        </mc:Choice>
      </mc:AlternateContent>
    </w:p>
    <w:bookmarkEnd w:id="15"/>
    <w:p w14:paraId="130CE7FA">
      <w:pPr>
        <w:pStyle w:val="11"/>
        <w:bidi w:val="0"/>
        <w:spacing w:before="0" w:beforeAutospacing="0" w:after="0" w:afterAutospacing="0" w:line="300" w:lineRule="exact"/>
      </w:pPr>
    </w:p>
    <w:p w14:paraId="29E8DB51">
      <w:pPr>
        <w:pStyle w:val="11"/>
        <w:rPr>
          <w:rFonts w:ascii="仿宋_GB2312" w:hAnsi="Calibri" w:eastAsia="仿宋_GB2312" w:cs="Times New Roman"/>
          <w:spacing w:val="-11"/>
          <w:sz w:val="32"/>
        </w:rPr>
      </w:pPr>
      <w:r>
        <w:rPr>
          <w:rFonts w:ascii="仿宋_GB2312" w:hAnsi="Calibri" w:eastAsia="仿宋_GB2312" w:cs="Times New Roman"/>
          <w:sz w:val="32"/>
        </w:rPr>
        <w:t>为进一步提升隆林各族自治县人民医院、自治县妇幼保健院医疗服务能力与诊疗水平，满足全县各族人民日益增长的医疗健康需求，充分发挥广东帮扶广西财政协作资金的使用效益，结合我县两家医疗机构实际诊疗需求及发展规划，依据广东帮扶广西对口扶贫办公室工作安排和广东帮扶广西财政协作</w:t>
      </w:r>
      <w:r>
        <w:rPr>
          <w:rFonts w:ascii="仿宋_GB2312" w:hAnsi="Calibri" w:eastAsia="仿宋_GB2312" w:cs="Times New Roman"/>
          <w:spacing w:val="-11"/>
          <w:sz w:val="32"/>
        </w:rPr>
        <w:t>资金管理办法相关要求，特制定本医疗设备采购项目实施方案。</w:t>
      </w:r>
    </w:p>
    <w:p w14:paraId="797F5BF3">
      <w:pPr>
        <w:pStyle w:val="2"/>
        <w:numPr>
          <w:numId w:val="0"/>
        </w:numPr>
        <w:topLinePunct w:val="0"/>
        <w:ind w:left="0" w:leftChars="0" w:firstLine="640"/>
        <w:rPr>
          <w:b w:val="0"/>
          <w:bdr w:val="none" w:sz="0" w:space="0"/>
        </w:rPr>
      </w:pPr>
      <w:bookmarkStart w:id="0" w:name="heading_0"/>
      <w:r>
        <w:rPr>
          <w:rFonts w:hint="eastAsia"/>
          <w:lang w:eastAsia="zh-CN"/>
        </w:rPr>
        <w:t>一、</w:t>
      </w:r>
      <w:r>
        <w:t>项目背景</w:t>
      </w:r>
      <w:bookmarkEnd w:id="0"/>
    </w:p>
    <w:p w14:paraId="7408E1DE">
      <w:pPr>
        <w:pStyle w:val="11"/>
        <w:rPr>
          <w:rFonts w:ascii="仿宋_GB2312" w:hAnsi="Calibri" w:eastAsia="仿宋_GB2312" w:cs="Times New Roman"/>
          <w:spacing w:val="-17"/>
          <w:sz w:val="32"/>
        </w:rPr>
      </w:pPr>
      <w:r>
        <w:rPr>
          <w:rFonts w:ascii="仿宋_GB2312" w:hAnsi="Calibri" w:eastAsia="仿宋_GB2312" w:cs="Times New Roman"/>
          <w:sz w:val="32"/>
        </w:rPr>
        <w:t>自治县人民医院和自治县妇幼保健院是我县承担综合医疗防治、妇女儿童生产救治与健康保健的核心医疗机构。随着医疗技术发展和群众医疗需求提升，现有医疗设备已无法满足临床诊疗的实际需要：县人民医院在骨科脊柱微创手术、胆道系统疾病微创手术领域存在设备空白，白内障诊疗相关设备亟待补充；县妇幼保健院尚未配备腹腔镜系统，微创妇科手术开展受限，数字化X射线摄影系统（DR）已过使用期限，设备安全性和诊疗准确性难以保障。为填补诊疗空白、更新老旧设备、提升医疗服务质量，2026年计划申请广东帮扶广西财政协作资</w:t>
      </w:r>
      <w:r>
        <w:rPr>
          <w:rFonts w:ascii="仿宋_GB2312" w:hAnsi="Calibri" w:eastAsia="仿宋_GB2312" w:cs="Times New Roman"/>
          <w:spacing w:val="-17"/>
          <w:sz w:val="32"/>
        </w:rPr>
        <w:t>金，采购一批先进医疗设备，推动我县卫生健康事业高质量发展。</w:t>
      </w:r>
    </w:p>
    <w:p w14:paraId="0BD2426C">
      <w:pPr>
        <w:pStyle w:val="2"/>
        <w:numPr>
          <w:numId w:val="0"/>
        </w:numPr>
        <w:topLinePunct w:val="0"/>
        <w:ind w:left="0" w:leftChars="0" w:firstLine="640"/>
        <w:rPr>
          <w:b w:val="0"/>
          <w:bdr w:val="none" w:sz="0" w:space="0"/>
        </w:rPr>
      </w:pPr>
      <w:bookmarkStart w:id="1" w:name="heading_1"/>
      <w:r>
        <w:rPr>
          <w:rFonts w:hint="eastAsia"/>
          <w:lang w:eastAsia="zh-CN"/>
        </w:rPr>
        <w:t>二、</w:t>
      </w:r>
      <w:r>
        <w:t>项目目标</w:t>
      </w:r>
      <w:bookmarkEnd w:id="1"/>
    </w:p>
    <w:p w14:paraId="6F7077B6">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1.</w:t>
      </w:r>
      <w:r>
        <w:rPr>
          <w:rFonts w:ascii="仿宋_GB2312" w:hAnsi="Calibri" w:eastAsia="仿宋_GB2312" w:cs="Times New Roman"/>
          <w:sz w:val="32"/>
        </w:rPr>
        <w:t>填补县人民医院骨科脊柱微创手术、胆道系统疾病微创手术的技术空白，提升脊柱疾病、胆道系统疾病及白内障疾病的诊疗技术和服务能力。设备投入使用后，每年可完成180例骨科脊柱微创手术、120例胆道系统疾病微创手术，新增150例白内障手术，满足群众就近就医需求，提升患者就医获得感与满意度。</w:t>
      </w:r>
    </w:p>
    <w:p w14:paraId="3F8BD7DF">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2.</w:t>
      </w:r>
      <w:r>
        <w:rPr>
          <w:rFonts w:ascii="仿宋_GB2312" w:hAnsi="Calibri" w:eastAsia="仿宋_GB2312" w:cs="Times New Roman"/>
          <w:sz w:val="32"/>
        </w:rPr>
        <w:t>为县妇幼保健院配齐腹腔镜系统，解决微创妇科手术设备短缺问题，提升子宫肌瘤剔除、卵巢囊肿剥除、宫外孕等妇科疾病的微创诊疗水平；更新数字化X射线摄影系统（DR），保障医疗影像检查的安全性、准确性和可靠性，为临床诊断提供精准依据，切实保障医疗安全，优化患者就医体验。</w:t>
      </w:r>
    </w:p>
    <w:p w14:paraId="2D8BD05D">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3.</w:t>
      </w:r>
      <w:r>
        <w:rPr>
          <w:rFonts w:ascii="仿宋_GB2312" w:hAnsi="Calibri" w:eastAsia="仿宋_GB2312" w:cs="Times New Roman"/>
          <w:sz w:val="32"/>
        </w:rPr>
        <w:t>整体改善我县及周边地区居民的医疗服务条件，大力推进我县卫生事业改革与健康发展，全面贯彻党的卫生事业方针，助力两个文明建设，为县域经济社会发展提供坚实的医疗健康保障。</w:t>
      </w:r>
    </w:p>
    <w:p w14:paraId="6CA2590F">
      <w:pPr>
        <w:pStyle w:val="2"/>
        <w:numPr>
          <w:numId w:val="0"/>
        </w:numPr>
        <w:topLinePunct w:val="0"/>
        <w:ind w:left="0" w:leftChars="0" w:firstLine="640"/>
        <w:rPr>
          <w:b w:val="0"/>
          <w:bdr w:val="none" w:sz="0" w:space="0"/>
        </w:rPr>
      </w:pPr>
      <w:bookmarkStart w:id="2" w:name="heading_2"/>
      <w:r>
        <w:rPr>
          <w:rFonts w:hint="eastAsia"/>
          <w:lang w:eastAsia="zh-CN"/>
        </w:rPr>
        <w:t>三、</w:t>
      </w:r>
      <w:r>
        <w:t>项目建设内容</w:t>
      </w:r>
      <w:bookmarkEnd w:id="2"/>
    </w:p>
    <w:p w14:paraId="22F6F226">
      <w:pPr>
        <w:pStyle w:val="11"/>
        <w:rPr>
          <w:rFonts w:ascii="仿宋_GB2312" w:hAnsi="Calibri" w:eastAsia="仿宋_GB2312" w:cs="Times New Roman"/>
          <w:sz w:val="32"/>
        </w:rPr>
      </w:pPr>
      <w:r>
        <w:rPr>
          <w:rFonts w:ascii="仿宋_GB2312" w:hAnsi="Calibri" w:eastAsia="仿宋_GB2312" w:cs="Times New Roman"/>
          <w:sz w:val="32"/>
        </w:rPr>
        <w:t>结合广东帮扶广西财政协作资金使用要求，经局领导班子集体讨论，确定本次资金专项用于自治县人民医院和妇幼保健院的医疗设备购置，具体采购内容如下：</w:t>
      </w:r>
    </w:p>
    <w:p w14:paraId="737DA856">
      <w:pPr>
        <w:pStyle w:val="3"/>
        <w:numPr>
          <w:numId w:val="0"/>
        </w:numPr>
        <w:topLinePunct w:val="0"/>
        <w:ind w:left="0" w:leftChars="0" w:firstLine="640"/>
        <w:rPr>
          <w:b w:val="0"/>
          <w:bdr w:val="none" w:sz="0" w:space="0"/>
        </w:rPr>
      </w:pPr>
      <w:bookmarkStart w:id="3" w:name="heading_3"/>
      <w:r>
        <w:rPr>
          <w:rFonts w:hint="eastAsia"/>
          <w:lang w:eastAsia="zh-CN"/>
        </w:rPr>
        <w:t>（一）</w:t>
      </w:r>
      <w:r>
        <w:t>自治县人民医院</w:t>
      </w:r>
      <w:bookmarkEnd w:id="3"/>
    </w:p>
    <w:p w14:paraId="0A996E29">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1.</w:t>
      </w:r>
      <w:r>
        <w:rPr>
          <w:rFonts w:ascii="仿宋_GB2312" w:hAnsi="Calibri" w:eastAsia="仿宋_GB2312" w:cs="Times New Roman"/>
          <w:sz w:val="32"/>
        </w:rPr>
        <w:t>椎间孔镜系统1套（含4K摄像系统、椎间孔镜手术器械，为开展脊柱微创手术新增设备）</w:t>
      </w:r>
    </w:p>
    <w:p w14:paraId="0E7CC3B9">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2.</w:t>
      </w:r>
      <w:r>
        <w:rPr>
          <w:rFonts w:ascii="仿宋_GB2312" w:hAnsi="Calibri" w:eastAsia="仿宋_GB2312" w:cs="Times New Roman"/>
          <w:sz w:val="32"/>
        </w:rPr>
        <w:t>胆道镜系统1套（为开展胆道系统微创手术新增设备）</w:t>
      </w:r>
    </w:p>
    <w:p w14:paraId="40C38F93">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3.</w:t>
      </w:r>
      <w:r>
        <w:rPr>
          <w:rFonts w:ascii="仿宋_GB2312" w:hAnsi="Calibri" w:eastAsia="仿宋_GB2312" w:cs="Times New Roman"/>
          <w:sz w:val="32"/>
        </w:rPr>
        <w:t>非接触眼压计1台（为开展白内障手术新增设备）</w:t>
      </w:r>
    </w:p>
    <w:p w14:paraId="7F86E3C4">
      <w:pPr>
        <w:pStyle w:val="3"/>
        <w:numPr>
          <w:numId w:val="0"/>
        </w:numPr>
        <w:topLinePunct w:val="0"/>
        <w:ind w:left="0" w:leftChars="0" w:firstLine="640"/>
        <w:rPr>
          <w:b w:val="0"/>
          <w:bdr w:val="none" w:sz="0" w:space="0"/>
        </w:rPr>
      </w:pPr>
      <w:bookmarkStart w:id="4" w:name="heading_4"/>
      <w:r>
        <w:rPr>
          <w:rFonts w:hint="eastAsia"/>
          <w:lang w:eastAsia="zh-CN"/>
        </w:rPr>
        <w:t>（二）</w:t>
      </w:r>
      <w:r>
        <w:t>自治县妇幼保健院</w:t>
      </w:r>
      <w:bookmarkEnd w:id="4"/>
    </w:p>
    <w:p w14:paraId="268E1452">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1.</w:t>
      </w:r>
      <w:r>
        <w:rPr>
          <w:rFonts w:ascii="仿宋_GB2312" w:hAnsi="Calibri" w:eastAsia="仿宋_GB2312" w:cs="Times New Roman"/>
          <w:sz w:val="32"/>
        </w:rPr>
        <w:t>腹腔镜系统1套（含腹腔镜系统、腹腔镜手术器械，为开展妇科微创新业务新增设备）</w:t>
      </w:r>
    </w:p>
    <w:p w14:paraId="248518DF">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2.</w:t>
      </w:r>
      <w:r>
        <w:rPr>
          <w:rFonts w:ascii="仿宋_GB2312" w:hAnsi="Calibri" w:eastAsia="仿宋_GB2312" w:cs="Times New Roman"/>
          <w:sz w:val="32"/>
        </w:rPr>
        <w:t>数字化X射线摄影系统（DR）1套（原设备2025年12月过期，为更新替换设备）</w:t>
      </w:r>
    </w:p>
    <w:p w14:paraId="527131F2">
      <w:pPr>
        <w:pStyle w:val="2"/>
        <w:numPr>
          <w:numId w:val="0"/>
        </w:numPr>
        <w:topLinePunct w:val="0"/>
        <w:ind w:left="0" w:leftChars="0" w:firstLine="640"/>
        <w:rPr>
          <w:b w:val="0"/>
          <w:bdr w:val="none" w:sz="0" w:space="0"/>
        </w:rPr>
      </w:pPr>
      <w:bookmarkStart w:id="5" w:name="heading_5"/>
      <w:r>
        <w:rPr>
          <w:rFonts w:hint="eastAsia"/>
          <w:lang w:eastAsia="zh-CN"/>
        </w:rPr>
        <w:t>四、</w:t>
      </w:r>
      <w:r>
        <w:t>项目实施时间安排</w:t>
      </w:r>
      <w:bookmarkEnd w:id="5"/>
    </w:p>
    <w:p w14:paraId="7B41968C">
      <w:pPr>
        <w:pStyle w:val="11"/>
        <w:rPr>
          <w:rFonts w:ascii="仿宋_GB2312" w:hAnsi="Calibri" w:eastAsia="仿宋_GB2312" w:cs="Times New Roman"/>
          <w:sz w:val="32"/>
        </w:rPr>
      </w:pPr>
      <w:r>
        <w:rPr>
          <w:rFonts w:ascii="仿宋_GB2312" w:hAnsi="Calibri" w:eastAsia="仿宋_GB2312" w:cs="Times New Roman"/>
          <w:sz w:val="32"/>
        </w:rPr>
        <w:t>本项目严格按照政府采购流程和时间节点推进，各阶段工作完成时限明确如下：</w:t>
      </w:r>
    </w:p>
    <w:p w14:paraId="45627472">
      <w:pPr>
        <w:pStyle w:val="11"/>
        <w:numPr>
          <w:numId w:val="0"/>
        </w:numPr>
        <w:topLinePunct w:val="0"/>
        <w:ind w:left="0" w:leftChars="0" w:right="0" w:rightChars="0" w:firstLine="640"/>
        <w:rPr>
          <w:rFonts w:hint="eastAsia" w:ascii="楷体_GB2312" w:hAnsi="楷体_GB2312" w:eastAsia="楷体_GB2312" w:cs="楷体_GB2312"/>
          <w:b w:val="0"/>
          <w:sz w:val="32"/>
          <w:bdr w:val="none" w:sz="0" w:space="0"/>
        </w:rPr>
      </w:pPr>
      <w:r>
        <w:rPr>
          <w:rStyle w:val="18"/>
          <w:rFonts w:hint="eastAsia" w:eastAsia="楷体_GB2312"/>
          <w:lang w:eastAsia="zh-CN"/>
        </w:rPr>
        <w:t>（一）</w:t>
      </w:r>
      <w:r>
        <w:rPr>
          <w:rStyle w:val="18"/>
        </w:rPr>
        <w:t>项目预公告阶段</w:t>
      </w:r>
      <w:r>
        <w:rPr>
          <w:rFonts w:ascii="仿宋_GB2312" w:hAnsi="Calibri" w:eastAsia="仿宋_GB2312" w:cs="Times New Roman"/>
          <w:sz w:val="32"/>
        </w:rPr>
        <w:t>：2026年5月30日前完成项目预公告发布，广泛征集市场意见；</w:t>
      </w:r>
    </w:p>
    <w:p w14:paraId="11DBFE9B">
      <w:pPr>
        <w:pStyle w:val="11"/>
        <w:numPr>
          <w:numId w:val="0"/>
        </w:numPr>
        <w:topLinePunct w:val="0"/>
        <w:ind w:left="0" w:leftChars="0" w:right="0" w:rightChars="0" w:firstLine="640"/>
        <w:rPr>
          <w:rFonts w:hint="eastAsia" w:ascii="楷体_GB2312" w:hAnsi="楷体_GB2312" w:eastAsia="楷体_GB2312" w:cs="楷体_GB2312"/>
          <w:b w:val="0"/>
          <w:sz w:val="32"/>
          <w:bdr w:val="none" w:sz="0" w:space="0"/>
        </w:rPr>
      </w:pPr>
      <w:r>
        <w:rPr>
          <w:rStyle w:val="18"/>
          <w:rFonts w:hint="eastAsia" w:eastAsia="楷体_GB2312"/>
          <w:lang w:eastAsia="zh-CN"/>
        </w:rPr>
        <w:t>（二）</w:t>
      </w:r>
      <w:r>
        <w:rPr>
          <w:rStyle w:val="18"/>
        </w:rPr>
        <w:t>设备参数征集阶段</w:t>
      </w:r>
      <w:r>
        <w:rPr>
          <w:rFonts w:ascii="仿宋_GB2312" w:hAnsi="Calibri" w:eastAsia="仿宋_GB2312" w:cs="Times New Roman"/>
          <w:sz w:val="32"/>
        </w:rPr>
        <w:t>：2026年6月30日前完成所有采购设备的技术参数征集与核定工作；</w:t>
      </w:r>
    </w:p>
    <w:p w14:paraId="573D8A82">
      <w:pPr>
        <w:pStyle w:val="11"/>
        <w:numPr>
          <w:numId w:val="0"/>
        </w:numPr>
        <w:topLinePunct w:val="0"/>
        <w:ind w:left="0" w:leftChars="0" w:right="0" w:rightChars="0" w:firstLine="640"/>
        <w:rPr>
          <w:rFonts w:hint="eastAsia" w:ascii="楷体_GB2312" w:hAnsi="楷体_GB2312" w:eastAsia="楷体_GB2312" w:cs="楷体_GB2312"/>
          <w:b w:val="0"/>
          <w:sz w:val="32"/>
          <w:bdr w:val="none" w:sz="0" w:space="0"/>
        </w:rPr>
      </w:pPr>
      <w:r>
        <w:rPr>
          <w:rStyle w:val="18"/>
          <w:rFonts w:hint="eastAsia" w:eastAsia="楷体_GB2312"/>
          <w:lang w:eastAsia="zh-CN"/>
        </w:rPr>
        <w:t>（三）</w:t>
      </w:r>
      <w:r>
        <w:rPr>
          <w:rStyle w:val="18"/>
        </w:rPr>
        <w:t>公开招投标阶段</w:t>
      </w:r>
      <w:r>
        <w:rPr>
          <w:rFonts w:ascii="仿宋_GB2312" w:hAnsi="Calibri" w:eastAsia="仿宋_GB2312" w:cs="Times New Roman"/>
          <w:sz w:val="32"/>
        </w:rPr>
        <w:t>：2026年8月15日前完成项目公开招投标的全部流程，确定中标供应商；</w:t>
      </w:r>
    </w:p>
    <w:p w14:paraId="36D3AECE">
      <w:pPr>
        <w:pStyle w:val="11"/>
        <w:numPr>
          <w:numId w:val="0"/>
        </w:numPr>
        <w:topLinePunct w:val="0"/>
        <w:ind w:left="0" w:leftChars="0" w:right="0" w:rightChars="0" w:firstLine="640"/>
        <w:rPr>
          <w:rFonts w:hint="eastAsia" w:ascii="楷体_GB2312" w:hAnsi="楷体_GB2312" w:eastAsia="楷体_GB2312" w:cs="楷体_GB2312"/>
          <w:b w:val="0"/>
          <w:sz w:val="32"/>
          <w:bdr w:val="none" w:sz="0" w:space="0"/>
        </w:rPr>
      </w:pPr>
      <w:r>
        <w:rPr>
          <w:rStyle w:val="18"/>
          <w:rFonts w:hint="eastAsia" w:eastAsia="楷体_GB2312"/>
          <w:lang w:eastAsia="zh-CN"/>
        </w:rPr>
        <w:t>（四）</w:t>
      </w:r>
      <w:r>
        <w:rPr>
          <w:rStyle w:val="18"/>
        </w:rPr>
        <w:t>安装使用阶段</w:t>
      </w:r>
      <w:r>
        <w:rPr>
          <w:rFonts w:ascii="仿宋_GB2312" w:hAnsi="Calibri" w:eastAsia="仿宋_GB2312" w:cs="Times New Roman"/>
          <w:sz w:val="32"/>
        </w:rPr>
        <w:t>：2026年9月30日前完成所有采购设备的安装、调试、操作培训及验收工作，设备正式投入临床使用。</w:t>
      </w:r>
    </w:p>
    <w:p w14:paraId="142D969C">
      <w:pPr>
        <w:pStyle w:val="2"/>
        <w:numPr>
          <w:numId w:val="0"/>
        </w:numPr>
        <w:topLinePunct w:val="0"/>
        <w:ind w:left="0" w:leftChars="0" w:firstLine="640"/>
        <w:rPr>
          <w:b w:val="0"/>
          <w:bdr w:val="none" w:sz="0" w:space="0"/>
        </w:rPr>
      </w:pPr>
      <w:bookmarkStart w:id="6" w:name="heading_6"/>
      <w:r>
        <w:rPr>
          <w:rFonts w:hint="eastAsia"/>
          <w:lang w:eastAsia="zh-CN"/>
        </w:rPr>
        <w:t>五、</w:t>
      </w:r>
      <w:r>
        <w:t>经费安排及管理要求</w:t>
      </w:r>
      <w:bookmarkEnd w:id="6"/>
    </w:p>
    <w:p w14:paraId="4EC8C753">
      <w:pPr>
        <w:pStyle w:val="3"/>
        <w:numPr>
          <w:numId w:val="0"/>
        </w:numPr>
        <w:topLinePunct w:val="0"/>
        <w:ind w:left="0" w:leftChars="0" w:firstLine="640"/>
        <w:rPr>
          <w:b w:val="0"/>
          <w:bdr w:val="none" w:sz="0" w:space="0"/>
        </w:rPr>
      </w:pPr>
      <w:bookmarkStart w:id="7" w:name="heading_7"/>
      <w:r>
        <w:rPr>
          <w:rFonts w:hint="eastAsia"/>
          <w:lang w:eastAsia="zh-CN"/>
        </w:rPr>
        <w:t>（一）</w:t>
      </w:r>
      <w:r>
        <w:t>经费预算与来源</w:t>
      </w:r>
      <w:bookmarkEnd w:id="7"/>
    </w:p>
    <w:p w14:paraId="6CC493B0">
      <w:pPr>
        <w:pStyle w:val="11"/>
        <w:rPr>
          <w:rFonts w:ascii="仿宋_GB2312" w:hAnsi="Calibri" w:eastAsia="仿宋_GB2312" w:cs="Times New Roman"/>
          <w:sz w:val="32"/>
        </w:rPr>
      </w:pPr>
      <w:r>
        <w:rPr>
          <w:rFonts w:ascii="仿宋_GB2312" w:hAnsi="Calibri" w:eastAsia="仿宋_GB2312" w:cs="Times New Roman"/>
          <w:sz w:val="32"/>
        </w:rPr>
        <w:t>本项目总预算投资400万元，资金全部来源于广东帮扶广西财政协作资金，最终实际使用资金以设备采购中标金额为准。各设备分项预算如下：</w:t>
      </w:r>
    </w:p>
    <w:p w14:paraId="7F790D7B">
      <w:pPr>
        <w:pStyle w:val="11"/>
        <w:numPr>
          <w:numId w:val="0"/>
        </w:numPr>
        <w:ind w:left="0" w:leftChars="0" w:right="0" w:rightChars="0" w:firstLine="640"/>
        <w:rPr>
          <w:rFonts w:ascii="仿宋_GB2312" w:hAnsi="Calibri" w:eastAsia="仿宋_GB2312" w:cs="Times New Roman"/>
          <w:b w:val="0"/>
          <w:sz w:val="32"/>
          <w:bdr w:val="none" w:sz="0" w:space="0"/>
        </w:rPr>
      </w:pPr>
      <w:r>
        <w:rPr>
          <w:rStyle w:val="19"/>
          <w:rFonts w:hint="eastAsia"/>
          <w:lang w:eastAsia="zh-CN"/>
        </w:rPr>
        <w:t xml:space="preserve">1. </w:t>
      </w:r>
      <w:r>
        <w:rPr>
          <w:rStyle w:val="19"/>
        </w:rPr>
        <w:t>椎间孔镜系统</w:t>
      </w:r>
      <w:r>
        <w:rPr>
          <w:rFonts w:ascii="仿宋_GB2312" w:hAnsi="Calibri" w:eastAsia="仿宋_GB2312" w:cs="Times New Roman"/>
          <w:sz w:val="32"/>
        </w:rPr>
        <w:t>：180万元</w:t>
      </w:r>
    </w:p>
    <w:p w14:paraId="5BFBE7D3">
      <w:pPr>
        <w:pStyle w:val="11"/>
        <w:numPr>
          <w:numId w:val="0"/>
        </w:numPr>
        <w:ind w:left="0" w:leftChars="0" w:right="0" w:rightChars="0" w:firstLine="640"/>
        <w:rPr>
          <w:rFonts w:ascii="仿宋_GB2312" w:hAnsi="Calibri" w:eastAsia="仿宋_GB2312" w:cs="Times New Roman"/>
          <w:b w:val="0"/>
          <w:sz w:val="32"/>
          <w:bdr w:val="none" w:sz="0" w:space="0"/>
        </w:rPr>
      </w:pPr>
      <w:r>
        <w:rPr>
          <w:rStyle w:val="19"/>
          <w:rFonts w:hint="eastAsia"/>
          <w:lang w:eastAsia="zh-CN"/>
        </w:rPr>
        <w:t xml:space="preserve">2. </w:t>
      </w:r>
      <w:r>
        <w:rPr>
          <w:rStyle w:val="19"/>
        </w:rPr>
        <w:t>胆道镜系统</w:t>
      </w:r>
      <w:r>
        <w:rPr>
          <w:rFonts w:ascii="仿宋_GB2312" w:hAnsi="Calibri" w:eastAsia="仿宋_GB2312" w:cs="Times New Roman"/>
          <w:sz w:val="32"/>
        </w:rPr>
        <w:t>：30万元</w:t>
      </w:r>
    </w:p>
    <w:p w14:paraId="7DC2EF22">
      <w:pPr>
        <w:pStyle w:val="11"/>
        <w:numPr>
          <w:numId w:val="0"/>
        </w:numPr>
        <w:ind w:left="0" w:leftChars="0" w:right="0" w:rightChars="0" w:firstLine="640"/>
        <w:rPr>
          <w:rFonts w:ascii="仿宋_GB2312" w:hAnsi="Calibri" w:eastAsia="仿宋_GB2312" w:cs="Times New Roman"/>
          <w:b w:val="0"/>
          <w:sz w:val="32"/>
          <w:bdr w:val="none" w:sz="0" w:space="0"/>
        </w:rPr>
      </w:pPr>
      <w:r>
        <w:rPr>
          <w:rStyle w:val="19"/>
          <w:rFonts w:hint="eastAsia"/>
          <w:lang w:eastAsia="zh-CN"/>
        </w:rPr>
        <w:t xml:space="preserve">3. </w:t>
      </w:r>
      <w:r>
        <w:rPr>
          <w:rStyle w:val="19"/>
        </w:rPr>
        <w:t>非接触眼压计</w:t>
      </w:r>
      <w:r>
        <w:rPr>
          <w:rFonts w:ascii="仿宋_GB2312" w:hAnsi="Calibri" w:eastAsia="仿宋_GB2312" w:cs="Times New Roman"/>
          <w:sz w:val="32"/>
        </w:rPr>
        <w:t>：10万元</w:t>
      </w:r>
    </w:p>
    <w:p w14:paraId="63096924">
      <w:pPr>
        <w:pStyle w:val="11"/>
        <w:numPr>
          <w:numId w:val="0"/>
        </w:numPr>
        <w:ind w:left="0" w:leftChars="0" w:right="0" w:rightChars="0" w:firstLine="640"/>
        <w:rPr>
          <w:rFonts w:ascii="仿宋_GB2312" w:hAnsi="Calibri" w:eastAsia="仿宋_GB2312" w:cs="Times New Roman"/>
          <w:b w:val="0"/>
          <w:sz w:val="32"/>
          <w:bdr w:val="none" w:sz="0" w:space="0"/>
        </w:rPr>
      </w:pPr>
      <w:r>
        <w:rPr>
          <w:rStyle w:val="19"/>
          <w:rFonts w:hint="eastAsia"/>
          <w:lang w:eastAsia="zh-CN"/>
        </w:rPr>
        <w:t xml:space="preserve">4. </w:t>
      </w:r>
      <w:r>
        <w:rPr>
          <w:rStyle w:val="19"/>
        </w:rPr>
        <w:t>腹腔镜系统</w:t>
      </w:r>
      <w:r>
        <w:rPr>
          <w:rFonts w:ascii="仿宋_GB2312" w:hAnsi="Calibri" w:eastAsia="仿宋_GB2312" w:cs="Times New Roman"/>
          <w:sz w:val="32"/>
        </w:rPr>
        <w:t>：75万元</w:t>
      </w:r>
    </w:p>
    <w:p w14:paraId="5201D373">
      <w:pPr>
        <w:pStyle w:val="11"/>
        <w:numPr>
          <w:numId w:val="0"/>
        </w:numPr>
        <w:ind w:left="0" w:leftChars="0" w:right="0" w:rightChars="0" w:firstLine="640"/>
        <w:rPr>
          <w:rFonts w:ascii="仿宋_GB2312" w:hAnsi="Calibri" w:eastAsia="仿宋_GB2312" w:cs="Times New Roman"/>
          <w:b w:val="0"/>
          <w:sz w:val="32"/>
          <w:bdr w:val="none" w:sz="0" w:space="0"/>
        </w:rPr>
      </w:pPr>
      <w:r>
        <w:rPr>
          <w:rStyle w:val="19"/>
          <w:rFonts w:hint="eastAsia"/>
          <w:lang w:eastAsia="zh-CN"/>
        </w:rPr>
        <w:t xml:space="preserve">5. </w:t>
      </w:r>
      <w:r>
        <w:rPr>
          <w:rStyle w:val="19"/>
        </w:rPr>
        <w:t>数字化X射线摄影系统（DR）</w:t>
      </w:r>
      <w:r>
        <w:rPr>
          <w:rFonts w:ascii="仿宋_GB2312" w:hAnsi="Calibri" w:eastAsia="仿宋_GB2312" w:cs="Times New Roman"/>
          <w:sz w:val="32"/>
        </w:rPr>
        <w:t>：105万元</w:t>
      </w:r>
    </w:p>
    <w:p w14:paraId="34F699CC">
      <w:pPr>
        <w:pStyle w:val="3"/>
        <w:numPr>
          <w:numId w:val="0"/>
        </w:numPr>
        <w:topLinePunct w:val="0"/>
        <w:ind w:left="0" w:leftChars="0" w:firstLine="640"/>
        <w:rPr>
          <w:b w:val="0"/>
          <w:bdr w:val="none" w:sz="0" w:space="0"/>
        </w:rPr>
      </w:pPr>
      <w:bookmarkStart w:id="8" w:name="heading_8"/>
      <w:r>
        <w:rPr>
          <w:rFonts w:hint="eastAsia"/>
          <w:lang w:eastAsia="zh-CN"/>
        </w:rPr>
        <w:t>（二）</w:t>
      </w:r>
      <w:r>
        <w:t>资金管理要求</w:t>
      </w:r>
      <w:bookmarkEnd w:id="8"/>
    </w:p>
    <w:p w14:paraId="2798813D">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1.</w:t>
      </w:r>
      <w:r>
        <w:rPr>
          <w:rFonts w:ascii="仿宋_GB2312" w:hAnsi="Calibri" w:eastAsia="仿宋_GB2312" w:cs="Times New Roman"/>
          <w:sz w:val="32"/>
        </w:rPr>
        <w:t>严格遵循《广东帮扶广西财政协作资金管理办法》及相关财经制度，对项目资金实行</w:t>
      </w:r>
      <w:r>
        <w:rPr>
          <w:rFonts w:ascii="仿宋_GB2312" w:hAnsi="Calibri" w:eastAsia="仿宋_GB2312" w:cs="Times New Roman"/>
          <w:b/>
          <w:sz w:val="32"/>
        </w:rPr>
        <w:t>专账管理、专项核算、专款专用</w:t>
      </w:r>
      <w:r>
        <w:rPr>
          <w:rFonts w:ascii="仿宋_GB2312" w:hAnsi="Calibri" w:eastAsia="仿宋_GB2312" w:cs="Times New Roman"/>
          <w:sz w:val="32"/>
        </w:rPr>
        <w:t>，严禁截留、挤占、挪用项目资金。</w:t>
      </w:r>
    </w:p>
    <w:p w14:paraId="14A97277">
      <w:pPr>
        <w:pStyle w:val="11"/>
        <w:numPr>
          <w:numId w:val="0"/>
        </w:numPr>
        <w:topLinePunct w:val="0"/>
        <w:ind w:left="0" w:leftChars="0" w:right="0" w:rightChars="0" w:firstLine="640"/>
        <w:rPr>
          <w:rFonts w:ascii="仿宋_GB2312" w:hAnsi="Calibri" w:eastAsia="仿宋_GB2312" w:cs="Times New Roman"/>
          <w:b w:val="0"/>
          <w:color w:val="3370FF"/>
          <w:spacing w:val="-20"/>
          <w:sz w:val="32"/>
          <w:bdr w:val="none" w:sz="0" w:space="0"/>
        </w:rPr>
      </w:pPr>
      <w:r>
        <w:rPr>
          <w:rFonts w:hint="eastAsia" w:cs="Times New Roman"/>
          <w:sz w:val="32"/>
          <w:lang w:eastAsia="zh-CN"/>
        </w:rPr>
        <w:t>2.</w:t>
      </w:r>
      <w:r>
        <w:rPr>
          <w:rFonts w:ascii="仿宋_GB2312" w:hAnsi="Calibri" w:eastAsia="仿宋_GB2312" w:cs="Times New Roman"/>
          <w:sz w:val="32"/>
        </w:rPr>
        <w:t>资金支付严格按照合同约定及广东帮扶广西财政协作专</w:t>
      </w:r>
      <w:r>
        <w:rPr>
          <w:rFonts w:ascii="仿宋_GB2312" w:hAnsi="Calibri" w:eastAsia="仿宋_GB2312" w:cs="Times New Roman"/>
          <w:spacing w:val="-20"/>
          <w:sz w:val="32"/>
        </w:rPr>
        <w:t>项资金拨付程序执行，做到付款依据充分、手续齐全、账目清晰。</w:t>
      </w:r>
    </w:p>
    <w:p w14:paraId="09319DA1">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3.</w:t>
      </w:r>
      <w:r>
        <w:rPr>
          <w:rFonts w:ascii="仿宋_GB2312" w:hAnsi="Calibri" w:eastAsia="仿宋_GB2312" w:cs="Times New Roman"/>
          <w:sz w:val="32"/>
        </w:rPr>
        <w:t>安排专人负责项目资金的账务管理和资料归档，确保资金使用全程可追溯、可核查。</w:t>
      </w:r>
    </w:p>
    <w:p w14:paraId="2E352DC1">
      <w:pPr>
        <w:pStyle w:val="2"/>
        <w:numPr>
          <w:numId w:val="0"/>
        </w:numPr>
        <w:topLinePunct w:val="0"/>
        <w:ind w:left="0" w:leftChars="0" w:firstLine="640"/>
        <w:rPr>
          <w:b w:val="0"/>
          <w:bdr w:val="none" w:sz="0" w:space="0"/>
        </w:rPr>
      </w:pPr>
      <w:bookmarkStart w:id="9" w:name="heading_9"/>
      <w:r>
        <w:rPr>
          <w:rFonts w:hint="eastAsia"/>
          <w:lang w:eastAsia="zh-CN"/>
        </w:rPr>
        <w:t>六、</w:t>
      </w:r>
      <w:r>
        <w:t>组织实施</w:t>
      </w:r>
      <w:bookmarkEnd w:id="9"/>
    </w:p>
    <w:p w14:paraId="36219531">
      <w:pPr>
        <w:pStyle w:val="3"/>
        <w:numPr>
          <w:numId w:val="0"/>
        </w:numPr>
        <w:topLinePunct w:val="0"/>
        <w:ind w:left="0" w:leftChars="0" w:firstLine="640"/>
        <w:rPr>
          <w:b w:val="0"/>
          <w:bdr w:val="none" w:sz="0" w:space="0"/>
        </w:rPr>
      </w:pPr>
      <w:bookmarkStart w:id="10" w:name="heading_10"/>
      <w:r>
        <w:rPr>
          <w:rFonts w:hint="eastAsia"/>
          <w:lang w:eastAsia="zh-CN"/>
        </w:rPr>
        <w:t>（一）</w:t>
      </w:r>
      <w:r>
        <w:t>采购实施</w:t>
      </w:r>
      <w:bookmarkEnd w:id="10"/>
    </w:p>
    <w:p w14:paraId="75454CD6">
      <w:pPr>
        <w:pStyle w:val="11"/>
        <w:rPr>
          <w:rFonts w:ascii="仿宋_GB2312" w:hAnsi="Calibri" w:eastAsia="仿宋_GB2312" w:cs="Times New Roman"/>
          <w:sz w:val="32"/>
        </w:rPr>
      </w:pPr>
      <w:r>
        <w:rPr>
          <w:rFonts w:ascii="仿宋_GB2312" w:hAnsi="Calibri" w:eastAsia="仿宋_GB2312" w:cs="Times New Roman"/>
          <w:sz w:val="32"/>
        </w:rPr>
        <w:t>本项目所有医疗设备采购严格按照《中华人民共和国政府采购法》等相关规定执行，由自治县卫生健康局统一办理采购手续，采用</w:t>
      </w:r>
      <w:r>
        <w:rPr>
          <w:rFonts w:ascii="仿宋_GB2312" w:hAnsi="Calibri" w:eastAsia="仿宋_GB2312" w:cs="Times New Roman"/>
          <w:b/>
          <w:sz w:val="32"/>
        </w:rPr>
        <w:t>公开招标</w:t>
      </w:r>
      <w:r>
        <w:rPr>
          <w:rFonts w:ascii="仿宋_GB2312" w:hAnsi="Calibri" w:eastAsia="仿宋_GB2312" w:cs="Times New Roman"/>
          <w:sz w:val="32"/>
        </w:rPr>
        <w:t>方式确定供应商，确保采购过程公开、公平、公正、透明。</w:t>
      </w:r>
    </w:p>
    <w:p w14:paraId="73CA18EB">
      <w:pPr>
        <w:pStyle w:val="3"/>
        <w:numPr>
          <w:numId w:val="0"/>
        </w:numPr>
        <w:topLinePunct w:val="0"/>
        <w:ind w:left="0" w:leftChars="0" w:firstLine="640"/>
        <w:rPr>
          <w:b w:val="0"/>
          <w:bdr w:val="none" w:sz="0" w:space="0"/>
        </w:rPr>
      </w:pPr>
      <w:bookmarkStart w:id="11" w:name="heading_11"/>
      <w:r>
        <w:rPr>
          <w:rFonts w:hint="eastAsia"/>
          <w:lang w:eastAsia="zh-CN"/>
        </w:rPr>
        <w:t>（二）</w:t>
      </w:r>
      <w:r>
        <w:t>设备安装与验收</w:t>
      </w:r>
      <w:bookmarkEnd w:id="11"/>
    </w:p>
    <w:p w14:paraId="3CB58B2D">
      <w:pPr>
        <w:pStyle w:val="11"/>
        <w:rPr>
          <w:rFonts w:ascii="仿宋_GB2312" w:hAnsi="Calibri" w:eastAsia="仿宋_GB2312" w:cs="Times New Roman"/>
          <w:sz w:val="32"/>
        </w:rPr>
      </w:pPr>
      <w:r>
        <w:rPr>
          <w:rFonts w:ascii="仿宋_GB2312" w:hAnsi="Calibri" w:eastAsia="仿宋_GB2312" w:cs="Times New Roman"/>
          <w:sz w:val="32"/>
        </w:rPr>
        <w:t>设备购置后，由自治县人民医院、妇幼保健院配合设备生产厂商及供应商，完成设备的现场安装、调试工作；组织医疗、设备、财务等相关专业人员开展设备操作培训，确保医护人员熟练掌握设备使用方法；按照国家及行业相关标准完成设备验收，验收合格后方可正式投入使用，验收资料及时整理归档。</w:t>
      </w:r>
    </w:p>
    <w:p w14:paraId="022C4C78">
      <w:pPr>
        <w:pStyle w:val="3"/>
        <w:numPr>
          <w:numId w:val="0"/>
        </w:numPr>
        <w:topLinePunct w:val="0"/>
        <w:ind w:left="0" w:leftChars="0" w:firstLine="640"/>
        <w:rPr>
          <w:b w:val="0"/>
          <w:bdr w:val="none" w:sz="0" w:space="0"/>
        </w:rPr>
      </w:pPr>
      <w:bookmarkStart w:id="12" w:name="heading_12"/>
      <w:r>
        <w:rPr>
          <w:rFonts w:hint="eastAsia"/>
          <w:lang w:eastAsia="zh-CN"/>
        </w:rPr>
        <w:t>（三）</w:t>
      </w:r>
      <w:r>
        <w:t>固定资产管理</w:t>
      </w:r>
      <w:bookmarkEnd w:id="12"/>
    </w:p>
    <w:p w14:paraId="473AB5EF">
      <w:pPr>
        <w:pStyle w:val="11"/>
        <w:rPr>
          <w:rFonts w:ascii="仿宋_GB2312" w:hAnsi="Calibri" w:eastAsia="仿宋_GB2312" w:cs="Times New Roman"/>
          <w:sz w:val="32"/>
        </w:rPr>
      </w:pPr>
      <w:r>
        <w:rPr>
          <w:rFonts w:ascii="仿宋_GB2312" w:hAnsi="Calibri" w:eastAsia="仿宋_GB2312" w:cs="Times New Roman"/>
          <w:sz w:val="32"/>
        </w:rPr>
        <w:t>设备验收合格后，两家医疗机构需及时将设备录入本单位固定资产管理系统，建立设备台账，明确资产归属、使用部门及管理责任人，做好设备的日常维护与管理工作。</w:t>
      </w:r>
    </w:p>
    <w:p w14:paraId="06905D21">
      <w:pPr>
        <w:pStyle w:val="3"/>
        <w:numPr>
          <w:numId w:val="0"/>
        </w:numPr>
        <w:topLinePunct w:val="0"/>
        <w:ind w:left="0" w:leftChars="0" w:firstLine="640"/>
        <w:rPr>
          <w:b w:val="0"/>
          <w:bdr w:val="none" w:sz="0" w:space="0"/>
        </w:rPr>
      </w:pPr>
      <w:bookmarkStart w:id="13" w:name="heading_13"/>
      <w:r>
        <w:rPr>
          <w:rFonts w:hint="eastAsia"/>
          <w:lang w:eastAsia="zh-CN"/>
        </w:rPr>
        <w:t>（四）</w:t>
      </w:r>
      <w:r>
        <w:t>成效跟踪与评价</w:t>
      </w:r>
      <w:bookmarkEnd w:id="13"/>
    </w:p>
    <w:p w14:paraId="39F80FE2">
      <w:pPr>
        <w:pStyle w:val="11"/>
        <w:rPr>
          <w:rFonts w:ascii="仿宋_GB2312" w:hAnsi="Calibri" w:eastAsia="仿宋_GB2312" w:cs="Times New Roman"/>
          <w:sz w:val="32"/>
        </w:rPr>
      </w:pPr>
      <w:r>
        <w:rPr>
          <w:rFonts w:ascii="仿宋_GB2312" w:hAnsi="Calibri" w:eastAsia="仿宋_GB2312" w:cs="Times New Roman"/>
          <w:sz w:val="32"/>
        </w:rPr>
        <w:t>设备投入使用后，自治县人民医院、妇幼保健院需建立项目成效跟踪评价机制，定期监测设备使用情况、诊疗业务开展情况及社会效益实现情况；项目实施完成后，形成项目成效总结报告，及时上报自治县卫生健康局，由局里汇总后按要求上报上级主管部门。</w:t>
      </w:r>
    </w:p>
    <w:p w14:paraId="13908FF2">
      <w:pPr>
        <w:pStyle w:val="2"/>
        <w:numPr>
          <w:numId w:val="0"/>
        </w:numPr>
        <w:topLinePunct w:val="0"/>
        <w:ind w:left="0" w:leftChars="0" w:firstLine="640"/>
        <w:rPr>
          <w:b w:val="0"/>
          <w:bdr w:val="none" w:sz="0" w:space="0"/>
        </w:rPr>
      </w:pPr>
      <w:bookmarkStart w:id="14" w:name="heading_14"/>
      <w:r>
        <w:rPr>
          <w:rFonts w:hint="eastAsia"/>
          <w:lang w:eastAsia="zh-CN"/>
        </w:rPr>
        <w:t>七、</w:t>
      </w:r>
      <w:r>
        <w:t>附则</w:t>
      </w:r>
      <w:bookmarkEnd w:id="14"/>
    </w:p>
    <w:p w14:paraId="30D571A5">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1.</w:t>
      </w:r>
      <w:r>
        <w:rPr>
          <w:rFonts w:ascii="仿宋_GB2312" w:hAnsi="Calibri" w:eastAsia="仿宋_GB2312" w:cs="Times New Roman"/>
          <w:sz w:val="32"/>
        </w:rPr>
        <w:t>本方案由隆林各族自治县卫生健康局负责解释。</w:t>
      </w:r>
    </w:p>
    <w:p w14:paraId="6467CD98">
      <w:pPr>
        <w:pStyle w:val="11"/>
        <w:numPr>
          <w:numId w:val="0"/>
        </w:numPr>
        <w:topLinePunct w:val="0"/>
        <w:ind w:left="0" w:leftChars="0" w:right="0" w:rightChars="0" w:firstLine="640"/>
        <w:rPr>
          <w:rFonts w:ascii="仿宋_GB2312" w:hAnsi="Calibri" w:eastAsia="仿宋_GB2312" w:cs="Times New Roman"/>
          <w:b w:val="0"/>
          <w:color w:val="3370FF"/>
          <w:sz w:val="32"/>
          <w:bdr w:val="none" w:sz="0" w:space="0"/>
        </w:rPr>
      </w:pPr>
      <w:r>
        <w:rPr>
          <w:rFonts w:hint="eastAsia" w:cs="Times New Roman"/>
          <w:sz w:val="32"/>
          <w:lang w:eastAsia="zh-CN"/>
        </w:rPr>
        <w:t>2.</w:t>
      </w:r>
      <w:r>
        <w:rPr>
          <w:rFonts w:ascii="仿宋_GB2312" w:hAnsi="Calibri" w:eastAsia="仿宋_GB2312" w:cs="Times New Roman"/>
          <w:sz w:val="32"/>
        </w:rPr>
        <w:t>本方案自发布之日起执行，项目实施过程中如遇特殊情况，需按程序报批后调整实施内容或时间节点。</w:t>
      </w:r>
    </w:p>
    <w:p w14:paraId="529FECDE">
      <w:pPr>
        <w:pStyle w:val="11"/>
        <w:keepNext w:val="0"/>
        <w:keepLines w:val="0"/>
        <w:pageBreakBefore w:val="0"/>
        <w:widowControl/>
        <w:kinsoku/>
        <w:wordWrap/>
        <w:overflowPunct/>
        <w:topLinePunct w:val="0"/>
        <w:autoSpaceDE/>
        <w:autoSpaceDN/>
        <w:bidi w:val="0"/>
        <w:adjustRightInd w:val="0"/>
        <w:snapToGrid/>
        <w:ind w:left="3858" w:leftChars="0" w:right="139" w:rightChars="0" w:firstLine="0" w:firstLineChars="0"/>
        <w:jc w:val="right"/>
        <w:textAlignment w:val="auto"/>
        <w:rPr>
          <w:rFonts w:hint="eastAsia"/>
          <w:sz w:val="32"/>
          <w:szCs w:val="32"/>
          <w:lang w:val="en-US" w:eastAsia="zh-CN"/>
        </w:rPr>
      </w:pPr>
      <mc:AlternateContent>
        <mc:Choice Requires="wpsCustomData">
          <wpsCustomData:docfieldStart id="1" docfieldname="发文机关署名_1" hidden="0" print="1" readonly="0" index="11"/>
        </mc:Choice>
      </mc:AlternateContent>
    </w:p>
    <w:p w14:paraId="18BC3801">
      <w:pPr>
        <w:pStyle w:val="11"/>
        <w:keepNext w:val="0"/>
        <w:keepLines w:val="0"/>
        <w:pageBreakBefore w:val="0"/>
        <w:widowControl/>
        <w:kinsoku/>
        <w:wordWrap/>
        <w:overflowPunct/>
        <w:topLinePunct w:val="0"/>
        <w:autoSpaceDE/>
        <w:autoSpaceDN/>
        <w:bidi w:val="0"/>
        <w:adjustRightInd w:val="0"/>
        <w:snapToGrid/>
        <w:ind w:left="3858" w:leftChars="0" w:right="139" w:rightChars="0" w:firstLine="0" w:firstLineChars="0"/>
        <w:jc w:val="right"/>
        <w:textAlignment w:val="auto"/>
        <w:rPr>
          <w:rFonts w:hint="eastAsia"/>
          <w:sz w:val="32"/>
          <w:szCs w:val="32"/>
          <w:lang w:val="en-US" w:eastAsia="zh-CN"/>
        </w:rPr>
      </w:pPr>
    </w:p>
    <w:p w14:paraId="760FAC57">
      <w:pPr>
        <w:pStyle w:val="11"/>
        <w:keepNext w:val="0"/>
        <w:keepLines w:val="0"/>
        <w:pageBreakBefore w:val="0"/>
        <w:widowControl/>
        <w:kinsoku/>
        <w:wordWrap/>
        <w:overflowPunct/>
        <w:topLinePunct w:val="0"/>
        <w:autoSpaceDE/>
        <w:autoSpaceDN/>
        <w:bidi w:val="0"/>
        <w:adjustRightInd w:val="0"/>
        <w:snapToGrid/>
        <w:ind w:left="3858" w:leftChars="0" w:right="139" w:rightChars="0" w:firstLine="0" w:firstLineChars="0"/>
        <w:jc w:val="right"/>
        <w:textAlignment w:val="auto"/>
        <w:rPr>
          <w:rFonts w:hint="default"/>
          <w:sz w:val="32"/>
          <w:szCs w:val="32"/>
          <w:lang w:val="en-US" w:eastAsia="zh-CN"/>
        </w:rPr>
      </w:pPr>
      <w:r>
        <w:rPr>
          <w:rFonts w:hint="eastAsia"/>
          <w:sz w:val="32"/>
          <w:szCs w:val="32"/>
          <w:lang w:val="en-US" w:eastAsia="zh-CN"/>
        </w:rPr>
        <w:t>隆林各族自治县卫生健康局</w:t>
      </w:r>
      <mc:AlternateContent>
        <mc:Choice Requires="wpsCustomData">
          <wpsCustomData:docfieldEnd id="1"/>
        </mc:Choice>
      </mc:AlternateContent>
    </w:p>
    <w:p w14:paraId="5B7DD83D">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mc:AlternateContent>
        <mc:Choice Requires="wpsCustomData">
          <wpsCustomData:docfieldStart id="2" docfieldname="成文日期_1" hidden="0" print="1" readonly="0" index="12"/>
        </mc:Choice>
      </mc:AlternateContent>
      <w:r>
        <w:rPr>
          <w:rFonts w:hint="eastAsia"/>
          <w:sz w:val="32"/>
          <w:szCs w:val="32"/>
          <w:lang w:val="en-US" w:eastAsia="zh-CN"/>
        </w:rPr>
        <w:t>2026年3月23日</w:t>
      </w:r>
      <mc:AlternateContent>
        <mc:Choice Requires="wpsCustomData">
          <wpsCustomData:docfieldEnd id="2"/>
        </mc:Choice>
      </mc:AlternateContent>
    </w:p>
    <w:p w14:paraId="63F0EA42">
      <w:pPr>
        <w:pStyle w:val="11"/>
        <w:rPr>
          <w:rFonts w:ascii="仿宋_GB2312" w:hAnsi="Calibri" w:eastAsia="仿宋_GB2312" w:cs="Times New Roman"/>
          <w:sz w:val="32"/>
        </w:rPr>
      </w:pPr>
    </w:p>
    <w:p w14:paraId="425A6516">
      <w:pPr>
        <w:pStyle w:val="11"/>
        <w:rPr>
          <w:rFonts w:ascii="仿宋_GB2312" w:hAnsi="Calibri" w:eastAsia="仿宋_GB2312" w:cs="Times New Roman"/>
          <w:sz w:val="32"/>
        </w:rPr>
      </w:pPr>
    </w:p>
    <w:p w14:paraId="677375A8">
      <w:pPr>
        <w:pStyle w:val="11"/>
        <w:rPr>
          <w:rFonts w:ascii="仿宋_GB2312" w:hAnsi="Calibri" w:eastAsia="仿宋_GB2312" w:cs="Times New Roman"/>
          <w:sz w:val="32"/>
        </w:rPr>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96C8">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752897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4752897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F70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E04535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1E04535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6C92">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33F2">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58"/>
  <w:drawingGridVerticalSpacing w:val="290"/>
  <w:displayHorizontalDrawingGridEvery w:val="2"/>
  <w:displayVerticalDrawingGridEvery w:val="2"/>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32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8"/>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link w:val="19"/>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11">
    <w:name w:val="Body Text"/>
    <w:uiPriority w:val="0"/>
    <w:pPr>
      <w:keepNext w:val="0"/>
      <w:keepLines w:val="0"/>
      <w:pageBreakBefore w:val="0"/>
      <w:widowControl w:val="0"/>
      <w:kinsoku/>
      <w:wordWrap/>
      <w:overflowPunct/>
      <w:topLinePunct w:val="0"/>
      <w:autoSpaceDE w:val="0"/>
      <w:autoSpaceDN w:val="0"/>
      <w:bidi w:val="0"/>
      <w:adjustRightInd/>
      <w:spacing w:before="0" w:after="0" w:line="560" w:lineRule="exact"/>
      <w:ind w:left="0" w:right="0" w:firstLine="640" w:firstLineChars="200"/>
      <w:jc w:val="left"/>
      <w:textAlignment w:val="auto"/>
      <w:outlineLvl w:val="9"/>
    </w:pPr>
    <w:rPr>
      <w:rFonts w:ascii="仿宋_GB2312" w:hAnsi="Calibri" w:eastAsia="仿宋_GB2312" w:cs="Times New Roman"/>
      <w:spacing w:val="0"/>
      <w:sz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keepNext w:val="0"/>
      <w:keepLines w:val="0"/>
      <w:pageBreakBefore w:val="0"/>
      <w:widowControl w:val="0"/>
      <w:kinsoku/>
      <w:wordWrap/>
      <w:overflowPunct/>
      <w:topLinePunct w:val="0"/>
      <w:autoSpaceDE w:val="0"/>
      <w:autoSpaceDN w:val="0"/>
      <w:bidi w:val="0"/>
      <w:adjustRightInd/>
      <w:spacing w:before="0" w:after="0" w:line="560" w:lineRule="exact"/>
      <w:ind w:left="0" w:leftChars="0" w:right="0" w:firstLine="0" w:firstLineChars="0"/>
      <w:jc w:val="center"/>
      <w:textAlignment w:val="auto"/>
      <w:outlineLvl w:val="9"/>
    </w:pPr>
    <w:rPr>
      <w:rFonts w:ascii="方正小标宋简体" w:hAnsi="方正小标宋简体" w:eastAsia="方正小标宋简体" w:cs="方正小标宋简体"/>
      <w:sz w:val="44"/>
      <w:szCs w:val="44"/>
      <w:lang w:bidi="zh-CN"/>
    </w:rPr>
  </w:style>
  <w:style w:type="character" w:customStyle="1" w:styleId="18">
    <w:name w:val="标题 2 Char"/>
    <w:link w:val="3"/>
    <w:uiPriority w:val="0"/>
    <w:rPr>
      <w:rFonts w:ascii="楷体_GB2312" w:hAnsi="楷体_GB2312" w:eastAsia="楷体_GB2312" w:cs="楷体_GB2312"/>
      <w:sz w:val="32"/>
      <w:szCs w:val="32"/>
    </w:rPr>
  </w:style>
  <w:style w:type="character" w:customStyle="1" w:styleId="19">
    <w:name w:val="标题 3 Char"/>
    <w:link w:val="4"/>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2125</Words>
  <Characters>2173</Characters>
  <TotalTime>1</TotalTime>
  <ScaleCrop>false</ScaleCrop>
  <LinksUpToDate>false</LinksUpToDate>
  <CharactersWithSpaces>2175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2026-03-24T08:45:00Z</dcterms:created>
  <dc:creator>Apache POI</dc:creator>
  <cp:lastModifiedBy>Administrator</cp:lastModifiedBy>
  <dcterms:modified xsi:type="dcterms:W3CDTF">2026-03-24T08:48:00Z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eyJoZGlkIjoiY2UwYWRkNjM3ZDhhNTc1OGU1ZGE1MDY4YmJiYzIwYjQiLCJ1c2VySWQiOiIyOTY4OTAyOTAifQ==</vt:lpwstr>
  </property>
  <property fmtid="{D5CDD505-2E9C-101B-9397-08002B2CF9AE}" pid="3" name="KSOProductBuildVer">
    <vt:lpwstr>2052-12.1.0.25225</vt:lpwstr>
  </property>
  <property fmtid="{D5CDD505-2E9C-101B-9397-08002B2CF9AE}" pid="4" name="ICV">
    <vt:lpwstr>729C8ED1B70F496F87ABF5CE30891D5B_13</vt:lpwstr>
  </property>
</Properties>
</file>