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993"/>
          <w:tab w:val="left" w:pos="1134"/>
          <w:tab w:val="left" w:pos="1418"/>
        </w:tabs>
        <w:spacing w:line="600" w:lineRule="exact"/>
        <w:jc w:val="both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>
      <w:pPr>
        <w:tabs>
          <w:tab w:val="left" w:pos="993"/>
          <w:tab w:val="left" w:pos="1134"/>
          <w:tab w:val="left" w:pos="1418"/>
        </w:tabs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tabs>
          <w:tab w:val="left" w:pos="993"/>
          <w:tab w:val="left" w:pos="1134"/>
          <w:tab w:val="left" w:pos="1418"/>
        </w:tabs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tabs>
          <w:tab w:val="left" w:pos="993"/>
          <w:tab w:val="left" w:pos="1134"/>
          <w:tab w:val="left" w:pos="1418"/>
        </w:tabs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贺州市教育局202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年政府采购意向</w:t>
      </w:r>
    </w:p>
    <w:p>
      <w:pPr>
        <w:tabs>
          <w:tab w:val="left" w:pos="993"/>
          <w:tab w:val="left" w:pos="1134"/>
          <w:tab w:val="left" w:pos="1418"/>
        </w:tabs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tabs>
          <w:tab w:val="left" w:pos="993"/>
          <w:tab w:val="left" w:pos="1134"/>
          <w:tab w:val="left" w:pos="1418"/>
        </w:tabs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为便于供应商及时了解政府采购信息，根据《财政部关于开展政府采购意向公开工作的通知》（财库〔2020〕10号）等有关规定，现将贺州市教育局202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年政府采购意向公开如下：</w:t>
      </w:r>
    </w:p>
    <w:p>
      <w:pPr>
        <w:ind w:firstLine="640" w:firstLineChars="200"/>
        <w:rPr>
          <w:rFonts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附表1</w:t>
      </w:r>
    </w:p>
    <w:tbl>
      <w:tblPr>
        <w:tblStyle w:val="4"/>
        <w:tblW w:w="87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54"/>
        <w:gridCol w:w="67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5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采购单位</w:t>
            </w:r>
          </w:p>
        </w:tc>
        <w:tc>
          <w:tcPr>
            <w:tcW w:w="6734" w:type="dxa"/>
            <w:vAlign w:val="center"/>
          </w:tcPr>
          <w:p>
            <w:pPr>
              <w:spacing w:line="400" w:lineRule="exact"/>
              <w:ind w:firstLine="560" w:firstLineChars="20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贺州市教育局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205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采购项目名称</w:t>
            </w:r>
          </w:p>
        </w:tc>
        <w:tc>
          <w:tcPr>
            <w:tcW w:w="6734" w:type="dxa"/>
            <w:vAlign w:val="center"/>
          </w:tcPr>
          <w:p>
            <w:pPr>
              <w:spacing w:line="400" w:lineRule="exact"/>
              <w:ind w:firstLine="560" w:firstLineChars="20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市级统筹“国培”及市级教师培训项目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5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采购预算金额</w:t>
            </w:r>
          </w:p>
        </w:tc>
        <w:tc>
          <w:tcPr>
            <w:tcW w:w="6734" w:type="dxa"/>
            <w:vAlign w:val="center"/>
          </w:tcPr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“国培”项目经费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8"/>
                <w:szCs w:val="28"/>
                <w:lang w:val="en-US" w:eastAsia="zh-CN"/>
              </w:rPr>
              <w:t>330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万元，市级教师培训经费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8"/>
                <w:szCs w:val="28"/>
                <w:lang w:val="en-US" w:eastAsia="zh-CN"/>
              </w:rPr>
              <w:t>255.3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万元。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84" w:hRule="atLeast"/>
          <w:jc w:val="center"/>
        </w:trPr>
        <w:tc>
          <w:tcPr>
            <w:tcW w:w="205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预计采购时间</w:t>
            </w:r>
          </w:p>
        </w:tc>
        <w:tc>
          <w:tcPr>
            <w:tcW w:w="6734" w:type="dxa"/>
            <w:vAlign w:val="center"/>
          </w:tcPr>
          <w:p>
            <w:pPr>
              <w:spacing w:line="400" w:lineRule="exact"/>
              <w:ind w:firstLine="560" w:firstLineChars="20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205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采购内容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及需求概况</w:t>
            </w:r>
          </w:p>
        </w:tc>
        <w:tc>
          <w:tcPr>
            <w:tcW w:w="6734" w:type="dxa"/>
          </w:tcPr>
          <w:p>
            <w:pPr>
              <w:numPr>
                <w:ilvl w:val="0"/>
                <w:numId w:val="1"/>
              </w:numPr>
              <w:ind w:firstLine="560" w:firstLineChars="200"/>
              <w:rPr>
                <w:rFonts w:hint="eastAsia"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预算资金</w:t>
            </w:r>
          </w:p>
          <w:p>
            <w:pPr>
              <w:ind w:firstLine="560" w:firstLineChars="200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202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，贺州市统筹“国培计划”预算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330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万元、市级教师培训预算经费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255.3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万元。培训内容及需求如下以相关采购公告和采购文件为准。</w:t>
            </w:r>
          </w:p>
          <w:p>
            <w:pPr>
              <w:ind w:firstLine="560" w:firstLineChars="200"/>
              <w:rPr>
                <w:rFonts w:hint="eastAsia"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 xml:space="preserve"> 二、机构遴选条件</w:t>
            </w:r>
          </w:p>
          <w:p>
            <w:pPr>
              <w:ind w:firstLine="560" w:firstLineChars="200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（一）近3年来曾承担“国培计划”项目的区内外高等院校或教师培训专业机构。</w:t>
            </w:r>
          </w:p>
          <w:p>
            <w:pPr>
              <w:ind w:firstLine="560" w:firstLineChars="200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（二）“国培计划”混合式培训实施经验丰富，培训绩效评估优良。</w:t>
            </w:r>
          </w:p>
          <w:p>
            <w:pPr>
              <w:ind w:firstLine="560" w:firstLineChars="200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（三）具备一支数量足、结构合理，水平高，能够指导不同学科（领域）教师培训的专兼职培训专家团队。</w:t>
            </w:r>
          </w:p>
          <w:p>
            <w:pPr>
              <w:ind w:firstLine="560" w:firstLineChars="200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（四）培训课程资源丰富、形式多样、内容新颖、质量高，能够支持中小学全部学科和幼儿园教师有效选学，满足长期研修所需。</w:t>
            </w:r>
          </w:p>
          <w:p>
            <w:pPr>
              <w:ind w:firstLine="560" w:firstLineChars="200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（五）注重教师培训模式创新，已建立多种区域常态化混合式培训模式，供项目县备选。</w:t>
            </w:r>
          </w:p>
          <w:p>
            <w:pPr>
              <w:ind w:firstLine="560" w:firstLineChars="200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（六）能够提供科学合理的县域教师网络研修社区建设规划，支持项目区县建立本地教师网络研修社区，实现教师培训常态化。</w:t>
            </w:r>
          </w:p>
          <w:p>
            <w:pPr>
              <w:ind w:firstLine="560" w:firstLineChars="200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（七）深入项目县（区）开展需求调研，结合当地教师和项目培训要求制定实施方案。</w:t>
            </w:r>
          </w:p>
          <w:p>
            <w:pPr>
              <w:ind w:firstLine="560" w:firstLineChars="200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（八）建立与国内城市优质中小学、幼儿园良好合作机制，能确保跟岗实践、导师带教研修目标实现。</w:t>
            </w:r>
          </w:p>
          <w:p>
            <w:pPr>
              <w:ind w:firstLine="560" w:firstLineChars="200"/>
              <w:rPr>
                <w:rFonts w:hint="eastAsia"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三、项目实施要求</w:t>
            </w:r>
          </w:p>
          <w:p>
            <w:pPr>
              <w:keepNext w:val="0"/>
              <w:keepLines w:val="0"/>
              <w:widowControl/>
              <w:suppressLineNumbers w:val="0"/>
              <w:jc w:val="right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（一）申报单位须承诺按照中共中央、国务院、教育部、广西壮族自治区教育厅及贺州市相关文件要求组织实施：中共中央 国务院印发《深化新时代教育评价改革总体方案》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《教育部办公厅关于印发乡村教师培训指南的通知》（教师厅〔2016〕1号）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《教育部教师工作司关于印发&lt;教师培训者团队研修指南&gt;等11个文件的通知》（教师司函〔2020〕11号）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《 教育部 财政部关于实施中小学幼儿园教师国家级培训计划（2021—2025年）的通知》（教师函〔2021〕4 号）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《</w:t>
            </w:r>
            <w:r>
              <w:rPr>
                <w:rFonts w:ascii="仿宋_GB2312" w:hAnsi="仿宋_GB2312" w:eastAsia="仿宋_GB2312" w:cs="仿宋_GB2312"/>
                <w:sz w:val="28"/>
                <w:szCs w:val="28"/>
              </w:rPr>
              <w:t>自治区教育厅关于印发《广西教师培训项目管理办法（修订）》的通知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》（</w:t>
            </w:r>
            <w:r>
              <w:rPr>
                <w:rFonts w:ascii="仿宋_GB2312" w:hAnsi="仿宋_GB2312" w:eastAsia="仿宋_GB2312" w:cs="仿宋_GB2312"/>
                <w:sz w:val="28"/>
                <w:szCs w:val="28"/>
              </w:rPr>
              <w:t>桂教规范〔2023〕8号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）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、《自治区教育厅关于进一步加强教师培训项目管理有关工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作的通知》（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桂教师培〔</w:t>
            </w:r>
            <w:r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  <w:t>2024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〕</w:t>
            </w:r>
            <w:r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  <w:t>12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号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等。</w:t>
            </w:r>
          </w:p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 （二）因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不可控因素造成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不能如期组织线下集中面授培训的，应根据采购人要求适时调整培训方式，确保按时按质完成培训任务。</w:t>
            </w:r>
          </w:p>
          <w:p>
            <w:pPr>
              <w:ind w:firstLine="560" w:firstLineChars="200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（三）集中培训基本要求。承训院校（机构）负责联系市、县（区）教师培训管理机构和参训教师，组织协调培训工作，接待授课教师，反馈培训学习情况；参训教师住标准间，二人一间，设施齐全，能上网，环境良好，作息制度健全；培训教室光线充足，音响良好，多媒体教学设备齐全；提供必要的培训教材、学习辅导资料；就餐便利，品种多样，食品卫生；保证患病学员就医，能及时抢救急诊病人；培训教室定时供应饮用水，满足需求；有专职管理人员，管理制度健全，有完善的安全防范措施，尤其是突发事件的应对措施；根据学员要求开展多种形式的课余活动，劳逸结合；培训场地根据学员人数配备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家庭常用药品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以及具有相应的防疫措施。</w:t>
            </w:r>
          </w:p>
          <w:p>
            <w:pPr>
              <w:ind w:firstLine="560" w:firstLineChars="200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（四）主要技术指标。</w:t>
            </w:r>
          </w:p>
          <w:p>
            <w:pPr>
              <w:ind w:firstLine="560" w:firstLineChars="200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培训目标：引导骨干教师基于专业标准和培训课程指导标准，自主开展专业发展现状诊断与分析，立足培育学生学科核心素养明确专业发展目标，落实立德树人根本任务。着重培养骨干教师核心素养与关键能力，从发展目标、培训内容、实施流程、绩效评价等方面进行分阶段、递进式、一体化设计，开展分层分类培训，促进骨干教师持续提升。</w:t>
            </w:r>
          </w:p>
          <w:p>
            <w:pPr>
              <w:ind w:firstLine="560" w:firstLineChars="200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课程要求：预设丰富适用的培训类、教研类、教学类课程，围绕思想政治、师德涵养、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铸牢中华民族共同体意识、中华优秀传统文化教育、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心理健康教育、安全教育、家庭教育指导、科学素养，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TW"/>
              </w:rPr>
              <w:t>聚焦学科的核心素养和关键能力，围绕职业信念与教育情怀、教学创新与学生发展、信息素养与技术应用、教学反思与教学研究等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教育教学前沿问题、核心问题和热点问题，以提升管理能力和教学能力为重点，根据研修阶段进行针对性设置，有效整合典型案例。其中，培训类课程应占50%以上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（其中学科课程不少于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2/3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，实践类课时原则上不得少于1/3。</w:t>
            </w:r>
          </w:p>
          <w:p>
            <w:pPr>
              <w:ind w:firstLine="560" w:firstLineChars="200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师资要求：申报的学科（领域）优势明显，并有一支高水平的培训专家团队。项目首席专家须为本单位教师或长期聘用的专家，应有高级专业技术职称，培训团队中，高级职称教师比例不少于60%，中小学一线优秀教师、教研员比例不少于50%，适当安排区外高水平培训专家。</w:t>
            </w:r>
          </w:p>
          <w:p>
            <w:pPr>
              <w:ind w:firstLine="560" w:firstLineChars="200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材料收集:培训结束后10个工作日内向采购人提交完整的培训过程材料，包括：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项目申报书、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训前调研方案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及调研报告、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参训学员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签到表、学员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考核结果、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项目实施方案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培训课件、学情通报（每周一次）、培训工作简报（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每个项目不少于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2篇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）、培训总结（每阶段一次）、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媒体宣传报道、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培训绩效自评报告、学员培训满意度测评问卷及问卷分析报告、培训过程照片及视频等。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  <w:jc w:val="center"/>
        </w:trPr>
        <w:tc>
          <w:tcPr>
            <w:tcW w:w="205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其他需求的公开内容</w:t>
            </w:r>
          </w:p>
        </w:tc>
        <w:tc>
          <w:tcPr>
            <w:tcW w:w="6734" w:type="dxa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无</w:t>
            </w:r>
          </w:p>
        </w:tc>
      </w:tr>
    </w:tbl>
    <w:p>
      <w:pPr>
        <w:ind w:firstLine="640" w:firstLineChars="200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</w:p>
    <w:p>
      <w:pPr>
        <w:tabs>
          <w:tab w:val="left" w:pos="993"/>
          <w:tab w:val="left" w:pos="1134"/>
          <w:tab w:val="left" w:pos="1418"/>
        </w:tabs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本次公开的采购意向是本单位政府采购预算的初步安排，具体采购项目情况以相关采购公告和采购文件为准。</w:t>
      </w:r>
      <w:bookmarkStart w:id="0" w:name="_GoBack"/>
      <w:bookmarkEnd w:id="0"/>
    </w:p>
    <w:p>
      <w:pPr>
        <w:tabs>
          <w:tab w:val="left" w:pos="993"/>
          <w:tab w:val="left" w:pos="1134"/>
          <w:tab w:val="left" w:pos="1418"/>
        </w:tabs>
        <w:spacing w:line="600" w:lineRule="exact"/>
        <w:ind w:firstLine="960" w:firstLineChars="3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tabs>
          <w:tab w:val="left" w:pos="993"/>
          <w:tab w:val="left" w:pos="1134"/>
          <w:tab w:val="left" w:pos="1418"/>
        </w:tabs>
        <w:spacing w:line="600" w:lineRule="exact"/>
        <w:ind w:firstLine="960" w:firstLineChars="3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                                </w:t>
      </w:r>
    </w:p>
    <w:p>
      <w:pPr>
        <w:tabs>
          <w:tab w:val="left" w:pos="993"/>
          <w:tab w:val="left" w:pos="1134"/>
          <w:tab w:val="left" w:pos="1418"/>
        </w:tabs>
        <w:spacing w:line="600" w:lineRule="exact"/>
        <w:ind w:firstLine="960" w:firstLineChars="3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贺州市教育局</w:t>
      </w:r>
    </w:p>
    <w:p>
      <w:pPr>
        <w:ind w:firstLine="4800" w:firstLineChars="1500"/>
        <w:rPr>
          <w:rFonts w:hint="eastAsia"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日 </w:t>
      </w:r>
    </w:p>
    <w:p>
      <w:pPr>
        <w:tabs>
          <w:tab w:val="left" w:pos="993"/>
          <w:tab w:val="left" w:pos="1134"/>
          <w:tab w:val="left" w:pos="1418"/>
        </w:tabs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tabs>
          <w:tab w:val="left" w:pos="993"/>
          <w:tab w:val="left" w:pos="1134"/>
          <w:tab w:val="left" w:pos="1418"/>
        </w:tabs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tabs>
          <w:tab w:val="left" w:pos="993"/>
          <w:tab w:val="left" w:pos="1134"/>
          <w:tab w:val="left" w:pos="1418"/>
        </w:tabs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ind w:firstLine="3150" w:firstLineChars="1500"/>
        <w:rPr>
          <w:rFonts w:hint="eastAsia" w:ascii="仿宋_GB2312" w:hAnsi="仿宋_GB2312" w:eastAsia="仿宋_GB2312" w:cs="仿宋_GB2312"/>
          <w:szCs w:val="21"/>
        </w:rPr>
      </w:pPr>
    </w:p>
    <w:sectPr>
      <w:pgSz w:w="11906" w:h="16838"/>
      <w:pgMar w:top="1440" w:right="1800" w:bottom="85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EA6466"/>
    <w:multiLevelType w:val="singleLevel"/>
    <w:tmpl w:val="D7EA646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AFD9C2E"/>
    <w:rsid w:val="00093F78"/>
    <w:rsid w:val="0026389D"/>
    <w:rsid w:val="006A5B7F"/>
    <w:rsid w:val="01D16CAF"/>
    <w:rsid w:val="07096522"/>
    <w:rsid w:val="1CEE2FAA"/>
    <w:rsid w:val="240E0A9D"/>
    <w:rsid w:val="27E30CC4"/>
    <w:rsid w:val="33F23372"/>
    <w:rsid w:val="37ADF188"/>
    <w:rsid w:val="3EA365EB"/>
    <w:rsid w:val="54735785"/>
    <w:rsid w:val="61ED04DC"/>
    <w:rsid w:val="686448BC"/>
    <w:rsid w:val="6F2E688F"/>
    <w:rsid w:val="6FFFE0A4"/>
    <w:rsid w:val="7749F2AD"/>
    <w:rsid w:val="7FBDFB15"/>
    <w:rsid w:val="AFB3292E"/>
    <w:rsid w:val="BCF73404"/>
    <w:rsid w:val="BEFFEB5D"/>
    <w:rsid w:val="EF13F6C7"/>
    <w:rsid w:val="F3BEC67E"/>
    <w:rsid w:val="F86670F0"/>
    <w:rsid w:val="FAFD9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315</Words>
  <Characters>1797</Characters>
  <Lines>14</Lines>
  <Paragraphs>4</Paragraphs>
  <TotalTime>19</TotalTime>
  <ScaleCrop>false</ScaleCrop>
  <LinksUpToDate>false</LinksUpToDate>
  <CharactersWithSpaces>2108</CharactersWithSpaces>
  <Application>WPS Office_11.8.2.10489_F1E327BC-269C-435d-A152-05C5408002CA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2024-03-06T09:18:00Z</dcterms:created>
  <dc:creator>gxxc</dc:creator>
  <cp:lastModifiedBy>gxxc</cp:lastModifiedBy>
  <cp:lastPrinted>2023-02-10T01:54:00Z</cp:lastPrinted>
  <dcterms:modified xsi:type="dcterms:W3CDTF">2026-04-02T09:55:47Z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2052-11.8.2.10489</vt:lpwstr>
  </property>
</Properties>
</file>