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723012">
      <w:pPr>
        <w:pStyle w:val="5"/>
        <w:pBdr>
          <w:top w:val="none" w:color="auto" w:sz="0" w:space="0"/>
        </w:pBdr>
        <w:jc w:val="center"/>
        <w:rPr>
          <w:rFonts w:hint="eastAsia" w:ascii="Times New Roman" w:hAnsi="Times New Roman" w:eastAsia="方正小标宋_GBK" w:cs="Times New Roman"/>
          <w:color w:val="auto"/>
          <w:kern w:val="2"/>
          <w:sz w:val="40"/>
          <w:szCs w:val="40"/>
          <w:highlight w:val="none"/>
          <w:lang w:val="en-US" w:eastAsia="zh-CN" w:bidi="ar-SA"/>
        </w:rPr>
      </w:pPr>
    </w:p>
    <w:p w14:paraId="7529CFB6">
      <w:pPr>
        <w:pStyle w:val="5"/>
        <w:pBdr>
          <w:top w:val="none" w:color="auto" w:sz="0" w:space="0"/>
        </w:pBdr>
        <w:jc w:val="center"/>
        <w:rPr>
          <w:rFonts w:hint="eastAsia" w:ascii="Times New Roman" w:hAnsi="Times New Roman" w:eastAsia="方正小标宋_GBK" w:cs="Times New Roman"/>
          <w:color w:val="auto"/>
          <w:kern w:val="2"/>
          <w:sz w:val="40"/>
          <w:szCs w:val="40"/>
          <w:highlight w:val="none"/>
          <w:lang w:val="en-US" w:eastAsia="zh-CN" w:bidi="ar-SA"/>
        </w:rPr>
      </w:pPr>
    </w:p>
    <w:p w14:paraId="00D88C22">
      <w:pPr>
        <w:pStyle w:val="5"/>
        <w:pBdr>
          <w:top w:val="none" w:color="auto" w:sz="0" w:space="0"/>
        </w:pBdr>
        <w:jc w:val="center"/>
        <w:rPr>
          <w:rFonts w:hint="eastAsia" w:ascii="Times New Roman" w:hAnsi="Times New Roman" w:eastAsia="方正小标宋_GBK" w:cs="Times New Roman"/>
          <w:color w:val="auto"/>
          <w:kern w:val="2"/>
          <w:sz w:val="40"/>
          <w:szCs w:val="40"/>
          <w:highlight w:val="none"/>
          <w:lang w:val="en-US" w:eastAsia="zh-CN" w:bidi="ar-SA"/>
        </w:rPr>
      </w:pPr>
    </w:p>
    <w:p w14:paraId="24367C66">
      <w:pPr>
        <w:pStyle w:val="5"/>
        <w:pBdr>
          <w:top w:val="none" w:color="auto" w:sz="0" w:space="0"/>
        </w:pBdr>
        <w:jc w:val="center"/>
        <w:rPr>
          <w:rFonts w:hint="eastAsia" w:ascii="Times New Roman" w:hAnsi="Times New Roman" w:eastAsia="方正小标宋_GBK" w:cs="Times New Roman"/>
          <w:color w:val="auto"/>
          <w:kern w:val="2"/>
          <w:sz w:val="40"/>
          <w:szCs w:val="40"/>
          <w:highlight w:val="none"/>
          <w:lang w:val="en-US" w:eastAsia="zh-CN" w:bidi="ar-SA"/>
        </w:rPr>
      </w:pPr>
    </w:p>
    <w:p w14:paraId="38D0D3DF">
      <w:pPr>
        <w:pStyle w:val="5"/>
        <w:pBdr>
          <w:top w:val="none" w:color="auto" w:sz="0" w:space="0"/>
        </w:pBdr>
        <w:jc w:val="center"/>
        <w:rPr>
          <w:rFonts w:hint="eastAsia" w:ascii="方正小标宋_GBK" w:hAnsi="方正小标宋_GBK" w:eastAsia="方正小标宋_GBK" w:cs="方正小标宋_GBK"/>
          <w:color w:val="auto"/>
          <w:spacing w:val="0"/>
          <w:kern w:val="2"/>
          <w:position w:val="0"/>
          <w:sz w:val="44"/>
          <w:szCs w:val="22"/>
          <w:lang w:val="en-US" w:eastAsia="zh-CN" w:bidi="ar-SA"/>
        </w:rPr>
      </w:pPr>
      <w:r>
        <w:rPr>
          <w:rFonts w:hint="eastAsia" w:ascii="方正小标宋_GBK" w:hAnsi="方正小标宋_GBK" w:eastAsia="方正小标宋_GBK" w:cs="方正小标宋_GBK"/>
          <w:color w:val="auto"/>
          <w:spacing w:val="0"/>
          <w:kern w:val="2"/>
          <w:position w:val="0"/>
          <w:sz w:val="44"/>
          <w:szCs w:val="22"/>
          <w:lang w:val="en-US" w:eastAsia="zh-CN" w:bidi="ar-SA"/>
        </w:rPr>
        <w:t>广西建筑安装工程劳动保险费保障中心</w:t>
      </w:r>
    </w:p>
    <w:p w14:paraId="5A1B4B9D">
      <w:pPr>
        <w:pStyle w:val="5"/>
        <w:pBdr>
          <w:top w:val="none" w:color="auto" w:sz="0" w:space="0"/>
        </w:pBdr>
        <w:jc w:val="center"/>
        <w:rPr>
          <w:rFonts w:hint="eastAsia" w:ascii="方正小标宋_GBK" w:hAnsi="方正小标宋_GBK" w:eastAsia="方正小标宋_GBK" w:cs="方正小标宋_GBK"/>
          <w:color w:val="auto"/>
          <w:spacing w:val="0"/>
          <w:kern w:val="2"/>
          <w:position w:val="0"/>
          <w:sz w:val="44"/>
          <w:szCs w:val="22"/>
          <w:lang w:val="en-US" w:eastAsia="zh-CN" w:bidi="ar-SA"/>
        </w:rPr>
      </w:pPr>
      <w:r>
        <w:rPr>
          <w:rFonts w:hint="eastAsia" w:ascii="方正小标宋_GBK" w:hAnsi="方正小标宋_GBK" w:eastAsia="方正小标宋_GBK" w:cs="方正小标宋_GBK"/>
          <w:color w:val="auto"/>
          <w:spacing w:val="0"/>
          <w:kern w:val="2"/>
          <w:position w:val="0"/>
          <w:sz w:val="44"/>
          <w:szCs w:val="22"/>
          <w:lang w:val="en-US" w:eastAsia="zh-CN" w:bidi="ar-SA"/>
        </w:rPr>
        <w:t>2026年3月至6月政府采购意向</w:t>
      </w:r>
    </w:p>
    <w:p w14:paraId="30A86911">
      <w:pPr>
        <w:pStyle w:val="5"/>
        <w:pBdr>
          <w:top w:val="none" w:color="auto" w:sz="0" w:space="0"/>
        </w:pBdr>
        <w:rPr>
          <w:b/>
          <w:bCs/>
          <w:sz w:val="28"/>
          <w:szCs w:val="28"/>
        </w:rPr>
      </w:pPr>
    </w:p>
    <w:p w14:paraId="1B6B3868">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napToGrid/>
        <w:spacing w:before="0" w:beforeAutospacing="0" w:after="0" w:afterAutospacing="0" w:line="580" w:lineRule="exact"/>
        <w:ind w:left="0" w:right="0" w:firstLine="640" w:firstLineChars="200"/>
        <w:rPr>
          <w:rFonts w:hint="default" w:ascii="Times New Roman" w:hAnsi="Times New Roman" w:eastAsia="方正仿宋_GBK" w:cs="Times New Roman"/>
          <w:color w:val="auto"/>
          <w:spacing w:val="0"/>
          <w:position w:val="0"/>
          <w:sz w:val="32"/>
          <w:lang w:val="en-US" w:eastAsia="zh-CN"/>
        </w:rPr>
      </w:pPr>
      <w:r>
        <w:rPr>
          <w:rFonts w:hint="default" w:ascii="Times New Roman" w:hAnsi="Times New Roman" w:eastAsia="方正仿宋_GBK" w:cs="Times New Roman"/>
          <w:color w:val="auto"/>
          <w:spacing w:val="0"/>
          <w:position w:val="0"/>
          <w:sz w:val="32"/>
          <w:lang w:val="en-US" w:eastAsia="zh-CN"/>
        </w:rPr>
        <w:t>为便于供应商及时了解政府采购信息，根据《财政部关于开展政府采购意向公开工作的通知》（财库〔2020〕10号）和《广西壮族自治区财政厅关于进一步规范政府采购意向公开工作的通知》（桂财采〔2022〕84号）等有关规定，现将广西建筑安装工程劳动保险费保障中心2026年3月至6月采购意向公开如下：</w:t>
      </w:r>
    </w:p>
    <w:tbl>
      <w:tblPr>
        <w:tblStyle w:val="7"/>
        <w:tblW w:w="90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0"/>
        <w:gridCol w:w="901"/>
        <w:gridCol w:w="3952"/>
        <w:gridCol w:w="876"/>
        <w:gridCol w:w="849"/>
        <w:gridCol w:w="1129"/>
        <w:gridCol w:w="706"/>
      </w:tblGrid>
      <w:tr w14:paraId="17E0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651" w:type="dxa"/>
            <w:vAlign w:val="center"/>
          </w:tcPr>
          <w:p w14:paraId="0AFE04D1">
            <w:pPr>
              <w:tabs>
                <w:tab w:val="left" w:pos="3624"/>
              </w:tabs>
              <w:spacing w:line="36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序号</w:t>
            </w:r>
          </w:p>
        </w:tc>
        <w:tc>
          <w:tcPr>
            <w:tcW w:w="904" w:type="dxa"/>
            <w:vAlign w:val="center"/>
          </w:tcPr>
          <w:p w14:paraId="079286F5">
            <w:pPr>
              <w:tabs>
                <w:tab w:val="left" w:pos="3624"/>
              </w:tabs>
              <w:spacing w:line="36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采购项目名称</w:t>
            </w:r>
          </w:p>
        </w:tc>
        <w:tc>
          <w:tcPr>
            <w:tcW w:w="3969" w:type="dxa"/>
            <w:vAlign w:val="center"/>
          </w:tcPr>
          <w:p w14:paraId="0F45D442">
            <w:pPr>
              <w:tabs>
                <w:tab w:val="left" w:pos="3624"/>
              </w:tabs>
              <w:spacing w:line="36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采购需求概况</w:t>
            </w:r>
          </w:p>
        </w:tc>
        <w:tc>
          <w:tcPr>
            <w:tcW w:w="849" w:type="dxa"/>
            <w:vAlign w:val="center"/>
          </w:tcPr>
          <w:p w14:paraId="2A2F4CBC">
            <w:pPr>
              <w:tabs>
                <w:tab w:val="left" w:pos="3624"/>
              </w:tabs>
              <w:spacing w:line="36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预算金额（万元）</w:t>
            </w:r>
          </w:p>
        </w:tc>
        <w:tc>
          <w:tcPr>
            <w:tcW w:w="850" w:type="dxa"/>
            <w:vAlign w:val="center"/>
          </w:tcPr>
          <w:p w14:paraId="24676D31">
            <w:pPr>
              <w:tabs>
                <w:tab w:val="left" w:pos="3624"/>
              </w:tabs>
              <w:spacing w:line="36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预计采购时间</w:t>
            </w:r>
          </w:p>
        </w:tc>
        <w:tc>
          <w:tcPr>
            <w:tcW w:w="1133" w:type="dxa"/>
          </w:tcPr>
          <w:p w14:paraId="1E14B6CF">
            <w:pPr>
              <w:tabs>
                <w:tab w:val="left" w:pos="3624"/>
              </w:tabs>
              <w:spacing w:line="36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落实政府采购政策功能情况</w:t>
            </w:r>
          </w:p>
        </w:tc>
        <w:tc>
          <w:tcPr>
            <w:tcW w:w="707" w:type="dxa"/>
            <w:vAlign w:val="center"/>
          </w:tcPr>
          <w:p w14:paraId="7CEF8FDB">
            <w:pPr>
              <w:tabs>
                <w:tab w:val="left" w:pos="3624"/>
              </w:tabs>
              <w:spacing w:line="36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备注</w:t>
            </w:r>
          </w:p>
        </w:tc>
      </w:tr>
      <w:tr w14:paraId="47B86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trPr>
        <w:tc>
          <w:tcPr>
            <w:tcW w:w="651" w:type="dxa"/>
            <w:vAlign w:val="center"/>
          </w:tcPr>
          <w:p w14:paraId="08D7A279">
            <w:pPr>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w:t>
            </w:r>
          </w:p>
        </w:tc>
        <w:tc>
          <w:tcPr>
            <w:tcW w:w="904" w:type="dxa"/>
            <w:vAlign w:val="center"/>
          </w:tcPr>
          <w:p w14:paraId="57ED11D2">
            <w:pPr>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新闻宣传服务</w:t>
            </w:r>
          </w:p>
        </w:tc>
        <w:tc>
          <w:tcPr>
            <w:tcW w:w="3969" w:type="dxa"/>
          </w:tcPr>
          <w:p w14:paraId="65A09EA8">
            <w:pPr>
              <w:spacing w:line="400" w:lineRule="exact"/>
              <w:ind w:firstLine="480" w:firstLineChars="200"/>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根据住房城乡建设宣传工作的安排和需要，做好广西住房和城乡建设厅相关宣传工作。预算安排217.4万元。其中，会议活动宣传方面，在官方网站发稿不少于300篇。安排采访拍摄活动370次；联系人民日报、新华社、中新社、中国建设报、广西日报、广西广播电视台等媒体，并积极推荐住建行业稿件，向各大媒体推荐报送通讯稿和消息稿不少于600篇次。协助做好新媒体账号内容策划、制作等工作，工作日更新信息。负责与行业通讯员沟通，编辑通讯员来稿160篇；视频摄制服务方面，制作视频新闻200条，在广西住房城乡建设厅网播出；联系广西电视台相关栏目播发，发布视频信息70条。负责广西建设大厦室内LED显示屏内容的收集、上传等内容保障；根据厅工作需要，制作行业专题片、汇报片5部，时长不少于45分钟；根据有关文件和厅机关要求录制在线访谈、协助制作宣传相册、录制视频课件、拍摄制作在职人员证件照、开展走基层采访、摄影采风等。</w:t>
            </w:r>
          </w:p>
          <w:p w14:paraId="31C4951B">
            <w:pPr>
              <w:spacing w:line="400" w:lineRule="exact"/>
              <w:ind w:firstLine="480" w:firstLineChars="200"/>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服务期为合同签订之日起1年。</w:t>
            </w:r>
          </w:p>
        </w:tc>
        <w:tc>
          <w:tcPr>
            <w:tcW w:w="849" w:type="dxa"/>
            <w:vAlign w:val="center"/>
          </w:tcPr>
          <w:p w14:paraId="65CEB6B1">
            <w:pPr>
              <w:jc w:val="center"/>
              <w:rPr>
                <w:rFonts w:hint="eastAsia" w:ascii="Times New Roman" w:hAnsi="Times New Roman" w:eastAsia="方正仿宋_GBK" w:cs="Times New Roman"/>
                <w:kern w:val="0"/>
                <w:sz w:val="24"/>
                <w:szCs w:val="24"/>
                <w:lang w:val="en-US" w:eastAsia="zh-CN"/>
              </w:rPr>
            </w:pPr>
            <w:r>
              <w:rPr>
                <w:rFonts w:hint="default" w:ascii="Times New Roman" w:hAnsi="Times New Roman" w:eastAsia="方正仿宋_GBK" w:cs="Times New Roman"/>
                <w:kern w:val="0"/>
                <w:sz w:val="24"/>
                <w:szCs w:val="24"/>
              </w:rPr>
              <w:t>217.4</w:t>
            </w:r>
            <w:r>
              <w:rPr>
                <w:rFonts w:hint="eastAsia" w:ascii="Times New Roman" w:hAnsi="Times New Roman" w:eastAsia="方正仿宋_GBK" w:cs="Times New Roman"/>
                <w:kern w:val="0"/>
                <w:sz w:val="24"/>
                <w:szCs w:val="24"/>
                <w:lang w:val="en-US" w:eastAsia="zh-CN"/>
              </w:rPr>
              <w:t>0</w:t>
            </w:r>
            <w:bookmarkStart w:id="0" w:name="_GoBack"/>
            <w:bookmarkEnd w:id="0"/>
          </w:p>
        </w:tc>
        <w:tc>
          <w:tcPr>
            <w:tcW w:w="850" w:type="dxa"/>
            <w:vAlign w:val="center"/>
          </w:tcPr>
          <w:p w14:paraId="728F4397">
            <w:pPr>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2026年5月</w:t>
            </w:r>
          </w:p>
        </w:tc>
        <w:tc>
          <w:tcPr>
            <w:tcW w:w="1133" w:type="dxa"/>
            <w:vAlign w:val="center"/>
          </w:tcPr>
          <w:p w14:paraId="4EEF486C">
            <w:pPr>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按政府采购相关政策执行</w:t>
            </w:r>
          </w:p>
        </w:tc>
        <w:tc>
          <w:tcPr>
            <w:tcW w:w="707" w:type="dxa"/>
          </w:tcPr>
          <w:p w14:paraId="10D1CE78">
            <w:pPr>
              <w:jc w:val="center"/>
              <w:rPr>
                <w:rFonts w:hint="default" w:ascii="Times New Roman" w:hAnsi="Times New Roman" w:eastAsia="方正仿宋_GBK" w:cs="Times New Roman"/>
                <w:kern w:val="0"/>
                <w:sz w:val="40"/>
                <w:szCs w:val="40"/>
              </w:rPr>
            </w:pPr>
          </w:p>
        </w:tc>
      </w:tr>
    </w:tbl>
    <w:p w14:paraId="14D3BA67">
      <w:pPr>
        <w:rPr>
          <w:rFonts w:hint="default" w:ascii="Times New Roman" w:hAnsi="Times New Roman" w:eastAsia="方正仿宋_GBK" w:cs="Times New Roman"/>
          <w:sz w:val="24"/>
          <w:szCs w:val="24"/>
        </w:rPr>
      </w:pPr>
    </w:p>
    <w:p w14:paraId="3E61CC50">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napToGrid/>
        <w:spacing w:before="0" w:beforeAutospacing="0" w:after="0" w:afterAutospacing="0" w:line="580" w:lineRule="exact"/>
        <w:ind w:left="0" w:right="0" w:firstLine="640" w:firstLineChars="200"/>
        <w:rPr>
          <w:rFonts w:hint="eastAsia" w:ascii="方正仿宋_GBK" w:hAnsi="方正仿宋_GBK" w:eastAsia="方正仿宋_GBK" w:cs="方正仿宋_GBK"/>
          <w:color w:val="auto"/>
          <w:spacing w:val="0"/>
          <w:position w:val="0"/>
          <w:sz w:val="32"/>
          <w:lang w:val="en-US" w:eastAsia="zh-CN"/>
        </w:rPr>
      </w:pPr>
      <w:r>
        <w:rPr>
          <w:rFonts w:hint="eastAsia" w:ascii="方正仿宋_GBK" w:hAnsi="方正仿宋_GBK" w:eastAsia="方正仿宋_GBK" w:cs="方正仿宋_GBK"/>
          <w:color w:val="auto"/>
          <w:spacing w:val="0"/>
          <w:position w:val="0"/>
          <w:sz w:val="32"/>
          <w:lang w:val="en-US" w:eastAsia="zh-CN"/>
        </w:rPr>
        <w:t>本次公开的政府采购意向是本单位政府采购工作的初步安排，具体采购项目情况以相关采购公告和采购文件为准。</w:t>
      </w:r>
    </w:p>
    <w:p w14:paraId="7CBD348B">
      <w:pPr>
        <w:keepNext w:val="0"/>
        <w:keepLines w:val="0"/>
        <w:pageBreakBefore w:val="0"/>
        <w:kinsoku/>
        <w:overflowPunct/>
        <w:topLinePunct w:val="0"/>
        <w:autoSpaceDE/>
        <w:autoSpaceDN/>
        <w:bidi w:val="0"/>
        <w:adjustRightInd/>
        <w:spacing w:line="590" w:lineRule="exact"/>
        <w:ind w:left="0" w:leftChars="0" w:firstLine="640" w:firstLineChars="200"/>
        <w:textAlignment w:val="baseline"/>
        <w:rPr>
          <w:rFonts w:hint="eastAsia" w:ascii="方正仿宋_GBK" w:hAnsi="方正仿宋_GBK" w:eastAsia="方正仿宋_GBK" w:cs="方正仿宋_GBK"/>
          <w:color w:val="auto"/>
          <w:kern w:val="2"/>
          <w:sz w:val="32"/>
          <w:szCs w:val="32"/>
          <w:highlight w:val="none"/>
          <w:lang w:val="en-US" w:eastAsia="zh-CN" w:bidi="ar-SA"/>
        </w:rPr>
      </w:pPr>
    </w:p>
    <w:p w14:paraId="4500AF46">
      <w:pPr>
        <w:pStyle w:val="2"/>
        <w:rPr>
          <w:rFonts w:hint="eastAsia" w:ascii="方正仿宋_GBK" w:hAnsi="方正仿宋_GBK" w:eastAsia="方正仿宋_GBK" w:cs="方正仿宋_GBK"/>
          <w:sz w:val="32"/>
          <w:szCs w:val="32"/>
          <w:lang w:val="en-US" w:eastAsia="zh-CN"/>
        </w:rPr>
      </w:pPr>
    </w:p>
    <w:p w14:paraId="5072487D">
      <w:pPr>
        <w:keepNext w:val="0"/>
        <w:keepLines w:val="0"/>
        <w:pageBreakBefore w:val="0"/>
        <w:kinsoku/>
        <w:overflowPunct/>
        <w:topLinePunct w:val="0"/>
        <w:autoSpaceDE/>
        <w:autoSpaceDN/>
        <w:bidi w:val="0"/>
        <w:adjustRightInd/>
        <w:spacing w:line="590" w:lineRule="exact"/>
        <w:textAlignment w:val="baseline"/>
        <w:rPr>
          <w:rFonts w:hint="eastAsia" w:ascii="方正仿宋_GBK" w:hAnsi="方正仿宋_GBK" w:eastAsia="方正仿宋_GBK" w:cs="方正仿宋_GBK"/>
          <w:color w:val="auto"/>
          <w:kern w:val="2"/>
          <w:sz w:val="32"/>
          <w:szCs w:val="32"/>
          <w:highlight w:val="none"/>
          <w:lang w:val="en-US" w:eastAsia="zh-CN" w:bidi="ar-SA"/>
        </w:rPr>
      </w:pPr>
    </w:p>
    <w:p w14:paraId="616014F8">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napToGrid/>
        <w:spacing w:before="0" w:beforeAutospacing="0" w:after="0" w:afterAutospacing="0" w:line="580" w:lineRule="exact"/>
        <w:ind w:left="0" w:right="0" w:firstLine="2560" w:firstLineChars="800"/>
        <w:rPr>
          <w:rFonts w:hint="default" w:ascii="Times New Roman" w:hAnsi="Times New Roman" w:eastAsia="方正仿宋_GBK" w:cs="Times New Roman"/>
          <w:color w:val="auto"/>
          <w:spacing w:val="0"/>
          <w:position w:val="0"/>
          <w:sz w:val="32"/>
          <w:lang w:val="en-US" w:eastAsia="zh-CN"/>
        </w:rPr>
      </w:pPr>
      <w:r>
        <w:rPr>
          <w:rFonts w:hint="default" w:ascii="Times New Roman" w:hAnsi="Times New Roman" w:eastAsia="方正仿宋_GBK" w:cs="Times New Roman"/>
          <w:color w:val="auto"/>
          <w:spacing w:val="0"/>
          <w:position w:val="0"/>
          <w:sz w:val="32"/>
          <w:lang w:val="en-US" w:eastAsia="zh-CN"/>
        </w:rPr>
        <w:t>广西建筑安装工程劳动保险费保障中心</w:t>
      </w:r>
    </w:p>
    <w:p w14:paraId="35DE77A3">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napToGrid/>
        <w:spacing w:before="0" w:beforeAutospacing="0" w:after="0" w:afterAutospacing="0" w:line="580" w:lineRule="exact"/>
        <w:ind w:left="0" w:right="0" w:firstLine="3840" w:firstLineChars="1200"/>
        <w:rPr>
          <w:rFonts w:hint="default" w:ascii="Times New Roman" w:hAnsi="Times New Roman" w:eastAsia="方正仿宋_GBK" w:cs="Times New Roman"/>
          <w:color w:val="auto"/>
          <w:spacing w:val="0"/>
          <w:position w:val="0"/>
          <w:sz w:val="32"/>
          <w:lang w:val="en-US" w:eastAsia="zh-CN"/>
        </w:rPr>
      </w:pPr>
      <w:r>
        <w:rPr>
          <w:rFonts w:hint="default" w:ascii="Times New Roman" w:hAnsi="Times New Roman" w:eastAsia="方正仿宋_GBK" w:cs="Times New Roman"/>
          <w:color w:val="auto"/>
          <w:spacing w:val="0"/>
          <w:position w:val="0"/>
          <w:sz w:val="32"/>
          <w:lang w:val="en-US" w:eastAsia="zh-CN"/>
        </w:rPr>
        <w:t>2026年3月</w:t>
      </w:r>
      <w:r>
        <w:rPr>
          <w:rFonts w:hint="eastAsia" w:ascii="Times New Roman" w:hAnsi="Times New Roman" w:eastAsia="方正仿宋_GBK" w:cs="Times New Roman"/>
          <w:color w:val="auto"/>
          <w:spacing w:val="0"/>
          <w:position w:val="0"/>
          <w:sz w:val="32"/>
          <w:lang w:val="en-US" w:eastAsia="zh-CN"/>
        </w:rPr>
        <w:t>16</w:t>
      </w:r>
      <w:r>
        <w:rPr>
          <w:rFonts w:hint="default" w:ascii="Times New Roman" w:hAnsi="Times New Roman" w:eastAsia="方正仿宋_GBK" w:cs="Times New Roman"/>
          <w:color w:val="auto"/>
          <w:spacing w:val="0"/>
          <w:position w:val="0"/>
          <w:sz w:val="32"/>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dhODQ3ZTU4NzAzNWQ1ZmQ2NTUxODdiYzZiYWU2OWYifQ=="/>
  </w:docVars>
  <w:rsids>
    <w:rsidRoot w:val="003104B3"/>
    <w:rsid w:val="000155DF"/>
    <w:rsid w:val="000E73D2"/>
    <w:rsid w:val="0018064B"/>
    <w:rsid w:val="00222EDB"/>
    <w:rsid w:val="0029419D"/>
    <w:rsid w:val="002C5120"/>
    <w:rsid w:val="003104B3"/>
    <w:rsid w:val="00513215"/>
    <w:rsid w:val="00571438"/>
    <w:rsid w:val="007B7CE7"/>
    <w:rsid w:val="007C6843"/>
    <w:rsid w:val="00A540C5"/>
    <w:rsid w:val="00B829FD"/>
    <w:rsid w:val="00B843E3"/>
    <w:rsid w:val="00CC61AB"/>
    <w:rsid w:val="00CC65BE"/>
    <w:rsid w:val="00CE61D2"/>
    <w:rsid w:val="00D03D00"/>
    <w:rsid w:val="00D1129F"/>
    <w:rsid w:val="00E8025D"/>
    <w:rsid w:val="00ED632E"/>
    <w:rsid w:val="00F71F3A"/>
    <w:rsid w:val="271649AE"/>
    <w:rsid w:val="368C170D"/>
    <w:rsid w:val="50B87126"/>
    <w:rsid w:val="6468651B"/>
    <w:rsid w:val="68E56825"/>
    <w:rsid w:val="75545492"/>
    <w:rsid w:val="7DF22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widowControl/>
      <w:spacing w:line="576" w:lineRule="exact"/>
    </w:pPr>
    <w:rPr>
      <w:rFonts w:eastAsia="仿宋_GB2312"/>
      <w:kern w:val="0"/>
      <w:sz w:val="31"/>
    </w:rPr>
  </w:style>
  <w:style w:type="paragraph" w:styleId="3">
    <w:name w:val="Date"/>
    <w:basedOn w:val="1"/>
    <w:next w:val="1"/>
    <w:link w:val="12"/>
    <w:semiHidden/>
    <w:unhideWhenUsed/>
    <w:qFormat/>
    <w:uiPriority w:val="99"/>
    <w:pPr>
      <w:ind w:left="100" w:leftChars="2500"/>
    </w:pPr>
  </w:style>
  <w:style w:type="paragraph" w:styleId="4">
    <w:name w:val="Balloon Text"/>
    <w:basedOn w:val="1"/>
    <w:link w:val="11"/>
    <w:semiHidden/>
    <w:unhideWhenUsed/>
    <w:qFormat/>
    <w:uiPriority w:val="99"/>
    <w:rPr>
      <w:sz w:val="18"/>
      <w:szCs w:val="18"/>
    </w:rPr>
  </w:style>
  <w:style w:type="paragraph" w:styleId="5">
    <w:name w:val="header"/>
    <w:basedOn w:val="1"/>
    <w:link w:val="1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24"/>
    </w:rPr>
  </w:style>
  <w:style w:type="table" w:styleId="7">
    <w:name w:val="Table Grid"/>
    <w:basedOn w:val="6"/>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TML Sample"/>
    <w:basedOn w:val="8"/>
    <w:semiHidden/>
    <w:unhideWhenUsed/>
    <w:qFormat/>
    <w:uiPriority w:val="99"/>
    <w:rPr>
      <w:rFonts w:ascii="宋体" w:hAnsi="宋体" w:eastAsia="宋体" w:cs="宋体"/>
    </w:rPr>
  </w:style>
  <w:style w:type="character" w:customStyle="1" w:styleId="10">
    <w:name w:val="页眉 Char"/>
    <w:basedOn w:val="8"/>
    <w:link w:val="5"/>
    <w:qFormat/>
    <w:uiPriority w:val="0"/>
    <w:rPr>
      <w:sz w:val="18"/>
      <w:szCs w:val="24"/>
    </w:rPr>
  </w:style>
  <w:style w:type="character" w:customStyle="1" w:styleId="11">
    <w:name w:val="批注框文本 Char"/>
    <w:basedOn w:val="8"/>
    <w:link w:val="4"/>
    <w:semiHidden/>
    <w:qFormat/>
    <w:uiPriority w:val="99"/>
    <w:rPr>
      <w:sz w:val="18"/>
      <w:szCs w:val="18"/>
    </w:rPr>
  </w:style>
  <w:style w:type="character" w:customStyle="1" w:styleId="12">
    <w:name w:val="日期 Char"/>
    <w:basedOn w:val="8"/>
    <w:link w:val="3"/>
    <w:semiHidden/>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ITSK.com</Company>
  <Pages>2</Pages>
  <Words>694</Words>
  <Characters>736</Characters>
  <Lines>5</Lines>
  <Paragraphs>1</Paragraphs>
  <TotalTime>148</TotalTime>
  <ScaleCrop>false</ScaleCrop>
  <LinksUpToDate>false</LinksUpToDate>
  <CharactersWithSpaces>736</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2025-02-28T00:21:00Z</dcterms:created>
  <dc:creator>王凌云</dc:creator>
  <cp:lastModifiedBy>劳保中心收发文</cp:lastModifiedBy>
  <cp:lastPrinted>2025-02-28T00:34:00Z</cp:lastPrinted>
  <dcterms:modified xsi:type="dcterms:W3CDTF">2026-03-16T09:14:23Z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72E173411ED441D8994087617E229606_13</vt:lpwstr>
  </property>
</Properties>
</file>