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A44A2C">
      <w:pPr>
        <w:jc w:val="center"/>
        <w:rPr>
          <w:rFonts w:hint="eastAsia"/>
        </w:rPr>
      </w:pPr>
      <w:r>
        <w:rPr>
          <w:rFonts w:hint="eastAsia"/>
          <w:sz w:val="32"/>
          <w:szCs w:val="36"/>
        </w:rPr>
        <w:t>玉林高新区（玉东新区）城市排水防涝管道项目二期初步设计招标公告</w:t>
      </w:r>
    </w:p>
    <w:p w14:paraId="0C913C3D">
      <w:pPr>
        <w:spacing w:line="360" w:lineRule="auto"/>
        <w:rPr>
          <w:rFonts w:hint="eastAsia"/>
          <w:sz w:val="22"/>
          <w:szCs w:val="24"/>
        </w:rPr>
      </w:pPr>
      <w:r>
        <w:rPr>
          <w:rFonts w:hint="eastAsia"/>
          <w:sz w:val="22"/>
          <w:szCs w:val="24"/>
        </w:rPr>
        <w:t>1.招标条件</w:t>
      </w:r>
    </w:p>
    <w:p w14:paraId="449B7A9E">
      <w:pPr>
        <w:spacing w:line="360" w:lineRule="auto"/>
        <w:rPr>
          <w:rFonts w:hint="eastAsia"/>
          <w:sz w:val="22"/>
          <w:szCs w:val="24"/>
        </w:rPr>
      </w:pPr>
      <w:r>
        <w:rPr>
          <w:rFonts w:hint="eastAsia"/>
          <w:sz w:val="22"/>
          <w:szCs w:val="24"/>
        </w:rPr>
        <w:t>   </w:t>
      </w:r>
      <w:r>
        <w:rPr>
          <w:rFonts w:hint="eastAsia"/>
          <w:sz w:val="22"/>
          <w:szCs w:val="24"/>
          <w:lang w:val="en-US" w:eastAsia="zh-CN"/>
        </w:rPr>
        <w:t xml:space="preserve">  </w:t>
      </w:r>
      <w:r>
        <w:rPr>
          <w:rFonts w:hint="eastAsia"/>
          <w:sz w:val="22"/>
          <w:szCs w:val="24"/>
        </w:rPr>
        <w:t> 本招标项目玉林高新区（玉东新区）城市排水防涝管道项目二期初步设计已由玉林市玉东新区行政审批局以玉东审发规字【2025】3号、玉东审发规字【2025】4号批准建设，招标人为广西玉林高新产业技术开发区管理委员会规划建设和应急管理部，建设资金来自财政资金，项目出资比例为：</w:t>
      </w:r>
    </w:p>
    <w:tbl>
      <w:tblPr>
        <w:tblStyle w:val="2"/>
        <w:tblW w:w="974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15" w:type="dxa"/>
          <w:left w:w="15" w:type="dxa"/>
          <w:bottom w:w="15" w:type="dxa"/>
          <w:right w:w="15" w:type="dxa"/>
        </w:tblCellMar>
      </w:tblPr>
      <w:tblGrid>
        <w:gridCol w:w="1942"/>
        <w:gridCol w:w="2050"/>
        <w:gridCol w:w="1717"/>
        <w:gridCol w:w="1533"/>
        <w:gridCol w:w="1400"/>
        <w:gridCol w:w="1100"/>
      </w:tblGrid>
      <w:tr w14:paraId="171BD3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942" w:type="dxa"/>
            <w:tcBorders>
              <w:top w:val="single" w:color="auto" w:sz="6" w:space="0"/>
              <w:left w:val="single" w:color="auto" w:sz="6" w:space="0"/>
              <w:bottom w:val="single" w:color="808080" w:sz="6" w:space="0"/>
              <w:right w:val="single" w:color="808080" w:sz="6" w:space="0"/>
            </w:tcBorders>
            <w:noWrap w:val="0"/>
            <w:tcMar>
              <w:top w:w="15" w:type="dxa"/>
              <w:left w:w="15" w:type="dxa"/>
              <w:bottom w:w="15" w:type="dxa"/>
              <w:right w:w="15" w:type="dxa"/>
            </w:tcMar>
            <w:vAlign w:val="center"/>
          </w:tcPr>
          <w:p w14:paraId="16D907FB">
            <w:pPr>
              <w:widowControl/>
              <w:spacing w:line="360" w:lineRule="auto"/>
              <w:jc w:val="center"/>
              <w:rPr>
                <w:rStyle w:val="3"/>
                <w:rFonts w:ascii="宋体" w:hAnsi="宋体" w:cs="宋体"/>
                <w:b w:val="0"/>
                <w:bCs w:val="0"/>
                <w:i w:val="0"/>
                <w:iCs w:val="0"/>
                <w:smallCaps w:val="0"/>
                <w:kern w:val="0"/>
                <w:sz w:val="20"/>
                <w:szCs w:val="20"/>
              </w:rPr>
            </w:pPr>
            <w:r>
              <w:rPr>
                <w:rStyle w:val="3"/>
                <w:rFonts w:ascii="宋体" w:hAnsi="宋体" w:cs="宋体"/>
                <w:b/>
                <w:bCs/>
                <w:i w:val="0"/>
                <w:iCs w:val="0"/>
                <w:smallCaps w:val="0"/>
                <w:kern w:val="0"/>
                <w:sz w:val="20"/>
                <w:szCs w:val="20"/>
              </w:rPr>
              <w:t>国有资金</w:t>
            </w:r>
          </w:p>
        </w:tc>
        <w:tc>
          <w:tcPr>
            <w:tcW w:w="2050" w:type="dxa"/>
            <w:tcBorders>
              <w:top w:val="single" w:color="auto" w:sz="6" w:space="0"/>
              <w:bottom w:val="single" w:color="808080" w:sz="6" w:space="0"/>
              <w:right w:val="single" w:color="808080" w:sz="6" w:space="0"/>
            </w:tcBorders>
            <w:noWrap w:val="0"/>
            <w:tcMar>
              <w:top w:w="15" w:type="dxa"/>
              <w:left w:w="15" w:type="dxa"/>
              <w:bottom w:w="15" w:type="dxa"/>
              <w:right w:w="15" w:type="dxa"/>
            </w:tcMar>
            <w:vAlign w:val="center"/>
          </w:tcPr>
          <w:p w14:paraId="3B1E0EFB">
            <w:pPr>
              <w:widowControl/>
              <w:spacing w:line="360" w:lineRule="auto"/>
              <w:jc w:val="center"/>
              <w:rPr>
                <w:rStyle w:val="3"/>
                <w:rFonts w:ascii="宋体" w:hAnsi="宋体" w:cs="宋体"/>
                <w:b w:val="0"/>
                <w:bCs w:val="0"/>
                <w:i w:val="0"/>
                <w:iCs w:val="0"/>
                <w:smallCaps w:val="0"/>
                <w:kern w:val="0"/>
                <w:sz w:val="20"/>
                <w:szCs w:val="20"/>
              </w:rPr>
            </w:pPr>
            <w:r>
              <w:rPr>
                <w:rStyle w:val="3"/>
                <w:rFonts w:ascii="宋体" w:hAnsi="宋体" w:cs="宋体"/>
                <w:b/>
                <w:bCs/>
                <w:i w:val="0"/>
                <w:iCs w:val="0"/>
                <w:smallCaps w:val="0"/>
                <w:kern w:val="0"/>
                <w:sz w:val="20"/>
                <w:szCs w:val="20"/>
              </w:rPr>
              <w:t>0.0万元</w:t>
            </w:r>
          </w:p>
        </w:tc>
        <w:tc>
          <w:tcPr>
            <w:tcW w:w="1717" w:type="dxa"/>
            <w:tcBorders>
              <w:top w:val="single" w:color="auto" w:sz="6" w:space="0"/>
              <w:bottom w:val="single" w:color="808080" w:sz="6" w:space="0"/>
              <w:right w:val="single" w:color="808080" w:sz="6" w:space="0"/>
            </w:tcBorders>
            <w:noWrap w:val="0"/>
            <w:tcMar>
              <w:top w:w="15" w:type="dxa"/>
              <w:left w:w="15" w:type="dxa"/>
              <w:bottom w:w="15" w:type="dxa"/>
              <w:right w:w="15" w:type="dxa"/>
            </w:tcMar>
            <w:vAlign w:val="center"/>
          </w:tcPr>
          <w:p w14:paraId="3C0F4E6D">
            <w:pPr>
              <w:widowControl/>
              <w:spacing w:line="360" w:lineRule="auto"/>
              <w:jc w:val="center"/>
              <w:rPr>
                <w:rStyle w:val="3"/>
                <w:rFonts w:ascii="宋体" w:hAnsi="宋体" w:cs="宋体"/>
                <w:b w:val="0"/>
                <w:bCs w:val="0"/>
                <w:i w:val="0"/>
                <w:iCs w:val="0"/>
                <w:smallCaps w:val="0"/>
                <w:kern w:val="0"/>
                <w:sz w:val="20"/>
                <w:szCs w:val="20"/>
              </w:rPr>
            </w:pPr>
            <w:r>
              <w:rPr>
                <w:rStyle w:val="3"/>
                <w:rFonts w:ascii="宋体" w:hAnsi="宋体" w:cs="宋体"/>
                <w:b/>
                <w:bCs/>
                <w:i w:val="0"/>
                <w:iCs w:val="0"/>
                <w:smallCaps w:val="0"/>
                <w:kern w:val="0"/>
                <w:sz w:val="20"/>
                <w:szCs w:val="20"/>
              </w:rPr>
              <w:t>0.0%</w:t>
            </w:r>
          </w:p>
        </w:tc>
        <w:tc>
          <w:tcPr>
            <w:tcW w:w="1533" w:type="dxa"/>
            <w:tcBorders>
              <w:top w:val="single" w:color="auto" w:sz="6" w:space="0"/>
              <w:bottom w:val="single" w:color="808080" w:sz="6" w:space="0"/>
              <w:right w:val="single" w:color="808080" w:sz="6" w:space="0"/>
            </w:tcBorders>
            <w:noWrap w:val="0"/>
            <w:tcMar>
              <w:top w:w="15" w:type="dxa"/>
              <w:left w:w="15" w:type="dxa"/>
              <w:bottom w:w="15" w:type="dxa"/>
              <w:right w:w="15" w:type="dxa"/>
            </w:tcMar>
            <w:vAlign w:val="center"/>
          </w:tcPr>
          <w:p w14:paraId="3E6B03C6">
            <w:pPr>
              <w:widowControl/>
              <w:spacing w:line="360" w:lineRule="auto"/>
              <w:jc w:val="center"/>
              <w:rPr>
                <w:rStyle w:val="3"/>
                <w:rFonts w:ascii="宋体" w:hAnsi="宋体" w:cs="宋体"/>
                <w:b w:val="0"/>
                <w:bCs w:val="0"/>
                <w:i w:val="0"/>
                <w:iCs w:val="0"/>
                <w:smallCaps w:val="0"/>
                <w:kern w:val="0"/>
                <w:sz w:val="20"/>
                <w:szCs w:val="20"/>
              </w:rPr>
            </w:pPr>
            <w:r>
              <w:rPr>
                <w:rStyle w:val="3"/>
                <w:rFonts w:ascii="宋体" w:hAnsi="宋体" w:cs="宋体"/>
                <w:b/>
                <w:bCs/>
                <w:i w:val="0"/>
                <w:iCs w:val="0"/>
                <w:smallCaps w:val="0"/>
                <w:kern w:val="0"/>
                <w:sz w:val="20"/>
                <w:szCs w:val="20"/>
              </w:rPr>
              <w:t>私有资金</w:t>
            </w:r>
          </w:p>
        </w:tc>
        <w:tc>
          <w:tcPr>
            <w:tcW w:w="1400" w:type="dxa"/>
            <w:tcBorders>
              <w:top w:val="single" w:color="auto" w:sz="6" w:space="0"/>
              <w:bottom w:val="single" w:color="808080" w:sz="6" w:space="0"/>
              <w:right w:val="single" w:color="808080" w:sz="6" w:space="0"/>
            </w:tcBorders>
            <w:noWrap w:val="0"/>
            <w:tcMar>
              <w:top w:w="15" w:type="dxa"/>
              <w:left w:w="15" w:type="dxa"/>
              <w:bottom w:w="15" w:type="dxa"/>
              <w:right w:w="15" w:type="dxa"/>
            </w:tcMar>
            <w:vAlign w:val="center"/>
          </w:tcPr>
          <w:p w14:paraId="6CEF57E1">
            <w:pPr>
              <w:widowControl/>
              <w:spacing w:line="360" w:lineRule="auto"/>
              <w:jc w:val="center"/>
              <w:rPr>
                <w:rStyle w:val="3"/>
                <w:rFonts w:ascii="宋体" w:hAnsi="宋体" w:cs="宋体"/>
                <w:b w:val="0"/>
                <w:bCs w:val="0"/>
                <w:i w:val="0"/>
                <w:iCs w:val="0"/>
                <w:smallCaps w:val="0"/>
                <w:kern w:val="0"/>
                <w:sz w:val="20"/>
                <w:szCs w:val="20"/>
              </w:rPr>
            </w:pPr>
            <w:r>
              <w:rPr>
                <w:rStyle w:val="3"/>
                <w:rFonts w:ascii="宋体" w:hAnsi="宋体" w:cs="宋体"/>
                <w:b/>
                <w:bCs/>
                <w:i w:val="0"/>
                <w:iCs w:val="0"/>
                <w:smallCaps w:val="0"/>
                <w:kern w:val="0"/>
                <w:sz w:val="20"/>
                <w:szCs w:val="20"/>
              </w:rPr>
              <w:t>0.0万元</w:t>
            </w:r>
          </w:p>
        </w:tc>
        <w:tc>
          <w:tcPr>
            <w:tcW w:w="1100" w:type="dxa"/>
            <w:tcBorders>
              <w:top w:val="single" w:color="auto" w:sz="6" w:space="0"/>
              <w:bottom w:val="single" w:color="808080" w:sz="6" w:space="0"/>
              <w:right w:val="single" w:color="808080" w:sz="6" w:space="0"/>
            </w:tcBorders>
            <w:noWrap w:val="0"/>
            <w:tcMar>
              <w:top w:w="15" w:type="dxa"/>
              <w:left w:w="15" w:type="dxa"/>
              <w:bottom w:w="15" w:type="dxa"/>
              <w:right w:w="15" w:type="dxa"/>
            </w:tcMar>
            <w:vAlign w:val="center"/>
          </w:tcPr>
          <w:p w14:paraId="09033C65">
            <w:pPr>
              <w:widowControl/>
              <w:spacing w:line="360" w:lineRule="auto"/>
              <w:jc w:val="center"/>
              <w:rPr>
                <w:rStyle w:val="3"/>
                <w:rFonts w:ascii="宋体" w:hAnsi="宋体" w:cs="宋体"/>
                <w:b w:val="0"/>
                <w:bCs w:val="0"/>
                <w:i w:val="0"/>
                <w:iCs w:val="0"/>
                <w:smallCaps w:val="0"/>
                <w:kern w:val="0"/>
                <w:sz w:val="20"/>
                <w:szCs w:val="20"/>
              </w:rPr>
            </w:pPr>
            <w:r>
              <w:rPr>
                <w:rStyle w:val="3"/>
                <w:rFonts w:ascii="宋体" w:hAnsi="宋体" w:cs="宋体"/>
                <w:b/>
                <w:bCs/>
                <w:i w:val="0"/>
                <w:iCs w:val="0"/>
                <w:smallCaps w:val="0"/>
                <w:kern w:val="0"/>
                <w:sz w:val="20"/>
                <w:szCs w:val="20"/>
              </w:rPr>
              <w:t>0.0%</w:t>
            </w:r>
          </w:p>
        </w:tc>
      </w:tr>
      <w:tr w14:paraId="1C0812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942" w:type="dxa"/>
            <w:tcBorders>
              <w:left w:val="single" w:color="auto" w:sz="6" w:space="0"/>
              <w:bottom w:val="single" w:color="808080" w:sz="6" w:space="0"/>
              <w:right w:val="single" w:color="808080" w:sz="6" w:space="0"/>
            </w:tcBorders>
            <w:noWrap w:val="0"/>
            <w:tcMar>
              <w:top w:w="15" w:type="dxa"/>
              <w:left w:w="15" w:type="dxa"/>
              <w:bottom w:w="15" w:type="dxa"/>
              <w:right w:w="15" w:type="dxa"/>
            </w:tcMar>
            <w:vAlign w:val="center"/>
          </w:tcPr>
          <w:p w14:paraId="3018AA8E">
            <w:pPr>
              <w:widowControl/>
              <w:spacing w:line="360" w:lineRule="auto"/>
              <w:jc w:val="center"/>
              <w:rPr>
                <w:rStyle w:val="3"/>
                <w:rFonts w:ascii="宋体" w:hAnsi="宋体" w:cs="宋体"/>
                <w:b w:val="0"/>
                <w:bCs w:val="0"/>
                <w:i w:val="0"/>
                <w:iCs w:val="0"/>
                <w:smallCaps w:val="0"/>
                <w:kern w:val="0"/>
                <w:sz w:val="20"/>
                <w:szCs w:val="20"/>
              </w:rPr>
            </w:pPr>
            <w:r>
              <w:rPr>
                <w:rStyle w:val="3"/>
                <w:rFonts w:ascii="宋体" w:hAnsi="宋体" w:cs="宋体"/>
                <w:b/>
                <w:bCs/>
                <w:i w:val="0"/>
                <w:iCs w:val="0"/>
                <w:smallCaps w:val="0"/>
                <w:kern w:val="0"/>
                <w:sz w:val="20"/>
                <w:szCs w:val="20"/>
              </w:rPr>
              <w:t>外国政府及组织投资</w:t>
            </w:r>
          </w:p>
        </w:tc>
        <w:tc>
          <w:tcPr>
            <w:tcW w:w="2050" w:type="dxa"/>
            <w:tcBorders>
              <w:bottom w:val="single" w:color="808080" w:sz="6" w:space="0"/>
              <w:right w:val="single" w:color="808080" w:sz="6" w:space="0"/>
            </w:tcBorders>
            <w:noWrap w:val="0"/>
            <w:tcMar>
              <w:top w:w="15" w:type="dxa"/>
              <w:left w:w="15" w:type="dxa"/>
              <w:bottom w:w="15" w:type="dxa"/>
              <w:right w:w="15" w:type="dxa"/>
            </w:tcMar>
            <w:vAlign w:val="center"/>
          </w:tcPr>
          <w:p w14:paraId="774AF6BF">
            <w:pPr>
              <w:widowControl/>
              <w:spacing w:line="360" w:lineRule="auto"/>
              <w:jc w:val="center"/>
              <w:rPr>
                <w:rStyle w:val="3"/>
                <w:rFonts w:ascii="宋体" w:hAnsi="宋体" w:cs="宋体"/>
                <w:b w:val="0"/>
                <w:bCs w:val="0"/>
                <w:i w:val="0"/>
                <w:iCs w:val="0"/>
                <w:smallCaps w:val="0"/>
                <w:kern w:val="0"/>
                <w:sz w:val="20"/>
                <w:szCs w:val="20"/>
              </w:rPr>
            </w:pPr>
            <w:r>
              <w:rPr>
                <w:rStyle w:val="3"/>
                <w:rFonts w:ascii="宋体" w:hAnsi="宋体" w:cs="宋体"/>
                <w:b/>
                <w:bCs/>
                <w:i w:val="0"/>
                <w:iCs w:val="0"/>
                <w:smallCaps w:val="0"/>
                <w:kern w:val="0"/>
                <w:sz w:val="20"/>
                <w:szCs w:val="20"/>
              </w:rPr>
              <w:t>0.0万元</w:t>
            </w:r>
          </w:p>
        </w:tc>
        <w:tc>
          <w:tcPr>
            <w:tcW w:w="1717" w:type="dxa"/>
            <w:tcBorders>
              <w:bottom w:val="single" w:color="808080" w:sz="6" w:space="0"/>
              <w:right w:val="single" w:color="808080" w:sz="6" w:space="0"/>
            </w:tcBorders>
            <w:noWrap w:val="0"/>
            <w:tcMar>
              <w:top w:w="15" w:type="dxa"/>
              <w:left w:w="15" w:type="dxa"/>
              <w:bottom w:w="15" w:type="dxa"/>
              <w:right w:w="15" w:type="dxa"/>
            </w:tcMar>
            <w:vAlign w:val="center"/>
          </w:tcPr>
          <w:p w14:paraId="15617894">
            <w:pPr>
              <w:widowControl/>
              <w:spacing w:line="360" w:lineRule="auto"/>
              <w:jc w:val="center"/>
              <w:rPr>
                <w:rStyle w:val="3"/>
                <w:rFonts w:ascii="宋体" w:hAnsi="宋体" w:cs="宋体"/>
                <w:b w:val="0"/>
                <w:bCs w:val="0"/>
                <w:i w:val="0"/>
                <w:iCs w:val="0"/>
                <w:smallCaps w:val="0"/>
                <w:kern w:val="0"/>
                <w:sz w:val="20"/>
                <w:szCs w:val="20"/>
              </w:rPr>
            </w:pPr>
            <w:r>
              <w:rPr>
                <w:rStyle w:val="3"/>
                <w:rFonts w:ascii="宋体" w:hAnsi="宋体" w:cs="宋体"/>
                <w:b/>
                <w:bCs/>
                <w:i w:val="0"/>
                <w:iCs w:val="0"/>
                <w:smallCaps w:val="0"/>
                <w:kern w:val="0"/>
                <w:sz w:val="20"/>
                <w:szCs w:val="20"/>
              </w:rPr>
              <w:t>0.0%</w:t>
            </w:r>
          </w:p>
        </w:tc>
        <w:tc>
          <w:tcPr>
            <w:tcW w:w="1533" w:type="dxa"/>
            <w:tcBorders>
              <w:bottom w:val="single" w:color="808080" w:sz="6" w:space="0"/>
              <w:right w:val="single" w:color="808080" w:sz="6" w:space="0"/>
            </w:tcBorders>
            <w:noWrap w:val="0"/>
            <w:tcMar>
              <w:top w:w="15" w:type="dxa"/>
              <w:left w:w="15" w:type="dxa"/>
              <w:bottom w:w="15" w:type="dxa"/>
              <w:right w:w="15" w:type="dxa"/>
            </w:tcMar>
            <w:vAlign w:val="center"/>
          </w:tcPr>
          <w:p w14:paraId="1EC1FE38">
            <w:pPr>
              <w:widowControl/>
              <w:spacing w:line="360" w:lineRule="auto"/>
              <w:jc w:val="center"/>
              <w:rPr>
                <w:rStyle w:val="3"/>
                <w:rFonts w:ascii="宋体" w:hAnsi="宋体" w:cs="宋体"/>
                <w:b w:val="0"/>
                <w:bCs w:val="0"/>
                <w:i w:val="0"/>
                <w:iCs w:val="0"/>
                <w:smallCaps w:val="0"/>
                <w:kern w:val="0"/>
                <w:sz w:val="20"/>
                <w:szCs w:val="20"/>
              </w:rPr>
            </w:pPr>
            <w:r>
              <w:rPr>
                <w:rStyle w:val="3"/>
                <w:rFonts w:ascii="宋体" w:hAnsi="宋体" w:cs="宋体"/>
                <w:b/>
                <w:bCs/>
                <w:i w:val="0"/>
                <w:iCs w:val="0"/>
                <w:smallCaps w:val="0"/>
                <w:kern w:val="0"/>
                <w:sz w:val="20"/>
                <w:szCs w:val="20"/>
              </w:rPr>
              <w:t>境外私人投资</w:t>
            </w:r>
          </w:p>
        </w:tc>
        <w:tc>
          <w:tcPr>
            <w:tcW w:w="1400" w:type="dxa"/>
            <w:tcBorders>
              <w:bottom w:val="single" w:color="808080" w:sz="6" w:space="0"/>
              <w:right w:val="single" w:color="808080" w:sz="6" w:space="0"/>
            </w:tcBorders>
            <w:noWrap w:val="0"/>
            <w:tcMar>
              <w:top w:w="15" w:type="dxa"/>
              <w:left w:w="15" w:type="dxa"/>
              <w:bottom w:w="15" w:type="dxa"/>
              <w:right w:w="15" w:type="dxa"/>
            </w:tcMar>
            <w:vAlign w:val="center"/>
          </w:tcPr>
          <w:p w14:paraId="2443D634">
            <w:pPr>
              <w:widowControl/>
              <w:spacing w:line="360" w:lineRule="auto"/>
              <w:jc w:val="center"/>
              <w:rPr>
                <w:rStyle w:val="3"/>
                <w:rFonts w:ascii="宋体" w:hAnsi="宋体" w:cs="宋体"/>
                <w:b w:val="0"/>
                <w:bCs w:val="0"/>
                <w:i w:val="0"/>
                <w:iCs w:val="0"/>
                <w:smallCaps w:val="0"/>
                <w:kern w:val="0"/>
                <w:sz w:val="20"/>
                <w:szCs w:val="20"/>
              </w:rPr>
            </w:pPr>
            <w:r>
              <w:rPr>
                <w:rStyle w:val="3"/>
                <w:rFonts w:ascii="宋体" w:hAnsi="宋体" w:cs="宋体"/>
                <w:b/>
                <w:bCs/>
                <w:i w:val="0"/>
                <w:iCs w:val="0"/>
                <w:smallCaps w:val="0"/>
                <w:kern w:val="0"/>
                <w:sz w:val="20"/>
                <w:szCs w:val="20"/>
              </w:rPr>
              <w:t>0.0万元</w:t>
            </w:r>
          </w:p>
        </w:tc>
        <w:tc>
          <w:tcPr>
            <w:tcW w:w="1100" w:type="dxa"/>
            <w:tcBorders>
              <w:bottom w:val="single" w:color="808080" w:sz="6" w:space="0"/>
              <w:right w:val="single" w:color="808080" w:sz="6" w:space="0"/>
            </w:tcBorders>
            <w:noWrap w:val="0"/>
            <w:tcMar>
              <w:top w:w="15" w:type="dxa"/>
              <w:left w:w="15" w:type="dxa"/>
              <w:bottom w:w="15" w:type="dxa"/>
              <w:right w:w="15" w:type="dxa"/>
            </w:tcMar>
            <w:vAlign w:val="center"/>
          </w:tcPr>
          <w:p w14:paraId="1B1765BE">
            <w:pPr>
              <w:widowControl/>
              <w:spacing w:line="360" w:lineRule="auto"/>
              <w:jc w:val="center"/>
              <w:rPr>
                <w:rStyle w:val="3"/>
                <w:rFonts w:ascii="宋体" w:hAnsi="宋体" w:cs="宋体"/>
                <w:b w:val="0"/>
                <w:bCs w:val="0"/>
                <w:i w:val="0"/>
                <w:iCs w:val="0"/>
                <w:smallCaps w:val="0"/>
                <w:kern w:val="0"/>
                <w:sz w:val="20"/>
                <w:szCs w:val="20"/>
              </w:rPr>
            </w:pPr>
            <w:r>
              <w:rPr>
                <w:rStyle w:val="3"/>
                <w:rFonts w:ascii="宋体" w:hAnsi="宋体" w:cs="宋体"/>
                <w:b/>
                <w:bCs/>
                <w:i w:val="0"/>
                <w:iCs w:val="0"/>
                <w:smallCaps w:val="0"/>
                <w:kern w:val="0"/>
                <w:sz w:val="20"/>
                <w:szCs w:val="20"/>
              </w:rPr>
              <w:t>0.0%</w:t>
            </w:r>
          </w:p>
        </w:tc>
      </w:tr>
      <w:tr w14:paraId="44F860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942" w:type="dxa"/>
            <w:tcBorders>
              <w:left w:val="single" w:color="auto" w:sz="6" w:space="0"/>
              <w:bottom w:val="single" w:color="808080" w:sz="6" w:space="0"/>
              <w:right w:val="single" w:color="808080" w:sz="6" w:space="0"/>
            </w:tcBorders>
            <w:noWrap w:val="0"/>
            <w:tcMar>
              <w:top w:w="15" w:type="dxa"/>
              <w:left w:w="15" w:type="dxa"/>
              <w:bottom w:w="15" w:type="dxa"/>
              <w:right w:w="15" w:type="dxa"/>
            </w:tcMar>
            <w:vAlign w:val="center"/>
          </w:tcPr>
          <w:p w14:paraId="3E3373CB">
            <w:pPr>
              <w:widowControl/>
              <w:spacing w:line="360" w:lineRule="auto"/>
              <w:jc w:val="center"/>
              <w:rPr>
                <w:rStyle w:val="3"/>
                <w:rFonts w:ascii="宋体" w:hAnsi="宋体" w:cs="宋体"/>
                <w:b w:val="0"/>
                <w:bCs w:val="0"/>
                <w:i w:val="0"/>
                <w:iCs w:val="0"/>
                <w:smallCaps w:val="0"/>
                <w:kern w:val="0"/>
                <w:sz w:val="20"/>
                <w:szCs w:val="20"/>
              </w:rPr>
            </w:pPr>
            <w:r>
              <w:rPr>
                <w:rStyle w:val="3"/>
                <w:rFonts w:ascii="宋体" w:hAnsi="宋体" w:cs="宋体"/>
                <w:b/>
                <w:bCs/>
                <w:i w:val="0"/>
                <w:iCs w:val="0"/>
                <w:smallCaps w:val="0"/>
                <w:kern w:val="0"/>
                <w:sz w:val="20"/>
                <w:szCs w:val="20"/>
              </w:rPr>
              <w:t>财政资金</w:t>
            </w:r>
          </w:p>
        </w:tc>
        <w:tc>
          <w:tcPr>
            <w:tcW w:w="2050" w:type="dxa"/>
            <w:tcBorders>
              <w:bottom w:val="single" w:color="808080" w:sz="6" w:space="0"/>
              <w:right w:val="single" w:color="808080" w:sz="6" w:space="0"/>
            </w:tcBorders>
            <w:noWrap w:val="0"/>
            <w:tcMar>
              <w:top w:w="15" w:type="dxa"/>
              <w:left w:w="15" w:type="dxa"/>
              <w:bottom w:w="15" w:type="dxa"/>
              <w:right w:w="15" w:type="dxa"/>
            </w:tcMar>
            <w:vAlign w:val="center"/>
          </w:tcPr>
          <w:p w14:paraId="4D8A7F7C">
            <w:pPr>
              <w:widowControl/>
              <w:spacing w:line="360" w:lineRule="auto"/>
              <w:jc w:val="center"/>
              <w:rPr>
                <w:rStyle w:val="3"/>
                <w:rFonts w:ascii="宋体" w:hAnsi="宋体" w:cs="宋体"/>
                <w:b w:val="0"/>
                <w:bCs w:val="0"/>
                <w:i w:val="0"/>
                <w:iCs w:val="0"/>
                <w:smallCaps w:val="0"/>
                <w:kern w:val="0"/>
                <w:sz w:val="20"/>
                <w:szCs w:val="20"/>
              </w:rPr>
            </w:pPr>
            <w:r>
              <w:rPr>
                <w:rStyle w:val="3"/>
                <w:rFonts w:hint="eastAsia" w:ascii="宋体" w:hAnsi="宋体" w:cs="宋体"/>
                <w:b/>
                <w:bCs/>
                <w:i w:val="0"/>
                <w:iCs w:val="0"/>
                <w:smallCaps w:val="0"/>
                <w:kern w:val="0"/>
                <w:sz w:val="20"/>
                <w:szCs w:val="20"/>
                <w:lang w:eastAsia="zh-CN"/>
              </w:rPr>
              <w:t>188.3309</w:t>
            </w:r>
            <w:r>
              <w:rPr>
                <w:rStyle w:val="3"/>
                <w:rFonts w:ascii="宋体" w:hAnsi="宋体" w:cs="宋体"/>
                <w:b/>
                <w:bCs/>
                <w:i w:val="0"/>
                <w:iCs w:val="0"/>
                <w:smallCaps w:val="0"/>
                <w:kern w:val="0"/>
                <w:sz w:val="20"/>
                <w:szCs w:val="20"/>
              </w:rPr>
              <w:t>万元</w:t>
            </w:r>
          </w:p>
        </w:tc>
        <w:tc>
          <w:tcPr>
            <w:tcW w:w="1717" w:type="dxa"/>
            <w:tcBorders>
              <w:bottom w:val="single" w:color="808080" w:sz="6" w:space="0"/>
              <w:right w:val="single" w:color="808080" w:sz="6" w:space="0"/>
            </w:tcBorders>
            <w:noWrap w:val="0"/>
            <w:tcMar>
              <w:top w:w="15" w:type="dxa"/>
              <w:left w:w="15" w:type="dxa"/>
              <w:bottom w:w="15" w:type="dxa"/>
              <w:right w:w="15" w:type="dxa"/>
            </w:tcMar>
            <w:vAlign w:val="center"/>
          </w:tcPr>
          <w:p w14:paraId="1AA624BF">
            <w:pPr>
              <w:widowControl/>
              <w:spacing w:line="360" w:lineRule="auto"/>
              <w:jc w:val="center"/>
              <w:rPr>
                <w:rStyle w:val="3"/>
                <w:rFonts w:ascii="宋体" w:hAnsi="宋体" w:cs="宋体"/>
                <w:b w:val="0"/>
                <w:bCs w:val="0"/>
                <w:i w:val="0"/>
                <w:iCs w:val="0"/>
                <w:smallCaps w:val="0"/>
                <w:kern w:val="0"/>
                <w:sz w:val="20"/>
                <w:szCs w:val="20"/>
              </w:rPr>
            </w:pPr>
            <w:r>
              <w:rPr>
                <w:rStyle w:val="3"/>
                <w:rFonts w:ascii="宋体" w:hAnsi="宋体" w:cs="宋体"/>
                <w:b/>
                <w:bCs/>
                <w:i w:val="0"/>
                <w:iCs w:val="0"/>
                <w:smallCaps w:val="0"/>
                <w:kern w:val="0"/>
                <w:sz w:val="20"/>
                <w:szCs w:val="20"/>
              </w:rPr>
              <w:t>100.0%</w:t>
            </w:r>
          </w:p>
        </w:tc>
        <w:tc>
          <w:tcPr>
            <w:tcW w:w="4033" w:type="dxa"/>
            <w:gridSpan w:val="3"/>
            <w:tcBorders>
              <w:bottom w:val="single" w:color="808080" w:sz="6" w:space="0"/>
              <w:right w:val="single" w:color="808080" w:sz="6" w:space="0"/>
            </w:tcBorders>
            <w:noWrap w:val="0"/>
            <w:tcMar>
              <w:top w:w="15" w:type="dxa"/>
              <w:left w:w="15" w:type="dxa"/>
              <w:bottom w:w="15" w:type="dxa"/>
              <w:right w:w="15" w:type="dxa"/>
            </w:tcMar>
            <w:vAlign w:val="center"/>
          </w:tcPr>
          <w:p w14:paraId="04435B5E">
            <w:pPr>
              <w:widowControl/>
              <w:spacing w:line="360" w:lineRule="auto"/>
              <w:jc w:val="left"/>
              <w:rPr>
                <w:rStyle w:val="3"/>
                <w:rFonts w:ascii="宋体" w:hAnsi="宋体" w:cs="宋体"/>
                <w:b w:val="0"/>
                <w:bCs w:val="0"/>
                <w:i w:val="0"/>
                <w:iCs w:val="0"/>
                <w:smallCaps w:val="0"/>
                <w:kern w:val="0"/>
                <w:sz w:val="20"/>
                <w:szCs w:val="20"/>
              </w:rPr>
            </w:pPr>
          </w:p>
        </w:tc>
      </w:tr>
      <w:tr w14:paraId="02A8B0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942" w:type="dxa"/>
            <w:tcBorders>
              <w:left w:val="single" w:color="auto" w:sz="6" w:space="0"/>
              <w:bottom w:val="single" w:color="808080" w:sz="6" w:space="0"/>
              <w:right w:val="single" w:color="808080" w:sz="6" w:space="0"/>
            </w:tcBorders>
            <w:noWrap w:val="0"/>
            <w:tcMar>
              <w:top w:w="15" w:type="dxa"/>
              <w:left w:w="15" w:type="dxa"/>
              <w:bottom w:w="15" w:type="dxa"/>
              <w:right w:w="15" w:type="dxa"/>
            </w:tcMar>
            <w:vAlign w:val="center"/>
          </w:tcPr>
          <w:p w14:paraId="3F34AF9F">
            <w:pPr>
              <w:widowControl/>
              <w:spacing w:line="360" w:lineRule="auto"/>
              <w:jc w:val="center"/>
              <w:rPr>
                <w:rStyle w:val="3"/>
                <w:rFonts w:ascii="宋体" w:hAnsi="宋体" w:cs="宋体"/>
                <w:b w:val="0"/>
                <w:bCs w:val="0"/>
                <w:i w:val="0"/>
                <w:iCs w:val="0"/>
                <w:smallCaps w:val="0"/>
                <w:kern w:val="0"/>
                <w:sz w:val="20"/>
                <w:szCs w:val="20"/>
              </w:rPr>
            </w:pPr>
            <w:r>
              <w:rPr>
                <w:rStyle w:val="3"/>
                <w:rFonts w:ascii="宋体" w:hAnsi="宋体" w:cs="宋体"/>
                <w:b/>
                <w:bCs/>
                <w:i w:val="0"/>
                <w:iCs w:val="0"/>
                <w:smallCaps w:val="0"/>
                <w:kern w:val="0"/>
                <w:sz w:val="20"/>
                <w:szCs w:val="20"/>
              </w:rPr>
              <w:t>其他</w:t>
            </w:r>
          </w:p>
        </w:tc>
        <w:tc>
          <w:tcPr>
            <w:tcW w:w="2050" w:type="dxa"/>
            <w:tcBorders>
              <w:bottom w:val="single" w:color="808080" w:sz="6" w:space="0"/>
              <w:right w:val="single" w:color="808080" w:sz="6" w:space="0"/>
            </w:tcBorders>
            <w:noWrap w:val="0"/>
            <w:tcMar>
              <w:top w:w="15" w:type="dxa"/>
              <w:left w:w="15" w:type="dxa"/>
              <w:bottom w:w="15" w:type="dxa"/>
              <w:right w:w="15" w:type="dxa"/>
            </w:tcMar>
            <w:vAlign w:val="center"/>
          </w:tcPr>
          <w:p w14:paraId="66DB3A69">
            <w:pPr>
              <w:widowControl/>
              <w:spacing w:line="360" w:lineRule="auto"/>
              <w:jc w:val="center"/>
              <w:rPr>
                <w:rStyle w:val="3"/>
                <w:rFonts w:ascii="宋体" w:hAnsi="宋体" w:cs="宋体"/>
                <w:b w:val="0"/>
                <w:bCs w:val="0"/>
                <w:i w:val="0"/>
                <w:iCs w:val="0"/>
                <w:smallCaps w:val="0"/>
                <w:kern w:val="0"/>
                <w:sz w:val="20"/>
                <w:szCs w:val="20"/>
              </w:rPr>
            </w:pPr>
            <w:r>
              <w:rPr>
                <w:rStyle w:val="3"/>
                <w:rFonts w:ascii="宋体" w:hAnsi="宋体" w:cs="宋体"/>
                <w:b/>
                <w:bCs/>
                <w:i w:val="0"/>
                <w:iCs w:val="0"/>
                <w:smallCaps w:val="0"/>
                <w:kern w:val="0"/>
                <w:sz w:val="20"/>
                <w:szCs w:val="20"/>
              </w:rPr>
              <w:t>0.0万元</w:t>
            </w:r>
          </w:p>
        </w:tc>
        <w:tc>
          <w:tcPr>
            <w:tcW w:w="1717" w:type="dxa"/>
            <w:tcBorders>
              <w:bottom w:val="single" w:color="808080" w:sz="6" w:space="0"/>
              <w:right w:val="single" w:color="808080" w:sz="6" w:space="0"/>
            </w:tcBorders>
            <w:noWrap w:val="0"/>
            <w:tcMar>
              <w:top w:w="15" w:type="dxa"/>
              <w:left w:w="15" w:type="dxa"/>
              <w:bottom w:w="15" w:type="dxa"/>
              <w:right w:w="15" w:type="dxa"/>
            </w:tcMar>
            <w:vAlign w:val="center"/>
          </w:tcPr>
          <w:p w14:paraId="6980088A">
            <w:pPr>
              <w:widowControl/>
              <w:spacing w:line="360" w:lineRule="auto"/>
              <w:jc w:val="center"/>
              <w:rPr>
                <w:rStyle w:val="3"/>
                <w:rFonts w:ascii="宋体" w:hAnsi="宋体" w:cs="宋体"/>
                <w:b w:val="0"/>
                <w:bCs w:val="0"/>
                <w:i w:val="0"/>
                <w:iCs w:val="0"/>
                <w:smallCaps w:val="0"/>
                <w:kern w:val="0"/>
                <w:sz w:val="20"/>
                <w:szCs w:val="20"/>
              </w:rPr>
            </w:pPr>
            <w:r>
              <w:rPr>
                <w:rStyle w:val="3"/>
                <w:rFonts w:ascii="宋体" w:hAnsi="宋体" w:cs="宋体"/>
                <w:b/>
                <w:bCs/>
                <w:i w:val="0"/>
                <w:iCs w:val="0"/>
                <w:smallCaps w:val="0"/>
                <w:kern w:val="0"/>
                <w:sz w:val="20"/>
                <w:szCs w:val="20"/>
              </w:rPr>
              <w:t>0.0%</w:t>
            </w:r>
          </w:p>
        </w:tc>
        <w:tc>
          <w:tcPr>
            <w:tcW w:w="4033" w:type="dxa"/>
            <w:gridSpan w:val="3"/>
            <w:tcBorders>
              <w:bottom w:val="single" w:color="808080" w:sz="6" w:space="0"/>
              <w:right w:val="single" w:color="808080" w:sz="6" w:space="0"/>
            </w:tcBorders>
            <w:noWrap w:val="0"/>
            <w:tcMar>
              <w:top w:w="15" w:type="dxa"/>
              <w:left w:w="15" w:type="dxa"/>
              <w:bottom w:w="15" w:type="dxa"/>
              <w:right w:w="15" w:type="dxa"/>
            </w:tcMar>
            <w:vAlign w:val="center"/>
          </w:tcPr>
          <w:p w14:paraId="736B51E4">
            <w:pPr>
              <w:widowControl/>
              <w:spacing w:line="360" w:lineRule="auto"/>
              <w:jc w:val="left"/>
              <w:rPr>
                <w:rStyle w:val="3"/>
                <w:rFonts w:ascii="宋体" w:hAnsi="宋体" w:cs="宋体"/>
                <w:b w:val="0"/>
                <w:bCs w:val="0"/>
                <w:i w:val="0"/>
                <w:iCs w:val="0"/>
                <w:smallCaps w:val="0"/>
                <w:kern w:val="0"/>
                <w:sz w:val="20"/>
                <w:szCs w:val="20"/>
              </w:rPr>
            </w:pPr>
          </w:p>
        </w:tc>
      </w:tr>
    </w:tbl>
    <w:p w14:paraId="153A1679">
      <w:pPr>
        <w:spacing w:line="360" w:lineRule="auto"/>
        <w:rPr>
          <w:rFonts w:hint="eastAsia"/>
          <w:sz w:val="22"/>
          <w:szCs w:val="24"/>
        </w:rPr>
      </w:pPr>
    </w:p>
    <w:p w14:paraId="55D57079">
      <w:pPr>
        <w:spacing w:line="360" w:lineRule="auto"/>
        <w:rPr>
          <w:rFonts w:hint="eastAsia"/>
          <w:sz w:val="22"/>
          <w:szCs w:val="24"/>
        </w:rPr>
      </w:pPr>
      <w:r>
        <w:rPr>
          <w:rFonts w:hint="eastAsia"/>
          <w:sz w:val="22"/>
          <w:szCs w:val="24"/>
        </w:rPr>
        <w:t>项目已具备招标条件，现对该项目的设计进行公开招标。</w:t>
      </w:r>
    </w:p>
    <w:p w14:paraId="7665CF84">
      <w:pPr>
        <w:spacing w:line="360" w:lineRule="auto"/>
        <w:rPr>
          <w:rFonts w:hint="eastAsia"/>
          <w:sz w:val="22"/>
          <w:szCs w:val="24"/>
        </w:rPr>
      </w:pPr>
      <w:r>
        <w:rPr>
          <w:rFonts w:hint="eastAsia"/>
          <w:sz w:val="22"/>
          <w:szCs w:val="24"/>
        </w:rPr>
        <w:t>2.项目概况与招标范围</w:t>
      </w:r>
    </w:p>
    <w:p w14:paraId="0F18ED61">
      <w:pPr>
        <w:spacing w:line="360" w:lineRule="auto"/>
        <w:rPr>
          <w:rFonts w:hint="eastAsia"/>
          <w:sz w:val="22"/>
          <w:szCs w:val="24"/>
        </w:rPr>
      </w:pPr>
      <w:r>
        <w:rPr>
          <w:rFonts w:hint="eastAsia"/>
          <w:sz w:val="22"/>
          <w:szCs w:val="24"/>
        </w:rPr>
        <w:t xml:space="preserve">    招标项目编号：E4509002856026665001 </w:t>
      </w:r>
    </w:p>
    <w:p w14:paraId="1CB5D3AC">
      <w:pPr>
        <w:spacing w:line="360" w:lineRule="auto"/>
        <w:rPr>
          <w:rFonts w:hint="eastAsia"/>
          <w:sz w:val="22"/>
          <w:szCs w:val="24"/>
        </w:rPr>
      </w:pPr>
      <w:r>
        <w:rPr>
          <w:rFonts w:hint="eastAsia"/>
          <w:sz w:val="22"/>
          <w:szCs w:val="24"/>
        </w:rPr>
        <w:t xml:space="preserve">    报建号（如有）：无 </w:t>
      </w:r>
    </w:p>
    <w:p w14:paraId="3BBD4B22">
      <w:pPr>
        <w:spacing w:line="360" w:lineRule="auto"/>
        <w:rPr>
          <w:rFonts w:hint="eastAsia"/>
          <w:sz w:val="22"/>
          <w:szCs w:val="24"/>
        </w:rPr>
      </w:pPr>
      <w:r>
        <w:rPr>
          <w:rFonts w:hint="eastAsia"/>
          <w:sz w:val="22"/>
          <w:szCs w:val="24"/>
        </w:rPr>
        <w:t xml:space="preserve">    建设地点：玉林高新区（玉东新区）城区范围内 </w:t>
      </w:r>
    </w:p>
    <w:p w14:paraId="1B686C9A">
      <w:pPr>
        <w:spacing w:line="360" w:lineRule="auto"/>
        <w:rPr>
          <w:rFonts w:hint="eastAsia"/>
          <w:sz w:val="22"/>
          <w:szCs w:val="24"/>
        </w:rPr>
      </w:pPr>
      <w:r>
        <w:rPr>
          <w:rFonts w:hint="eastAsia"/>
          <w:sz w:val="22"/>
          <w:szCs w:val="24"/>
        </w:rPr>
        <w:t xml:space="preserve">    建设规模：本项目拟对玉东新区城区范围内共九个路段改造部分排水防涝管网总长约18920.00米。（1）教育路(西秀路口至石牛路口段)新建d2000雨水主管2258m，新建d300雨水连接管981m,配套排水构造物、对现状道路进行破除与恢复、雨水管两侧作钢板桩防护措施;（2）石牛路(玉东大道路口至二环路口段)新建d1800雨水主管1560m，新建d300雨水连接管975m,配套排水构造物、对现状道路进行破除与恢复、雨水管两侧作钢板桩防护措施;（3）二环路(玉东大道路口至石牛路口段)新建d1800雨水主管1142m，新建d300雨水连接管725m,配套排水构造物、对现状道路进行破除与恢复、雨水管两侧作钢板桩防护措施;（4）二环路(石牛路口至江滨东路路口段)新建d2000雨水主管2048m，新建d300雨水连接管1156m,配套排水构造物、对现状道路进行破除与恢复、雨水管两侧作钢板桩防护措施;（5）人民东路(万盛中央公馆至二环路口段)新建d1600雨水主管805m，新建d300雨水连接管183m,配套排水构造物、对现状道路进行破除与恢复、雨水管两侧作钢板桩防护措施;（6）横二路(纵二路口至二环路口段)新建d1600雨水主管850m，新建d300雨水连接管425m,配套排水构造物、对现状道路进行破除与恢复、雨水管两侧作钢板桩防护措施;（7）胜利路(金玉路口至广场东路路口段)新建d1600雨水主管598m，新建d300雨水连接管299m,配套排水构造物、对现状道路进行破除与恢复、雨水管两侧作钢板桩防护措施:（8）玉东大道(秀水路路口至文体路教育路交叉口段)新建d1800雨水主管2153m，新建d300雨水连接管600m,配套排水构造物、对现状道路进行破除与恢复、雨水管两侧作钢板桩防护措施;（9）文体路(石棠路路口至人民路凤岭路交叉口段)新建d1800雨水主管2834m，新建d300雨水连接管700m,配套排水构造物、对现状道路进行破除与恢复、雨水管两侧作钢板桩防护措施，具体建设内容需视高新区范围内的现存易涝点和雨污混流实际情况，进行部分内容调整。 </w:t>
      </w:r>
    </w:p>
    <w:p w14:paraId="0DF9B06D">
      <w:pPr>
        <w:spacing w:line="360" w:lineRule="auto"/>
        <w:rPr>
          <w:rFonts w:hint="eastAsia"/>
          <w:sz w:val="22"/>
          <w:szCs w:val="24"/>
        </w:rPr>
      </w:pPr>
      <w:r>
        <w:rPr>
          <w:rFonts w:hint="eastAsia"/>
          <w:sz w:val="22"/>
          <w:szCs w:val="24"/>
        </w:rPr>
        <w:t xml:space="preserve">    合同估算价：188.3309万元 </w:t>
      </w:r>
    </w:p>
    <w:p w14:paraId="34CD0376">
      <w:pPr>
        <w:spacing w:line="360" w:lineRule="auto"/>
        <w:rPr>
          <w:rFonts w:hint="eastAsia"/>
          <w:sz w:val="22"/>
          <w:szCs w:val="24"/>
        </w:rPr>
      </w:pPr>
      <w:r>
        <w:rPr>
          <w:rFonts w:hint="eastAsia"/>
          <w:sz w:val="22"/>
          <w:szCs w:val="24"/>
        </w:rPr>
        <w:t xml:space="preserve">    质量要求：符合国家规定的工程技术质量标准、设计深度标准及现行技术规范、规程要求，获得有关部门批复或备案。 </w:t>
      </w:r>
    </w:p>
    <w:p w14:paraId="45B247AB">
      <w:pPr>
        <w:spacing w:line="360" w:lineRule="auto"/>
        <w:rPr>
          <w:rFonts w:hint="eastAsia"/>
          <w:sz w:val="22"/>
          <w:szCs w:val="24"/>
        </w:rPr>
      </w:pPr>
      <w:r>
        <w:rPr>
          <w:rFonts w:hint="eastAsia"/>
          <w:sz w:val="22"/>
          <w:szCs w:val="24"/>
        </w:rPr>
        <w:t xml:space="preserve">    标段划分：标段(包)编号：E4509002856026665001001，标段(包)名称：玉林高新区（玉东新区）城市排水防涝管道项目二期初步设计 </w:t>
      </w:r>
    </w:p>
    <w:p w14:paraId="1130623F">
      <w:pPr>
        <w:spacing w:line="360" w:lineRule="auto"/>
        <w:rPr>
          <w:rFonts w:hint="eastAsia"/>
          <w:sz w:val="22"/>
          <w:szCs w:val="24"/>
        </w:rPr>
      </w:pPr>
      <w:r>
        <w:rPr>
          <w:rFonts w:hint="eastAsia"/>
          <w:sz w:val="22"/>
          <w:szCs w:val="24"/>
        </w:rPr>
        <w:t>    设计服务期限：45日历天 【备注：建筑工程设计定额服务期限应按《全国建筑设计周期定额（2016年版）》确定，不得任意压缩设计周期， 确需压缩时，宜组织专家论证，并增加压缩周期费用，在招标文件中明确；市政工程项目根据具体情况确定。】</w:t>
      </w:r>
    </w:p>
    <w:p w14:paraId="18E9564E">
      <w:pPr>
        <w:spacing w:line="360" w:lineRule="auto"/>
        <w:rPr>
          <w:rFonts w:hint="eastAsia"/>
          <w:sz w:val="22"/>
          <w:szCs w:val="24"/>
        </w:rPr>
      </w:pPr>
      <w:r>
        <w:rPr>
          <w:rFonts w:hint="eastAsia"/>
          <w:sz w:val="22"/>
          <w:szCs w:val="24"/>
        </w:rPr>
        <w:t xml:space="preserve">    招标范围：实施性方案设计招标,初步设计招标 【备注：除概念性方案设计，鼓励对实施性方案设计、初步设计、施工图设计进行设计总包招标。】 </w:t>
      </w:r>
    </w:p>
    <w:p w14:paraId="3C6E6C97">
      <w:pPr>
        <w:spacing w:line="360" w:lineRule="auto"/>
        <w:rPr>
          <w:rFonts w:hint="eastAsia"/>
          <w:sz w:val="22"/>
          <w:szCs w:val="24"/>
        </w:rPr>
      </w:pPr>
      <w:r>
        <w:rPr>
          <w:rFonts w:hint="eastAsia"/>
          <w:sz w:val="22"/>
          <w:szCs w:val="24"/>
        </w:rPr>
        <w:t>3.投标人资格要求</w:t>
      </w:r>
    </w:p>
    <w:p w14:paraId="2F950910">
      <w:pPr>
        <w:spacing w:line="360" w:lineRule="auto"/>
        <w:rPr>
          <w:rFonts w:hint="eastAsia"/>
          <w:sz w:val="22"/>
          <w:szCs w:val="24"/>
        </w:rPr>
      </w:pPr>
      <w:r>
        <w:rPr>
          <w:rFonts w:hint="eastAsia"/>
          <w:sz w:val="22"/>
          <w:szCs w:val="24"/>
        </w:rPr>
        <w:t xml:space="preserve">    3.1本次招标要求投标人须已办理“广西建筑市场监管云平台”（以下简称：“桂建云”）入库手续并处于有效状态， 具备以下资质之一：①工程设计综合甲级资质；②市政行业工程设计（排水工程）专业甲级资质；③市政行业工程设计甲级资质资质 【备注：招标人应根据国家法律法规对企业资质等级许可的相关规定以及招标项目特点，合理设置设计单位资质类别和等级，不得提高资质等级要求。】 ，并在人员方面具有相应的设计能力。其中，项目负责人的资格要求：排水工程相关专业高级工程师及以上职称，且已录入“桂建云”并处于有效状态。 </w:t>
      </w:r>
    </w:p>
    <w:p w14:paraId="7C06834E">
      <w:pPr>
        <w:spacing w:line="360" w:lineRule="auto"/>
        <w:rPr>
          <w:rFonts w:hint="eastAsia"/>
          <w:sz w:val="22"/>
          <w:szCs w:val="24"/>
        </w:rPr>
      </w:pPr>
      <w:r>
        <w:rPr>
          <w:rFonts w:hint="eastAsia"/>
          <w:sz w:val="22"/>
          <w:szCs w:val="24"/>
        </w:rPr>
        <w:t xml:space="preserve">    3.2业绩要求： 无要求。 </w:t>
      </w:r>
    </w:p>
    <w:p w14:paraId="76BCD608">
      <w:pPr>
        <w:spacing w:line="360" w:lineRule="auto"/>
        <w:rPr>
          <w:rFonts w:hint="eastAsia"/>
          <w:sz w:val="22"/>
          <w:szCs w:val="24"/>
        </w:rPr>
      </w:pPr>
      <w:r>
        <w:rPr>
          <w:rFonts w:hint="eastAsia"/>
          <w:sz w:val="22"/>
          <w:szCs w:val="24"/>
        </w:rPr>
        <w:t xml:space="preserve">    3.3本次招标不接受联合体投标。 </w:t>
      </w:r>
    </w:p>
    <w:p w14:paraId="339F22B6">
      <w:pPr>
        <w:spacing w:line="360" w:lineRule="auto"/>
        <w:rPr>
          <w:rFonts w:hint="eastAsia"/>
          <w:sz w:val="22"/>
          <w:szCs w:val="24"/>
        </w:rPr>
      </w:pPr>
      <w:r>
        <w:rPr>
          <w:rFonts w:hint="eastAsia"/>
          <w:sz w:val="22"/>
          <w:szCs w:val="24"/>
        </w:rPr>
        <w:t xml:space="preserve">    3.4投标人信息以“桂建云”系统上的信息为准。 </w:t>
      </w:r>
    </w:p>
    <w:p w14:paraId="1F764C6E">
      <w:pPr>
        <w:spacing w:line="360" w:lineRule="auto"/>
        <w:rPr>
          <w:rFonts w:hint="eastAsia"/>
          <w:sz w:val="22"/>
          <w:szCs w:val="24"/>
        </w:rPr>
      </w:pPr>
      <w:r>
        <w:rPr>
          <w:rFonts w:hint="eastAsia"/>
          <w:sz w:val="22"/>
          <w:szCs w:val="24"/>
        </w:rPr>
        <w:t>    3.5 本项目属于政府采购服务项目：</w:t>
      </w:r>
    </w:p>
    <w:p w14:paraId="05453276">
      <w:pPr>
        <w:spacing w:line="360" w:lineRule="auto"/>
        <w:rPr>
          <w:rFonts w:hint="eastAsia"/>
          <w:sz w:val="22"/>
          <w:szCs w:val="24"/>
        </w:rPr>
      </w:pPr>
      <w:r>
        <w:rPr>
          <w:rFonts w:hint="eastAsia"/>
          <w:sz w:val="22"/>
          <w:szCs w:val="24"/>
        </w:rPr>
        <w:t>    标段为未预留份额专门面向中小企业采购的项目，落实政府采购政策需满足的资格要求：无。</w:t>
      </w:r>
    </w:p>
    <w:p w14:paraId="69571637">
      <w:pPr>
        <w:spacing w:line="360" w:lineRule="auto"/>
        <w:rPr>
          <w:rFonts w:hint="eastAsia"/>
          <w:sz w:val="22"/>
          <w:szCs w:val="24"/>
        </w:rPr>
      </w:pPr>
      <w:r>
        <w:rPr>
          <w:rFonts w:hint="eastAsia"/>
          <w:sz w:val="22"/>
          <w:szCs w:val="24"/>
        </w:rPr>
        <w:t>4.技术成果经济补偿</w:t>
      </w:r>
    </w:p>
    <w:p w14:paraId="27493FBC">
      <w:pPr>
        <w:spacing w:line="360" w:lineRule="auto"/>
        <w:rPr>
          <w:rFonts w:hint="eastAsia"/>
          <w:sz w:val="22"/>
          <w:szCs w:val="24"/>
        </w:rPr>
      </w:pPr>
      <w:r>
        <w:rPr>
          <w:rFonts w:hint="eastAsia"/>
          <w:sz w:val="22"/>
          <w:szCs w:val="24"/>
        </w:rPr>
        <w:t>    本次招标对未中标人投标文件中的技术成果不给予经济补偿。</w:t>
      </w:r>
    </w:p>
    <w:p w14:paraId="67C0015F">
      <w:pPr>
        <w:spacing w:line="360" w:lineRule="auto"/>
        <w:rPr>
          <w:rFonts w:hint="eastAsia"/>
          <w:sz w:val="22"/>
          <w:szCs w:val="24"/>
        </w:rPr>
      </w:pPr>
      <w:r>
        <w:rPr>
          <w:rFonts w:hint="eastAsia"/>
          <w:sz w:val="22"/>
          <w:szCs w:val="24"/>
        </w:rPr>
        <w:t>5.招标文件的获取</w:t>
      </w:r>
    </w:p>
    <w:p w14:paraId="7C557165">
      <w:pPr>
        <w:spacing w:line="360" w:lineRule="auto"/>
        <w:rPr>
          <w:rFonts w:hint="eastAsia"/>
          <w:sz w:val="22"/>
          <w:szCs w:val="24"/>
        </w:rPr>
      </w:pPr>
      <w:r>
        <w:rPr>
          <w:rFonts w:hint="eastAsia"/>
          <w:sz w:val="22"/>
          <w:szCs w:val="24"/>
        </w:rPr>
        <w:t>    5.1凡有意参加投标者，请于</w:t>
      </w:r>
      <w:r>
        <w:rPr>
          <w:rFonts w:hint="eastAsia"/>
          <w:sz w:val="22"/>
          <w:szCs w:val="24"/>
          <w:lang w:val="en-US" w:eastAsia="zh-CN"/>
        </w:rPr>
        <w:t>2025年12月25日</w:t>
      </w:r>
      <w:r>
        <w:rPr>
          <w:rFonts w:hint="eastAsia"/>
          <w:sz w:val="22"/>
          <w:szCs w:val="24"/>
        </w:rPr>
        <w:t>至投标文件递交的截止时间止（不少于20日），由潜在投标人登录全国公共资源交易平台（广西·玉林)免费下载招标文件。</w:t>
      </w:r>
    </w:p>
    <w:p w14:paraId="23FE89AB">
      <w:pPr>
        <w:spacing w:line="360" w:lineRule="auto"/>
        <w:rPr>
          <w:rFonts w:hint="eastAsia"/>
          <w:sz w:val="22"/>
          <w:szCs w:val="24"/>
        </w:rPr>
      </w:pPr>
      <w:r>
        <w:rPr>
          <w:rFonts w:hint="eastAsia"/>
          <w:sz w:val="22"/>
          <w:szCs w:val="24"/>
        </w:rPr>
        <w:t>6.投标文件的递交及不见面开标说明</w:t>
      </w:r>
    </w:p>
    <w:p w14:paraId="01842EDA">
      <w:pPr>
        <w:spacing w:line="360" w:lineRule="auto"/>
        <w:rPr>
          <w:rFonts w:hint="eastAsia"/>
          <w:sz w:val="22"/>
          <w:szCs w:val="24"/>
        </w:rPr>
      </w:pPr>
      <w:r>
        <w:rPr>
          <w:rFonts w:hint="eastAsia"/>
          <w:sz w:val="22"/>
          <w:szCs w:val="24"/>
        </w:rPr>
        <w:t>    6.1投标文件应通过全国公共资源交易平台（广西玉林）(http://ggzy.jgswj.gxzf.gov.cn/ylggzy/)提交，截止时间（投标截止时间，下同）为</w:t>
      </w:r>
      <w:r>
        <w:rPr>
          <w:rFonts w:hint="eastAsia"/>
          <w:sz w:val="22"/>
          <w:szCs w:val="24"/>
          <w:lang w:val="en-US" w:eastAsia="zh-CN"/>
        </w:rPr>
        <w:t>2026年01月15日北京时间09时30分</w:t>
      </w:r>
      <w:bookmarkStart w:id="0" w:name="_GoBack"/>
      <w:bookmarkEnd w:id="0"/>
      <w:r>
        <w:rPr>
          <w:rFonts w:hint="eastAsia"/>
          <w:sz w:val="22"/>
          <w:szCs w:val="24"/>
        </w:rPr>
        <w:t>。</w:t>
      </w:r>
    </w:p>
    <w:p w14:paraId="4ED7A4B2">
      <w:pPr>
        <w:spacing w:line="360" w:lineRule="auto"/>
        <w:rPr>
          <w:rFonts w:hint="eastAsia"/>
          <w:sz w:val="22"/>
          <w:szCs w:val="24"/>
        </w:rPr>
      </w:pPr>
      <w:r>
        <w:rPr>
          <w:rFonts w:hint="eastAsia"/>
          <w:sz w:val="22"/>
          <w:szCs w:val="24"/>
        </w:rPr>
        <w:t xml:space="preserve">    6.2投标人在投标截止前登录全国公共资源交易平台（广西玉林）(http://ggzy.jgswj.gxzf.gov.cn/ylggzy/)上传加密的电子投标文件。投标截止后招标代理公布投标人名单，投标人代表通过广西壮族自治区网上开标子系统（http://171.109.4.245:8888/BidOpening/）使用个人CA锁进行开标签到，解密环节时间结束前均可签到；由招标代理机构点击进入投标文件解密环节，解密环节时间为60分钟，投标人使用加密投标文件的CA锁解密投标文件，签到完成后才可进行投标文件的解密。在规定时间内，投标人应通过广西壮族自治区网上开标子系统完成签到及解密，否则，视为投标人撤销其投标文件。如投标人代表需到现场参加开标的，需持本人身份证原件或公安系统生成的电子身份证和加盖公章的身份证复印件（法定代表人参加现场开标会时，只需提供法定代表人身份证明及法定代表人身份证原件）现场核验。如投标人需在现场进行网上开标室签到和投标文件解密的，须自行携带手提电脑、个人CA锁、企业CA锁进入开标现场。由于投标人原因造成签到不成功或投标文件不能解密的后果由投标人自行承担。 </w:t>
      </w:r>
    </w:p>
    <w:p w14:paraId="72DCA310">
      <w:pPr>
        <w:spacing w:line="360" w:lineRule="auto"/>
        <w:rPr>
          <w:rFonts w:hint="eastAsia"/>
          <w:sz w:val="22"/>
          <w:szCs w:val="24"/>
        </w:rPr>
      </w:pPr>
      <w:r>
        <w:rPr>
          <w:rFonts w:hint="eastAsia"/>
          <w:sz w:val="22"/>
          <w:szCs w:val="24"/>
        </w:rPr>
        <w:t xml:space="preserve">    6.3 广西壮族自治区网上开标子系统（不见面）登录方式：各投标人使用IE浏览器（IE11版本）打开登录页面（登录地址：http://171.109.4.245:8888/BidOpening/）， 使用CA锁或“桂交易移动CA”登录。使用“桂交易移动CA”投标的操作流程，详见“桂交易移动CA”APP下载 </w:t>
      </w:r>
    </w:p>
    <w:p w14:paraId="314F1BE6">
      <w:pPr>
        <w:spacing w:line="360" w:lineRule="auto"/>
        <w:rPr>
          <w:rFonts w:hint="eastAsia"/>
          <w:sz w:val="22"/>
          <w:szCs w:val="24"/>
        </w:rPr>
      </w:pPr>
      <w:r>
        <w:rPr>
          <w:rFonts w:hint="eastAsia"/>
          <w:sz w:val="22"/>
          <w:szCs w:val="24"/>
        </w:rPr>
        <w:t xml:space="preserve">    6.4 以“桂交易移动CA”制作的投标文件，只能用生成投标文件时加密投标文件的“桂交易移动CA”证书解密，以CA锁制作的投标文件，只能用生成投标文件时加密投标文件CA证书解密。 </w:t>
      </w:r>
    </w:p>
    <w:p w14:paraId="0B8F2AC2">
      <w:pPr>
        <w:spacing w:line="360" w:lineRule="auto"/>
        <w:rPr>
          <w:rFonts w:hint="eastAsia"/>
          <w:sz w:val="22"/>
          <w:szCs w:val="24"/>
        </w:rPr>
      </w:pPr>
      <w:r>
        <w:rPr>
          <w:rFonts w:hint="eastAsia"/>
          <w:sz w:val="22"/>
          <w:szCs w:val="24"/>
        </w:rPr>
        <w:t xml:space="preserve">    6.5 投标人及时到广西壮族自治区公共资源交易中心办理个人CA，投标人代表采用个人CA进行开标签到及开标记录表签章，不再支持企业CA代替签到、签章。办理方式详见网址：http://ggzy.jgswj.gxzf.gov.cn/gxggzy/CAhrpt/CAlogin.html </w:t>
      </w:r>
    </w:p>
    <w:p w14:paraId="302B4D52">
      <w:pPr>
        <w:spacing w:line="360" w:lineRule="auto"/>
        <w:rPr>
          <w:rFonts w:hint="eastAsia"/>
          <w:sz w:val="22"/>
          <w:szCs w:val="24"/>
        </w:rPr>
      </w:pPr>
      <w:r>
        <w:rPr>
          <w:rFonts w:hint="eastAsia"/>
          <w:sz w:val="22"/>
          <w:szCs w:val="24"/>
        </w:rPr>
        <w:t>7.评标方式</w:t>
      </w:r>
    </w:p>
    <w:p w14:paraId="37FDAFF6">
      <w:pPr>
        <w:spacing w:line="360" w:lineRule="auto"/>
        <w:rPr>
          <w:rFonts w:hint="eastAsia"/>
          <w:sz w:val="22"/>
          <w:szCs w:val="24"/>
        </w:rPr>
      </w:pPr>
      <w:r>
        <w:rPr>
          <w:rFonts w:hint="eastAsia"/>
          <w:sz w:val="22"/>
          <w:szCs w:val="24"/>
        </w:rPr>
        <w:t>    综合评估法（设计方案招标）</w:t>
      </w:r>
    </w:p>
    <w:p w14:paraId="51CE6D65">
      <w:pPr>
        <w:spacing w:line="360" w:lineRule="auto"/>
        <w:rPr>
          <w:rFonts w:hint="eastAsia"/>
          <w:sz w:val="22"/>
          <w:szCs w:val="24"/>
        </w:rPr>
      </w:pPr>
      <w:r>
        <w:rPr>
          <w:rFonts w:hint="eastAsia"/>
          <w:sz w:val="22"/>
          <w:szCs w:val="24"/>
        </w:rPr>
        <w:t>8.设计费用支付方式</w:t>
      </w:r>
    </w:p>
    <w:p w14:paraId="78E8B7B0">
      <w:pPr>
        <w:spacing w:line="360" w:lineRule="auto"/>
        <w:rPr>
          <w:rFonts w:hint="eastAsia"/>
          <w:sz w:val="22"/>
          <w:szCs w:val="24"/>
        </w:rPr>
      </w:pPr>
      <w:r>
        <w:rPr>
          <w:rFonts w:hint="eastAsia"/>
          <w:sz w:val="22"/>
          <w:szCs w:val="24"/>
        </w:rPr>
        <w:t>    </w:t>
      </w:r>
    </w:p>
    <w:p w14:paraId="1C8D4C3A">
      <w:pPr>
        <w:spacing w:line="360" w:lineRule="auto"/>
        <w:rPr>
          <w:rFonts w:hint="eastAsia"/>
          <w:sz w:val="22"/>
          <w:szCs w:val="24"/>
        </w:rPr>
      </w:pPr>
      <w:r>
        <w:rPr>
          <w:rFonts w:hint="eastAsia"/>
          <w:sz w:val="22"/>
          <w:szCs w:val="24"/>
        </w:rPr>
        <w:t>详见合同条款。</w:t>
      </w:r>
    </w:p>
    <w:p w14:paraId="57575BC5">
      <w:pPr>
        <w:spacing w:line="360" w:lineRule="auto"/>
        <w:rPr>
          <w:rFonts w:hint="eastAsia"/>
          <w:sz w:val="22"/>
          <w:szCs w:val="24"/>
        </w:rPr>
      </w:pPr>
    </w:p>
    <w:p w14:paraId="4C7D9B4B">
      <w:pPr>
        <w:spacing w:line="360" w:lineRule="auto"/>
        <w:rPr>
          <w:rFonts w:hint="eastAsia"/>
          <w:sz w:val="22"/>
          <w:szCs w:val="24"/>
        </w:rPr>
      </w:pPr>
    </w:p>
    <w:p w14:paraId="1AD19FB6">
      <w:pPr>
        <w:spacing w:line="360" w:lineRule="auto"/>
        <w:rPr>
          <w:rFonts w:hint="eastAsia"/>
          <w:sz w:val="22"/>
          <w:szCs w:val="24"/>
        </w:rPr>
      </w:pPr>
      <w:r>
        <w:rPr>
          <w:rFonts w:hint="eastAsia"/>
          <w:sz w:val="22"/>
          <w:szCs w:val="24"/>
        </w:rPr>
        <w:t>9.本项目要求采用新型技术（可选）</w:t>
      </w:r>
    </w:p>
    <w:p w14:paraId="67CF5EEE">
      <w:pPr>
        <w:spacing w:line="360" w:lineRule="auto"/>
        <w:rPr>
          <w:rFonts w:hint="eastAsia"/>
          <w:sz w:val="22"/>
          <w:szCs w:val="24"/>
        </w:rPr>
      </w:pPr>
      <w:r>
        <w:rPr>
          <w:rFonts w:hint="eastAsia"/>
          <w:sz w:val="22"/>
          <w:szCs w:val="24"/>
        </w:rPr>
        <w:t xml:space="preserve">    无 </w:t>
      </w:r>
    </w:p>
    <w:p w14:paraId="3BD34900">
      <w:pPr>
        <w:spacing w:line="360" w:lineRule="auto"/>
        <w:rPr>
          <w:rFonts w:hint="eastAsia"/>
          <w:sz w:val="22"/>
          <w:szCs w:val="24"/>
        </w:rPr>
      </w:pPr>
      <w:r>
        <w:rPr>
          <w:rFonts w:hint="eastAsia"/>
          <w:sz w:val="22"/>
          <w:szCs w:val="24"/>
        </w:rPr>
        <w:t>10.发布公告的媒介</w:t>
      </w:r>
    </w:p>
    <w:p w14:paraId="4A8965F2">
      <w:pPr>
        <w:spacing w:line="360" w:lineRule="auto"/>
        <w:rPr>
          <w:rFonts w:hint="eastAsia"/>
          <w:sz w:val="22"/>
          <w:szCs w:val="24"/>
        </w:rPr>
      </w:pPr>
      <w:r>
        <w:rPr>
          <w:rFonts w:hint="eastAsia"/>
          <w:sz w:val="22"/>
          <w:szCs w:val="24"/>
        </w:rPr>
        <w:t xml:space="preserve">    本次招标公告同时在广西壮族自治区政府采购网zfcg.gxzf.gov.cn、广西壮族自治区招标投标公共服务平台ztb.gxi.gov.cn、全国公共资源交易平台（广西•玉林）ggzy.yulin.gov.cn、广西玉林市人民政府门户网www.yulin.gov.cn发布。【备注：实行招标投标的政府采购服务项目还应当同时在中国政府采购网www.ccgp.gov.cn、广西壮族自治区政府采购网zfcg.gxzf.gov.cn上发布。】 </w:t>
      </w:r>
    </w:p>
    <w:p w14:paraId="29FD6105">
      <w:pPr>
        <w:spacing w:line="360" w:lineRule="auto"/>
        <w:rPr>
          <w:rFonts w:hint="eastAsia"/>
          <w:sz w:val="22"/>
          <w:szCs w:val="24"/>
        </w:rPr>
      </w:pPr>
      <w:r>
        <w:rPr>
          <w:rFonts w:hint="eastAsia"/>
          <w:sz w:val="22"/>
          <w:szCs w:val="24"/>
        </w:rPr>
        <w:t>11.交易服务单位</w:t>
      </w:r>
    </w:p>
    <w:p w14:paraId="3A5AE770">
      <w:pPr>
        <w:spacing w:line="360" w:lineRule="auto"/>
        <w:rPr>
          <w:rFonts w:hint="eastAsia"/>
          <w:sz w:val="22"/>
          <w:szCs w:val="24"/>
        </w:rPr>
      </w:pPr>
      <w:r>
        <w:rPr>
          <w:rFonts w:hint="eastAsia"/>
          <w:sz w:val="22"/>
          <w:szCs w:val="24"/>
        </w:rPr>
        <w:t xml:space="preserve">    玉林市公共资源交易中心。 </w:t>
      </w:r>
    </w:p>
    <w:p w14:paraId="68F045DD">
      <w:pPr>
        <w:spacing w:line="360" w:lineRule="auto"/>
        <w:rPr>
          <w:rFonts w:hint="eastAsia"/>
          <w:sz w:val="22"/>
          <w:szCs w:val="24"/>
        </w:rPr>
      </w:pPr>
      <w:r>
        <w:rPr>
          <w:rFonts w:hint="eastAsia"/>
          <w:sz w:val="22"/>
          <w:szCs w:val="24"/>
        </w:rPr>
        <w:t>12.监督部门及电话</w:t>
      </w:r>
    </w:p>
    <w:p w14:paraId="65C3150C">
      <w:pPr>
        <w:spacing w:line="360" w:lineRule="auto"/>
        <w:rPr>
          <w:rFonts w:hint="eastAsia"/>
          <w:sz w:val="22"/>
          <w:szCs w:val="24"/>
        </w:rPr>
      </w:pPr>
      <w:r>
        <w:rPr>
          <w:rFonts w:hint="eastAsia"/>
          <w:sz w:val="22"/>
          <w:szCs w:val="24"/>
        </w:rPr>
        <w:t>    广西玉林高新产业技术开发区管理委员会规划建设和应急管理部。</w:t>
      </w:r>
    </w:p>
    <w:p w14:paraId="21BFEAA3">
      <w:pPr>
        <w:spacing w:line="360" w:lineRule="auto"/>
        <w:rPr>
          <w:rFonts w:hint="eastAsia"/>
          <w:sz w:val="22"/>
          <w:szCs w:val="24"/>
        </w:rPr>
      </w:pPr>
      <w:r>
        <w:rPr>
          <w:rFonts w:hint="eastAsia"/>
          <w:sz w:val="22"/>
          <w:szCs w:val="24"/>
        </w:rPr>
        <w:t xml:space="preserve">    电话:0775-2670707。 </w:t>
      </w:r>
    </w:p>
    <w:p w14:paraId="28BA8878">
      <w:pPr>
        <w:spacing w:line="360" w:lineRule="auto"/>
        <w:rPr>
          <w:rFonts w:hint="eastAsia"/>
          <w:sz w:val="22"/>
          <w:szCs w:val="24"/>
        </w:rPr>
      </w:pPr>
      <w:r>
        <w:rPr>
          <w:rFonts w:hint="eastAsia"/>
          <w:sz w:val="22"/>
          <w:szCs w:val="24"/>
        </w:rPr>
        <w:t>13.注意事项</w:t>
      </w:r>
    </w:p>
    <w:p w14:paraId="0673D9EA">
      <w:pPr>
        <w:spacing w:line="360" w:lineRule="auto"/>
        <w:rPr>
          <w:rFonts w:hint="eastAsia"/>
          <w:sz w:val="22"/>
          <w:szCs w:val="24"/>
        </w:rPr>
      </w:pPr>
      <w:r>
        <w:rPr>
          <w:rFonts w:hint="eastAsia"/>
          <w:sz w:val="22"/>
          <w:szCs w:val="24"/>
        </w:rPr>
        <w:t>    潜在投标人必须录入“桂建云”系统，“桂建云”系统登录地址：http://gxjzsc.caihcloud.com/。 由于“桂建云”系统与全国公共资源交易平台（广西玉林）(http://ggzy.jgswj.gxzf.gov.cn/ylggzy/)的相关信息同步存在时间差（非实时同步，每天晚上同步一次）， 投标人应自行预留足够的时间将所需投标材料上传至“桂建云”，若因投标人原因未能同步的，后果自行负责。</w:t>
      </w:r>
    </w:p>
    <w:p w14:paraId="4B9304B4">
      <w:pPr>
        <w:spacing w:line="360" w:lineRule="auto"/>
        <w:rPr>
          <w:rFonts w:hint="eastAsia"/>
          <w:sz w:val="22"/>
          <w:szCs w:val="24"/>
        </w:rPr>
      </w:pPr>
      <w:r>
        <w:rPr>
          <w:rFonts w:hint="eastAsia"/>
          <w:sz w:val="22"/>
          <w:szCs w:val="24"/>
        </w:rPr>
        <w:t>14.联系方式</w:t>
      </w:r>
    </w:p>
    <w:p w14:paraId="3DEF7BB2">
      <w:pPr>
        <w:spacing w:line="360" w:lineRule="auto"/>
        <w:rPr>
          <w:rFonts w:hint="default" w:eastAsia="宋体"/>
          <w:sz w:val="22"/>
          <w:szCs w:val="24"/>
          <w:lang w:val="en-US" w:eastAsia="zh-CN"/>
        </w:rPr>
      </w:pPr>
      <w:r>
        <w:rPr>
          <w:rFonts w:hint="eastAsia"/>
          <w:sz w:val="22"/>
          <w:szCs w:val="24"/>
        </w:rPr>
        <w:t>招标人:</w:t>
      </w:r>
      <w:r>
        <w:rPr>
          <w:rFonts w:hint="eastAsia"/>
          <w:sz w:val="22"/>
          <w:szCs w:val="24"/>
        </w:rPr>
        <w:tab/>
      </w:r>
      <w:r>
        <w:rPr>
          <w:rFonts w:hint="eastAsia"/>
          <w:sz w:val="22"/>
          <w:szCs w:val="24"/>
        </w:rPr>
        <w:t>广西玉林高新产业技术开发区管理委员</w:t>
      </w:r>
      <w:r>
        <w:rPr>
          <w:rFonts w:hint="eastAsia"/>
          <w:sz w:val="22"/>
          <w:szCs w:val="24"/>
          <w:lang w:val="en-US" w:eastAsia="zh-CN"/>
        </w:rPr>
        <w:t xml:space="preserve">        </w:t>
      </w:r>
      <w:r>
        <w:rPr>
          <w:rFonts w:hint="eastAsia"/>
          <w:sz w:val="22"/>
          <w:szCs w:val="24"/>
        </w:rPr>
        <w:t>招标代理机构</w:t>
      </w:r>
      <w:r>
        <w:rPr>
          <w:rFonts w:hint="eastAsia"/>
          <w:sz w:val="22"/>
          <w:szCs w:val="24"/>
          <w:lang w:eastAsia="zh-CN"/>
        </w:rPr>
        <w:t>：</w:t>
      </w:r>
      <w:r>
        <w:rPr>
          <w:rFonts w:hint="eastAsia"/>
          <w:sz w:val="22"/>
          <w:szCs w:val="24"/>
        </w:rPr>
        <w:t>法正项目管理集团有限公司</w:t>
      </w:r>
    </w:p>
    <w:p w14:paraId="01F7CAB7">
      <w:pPr>
        <w:spacing w:line="360" w:lineRule="auto"/>
        <w:rPr>
          <w:rFonts w:hint="eastAsia"/>
          <w:sz w:val="22"/>
          <w:szCs w:val="24"/>
        </w:rPr>
      </w:pPr>
      <w:r>
        <w:rPr>
          <w:rFonts w:hint="eastAsia"/>
          <w:sz w:val="22"/>
          <w:szCs w:val="24"/>
        </w:rPr>
        <w:t>会规划建设和应急管理部</w:t>
      </w:r>
      <w:r>
        <w:rPr>
          <w:rFonts w:hint="eastAsia"/>
          <w:sz w:val="22"/>
          <w:szCs w:val="24"/>
        </w:rPr>
        <w:tab/>
      </w:r>
    </w:p>
    <w:p w14:paraId="436B53E5">
      <w:pPr>
        <w:spacing w:line="360" w:lineRule="auto"/>
        <w:rPr>
          <w:rFonts w:hint="eastAsia"/>
          <w:sz w:val="22"/>
          <w:szCs w:val="24"/>
        </w:rPr>
      </w:pPr>
      <w:r>
        <w:rPr>
          <w:rFonts w:hint="eastAsia"/>
          <w:sz w:val="22"/>
          <w:szCs w:val="24"/>
        </w:rPr>
        <w:t>地址:</w:t>
      </w:r>
      <w:r>
        <w:rPr>
          <w:rFonts w:hint="eastAsia"/>
          <w:sz w:val="22"/>
          <w:szCs w:val="24"/>
        </w:rPr>
        <w:tab/>
      </w:r>
      <w:r>
        <w:rPr>
          <w:rFonts w:hint="eastAsia"/>
          <w:sz w:val="22"/>
          <w:szCs w:val="24"/>
        </w:rPr>
        <w:t>玉林市玉州区纵一路玉东幸福家园北侧</w:t>
      </w:r>
      <w:r>
        <w:rPr>
          <w:rFonts w:hint="eastAsia"/>
          <w:sz w:val="22"/>
          <w:szCs w:val="24"/>
        </w:rPr>
        <w:tab/>
      </w:r>
      <w:r>
        <w:rPr>
          <w:rFonts w:hint="eastAsia"/>
          <w:sz w:val="22"/>
          <w:szCs w:val="24"/>
          <w:lang w:val="en-US" w:eastAsia="zh-CN"/>
        </w:rPr>
        <w:t xml:space="preserve">        </w:t>
      </w:r>
      <w:r>
        <w:rPr>
          <w:rFonts w:hint="eastAsia"/>
          <w:sz w:val="22"/>
          <w:szCs w:val="24"/>
        </w:rPr>
        <w:t>地址:玉林市玉州区大同路7号尚东同德苑</w:t>
      </w:r>
    </w:p>
    <w:p w14:paraId="437BA55F">
      <w:pPr>
        <w:spacing w:line="360" w:lineRule="auto"/>
        <w:ind w:firstLine="6160" w:firstLineChars="2800"/>
        <w:rPr>
          <w:rFonts w:hint="eastAsia"/>
          <w:sz w:val="22"/>
          <w:szCs w:val="24"/>
        </w:rPr>
      </w:pPr>
      <w:r>
        <w:rPr>
          <w:rFonts w:hint="eastAsia"/>
          <w:sz w:val="22"/>
          <w:szCs w:val="24"/>
        </w:rPr>
        <w:t>小区6幢1801号房</w:t>
      </w:r>
    </w:p>
    <w:p w14:paraId="2F5BCB46">
      <w:pPr>
        <w:spacing w:line="360" w:lineRule="auto"/>
        <w:rPr>
          <w:rFonts w:hint="eastAsia"/>
          <w:sz w:val="22"/>
          <w:szCs w:val="24"/>
        </w:rPr>
      </w:pPr>
      <w:r>
        <w:rPr>
          <w:rFonts w:hint="eastAsia"/>
          <w:sz w:val="22"/>
          <w:szCs w:val="24"/>
        </w:rPr>
        <w:t>邮编:</w:t>
      </w:r>
      <w:r>
        <w:rPr>
          <w:rFonts w:hint="eastAsia"/>
          <w:sz w:val="22"/>
          <w:szCs w:val="24"/>
        </w:rPr>
        <w:tab/>
      </w:r>
      <w:r>
        <w:rPr>
          <w:rFonts w:hint="eastAsia"/>
          <w:sz w:val="22"/>
          <w:szCs w:val="24"/>
        </w:rPr>
        <w:t>537000</w:t>
      </w:r>
      <w:r>
        <w:rPr>
          <w:rFonts w:hint="eastAsia"/>
          <w:sz w:val="22"/>
          <w:szCs w:val="24"/>
        </w:rPr>
        <w:tab/>
      </w:r>
      <w:r>
        <w:rPr>
          <w:rFonts w:hint="eastAsia"/>
          <w:sz w:val="22"/>
          <w:szCs w:val="24"/>
          <w:lang w:val="en-US" w:eastAsia="zh-CN"/>
        </w:rPr>
        <w:t xml:space="preserve">                                   </w:t>
      </w:r>
      <w:r>
        <w:rPr>
          <w:rFonts w:hint="eastAsia"/>
          <w:sz w:val="22"/>
          <w:szCs w:val="24"/>
        </w:rPr>
        <w:t>邮编:</w:t>
      </w:r>
      <w:r>
        <w:rPr>
          <w:rFonts w:hint="eastAsia"/>
          <w:sz w:val="22"/>
          <w:szCs w:val="24"/>
        </w:rPr>
        <w:tab/>
      </w:r>
      <w:r>
        <w:rPr>
          <w:rFonts w:hint="eastAsia"/>
          <w:sz w:val="22"/>
          <w:szCs w:val="24"/>
        </w:rPr>
        <w:t>537000</w:t>
      </w:r>
    </w:p>
    <w:p w14:paraId="6BE57F9E">
      <w:pPr>
        <w:spacing w:line="360" w:lineRule="auto"/>
        <w:rPr>
          <w:rFonts w:hint="eastAsia" w:eastAsia="宋体"/>
          <w:sz w:val="22"/>
          <w:szCs w:val="24"/>
          <w:lang w:eastAsia="zh-CN"/>
        </w:rPr>
      </w:pPr>
      <w:r>
        <w:rPr>
          <w:rFonts w:hint="eastAsia"/>
          <w:sz w:val="22"/>
          <w:szCs w:val="24"/>
        </w:rPr>
        <w:t>联系人:</w:t>
      </w:r>
      <w:r>
        <w:rPr>
          <w:rFonts w:hint="eastAsia"/>
          <w:sz w:val="22"/>
          <w:szCs w:val="24"/>
        </w:rPr>
        <w:tab/>
      </w:r>
      <w:r>
        <w:rPr>
          <w:rFonts w:hint="eastAsia"/>
          <w:sz w:val="22"/>
          <w:szCs w:val="24"/>
        </w:rPr>
        <w:t>凌琪森</w:t>
      </w:r>
      <w:r>
        <w:rPr>
          <w:rFonts w:hint="eastAsia"/>
          <w:sz w:val="22"/>
          <w:szCs w:val="24"/>
        </w:rPr>
        <w:tab/>
      </w:r>
      <w:r>
        <w:rPr>
          <w:rFonts w:hint="eastAsia"/>
          <w:sz w:val="22"/>
          <w:szCs w:val="24"/>
          <w:lang w:val="en-US" w:eastAsia="zh-CN"/>
        </w:rPr>
        <w:t xml:space="preserve">                                   </w:t>
      </w:r>
      <w:r>
        <w:rPr>
          <w:rFonts w:hint="eastAsia"/>
          <w:sz w:val="22"/>
          <w:szCs w:val="24"/>
        </w:rPr>
        <w:t>联系人:</w:t>
      </w:r>
      <w:r>
        <w:rPr>
          <w:rFonts w:hint="eastAsia"/>
          <w:sz w:val="22"/>
          <w:szCs w:val="24"/>
        </w:rPr>
        <w:tab/>
      </w:r>
      <w:r>
        <w:rPr>
          <w:rFonts w:hint="eastAsia"/>
          <w:sz w:val="22"/>
          <w:szCs w:val="24"/>
        </w:rPr>
        <w:t>李</w:t>
      </w:r>
      <w:r>
        <w:rPr>
          <w:rFonts w:hint="eastAsia"/>
          <w:sz w:val="22"/>
          <w:szCs w:val="24"/>
          <w:lang w:val="en-US" w:eastAsia="zh-CN"/>
        </w:rPr>
        <w:t>琳</w:t>
      </w:r>
    </w:p>
    <w:p w14:paraId="5830E8CE">
      <w:pPr>
        <w:spacing w:line="360" w:lineRule="auto"/>
        <w:rPr>
          <w:rFonts w:hint="eastAsia"/>
          <w:sz w:val="22"/>
          <w:szCs w:val="24"/>
        </w:rPr>
      </w:pPr>
      <w:r>
        <w:rPr>
          <w:rFonts w:hint="eastAsia"/>
          <w:sz w:val="22"/>
          <w:szCs w:val="24"/>
        </w:rPr>
        <w:t>电话:</w:t>
      </w:r>
      <w:r>
        <w:rPr>
          <w:rFonts w:hint="eastAsia"/>
          <w:sz w:val="22"/>
          <w:szCs w:val="24"/>
        </w:rPr>
        <w:tab/>
      </w:r>
      <w:r>
        <w:rPr>
          <w:rFonts w:hint="eastAsia"/>
          <w:sz w:val="22"/>
          <w:szCs w:val="24"/>
        </w:rPr>
        <w:t>0775-2672306</w:t>
      </w:r>
      <w:r>
        <w:rPr>
          <w:rFonts w:hint="eastAsia"/>
          <w:sz w:val="22"/>
          <w:szCs w:val="24"/>
        </w:rPr>
        <w:tab/>
      </w:r>
      <w:r>
        <w:rPr>
          <w:rFonts w:hint="eastAsia"/>
          <w:sz w:val="22"/>
          <w:szCs w:val="24"/>
          <w:lang w:val="en-US" w:eastAsia="zh-CN"/>
        </w:rPr>
        <w:t xml:space="preserve">                           </w:t>
      </w:r>
      <w:r>
        <w:rPr>
          <w:rFonts w:hint="eastAsia"/>
          <w:sz w:val="22"/>
          <w:szCs w:val="24"/>
        </w:rPr>
        <w:t>电话:</w:t>
      </w:r>
      <w:r>
        <w:rPr>
          <w:rFonts w:hint="eastAsia"/>
          <w:sz w:val="22"/>
          <w:szCs w:val="24"/>
        </w:rPr>
        <w:tab/>
      </w:r>
      <w:r>
        <w:rPr>
          <w:rFonts w:hint="eastAsia"/>
          <w:sz w:val="22"/>
          <w:szCs w:val="24"/>
        </w:rPr>
        <w:t>0775-2267528</w:t>
      </w:r>
    </w:p>
    <w:p w14:paraId="1575CDB5">
      <w:pPr>
        <w:spacing w:line="360" w:lineRule="auto"/>
        <w:rPr>
          <w:rFonts w:hint="eastAsia"/>
          <w:sz w:val="22"/>
          <w:szCs w:val="24"/>
        </w:rPr>
      </w:pPr>
      <w:r>
        <w:rPr>
          <w:rFonts w:hint="eastAsia"/>
          <w:sz w:val="22"/>
          <w:szCs w:val="24"/>
        </w:rPr>
        <w:t>传真:</w:t>
      </w:r>
      <w:r>
        <w:rPr>
          <w:rFonts w:hint="eastAsia"/>
          <w:sz w:val="22"/>
          <w:szCs w:val="24"/>
        </w:rPr>
        <w:tab/>
      </w:r>
      <w:r>
        <w:rPr>
          <w:rFonts w:hint="eastAsia"/>
          <w:sz w:val="22"/>
          <w:szCs w:val="24"/>
        </w:rPr>
        <w:t>/</w:t>
      </w:r>
      <w:r>
        <w:rPr>
          <w:rFonts w:hint="eastAsia"/>
          <w:sz w:val="22"/>
          <w:szCs w:val="24"/>
        </w:rPr>
        <w:tab/>
      </w:r>
      <w:r>
        <w:rPr>
          <w:rFonts w:hint="eastAsia"/>
          <w:sz w:val="22"/>
          <w:szCs w:val="24"/>
          <w:lang w:val="en-US" w:eastAsia="zh-CN"/>
        </w:rPr>
        <w:t xml:space="preserve">                                      </w:t>
      </w:r>
      <w:r>
        <w:rPr>
          <w:rFonts w:hint="eastAsia"/>
          <w:sz w:val="22"/>
          <w:szCs w:val="24"/>
        </w:rPr>
        <w:t>传真:</w:t>
      </w:r>
      <w:r>
        <w:rPr>
          <w:rFonts w:hint="eastAsia"/>
          <w:sz w:val="22"/>
          <w:szCs w:val="24"/>
        </w:rPr>
        <w:tab/>
      </w:r>
    </w:p>
    <w:p w14:paraId="0013E10B">
      <w:pPr>
        <w:spacing w:line="360" w:lineRule="auto"/>
        <w:rPr>
          <w:rFonts w:hint="eastAsia"/>
          <w:sz w:val="22"/>
          <w:szCs w:val="24"/>
        </w:rPr>
      </w:pPr>
      <w:r>
        <w:rPr>
          <w:rFonts w:hint="eastAsia"/>
          <w:sz w:val="22"/>
          <w:szCs w:val="24"/>
        </w:rPr>
        <w:t>电子邮箱:</w:t>
      </w:r>
      <w:r>
        <w:rPr>
          <w:rFonts w:hint="eastAsia"/>
          <w:sz w:val="22"/>
          <w:szCs w:val="24"/>
        </w:rPr>
        <w:tab/>
      </w:r>
      <w:r>
        <w:rPr>
          <w:rFonts w:hint="eastAsia"/>
          <w:sz w:val="22"/>
          <w:szCs w:val="24"/>
        </w:rPr>
        <w:tab/>
      </w:r>
      <w:r>
        <w:rPr>
          <w:rFonts w:hint="eastAsia"/>
          <w:sz w:val="22"/>
          <w:szCs w:val="24"/>
          <w:lang w:val="en-US" w:eastAsia="zh-CN"/>
        </w:rPr>
        <w:t xml:space="preserve">                                  </w:t>
      </w:r>
      <w:r>
        <w:rPr>
          <w:rFonts w:hint="eastAsia"/>
          <w:sz w:val="22"/>
          <w:szCs w:val="24"/>
        </w:rPr>
        <w:t>电子邮箱:</w:t>
      </w:r>
      <w:r>
        <w:rPr>
          <w:rFonts w:hint="eastAsia"/>
          <w:sz w:val="22"/>
          <w:szCs w:val="24"/>
        </w:rPr>
        <w:tab/>
      </w:r>
    </w:p>
    <w:p w14:paraId="34F9B4E6">
      <w:pPr>
        <w:spacing w:line="360" w:lineRule="auto"/>
        <w:rPr>
          <w:rFonts w:hint="eastAsia"/>
          <w:sz w:val="22"/>
          <w:szCs w:val="24"/>
        </w:rPr>
      </w:pPr>
      <w:r>
        <w:rPr>
          <w:rFonts w:hint="eastAsia"/>
          <w:sz w:val="22"/>
          <w:szCs w:val="24"/>
        </w:rPr>
        <w:t>网址:</w:t>
      </w:r>
      <w:r>
        <w:rPr>
          <w:rFonts w:hint="eastAsia"/>
          <w:sz w:val="22"/>
          <w:szCs w:val="24"/>
        </w:rPr>
        <w:tab/>
      </w:r>
      <w:r>
        <w:rPr>
          <w:rFonts w:hint="eastAsia"/>
          <w:sz w:val="22"/>
          <w:szCs w:val="24"/>
        </w:rPr>
        <w:tab/>
      </w:r>
      <w:r>
        <w:rPr>
          <w:rFonts w:hint="eastAsia"/>
          <w:sz w:val="22"/>
          <w:szCs w:val="24"/>
          <w:lang w:val="en-US" w:eastAsia="zh-CN"/>
        </w:rPr>
        <w:t xml:space="preserve">                                      </w:t>
      </w:r>
      <w:r>
        <w:rPr>
          <w:rFonts w:hint="eastAsia"/>
          <w:sz w:val="22"/>
          <w:szCs w:val="24"/>
        </w:rPr>
        <w:t>网址:</w:t>
      </w:r>
      <w:r>
        <w:rPr>
          <w:rFonts w:hint="eastAsia"/>
          <w:sz w:val="22"/>
          <w:szCs w:val="24"/>
        </w:rPr>
        <w:tab/>
      </w:r>
    </w:p>
    <w:p w14:paraId="6D13E4AC">
      <w:pPr>
        <w:spacing w:line="360" w:lineRule="auto"/>
        <w:rPr>
          <w:rFonts w:hint="eastAsia"/>
          <w:sz w:val="22"/>
          <w:szCs w:val="24"/>
        </w:rPr>
      </w:pPr>
    </w:p>
    <w:p w14:paraId="51BDEC03">
      <w:pPr>
        <w:spacing w:line="360" w:lineRule="auto"/>
        <w:ind w:firstLine="5720" w:firstLineChars="2600"/>
      </w:pPr>
      <w:r>
        <w:rPr>
          <w:rFonts w:hint="eastAsia"/>
          <w:sz w:val="22"/>
          <w:szCs w:val="24"/>
        </w:rPr>
        <w:t>2025年 12 月 25 日</w:t>
      </w:r>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7973E5"/>
    <w:rsid w:val="587973E5"/>
    <w:rsid w:val="716D5E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3066</Words>
  <Characters>3773</Characters>
  <Lines>0</Lines>
  <Paragraphs>0</Paragraphs>
  <TotalTime>5</TotalTime>
  <ScaleCrop>false</ScaleCrop>
  <LinksUpToDate>false</LinksUpToDate>
  <CharactersWithSpaces>4184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2025-12-25T06:05:00Z</dcterms:created>
  <dc:creator>沉淀</dc:creator>
  <cp:lastModifiedBy>沉淀</cp:lastModifiedBy>
  <cp:lastPrinted>2025-12-25T06:11:00Z</cp:lastPrinted>
  <dcterms:modified xsi:type="dcterms:W3CDTF">2025-12-25T08:15:40Z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0EC8FC2FB2FC438F8E88886CC68C80C8_11</vt:lpwstr>
  </property>
  <property fmtid="{D5CDD505-2E9C-101B-9397-08002B2CF9AE}" pid="4" name="KSOTemplateDocerSaveRecord">
    <vt:lpwstr>eyJoZGlkIjoiNTc0MzZkZmQwN2YwNGQ2YzUzN2RjNDI2OTMzMzkzN2QiLCJ1c2VySWQiOiI3MzE1NzA0ODAifQ==</vt:lpwstr>
  </property>
</Properties>
</file>