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8E83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柳州市工人医院鱼峰山院区新增直线加速器机房改造工程（LZZC2025-C2-991114-GXKL）</w:t>
      </w:r>
      <w:r>
        <w:rPr>
          <w:rFonts w:hint="eastAsia" w:cs="宋体"/>
          <w:b/>
          <w:bCs/>
          <w:sz w:val="28"/>
          <w:szCs w:val="28"/>
        </w:rPr>
        <w:t>更正公告（一）</w:t>
      </w:r>
    </w:p>
    <w:p w14:paraId="00F4AA56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79E267D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原公告的采购项目编号：LZZC2025-C2-991114-GXKL                    </w:t>
      </w:r>
    </w:p>
    <w:p w14:paraId="5D327E39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原公告的采购项目名称：柳州市工人医院鱼峰山院区新增直线加速器机房改造工程                    </w:t>
      </w:r>
    </w:p>
    <w:p w14:paraId="397CE489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首次公告日期：2026年01月15日                    </w:t>
      </w:r>
    </w:p>
    <w:p w14:paraId="7A64B167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二、更正信息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20574B5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更正事项：磋商文件                    </w:t>
      </w:r>
    </w:p>
    <w:p w14:paraId="73DFC42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更正内容：                    </w:t>
      </w:r>
    </w:p>
    <w:p w14:paraId="19BEB9D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   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699"/>
        <w:gridCol w:w="4428"/>
        <w:gridCol w:w="4340"/>
      </w:tblGrid>
      <w:tr w14:paraId="06F9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BA70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7CC7E5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2F64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E284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1D3F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9963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B76A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磋商函附录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6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1"/>
              <w:gridCol w:w="621"/>
              <w:gridCol w:w="1479"/>
              <w:gridCol w:w="775"/>
              <w:gridCol w:w="622"/>
            </w:tblGrid>
            <w:tr w14:paraId="4BCD3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54" w:type="pct"/>
                  <w:vAlign w:val="center"/>
                </w:tcPr>
                <w:p w14:paraId="6D68F355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序号</w:t>
                  </w:r>
                </w:p>
              </w:tc>
              <w:tc>
                <w:tcPr>
                  <w:tcW w:w="754" w:type="pct"/>
                  <w:vAlign w:val="center"/>
                </w:tcPr>
                <w:p w14:paraId="28B0CA4F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条款内容</w:t>
                  </w:r>
                </w:p>
              </w:tc>
              <w:tc>
                <w:tcPr>
                  <w:tcW w:w="1794" w:type="pct"/>
                  <w:vAlign w:val="center"/>
                </w:tcPr>
                <w:p w14:paraId="2B930142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合同条目号</w:t>
                  </w:r>
                </w:p>
              </w:tc>
              <w:tc>
                <w:tcPr>
                  <w:tcW w:w="940" w:type="pct"/>
                  <w:vAlign w:val="center"/>
                </w:tcPr>
                <w:p w14:paraId="1BC3190A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约定内容</w:t>
                  </w:r>
                </w:p>
              </w:tc>
              <w:tc>
                <w:tcPr>
                  <w:tcW w:w="754" w:type="pct"/>
                  <w:vAlign w:val="center"/>
                </w:tcPr>
                <w:p w14:paraId="4215A294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备注</w:t>
                  </w:r>
                </w:p>
              </w:tc>
            </w:tr>
            <w:tr w14:paraId="505D14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54" w:type="pct"/>
                  <w:vAlign w:val="center"/>
                </w:tcPr>
                <w:p w14:paraId="46EBEE64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>2</w:t>
                  </w:r>
                </w:p>
              </w:tc>
              <w:tc>
                <w:tcPr>
                  <w:tcW w:w="754" w:type="pct"/>
                  <w:vAlign w:val="center"/>
                </w:tcPr>
                <w:p w14:paraId="4E68DF19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逾期交工违约金</w:t>
                  </w:r>
                </w:p>
              </w:tc>
              <w:tc>
                <w:tcPr>
                  <w:tcW w:w="1794" w:type="pct"/>
                  <w:tcMar>
                    <w:left w:w="170" w:type="dxa"/>
                  </w:tcMar>
                  <w:vAlign w:val="center"/>
                </w:tcPr>
                <w:p w14:paraId="059053AF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>11.5</w:t>
                  </w:r>
                  <w:r>
                    <w:rPr>
                      <w:rFonts w:hint="eastAsia" w:ascii="宋体" w:hAnsi="宋体" w:cs="宋体"/>
                    </w:rPr>
                    <w:t>（</w:t>
                  </w:r>
                  <w:r>
                    <w:rPr>
                      <w:rFonts w:ascii="宋体" w:hAnsi="宋体" w:cs="宋体"/>
                    </w:rPr>
                    <w:t>3</w:t>
                  </w:r>
                  <w:r>
                    <w:rPr>
                      <w:rFonts w:hint="eastAsia" w:ascii="宋体" w:hAnsi="宋体" w:cs="宋体"/>
                    </w:rPr>
                    <w:t>）</w:t>
                  </w:r>
                </w:p>
              </w:tc>
              <w:tc>
                <w:tcPr>
                  <w:tcW w:w="940" w:type="pct"/>
                  <w:vAlign w:val="center"/>
                </w:tcPr>
                <w:p w14:paraId="30698E11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  <w:u w:val="single"/>
                    </w:rPr>
                    <w:t>500</w:t>
                  </w:r>
                  <w:r>
                    <w:rPr>
                      <w:rFonts w:hint="eastAsia" w:ascii="宋体" w:hAnsi="宋体" w:cs="宋体"/>
                      <w:u w:val="single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</w:rPr>
                    <w:t>元</w:t>
                  </w:r>
                  <w:r>
                    <w:rPr>
                      <w:rFonts w:ascii="宋体" w:hAnsi="宋体" w:cs="宋体"/>
                    </w:rPr>
                    <w:t>/</w:t>
                  </w:r>
                  <w:r>
                    <w:rPr>
                      <w:rFonts w:hint="eastAsia" w:ascii="宋体" w:hAnsi="宋体" w:cs="宋体"/>
                    </w:rPr>
                    <w:t>天</w:t>
                  </w:r>
                </w:p>
              </w:tc>
              <w:tc>
                <w:tcPr>
                  <w:tcW w:w="754" w:type="pct"/>
                  <w:vAlign w:val="center"/>
                </w:tcPr>
                <w:p w14:paraId="7A6F2B8F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</w:p>
              </w:tc>
            </w:tr>
          </w:tbl>
          <w:p w14:paraId="19555A0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tbl>
            <w:tblPr>
              <w:tblStyle w:val="6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8"/>
              <w:gridCol w:w="608"/>
              <w:gridCol w:w="1447"/>
              <w:gridCol w:w="758"/>
              <w:gridCol w:w="609"/>
            </w:tblGrid>
            <w:tr w14:paraId="0447B1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754" w:type="pct"/>
                  <w:vAlign w:val="center"/>
                </w:tcPr>
                <w:p w14:paraId="6424DBFB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序号</w:t>
                  </w:r>
                </w:p>
              </w:tc>
              <w:tc>
                <w:tcPr>
                  <w:tcW w:w="754" w:type="pct"/>
                  <w:vAlign w:val="center"/>
                </w:tcPr>
                <w:p w14:paraId="392324FC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条款内容</w:t>
                  </w:r>
                </w:p>
              </w:tc>
              <w:tc>
                <w:tcPr>
                  <w:tcW w:w="1794" w:type="pct"/>
                  <w:vAlign w:val="center"/>
                </w:tcPr>
                <w:p w14:paraId="6322E7F6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合同条目号</w:t>
                  </w:r>
                </w:p>
              </w:tc>
              <w:tc>
                <w:tcPr>
                  <w:tcW w:w="940" w:type="pct"/>
                  <w:vAlign w:val="center"/>
                </w:tcPr>
                <w:p w14:paraId="2743D1DB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约定内容</w:t>
                  </w:r>
                </w:p>
              </w:tc>
              <w:tc>
                <w:tcPr>
                  <w:tcW w:w="754" w:type="pct"/>
                  <w:vAlign w:val="center"/>
                </w:tcPr>
                <w:p w14:paraId="56851884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备注</w:t>
                  </w:r>
                </w:p>
              </w:tc>
            </w:tr>
            <w:tr w14:paraId="2A5953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54" w:type="pct"/>
                  <w:vAlign w:val="center"/>
                </w:tcPr>
                <w:p w14:paraId="0BF80149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>2</w:t>
                  </w:r>
                </w:p>
              </w:tc>
              <w:tc>
                <w:tcPr>
                  <w:tcW w:w="754" w:type="pct"/>
                  <w:vAlign w:val="center"/>
                </w:tcPr>
                <w:p w14:paraId="208EAE55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逾期交工违约金</w:t>
                  </w:r>
                </w:p>
              </w:tc>
              <w:tc>
                <w:tcPr>
                  <w:tcW w:w="1794" w:type="pct"/>
                  <w:tcMar>
                    <w:left w:w="170" w:type="dxa"/>
                  </w:tcMar>
                  <w:vAlign w:val="center"/>
                </w:tcPr>
                <w:p w14:paraId="366BBCFC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>11.5</w:t>
                  </w:r>
                  <w:r>
                    <w:rPr>
                      <w:rFonts w:hint="eastAsia" w:ascii="宋体" w:hAnsi="宋体" w:cs="宋体"/>
                    </w:rPr>
                    <w:t>（</w:t>
                  </w:r>
                  <w:r>
                    <w:rPr>
                      <w:rFonts w:ascii="宋体" w:hAnsi="宋体" w:cs="宋体"/>
                    </w:rPr>
                    <w:t>3</w:t>
                  </w:r>
                  <w:r>
                    <w:rPr>
                      <w:rFonts w:hint="eastAsia" w:ascii="宋体" w:hAnsi="宋体" w:cs="宋体"/>
                    </w:rPr>
                    <w:t>）</w:t>
                  </w:r>
                </w:p>
              </w:tc>
              <w:tc>
                <w:tcPr>
                  <w:tcW w:w="940" w:type="pct"/>
                  <w:vAlign w:val="center"/>
                </w:tcPr>
                <w:p w14:paraId="53D9AB90">
                  <w:pPr>
                    <w:widowControl/>
                    <w:textAlignment w:val="baseline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  <w:u w:val="single"/>
                    </w:rPr>
                    <w:t>500</w:t>
                  </w:r>
                  <w:r>
                    <w:rPr>
                      <w:rFonts w:hint="eastAsia" w:ascii="宋体" w:hAnsi="宋体" w:cs="宋体"/>
                    </w:rPr>
                    <w:t>元</w:t>
                  </w:r>
                  <w:r>
                    <w:rPr>
                      <w:rFonts w:ascii="宋体" w:hAnsi="宋体" w:cs="宋体"/>
                    </w:rPr>
                    <w:t>/</w:t>
                  </w:r>
                  <w:r>
                    <w:rPr>
                      <w:rFonts w:hint="eastAsia" w:ascii="宋体" w:hAnsi="宋体" w:cs="宋体"/>
                    </w:rPr>
                    <w:t>天</w:t>
                  </w:r>
                </w:p>
              </w:tc>
              <w:tc>
                <w:tcPr>
                  <w:tcW w:w="754" w:type="pct"/>
                  <w:vAlign w:val="center"/>
                </w:tcPr>
                <w:p w14:paraId="5539468C">
                  <w:pPr>
                    <w:widowControl/>
                    <w:jc w:val="center"/>
                    <w:textAlignment w:val="baseline"/>
                    <w:rPr>
                      <w:rFonts w:ascii="宋体"/>
                    </w:rPr>
                  </w:pPr>
                </w:p>
              </w:tc>
            </w:tr>
          </w:tbl>
          <w:p w14:paraId="31971307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</w:tr>
    </w:tbl>
    <w:p w14:paraId="6C3E76F8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          </w:t>
      </w:r>
      <w:bookmarkStart w:id="0" w:name="_GoBack"/>
      <w:bookmarkEnd w:id="0"/>
    </w:p>
    <w:p w14:paraId="4CA30589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        </w:t>
      </w:r>
    </w:p>
    <w:p w14:paraId="44DAB143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none"/>
        </w:rPr>
        <w:t>2026年01月16日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　                    </w:t>
      </w:r>
    </w:p>
    <w:p w14:paraId="2059E12E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               </w:t>
      </w:r>
    </w:p>
    <w:p w14:paraId="743BA71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5CC0A34F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四、对本次公告提出询问，请按以下方式联系。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        </w:t>
      </w:r>
    </w:p>
    <w:p w14:paraId="12DD917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71B4E4A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称：柳州市工人医院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01FBEA9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址：柳州市柳南区和平路156号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1DE5AA1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联系方式：0772-3832133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    </w:t>
      </w:r>
    </w:p>
    <w:p w14:paraId="2ED58663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  </w:t>
      </w:r>
    </w:p>
    <w:p w14:paraId="21F1342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BB8C509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    称：广西科联招标中心有限公司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33BDC098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地    址：柳州市城中区东环大道256号万达中心写字楼13-22室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4E5CE35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联系方式：0772-2995575</w:t>
      </w:r>
    </w:p>
    <w:p w14:paraId="78A2E3C9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</w:p>
    <w:p w14:paraId="433536DE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7C66F95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李思瑶、罗苏燕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 w14:paraId="13600C1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电      话：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0772-2995575</w:t>
      </w:r>
    </w:p>
    <w:p w14:paraId="13908D62">
      <w:pPr>
        <w:adjustRightInd w:val="0"/>
        <w:snapToGrid w:val="0"/>
        <w:spacing w:line="360" w:lineRule="auto"/>
        <w:rPr>
          <w:rFonts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C5A"/>
    <w:rsid w:val="000C2C5A"/>
    <w:rsid w:val="00470A94"/>
    <w:rsid w:val="004E4D68"/>
    <w:rsid w:val="00B9477E"/>
    <w:rsid w:val="00C91D6C"/>
    <w:rsid w:val="164E15DC"/>
    <w:rsid w:val="1BE04D15"/>
    <w:rsid w:val="1D5E2355"/>
    <w:rsid w:val="246D0A09"/>
    <w:rsid w:val="321565B3"/>
    <w:rsid w:val="389F34BD"/>
    <w:rsid w:val="73B6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spacing w:after="120"/>
      <w:ind w:left="420" w:leftChars="2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5">
    <w:name w:val="Body Text First Indent 2"/>
    <w:basedOn w:val="1"/>
    <w:link w:val="11"/>
    <w:qFormat/>
    <w:uiPriority w:val="99"/>
    <w:pPr>
      <w:spacing w:after="120"/>
      <w:ind w:left="420" w:leftChars="200" w:firstLine="420" w:firstLineChars="200"/>
    </w:p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TML Sample"/>
    <w:basedOn w:val="7"/>
    <w:semiHidden/>
    <w:unhideWhenUsed/>
    <w:uiPriority w:val="99"/>
    <w:rPr>
      <w:rFonts w:ascii="Courier New" w:hAnsi="Courier New"/>
    </w:rPr>
  </w:style>
  <w:style w:type="character" w:customStyle="1" w:styleId="10">
    <w:name w:val="Body Text Indent Char"/>
    <w:basedOn w:val="7"/>
    <w:link w:val="2"/>
    <w:semiHidden/>
    <w:uiPriority w:val="99"/>
    <w:rPr>
      <w:rFonts w:ascii="Calibri" w:hAnsi="Calibri" w:cs="Calibri"/>
      <w:szCs w:val="21"/>
    </w:rPr>
  </w:style>
  <w:style w:type="character" w:customStyle="1" w:styleId="11">
    <w:name w:val="Body Text First Indent 2 Char"/>
    <w:basedOn w:val="10"/>
    <w:link w:val="5"/>
    <w:semiHidden/>
    <w:uiPriority w:val="99"/>
  </w:style>
  <w:style w:type="character" w:customStyle="1" w:styleId="12">
    <w:name w:val="Balloon Text Char"/>
    <w:basedOn w:val="7"/>
    <w:link w:val="3"/>
    <w:semiHidden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319</Words>
  <Characters>348</Characters>
  <Lines>0</Lines>
  <Paragraphs>0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2025-06-18T02:33:00Z</dcterms:created>
  <dc:creator>63126</dc:creator>
  <cp:lastModifiedBy>lsy911</cp:lastModifiedBy>
  <cp:lastPrinted>2025-06-18T02:33:00Z</cp:lastPrinted>
  <dcterms:modified xsi:type="dcterms:W3CDTF">2026-01-16T08:35:44Z</dcterms:modified>
  <dc:title>G209象州武宣交界至武宣贵港交界（选段）公路交通事故多发路段整治工程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eyJoZGlkIjoiYWU2OWU1NzA2ZDYzNjExMjM3YTMwOWUxN2ZlMDQ1ZGMiLCJ1c2VySWQiOiIyNTg3NTQwOTgifQ==</vt:lpwstr>
  </property>
  <property fmtid="{D5CDD505-2E9C-101B-9397-08002B2CF9AE}" pid="4" name="ICV">
    <vt:lpwstr>0FBF2D852D6F4AA9AFD727252D427A83_12</vt:lpwstr>
  </property>
</Properties>
</file>