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35FBC3">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left="0" w:right="0"/>
        <w:textAlignment w:val="auto"/>
        <w:rPr>
          <w:sz w:val="27"/>
          <w:szCs w:val="27"/>
        </w:rPr>
      </w:pPr>
      <w:r>
        <w:rPr>
          <w:rFonts w:ascii="黑体" w:hAnsi="宋体" w:eastAsia="黑体" w:cs="黑体"/>
          <w:sz w:val="31"/>
          <w:szCs w:val="31"/>
        </w:rPr>
        <w:t>附件</w:t>
      </w:r>
    </w:p>
    <w:p w14:paraId="4BC72552">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left="0" w:right="0"/>
        <w:jc w:val="center"/>
        <w:textAlignment w:val="auto"/>
        <w:rPr>
          <w:sz w:val="27"/>
          <w:szCs w:val="27"/>
        </w:rPr>
      </w:pPr>
      <w:r>
        <w:rPr>
          <w:rFonts w:ascii="方正小标宋简体" w:hAnsi="方正小标宋简体" w:eastAsia="方正小标宋简体" w:cs="方正小标宋简体"/>
          <w:sz w:val="43"/>
          <w:szCs w:val="43"/>
        </w:rPr>
        <w:t> </w:t>
      </w:r>
      <w:r>
        <w:rPr>
          <w:rFonts w:hint="eastAsia" w:ascii="方正小标宋简体" w:hAnsi="方正小标宋简体" w:eastAsia="方正小标宋简体" w:cs="方正小标宋简体"/>
          <w:sz w:val="43"/>
          <w:szCs w:val="43"/>
        </w:rPr>
        <w:t>政府采购意向公开参考本文</w:t>
      </w:r>
    </w:p>
    <w:p w14:paraId="48C74415">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left="0" w:right="0"/>
        <w:jc w:val="center"/>
        <w:textAlignment w:val="auto"/>
        <w:rPr>
          <w:rFonts w:hint="eastAsia" w:ascii="方正小标宋简体" w:hAnsi="方正小标宋简体" w:eastAsia="方正小标宋简体" w:cs="方正小标宋简体"/>
          <w:sz w:val="43"/>
          <w:szCs w:val="43"/>
        </w:rPr>
      </w:pPr>
      <w:r>
        <w:rPr>
          <w:rFonts w:hint="eastAsia" w:ascii="方正小标宋简体" w:hAnsi="方正小标宋简体" w:eastAsia="方正小标宋简体" w:cs="方正小标宋简体"/>
          <w:sz w:val="43"/>
          <w:szCs w:val="43"/>
        </w:rPr>
        <w:t> </w:t>
      </w:r>
    </w:p>
    <w:p w14:paraId="40C1CD2C">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left="0" w:right="0" w:firstLine="600" w:firstLineChars="200"/>
        <w:jc w:val="both"/>
        <w:textAlignment w:val="auto"/>
        <w:rPr>
          <w:sz w:val="30"/>
          <w:szCs w:val="30"/>
        </w:rPr>
      </w:pPr>
      <w:r>
        <w:rPr>
          <w:rFonts w:ascii="仿宋_GB2312" w:hAnsi="仿宋_GB2312" w:eastAsia="仿宋_GB2312" w:cs="仿宋_GB2312"/>
          <w:sz w:val="30"/>
          <w:szCs w:val="30"/>
        </w:rPr>
        <w:t>为便于供应商及时了解政府采购信息，根据《财政部关于开展政府采购意向公开工作的通知》（财库〔2020〕10号）和《广西壮族自治区财政厅关于进一步规范政府采购意向公开工作的通知》（桂财采〔2022〕84号）等有关规定，现将政府采购意向公开参考本文公开如下：</w:t>
      </w:r>
    </w:p>
    <w:tbl>
      <w:tblPr>
        <w:tblStyle w:val="6"/>
        <w:tblW w:w="8989" w:type="dxa"/>
        <w:tblInd w:w="-12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31"/>
        <w:gridCol w:w="1224"/>
        <w:gridCol w:w="2981"/>
        <w:gridCol w:w="966"/>
        <w:gridCol w:w="1256"/>
        <w:gridCol w:w="1236"/>
        <w:gridCol w:w="695"/>
      </w:tblGrid>
      <w:tr w14:paraId="36556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966" w:hRule="atLeast"/>
        </w:trPr>
        <w:tc>
          <w:tcPr>
            <w:tcW w:w="530" w:type="dxa"/>
            <w:tcBorders>
              <w:top w:val="single" w:color="auto" w:sz="6" w:space="0"/>
              <w:left w:val="single" w:color="auto" w:sz="6" w:space="0"/>
              <w:bottom w:val="single" w:color="auto" w:sz="6" w:space="0"/>
              <w:right w:val="single" w:color="auto" w:sz="6" w:space="0"/>
            </w:tcBorders>
            <w:shd w:val="clear" w:color="auto" w:fill="auto"/>
            <w:tcMar>
              <w:left w:w="105" w:type="dxa"/>
              <w:right w:w="105" w:type="dxa"/>
            </w:tcMar>
            <w:vAlign w:val="center"/>
          </w:tcPr>
          <w:p w14:paraId="7272B6C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pPr>
            <w:r>
              <w:rPr>
                <w:rStyle w:val="8"/>
                <w:rFonts w:ascii="宋体" w:hAnsi="宋体" w:eastAsia="宋体" w:cs="宋体"/>
              </w:rPr>
              <w:t>序号</w:t>
            </w:r>
          </w:p>
        </w:tc>
        <w:tc>
          <w:tcPr>
            <w:tcW w:w="1229"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4C605B2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pPr>
            <w:r>
              <w:rPr>
                <w:rStyle w:val="8"/>
                <w:rFonts w:ascii="宋体" w:hAnsi="宋体" w:eastAsia="宋体" w:cs="宋体"/>
              </w:rPr>
              <w:t>采购项目</w:t>
            </w:r>
          </w:p>
          <w:p w14:paraId="177F5C4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pPr>
            <w:r>
              <w:rPr>
                <w:rStyle w:val="8"/>
                <w:rFonts w:ascii="宋体" w:hAnsi="宋体" w:eastAsia="宋体" w:cs="宋体"/>
              </w:rPr>
              <w:t>名称</w:t>
            </w:r>
          </w:p>
        </w:tc>
        <w:tc>
          <w:tcPr>
            <w:tcW w:w="3033"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5CF53FAB">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pPr>
            <w:r>
              <w:rPr>
                <w:rStyle w:val="8"/>
                <w:rFonts w:ascii="宋体" w:hAnsi="宋体" w:eastAsia="宋体" w:cs="宋体"/>
              </w:rPr>
              <w:t>采购需求概况</w:t>
            </w:r>
          </w:p>
        </w:tc>
        <w:tc>
          <w:tcPr>
            <w:tcW w:w="972"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2C017463">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pPr>
            <w:r>
              <w:rPr>
                <w:rStyle w:val="8"/>
                <w:rFonts w:ascii="宋体" w:hAnsi="宋体" w:eastAsia="宋体" w:cs="宋体"/>
              </w:rPr>
              <w:t>预算金额</w:t>
            </w:r>
          </w:p>
          <w:p w14:paraId="5C77BC6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pPr>
            <w:r>
              <w:rPr>
                <w:rStyle w:val="8"/>
                <w:rFonts w:ascii="宋体" w:hAnsi="宋体" w:eastAsia="宋体" w:cs="宋体"/>
              </w:rPr>
              <w:t>（万元）</w:t>
            </w:r>
          </w:p>
        </w:tc>
        <w:tc>
          <w:tcPr>
            <w:tcW w:w="1272"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3FEA0D26">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pPr>
            <w:r>
              <w:rPr>
                <w:rStyle w:val="8"/>
                <w:rFonts w:ascii="宋体" w:hAnsi="宋体" w:eastAsia="宋体" w:cs="宋体"/>
              </w:rPr>
              <w:t>预计采购时间</w:t>
            </w:r>
            <w:r>
              <w:rPr>
                <w:rStyle w:val="8"/>
                <w:rFonts w:ascii="宋体" w:hAnsi="宋体" w:eastAsia="宋体" w:cs="宋体"/>
                <w:sz w:val="21"/>
                <w:szCs w:val="21"/>
              </w:rPr>
              <w:t>（填写到月）</w:t>
            </w:r>
          </w:p>
        </w:tc>
        <w:tc>
          <w:tcPr>
            <w:tcW w:w="1252"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4D2E087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pPr>
            <w:r>
              <w:rPr>
                <w:rStyle w:val="8"/>
                <w:rFonts w:ascii="宋体" w:hAnsi="宋体" w:eastAsia="宋体" w:cs="宋体"/>
              </w:rPr>
              <w:t>落实政府采购政策功能情况</w:t>
            </w:r>
          </w:p>
        </w:tc>
        <w:tc>
          <w:tcPr>
            <w:tcW w:w="701" w:type="dxa"/>
            <w:tcBorders>
              <w:top w:val="single" w:color="auto" w:sz="6" w:space="0"/>
              <w:left w:val="nil"/>
              <w:bottom w:val="single" w:color="auto" w:sz="6" w:space="0"/>
              <w:right w:val="single" w:color="auto" w:sz="6" w:space="0"/>
            </w:tcBorders>
            <w:shd w:val="clear" w:color="auto" w:fill="auto"/>
            <w:tcMar>
              <w:left w:w="105" w:type="dxa"/>
              <w:right w:w="105" w:type="dxa"/>
            </w:tcMar>
            <w:vAlign w:val="center"/>
          </w:tcPr>
          <w:p w14:paraId="1D75A56A">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jc w:val="center"/>
              <w:textAlignment w:val="auto"/>
            </w:pPr>
            <w:r>
              <w:rPr>
                <w:rStyle w:val="8"/>
                <w:rFonts w:ascii="宋体" w:hAnsi="宋体" w:eastAsia="宋体" w:cs="宋体"/>
              </w:rPr>
              <w:t>备注</w:t>
            </w:r>
          </w:p>
        </w:tc>
      </w:tr>
      <w:tr w14:paraId="41C70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030"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48904264">
            <w:pPr>
              <w:keepNext w:val="0"/>
              <w:keepLines w:val="0"/>
              <w:widowControl/>
              <w:numPr>
                <w:ilvl w:val="0"/>
                <w:numId w:val="1"/>
              </w:numPr>
              <w:suppressLineNumbers w:val="0"/>
              <w:ind w:left="425" w:leftChars="0" w:hanging="425" w:firstLineChars="0"/>
              <w:jc w:val="center"/>
              <w:textAlignment w:val="center"/>
              <w:rPr>
                <w:rFonts w:hint="eastAsia" w:eastAsiaTheme="minorEastAsia"/>
                <w:lang w:val="en-US" w:eastAsia="zh-CN"/>
              </w:rPr>
            </w:pPr>
            <w:bookmarkStart w:id="0" w:name="_GoBack" w:colFirst="2" w:colLast="2"/>
            <w:r>
              <w:rPr>
                <w:rFonts w:hint="eastAsia" w:ascii="宋体" w:hAnsi="宋体" w:eastAsia="宋体" w:cs="宋体"/>
                <w:i w:val="0"/>
                <w:iCs w:val="0"/>
                <w:color w:val="000000"/>
                <w:kern w:val="0"/>
                <w:sz w:val="22"/>
                <w:szCs w:val="22"/>
                <w:u w:val="none"/>
                <w:lang w:val="en-US" w:eastAsia="zh-CN" w:bidi="ar"/>
              </w:rPr>
              <w:t xml:space="preserve"> </w:t>
            </w:r>
          </w:p>
        </w:tc>
        <w:tc>
          <w:tcPr>
            <w:tcW w:w="1229" w:type="dxa"/>
            <w:tcBorders>
              <w:top w:val="nil"/>
              <w:left w:val="nil"/>
              <w:bottom w:val="nil"/>
              <w:right w:val="single" w:color="auto" w:sz="6" w:space="0"/>
            </w:tcBorders>
            <w:shd w:val="clear" w:color="auto" w:fill="auto"/>
            <w:tcMar>
              <w:left w:w="105" w:type="dxa"/>
              <w:right w:w="105" w:type="dxa"/>
            </w:tcMar>
            <w:vAlign w:val="center"/>
          </w:tcPr>
          <w:p w14:paraId="20DA8FED">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南溪山医院移动DR项目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11682A29">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08E0FC3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急诊科、病房、体检科、骨科等科室诊疗配套设施，提升移动X射线摄影的便捷性、精准度及诊疗效率，满足临床卧床患者、急诊患者、重症患者及体检人群的床边拍片、应急拍片、移动筛查需求，降低患者转运风险、减轻医护人员工作负担、提升移动放射诊疗水平。</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0BD8B9B1">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172</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6B412C4E">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2026年3月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6A28476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416342EF">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p w14:paraId="399BFA9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7F467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921"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16DC9394">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default"/>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14388A93">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南溪山医院医用血管造影机X射线系统项目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517DBFE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37FD5DF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介入科、心血管科、神经科诊疗配套设施，提升血管造影、术中透视及介入诊疗的精准度、清晰度及诊疗效率，满足临床心血管、脑血管、外周血管等各类血管疾病的造影诊断、介入治疗及术后复查需求，降低诊疗风险、提升血管介入诊疗水平</w:t>
            </w:r>
          </w:p>
          <w:p w14:paraId="1DC26C9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3080F9FE">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1000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589A33A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2026年8月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730D763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76A2D08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5A5522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260"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0953A1D2">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default"/>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4BBD185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南溪山医院大C臂项目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3CD107A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1A9C830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介入科、骨科、心血管科诊疗配套设施，提升复杂介入手术、术中透视、血管造影及精准定位的精准度、清晰度及手术效率，满足临床心血管介入、神经介入、骨科介入等复杂手术的术中实时透视、血管造影、病灶定位及术后即时复查需求，降低手术风险、缩短手术时间、提升介入诊疗安全性及精准度。</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3A333BFA">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1240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3298E8A9">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2026年8月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5AC740E5">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2971CF5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2F2BBD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72"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2A15225D">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default"/>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32B41C3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w:t>
            </w:r>
            <w:r>
              <w:rPr>
                <w:rFonts w:hint="default" w:ascii="仿宋_GB2312" w:hAnsi="仿宋_GB2312" w:eastAsia="仿宋_GB2312" w:cs="仿宋_GB2312"/>
                <w:color w:val="auto"/>
                <w:lang w:val="en-US" w:eastAsia="zh-CN"/>
              </w:rPr>
              <w:t>DR</w:t>
            </w:r>
            <w:r>
              <w:rPr>
                <w:rFonts w:hint="eastAsia" w:ascii="仿宋_GB2312" w:hAnsi="仿宋_GB2312" w:eastAsia="仿宋_GB2312" w:cs="仿宋_GB2312"/>
                <w:color w:val="auto"/>
                <w:lang w:val="en-US" w:eastAsia="zh-CN"/>
              </w:rPr>
              <w:t>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5A2CA70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2C1C5C3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为进一步完善医疗机构放射科、体检中心诊疗配套设施，满足临床胸部、骨骼、腹部等全身部位疾病筛查、诊断、病灶定位及健康体检拍片需求。</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059BC7A2">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2DB69D3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2026年3月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6063A4F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140DBB2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4952A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88"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5D16528D">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default"/>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68B5F95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南溪山医院数字化伽玛照相机项目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7CE73DA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7FD771B4">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核医学科诊疗配套设施，提升全身脏器功能显像、肿瘤显像、心血管显像及代谢显像的精准度、清晰度及诊疗效率，解决现有核医学成像设备成像模糊、分辨率不足、操作繁琐、数据处理滞后、辐射剂量偏高等问题，满足临床全身脏器疾病筛查、精准诊断、病灶定位、疗效监测及功能评估需求，降低漏诊误诊风险、提升核医学诊疗水平。</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1FED1C85">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1400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51C3ED75">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2026年8月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5123A16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02B27C5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7A97C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16"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71A98CBC">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602773A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南溪山医院超高端CT项目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1E6690E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6D59A59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放射科、急诊科、重症医学科等核心科室诊疗配套设施，提升全身各部位精准扫描、断层成像、血管造影及功能成像的精准度、速度及诊疗效率，解决现有CT设备扫描速度慢、分辨率不足、辐射剂量偏高、功能单一、复杂病例诊断能力有限等问题，满足临床全身疾病筛查、精准诊断、病灶定位、疗效监测及急诊危重病例快速评估需求，降低漏诊误诊风险、提升综合诊疗水平。</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3526F4E5">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2500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1650590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2026年8月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486C83F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26D46E6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180B6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66E96866">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5C87A4C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南溪山医院移动C臂项目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4ACFF98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41C2598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骨科、介入科、急诊科诊疗配套设施，提升术中透视、术后复查及急诊介入的精准度、便捷性及诊疗效率，解决现有术中成像设备移动不便、定位不准、成像模糊、辐射剂量偏高、操作繁琐等问题，满足临床骨科手术、介入治疗、急诊复位固定等术中实时透视、定位及术后即时复查需求，降低手术风险、缩短手术时间、提升诊疗安全性</w:t>
            </w:r>
          </w:p>
          <w:p w14:paraId="2CA41FF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6ED1A954">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230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22B7F58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2026年3月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7E38480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056712A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0FABA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38"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0C14E5CD">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268C892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南溪山医院骨密度仪项目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514FBBA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17A3393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骨科、老年病科及体检中心诊疗配套设施，提升骨密度检测的精准度、便捷性及检测效率，解决现有骨密度检测设备操作繁琐、数据误差大、检测速度慢、适配人群有限等问题，满足临床骨质疏松症筛查、诊断、病情评估、疗效监测及健康体检（尤其老年群体、孕产妇、青少年）的检测需求，降低骨质疏松相关骨折风险、提升骨骼健康诊疗水平。</w:t>
            </w:r>
          </w:p>
          <w:p w14:paraId="335587E5">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c>
          <w:tcPr>
            <w:tcW w:w="972" w:type="dxa"/>
            <w:tcBorders>
              <w:top w:val="nil"/>
              <w:left w:val="nil"/>
              <w:bottom w:val="nil"/>
              <w:right w:val="single" w:color="auto" w:sz="6" w:space="0"/>
            </w:tcBorders>
            <w:shd w:val="clear" w:color="auto" w:fill="auto"/>
            <w:tcMar>
              <w:left w:w="105" w:type="dxa"/>
              <w:right w:w="105" w:type="dxa"/>
            </w:tcMar>
            <w:vAlign w:val="center"/>
          </w:tcPr>
          <w:p w14:paraId="622E6C59">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130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1747F77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2026年3月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5732C6CF">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0141A69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6E358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73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1592438C">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17D74C7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南溪山医院胃肠机项目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201559A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4523BEF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消化科、放射科诊疗配套设施，提升胃肠道疾病造影检查的精准度、成像清晰度及诊疗效率，解决现有胃肠检查设备成像模糊、操作繁琐、辐射剂量偏高、动态观察效果差等问题，满足临床食管、胃、十二指肠、结肠等胃肠道疾病的筛查、诊断、病变定位及疗效监测需求，降低漏诊误诊风险、提升胃肠道诊疗水平。</w:t>
            </w:r>
          </w:p>
          <w:p w14:paraId="41EFF98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c>
          <w:tcPr>
            <w:tcW w:w="972" w:type="dxa"/>
            <w:tcBorders>
              <w:top w:val="nil"/>
              <w:left w:val="nil"/>
              <w:bottom w:val="nil"/>
              <w:right w:val="single" w:color="auto" w:sz="6" w:space="0"/>
            </w:tcBorders>
            <w:shd w:val="clear" w:color="auto" w:fill="auto"/>
            <w:tcMar>
              <w:left w:w="105" w:type="dxa"/>
              <w:right w:w="105" w:type="dxa"/>
            </w:tcMar>
            <w:vAlign w:val="center"/>
          </w:tcPr>
          <w:p w14:paraId="5BBB4A60">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160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01D79C6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2026年5月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42698495">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3064E324">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35A73E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55333D7F">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6DFAE6A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南溪山医院碎石机项目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137A4D8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6C3B91B5">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进一步完善泌尿外科（碎石科）诊疗配套设施，提升泌尿系结石治疗的精准度、安全性及治疗效率，解决现有碎石设备定位不准、碎石效果不佳、操作繁琐、患者舒适度差等问题，满足临床肾结石、输尿管结石、膀胱结石等泌尿系结石患者的体外碎石、微创碎石及术后康复诊疗需求，降低结石复发率、减轻患者痛苦。</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235D1874">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178</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1D192AB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2026年5月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5BC3524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04EFF4F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6D4245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7D433CD9">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1AEEB439">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南溪山医院数字化乳腺摄影系统项目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7FC2354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2CC603E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乳腺疾病诊疗配套设施，提升乳腺病变筛查、诊断的精准度、清晰度及检测效率，满足临床乳腺疾病早期筛查、良性恶性病变鉴别、病情评估及健康体检的诊疗需求，降低乳腺疾病漏诊误诊风险、提升乳腺诊疗水平。</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75F8D7F1">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316</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64F3A114">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2026年7月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240E845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403CD0E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249174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3A27BFC5">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0FB3F4F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南溪山医院直线加速器项目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4566098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01CCF7F4">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肿瘤治疗配套设施，解决现有放疗设备不足，患者排队时间长等问题；提升肿瘤放射治疗的精准度、安全性及治疗效率，满足临床各类肿瘤患者的精准放疗、姑息治疗及综合治疗需求，降低正常组织损伤风险、提升肿瘤治疗疗效。</w:t>
            </w:r>
          </w:p>
          <w:p w14:paraId="3BEB0B2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c>
          <w:tcPr>
            <w:tcW w:w="972" w:type="dxa"/>
            <w:tcBorders>
              <w:top w:val="nil"/>
              <w:left w:val="nil"/>
              <w:bottom w:val="nil"/>
              <w:right w:val="single" w:color="auto" w:sz="6" w:space="0"/>
            </w:tcBorders>
            <w:shd w:val="clear" w:color="auto" w:fill="auto"/>
            <w:tcMar>
              <w:left w:w="105" w:type="dxa"/>
              <w:right w:w="105" w:type="dxa"/>
            </w:tcMar>
            <w:vAlign w:val="center"/>
          </w:tcPr>
          <w:p w14:paraId="0947C3D1">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2890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2FE23DF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2026年8月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791F099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7E3F296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647462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69C4CAC7">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290AAED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南溪山医院体外生命支持系统（ECMO）项目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2901467F">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37311E6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重症医学科急救配套设施，提升危重症患者生命支持的精准度、稳定性及急救效率，解决现有急救设备无法满足重症患者体外呼吸、循环支持需求、操作复杂、运行稳定性不足等问题，满足临床严重呼吸衰竭、循环衰竭患者的急救支持、生命维持及预后改善需求，降低重症患者病死率、提升急救救治水平</w:t>
            </w:r>
          </w:p>
          <w:p w14:paraId="228486F9">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c>
          <w:tcPr>
            <w:tcW w:w="972" w:type="dxa"/>
            <w:tcBorders>
              <w:top w:val="nil"/>
              <w:left w:val="nil"/>
              <w:bottom w:val="nil"/>
              <w:right w:val="single" w:color="auto" w:sz="6" w:space="0"/>
            </w:tcBorders>
            <w:shd w:val="clear" w:color="auto" w:fill="auto"/>
            <w:tcMar>
              <w:left w:w="105" w:type="dxa"/>
              <w:right w:w="105" w:type="dxa"/>
            </w:tcMar>
            <w:vAlign w:val="center"/>
          </w:tcPr>
          <w:p w14:paraId="12CA4B55">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175.1</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2AD36C0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2026年7月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43FD972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4D7204D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0E904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049F17FF">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2A45429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南溪山医院肺功能测试系统项目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3E3D217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ab/>
              <w:t>采购数量：1套</w:t>
            </w:r>
          </w:p>
          <w:p w14:paraId="11818294">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呼吸科诊疗配套设施，提升肺功能检测的精准度、标准化水平及检测效率，解决现有检测设备操作繁琐、数据误差大、检测项目单一、报告生成滞后等问题，满足临床呼吸系统疾病筛查、诊断、病情评估、疗效监测及健康体检的检测需求，降低漏诊误诊风险。</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227F6A28">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126</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7C1021C5">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2026年7月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249D090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6AAF517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30C9A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6738FEB6">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58475D6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南溪山医院全自动免疫生化仪（含轨道）项目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4FEBE2C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2453466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提升免疫、生化检测的精准度、自动化水平及检测效率，解决现有检测设备自动化程度低、检测速度慢、误差大、标本处理繁琐等问题，满足临床疾病筛查、诊断、疗效监测及健康体检的检测需求，降低误诊风险、减轻检验人员工作负担。</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335869D0">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350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092D8C3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2026年8月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4F49A3C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4E2F5F8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3C514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21BBBF48">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30EA57F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南溪山医院全自动免疫组化染色机项目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7F9BA30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0DFDB5A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提升病理切片免疫组化染色的精准度、标准化水平及检测效率，解决现有染色方式手工操作繁琐、染色一致性差、耗时久、误差大等问题，满足临床病理诊断、病灶分型、预后评估及精准诊疗的检测需求，降低误诊风险、减轻医护人员工作负担</w:t>
            </w:r>
          </w:p>
          <w:p w14:paraId="6C5AF63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7C6282BE">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135</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1B621F7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2026年7月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44A5B62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3375039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6B4A04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3B9FE648">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502B58E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南溪山医院高清腹腔镜系统项目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7FDACF3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ab/>
              <w:t>采购数量：1套</w:t>
            </w:r>
          </w:p>
          <w:p w14:paraId="50089F5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提升腹腔疾病精准诊断与微创治疗能力，解决现有腹腔镜设备老化、成像模糊、操作不便等问题，满足群众腹腔疾病筛查、诊断及腹腔镜下微创手术的临床需求，降低诊疗风险、提高诊疗效率。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6FB6016F">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189</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3E9FA2A4">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2026年4月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4B4E865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1F28E61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484D5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46A54FCD">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0199C8A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南溪山医院胸腔镜系统项目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0DEADA3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4E55CF75">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胸外科微创诊疗配套设施，提升胸腔疾病精准诊断与微创治疗能力，解决现有胸腔镜设备老化、成像模糊、操作不便等问题，满足群众胸腔疾病筛查、诊断及胸腔镜下微创手术的临床需求，降低诊疗风险、提高诊疗效率。</w:t>
            </w:r>
          </w:p>
          <w:p w14:paraId="25FFEF8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c>
          <w:tcPr>
            <w:tcW w:w="972" w:type="dxa"/>
            <w:tcBorders>
              <w:top w:val="nil"/>
              <w:left w:val="nil"/>
              <w:bottom w:val="nil"/>
              <w:right w:val="single" w:color="auto" w:sz="6" w:space="0"/>
            </w:tcBorders>
            <w:shd w:val="clear" w:color="auto" w:fill="auto"/>
            <w:tcMar>
              <w:left w:w="105" w:type="dxa"/>
              <w:right w:w="105" w:type="dxa"/>
            </w:tcMar>
            <w:vAlign w:val="center"/>
          </w:tcPr>
          <w:p w14:paraId="39B0EB49">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250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237F5BD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2026年4月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6758D34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6F5BD22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5E2D3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07DC9389">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0D29331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南溪山医院电子胃镜系统项目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22DF389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76A4562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胃镜诊疗配套设施，提升临床上消化道疾病精准诊断与微创治疗能力，解决现有电子胃镜设备老化、成像模糊、操作不便等问题，满足群众上消化道疾病筛查、诊断及相关微创治疗的临床需求，降低诊疗风险、提高诊疗效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389FA7C0">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348</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14019B9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2026年6月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5B3B58EF">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66D67F4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2A004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4CD7A2B5">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09B8B0E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南溪山医院电子消化内窥镜系统项目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6F96507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2DBDFDC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消化道内镜诊疗配套设施，提升临床消化道疾病精准诊断与微创治疗能力，解决现有消化道内镜设备老化、成像模糊、功能不足等问题，满足群众消化道疾病筛查、诊断及治疗的临床需求，降低诊疗风险、提高诊疗效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5F15D6F4">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480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524098D9">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2026年4月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253DD3F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025B5EB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05B81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68B29855">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440AB49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南溪山医院电子消化道内窥镜系统项目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571FC40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0F63848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消化道内镜诊疗配套设施，提升临床消化道疾病精准诊断与微创治疗能力，解决现有消化道内镜设备老化、成像模糊、功能不足等问题，满足群众消化道疾病筛查、诊断及治疗的临床需求，降低诊疗风险、提高诊疗效率。</w:t>
            </w:r>
          </w:p>
          <w:p w14:paraId="54397B7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c>
          <w:tcPr>
            <w:tcW w:w="972" w:type="dxa"/>
            <w:tcBorders>
              <w:top w:val="nil"/>
              <w:left w:val="nil"/>
              <w:bottom w:val="nil"/>
              <w:right w:val="single" w:color="auto" w:sz="6" w:space="0"/>
            </w:tcBorders>
            <w:shd w:val="clear" w:color="auto" w:fill="auto"/>
            <w:tcMar>
              <w:left w:w="105" w:type="dxa"/>
              <w:right w:w="105" w:type="dxa"/>
            </w:tcMar>
            <w:vAlign w:val="center"/>
          </w:tcPr>
          <w:p w14:paraId="37C8F89F">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406</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3823860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2026年4月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265FD0D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2EBBDFB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27F0B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5FEA38EF">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105F212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南溪山医院电子内窥镜系统项目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29A4DE0F">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27D07D3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进一步完善内镜诊疗配套设施，提升临床精准诊断与微创治疗能力，解决现有内镜设备老化、成像模糊、功能不足等问题，满足群众消化道、腔道疾病筛查、诊断及治疗的临床需求，降低诊疗风险、提高诊疗效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0302ECFA">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285</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197F8C3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2026年4月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43C9A84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78B853E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62A009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038FB30A">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0D3D778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南溪山医院电子支气管镜内窥镜系统项目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3B866AF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10502919">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呼吸与危重症医学科、胸外科、急诊科的精准诊疗需求，解决肺不张、咯血、肺部肿瘤等疾病的诊断与治疗痛点，拟采购电子支气管镜内窥镜系统，覆盖气道病变探查、活检取样、异物取出、介入治疗等核心场景，实现 “精准诊断 + 微创治疗 + 快速康复” 的核心目标。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6A6D2060">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635</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3E3AC48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2026年5月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669B22C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243E96F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5C70A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47C9A085">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6DD3B35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南溪山医院钬激光项目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309EFD55">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5AB4E6B4">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解决泌尿系统结石、前列腺增生等疾病的精准治疗痛点，覆盖腔内碎石、组织切割、病灶消融等核心场景，实现 “微创治疗 + 精准切除 + 快速康复” 的核心目标。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6E3E078A">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210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2701B13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2026年4月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2FCB60F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4E270E5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4C51F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5312E724">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6FC2266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南溪山医院体外循环系统项目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2824A82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25B4DA8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心脏外科、心血管介入中心的复杂手术需求，解决心脏直视手术、体外生命支持（ECMO）等场景下的血流动力学稳定保障痛点，覆盖成人 / 儿童心脏手术体外循环、重症患者体外生命支持、心肺复苏急救等核心场景，实现 “手术安全保障 + 重症急救支持 + 科研创新” 的核心目标。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0D035193">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320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5B68958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2026年6月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3230E4D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1ECA366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bookmarkEnd w:id="0"/>
      <w:tr w14:paraId="3245B6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6E87A8E3">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1DA0C62E">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南溪山医院磁共振（5.0T）项目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0E698A4E">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6D6212BD">
            <w:pPr>
              <w:pStyle w:val="2"/>
              <w:rPr>
                <w:rFonts w:hint="eastAsia"/>
                <w:lang w:val="en-US" w:eastAsia="zh-CN"/>
              </w:rPr>
            </w:pPr>
            <w:r>
              <w:rPr>
                <w:rFonts w:hint="eastAsia" w:ascii="仿宋_GB2312" w:hAnsi="仿宋_GB2312" w:eastAsia="仿宋_GB2312" w:cs="仿宋_GB2312"/>
                <w:color w:val="auto"/>
                <w:kern w:val="2"/>
                <w:sz w:val="21"/>
                <w:szCs w:val="24"/>
                <w:lang w:val="en-US" w:eastAsia="zh-CN" w:bidi="ar-SA"/>
              </w:rPr>
              <w:t>疑难病症精准诊疗与科研创新需求，解决微小病变早期检出、多模态功能成像、精准疗效评估等临床痛点，覆盖肿瘤、神经、心血管、骨关节等多学科精准诊断、介入引导及前沿科研场景，实现 “早期发现 + 精准诊疗 + 科研突破” 的核心目标。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725FFE05">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5000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4EC48756">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2026年8月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5FC8D3C0">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3692BC9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3B1C3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04CA33EB">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1208089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南溪山医院心脏彩超项目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4FF8A259">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采购数量：3台</w:t>
            </w:r>
          </w:p>
          <w:p w14:paraId="144AA12C">
            <w:pPr>
              <w:pStyle w:val="2"/>
              <w:rPr>
                <w:rFonts w:hint="eastAsia"/>
                <w:lang w:val="en-US" w:eastAsia="zh-CN"/>
              </w:rPr>
            </w:pPr>
            <w:r>
              <w:rPr>
                <w:rFonts w:hint="eastAsia" w:ascii="仿宋_GB2312" w:hAnsi="仿宋_GB2312" w:eastAsia="仿宋_GB2312" w:cs="仿宋_GB2312"/>
                <w:color w:val="auto"/>
                <w:kern w:val="2"/>
                <w:sz w:val="21"/>
                <w:szCs w:val="24"/>
                <w:lang w:val="en-US" w:eastAsia="zh-CN" w:bidi="ar-SA"/>
              </w:rPr>
              <w:t>解决先天性心脏病筛查、冠心病评估、心功能定量分析等临床痛点，覆盖成人 / 儿童 / 胎儿心脏结构与功能评估、血流动力学检测、介入治疗引导全场景，实现 “精准诊断 + 早筛早治 + 科研支撑” 的核心目标。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0AD7C208">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780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70D6402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2026年7月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55D0CAD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5E0E321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2ACEF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1D2A3DF8">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7286F4D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南溪山医院彩色多普勒超声诊断仪1项目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5CC941FC">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5573F60E">
            <w:pPr>
              <w:pStyle w:val="2"/>
              <w:rPr>
                <w:rFonts w:hint="eastAsia"/>
                <w:lang w:val="en-US" w:eastAsia="zh-CN"/>
              </w:rPr>
            </w:pPr>
            <w:r>
              <w:rPr>
                <w:rFonts w:hint="eastAsia" w:ascii="仿宋_GB2312" w:hAnsi="仿宋_GB2312" w:eastAsia="仿宋_GB2312" w:cs="仿宋_GB2312"/>
                <w:color w:val="auto"/>
                <w:kern w:val="2"/>
                <w:sz w:val="21"/>
                <w:szCs w:val="24"/>
                <w:lang w:val="en-US" w:eastAsia="zh-CN" w:bidi="ar-SA"/>
              </w:rPr>
              <w:t>解决常规检查负荷大、专科诊断精准度不足、信息化对接滞后等问题，覆盖腹部、妇产、心血管、小器官等多科室常规诊断及部分介入引导场景，实现 “高效诊疗 + 精准筛查 + 区域协同” 的核心目标。</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44551FC2">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180</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43912C6F">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2026年7月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4C8E993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2C000357">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7B7F1A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5A4F789F">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5AD681D9">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南溪山医院彩色多普勒超声诊断仪2项目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64F65C2F">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采购数量：3台</w:t>
            </w:r>
          </w:p>
          <w:p w14:paraId="2A773FFF">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解决临床多场景诊断需求（含常规检查、介入引导、科研教学），弥补高端超声设备缺口，改善医院整体医疗设备条件，提升医院医疗服务水平，提高医疗服务效率和质量。</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6B36DC5C">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558</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64E4F1E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2026年7月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4FDF5F13">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0A9DD10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628C96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2AFE1F1E">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4050944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南溪山医院便携式彩色多普勒超声诊断仪项目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7580C57A">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采购数量：1台</w:t>
            </w:r>
          </w:p>
          <w:p w14:paraId="60A8CD20">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落实医疗资源下沉与分级诊疗政策，解决基层医疗机构超声诊断设备缺口、急诊床旁检查需求迫切、移动筛查服务不足等问题，覆盖基层诊疗、急诊急救、专项筛查、远程会诊等多场景应用，提升医疗服务可及性与诊断精准度。</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00DF8EDB">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198</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4B835F9C">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2026年7月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20FD0F2A">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68BF918D">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229655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85" w:hRule="atLeast"/>
        </w:trPr>
        <w:tc>
          <w:tcPr>
            <w:tcW w:w="530" w:type="dxa"/>
            <w:tcBorders>
              <w:top w:val="nil"/>
              <w:left w:val="single" w:color="auto" w:sz="6" w:space="0"/>
              <w:bottom w:val="nil"/>
              <w:right w:val="single" w:color="auto" w:sz="6" w:space="0"/>
            </w:tcBorders>
            <w:shd w:val="clear" w:color="auto" w:fill="auto"/>
            <w:tcMar>
              <w:left w:w="105" w:type="dxa"/>
              <w:right w:w="105" w:type="dxa"/>
            </w:tcMar>
            <w:vAlign w:val="center"/>
          </w:tcPr>
          <w:p w14:paraId="1CC1F650">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nil"/>
              <w:right w:val="single" w:color="auto" w:sz="6" w:space="0"/>
            </w:tcBorders>
            <w:shd w:val="clear" w:color="auto" w:fill="auto"/>
            <w:tcMar>
              <w:left w:w="105" w:type="dxa"/>
              <w:right w:w="105" w:type="dxa"/>
            </w:tcMar>
            <w:vAlign w:val="center"/>
          </w:tcPr>
          <w:p w14:paraId="3EF82C77">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南溪山医院眼科OCT系统项目</w:t>
            </w:r>
          </w:p>
        </w:tc>
        <w:tc>
          <w:tcPr>
            <w:tcW w:w="3033" w:type="dxa"/>
            <w:tcBorders>
              <w:top w:val="nil"/>
              <w:left w:val="nil"/>
              <w:bottom w:val="nil"/>
              <w:right w:val="single" w:color="auto" w:sz="6" w:space="0"/>
            </w:tcBorders>
            <w:shd w:val="clear" w:color="auto" w:fill="auto"/>
            <w:tcMar>
              <w:left w:w="105" w:type="dxa"/>
              <w:right w:w="105" w:type="dxa"/>
            </w:tcMar>
            <w:vAlign w:val="center"/>
          </w:tcPr>
          <w:p w14:paraId="3E66A048">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09CFF687">
            <w:pPr>
              <w:pStyle w:val="2"/>
              <w:rPr>
                <w:rFonts w:hint="eastAsia"/>
                <w:lang w:val="en-US" w:eastAsia="zh-CN"/>
              </w:rPr>
            </w:pPr>
            <w:r>
              <w:rPr>
                <w:rFonts w:hint="eastAsia" w:ascii="仿宋_GB2312" w:hAnsi="仿宋_GB2312" w:eastAsia="仿宋_GB2312" w:cs="仿宋_GB2312"/>
                <w:color w:val="auto"/>
                <w:kern w:val="2"/>
                <w:sz w:val="21"/>
                <w:szCs w:val="24"/>
                <w:lang w:val="en-US" w:eastAsia="zh-CN" w:bidi="ar-SA"/>
              </w:rPr>
              <w:t>为响应《十四五全国眼健康规划》要求（三级医院眼科配置率 100%、二级医院 85%），提升眼科疾病精准诊疗能力，满足眼底病、白内障、青光眼等疾病的高频次检查需求，覆盖临床诊断、手术引导、术后随访全流程。</w:t>
            </w:r>
          </w:p>
        </w:tc>
        <w:tc>
          <w:tcPr>
            <w:tcW w:w="972" w:type="dxa"/>
            <w:tcBorders>
              <w:top w:val="nil"/>
              <w:left w:val="nil"/>
              <w:bottom w:val="nil"/>
              <w:right w:val="single" w:color="auto" w:sz="6" w:space="0"/>
            </w:tcBorders>
            <w:shd w:val="clear" w:color="auto" w:fill="auto"/>
            <w:tcMar>
              <w:left w:w="105" w:type="dxa"/>
              <w:right w:w="105" w:type="dxa"/>
            </w:tcMar>
            <w:vAlign w:val="center"/>
          </w:tcPr>
          <w:p w14:paraId="1C0DCE77">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270.5</w:t>
            </w:r>
          </w:p>
        </w:tc>
        <w:tc>
          <w:tcPr>
            <w:tcW w:w="1272" w:type="dxa"/>
            <w:tcBorders>
              <w:top w:val="nil"/>
              <w:left w:val="nil"/>
              <w:bottom w:val="nil"/>
              <w:right w:val="single" w:color="auto" w:sz="6" w:space="0"/>
            </w:tcBorders>
            <w:shd w:val="clear" w:color="auto" w:fill="auto"/>
            <w:tcMar>
              <w:left w:w="105" w:type="dxa"/>
              <w:right w:w="105" w:type="dxa"/>
            </w:tcMar>
            <w:vAlign w:val="center"/>
          </w:tcPr>
          <w:p w14:paraId="2EDE41F9">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2026年6月</w:t>
            </w:r>
          </w:p>
        </w:tc>
        <w:tc>
          <w:tcPr>
            <w:tcW w:w="1252" w:type="dxa"/>
            <w:tcBorders>
              <w:top w:val="nil"/>
              <w:left w:val="nil"/>
              <w:bottom w:val="nil"/>
              <w:right w:val="single" w:color="auto" w:sz="6" w:space="0"/>
            </w:tcBorders>
            <w:shd w:val="clear" w:color="auto" w:fill="auto"/>
            <w:tcMar>
              <w:left w:w="105" w:type="dxa"/>
              <w:right w:w="105" w:type="dxa"/>
            </w:tcMar>
            <w:vAlign w:val="center"/>
          </w:tcPr>
          <w:p w14:paraId="0E2F7641">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nil"/>
              <w:right w:val="single" w:color="auto" w:sz="6" w:space="0"/>
            </w:tcBorders>
            <w:shd w:val="clear" w:color="auto" w:fill="auto"/>
            <w:tcMar>
              <w:left w:w="105" w:type="dxa"/>
              <w:right w:w="105" w:type="dxa"/>
            </w:tcMar>
            <w:vAlign w:val="center"/>
          </w:tcPr>
          <w:p w14:paraId="2D13DF82">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r w14:paraId="2A766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885" w:hRule="atLeast"/>
        </w:trPr>
        <w:tc>
          <w:tcPr>
            <w:tcW w:w="530" w:type="dxa"/>
            <w:tcBorders>
              <w:top w:val="nil"/>
              <w:left w:val="single" w:color="auto" w:sz="6" w:space="0"/>
              <w:bottom w:val="single" w:color="auto" w:sz="6" w:space="0"/>
              <w:right w:val="single" w:color="auto" w:sz="6" w:space="0"/>
            </w:tcBorders>
            <w:shd w:val="clear" w:color="auto" w:fill="auto"/>
            <w:tcMar>
              <w:left w:w="105" w:type="dxa"/>
              <w:right w:w="105" w:type="dxa"/>
            </w:tcMar>
            <w:vAlign w:val="center"/>
          </w:tcPr>
          <w:p w14:paraId="5ED23515">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left="425" w:leftChars="0" w:hanging="425" w:firstLineChars="0"/>
              <w:jc w:val="left"/>
              <w:textAlignment w:val="auto"/>
              <w:rPr>
                <w:rFonts w:hint="eastAsia"/>
                <w:lang w:val="en-US" w:eastAsia="zh-CN"/>
              </w:rPr>
            </w:pPr>
          </w:p>
        </w:tc>
        <w:tc>
          <w:tcPr>
            <w:tcW w:w="1229" w:type="dxa"/>
            <w:tcBorders>
              <w:top w:val="nil"/>
              <w:left w:val="nil"/>
              <w:bottom w:val="single" w:color="auto" w:sz="6" w:space="0"/>
              <w:right w:val="single" w:color="auto" w:sz="6" w:space="0"/>
            </w:tcBorders>
            <w:shd w:val="clear" w:color="auto" w:fill="auto"/>
            <w:tcMar>
              <w:left w:w="105" w:type="dxa"/>
              <w:right w:w="105" w:type="dxa"/>
            </w:tcMar>
            <w:vAlign w:val="center"/>
          </w:tcPr>
          <w:p w14:paraId="04E4BB70">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南溪山医院医用高压氧舱项目</w:t>
            </w:r>
          </w:p>
        </w:tc>
        <w:tc>
          <w:tcPr>
            <w:tcW w:w="3033" w:type="dxa"/>
            <w:tcBorders>
              <w:top w:val="nil"/>
              <w:left w:val="nil"/>
              <w:bottom w:val="single" w:color="auto" w:sz="6" w:space="0"/>
              <w:right w:val="single" w:color="auto" w:sz="6" w:space="0"/>
            </w:tcBorders>
            <w:shd w:val="clear" w:color="auto" w:fill="auto"/>
            <w:tcMar>
              <w:left w:w="105" w:type="dxa"/>
              <w:right w:w="105" w:type="dxa"/>
            </w:tcMar>
            <w:vAlign w:val="center"/>
          </w:tcPr>
          <w:p w14:paraId="78368A34">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采购数量：1套</w:t>
            </w:r>
          </w:p>
          <w:p w14:paraId="633A976E">
            <w:pPr>
              <w:keepNext w:val="0"/>
              <w:keepLines w:val="0"/>
              <w:widowControl/>
              <w:suppressLineNumbers w:val="0"/>
              <w:jc w:val="left"/>
              <w:textAlignment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为提升我院综合诊疗能力，完善医疗服务体系，满足区域内患者日益增长的康复治疗需求，惠及广大患者的必要举措。</w:t>
            </w:r>
          </w:p>
        </w:tc>
        <w:tc>
          <w:tcPr>
            <w:tcW w:w="972" w:type="dxa"/>
            <w:tcBorders>
              <w:top w:val="nil"/>
              <w:left w:val="nil"/>
              <w:bottom w:val="single" w:color="auto" w:sz="6" w:space="0"/>
              <w:right w:val="single" w:color="auto" w:sz="6" w:space="0"/>
            </w:tcBorders>
            <w:shd w:val="clear" w:color="auto" w:fill="auto"/>
            <w:tcMar>
              <w:left w:w="105" w:type="dxa"/>
              <w:right w:w="105" w:type="dxa"/>
            </w:tcMar>
            <w:vAlign w:val="center"/>
          </w:tcPr>
          <w:p w14:paraId="014AF095">
            <w:pPr>
              <w:keepNext w:val="0"/>
              <w:keepLines w:val="0"/>
              <w:widowControl/>
              <w:suppressLineNumbers w:val="0"/>
              <w:jc w:val="center"/>
              <w:textAlignment w:val="center"/>
              <w:rPr>
                <w:rFonts w:hint="default"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500</w:t>
            </w:r>
          </w:p>
        </w:tc>
        <w:tc>
          <w:tcPr>
            <w:tcW w:w="1272" w:type="dxa"/>
            <w:tcBorders>
              <w:top w:val="nil"/>
              <w:left w:val="nil"/>
              <w:bottom w:val="single" w:color="auto" w:sz="6" w:space="0"/>
              <w:right w:val="single" w:color="auto" w:sz="6" w:space="0"/>
            </w:tcBorders>
            <w:shd w:val="clear" w:color="auto" w:fill="auto"/>
            <w:tcMar>
              <w:left w:w="105" w:type="dxa"/>
              <w:right w:w="105" w:type="dxa"/>
            </w:tcMar>
            <w:vAlign w:val="center"/>
          </w:tcPr>
          <w:p w14:paraId="58701AF5">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ascii="宋体" w:hAnsi="宋体" w:eastAsia="宋体" w:cs="宋体"/>
                <w:i w:val="0"/>
                <w:iCs w:val="0"/>
                <w:color w:val="000000"/>
                <w:kern w:val="0"/>
                <w:sz w:val="22"/>
                <w:szCs w:val="22"/>
                <w:u w:val="none"/>
                <w:lang w:val="en-US" w:eastAsia="zh-CN" w:bidi="ar"/>
              </w:rPr>
              <w:t>2026年7月</w:t>
            </w:r>
          </w:p>
        </w:tc>
        <w:tc>
          <w:tcPr>
            <w:tcW w:w="1252" w:type="dxa"/>
            <w:tcBorders>
              <w:top w:val="nil"/>
              <w:left w:val="nil"/>
              <w:bottom w:val="single" w:color="auto" w:sz="6" w:space="0"/>
              <w:right w:val="single" w:color="auto" w:sz="6" w:space="0"/>
            </w:tcBorders>
            <w:shd w:val="clear" w:color="auto" w:fill="auto"/>
            <w:tcMar>
              <w:left w:w="105" w:type="dxa"/>
              <w:right w:w="105" w:type="dxa"/>
            </w:tcMar>
            <w:vAlign w:val="center"/>
          </w:tcPr>
          <w:p w14:paraId="438E60BB">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r>
              <w:rPr>
                <w:rFonts w:hint="eastAsia"/>
              </w:rPr>
              <w:t>按政府采购政策相关要求落实。</w:t>
            </w:r>
          </w:p>
        </w:tc>
        <w:tc>
          <w:tcPr>
            <w:tcW w:w="701" w:type="dxa"/>
            <w:tcBorders>
              <w:top w:val="nil"/>
              <w:left w:val="nil"/>
              <w:bottom w:val="single" w:color="auto" w:sz="6" w:space="0"/>
              <w:right w:val="single" w:color="auto" w:sz="6" w:space="0"/>
            </w:tcBorders>
            <w:shd w:val="clear" w:color="auto" w:fill="auto"/>
            <w:tcMar>
              <w:left w:w="105" w:type="dxa"/>
              <w:right w:w="105" w:type="dxa"/>
            </w:tcMar>
            <w:vAlign w:val="center"/>
          </w:tcPr>
          <w:p w14:paraId="79F45B78">
            <w:pPr>
              <w:keepNext w:val="0"/>
              <w:keepLines w:val="0"/>
              <w:widowControl/>
              <w:suppressLineNumbers w:val="0"/>
              <w:jc w:val="center"/>
              <w:textAlignment w:val="center"/>
              <w:rPr>
                <w:rFonts w:hint="eastAsia" w:ascii="仿宋_GB2312" w:hAnsi="仿宋_GB2312" w:eastAsia="仿宋_GB2312" w:cs="仿宋_GB2312"/>
                <w:color w:val="auto"/>
                <w:lang w:val="en-US" w:eastAsia="zh-CN"/>
              </w:rPr>
            </w:pPr>
          </w:p>
        </w:tc>
      </w:tr>
    </w:tbl>
    <w:p w14:paraId="73D09E44">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firstLine="620" w:firstLineChars="200"/>
        <w:jc w:val="left"/>
        <w:textAlignment w:val="auto"/>
        <w:rPr>
          <w:rFonts w:ascii="仿宋_GB2312" w:hAnsi="仿宋_GB2312" w:eastAsia="仿宋_GB2312" w:cs="仿宋_GB2312"/>
          <w:sz w:val="31"/>
          <w:szCs w:val="31"/>
        </w:rPr>
      </w:pPr>
      <w:r>
        <w:rPr>
          <w:rFonts w:ascii="仿宋_GB2312" w:hAnsi="仿宋_GB2312" w:eastAsia="仿宋_GB2312" w:cs="仿宋_GB2312"/>
          <w:sz w:val="31"/>
          <w:szCs w:val="31"/>
        </w:rPr>
        <w:t>本次公开的政府采购意向是本单位政府采购工作的初步安排，具体采购项目情况以相关采购公告和采购文件为准。</w:t>
      </w:r>
    </w:p>
    <w:p w14:paraId="7EEBB65F">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firstLine="620" w:firstLineChars="200"/>
        <w:jc w:val="left"/>
        <w:textAlignment w:val="auto"/>
        <w:rPr>
          <w:rFonts w:ascii="仿宋_GB2312" w:hAnsi="仿宋_GB2312" w:eastAsia="仿宋_GB2312" w:cs="仿宋_GB2312"/>
          <w:sz w:val="31"/>
          <w:szCs w:val="31"/>
        </w:rPr>
      </w:pPr>
    </w:p>
    <w:p w14:paraId="5D8F4BD0">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right="0" w:firstLine="620" w:firstLineChars="200"/>
        <w:jc w:val="left"/>
        <w:textAlignment w:val="auto"/>
        <w:rPr>
          <w:rFonts w:ascii="仿宋_GB2312" w:hAnsi="仿宋_GB2312" w:eastAsia="仿宋_GB2312" w:cs="仿宋_GB2312"/>
          <w:sz w:val="31"/>
          <w:szCs w:val="31"/>
        </w:rPr>
      </w:pPr>
    </w:p>
    <w:p w14:paraId="22C5164D">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left="0" w:right="0" w:firstLine="960"/>
        <w:jc w:val="right"/>
        <w:textAlignment w:val="auto"/>
        <w:rPr>
          <w:rFonts w:hint="eastAsia" w:ascii="仿宋_GB2312" w:hAnsi="仿宋_GB2312" w:eastAsia="仿宋_GB2312" w:cs="仿宋_GB2312"/>
          <w:sz w:val="31"/>
          <w:szCs w:val="31"/>
          <w:lang w:val="en-US" w:eastAsia="zh-CN"/>
        </w:rPr>
      </w:pPr>
      <w:r>
        <w:rPr>
          <w:rFonts w:ascii="仿宋_GB2312" w:hAnsi="仿宋_GB2312" w:eastAsia="仿宋_GB2312" w:cs="仿宋_GB2312"/>
          <w:sz w:val="31"/>
          <w:szCs w:val="31"/>
        </w:rPr>
        <w:t>                                        </w:t>
      </w:r>
      <w:r>
        <w:rPr>
          <w:rFonts w:hint="eastAsia" w:ascii="仿宋_GB2312" w:hAnsi="仿宋_GB2312" w:eastAsia="仿宋_GB2312" w:cs="仿宋_GB2312"/>
          <w:sz w:val="31"/>
          <w:szCs w:val="31"/>
          <w:lang w:val="en-US" w:eastAsia="zh-CN"/>
        </w:rPr>
        <w:t>广西壮族自治区南溪山医院</w:t>
      </w:r>
    </w:p>
    <w:p w14:paraId="7CAD7224">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left="0" w:right="0" w:firstLine="960"/>
        <w:jc w:val="right"/>
        <w:textAlignment w:val="auto"/>
        <w:rPr>
          <w:rFonts w:hint="default" w:ascii="仿宋_GB2312" w:hAnsi="仿宋_GB2312" w:eastAsia="仿宋_GB2312" w:cs="仿宋_GB2312"/>
          <w:sz w:val="31"/>
          <w:szCs w:val="31"/>
          <w:lang w:val="en-US" w:eastAsia="zh-CN"/>
        </w:rPr>
      </w:pPr>
      <w:r>
        <w:rPr>
          <w:rFonts w:hint="eastAsia" w:ascii="仿宋_GB2312" w:hAnsi="仿宋_GB2312" w:eastAsia="仿宋_GB2312" w:cs="仿宋_GB2312"/>
          <w:sz w:val="31"/>
          <w:szCs w:val="31"/>
          <w:lang w:val="en-US" w:eastAsia="zh-CN"/>
        </w:rPr>
        <w:t>广西壮族自治区第二人民医院</w:t>
      </w:r>
    </w:p>
    <w:p w14:paraId="6EB8F4C9">
      <w:pPr>
        <w:pStyle w:val="5"/>
        <w:keepNext w:val="0"/>
        <w:keepLines w:val="0"/>
        <w:pageBreakBefore w:val="0"/>
        <w:widowControl/>
        <w:suppressLineNumbers w:val="0"/>
        <w:kinsoku/>
        <w:wordWrap/>
        <w:overflowPunct/>
        <w:topLinePunct w:val="0"/>
        <w:autoSpaceDE/>
        <w:autoSpaceDN/>
        <w:bidi w:val="0"/>
        <w:adjustRightInd/>
        <w:snapToGrid/>
        <w:spacing w:before="75" w:beforeAutospacing="0" w:after="75" w:afterAutospacing="0" w:line="560" w:lineRule="exact"/>
        <w:ind w:left="0" w:right="480" w:firstLine="960"/>
        <w:jc w:val="right"/>
        <w:textAlignment w:val="auto"/>
      </w:pPr>
      <w:r>
        <w:rPr>
          <w:rFonts w:hint="eastAsia" w:ascii="仿宋_GB2312" w:hAnsi="仿宋_GB2312" w:eastAsia="仿宋_GB2312" w:cs="仿宋_GB2312"/>
          <w:sz w:val="31"/>
          <w:szCs w:val="31"/>
          <w:lang w:val="en-US" w:eastAsia="zh-CN"/>
        </w:rPr>
        <w:t>2026</w:t>
      </w:r>
      <w:r>
        <w:rPr>
          <w:rFonts w:ascii="仿宋_GB2312" w:hAnsi="仿宋_GB2312" w:eastAsia="仿宋_GB2312" w:cs="仿宋_GB2312"/>
          <w:sz w:val="31"/>
          <w:szCs w:val="31"/>
        </w:rPr>
        <w:t>年 </w:t>
      </w:r>
      <w:r>
        <w:rPr>
          <w:rFonts w:hint="eastAsia" w:ascii="仿宋_GB2312" w:hAnsi="仿宋_GB2312" w:eastAsia="仿宋_GB2312" w:cs="仿宋_GB2312"/>
          <w:sz w:val="31"/>
          <w:szCs w:val="31"/>
          <w:lang w:val="en-US" w:eastAsia="zh-CN"/>
        </w:rPr>
        <w:t>2</w:t>
      </w:r>
      <w:r>
        <w:rPr>
          <w:rFonts w:ascii="仿宋_GB2312" w:hAnsi="仿宋_GB2312" w:eastAsia="仿宋_GB2312" w:cs="仿宋_GB2312"/>
          <w:sz w:val="31"/>
          <w:szCs w:val="31"/>
        </w:rPr>
        <w:t>月 </w:t>
      </w:r>
      <w:r>
        <w:rPr>
          <w:rFonts w:hint="eastAsia" w:ascii="仿宋_GB2312" w:hAnsi="仿宋_GB2312" w:eastAsia="仿宋_GB2312" w:cs="仿宋_GB2312"/>
          <w:sz w:val="31"/>
          <w:szCs w:val="31"/>
          <w:lang w:val="en-US" w:eastAsia="zh-CN"/>
        </w:rPr>
        <w:t>11</w:t>
      </w:r>
      <w:r>
        <w:rPr>
          <w:rFonts w:ascii="仿宋_GB2312" w:hAnsi="仿宋_GB2312" w:eastAsia="仿宋_GB2312" w:cs="仿宋_GB2312"/>
          <w:sz w:val="31"/>
          <w:szCs w:val="31"/>
        </w:rPr>
        <w:t>日 </w:t>
      </w:r>
    </w:p>
    <w:sectPr>
      <w:pgSz w:w="11906" w:h="16838"/>
      <w:pgMar w:top="1327" w:right="1689" w:bottom="1327" w:left="1689"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03856341-F18F-41F4-85B7-82B8166C2E0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2000000000000000000"/>
    <w:charset w:val="86"/>
    <w:family w:val="auto"/>
    <w:pitch w:val="default"/>
    <w:sig w:usb0="00000000" w:usb1="00000000" w:usb2="00000000" w:usb3="00000000" w:csb0="00040000" w:csb1="00000000"/>
    <w:embedRegular r:id="rId2" w:fontKey="{A726341F-2147-46DA-8A8D-74A64C071BF7}"/>
  </w:font>
  <w:font w:name="仿宋_GB2312">
    <w:altName w:val="仿宋"/>
    <w:panose1 w:val="02010609030101010101"/>
    <w:charset w:val="86"/>
    <w:family w:val="auto"/>
    <w:pitch w:val="default"/>
    <w:sig w:usb0="00000000" w:usb1="00000000" w:usb2="00000000" w:usb3="00000000" w:csb0="00040000" w:csb1="00000000"/>
    <w:embedRegular r:id="rId3" w:fontKey="{D257527B-4CF7-4724-B920-0468DF73456B}"/>
  </w:font>
  <w:font w:name="仿宋">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 w:name="Segoe UI Emoji">
    <w:panose1 w:val="020B0502040204020203"/>
    <w:charset w:val="00"/>
    <w:family w:val="auto"/>
    <w:pitch w:val="default"/>
    <w:sig w:usb0="00000001" w:usb1="02000000" w:usb2="00000000" w:usb3="00000000" w:csb0="00000001" w:csb1="00000000"/>
    <w:embedRegular r:id="rId4" w:fontKey="{E3A7F28F-9D74-47D3-9F8B-4C2ECAD89317}"/>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B12ACE"/>
    <w:multiLevelType w:val="singleLevel"/>
    <w:tmpl w:val="84B12ACE"/>
    <w:lvl w:ilvl="0" w:tentative="0">
      <w:start w:val="1"/>
      <w:numFmt w:val="decimal"/>
      <w:lvlText w:val="%1"/>
      <w:lvlJc w:val="left"/>
      <w:pPr>
        <w:tabs>
          <w:tab w:val="left" w:pos="420"/>
        </w:tabs>
        <w:ind w:left="425" w:leftChars="0" w:hanging="425" w:firstLineChars="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FjMmUxOWI2NjViMzIxYjQ4OTQwODkyYzk0Mjg0YWIifQ=="/>
  </w:docVars>
  <w:rsids>
    <w:rsidRoot w:val="00000000"/>
    <w:rsid w:val="04640655"/>
    <w:rsid w:val="04B62533"/>
    <w:rsid w:val="108F7B72"/>
    <w:rsid w:val="10E66DBF"/>
    <w:rsid w:val="110F1949"/>
    <w:rsid w:val="166F7914"/>
    <w:rsid w:val="1B3B3CBE"/>
    <w:rsid w:val="1FC72155"/>
    <w:rsid w:val="2B956ED2"/>
    <w:rsid w:val="2D076C73"/>
    <w:rsid w:val="36101C06"/>
    <w:rsid w:val="38501FA2"/>
    <w:rsid w:val="3BFA463D"/>
    <w:rsid w:val="46F60B7C"/>
    <w:rsid w:val="47FB3886"/>
    <w:rsid w:val="4E4243F2"/>
    <w:rsid w:val="510F078D"/>
    <w:rsid w:val="514E06CA"/>
    <w:rsid w:val="534A3067"/>
    <w:rsid w:val="548E3F00"/>
    <w:rsid w:val="5BAB48CC"/>
    <w:rsid w:val="63BA261B"/>
    <w:rsid w:val="69275F46"/>
    <w:rsid w:val="6B710AE7"/>
    <w:rsid w:val="6D0665AA"/>
    <w:rsid w:val="70C12BFF"/>
    <w:rsid w:val="71F15689"/>
    <w:rsid w:val="72541E8D"/>
    <w:rsid w:val="74131CB0"/>
    <w:rsid w:val="74E81906"/>
    <w:rsid w:val="77D67889"/>
    <w:rsid w:val="7A3840F3"/>
    <w:rsid w:val="7E3F8611"/>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style>
  <w:style w:type="paragraph" w:styleId="3">
    <w:name w:val="Title"/>
    <w:basedOn w:val="1"/>
    <w:next w:val="1"/>
    <w:qFormat/>
    <w:uiPriority w:val="0"/>
    <w:pPr>
      <w:spacing w:before="240" w:after="60"/>
      <w:jc w:val="center"/>
      <w:outlineLvl w:val="0"/>
    </w:pPr>
    <w:rPr>
      <w:rFonts w:ascii="Arial" w:hAnsi="Arial" w:cs="Arial"/>
      <w:b/>
      <w:bCs/>
      <w:sz w:val="32"/>
      <w:szCs w:val="32"/>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customStyle="1" w:styleId="9">
    <w:name w:val="font31"/>
    <w:basedOn w:val="7"/>
    <w:qFormat/>
    <w:uiPriority w:val="0"/>
    <w:rPr>
      <w:rFonts w:hint="default" w:ascii="Times New Roman" w:hAnsi="Times New Roman" w:cs="Times New Roman"/>
      <w:color w:val="000000"/>
      <w:sz w:val="28"/>
      <w:szCs w:val="28"/>
      <w:u w:val="none"/>
    </w:rPr>
  </w:style>
  <w:style w:type="character" w:customStyle="1" w:styleId="10">
    <w:name w:val="font11"/>
    <w:basedOn w:val="7"/>
    <w:qFormat/>
    <w:uiPriority w:val="0"/>
    <w:rPr>
      <w:rFonts w:hint="eastAsia" w:ascii="宋体" w:hAnsi="宋体" w:eastAsia="宋体" w:cs="宋体"/>
      <w:color w:val="000000"/>
      <w:sz w:val="28"/>
      <w:szCs w:val="28"/>
      <w:u w:val="none"/>
    </w:rPr>
  </w:style>
  <w:style w:type="character" w:customStyle="1" w:styleId="11">
    <w:name w:val="font41"/>
    <w:basedOn w:val="7"/>
    <w:uiPriority w:val="0"/>
    <w:rPr>
      <w:rFonts w:hint="default" w:ascii="Times New Roman" w:hAnsi="Times New Roman" w:cs="Times New Roman"/>
      <w:color w:val="4874CB"/>
      <w:sz w:val="28"/>
      <w:szCs w:val="28"/>
      <w:u w:val="none"/>
    </w:rPr>
  </w:style>
  <w:style w:type="character" w:customStyle="1" w:styleId="12">
    <w:name w:val="font21"/>
    <w:basedOn w:val="7"/>
    <w:qFormat/>
    <w:uiPriority w:val="0"/>
    <w:rPr>
      <w:rFonts w:hint="eastAsia" w:ascii="宋体" w:hAnsi="宋体" w:eastAsia="宋体" w:cs="宋体"/>
      <w:color w:val="4874CB"/>
      <w:sz w:val="28"/>
      <w:szCs w:val="28"/>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9</Pages>
  <Words>750</Words>
  <Characters>778</Characters>
  <Lines>0</Lines>
  <Paragraphs>0</Paragraphs>
  <TotalTime>77</TotalTime>
  <ScaleCrop>false</ScaleCrop>
  <LinksUpToDate>false</LinksUpToDate>
  <CharactersWithSpaces>824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2023-01-10T11:36:00Z</dcterms:created>
  <dc:creator>o</dc:creator>
  <cp:lastModifiedBy>tang</cp:lastModifiedBy>
  <cp:lastPrinted>2024-02-21T09:54:00Z</cp:lastPrinted>
  <dcterms:modified xsi:type="dcterms:W3CDTF">2026-02-11T03:21:56Z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FA029FBA61F246BC8604EC5016D17457_13</vt:lpwstr>
  </property>
  <property fmtid="{D5CDD505-2E9C-101B-9397-08002B2CF9AE}" pid="4" name="KSOTemplateDocerSaveRecord">
    <vt:lpwstr>eyJoZGlkIjoiYWYwOWRmMzQ2MzQwOTRmZmYzOWIxNWU5ODZhMzE4YTkiLCJ1c2VySWQiOiI0MzI0MDg2NTAifQ==</vt:lpwstr>
  </property>
</Properties>
</file>