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9F05">
      <w:pPr>
        <w:spacing w:line="360" w:lineRule="auto"/>
        <w:jc w:val="center"/>
        <w:rPr>
          <w:rFonts w:hint="eastAsia" w:ascii="方正小标宋简体" w:hAnsi="宋体" w:eastAsia="方正小标宋简体"/>
          <w:color w:val="000000" w:themeColor="text1"/>
          <w:sz w:val="52"/>
          <w:szCs w:val="52"/>
          <w:highlight w:val="none"/>
          <w:lang w:eastAsia="zh-CN"/>
          <w14:textFill>
            <w14:solidFill>
              <w14:schemeClr w14:val="tx1"/>
            </w14:solidFill>
          </w14:textFill>
        </w:rPr>
      </w:pPr>
      <w:r>
        <w:rPr>
          <w:rFonts w:hint="eastAsia"/>
          <w:b/>
          <w:color w:val="auto"/>
          <w:sz w:val="44"/>
          <w:szCs w:val="44"/>
          <w:highlight w:val="none"/>
        </w:rPr>
        <w:drawing>
          <wp:inline distT="0" distB="0" distL="114300" distR="114300">
            <wp:extent cx="1400175" cy="1311910"/>
            <wp:effectExtent l="0" t="0" r="9525" b="2540"/>
            <wp:docPr id="5" name="图片 1" descr="翔正 （三角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翔正 （三角标）"/>
                    <pic:cNvPicPr>
                      <a:picLocks noChangeAspect="1"/>
                    </pic:cNvPicPr>
                  </pic:nvPicPr>
                  <pic:blipFill>
                    <a:blip r:embed="rId11"/>
                    <a:stretch>
                      <a:fillRect/>
                    </a:stretch>
                  </pic:blipFill>
                  <pic:spPr>
                    <a:xfrm>
                      <a:off x="0" y="0"/>
                      <a:ext cx="1400175" cy="1311910"/>
                    </a:xfrm>
                    <a:prstGeom prst="rect">
                      <a:avLst/>
                    </a:prstGeom>
                    <a:noFill/>
                    <a:ln>
                      <a:noFill/>
                    </a:ln>
                  </pic:spPr>
                </pic:pic>
              </a:graphicData>
            </a:graphic>
          </wp:inline>
        </w:drawing>
      </w:r>
    </w:p>
    <w:p w14:paraId="3F0F5455">
      <w:pPr>
        <w:spacing w:line="360" w:lineRule="auto"/>
        <w:jc w:val="center"/>
        <w:rPr>
          <w:rFonts w:hint="eastAsia" w:ascii="方正小标宋简体" w:hAnsi="宋体" w:eastAsia="方正小标宋简体"/>
          <w:color w:val="000000" w:themeColor="text1"/>
          <w:sz w:val="52"/>
          <w:szCs w:val="52"/>
          <w:highlight w:val="none"/>
          <w:lang w:eastAsia="zh-CN"/>
          <w14:textFill>
            <w14:solidFill>
              <w14:schemeClr w14:val="tx1"/>
            </w14:solidFill>
          </w14:textFill>
        </w:rPr>
      </w:pPr>
    </w:p>
    <w:p w14:paraId="47C03503">
      <w:pPr>
        <w:spacing w:line="360" w:lineRule="auto"/>
        <w:jc w:val="center"/>
        <w:rPr>
          <w:rFonts w:hint="eastAsia" w:ascii="方正小标宋简体" w:hAnsi="方正小标宋简体" w:eastAsia="方正小标宋简体" w:cs="方正小标宋简体"/>
          <w:color w:val="000000" w:themeColor="text1"/>
          <w:sz w:val="52"/>
          <w:szCs w:val="52"/>
          <w:highlight w:val="none"/>
          <w:lang w:eastAsia="zh-CN"/>
          <w14:textFill>
            <w14:solidFill>
              <w14:schemeClr w14:val="tx1"/>
            </w14:solidFill>
          </w14:textFill>
        </w:rPr>
      </w:pPr>
      <w:r>
        <w:rPr>
          <w:rFonts w:hint="eastAsia" w:ascii="方正小标宋简体" w:hAnsi="宋体" w:eastAsia="方正小标宋简体"/>
          <w:color w:val="000000" w:themeColor="text1"/>
          <w:sz w:val="52"/>
          <w:szCs w:val="52"/>
          <w:highlight w:val="none"/>
          <w:lang w:eastAsia="zh-CN"/>
          <w14:textFill>
            <w14:solidFill>
              <w14:schemeClr w14:val="tx1"/>
            </w14:solidFill>
          </w14:textFill>
        </w:rPr>
        <w:t>广西翔正项目管理有限公司</w:t>
      </w:r>
    </w:p>
    <w:p w14:paraId="5F73ABFD">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3144AA90">
      <w:pPr>
        <w:snapToGrid w:val="0"/>
        <w:spacing w:beforeLines="50" w:line="360" w:lineRule="auto"/>
        <w:jc w:val="center"/>
        <w:rPr>
          <w:rFonts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竞争性磋商文件</w:t>
      </w:r>
    </w:p>
    <w:p w14:paraId="3B567F97">
      <w:pPr>
        <w:snapToGrid w:val="0"/>
        <w:spacing w:beforeLines="50" w:line="360" w:lineRule="auto"/>
        <w:jc w:val="center"/>
        <w:rPr>
          <w:rFonts w:ascii="仿宋_GB2312" w:hAnsi="宋体" w:eastAsia="仿宋_GB2312"/>
          <w:bCs/>
          <w:color w:val="000000" w:themeColor="text1"/>
          <w:sz w:val="30"/>
          <w:szCs w:val="72"/>
          <w:highlight w:val="none"/>
          <w14:textFill>
            <w14:solidFill>
              <w14:schemeClr w14:val="tx1"/>
            </w14:solidFill>
          </w14:textFill>
        </w:rPr>
      </w:pPr>
    </w:p>
    <w:p w14:paraId="7760CC3C">
      <w:pPr>
        <w:snapToGrid w:val="0"/>
        <w:spacing w:line="360" w:lineRule="auto"/>
        <w:rPr>
          <w:rFonts w:ascii="仿宋_GB2312" w:hAnsi="宋体" w:eastAsia="仿宋_GB2312"/>
          <w:bCs/>
          <w:color w:val="000000" w:themeColor="text1"/>
          <w:sz w:val="30"/>
          <w:szCs w:val="72"/>
          <w:highlight w:val="none"/>
          <w14:textFill>
            <w14:solidFill>
              <w14:schemeClr w14:val="tx1"/>
            </w14:solidFill>
          </w14:textFill>
        </w:rPr>
      </w:pPr>
    </w:p>
    <w:p w14:paraId="54748DDE">
      <w:pPr>
        <w:pStyle w:val="25"/>
        <w:snapToGrid w:val="0"/>
        <w:spacing w:line="360" w:lineRule="auto"/>
        <w:ind w:firstLine="859" w:firstLineChars="300"/>
        <w:rPr>
          <w:rFonts w:hint="eastAsia" w:ascii="仿宋_GB2312" w:hAnsi="宋体" w:eastAsia="仿宋_GB2312"/>
          <w:b/>
          <w:bCs w:val="0"/>
          <w:color w:val="000000" w:themeColor="text1"/>
          <w:w w:val="95"/>
          <w:sz w:val="30"/>
          <w:szCs w:val="30"/>
          <w:highlight w:val="none"/>
          <w:lang w:eastAsia="zh-CN"/>
          <w14:textFill>
            <w14:solidFill>
              <w14:schemeClr w14:val="tx1"/>
            </w14:solidFill>
          </w14:textFill>
        </w:rPr>
      </w:pPr>
      <w:r>
        <w:rPr>
          <w:rFonts w:hint="eastAsia" w:ascii="仿宋_GB2312" w:hAnsi="宋体" w:eastAsia="仿宋_GB2312"/>
          <w:b/>
          <w:bCs w:val="0"/>
          <w:color w:val="000000" w:themeColor="text1"/>
          <w:w w:val="95"/>
          <w:sz w:val="30"/>
          <w:szCs w:val="30"/>
          <w:highlight w:val="none"/>
          <w14:textFill>
            <w14:solidFill>
              <w14:schemeClr w14:val="tx1"/>
            </w14:solidFill>
          </w14:textFill>
        </w:rPr>
        <w:t>项目名称：</w:t>
      </w:r>
      <w:r>
        <w:rPr>
          <w:rFonts w:hint="eastAsia" w:ascii="仿宋_GB2312" w:hAnsi="宋体" w:eastAsia="仿宋_GB2312"/>
          <w:b/>
          <w:bCs w:val="0"/>
          <w:color w:val="000000" w:themeColor="text1"/>
          <w:w w:val="95"/>
          <w:sz w:val="30"/>
          <w:szCs w:val="30"/>
          <w:highlight w:val="none"/>
          <w:lang w:eastAsia="zh-CN"/>
          <w14:textFill>
            <w14:solidFill>
              <w14:schemeClr w14:val="tx1"/>
            </w14:solidFill>
          </w14:textFill>
        </w:rPr>
        <w:t>钦州幼儿师范高等专科学校室内体育馆钢结构防火防</w:t>
      </w:r>
    </w:p>
    <w:p w14:paraId="675AEEAE">
      <w:pPr>
        <w:pStyle w:val="25"/>
        <w:snapToGrid w:val="0"/>
        <w:spacing w:line="360" w:lineRule="auto"/>
        <w:ind w:firstLine="2289" w:firstLineChars="800"/>
        <w:rPr>
          <w:rFonts w:hint="eastAsia" w:ascii="仿宋_GB2312" w:hAnsi="宋体" w:eastAsia="仿宋_GB2312"/>
          <w:b/>
          <w:bCs w:val="0"/>
          <w:color w:val="000000" w:themeColor="text1"/>
          <w:w w:val="95"/>
          <w:sz w:val="30"/>
          <w:szCs w:val="30"/>
          <w:highlight w:val="none"/>
          <w14:textFill>
            <w14:solidFill>
              <w14:schemeClr w14:val="tx1"/>
            </w14:solidFill>
          </w14:textFill>
        </w:rPr>
      </w:pPr>
      <w:r>
        <w:rPr>
          <w:rFonts w:hint="eastAsia" w:ascii="仿宋_GB2312" w:hAnsi="宋体" w:eastAsia="仿宋_GB2312"/>
          <w:b/>
          <w:bCs w:val="0"/>
          <w:color w:val="000000" w:themeColor="text1"/>
          <w:w w:val="95"/>
          <w:sz w:val="30"/>
          <w:szCs w:val="30"/>
          <w:highlight w:val="none"/>
          <w:lang w:eastAsia="zh-CN"/>
          <w14:textFill>
            <w14:solidFill>
              <w14:schemeClr w14:val="tx1"/>
            </w14:solidFill>
          </w14:textFill>
        </w:rPr>
        <w:t>腐及地板建设工程</w:t>
      </w:r>
    </w:p>
    <w:p w14:paraId="717CDAB5">
      <w:pPr>
        <w:snapToGrid w:val="0"/>
        <w:spacing w:line="360" w:lineRule="auto"/>
        <w:ind w:firstLine="859" w:firstLineChars="300"/>
        <w:rPr>
          <w:rFonts w:ascii="仿宋_GB2312" w:hAnsi="宋体" w:eastAsia="仿宋_GB2312"/>
          <w:b/>
          <w:bCs w:val="0"/>
          <w:color w:val="000000" w:themeColor="text1"/>
          <w:w w:val="95"/>
          <w:kern w:val="0"/>
          <w:sz w:val="30"/>
          <w:szCs w:val="30"/>
          <w:highlight w:val="none"/>
          <w14:textFill>
            <w14:solidFill>
              <w14:schemeClr w14:val="tx1"/>
            </w14:solidFill>
          </w14:textFill>
        </w:rPr>
      </w:pPr>
      <w:r>
        <w:rPr>
          <w:rFonts w:hint="eastAsia" w:ascii="仿宋_GB2312" w:hAnsi="宋体" w:eastAsia="仿宋_GB2312"/>
          <w:b/>
          <w:bCs w:val="0"/>
          <w:color w:val="000000" w:themeColor="text1"/>
          <w:w w:val="95"/>
          <w:kern w:val="0"/>
          <w:sz w:val="30"/>
          <w:szCs w:val="30"/>
          <w:highlight w:val="none"/>
          <w14:textFill>
            <w14:solidFill>
              <w14:schemeClr w14:val="tx1"/>
            </w14:solidFill>
          </w14:textFill>
        </w:rPr>
        <w:t>项目编号：</w:t>
      </w:r>
      <w:r>
        <w:rPr>
          <w:rFonts w:hint="eastAsia" w:ascii="仿宋_GB2312" w:hAnsi="宋体" w:eastAsia="仿宋_GB2312"/>
          <w:b/>
          <w:bCs w:val="0"/>
          <w:color w:val="000000" w:themeColor="text1"/>
          <w:w w:val="95"/>
          <w:kern w:val="0"/>
          <w:sz w:val="30"/>
          <w:szCs w:val="30"/>
          <w:highlight w:val="none"/>
          <w:lang w:eastAsia="zh-CN"/>
          <w14:textFill>
            <w14:solidFill>
              <w14:schemeClr w14:val="tx1"/>
            </w14:solidFill>
          </w14:textFill>
        </w:rPr>
        <w:t>QZZC2026-C2-990019-GXXZ</w:t>
      </w:r>
      <w:r>
        <w:rPr>
          <w:rFonts w:hint="eastAsia" w:ascii="仿宋_GB2312" w:hAnsi="宋体" w:eastAsia="仿宋_GB2312"/>
          <w:b/>
          <w:bCs w:val="0"/>
          <w:color w:val="000000" w:themeColor="text1"/>
          <w:w w:val="95"/>
          <w:kern w:val="0"/>
          <w:sz w:val="30"/>
          <w:szCs w:val="30"/>
          <w:highlight w:val="none"/>
          <w14:textFill>
            <w14:solidFill>
              <w14:schemeClr w14:val="tx1"/>
            </w14:solidFill>
          </w14:textFill>
        </w:rPr>
        <w:t xml:space="preserve"> </w:t>
      </w:r>
    </w:p>
    <w:p w14:paraId="35071045">
      <w:pPr>
        <w:pStyle w:val="25"/>
        <w:snapToGrid w:val="0"/>
        <w:spacing w:line="360" w:lineRule="auto"/>
        <w:ind w:firstLine="859" w:firstLineChars="300"/>
        <w:rPr>
          <w:rFonts w:hint="eastAsia" w:ascii="仿宋_GB2312" w:hAnsi="宋体" w:eastAsia="仿宋_GB2312"/>
          <w:b/>
          <w:bCs w:val="0"/>
          <w:color w:val="000000" w:themeColor="text1"/>
          <w:w w:val="95"/>
          <w:sz w:val="30"/>
          <w:szCs w:val="30"/>
          <w:highlight w:val="none"/>
          <w14:textFill>
            <w14:solidFill>
              <w14:schemeClr w14:val="tx1"/>
            </w14:solidFill>
          </w14:textFill>
        </w:rPr>
      </w:pPr>
    </w:p>
    <w:p w14:paraId="60602337">
      <w:pPr>
        <w:pStyle w:val="25"/>
        <w:snapToGrid w:val="0"/>
        <w:spacing w:line="360" w:lineRule="auto"/>
        <w:ind w:firstLine="859" w:firstLineChars="300"/>
        <w:rPr>
          <w:rFonts w:hint="eastAsia" w:ascii="仿宋_GB2312" w:hAnsi="宋体" w:eastAsia="仿宋_GB2312"/>
          <w:b/>
          <w:bCs w:val="0"/>
          <w:color w:val="000000" w:themeColor="text1"/>
          <w:w w:val="95"/>
          <w:sz w:val="30"/>
          <w:szCs w:val="30"/>
          <w:highlight w:val="none"/>
          <w14:textFill>
            <w14:solidFill>
              <w14:schemeClr w14:val="tx1"/>
            </w14:solidFill>
          </w14:textFill>
        </w:rPr>
      </w:pPr>
    </w:p>
    <w:p w14:paraId="4BAF582C">
      <w:pPr>
        <w:pStyle w:val="25"/>
        <w:snapToGrid w:val="0"/>
        <w:spacing w:line="360" w:lineRule="auto"/>
        <w:ind w:firstLine="859" w:firstLineChars="300"/>
        <w:rPr>
          <w:rFonts w:ascii="仿宋_GB2312" w:hAnsi="宋体" w:eastAsia="仿宋_GB2312"/>
          <w:b/>
          <w:bCs w:val="0"/>
          <w:color w:val="000000" w:themeColor="text1"/>
          <w:w w:val="95"/>
          <w:sz w:val="30"/>
          <w:szCs w:val="30"/>
          <w:highlight w:val="none"/>
          <w14:textFill>
            <w14:solidFill>
              <w14:schemeClr w14:val="tx1"/>
            </w14:solidFill>
          </w14:textFill>
        </w:rPr>
      </w:pPr>
      <w:r>
        <w:rPr>
          <w:rFonts w:hint="eastAsia" w:ascii="仿宋_GB2312" w:hAnsi="宋体" w:eastAsia="仿宋_GB2312"/>
          <w:b/>
          <w:bCs w:val="0"/>
          <w:color w:val="000000" w:themeColor="text1"/>
          <w:w w:val="95"/>
          <w:sz w:val="30"/>
          <w:szCs w:val="30"/>
          <w:highlight w:val="none"/>
          <w14:textFill>
            <w14:solidFill>
              <w14:schemeClr w14:val="tx1"/>
            </w14:solidFill>
          </w14:textFill>
        </w:rPr>
        <w:t xml:space="preserve">采 购 人：钦州幼儿师范高等专科学校 </w:t>
      </w:r>
    </w:p>
    <w:p w14:paraId="143E5561">
      <w:pPr>
        <w:pStyle w:val="25"/>
        <w:snapToGrid w:val="0"/>
        <w:spacing w:line="360" w:lineRule="auto"/>
        <w:ind w:firstLine="859" w:firstLineChars="300"/>
        <w:rPr>
          <w:rFonts w:hint="eastAsia" w:ascii="仿宋_GB2312" w:hAnsi="宋体" w:eastAsia="仿宋_GB2312"/>
          <w:b/>
          <w:bCs w:val="0"/>
          <w:color w:val="000000" w:themeColor="text1"/>
          <w:w w:val="95"/>
          <w:sz w:val="30"/>
          <w:szCs w:val="30"/>
          <w:highlight w:val="none"/>
          <w:lang w:eastAsia="zh-CN"/>
          <w14:textFill>
            <w14:solidFill>
              <w14:schemeClr w14:val="tx1"/>
            </w14:solidFill>
          </w14:textFill>
        </w:rPr>
      </w:pPr>
      <w:r>
        <w:rPr>
          <w:rFonts w:hint="eastAsia" w:ascii="仿宋_GB2312" w:hAnsi="宋体" w:eastAsia="仿宋_GB2312"/>
          <w:b/>
          <w:bCs w:val="0"/>
          <w:color w:val="000000" w:themeColor="text1"/>
          <w:w w:val="95"/>
          <w:sz w:val="30"/>
          <w:szCs w:val="30"/>
          <w:highlight w:val="none"/>
          <w14:textFill>
            <w14:solidFill>
              <w14:schemeClr w14:val="tx1"/>
            </w14:solidFill>
          </w14:textFill>
        </w:rPr>
        <w:t>采购代理机构：</w:t>
      </w:r>
      <w:r>
        <w:rPr>
          <w:rFonts w:hint="eastAsia" w:ascii="仿宋_GB2312" w:hAnsi="宋体" w:eastAsia="仿宋_GB2312"/>
          <w:b/>
          <w:bCs w:val="0"/>
          <w:color w:val="000000" w:themeColor="text1"/>
          <w:w w:val="95"/>
          <w:sz w:val="30"/>
          <w:szCs w:val="30"/>
          <w:highlight w:val="none"/>
          <w:lang w:eastAsia="zh-CN"/>
          <w14:textFill>
            <w14:solidFill>
              <w14:schemeClr w14:val="tx1"/>
            </w14:solidFill>
          </w14:textFill>
        </w:rPr>
        <w:t>广西翔正项目管理有限公司</w:t>
      </w:r>
    </w:p>
    <w:p w14:paraId="4CA1D665">
      <w:pPr>
        <w:pStyle w:val="25"/>
        <w:snapToGrid w:val="0"/>
        <w:spacing w:line="360" w:lineRule="auto"/>
        <w:ind w:firstLine="1125" w:firstLineChars="393"/>
        <w:rPr>
          <w:rFonts w:ascii="仿宋_GB2312" w:hAnsi="宋体" w:eastAsia="仿宋_GB2312"/>
          <w:b/>
          <w:bCs w:val="0"/>
          <w:color w:val="000000" w:themeColor="text1"/>
          <w:w w:val="95"/>
          <w:sz w:val="30"/>
          <w:szCs w:val="30"/>
          <w:highlight w:val="none"/>
          <w14:textFill>
            <w14:solidFill>
              <w14:schemeClr w14:val="tx1"/>
            </w14:solidFill>
          </w14:textFill>
        </w:rPr>
      </w:pPr>
    </w:p>
    <w:p w14:paraId="3BF27A4C">
      <w:pPr>
        <w:pStyle w:val="25"/>
        <w:snapToGrid w:val="0"/>
        <w:spacing w:line="360" w:lineRule="auto"/>
        <w:ind w:left="420" w:firstLine="841" w:firstLineChars="294"/>
        <w:rPr>
          <w:rFonts w:ascii="宋体" w:hAnsi="宋体"/>
          <w:b/>
          <w:color w:val="000000" w:themeColor="text1"/>
          <w:sz w:val="44"/>
          <w:szCs w:val="44"/>
          <w:highlight w:val="none"/>
          <w14:textFill>
            <w14:solidFill>
              <w14:schemeClr w14:val="tx1"/>
            </w14:solidFill>
          </w14:textFill>
        </w:rPr>
      </w:pPr>
      <w:r>
        <w:rPr>
          <w:rFonts w:hint="eastAsia" w:ascii="仿宋_GB2312" w:hAnsi="宋体" w:eastAsia="仿宋_GB2312"/>
          <w:b/>
          <w:bCs w:val="0"/>
          <w:color w:val="000000" w:themeColor="text1"/>
          <w:w w:val="95"/>
          <w:sz w:val="30"/>
          <w:szCs w:val="30"/>
          <w:highlight w:val="none"/>
          <w14:textFill>
            <w14:solidFill>
              <w14:schemeClr w14:val="tx1"/>
            </w14:solidFill>
          </w14:textFill>
        </w:rPr>
        <w:t xml:space="preserve">               202</w:t>
      </w:r>
      <w:r>
        <w:rPr>
          <w:rFonts w:hint="eastAsia" w:ascii="仿宋_GB2312" w:hAnsi="宋体" w:eastAsia="仿宋_GB2312"/>
          <w:b/>
          <w:bCs w:val="0"/>
          <w:color w:val="000000" w:themeColor="text1"/>
          <w:w w:val="95"/>
          <w:sz w:val="30"/>
          <w:szCs w:val="30"/>
          <w:highlight w:val="none"/>
          <w:lang w:val="en-US" w:eastAsia="zh-CN"/>
          <w14:textFill>
            <w14:solidFill>
              <w14:schemeClr w14:val="tx1"/>
            </w14:solidFill>
          </w14:textFill>
        </w:rPr>
        <w:t>6</w:t>
      </w:r>
      <w:r>
        <w:rPr>
          <w:rFonts w:hint="eastAsia" w:ascii="仿宋_GB2312" w:hAnsi="宋体" w:eastAsia="仿宋_GB2312"/>
          <w:b/>
          <w:bCs w:val="0"/>
          <w:color w:val="000000" w:themeColor="text1"/>
          <w:w w:val="95"/>
          <w:sz w:val="30"/>
          <w:szCs w:val="30"/>
          <w:highlight w:val="none"/>
          <w14:textFill>
            <w14:solidFill>
              <w14:schemeClr w14:val="tx1"/>
            </w14:solidFill>
          </w14:textFill>
        </w:rPr>
        <w:t>年</w:t>
      </w:r>
      <w:r>
        <w:rPr>
          <w:rFonts w:hint="eastAsia" w:ascii="仿宋_GB2312" w:hAnsi="宋体" w:eastAsia="仿宋_GB2312"/>
          <w:b/>
          <w:bCs w:val="0"/>
          <w:color w:val="000000" w:themeColor="text1"/>
          <w:w w:val="95"/>
          <w:sz w:val="30"/>
          <w:szCs w:val="30"/>
          <w:highlight w:val="none"/>
          <w:lang w:val="en-US" w:eastAsia="zh-CN"/>
          <w14:textFill>
            <w14:solidFill>
              <w14:schemeClr w14:val="tx1"/>
            </w14:solidFill>
          </w14:textFill>
        </w:rPr>
        <w:t>1</w:t>
      </w:r>
      <w:r>
        <w:rPr>
          <w:rFonts w:hint="eastAsia" w:ascii="仿宋_GB2312" w:hAnsi="宋体" w:eastAsia="仿宋_GB2312"/>
          <w:b/>
          <w:bCs w:val="0"/>
          <w:color w:val="000000" w:themeColor="text1"/>
          <w:w w:val="95"/>
          <w:sz w:val="30"/>
          <w:szCs w:val="30"/>
          <w:highlight w:val="none"/>
          <w14:textFill>
            <w14:solidFill>
              <w14:schemeClr w14:val="tx1"/>
            </w14:solidFill>
          </w14:textFill>
        </w:rPr>
        <w:t>月</w:t>
      </w:r>
      <w:r>
        <w:rPr>
          <w:rFonts w:hint="eastAsia" w:ascii="仿宋_GB2312" w:hAnsi="宋体" w:eastAsia="仿宋_GB2312"/>
          <w:b/>
          <w:bCs w:val="0"/>
          <w:color w:val="000000" w:themeColor="text1"/>
          <w:w w:val="95"/>
          <w:sz w:val="30"/>
          <w:szCs w:val="30"/>
          <w:highlight w:val="none"/>
          <w:lang w:val="en-US" w:eastAsia="zh-CN"/>
          <w14:textFill>
            <w14:solidFill>
              <w14:schemeClr w14:val="tx1"/>
            </w14:solidFill>
          </w14:textFill>
        </w:rPr>
        <w:t>14</w:t>
      </w:r>
      <w:r>
        <w:rPr>
          <w:rFonts w:hint="eastAsia" w:ascii="仿宋_GB2312" w:hAnsi="宋体" w:eastAsia="仿宋_GB2312"/>
          <w:b/>
          <w:bCs w:val="0"/>
          <w:color w:val="000000" w:themeColor="text1"/>
          <w:w w:val="95"/>
          <w:sz w:val="30"/>
          <w:szCs w:val="30"/>
          <w:highlight w:val="none"/>
          <w14:textFill>
            <w14:solidFill>
              <w14:schemeClr w14:val="tx1"/>
            </w14:solidFill>
          </w14:textFill>
        </w:rPr>
        <w:t>日</w:t>
      </w:r>
      <w:r>
        <w:rPr>
          <w:rFonts w:ascii="宋体" w:hAnsi="宋体"/>
          <w:b/>
          <w:color w:val="000000" w:themeColor="text1"/>
          <w:sz w:val="44"/>
          <w:szCs w:val="44"/>
          <w:highlight w:val="none"/>
          <w14:textFill>
            <w14:solidFill>
              <w14:schemeClr w14:val="tx1"/>
            </w14:solidFill>
          </w14:textFill>
        </w:rPr>
        <w:br w:type="page"/>
      </w:r>
    </w:p>
    <w:p w14:paraId="5192B6E6">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60BCC4B">
      <w:pPr>
        <w:spacing w:line="400" w:lineRule="exact"/>
        <w:jc w:val="center"/>
        <w:rPr>
          <w:rFonts w:ascii="宋体" w:hAnsi="宋体"/>
          <w:b/>
          <w:color w:val="000000" w:themeColor="text1"/>
          <w:sz w:val="44"/>
          <w:szCs w:val="44"/>
          <w:highlight w:val="none"/>
          <w14:textFill>
            <w14:solidFill>
              <w14:schemeClr w14:val="tx1"/>
            </w14:solidFill>
          </w14:textFill>
        </w:rPr>
      </w:pPr>
    </w:p>
    <w:p w14:paraId="508BF3F6">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w:instrText>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"_Toc122424244"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第一章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竞争性磋商公告</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_Toc122424244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03E7766E">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"_Toc122424245"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第二章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供应商须知</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_Toc122424245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19E5F464">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"_Toc122424246"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第三章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采购需求</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_Toc122424246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w:t>
      </w:r>
      <w:r>
        <w:rPr>
          <w:rFonts w:hint="eastAsia"/>
          <w:b/>
          <w:color w:val="000000" w:themeColor="text1"/>
          <w:sz w:val="24"/>
          <w:highlight w:val="none"/>
          <w:lang w:val="en-US" w:eastAsia="zh-CN"/>
          <w14:textFill>
            <w14:solidFill>
              <w14:schemeClr w14:val="tx1"/>
            </w14:solidFill>
          </w14:textFill>
        </w:rPr>
        <w:t>5</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07908D79">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"_Toc122424247"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第四章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评审程序、评审方法和评审标准</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_Toc122424247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2</w:t>
      </w:r>
      <w:r>
        <w:rPr>
          <w:rFonts w:hint="eastAsia"/>
          <w:b/>
          <w:color w:val="000000" w:themeColor="text1"/>
          <w:sz w:val="24"/>
          <w:highlight w:val="none"/>
          <w:lang w:val="en-US" w:eastAsia="zh-CN"/>
          <w14:textFill>
            <w14:solidFill>
              <w14:schemeClr w14:val="tx1"/>
            </w14:solidFill>
          </w14:textFill>
        </w:rPr>
        <w:t>7</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5AC48CDD">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"_Toc122424248"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第五章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工程量清单及图纸</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_Toc122424248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3</w:t>
      </w:r>
      <w:r>
        <w:rPr>
          <w:rFonts w:hint="eastAsia"/>
          <w:b/>
          <w:color w:val="000000" w:themeColor="text1"/>
          <w:sz w:val="24"/>
          <w:highlight w:val="none"/>
          <w:lang w:val="en-US" w:eastAsia="zh-CN"/>
          <w14:textFill>
            <w14:solidFill>
              <w14:schemeClr w14:val="tx1"/>
            </w14:solidFill>
          </w14:textFill>
        </w:rPr>
        <w:t>7</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2EA1DEED">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"_Toc122424265"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第六章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响应文件格式</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_Toc122424265 \h </w:instrText>
      </w:r>
      <w:r>
        <w:rPr>
          <w:b/>
          <w:color w:val="000000" w:themeColor="text1"/>
          <w:sz w:val="24"/>
          <w:highlight w:val="none"/>
          <w14:textFill>
            <w14:solidFill>
              <w14:schemeClr w14:val="tx1"/>
            </w14:solidFill>
          </w14:textFill>
        </w:rPr>
        <w:fldChar w:fldCharType="separate"/>
      </w:r>
      <w:r>
        <w:rPr>
          <w:rFonts w:hint="eastAsia"/>
          <w:b/>
          <w:color w:val="000000" w:themeColor="text1"/>
          <w:sz w:val="24"/>
          <w:highlight w:val="none"/>
          <w:lang w:val="en-US" w:eastAsia="zh-CN"/>
          <w14:textFill>
            <w14:solidFill>
              <w14:schemeClr w14:val="tx1"/>
            </w14:solidFill>
          </w14:textFill>
        </w:rPr>
        <w:t>38</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30F10FD0">
      <w:pPr>
        <w:pStyle w:val="32"/>
        <w:tabs>
          <w:tab w:val="right" w:leader="dot" w:pos="8869"/>
        </w:tabs>
        <w:spacing w:line="360" w:lineRule="auto"/>
        <w:rPr>
          <w:rFonts w:ascii="Calibri" w:hAnsi="Calibri"/>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"_Toc122424267" </w:instrText>
      </w:r>
      <w:r>
        <w:rPr>
          <w:color w:val="000000" w:themeColor="text1"/>
          <w:highlight w:val="none"/>
          <w14:textFill>
            <w14:solidFill>
              <w14:schemeClr w14:val="tx1"/>
            </w14:solidFill>
          </w14:textFill>
        </w:rPr>
        <w:fldChar w:fldCharType="separate"/>
      </w:r>
      <w:r>
        <w:rPr>
          <w:rStyle w:val="51"/>
          <w:rFonts w:hint="eastAsia"/>
          <w:b/>
          <w:color w:val="000000" w:themeColor="text1"/>
          <w:sz w:val="24"/>
          <w:highlight w:val="none"/>
          <w14:textFill>
            <w14:solidFill>
              <w14:schemeClr w14:val="tx1"/>
            </w14:solidFill>
          </w14:textFill>
        </w:rPr>
        <w:t>第七章</w:t>
      </w:r>
      <w:r>
        <w:rPr>
          <w:rStyle w:val="51"/>
          <w:b/>
          <w:color w:val="000000" w:themeColor="text1"/>
          <w:sz w:val="24"/>
          <w:highlight w:val="none"/>
          <w14:textFill>
            <w14:solidFill>
              <w14:schemeClr w14:val="tx1"/>
            </w14:solidFill>
          </w14:textFill>
        </w:rPr>
        <w:t xml:space="preserve"> </w:t>
      </w:r>
      <w:r>
        <w:rPr>
          <w:rStyle w:val="51"/>
          <w:rFonts w:hint="eastAsia"/>
          <w:b/>
          <w:color w:val="000000" w:themeColor="text1"/>
          <w:sz w:val="24"/>
          <w:highlight w:val="none"/>
          <w14:textFill>
            <w14:solidFill>
              <w14:schemeClr w14:val="tx1"/>
            </w14:solidFill>
          </w14:textFill>
        </w:rPr>
        <w:t>合同文本</w:t>
      </w:r>
      <w:r>
        <w:rPr>
          <w:b/>
          <w:color w:val="000000" w:themeColor="text1"/>
          <w:sz w:val="24"/>
          <w:highlight w:val="none"/>
          <w14:textFill>
            <w14:solidFill>
              <w14:schemeClr w14:val="tx1"/>
            </w14:solidFill>
          </w14:textFill>
        </w:rPr>
        <w:tab/>
      </w:r>
      <w:r>
        <w:rPr>
          <w:b/>
          <w:color w:val="000000" w:themeColor="text1"/>
          <w:sz w:val="24"/>
          <w:highlight w:val="none"/>
          <w14:textFill>
            <w14:solidFill>
              <w14:schemeClr w14:val="tx1"/>
            </w14:solidFill>
          </w14:textFill>
        </w:rPr>
        <w:fldChar w:fldCharType="begin"/>
      </w:r>
      <w:r>
        <w:rPr>
          <w:b/>
          <w:color w:val="000000" w:themeColor="text1"/>
          <w:sz w:val="24"/>
          <w:highlight w:val="none"/>
          <w14:textFill>
            <w14:solidFill>
              <w14:schemeClr w14:val="tx1"/>
            </w14:solidFill>
          </w14:textFill>
        </w:rPr>
        <w:instrText xml:space="preserve"> PAGEREF _Toc122424267 \h </w:instrText>
      </w:r>
      <w:r>
        <w:rPr>
          <w:b/>
          <w:color w:val="000000" w:themeColor="text1"/>
          <w:sz w:val="24"/>
          <w:highlight w:val="none"/>
          <w14:textFill>
            <w14:solidFill>
              <w14:schemeClr w14:val="tx1"/>
            </w14:solidFill>
          </w14:textFill>
        </w:rPr>
        <w:fldChar w:fldCharType="separate"/>
      </w:r>
      <w:r>
        <w:rPr>
          <w:b/>
          <w:color w:val="000000" w:themeColor="text1"/>
          <w:sz w:val="24"/>
          <w:highlight w:val="none"/>
          <w14:textFill>
            <w14:solidFill>
              <w14:schemeClr w14:val="tx1"/>
            </w14:solidFill>
          </w14:textFill>
        </w:rPr>
        <w:t>7</w:t>
      </w:r>
      <w:r>
        <w:rPr>
          <w:rFonts w:hint="eastAsia"/>
          <w:b/>
          <w:color w:val="000000" w:themeColor="text1"/>
          <w:sz w:val="24"/>
          <w:highlight w:val="none"/>
          <w:lang w:val="en-US" w:eastAsia="zh-CN"/>
          <w14:textFill>
            <w14:solidFill>
              <w14:schemeClr w14:val="tx1"/>
            </w14:solidFill>
          </w14:textFill>
        </w:rPr>
        <w:t>3</w:t>
      </w:r>
      <w:r>
        <w:rPr>
          <w:b/>
          <w:color w:val="000000" w:themeColor="text1"/>
          <w:sz w:val="24"/>
          <w:highlight w:val="none"/>
          <w14:textFill>
            <w14:solidFill>
              <w14:schemeClr w14:val="tx1"/>
            </w14:solidFill>
          </w14:textFill>
        </w:rPr>
        <w:fldChar w:fldCharType="end"/>
      </w:r>
      <w:r>
        <w:rPr>
          <w:b/>
          <w:color w:val="000000" w:themeColor="text1"/>
          <w:sz w:val="24"/>
          <w:highlight w:val="none"/>
          <w14:textFill>
            <w14:solidFill>
              <w14:schemeClr w14:val="tx1"/>
            </w14:solidFill>
          </w14:textFill>
        </w:rPr>
        <w:fldChar w:fldCharType="end"/>
      </w:r>
    </w:p>
    <w:p w14:paraId="7A0A9A61">
      <w:pPr>
        <w:pStyle w:val="32"/>
        <w:tabs>
          <w:tab w:val="right" w:leader="dot" w:pos="8869"/>
        </w:tabs>
        <w:spacing w:line="360" w:lineRule="auto"/>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6FA63F75">
      <w:pPr>
        <w:spacing w:line="360" w:lineRule="auto"/>
        <w:jc w:val="left"/>
        <w:rPr>
          <w:rFonts w:ascii="宋体" w:hAnsi="宋体"/>
          <w:b/>
          <w:color w:val="000000" w:themeColor="text1"/>
          <w:sz w:val="32"/>
          <w:szCs w:val="32"/>
          <w:highlight w:val="none"/>
          <w14:textFill>
            <w14:solidFill>
              <w14:schemeClr w14:val="tx1"/>
            </w14:solidFill>
          </w14:textFill>
        </w:rPr>
      </w:pPr>
    </w:p>
    <w:p w14:paraId="115D198C">
      <w:pPr>
        <w:spacing w:line="400" w:lineRule="exact"/>
        <w:jc w:val="center"/>
        <w:rPr>
          <w:rFonts w:ascii="宋体" w:hAnsi="宋体"/>
          <w:b/>
          <w:color w:val="000000" w:themeColor="text1"/>
          <w:sz w:val="32"/>
          <w:szCs w:val="32"/>
          <w:highlight w:val="none"/>
          <w14:textFill>
            <w14:solidFill>
              <w14:schemeClr w14:val="tx1"/>
            </w14:solidFill>
          </w14:textFill>
        </w:rPr>
      </w:pPr>
    </w:p>
    <w:p w14:paraId="3C895CBC">
      <w:pPr>
        <w:spacing w:line="400" w:lineRule="exact"/>
        <w:jc w:val="center"/>
        <w:rPr>
          <w:rFonts w:ascii="宋体" w:hAnsi="宋体"/>
          <w:b/>
          <w:color w:val="000000" w:themeColor="text1"/>
          <w:sz w:val="32"/>
          <w:szCs w:val="32"/>
          <w:highlight w:val="none"/>
          <w14:textFill>
            <w14:solidFill>
              <w14:schemeClr w14:val="tx1"/>
            </w14:solidFill>
          </w14:textFill>
        </w:rPr>
      </w:pPr>
    </w:p>
    <w:p w14:paraId="160536A4">
      <w:pPr>
        <w:spacing w:line="400" w:lineRule="exact"/>
        <w:jc w:val="center"/>
        <w:rPr>
          <w:rFonts w:ascii="宋体" w:hAnsi="宋体"/>
          <w:b/>
          <w:color w:val="000000" w:themeColor="text1"/>
          <w:sz w:val="32"/>
          <w:szCs w:val="32"/>
          <w:highlight w:val="none"/>
          <w14:textFill>
            <w14:solidFill>
              <w14:schemeClr w14:val="tx1"/>
            </w14:solidFill>
          </w14:textFill>
        </w:rPr>
      </w:pPr>
    </w:p>
    <w:p w14:paraId="20ADBEE8">
      <w:pPr>
        <w:spacing w:line="400" w:lineRule="exact"/>
        <w:jc w:val="center"/>
        <w:rPr>
          <w:rFonts w:ascii="宋体" w:hAnsi="宋体"/>
          <w:b/>
          <w:color w:val="000000" w:themeColor="text1"/>
          <w:sz w:val="32"/>
          <w:szCs w:val="32"/>
          <w:highlight w:val="none"/>
          <w14:textFill>
            <w14:solidFill>
              <w14:schemeClr w14:val="tx1"/>
            </w14:solidFill>
          </w14:textFill>
        </w:rPr>
      </w:pPr>
    </w:p>
    <w:p w14:paraId="5A4347CF">
      <w:pPr>
        <w:spacing w:line="400" w:lineRule="exact"/>
        <w:rPr>
          <w:rFonts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317DF852">
      <w:pPr>
        <w:pStyle w:val="2"/>
        <w:spacing w:after="340" w:line="360" w:lineRule="auto"/>
        <w:jc w:val="center"/>
        <w:rPr>
          <w:color w:val="000000" w:themeColor="text1"/>
          <w:highlight w:val="none"/>
          <w14:textFill>
            <w14:solidFill>
              <w14:schemeClr w14:val="tx1"/>
            </w14:solidFill>
          </w14:textFill>
        </w:rPr>
      </w:pPr>
      <w:bookmarkStart w:id="0" w:name="_Toc122424244"/>
      <w:r>
        <w:rPr>
          <w:rFonts w:hint="eastAsia"/>
          <w:color w:val="000000" w:themeColor="text1"/>
          <w:highlight w:val="none"/>
          <w14:textFill>
            <w14:solidFill>
              <w14:schemeClr w14:val="tx1"/>
            </w14:solidFill>
          </w14:textFill>
        </w:rPr>
        <w:t xml:space="preserve">第一章 </w:t>
      </w:r>
      <w:bookmarkEnd w:id="0"/>
      <w:r>
        <w:rPr>
          <w:rFonts w:hint="eastAsia"/>
          <w:color w:val="000000" w:themeColor="text1"/>
          <w:highlight w:val="none"/>
          <w14:textFill>
            <w14:solidFill>
              <w14:schemeClr w14:val="tx1"/>
            </w14:solidFill>
          </w14:textFill>
        </w:rPr>
        <w:t>竞争性磋商公告</w:t>
      </w:r>
    </w:p>
    <w:p w14:paraId="402D79D9">
      <w:pPr>
        <w:spacing w:line="40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2EA526C8">
      <w:pPr>
        <w:spacing w:line="360" w:lineRule="exact"/>
        <w:rPr>
          <w:rFonts w:ascii="方正小标宋简体" w:hAnsi="宋体"/>
          <w:b/>
          <w:color w:val="auto"/>
          <w:sz w:val="32"/>
          <w:szCs w:val="32"/>
          <w:highlight w:val="none"/>
        </w:rPr>
      </w:pPr>
      <w:bookmarkStart w:id="1" w:name="_Toc44229878"/>
      <w:bookmarkStart w:id="2" w:name="_Toc35393798"/>
      <w:bookmarkStart w:id="3" w:name="_Toc28359012"/>
      <w:bookmarkStart w:id="4" w:name="_Toc71365905"/>
      <w:bookmarkStart w:id="5" w:name="_Toc28359089"/>
      <w:bookmarkStart w:id="6" w:name="_Toc35393629"/>
      <w:bookmarkStart w:id="7" w:name="_Hlk37430271"/>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6"/>
      </w:tblGrid>
      <w:tr w14:paraId="5BE1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46" w:type="dxa"/>
            <w:tcBorders>
              <w:top w:val="single" w:color="auto" w:sz="4" w:space="0"/>
              <w:left w:val="single" w:color="auto" w:sz="4" w:space="0"/>
              <w:bottom w:val="single" w:color="auto" w:sz="4" w:space="0"/>
              <w:right w:val="single" w:color="auto" w:sz="4" w:space="0"/>
            </w:tcBorders>
            <w:noWrap w:val="0"/>
            <w:vAlign w:val="top"/>
          </w:tcPr>
          <w:p w14:paraId="2CE53159">
            <w:pPr>
              <w:widowControl/>
              <w:spacing w:after="75" w:line="360" w:lineRule="auto"/>
              <w:jc w:val="left"/>
              <w:rPr>
                <w:rFonts w:ascii="Arial" w:hAnsi="Arial" w:cs="Arial"/>
                <w:color w:val="auto"/>
                <w:kern w:val="0"/>
                <w:szCs w:val="21"/>
                <w:highlight w:val="none"/>
              </w:rPr>
            </w:pPr>
            <w:bookmarkStart w:id="8" w:name="OLE_LINK4"/>
            <w:bookmarkStart w:id="9" w:name="OLE_LINK2"/>
            <w:r>
              <w:rPr>
                <w:rFonts w:hint="eastAsia" w:ascii="宋体" w:hAnsi="宋体" w:cs="Arial"/>
                <w:b/>
                <w:bCs/>
                <w:color w:val="auto"/>
                <w:kern w:val="0"/>
                <w:szCs w:val="21"/>
                <w:highlight w:val="none"/>
              </w:rPr>
              <w:t>项目概况</w:t>
            </w:r>
          </w:p>
          <w:p w14:paraId="5DC2679E">
            <w:pPr>
              <w:ind w:firstLine="420" w:firstLineChars="200"/>
              <w:rPr>
                <w:color w:val="auto"/>
                <w:highlight w:val="none"/>
              </w:rPr>
            </w:pPr>
            <w:r>
              <w:rPr>
                <w:rFonts w:hint="eastAsia" w:ascii="宋体" w:hAnsi="宋体" w:eastAsia="宋体" w:cs="Arial"/>
                <w:color w:val="auto"/>
                <w:kern w:val="0"/>
                <w:szCs w:val="21"/>
                <w:highlight w:val="none"/>
                <w:lang w:eastAsia="zh-CN"/>
              </w:rPr>
              <w:t>钦州幼儿师范高等专科学校室内体育馆钢结构防火防腐及地板建设工程采购项目的潜在供应商应在广西政府采购云平台线上获取采购文件</w:t>
            </w:r>
            <w:r>
              <w:rPr>
                <w:rFonts w:hint="eastAsia" w:ascii="宋体" w:hAnsi="宋体" w:cs="Arial"/>
                <w:color w:val="auto"/>
                <w:kern w:val="0"/>
                <w:szCs w:val="21"/>
                <w:highlight w:val="none"/>
              </w:rPr>
              <w:t>，并于</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01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 ：30</w:t>
            </w:r>
            <w:r>
              <w:rPr>
                <w:rFonts w:hint="eastAsia" w:ascii="宋体" w:hAnsi="宋体" w:cs="Arial"/>
                <w:color w:val="auto"/>
                <w:kern w:val="0"/>
                <w:szCs w:val="21"/>
                <w:highlight w:val="none"/>
                <w:u w:val="single"/>
              </w:rPr>
              <w:t>（北京时间）</w:t>
            </w:r>
            <w:r>
              <w:rPr>
                <w:rFonts w:hint="eastAsia" w:ascii="宋体" w:hAnsi="宋体" w:cs="Arial"/>
                <w:color w:val="auto"/>
                <w:kern w:val="0"/>
                <w:szCs w:val="21"/>
                <w:highlight w:val="none"/>
              </w:rPr>
              <w:t>前提交响应文件。</w:t>
            </w:r>
          </w:p>
        </w:tc>
      </w:tr>
      <w:bookmarkEnd w:id="8"/>
      <w:bookmarkEnd w:id="9"/>
    </w:tbl>
    <w:p w14:paraId="0558A6BB">
      <w:pPr>
        <w:spacing w:line="360" w:lineRule="auto"/>
        <w:ind w:firstLine="361" w:firstLineChars="150"/>
        <w:outlineLvl w:val="1"/>
        <w:rPr>
          <w:rFonts w:ascii="黑体" w:hAnsi="黑体" w:eastAsia="黑体"/>
          <w:b/>
          <w:color w:val="auto"/>
          <w:sz w:val="24"/>
          <w:highlight w:val="none"/>
        </w:rPr>
      </w:pPr>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7CF4B75D">
      <w:pPr>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QZZC2026-C2-990019-GXXZ</w:t>
      </w:r>
    </w:p>
    <w:p w14:paraId="0E44C628">
      <w:pPr>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eastAsia="zh-CN"/>
        </w:rPr>
        <w:t>钦州幼儿师范高等专科学校室内体育馆钢结构防火防腐及地板建设工程</w:t>
      </w:r>
    </w:p>
    <w:p w14:paraId="5E12493E">
      <w:pPr>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采购方式：竞争性磋商</w:t>
      </w:r>
    </w:p>
    <w:p w14:paraId="4D28A703">
      <w:pPr>
        <w:pStyle w:val="17"/>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预算总</w:t>
      </w:r>
      <w:r>
        <w:rPr>
          <w:rFonts w:hint="eastAsia" w:ascii="宋体" w:hAnsi="宋体" w:eastAsia="宋体" w:cs="Times New Roman"/>
          <w:color w:val="auto"/>
          <w:sz w:val="24"/>
          <w:szCs w:val="24"/>
          <w:highlight w:val="none"/>
          <w:lang w:val="en-US" w:eastAsia="zh-CN" w:bidi="ar-SA"/>
        </w:rPr>
        <w:t>金额（元）</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bidi="ar-SA"/>
        </w:rPr>
        <w:t>778604.88</w:t>
      </w:r>
    </w:p>
    <w:p w14:paraId="4ECC1821">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采购需求：</w:t>
      </w:r>
    </w:p>
    <w:p w14:paraId="509BBB0C">
      <w:pPr>
        <w:keepNext w:val="0"/>
        <w:keepLines w:val="0"/>
        <w:widowControl/>
        <w:suppressLineNumbers w:val="0"/>
        <w:ind w:left="420" w:leftChars="200" w:firstLine="0" w:firstLineChars="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标项名称:钦州幼儿师范高等专科学校室内体育馆钢结构防火防腐及地板建设工程</w:t>
      </w:r>
      <w:r>
        <w:rPr>
          <w:rFonts w:hint="eastAsia" w:ascii="宋体" w:hAnsi="宋体" w:eastAsia="宋体" w:cs="Times New Roman"/>
          <w:color w:val="auto"/>
          <w:kern w:val="2"/>
          <w:sz w:val="21"/>
          <w:szCs w:val="21"/>
          <w:highlight w:val="none"/>
          <w:lang w:val="en-US" w:eastAsia="zh-CN" w:bidi="ar-SA"/>
        </w:rPr>
        <w:br w:type="textWrapping"/>
      </w:r>
      <w:r>
        <w:rPr>
          <w:rFonts w:hint="eastAsia" w:ascii="宋体" w:hAnsi="宋体" w:eastAsia="宋体" w:cs="Times New Roman"/>
          <w:color w:val="auto"/>
          <w:kern w:val="2"/>
          <w:sz w:val="21"/>
          <w:szCs w:val="21"/>
          <w:highlight w:val="none"/>
          <w:lang w:val="en-US" w:eastAsia="zh-CN" w:bidi="ar-SA"/>
        </w:rPr>
        <w:t>数量:不限</w:t>
      </w:r>
      <w:r>
        <w:rPr>
          <w:rFonts w:hint="eastAsia" w:ascii="宋体" w:hAnsi="宋体" w:eastAsia="宋体" w:cs="Times New Roman"/>
          <w:color w:val="auto"/>
          <w:kern w:val="2"/>
          <w:sz w:val="21"/>
          <w:szCs w:val="21"/>
          <w:highlight w:val="none"/>
          <w:lang w:val="en-US" w:eastAsia="zh-CN" w:bidi="ar-SA"/>
        </w:rPr>
        <w:br w:type="textWrapping"/>
      </w:r>
      <w:r>
        <w:rPr>
          <w:rFonts w:hint="eastAsia" w:ascii="宋体" w:hAnsi="宋体" w:eastAsia="宋体" w:cs="Times New Roman"/>
          <w:color w:val="auto"/>
          <w:kern w:val="2"/>
          <w:sz w:val="21"/>
          <w:szCs w:val="21"/>
          <w:highlight w:val="none"/>
          <w:lang w:val="en-US" w:eastAsia="zh-CN" w:bidi="ar-SA"/>
        </w:rPr>
        <w:t>预算金额（元）:778604.88</w:t>
      </w:r>
      <w:r>
        <w:rPr>
          <w:rFonts w:hint="eastAsia" w:ascii="宋体" w:hAnsi="宋体" w:eastAsia="宋体" w:cs="Times New Roman"/>
          <w:color w:val="auto"/>
          <w:kern w:val="2"/>
          <w:sz w:val="21"/>
          <w:szCs w:val="21"/>
          <w:highlight w:val="none"/>
          <w:lang w:val="en-US" w:eastAsia="zh-CN" w:bidi="ar-SA"/>
        </w:rPr>
        <w:br w:type="textWrapping"/>
      </w:r>
      <w:r>
        <w:rPr>
          <w:rFonts w:hint="eastAsia" w:ascii="宋体" w:hAnsi="宋体" w:eastAsia="宋体" w:cs="Times New Roman"/>
          <w:color w:val="auto"/>
          <w:kern w:val="2"/>
          <w:sz w:val="21"/>
          <w:szCs w:val="21"/>
          <w:highlight w:val="none"/>
          <w:lang w:val="en-US" w:eastAsia="zh-CN" w:bidi="ar-SA"/>
        </w:rPr>
        <w:t>简要规格描述或项目基本概况介绍、用途：体育馆钢结构防火防腐及地板等工程建设。</w:t>
      </w:r>
    </w:p>
    <w:p w14:paraId="659E32F4">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426" w:firstLineChars="203"/>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工期要求：30日历天</w:t>
      </w:r>
    </w:p>
    <w:p w14:paraId="2411F9EA">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firstLine="426" w:firstLineChars="203"/>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最高限价（如有）：778604.88</w:t>
      </w:r>
    </w:p>
    <w:p w14:paraId="63D0A300">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合同履约</w:t>
      </w:r>
      <w:r>
        <w:rPr>
          <w:rFonts w:hint="eastAsia" w:ascii="宋体" w:hAnsi="宋体" w:eastAsia="宋体" w:cs="Times New Roman"/>
          <w:color w:val="auto"/>
          <w:kern w:val="2"/>
          <w:sz w:val="21"/>
          <w:szCs w:val="21"/>
          <w:highlight w:val="none"/>
          <w:lang w:val="en-US" w:eastAsia="zh-CN" w:bidi="ar-SA"/>
        </w:rPr>
        <w:t>期限：自合同签订之日起30天内</w:t>
      </w:r>
    </w:p>
    <w:p w14:paraId="7D3ED48E">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420" w:leftChars="200" w:right="0" w:firstLine="0" w:firstLineChars="0"/>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Times New Roman"/>
          <w:color w:val="auto"/>
          <w:kern w:val="2"/>
          <w:sz w:val="21"/>
          <w:szCs w:val="21"/>
          <w:highlight w:val="none"/>
          <w:lang w:val="en-US" w:eastAsia="zh-CN" w:bidi="ar-SA"/>
        </w:rPr>
        <w:t>本标项（否）接受联合体投标</w:t>
      </w:r>
      <w:r>
        <w:rPr>
          <w:rFonts w:hint="eastAsia" w:ascii="宋体" w:hAnsi="宋体" w:eastAsia="宋体" w:cs="Times New Roman"/>
          <w:color w:val="auto"/>
          <w:kern w:val="2"/>
          <w:sz w:val="21"/>
          <w:szCs w:val="21"/>
          <w:highlight w:val="none"/>
          <w:lang w:val="en-US" w:eastAsia="zh-CN" w:bidi="ar-SA"/>
        </w:rPr>
        <w:br w:type="textWrapping"/>
      </w:r>
      <w:r>
        <w:rPr>
          <w:rFonts w:hint="eastAsia" w:ascii="宋体" w:hAnsi="宋体" w:eastAsia="宋体" w:cs="Times New Roman"/>
          <w:color w:val="auto"/>
          <w:kern w:val="2"/>
          <w:sz w:val="21"/>
          <w:szCs w:val="21"/>
          <w:highlight w:val="none"/>
          <w:lang w:val="en-US" w:eastAsia="zh-CN" w:bidi="ar-SA"/>
        </w:rPr>
        <w:t>备注：</w:t>
      </w:r>
    </w:p>
    <w:p w14:paraId="7CBBEA8F">
      <w:pPr>
        <w:numPr>
          <w:ilvl w:val="0"/>
          <w:numId w:val="1"/>
        </w:numPr>
        <w:spacing w:line="360" w:lineRule="auto"/>
        <w:ind w:firstLine="354" w:firstLineChars="147"/>
        <w:outlineLvl w:val="1"/>
        <w:rPr>
          <w:rFonts w:hint="eastAsia" w:ascii="黑体" w:hAnsi="黑体" w:eastAsia="黑体"/>
          <w:b/>
          <w:color w:val="auto"/>
          <w:sz w:val="24"/>
          <w:highlight w:val="none"/>
        </w:rPr>
      </w:pPr>
      <w:bookmarkStart w:id="10" w:name="_Toc28359013"/>
      <w:bookmarkStart w:id="11" w:name="_Toc35393630"/>
      <w:bookmarkStart w:id="12" w:name="_Toc71365906"/>
      <w:bookmarkStart w:id="13" w:name="_Toc28359090"/>
      <w:bookmarkStart w:id="14" w:name="_Toc35393799"/>
      <w:bookmarkStart w:id="15" w:name="_Toc44229879"/>
      <w:r>
        <w:rPr>
          <w:rFonts w:hint="eastAsia" w:ascii="黑体" w:hAnsi="黑体" w:eastAsia="黑体" w:cs="Times New Roman"/>
          <w:b/>
          <w:color w:val="auto"/>
          <w:sz w:val="24"/>
          <w:highlight w:val="none"/>
          <w:lang w:val="en-US" w:eastAsia="zh-CN"/>
        </w:rPr>
        <w:t>供应商资格要求</w:t>
      </w:r>
      <w:r>
        <w:rPr>
          <w:rFonts w:hint="eastAsia" w:ascii="黑体" w:hAnsi="黑体" w:eastAsia="黑体" w:cs="Times New Roman"/>
          <w:b/>
          <w:color w:val="auto"/>
          <w:sz w:val="24"/>
          <w:highlight w:val="none"/>
        </w:rPr>
        <w:t>：</w:t>
      </w:r>
      <w:bookmarkEnd w:id="10"/>
      <w:bookmarkEnd w:id="11"/>
      <w:bookmarkEnd w:id="12"/>
      <w:bookmarkEnd w:id="13"/>
      <w:bookmarkEnd w:id="14"/>
      <w:bookmarkEnd w:id="15"/>
    </w:p>
    <w:p w14:paraId="6005CF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EA7D4F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kern w:val="2"/>
          <w:sz w:val="21"/>
          <w:szCs w:val="21"/>
          <w:highlight w:val="none"/>
          <w:lang w:val="en-US" w:eastAsia="zh-CN" w:bidi="ar-SA"/>
        </w:rPr>
        <w:t>分标1：供应商为中小企业</w:t>
      </w:r>
      <w:r>
        <w:rPr>
          <w:rFonts w:hint="eastAsia" w:ascii="宋体" w:hAnsi="宋体" w:eastAsia="宋体" w:cs="Times New Roman"/>
          <w:color w:val="auto"/>
          <w:szCs w:val="21"/>
          <w:highlight w:val="none"/>
          <w:lang w:val="en-US" w:eastAsia="zh-CN"/>
        </w:rPr>
        <w:t>；</w:t>
      </w:r>
    </w:p>
    <w:p w14:paraId="27AFD55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eastAsia="宋体" w:cs="Times New Roman"/>
          <w:color w:val="auto"/>
          <w:szCs w:val="21"/>
          <w:highlight w:val="none"/>
          <w:lang w:val="en-US" w:eastAsia="zh-CN"/>
        </w:rPr>
        <w:t>具备建筑工程施工总承包叁级及以上资质，并在人员、设备、资金等方面具备相应的施工能力。其中，投标人拟派项目经理须具备建筑工程专业贰级以上（含本级）注册建造师执业资格。具备有效的安全生产考核合格证书（B类）。本项目不接受有在建、已中标未开工或已列为其他项目中标候选人第一名的建造师作为项目经理</w:t>
      </w:r>
      <w:r>
        <w:rPr>
          <w:rFonts w:hint="eastAsia" w:ascii="宋体" w:hAnsi="宋体" w:eastAsia="宋体" w:cs="Times New Roman"/>
          <w:color w:val="auto"/>
          <w:szCs w:val="21"/>
          <w:highlight w:val="none"/>
        </w:rPr>
        <w:t>。</w:t>
      </w:r>
    </w:p>
    <w:p w14:paraId="554AF037">
      <w:pPr>
        <w:spacing w:line="360" w:lineRule="auto"/>
        <w:ind w:firstLine="354" w:firstLineChars="147"/>
        <w:outlineLvl w:val="1"/>
        <w:rPr>
          <w:rFonts w:ascii="黑体" w:hAnsi="黑体" w:eastAsia="黑体"/>
          <w:b/>
          <w:color w:val="auto"/>
          <w:sz w:val="24"/>
          <w:highlight w:val="none"/>
        </w:rPr>
      </w:pPr>
      <w:bookmarkStart w:id="16" w:name="_Toc35393800"/>
      <w:bookmarkStart w:id="17" w:name="_Toc28359091"/>
      <w:bookmarkStart w:id="18" w:name="_Toc28359014"/>
      <w:bookmarkStart w:id="19" w:name="_Toc71365907"/>
      <w:bookmarkStart w:id="20" w:name="_Toc44229880"/>
      <w:bookmarkStart w:id="21" w:name="_Toc35393631"/>
      <w:r>
        <w:rPr>
          <w:rFonts w:hint="eastAsia" w:ascii="黑体" w:hAnsi="黑体" w:eastAsia="黑体"/>
          <w:b/>
          <w:color w:val="auto"/>
          <w:sz w:val="24"/>
          <w:highlight w:val="none"/>
        </w:rPr>
        <w:t>三、获取竞争性磋商文件</w:t>
      </w:r>
      <w:bookmarkEnd w:id="16"/>
      <w:bookmarkEnd w:id="17"/>
      <w:bookmarkEnd w:id="18"/>
      <w:bookmarkEnd w:id="19"/>
      <w:bookmarkEnd w:id="20"/>
      <w:bookmarkEnd w:id="21"/>
    </w:p>
    <w:p w14:paraId="4190570F">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bookmarkStart w:id="22" w:name="_Toc28359092"/>
      <w:bookmarkStart w:id="23" w:name="_Toc28359015"/>
      <w:bookmarkStart w:id="24" w:name="_Toc44229881"/>
      <w:bookmarkStart w:id="25" w:name="_Toc35393632"/>
      <w:bookmarkStart w:id="26" w:name="_Toc35393801"/>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lang w:eastAsia="zh-CN"/>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rPr>
        <w:t>日至</w:t>
      </w:r>
      <w:r>
        <w:rPr>
          <w:rFonts w:hint="eastAsia" w:ascii="宋体" w:hAnsi="宋体" w:eastAsia="宋体" w:cs="宋体"/>
          <w:color w:val="auto"/>
          <w:kern w:val="0"/>
          <w:szCs w:val="21"/>
          <w:highlight w:val="none"/>
          <w:lang w:eastAsia="zh-CN"/>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22</w:t>
      </w:r>
      <w:r>
        <w:rPr>
          <w:rFonts w:hint="eastAsia" w:ascii="宋体" w:hAnsi="宋体" w:eastAsia="宋体" w:cs="宋体"/>
          <w:color w:val="auto"/>
          <w:kern w:val="0"/>
          <w:szCs w:val="21"/>
          <w:highlight w:val="none"/>
        </w:rPr>
        <w:t>日，每天上午8时至12时，下午15时至1</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时（北京时间，法定节假日除外）</w:t>
      </w:r>
      <w:bookmarkStart w:id="817" w:name="_GoBack"/>
      <w:bookmarkEnd w:id="817"/>
    </w:p>
    <w:p w14:paraId="7C560ED9">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地点：广西政府采购云平台线上获取</w:t>
      </w:r>
    </w:p>
    <w:p w14:paraId="2685FB09">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bookmarkStart w:id="27" w:name="_Toc71365908"/>
      <w:r>
        <w:rPr>
          <w:rFonts w:hint="eastAsia" w:ascii="宋体" w:hAnsi="宋体" w:eastAsia="宋体" w:cs="宋体"/>
          <w:color w:val="auto"/>
          <w:kern w:val="0"/>
          <w:szCs w:val="21"/>
          <w:highlight w:val="none"/>
        </w:rPr>
        <w:t>方式：网上下载。本项目不提供纸质文件，潜在供应商需使用账号登录或者使用CA登录“</w:t>
      </w:r>
      <w:r>
        <w:rPr>
          <w:rFonts w:hint="eastAsia" w:ascii="宋体" w:hAnsi="宋体" w:eastAsia="宋体" w:cs="宋体"/>
          <w:color w:val="auto"/>
          <w:kern w:val="0"/>
          <w:szCs w:val="21"/>
          <w:highlight w:val="none"/>
          <w:lang w:eastAsia="zh-CN"/>
        </w:rPr>
        <w:t>采购云</w:t>
      </w:r>
      <w:r>
        <w:rPr>
          <w:rFonts w:hint="eastAsia" w:ascii="宋体" w:hAnsi="宋体" w:eastAsia="宋体" w:cs="宋体"/>
          <w:color w:val="auto"/>
          <w:kern w:val="0"/>
          <w:szCs w:val="21"/>
          <w:highlight w:val="none"/>
        </w:rPr>
        <w:t>”平台（https：//www.zcygov.cn）-进入“项目采购”应用，在获取采购文件菜单中选择项目，获取采购文件（或在“</w:t>
      </w:r>
      <w:r>
        <w:rPr>
          <w:rFonts w:hint="eastAsia" w:ascii="宋体" w:hAnsi="宋体" w:eastAsia="宋体" w:cs="宋体"/>
          <w:color w:val="auto"/>
          <w:kern w:val="0"/>
          <w:szCs w:val="21"/>
          <w:highlight w:val="none"/>
          <w:lang w:eastAsia="zh-CN"/>
        </w:rPr>
        <w:t>采购云</w:t>
      </w:r>
      <w:r>
        <w:rPr>
          <w:rFonts w:hint="eastAsia" w:ascii="宋体" w:hAnsi="宋体" w:eastAsia="宋体" w:cs="宋体"/>
          <w:color w:val="auto"/>
          <w:kern w:val="0"/>
          <w:szCs w:val="21"/>
          <w:highlight w:val="none"/>
        </w:rPr>
        <w:t>电子投标客户端-获取采购文件”跳转到</w:t>
      </w:r>
      <w:r>
        <w:rPr>
          <w:rFonts w:hint="eastAsia" w:ascii="宋体" w:hAnsi="宋体" w:eastAsia="宋体" w:cs="宋体"/>
          <w:color w:val="auto"/>
          <w:kern w:val="0"/>
          <w:szCs w:val="21"/>
          <w:highlight w:val="none"/>
          <w:lang w:eastAsia="zh-CN"/>
        </w:rPr>
        <w:t>采购云</w:t>
      </w:r>
      <w:r>
        <w:rPr>
          <w:rFonts w:hint="eastAsia" w:ascii="宋体" w:hAnsi="宋体" w:eastAsia="宋体" w:cs="宋体"/>
          <w:color w:val="auto"/>
          <w:kern w:val="0"/>
          <w:szCs w:val="21"/>
          <w:highlight w:val="none"/>
        </w:rPr>
        <w:t>系统获取）。电子响应文件制作需要基于“</w:t>
      </w:r>
      <w:r>
        <w:rPr>
          <w:rFonts w:hint="eastAsia" w:ascii="宋体" w:hAnsi="宋体" w:eastAsia="宋体" w:cs="宋体"/>
          <w:color w:val="auto"/>
          <w:kern w:val="0"/>
          <w:szCs w:val="21"/>
          <w:highlight w:val="none"/>
          <w:lang w:eastAsia="zh-CN"/>
        </w:rPr>
        <w:t>采购云</w:t>
      </w:r>
      <w:r>
        <w:rPr>
          <w:rFonts w:hint="eastAsia" w:ascii="宋体" w:hAnsi="宋体" w:eastAsia="宋体" w:cs="宋体"/>
          <w:color w:val="auto"/>
          <w:kern w:val="0"/>
          <w:szCs w:val="21"/>
          <w:highlight w:val="none"/>
        </w:rPr>
        <w:t>”平台获取的采购文件编制，通过其他方式获取采购文件的，将有可能导致供应商无法在</w:t>
      </w:r>
      <w:r>
        <w:rPr>
          <w:rFonts w:hint="eastAsia" w:ascii="宋体" w:hAnsi="宋体" w:eastAsia="宋体" w:cs="宋体"/>
          <w:color w:val="auto"/>
          <w:kern w:val="0"/>
          <w:szCs w:val="21"/>
          <w:highlight w:val="none"/>
          <w:lang w:eastAsia="zh-CN"/>
        </w:rPr>
        <w:t>采购云</w:t>
      </w:r>
      <w:r>
        <w:rPr>
          <w:rFonts w:hint="eastAsia" w:ascii="宋体" w:hAnsi="宋体" w:eastAsia="宋体" w:cs="宋体"/>
          <w:color w:val="auto"/>
          <w:kern w:val="0"/>
          <w:szCs w:val="21"/>
          <w:highlight w:val="none"/>
        </w:rPr>
        <w:t>平台编制及上传响应文件。</w:t>
      </w:r>
    </w:p>
    <w:p w14:paraId="5CDE3DA0">
      <w:pPr>
        <w:widowControl/>
        <w:spacing w:before="75" w:after="75" w:line="400" w:lineRule="exact"/>
        <w:ind w:firstLine="54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售价（元）：0。</w:t>
      </w:r>
    </w:p>
    <w:p w14:paraId="191677A5">
      <w:pPr>
        <w:spacing w:line="360" w:lineRule="auto"/>
        <w:ind w:firstLine="354" w:firstLineChars="147"/>
        <w:outlineLvl w:val="1"/>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22"/>
      <w:bookmarkEnd w:id="23"/>
      <w:bookmarkEnd w:id="24"/>
      <w:bookmarkEnd w:id="25"/>
      <w:bookmarkEnd w:id="26"/>
      <w:bookmarkEnd w:id="27"/>
    </w:p>
    <w:p w14:paraId="6F4B7A82">
      <w:pPr>
        <w:spacing w:line="360" w:lineRule="auto"/>
        <w:ind w:firstLine="420" w:firstLineChars="200"/>
        <w:rPr>
          <w:rFonts w:ascii="宋体" w:hAnsi="宋体" w:cs="宋体"/>
          <w:color w:val="auto"/>
          <w:szCs w:val="21"/>
          <w:highlight w:val="none"/>
          <w:u w:val="single"/>
        </w:rPr>
      </w:pPr>
      <w:bookmarkStart w:id="28" w:name="_Toc28359016"/>
      <w:bookmarkStart w:id="29" w:name="_Toc28359093"/>
      <w:bookmarkStart w:id="30" w:name="_Toc35393802"/>
      <w:bookmarkStart w:id="31" w:name="_Toc35393633"/>
      <w:bookmarkStart w:id="32" w:name="_Toc44229882"/>
      <w:r>
        <w:rPr>
          <w:rFonts w:hint="eastAsia" w:ascii="宋体" w:hAnsi="宋体"/>
          <w:color w:val="auto"/>
          <w:szCs w:val="21"/>
          <w:highlight w:val="none"/>
        </w:rPr>
        <w:t>截止时间：</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01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 xml:space="preserve"> 9 ：30 </w:t>
      </w:r>
      <w:r>
        <w:rPr>
          <w:rFonts w:hint="eastAsia" w:ascii="宋体" w:hAnsi="宋体"/>
          <w:bCs/>
          <w:color w:val="auto"/>
          <w:szCs w:val="21"/>
          <w:highlight w:val="none"/>
        </w:rPr>
        <w:t>（北京时间）</w:t>
      </w:r>
    </w:p>
    <w:p w14:paraId="2C2BAA20">
      <w:pPr>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地点：</w:t>
      </w:r>
      <w:bookmarkStart w:id="33" w:name="_Toc71365909"/>
      <w:r>
        <w:rPr>
          <w:rFonts w:hint="eastAsia" w:ascii="宋体" w:hAnsi="宋体" w:eastAsia="宋体" w:cs="Times New Roman"/>
          <w:color w:val="auto"/>
          <w:szCs w:val="21"/>
          <w:highlight w:val="none"/>
        </w:rPr>
        <w:t>请登录广西政府采购云平台投标客户端投标</w:t>
      </w:r>
    </w:p>
    <w:p w14:paraId="5B67EAB1">
      <w:pPr>
        <w:spacing w:line="360" w:lineRule="auto"/>
        <w:ind w:firstLine="241" w:firstLineChars="100"/>
        <w:outlineLvl w:val="1"/>
        <w:rPr>
          <w:rFonts w:ascii="黑体" w:hAnsi="黑体" w:eastAsia="黑体"/>
          <w:b/>
          <w:color w:val="auto"/>
          <w:sz w:val="24"/>
          <w:highlight w:val="none"/>
        </w:rPr>
      </w:pPr>
      <w:r>
        <w:rPr>
          <w:rFonts w:hint="eastAsia" w:ascii="黑体" w:hAnsi="黑体" w:eastAsia="黑体"/>
          <w:b/>
          <w:color w:val="auto"/>
          <w:sz w:val="24"/>
          <w:highlight w:val="none"/>
        </w:rPr>
        <w:t>五、开启</w:t>
      </w:r>
      <w:bookmarkEnd w:id="28"/>
      <w:bookmarkEnd w:id="29"/>
      <w:bookmarkEnd w:id="30"/>
      <w:bookmarkEnd w:id="31"/>
      <w:bookmarkEnd w:id="32"/>
      <w:bookmarkEnd w:id="33"/>
    </w:p>
    <w:p w14:paraId="116EC062">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01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 xml:space="preserve"> 9 ：30 </w:t>
      </w:r>
      <w:r>
        <w:rPr>
          <w:rFonts w:hint="eastAsia" w:ascii="宋体" w:hAnsi="宋体"/>
          <w:bCs/>
          <w:color w:val="auto"/>
          <w:szCs w:val="21"/>
          <w:highlight w:val="none"/>
        </w:rPr>
        <w:t>（北京时间）</w:t>
      </w:r>
    </w:p>
    <w:p w14:paraId="4BD6A394">
      <w:pPr>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eastAsia="宋体" w:cs="Times New Roman"/>
          <w:color w:val="auto"/>
          <w:szCs w:val="21"/>
          <w:highlight w:val="none"/>
        </w:rPr>
        <w:t>广西政府采购云平台在线解密</w:t>
      </w:r>
    </w:p>
    <w:p w14:paraId="4E60E48B">
      <w:pPr>
        <w:spacing w:line="360" w:lineRule="auto"/>
        <w:ind w:firstLine="354" w:firstLineChars="147"/>
        <w:outlineLvl w:val="1"/>
        <w:rPr>
          <w:rFonts w:ascii="黑体" w:hAnsi="黑体" w:eastAsia="黑体"/>
          <w:b/>
          <w:color w:val="auto"/>
          <w:sz w:val="24"/>
          <w:highlight w:val="none"/>
        </w:rPr>
      </w:pPr>
      <w:bookmarkStart w:id="34" w:name="_Toc44229883"/>
      <w:bookmarkStart w:id="35" w:name="_Toc28359017"/>
      <w:bookmarkStart w:id="36" w:name="_Toc35393634"/>
      <w:bookmarkStart w:id="37" w:name="_Toc71365910"/>
      <w:bookmarkStart w:id="38" w:name="_Toc28359094"/>
      <w:bookmarkStart w:id="39" w:name="_Toc35393803"/>
      <w:r>
        <w:rPr>
          <w:rFonts w:hint="eastAsia" w:ascii="黑体" w:hAnsi="黑体" w:eastAsia="黑体"/>
          <w:b/>
          <w:color w:val="auto"/>
          <w:sz w:val="24"/>
          <w:highlight w:val="none"/>
        </w:rPr>
        <w:t>六、公告期限</w:t>
      </w:r>
      <w:bookmarkEnd w:id="34"/>
      <w:bookmarkEnd w:id="35"/>
      <w:bookmarkEnd w:id="36"/>
      <w:bookmarkEnd w:id="37"/>
      <w:bookmarkEnd w:id="38"/>
      <w:bookmarkEnd w:id="39"/>
    </w:p>
    <w:p w14:paraId="6C2AE01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E36D02B">
      <w:pPr>
        <w:spacing w:line="360" w:lineRule="auto"/>
        <w:ind w:firstLine="354" w:firstLineChars="147"/>
        <w:outlineLvl w:val="1"/>
        <w:rPr>
          <w:rFonts w:ascii="黑体" w:hAnsi="黑体" w:eastAsia="黑体"/>
          <w:b/>
          <w:color w:val="auto"/>
          <w:sz w:val="24"/>
          <w:highlight w:val="none"/>
        </w:rPr>
      </w:pPr>
      <w:bookmarkStart w:id="40" w:name="_Toc35393804"/>
      <w:bookmarkStart w:id="41" w:name="_Toc35393635"/>
      <w:bookmarkStart w:id="42" w:name="_Toc71365911"/>
      <w:bookmarkStart w:id="43" w:name="_Toc44229884"/>
      <w:r>
        <w:rPr>
          <w:rFonts w:hint="eastAsia" w:ascii="黑体" w:hAnsi="黑体" w:eastAsia="黑体"/>
          <w:b/>
          <w:color w:val="auto"/>
          <w:sz w:val="24"/>
          <w:highlight w:val="none"/>
        </w:rPr>
        <w:t>七、其他补充事宜</w:t>
      </w:r>
      <w:bookmarkEnd w:id="40"/>
      <w:bookmarkEnd w:id="41"/>
      <w:bookmarkEnd w:id="42"/>
      <w:bookmarkEnd w:id="43"/>
    </w:p>
    <w:p w14:paraId="139A8403">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lang w:val="en-US" w:eastAsia="zh-CN"/>
        </w:rPr>
      </w:pPr>
      <w:bookmarkStart w:id="44" w:name="_Hlk37429674"/>
      <w:bookmarkStart w:id="45" w:name="_Toc44229885"/>
      <w:bookmarkStart w:id="46" w:name="_Toc35393636"/>
      <w:bookmarkStart w:id="47" w:name="_Toc28359018"/>
      <w:bookmarkStart w:id="48" w:name="_Toc35393805"/>
      <w:bookmarkStart w:id="49" w:name="_Toc28359095"/>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磋商保证金：</w:t>
      </w:r>
      <w:r>
        <w:rPr>
          <w:rFonts w:hint="eastAsia" w:ascii="宋体" w:hAnsi="宋体" w:eastAsia="宋体" w:cs="宋体"/>
          <w:color w:val="auto"/>
          <w:kern w:val="0"/>
          <w:szCs w:val="21"/>
          <w:highlight w:val="none"/>
          <w:lang w:val="en-US" w:eastAsia="zh-CN"/>
        </w:rPr>
        <w:t>7000元。</w:t>
      </w:r>
    </w:p>
    <w:p w14:paraId="4C650FB0">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．网上查询地址：中国政府采购网、广西壮族自治区政府采购网。</w:t>
      </w:r>
    </w:p>
    <w:bookmarkEnd w:id="44"/>
    <w:p w14:paraId="64B72922">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.政府监督部门：钦州市财政局政府采购监督管理科   </w:t>
      </w:r>
    </w:p>
    <w:p w14:paraId="7DE8549D">
      <w:pPr>
        <w:widowControl/>
        <w:spacing w:before="75" w:after="75" w:line="400" w:lineRule="exact"/>
        <w:ind w:firstLine="630" w:firstLineChars="3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地址：钦州市银河街125号</w:t>
      </w:r>
    </w:p>
    <w:p w14:paraId="3E147286">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cs="宋体"/>
          <w:color w:val="auto"/>
          <w:kern w:val="0"/>
          <w:szCs w:val="21"/>
          <w:highlight w:val="none"/>
        </w:rPr>
        <w:t xml:space="preserve">  联系电话：0777-2895258</w:t>
      </w:r>
    </w:p>
    <w:p w14:paraId="6DCB8FAB">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.本项目需要落实的政府采购政策</w:t>
      </w:r>
    </w:p>
    <w:p w14:paraId="291ACB4A">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7A3EB0F3">
      <w:pPr>
        <w:widowControl/>
        <w:spacing w:before="75" w:after="75" w:line="400" w:lineRule="exact"/>
        <w:ind w:firstLine="420" w:firstLineChars="200"/>
        <w:jc w:val="left"/>
        <w:outlineLvl w:val="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6C58352D">
      <w:pPr>
        <w:spacing w:line="360" w:lineRule="auto"/>
        <w:ind w:firstLine="420" w:firstLineChars="200"/>
        <w:rPr>
          <w:rFonts w:hint="eastAsia" w:ascii="宋体" w:hAnsi="宋体"/>
          <w:color w:val="auto"/>
          <w:kern w:val="0"/>
          <w:highlight w:val="none"/>
        </w:rPr>
      </w:pPr>
      <w:r>
        <w:rPr>
          <w:rFonts w:hint="eastAsia" w:ascii="宋体" w:hAnsi="宋体"/>
          <w:color w:val="auto"/>
          <w:kern w:val="0"/>
          <w:highlight w:val="none"/>
        </w:rPr>
        <w:t>（3）强制采购节能产品；优先采购节能产品、环境标志产品。</w:t>
      </w:r>
    </w:p>
    <w:p w14:paraId="424E11A0">
      <w:pPr>
        <w:spacing w:line="360" w:lineRule="auto"/>
        <w:ind w:firstLine="420" w:firstLineChars="200"/>
        <w:rPr>
          <w:rFonts w:hint="eastAsia" w:ascii="宋体" w:hAnsi="宋体"/>
          <w:color w:val="auto"/>
          <w:kern w:val="0"/>
          <w:highlight w:val="none"/>
        </w:rPr>
      </w:pPr>
      <w:r>
        <w:rPr>
          <w:rFonts w:hint="eastAsia" w:ascii="宋体" w:hAnsi="宋体"/>
          <w:color w:val="auto"/>
          <w:kern w:val="0"/>
          <w:highlight w:val="none"/>
        </w:rPr>
        <w:t>（4）政府采购促进残疾人就业政策。</w:t>
      </w:r>
    </w:p>
    <w:p w14:paraId="70F1B2A6">
      <w:pPr>
        <w:ind w:firstLine="420" w:firstLineChars="200"/>
        <w:rPr>
          <w:rFonts w:hint="eastAsia" w:ascii="宋体" w:hAnsi="宋体"/>
          <w:color w:val="auto"/>
          <w:kern w:val="0"/>
          <w:highlight w:val="none"/>
        </w:rPr>
      </w:pPr>
      <w:r>
        <w:rPr>
          <w:rFonts w:hint="eastAsia" w:ascii="宋体" w:hAnsi="宋体"/>
          <w:color w:val="auto"/>
          <w:kern w:val="0"/>
          <w:highlight w:val="none"/>
        </w:rPr>
        <w:t>（5）政府采购支持监狱企业发展。</w:t>
      </w:r>
    </w:p>
    <w:p w14:paraId="1C83A6F6">
      <w:pPr>
        <w:wordWrap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val="en-US" w:eastAsia="zh-CN"/>
        </w:rPr>
        <w:t>5</w:t>
      </w:r>
      <w:r>
        <w:rPr>
          <w:rFonts w:hint="eastAsia" w:ascii="宋体" w:hAnsi="宋体"/>
          <w:color w:val="auto"/>
          <w:kern w:val="0"/>
          <w:highlight w:val="none"/>
        </w:rPr>
        <w:t>.在线竞标响应（电子竞标）说明</w:t>
      </w:r>
    </w:p>
    <w:p w14:paraId="4C96FA7C">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lang w:val="en-US" w:eastAsia="zh-CN"/>
        </w:rPr>
        <w:t>5</w:t>
      </w:r>
      <w:r>
        <w:rPr>
          <w:rFonts w:hint="eastAsia" w:ascii="宋体" w:hAnsi="宋体"/>
          <w:color w:val="auto"/>
          <w:kern w:val="0"/>
          <w:highlight w:val="none"/>
        </w:rPr>
        <w:t>.1供应商投标注意事项</w:t>
      </w:r>
    </w:p>
    <w:p w14:paraId="46E4CFAF">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（1）本项目为全流程电子化采购项目，通过“</w:t>
      </w:r>
      <w:r>
        <w:rPr>
          <w:rFonts w:hint="eastAsia" w:ascii="宋体" w:hAnsi="宋体"/>
          <w:color w:val="auto"/>
          <w:kern w:val="0"/>
          <w:highlight w:val="none"/>
          <w:lang w:eastAsia="zh-CN"/>
        </w:rPr>
        <w:t>采购云</w:t>
      </w:r>
      <w:r>
        <w:rPr>
          <w:rFonts w:hint="eastAsia" w:ascii="宋体" w:hAnsi="宋体"/>
          <w:color w:val="auto"/>
          <w:kern w:val="0"/>
          <w:highlight w:val="none"/>
        </w:rPr>
        <w:t>”平台（https：//www.zcygov.cn）实行在线电子投标，供应商应先安装“</w:t>
      </w:r>
      <w:r>
        <w:rPr>
          <w:rFonts w:hint="eastAsia" w:ascii="宋体" w:hAnsi="宋体"/>
          <w:color w:val="auto"/>
          <w:kern w:val="0"/>
          <w:highlight w:val="none"/>
          <w:lang w:eastAsia="zh-CN"/>
        </w:rPr>
        <w:t>采购云</w:t>
      </w:r>
      <w:r>
        <w:rPr>
          <w:rFonts w:hint="eastAsia" w:ascii="宋体" w:hAnsi="宋体"/>
          <w:color w:val="auto"/>
          <w:kern w:val="0"/>
          <w:highlight w:val="none"/>
        </w:rPr>
        <w:t>电子交易客户端”（请自行前往“</w:t>
      </w:r>
      <w:r>
        <w:rPr>
          <w:rFonts w:hint="eastAsia" w:ascii="宋体" w:hAnsi="宋体"/>
          <w:color w:val="auto"/>
          <w:kern w:val="0"/>
          <w:highlight w:val="none"/>
          <w:lang w:eastAsia="zh-CN"/>
        </w:rPr>
        <w:t>采购云</w:t>
      </w:r>
      <w:r>
        <w:rPr>
          <w:rFonts w:hint="eastAsia" w:ascii="宋体" w:hAnsi="宋体"/>
          <w:color w:val="auto"/>
          <w:kern w:val="0"/>
          <w:highlight w:val="none"/>
        </w:rPr>
        <w:t>”平台进行下载），并按照本项目采购文件和“</w:t>
      </w:r>
      <w:r>
        <w:rPr>
          <w:rFonts w:hint="eastAsia" w:ascii="宋体" w:hAnsi="宋体"/>
          <w:color w:val="auto"/>
          <w:kern w:val="0"/>
          <w:highlight w:val="none"/>
          <w:lang w:eastAsia="zh-CN"/>
        </w:rPr>
        <w:t>采购云</w:t>
      </w:r>
      <w:r>
        <w:rPr>
          <w:rFonts w:hint="eastAsia" w:ascii="宋体" w:hAnsi="宋体"/>
          <w:color w:val="auto"/>
          <w:kern w:val="0"/>
          <w:highlight w:val="none"/>
        </w:rPr>
        <w:t>”平台的要求编制、加密后在投标截止时间前通过网络上传至 “</w:t>
      </w:r>
      <w:r>
        <w:rPr>
          <w:rFonts w:hint="eastAsia" w:ascii="宋体" w:hAnsi="宋体"/>
          <w:color w:val="auto"/>
          <w:kern w:val="0"/>
          <w:highlight w:val="none"/>
          <w:lang w:eastAsia="zh-CN"/>
        </w:rPr>
        <w:t>采购云</w:t>
      </w:r>
      <w:r>
        <w:rPr>
          <w:rFonts w:hint="eastAsia" w:ascii="宋体" w:hAnsi="宋体"/>
          <w:color w:val="auto"/>
          <w:kern w:val="0"/>
          <w:highlight w:val="none"/>
        </w:rPr>
        <w:t>”平台，</w:t>
      </w:r>
      <w:r>
        <w:rPr>
          <w:rFonts w:hint="eastAsia" w:ascii="宋体" w:hAnsi="宋体"/>
          <w:b/>
          <w:color w:val="auto"/>
          <w:kern w:val="0"/>
          <w:highlight w:val="none"/>
        </w:rPr>
        <w:t>供应商在“</w:t>
      </w:r>
      <w:r>
        <w:rPr>
          <w:rFonts w:hint="eastAsia" w:ascii="宋体" w:hAnsi="宋体"/>
          <w:b/>
          <w:color w:val="auto"/>
          <w:kern w:val="0"/>
          <w:highlight w:val="none"/>
          <w:lang w:eastAsia="zh-CN"/>
        </w:rPr>
        <w:t>采购云</w:t>
      </w:r>
      <w:r>
        <w:rPr>
          <w:rFonts w:hint="eastAsia" w:ascii="宋体" w:hAnsi="宋体"/>
          <w:b/>
          <w:color w:val="auto"/>
          <w:kern w:val="0"/>
          <w:highlight w:val="none"/>
        </w:rPr>
        <w:t>”平台提交电子</w:t>
      </w:r>
      <w:r>
        <w:rPr>
          <w:rFonts w:hint="eastAsia" w:ascii="宋体" w:hAnsi="宋体"/>
          <w:b/>
          <w:color w:val="auto"/>
          <w:kern w:val="0"/>
          <w:highlight w:val="none"/>
          <w:lang w:eastAsia="zh-CN"/>
        </w:rPr>
        <w:t>磋商响应文件</w:t>
      </w:r>
      <w:r>
        <w:rPr>
          <w:rFonts w:hint="eastAsia" w:ascii="宋体" w:hAnsi="宋体"/>
          <w:b/>
          <w:color w:val="auto"/>
          <w:kern w:val="0"/>
          <w:highlight w:val="none"/>
        </w:rPr>
        <w:t>时，请填写参加远程开标活动经办人联系方式。</w:t>
      </w:r>
      <w:r>
        <w:rPr>
          <w:rFonts w:hint="eastAsia" w:ascii="宋体" w:hAnsi="宋体"/>
          <w:color w:val="auto"/>
          <w:kern w:val="0"/>
          <w:highlight w:val="none"/>
        </w:rPr>
        <w:t>供应商登录“</w:t>
      </w:r>
      <w:r>
        <w:rPr>
          <w:rFonts w:hint="eastAsia" w:ascii="宋体" w:hAnsi="宋体"/>
          <w:color w:val="auto"/>
          <w:kern w:val="0"/>
          <w:highlight w:val="none"/>
          <w:lang w:eastAsia="zh-CN"/>
        </w:rPr>
        <w:t>采购云</w:t>
      </w:r>
      <w:r>
        <w:rPr>
          <w:rFonts w:hint="eastAsia" w:ascii="宋体" w:hAnsi="宋体"/>
          <w:color w:val="auto"/>
          <w:kern w:val="0"/>
          <w:highlight w:val="none"/>
        </w:rPr>
        <w:t>”平台，依次进入“服务中心-项目采购-操作流程-电子招投标-政府采购项目电子交易管理操作指南-供应商”查看电子投标具体操作流程。</w:t>
      </w:r>
    </w:p>
    <w:p w14:paraId="22DB3C10">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未进行网上注册并办理数字证书（CA认证）的供应商将无法参与本项目政府采购活动，供应商应当在投标截止时间前，完成电子交易平台上的CA数字证书办理（供应商可登录“广西政府采购网”，依次进入“办事服务-下载专区”或者</w:t>
      </w:r>
      <w:r>
        <w:rPr>
          <w:rFonts w:hint="eastAsia" w:ascii="宋体" w:hAnsi="宋体"/>
          <w:color w:val="auto"/>
          <w:kern w:val="0"/>
          <w:highlight w:val="none"/>
          <w:lang w:eastAsia="zh-CN"/>
        </w:rPr>
        <w:t>登录</w:t>
      </w:r>
      <w:r>
        <w:rPr>
          <w:rFonts w:hint="eastAsia" w:ascii="宋体" w:hAnsi="宋体"/>
          <w:color w:val="auto"/>
          <w:kern w:val="0"/>
          <w:highlight w:val="none"/>
        </w:rPr>
        <w:t>“</w:t>
      </w:r>
      <w:r>
        <w:rPr>
          <w:rFonts w:hint="eastAsia" w:ascii="宋体" w:hAnsi="宋体"/>
          <w:color w:val="auto"/>
          <w:kern w:val="0"/>
          <w:highlight w:val="none"/>
          <w:lang w:eastAsia="zh-CN"/>
        </w:rPr>
        <w:t>采购云</w:t>
      </w:r>
      <w:r>
        <w:rPr>
          <w:rFonts w:hint="eastAsia" w:ascii="宋体" w:hAnsi="宋体"/>
          <w:color w:val="auto"/>
          <w:kern w:val="0"/>
          <w:highlight w:val="none"/>
        </w:rPr>
        <w:t>”平台，依次进入“服务中心-入驻与配置”中查看CA数字证书办理操作流程。</w:t>
      </w:r>
      <w:r>
        <w:rPr>
          <w:rFonts w:hint="eastAsia" w:ascii="宋体" w:hAnsi="宋体"/>
          <w:bCs/>
          <w:color w:val="auto"/>
          <w:kern w:val="0"/>
          <w:highlight w:val="none"/>
        </w:rPr>
        <w:t>如在操作过程中遇到问题或者需要技术支持，请致电</w:t>
      </w:r>
      <w:r>
        <w:rPr>
          <w:rFonts w:hint="eastAsia" w:ascii="宋体" w:hAnsi="宋体"/>
          <w:bCs/>
          <w:color w:val="auto"/>
          <w:kern w:val="0"/>
          <w:highlight w:val="none"/>
          <w:lang w:eastAsia="zh-CN"/>
        </w:rPr>
        <w:t>采购云</w:t>
      </w:r>
      <w:r>
        <w:rPr>
          <w:rFonts w:hint="eastAsia" w:ascii="宋体" w:hAnsi="宋体"/>
          <w:bCs/>
          <w:color w:val="auto"/>
          <w:kern w:val="0"/>
          <w:highlight w:val="none"/>
        </w:rPr>
        <w:t>客服热线：400-881-7190。</w:t>
      </w:r>
      <w:r>
        <w:rPr>
          <w:rFonts w:hint="eastAsia" w:ascii="宋体" w:hAnsi="宋体"/>
          <w:color w:val="auto"/>
          <w:kern w:val="0"/>
          <w:highlight w:val="none"/>
        </w:rPr>
        <w:t>）及</w:t>
      </w:r>
      <w:r>
        <w:rPr>
          <w:rFonts w:hint="eastAsia" w:ascii="宋体" w:hAnsi="宋体"/>
          <w:color w:val="auto"/>
          <w:kern w:val="0"/>
          <w:highlight w:val="none"/>
          <w:lang w:eastAsia="zh-CN"/>
        </w:rPr>
        <w:t>磋商响应文件</w:t>
      </w:r>
      <w:r>
        <w:rPr>
          <w:rFonts w:hint="eastAsia" w:ascii="宋体" w:hAnsi="宋体"/>
          <w:color w:val="auto"/>
          <w:kern w:val="0"/>
          <w:highlight w:val="none"/>
        </w:rPr>
        <w:t>的提交。</w:t>
      </w:r>
    </w:p>
    <w:p w14:paraId="17AA26C6">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（3）CA证书在线解密：供应商投标时，需携带制作</w:t>
      </w:r>
      <w:r>
        <w:rPr>
          <w:rFonts w:hint="eastAsia" w:ascii="宋体" w:hAnsi="宋体"/>
          <w:color w:val="auto"/>
          <w:kern w:val="0"/>
          <w:highlight w:val="none"/>
          <w:lang w:eastAsia="zh-CN"/>
        </w:rPr>
        <w:t>磋商响应文件</w:t>
      </w:r>
      <w:r>
        <w:rPr>
          <w:rFonts w:hint="eastAsia" w:ascii="宋体" w:hAnsi="宋体"/>
          <w:color w:val="auto"/>
          <w:kern w:val="0"/>
          <w:highlight w:val="none"/>
        </w:rPr>
        <w:t>时用来加密的有效数字证书（CA认证）登录“</w:t>
      </w:r>
      <w:r>
        <w:rPr>
          <w:rFonts w:hint="eastAsia" w:ascii="宋体" w:hAnsi="宋体"/>
          <w:color w:val="auto"/>
          <w:kern w:val="0"/>
          <w:highlight w:val="none"/>
          <w:lang w:eastAsia="zh-CN"/>
        </w:rPr>
        <w:t>采购云</w:t>
      </w:r>
      <w:r>
        <w:rPr>
          <w:rFonts w:hint="eastAsia" w:ascii="宋体" w:hAnsi="宋体"/>
          <w:color w:val="auto"/>
          <w:kern w:val="0"/>
          <w:highlight w:val="none"/>
        </w:rPr>
        <w:t>”平台电子开标大厅现场按规定时间对加密的</w:t>
      </w:r>
      <w:r>
        <w:rPr>
          <w:rFonts w:hint="eastAsia" w:ascii="宋体" w:hAnsi="宋体"/>
          <w:color w:val="auto"/>
          <w:kern w:val="0"/>
          <w:highlight w:val="none"/>
          <w:lang w:eastAsia="zh-CN"/>
        </w:rPr>
        <w:t>磋商响应文件</w:t>
      </w:r>
      <w:r>
        <w:rPr>
          <w:rFonts w:hint="eastAsia" w:ascii="宋体" w:hAnsi="宋体"/>
          <w:color w:val="auto"/>
          <w:kern w:val="0"/>
          <w:highlight w:val="none"/>
        </w:rPr>
        <w:t>进行解密，否则后果自负。</w:t>
      </w:r>
    </w:p>
    <w:p w14:paraId="08DE5D27">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（4）供应商可以提供以介质（U盘或光盘等）存储的数据电文形成的电子备份响应文件。电子备份响应文件应当在响应文件递交截止时间前按要求密封并送达</w:t>
      </w:r>
      <w:r>
        <w:rPr>
          <w:rFonts w:hint="eastAsia" w:ascii="宋体" w:hAnsi="宋体" w:cs="宋体"/>
          <w:color w:val="auto"/>
          <w:kern w:val="0"/>
          <w:szCs w:val="21"/>
          <w:highlight w:val="none"/>
          <w:lang w:eastAsia="zh-CN"/>
        </w:rPr>
        <w:t>钦州市新华路268号江滨豪园10栋27层2703号</w:t>
      </w:r>
      <w:r>
        <w:rPr>
          <w:rFonts w:hint="eastAsia" w:ascii="宋体" w:hAnsi="宋体"/>
          <w:color w:val="auto"/>
          <w:kern w:val="0"/>
          <w:highlight w:val="none"/>
          <w:lang w:eastAsia="zh-CN"/>
        </w:rPr>
        <w:t>广西翔正项目管理有限公司</w:t>
      </w:r>
      <w:r>
        <w:rPr>
          <w:rFonts w:hint="eastAsia" w:ascii="宋体" w:hAnsi="宋体"/>
          <w:color w:val="auto"/>
          <w:kern w:val="0"/>
          <w:highlight w:val="none"/>
        </w:rPr>
        <w:t>，逾期送达或未按要求密封将被拒收。电子备份响应文件应当密封包装并在包装上标注竞标项目名称、竞标单位名称并加盖公章。</w:t>
      </w:r>
    </w:p>
    <w:p w14:paraId="14C44878">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邮寄地址：</w:t>
      </w:r>
      <w:r>
        <w:rPr>
          <w:rFonts w:hint="eastAsia" w:ascii="宋体" w:hAnsi="宋体" w:cs="宋体"/>
          <w:color w:val="auto"/>
          <w:kern w:val="0"/>
          <w:szCs w:val="21"/>
          <w:highlight w:val="none"/>
        </w:rPr>
        <w:t>钦州市新华路268号江滨豪园10栋27层2703号</w:t>
      </w:r>
      <w:r>
        <w:rPr>
          <w:rFonts w:hint="eastAsia" w:ascii="宋体" w:hAnsi="宋体"/>
          <w:color w:val="auto"/>
          <w:kern w:val="0"/>
          <w:highlight w:val="none"/>
        </w:rPr>
        <w:t>广西翔正项目管理有限公司，联系人：</w:t>
      </w:r>
      <w:r>
        <w:rPr>
          <w:rFonts w:hint="eastAsia" w:ascii="宋体" w:hAnsi="宋体"/>
          <w:color w:val="auto"/>
          <w:kern w:val="0"/>
          <w:highlight w:val="none"/>
          <w:lang w:eastAsia="zh-CN"/>
        </w:rPr>
        <w:t>黄博</w:t>
      </w:r>
      <w:r>
        <w:rPr>
          <w:rFonts w:hint="eastAsia" w:ascii="宋体" w:hAnsi="宋体"/>
          <w:color w:val="auto"/>
          <w:kern w:val="0"/>
          <w:highlight w:val="none"/>
        </w:rPr>
        <w:t>，电话：</w:t>
      </w:r>
      <w:r>
        <w:rPr>
          <w:rFonts w:hint="eastAsia" w:ascii="宋体" w:hAnsi="宋体"/>
          <w:color w:val="auto"/>
          <w:kern w:val="0"/>
          <w:highlight w:val="none"/>
          <w:lang w:eastAsia="zh-CN"/>
        </w:rPr>
        <w:t>0777-2839828</w:t>
      </w:r>
      <w:r>
        <w:rPr>
          <w:rFonts w:hint="eastAsia" w:ascii="宋体" w:hAnsi="宋体"/>
          <w:color w:val="auto"/>
          <w:kern w:val="0"/>
          <w:highlight w:val="none"/>
        </w:rPr>
        <w:t>。</w:t>
      </w:r>
    </w:p>
    <w:p w14:paraId="2D392582">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本项目拒收到付邮件，通过邮寄方式送达的，请合理安排邮寄时间，因邮寄原因未能在规定时间内送达的后果由供应商自行承担。</w:t>
      </w:r>
    </w:p>
    <w:p w14:paraId="7673457A">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（5）通过“政府采购云平台”上传递交的“电子加密响应文件”无法按时解密，供应商递交了电子备份响应文件的，以电子备份响应文件为依据，否则视为响应文件撤回。通过</w:t>
      </w:r>
      <w:r>
        <w:rPr>
          <w:rFonts w:hint="eastAsia" w:ascii="宋体" w:hAnsi="宋体"/>
          <w:color w:val="auto"/>
          <w:kern w:val="0"/>
          <w:highlight w:val="none"/>
          <w:lang w:eastAsia="zh-CN"/>
        </w:rPr>
        <w:t>采购云</w:t>
      </w:r>
      <w:r>
        <w:rPr>
          <w:rFonts w:hint="eastAsia" w:ascii="宋体" w:hAnsi="宋体"/>
          <w:color w:val="auto"/>
          <w:kern w:val="0"/>
          <w:highlight w:val="none"/>
        </w:rPr>
        <w:t>平台上传递交的电子加密响应文件已按时解密的，电子备份响应文件自动失效。供应商仅递交电子备份响应文件的，竞标无效。</w:t>
      </w:r>
    </w:p>
    <w:p w14:paraId="2791EB4A">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C15BEBE">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4AA8930">
      <w:pPr>
        <w:wordWrap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（8）本项目不接受未</w:t>
      </w:r>
      <w:r>
        <w:rPr>
          <w:rFonts w:hint="eastAsia" w:ascii="宋体" w:hAnsi="宋体"/>
          <w:color w:val="auto"/>
          <w:kern w:val="0"/>
          <w:highlight w:val="none"/>
          <w:lang w:eastAsia="zh-CN"/>
        </w:rPr>
        <w:t>登录采购云</w:t>
      </w:r>
      <w:r>
        <w:rPr>
          <w:rFonts w:hint="eastAsia" w:ascii="宋体" w:hAnsi="宋体"/>
          <w:color w:val="auto"/>
          <w:kern w:val="0"/>
          <w:highlight w:val="none"/>
        </w:rPr>
        <w:t>平台（www.zcygov.cn）获取本项目竞争性磋商文件的供应商竞标。</w:t>
      </w:r>
    </w:p>
    <w:p w14:paraId="097CAE5E">
      <w:pPr>
        <w:wordWrap w:val="0"/>
        <w:spacing w:line="400" w:lineRule="exact"/>
        <w:ind w:firstLine="420" w:firstLineChars="200"/>
        <w:rPr>
          <w:rFonts w:hint="eastAsia" w:ascii="宋体" w:hAnsi="宋体"/>
          <w:bCs/>
          <w:color w:val="auto"/>
          <w:kern w:val="0"/>
          <w:highlight w:val="none"/>
        </w:rPr>
      </w:pPr>
      <w:r>
        <w:rPr>
          <w:rFonts w:hint="eastAsia" w:ascii="宋体" w:hAnsi="宋体"/>
          <w:color w:val="auto"/>
          <w:kern w:val="0"/>
          <w:highlight w:val="none"/>
        </w:rPr>
        <w:t>注：1）为确保网上操作合法、有效和安全，请供应商确保在电子投标过程中能够对相关数据电文进行加密和使用电子签章，妥善保管CA数字证书并使用有效的CA数字证书参与整个招标活动。2）</w:t>
      </w:r>
      <w:r>
        <w:rPr>
          <w:rFonts w:hint="eastAsia" w:ascii="宋体" w:hAnsi="宋体"/>
          <w:bCs/>
          <w:color w:val="auto"/>
          <w:kern w:val="0"/>
          <w:highlight w:val="none"/>
        </w:rPr>
        <w:t>供应商应当在投标截止时间前完成电子</w:t>
      </w:r>
      <w:r>
        <w:rPr>
          <w:rFonts w:hint="eastAsia" w:ascii="宋体" w:hAnsi="宋体"/>
          <w:bCs/>
          <w:color w:val="auto"/>
          <w:kern w:val="0"/>
          <w:highlight w:val="none"/>
          <w:lang w:eastAsia="zh-CN"/>
        </w:rPr>
        <w:t>磋商响应文件</w:t>
      </w:r>
      <w:r>
        <w:rPr>
          <w:rFonts w:hint="eastAsia" w:ascii="宋体" w:hAnsi="宋体"/>
          <w:bCs/>
          <w:color w:val="auto"/>
          <w:kern w:val="0"/>
          <w:highlight w:val="none"/>
        </w:rPr>
        <w:t>的上传、提交，投标截止时间前可以补充、修改或者撤回</w:t>
      </w:r>
      <w:r>
        <w:rPr>
          <w:rFonts w:hint="eastAsia" w:ascii="宋体" w:hAnsi="宋体"/>
          <w:bCs/>
          <w:color w:val="auto"/>
          <w:kern w:val="0"/>
          <w:highlight w:val="none"/>
          <w:lang w:eastAsia="zh-CN"/>
        </w:rPr>
        <w:t>磋商响应文件</w:t>
      </w:r>
      <w:r>
        <w:rPr>
          <w:rFonts w:hint="eastAsia" w:ascii="宋体" w:hAnsi="宋体"/>
          <w:bCs/>
          <w:color w:val="auto"/>
          <w:kern w:val="0"/>
          <w:highlight w:val="none"/>
        </w:rPr>
        <w:t>。补充或者修改</w:t>
      </w:r>
      <w:r>
        <w:rPr>
          <w:rFonts w:hint="eastAsia" w:ascii="宋体" w:hAnsi="宋体"/>
          <w:bCs/>
          <w:color w:val="auto"/>
          <w:kern w:val="0"/>
          <w:highlight w:val="none"/>
          <w:lang w:eastAsia="zh-CN"/>
        </w:rPr>
        <w:t>磋商响应文件</w:t>
      </w:r>
      <w:r>
        <w:rPr>
          <w:rFonts w:hint="eastAsia" w:ascii="宋体" w:hAnsi="宋体"/>
          <w:bCs/>
          <w:color w:val="auto"/>
          <w:kern w:val="0"/>
          <w:highlight w:val="none"/>
        </w:rPr>
        <w:t>的，应当先行撤回原</w:t>
      </w:r>
      <w:r>
        <w:rPr>
          <w:rFonts w:hint="eastAsia" w:ascii="宋体" w:hAnsi="宋体"/>
          <w:bCs/>
          <w:color w:val="auto"/>
          <w:kern w:val="0"/>
          <w:highlight w:val="none"/>
          <w:lang w:eastAsia="zh-CN"/>
        </w:rPr>
        <w:t>磋商响应文件</w:t>
      </w:r>
      <w:r>
        <w:rPr>
          <w:rFonts w:hint="eastAsia" w:ascii="宋体" w:hAnsi="宋体"/>
          <w:bCs/>
          <w:color w:val="auto"/>
          <w:kern w:val="0"/>
          <w:highlight w:val="none"/>
        </w:rPr>
        <w:t>，补充、修改后重新上传、提交，投标截止时间前未完成上传、提交的，视为撤回</w:t>
      </w:r>
      <w:r>
        <w:rPr>
          <w:rFonts w:hint="eastAsia" w:ascii="宋体" w:hAnsi="宋体"/>
          <w:bCs/>
          <w:color w:val="auto"/>
          <w:kern w:val="0"/>
          <w:highlight w:val="none"/>
          <w:lang w:eastAsia="zh-CN"/>
        </w:rPr>
        <w:t>磋商响应文件</w:t>
      </w:r>
      <w:r>
        <w:rPr>
          <w:rFonts w:hint="eastAsia" w:ascii="宋体" w:hAnsi="宋体"/>
          <w:bCs/>
          <w:color w:val="auto"/>
          <w:kern w:val="0"/>
          <w:highlight w:val="none"/>
        </w:rPr>
        <w:t>。投标截止时间以后上传递交的</w:t>
      </w:r>
      <w:r>
        <w:rPr>
          <w:rFonts w:hint="eastAsia" w:ascii="宋体" w:hAnsi="宋体"/>
          <w:bCs/>
          <w:color w:val="auto"/>
          <w:kern w:val="0"/>
          <w:highlight w:val="none"/>
          <w:lang w:eastAsia="zh-CN"/>
        </w:rPr>
        <w:t>磋商响应文件</w:t>
      </w:r>
      <w:r>
        <w:rPr>
          <w:rFonts w:hint="eastAsia" w:ascii="宋体" w:hAnsi="宋体"/>
          <w:bCs/>
          <w:color w:val="auto"/>
          <w:kern w:val="0"/>
          <w:highlight w:val="none"/>
        </w:rPr>
        <w:t>，“</w:t>
      </w:r>
      <w:r>
        <w:rPr>
          <w:rFonts w:hint="eastAsia" w:ascii="宋体" w:hAnsi="宋体"/>
          <w:bCs/>
          <w:color w:val="auto"/>
          <w:kern w:val="0"/>
          <w:highlight w:val="none"/>
          <w:lang w:eastAsia="zh-CN"/>
        </w:rPr>
        <w:t>采购云</w:t>
      </w:r>
      <w:r>
        <w:rPr>
          <w:rFonts w:hint="eastAsia" w:ascii="宋体" w:hAnsi="宋体"/>
          <w:bCs/>
          <w:color w:val="auto"/>
          <w:kern w:val="0"/>
          <w:highlight w:val="none"/>
        </w:rPr>
        <w:t>”平台将予以拒收。</w:t>
      </w:r>
    </w:p>
    <w:p w14:paraId="2B354B5C">
      <w:pPr>
        <w:spacing w:line="360" w:lineRule="auto"/>
        <w:ind w:firstLine="354" w:firstLineChars="147"/>
        <w:outlineLvl w:val="1"/>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5"/>
      <w:bookmarkEnd w:id="46"/>
      <w:bookmarkEnd w:id="47"/>
      <w:bookmarkEnd w:id="48"/>
      <w:bookmarkEnd w:id="49"/>
    </w:p>
    <w:bookmarkEnd w:id="7"/>
    <w:p w14:paraId="4C881F54">
      <w:pPr>
        <w:widowControl/>
        <w:spacing w:before="75" w:after="75" w:line="400" w:lineRule="exact"/>
        <w:ind w:firstLine="413" w:firstLineChars="196"/>
        <w:jc w:val="left"/>
        <w:outlineLvl w:val="2"/>
        <w:rPr>
          <w:rFonts w:ascii="宋体" w:hAnsi="宋体" w:cs="宋体"/>
          <w:b/>
          <w:color w:val="auto"/>
          <w:kern w:val="0"/>
          <w:szCs w:val="21"/>
          <w:highlight w:val="none"/>
        </w:rPr>
      </w:pPr>
      <w:r>
        <w:rPr>
          <w:rFonts w:hint="eastAsia" w:ascii="宋体" w:hAnsi="宋体" w:cs="宋体"/>
          <w:b/>
          <w:color w:val="auto"/>
          <w:kern w:val="0"/>
          <w:szCs w:val="21"/>
          <w:highlight w:val="none"/>
        </w:rPr>
        <w:t>1.采购人信息</w:t>
      </w:r>
    </w:p>
    <w:p w14:paraId="4CED9A14">
      <w:pPr>
        <w:widowControl/>
        <w:spacing w:before="75" w:after="75" w:line="400" w:lineRule="exact"/>
        <w:ind w:firstLine="525" w:firstLineChars="250"/>
        <w:jc w:val="left"/>
        <w:rPr>
          <w:rFonts w:hint="eastAsia" w:ascii="Times New Roman" w:hAnsi="Times New Roman" w:eastAsia="宋体" w:cs="宋体"/>
          <w:color w:val="auto"/>
          <w:kern w:val="0"/>
          <w:szCs w:val="21"/>
          <w:highlight w:val="none"/>
          <w:lang w:eastAsia="zh-CN"/>
        </w:rPr>
      </w:pPr>
      <w:r>
        <w:rPr>
          <w:rFonts w:hint="eastAsia" w:ascii="宋体" w:hAnsi="宋体" w:cs="宋体"/>
          <w:color w:val="auto"/>
          <w:kern w:val="0"/>
          <w:szCs w:val="21"/>
          <w:highlight w:val="none"/>
        </w:rPr>
        <w:t>名</w:t>
      </w:r>
      <w:r>
        <w:rPr>
          <w:rFonts w:hint="eastAsia" w:ascii="Times New Roman" w:hAnsi="Times New Roman" w:eastAsia="宋体" w:cs="宋体"/>
          <w:color w:val="auto"/>
          <w:kern w:val="0"/>
          <w:szCs w:val="21"/>
          <w:highlight w:val="none"/>
          <w:lang w:eastAsia="zh-CN"/>
        </w:rPr>
        <w:t xml:space="preserve"> 称：钦州幼儿师范高等专科学校</w:t>
      </w:r>
    </w:p>
    <w:p w14:paraId="03A4F0EE">
      <w:pPr>
        <w:widowControl/>
        <w:spacing w:before="75" w:after="75" w:line="400" w:lineRule="exact"/>
        <w:ind w:firstLine="525" w:firstLineChars="250"/>
        <w:jc w:val="left"/>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lang w:eastAsia="zh-CN"/>
        </w:rPr>
        <w:t>地址：广西壮族自治区钦州市钦南区南珠街道西环南路89号</w:t>
      </w:r>
    </w:p>
    <w:p w14:paraId="22A472DB">
      <w:pPr>
        <w:widowControl/>
        <w:spacing w:before="75" w:after="75" w:line="400" w:lineRule="exact"/>
        <w:ind w:firstLine="525" w:firstLineChars="250"/>
        <w:jc w:val="left"/>
        <w:rPr>
          <w:rFonts w:hint="eastAsia" w:ascii="Times New Roman" w:hAnsi="Times New Roman" w:eastAsia="宋体" w:cs="宋体"/>
          <w:color w:val="auto"/>
          <w:kern w:val="0"/>
          <w:szCs w:val="21"/>
          <w:highlight w:val="none"/>
          <w:lang w:eastAsia="zh-CN"/>
        </w:rPr>
      </w:pPr>
      <w:r>
        <w:rPr>
          <w:rFonts w:hint="eastAsia" w:ascii="Times New Roman" w:hAnsi="Times New Roman" w:eastAsia="宋体" w:cs="宋体"/>
          <w:color w:val="auto"/>
          <w:kern w:val="0"/>
          <w:szCs w:val="21"/>
          <w:highlight w:val="none"/>
          <w:lang w:eastAsia="zh-CN"/>
        </w:rPr>
        <w:t>项目联系人：</w:t>
      </w:r>
      <w:r>
        <w:rPr>
          <w:rFonts w:hint="eastAsia" w:ascii="Times New Roman" w:hAnsi="Times New Roman" w:eastAsia="宋体" w:cs="宋体"/>
          <w:color w:val="auto"/>
          <w:kern w:val="0"/>
          <w:szCs w:val="21"/>
          <w:highlight w:val="none"/>
          <w:lang w:val="en-US" w:eastAsia="zh-CN"/>
        </w:rPr>
        <w:t>郭文惠</w:t>
      </w:r>
      <w:r>
        <w:rPr>
          <w:rFonts w:hint="eastAsia" w:ascii="Times New Roman" w:hAnsi="Times New Roman" w:eastAsia="宋体" w:cs="宋体"/>
          <w:color w:val="auto"/>
          <w:kern w:val="0"/>
          <w:szCs w:val="21"/>
          <w:highlight w:val="none"/>
          <w:lang w:eastAsia="zh-CN"/>
        </w:rPr>
        <w:t xml:space="preserve"> </w:t>
      </w:r>
    </w:p>
    <w:p w14:paraId="081A4ED4">
      <w:pPr>
        <w:widowControl/>
        <w:spacing w:before="75" w:after="75" w:line="400" w:lineRule="exact"/>
        <w:ind w:firstLine="525" w:firstLineChars="250"/>
        <w:jc w:val="left"/>
        <w:rPr>
          <w:rFonts w:hint="eastAsia"/>
          <w:color w:val="auto"/>
          <w:highlight w:val="none"/>
        </w:rPr>
      </w:pPr>
      <w:r>
        <w:rPr>
          <w:rFonts w:hint="eastAsia" w:ascii="Times New Roman" w:hAnsi="Times New Roman" w:eastAsia="宋体" w:cs="宋体"/>
          <w:color w:val="auto"/>
          <w:kern w:val="0"/>
          <w:szCs w:val="21"/>
          <w:highlight w:val="none"/>
          <w:lang w:eastAsia="zh-CN"/>
        </w:rPr>
        <w:t>项目联系电话：</w:t>
      </w:r>
      <w:r>
        <w:rPr>
          <w:rFonts w:hint="eastAsia" w:ascii="Times New Roman" w:hAnsi="Times New Roman" w:eastAsia="宋体" w:cs="宋体"/>
          <w:color w:val="auto"/>
          <w:kern w:val="0"/>
          <w:szCs w:val="21"/>
          <w:highlight w:val="none"/>
          <w:lang w:val="en-US" w:eastAsia="zh-CN"/>
        </w:rPr>
        <w:t>0777-2596801</w:t>
      </w:r>
      <w:r>
        <w:rPr>
          <w:rFonts w:hint="eastAsia" w:ascii="Times New Roman" w:hAnsi="Times New Roman" w:eastAsia="宋体" w:cs="宋体"/>
          <w:color w:val="auto"/>
          <w:kern w:val="0"/>
          <w:szCs w:val="21"/>
          <w:highlight w:val="none"/>
          <w:lang w:eastAsia="zh-CN"/>
        </w:rPr>
        <w:t xml:space="preserve">         </w:t>
      </w:r>
      <w:r>
        <w:rPr>
          <w:rFonts w:hint="eastAsia" w:ascii="宋体" w:hAnsi="宋体" w:cs="宋体"/>
          <w:color w:val="auto"/>
          <w:kern w:val="0"/>
          <w:szCs w:val="21"/>
          <w:highlight w:val="none"/>
        </w:rPr>
        <w:t xml:space="preserve">  </w:t>
      </w:r>
    </w:p>
    <w:p w14:paraId="2F5C1496">
      <w:pPr>
        <w:widowControl/>
        <w:spacing w:before="75" w:after="75" w:line="400" w:lineRule="exact"/>
        <w:ind w:firstLine="411" w:firstLineChars="195"/>
        <w:jc w:val="left"/>
        <w:outlineLvl w:val="2"/>
        <w:rPr>
          <w:rFonts w:ascii="宋体" w:hAnsi="宋体" w:cs="宋体"/>
          <w:b/>
          <w:color w:val="auto"/>
          <w:kern w:val="0"/>
          <w:szCs w:val="21"/>
          <w:highlight w:val="none"/>
        </w:rPr>
      </w:pPr>
      <w:r>
        <w:rPr>
          <w:rFonts w:hint="eastAsia" w:ascii="宋体" w:hAnsi="宋体" w:cs="宋体"/>
          <w:b/>
          <w:color w:val="auto"/>
          <w:kern w:val="0"/>
          <w:szCs w:val="21"/>
          <w:highlight w:val="none"/>
        </w:rPr>
        <w:t>2.采购代理机构信息</w:t>
      </w:r>
    </w:p>
    <w:p w14:paraId="60AC60DF">
      <w:pPr>
        <w:widowControl/>
        <w:spacing w:before="75" w:after="75" w:line="400" w:lineRule="exact"/>
        <w:ind w:firstLine="525" w:firstLineChars="25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广西翔正项目管理有限公司</w:t>
      </w:r>
    </w:p>
    <w:p w14:paraId="30549A04">
      <w:pPr>
        <w:widowControl/>
        <w:spacing w:before="75" w:after="75" w:line="400" w:lineRule="exact"/>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钦州市新华路268号江滨豪园10栋27层2703号</w:t>
      </w:r>
    </w:p>
    <w:p w14:paraId="11A2050B">
      <w:pPr>
        <w:spacing w:line="360" w:lineRule="auto"/>
        <w:ind w:firstLine="630" w:firstLineChars="3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黄博</w:t>
      </w:r>
      <w:r>
        <w:rPr>
          <w:rFonts w:hint="eastAsia" w:ascii="宋体" w:hAnsi="宋体" w:cs="宋体"/>
          <w:color w:val="auto"/>
          <w:kern w:val="0"/>
          <w:szCs w:val="21"/>
          <w:highlight w:val="none"/>
        </w:rPr>
        <w:t xml:space="preserve">   </w:t>
      </w:r>
    </w:p>
    <w:p w14:paraId="13C843B8">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 xml:space="preserve">项目联系方式： </w:t>
      </w:r>
      <w:r>
        <w:rPr>
          <w:rFonts w:hint="eastAsia" w:ascii="宋体" w:hAnsi="宋体" w:cs="宋体"/>
          <w:color w:val="auto"/>
          <w:kern w:val="0"/>
          <w:szCs w:val="21"/>
          <w:highlight w:val="none"/>
          <w:lang w:eastAsia="zh-CN"/>
        </w:rPr>
        <w:t>0777-2839828</w:t>
      </w:r>
      <w:r>
        <w:rPr>
          <w:rFonts w:hint="eastAsia" w:ascii="宋体" w:hAnsi="宋体" w:cs="宋体"/>
          <w:color w:val="000000" w:themeColor="text1"/>
          <w:kern w:val="0"/>
          <w:szCs w:val="21"/>
          <w:highlight w:val="none"/>
          <w14:textFill>
            <w14:solidFill>
              <w14:schemeClr w14:val="tx1"/>
            </w14:solidFill>
          </w14:textFill>
        </w:rPr>
        <w:t>　</w:t>
      </w:r>
    </w:p>
    <w:p w14:paraId="22EFDCA7">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13D5B5C8">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ADE8DAA">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5CAB090F">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18F4EB94">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0CDF7B37">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186B705">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5ACC5E4">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2393B54B">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38CB891F">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40258A47">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BD364DE">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7E51AB87">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19769F49">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5EBD45D1">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2C9C6B34">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57E7C8A1">
      <w:pPr>
        <w:spacing w:line="320" w:lineRule="exact"/>
        <w:ind w:firstLine="420" w:firstLineChars="200"/>
        <w:rPr>
          <w:rFonts w:ascii="宋体" w:hAnsi="宋体"/>
          <w:color w:val="000000" w:themeColor="text1"/>
          <w:kern w:val="0"/>
          <w:szCs w:val="21"/>
          <w:highlight w:val="none"/>
          <w14:textFill>
            <w14:solidFill>
              <w14:schemeClr w14:val="tx1"/>
            </w14:solidFill>
          </w14:textFill>
        </w:rPr>
      </w:pPr>
    </w:p>
    <w:p w14:paraId="6A38027E">
      <w:pPr>
        <w:spacing w:line="320" w:lineRule="exact"/>
        <w:rPr>
          <w:rFonts w:ascii="宋体" w:hAnsi="宋体"/>
          <w:color w:val="000000" w:themeColor="text1"/>
          <w:kern w:val="0"/>
          <w:szCs w:val="21"/>
          <w:highlight w:val="none"/>
          <w14:textFill>
            <w14:solidFill>
              <w14:schemeClr w14:val="tx1"/>
            </w14:solidFill>
          </w14:textFill>
        </w:rPr>
      </w:pPr>
    </w:p>
    <w:p w14:paraId="3012AB44">
      <w:pPr>
        <w:pStyle w:val="2"/>
        <w:spacing w:before="300" w:after="300" w:line="360" w:lineRule="auto"/>
        <w:ind w:firstLine="883" w:firstLineChars="200"/>
        <w:jc w:val="center"/>
        <w:rPr>
          <w:color w:val="000000" w:themeColor="text1"/>
          <w:highlight w:val="none"/>
          <w14:textFill>
            <w14:solidFill>
              <w14:schemeClr w14:val="tx1"/>
            </w14:solidFill>
          </w14:textFill>
        </w:rPr>
      </w:pPr>
      <w:bookmarkStart w:id="50" w:name="_Toc122424245"/>
      <w:r>
        <w:rPr>
          <w:rFonts w:hint="eastAsia"/>
          <w:color w:val="000000" w:themeColor="text1"/>
          <w:highlight w:val="none"/>
          <w14:textFill>
            <w14:solidFill>
              <w14:schemeClr w14:val="tx1"/>
            </w14:solidFill>
          </w14:textFill>
        </w:rPr>
        <w:t>第二章 供应商须知</w:t>
      </w:r>
      <w:bookmarkEnd w:id="50"/>
    </w:p>
    <w:p w14:paraId="4EA6214D">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76F3F706">
      <w:pPr>
        <w:spacing w:line="400" w:lineRule="exact"/>
        <w:jc w:val="center"/>
        <w:rPr>
          <w:rFonts w:ascii="宋体" w:hAnsi="宋体"/>
          <w:b/>
          <w:color w:val="000000" w:themeColor="text1"/>
          <w:sz w:val="32"/>
          <w:szCs w:val="32"/>
          <w:highlight w:val="none"/>
          <w14:textFill>
            <w14:solidFill>
              <w14:schemeClr w14:val="tx1"/>
            </w14:solidFill>
          </w14:textFill>
        </w:rPr>
      </w:pPr>
    </w:p>
    <w:tbl>
      <w:tblPr>
        <w:tblStyle w:val="4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DDD4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742E54">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7BCD6E28">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1EFC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EBE97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7912" w:type="dxa"/>
            <w:vAlign w:val="center"/>
          </w:tcPr>
          <w:p w14:paraId="4E16BF0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iCs/>
                <w:color w:val="000000" w:themeColor="text1"/>
                <w:szCs w:val="21"/>
                <w:highlight w:val="none"/>
                <w:u w:val="single"/>
                <w14:textFill>
                  <w14:solidFill>
                    <w14:schemeClr w14:val="tx1"/>
                  </w14:solidFill>
                </w14:textFill>
              </w:rPr>
              <w:t>详见竞争性磋商公告</w:t>
            </w:r>
          </w:p>
        </w:tc>
      </w:tr>
      <w:tr w14:paraId="0DBE8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08539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11A0D5D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本项目不接受联合体</w:t>
            </w:r>
          </w:p>
        </w:tc>
      </w:tr>
      <w:tr w14:paraId="3FC7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F8EB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42782C06">
            <w:pPr>
              <w:pStyle w:val="1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☑不允许分包</w:t>
            </w:r>
          </w:p>
          <w:p w14:paraId="07A332CE">
            <w:pPr>
              <w:pStyle w:val="17"/>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tc>
      </w:tr>
      <w:tr w14:paraId="5C54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943F9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22CCA99E">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3B2D44FB">
            <w:pPr>
              <w:pStyle w:val="1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1.供应商为法人或者其他组织的提供其营业执照等证明文件复印件（如营业执照或者事业单位法人证书或者执业许可证或者登记证书等）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20267AA">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w:t>
            </w:r>
            <w:r>
              <w:rPr>
                <w:rFonts w:hint="eastAsia" w:ascii="宋体" w:hAnsi="宋体" w:cs="宋体"/>
                <w:color w:val="000000" w:themeColor="text1"/>
                <w:szCs w:val="21"/>
                <w:highlight w:val="none"/>
                <w:u w:val="single"/>
                <w:lang w:eastAsia="zh-CN"/>
                <w14:textFill>
                  <w14:solidFill>
                    <w14:schemeClr w14:val="tx1"/>
                  </w14:solidFill>
                </w14:textFill>
              </w:rPr>
              <w:t>2025年6月至2025年12月</w:t>
            </w:r>
            <w:r>
              <w:rPr>
                <w:rFonts w:hint="eastAsia" w:ascii="宋体" w:hAnsi="宋体" w:cs="宋体"/>
                <w:color w:val="000000" w:themeColor="text1"/>
                <w:szCs w:val="21"/>
                <w:highlight w:val="none"/>
                <w14:textFill>
                  <w14:solidFill>
                    <w14:schemeClr w14:val="tx1"/>
                  </w14:solidFill>
                </w14:textFill>
              </w:rPr>
              <w:t>内连续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个月的依法缴纳税收的凭据复印件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D112D03">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w:t>
            </w:r>
            <w:r>
              <w:rPr>
                <w:rFonts w:hint="eastAsia" w:ascii="宋体" w:hAnsi="宋体" w:cs="宋体"/>
                <w:color w:val="000000" w:themeColor="text1"/>
                <w:szCs w:val="21"/>
                <w:highlight w:val="none"/>
                <w:u w:val="single"/>
                <w:lang w:eastAsia="zh-CN"/>
                <w14:textFill>
                  <w14:solidFill>
                    <w14:schemeClr w14:val="tx1"/>
                  </w14:solidFill>
                </w14:textFill>
              </w:rPr>
              <w:t>2025年6月至2025年12月</w:t>
            </w:r>
            <w:r>
              <w:rPr>
                <w:rFonts w:hint="eastAsia" w:ascii="宋体" w:hAnsi="宋体" w:cs="宋体"/>
                <w:color w:val="000000" w:themeColor="text1"/>
                <w:szCs w:val="21"/>
                <w:highlight w:val="none"/>
                <w14:textFill>
                  <w14:solidFill>
                    <w14:schemeClr w14:val="tx1"/>
                  </w14:solidFill>
                </w14:textFill>
              </w:rPr>
              <w:t>内连续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个的依法缴纳社会保障资金的缴费凭证（专用收据或者社会保险缴纳清单）复印件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918093">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w:t>
            </w:r>
            <w:r>
              <w:rPr>
                <w:rFonts w:hint="eastAsia"/>
                <w:color w:val="000000" w:themeColor="text1"/>
                <w:szCs w:val="21"/>
                <w:highlight w:val="none"/>
                <w14:textFill>
                  <w14:solidFill>
                    <w14:schemeClr w14:val="tx1"/>
                  </w14:solidFill>
                </w14:textFill>
              </w:rPr>
              <w:t>财务状况报告（</w:t>
            </w:r>
            <w:r>
              <w:rPr>
                <w:rFonts w:hint="eastAsia"/>
                <w:color w:val="000000" w:themeColor="text1"/>
                <w:szCs w:val="21"/>
                <w:highlight w:val="none"/>
                <w:u w:val="single"/>
                <w14:textFill>
                  <w14:solidFill>
                    <w14:schemeClr w14:val="tx1"/>
                  </w14:solidFill>
                </w14:textFill>
              </w:rPr>
              <w:t>2024</w:t>
            </w:r>
            <w:r>
              <w:rPr>
                <w:rFonts w:hint="eastAsia"/>
                <w:color w:val="000000" w:themeColor="text1"/>
                <w:szCs w:val="21"/>
                <w:highlight w:val="none"/>
                <w14:textFill>
                  <w14:solidFill>
                    <w14:schemeClr w14:val="tx1"/>
                  </w14:solidFill>
                </w14:textFill>
              </w:rPr>
              <w:t>年度财务报表复印件，或者银行出具的资信证明，或者中国人民银行征信中心出具的信用报告</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供应商属于</w:t>
            </w:r>
            <w:r>
              <w:rPr>
                <w:rFonts w:hint="eastAsia"/>
                <w:color w:val="000000" w:themeColor="text1"/>
                <w:highlight w:val="none"/>
                <w14:textFill>
                  <w14:solidFill>
                    <w14:schemeClr w14:val="tx1"/>
                  </w14:solidFill>
                </w14:textFill>
              </w:rPr>
              <w:t>成立时间</w:t>
            </w:r>
            <w:r>
              <w:rPr>
                <w:rFonts w:hint="eastAsia"/>
                <w:color w:val="000000" w:themeColor="text1"/>
                <w:kern w:val="0"/>
                <w:highlight w:val="none"/>
                <w14:textFill>
                  <w14:solidFill>
                    <w14:schemeClr w14:val="tx1"/>
                  </w14:solidFill>
                </w14:textFill>
              </w:rPr>
              <w:t>在规定年度之后</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rFonts w:hint="eastAsia"/>
                <w:color w:val="000000" w:themeColor="text1"/>
                <w:highlight w:val="none"/>
                <w14:textFill>
                  <w14:solidFill>
                    <w14:schemeClr w14:val="tx1"/>
                  </w14:solidFill>
                </w14:textFill>
              </w:rPr>
              <w:t>，需提供成立之日起至响应文件提交截止时间前的月报表</w:t>
            </w:r>
            <w:r>
              <w:rPr>
                <w:rFonts w:hint="eastAsia"/>
                <w:color w:val="000000" w:themeColor="text1"/>
                <w:szCs w:val="21"/>
                <w:highlight w:val="none"/>
                <w14:textFill>
                  <w14:solidFill>
                    <w14:schemeClr w14:val="tx1"/>
                  </w14:solidFill>
                </w14:textFill>
              </w:rPr>
              <w:t>或银行出具的资信证明或者中国人民银行征信中心出具的企业信用报告</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资信证明应在有效期内，未注明有效期的，银行出具时间至响应文件提交截止时间不得超过一年）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bCs/>
                <w:color w:val="000000" w:themeColor="text1"/>
                <w:szCs w:val="21"/>
                <w:highlight w:val="none"/>
                <w14:textFill>
                  <w14:solidFill>
                    <w14:schemeClr w14:val="tx1"/>
                  </w14:solidFill>
                </w14:textFill>
              </w:rPr>
              <w:t>）</w:t>
            </w:r>
          </w:p>
          <w:p w14:paraId="5DCE9C45">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1ECCA3D">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6.竞标声明（格式后附）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DA4150">
            <w:pPr>
              <w:pStyle w:val="17"/>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color w:val="000000" w:themeColor="text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有效的</w:t>
            </w:r>
            <w:r>
              <w:rPr>
                <w:rFonts w:hint="eastAsia" w:ascii="宋体" w:hAnsi="宋体" w:cs="宋体"/>
                <w:color w:val="000000" w:themeColor="text1"/>
                <w:szCs w:val="21"/>
                <w:highlight w:val="none"/>
                <w:lang w:eastAsia="zh-CN"/>
                <w14:textFill>
                  <w14:solidFill>
                    <w14:schemeClr w14:val="tx1"/>
                  </w14:solidFill>
                </w14:textFill>
              </w:rPr>
              <w:t>建筑工程施工总承包</w:t>
            </w:r>
            <w:r>
              <w:rPr>
                <w:rFonts w:hint="eastAsia" w:ascii="宋体" w:hAnsi="宋体" w:cs="宋体"/>
                <w:color w:val="000000" w:themeColor="text1"/>
                <w:szCs w:val="21"/>
                <w:highlight w:val="none"/>
                <w14:textFill>
                  <w14:solidFill>
                    <w14:schemeClr w14:val="tx1"/>
                  </w14:solidFill>
                </w14:textFill>
              </w:rPr>
              <w:t>三级及以上资质</w:t>
            </w:r>
            <w:r>
              <w:rPr>
                <w:color w:val="000000" w:themeColor="text1"/>
                <w:highlight w:val="none"/>
                <w14:textFill>
                  <w14:solidFill>
                    <w14:schemeClr w14:val="tx1"/>
                  </w14:solidFill>
                </w14:textFill>
              </w:rPr>
              <w:t>证书复印件及有效的</w:t>
            </w:r>
            <w:r>
              <w:rPr>
                <w:rFonts w:hint="eastAsia" w:ascii="宋体" w:hAnsi="宋体" w:cs="宋体"/>
                <w:color w:val="000000" w:themeColor="text1"/>
                <w:szCs w:val="21"/>
                <w:highlight w:val="none"/>
                <w14:textFill>
                  <w14:solidFill>
                    <w14:schemeClr w14:val="tx1"/>
                  </w14:solidFill>
                </w14:textFill>
              </w:rPr>
              <w:t>安全生产许可证</w:t>
            </w:r>
            <w:r>
              <w:rPr>
                <w:color w:val="000000" w:themeColor="text1"/>
                <w:highlight w:val="none"/>
                <w14:textFill>
                  <w14:solidFill>
                    <w14:schemeClr w14:val="tx1"/>
                  </w14:solidFill>
                </w14:textFill>
              </w:rPr>
              <w:t>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w:t>
            </w:r>
          </w:p>
          <w:p w14:paraId="5C20D0E7">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eastAsia="宋体"/>
                <w:color w:val="auto"/>
                <w:sz w:val="21"/>
                <w:szCs w:val="21"/>
                <w:highlight w:val="none"/>
              </w:rPr>
              <w:t>投入本工程的项目经理注册建造师执业资格证书复印件、安全生产考核合格证书（B证）复印件、身份证复印件（附</w:t>
            </w:r>
            <w:r>
              <w:rPr>
                <w:rFonts w:hint="eastAsia" w:ascii="宋体" w:hAnsi="宋体" w:eastAsia="宋体"/>
                <w:color w:val="auto"/>
                <w:sz w:val="21"/>
                <w:szCs w:val="21"/>
                <w:highlight w:val="none"/>
                <w:lang w:eastAsia="zh-CN"/>
              </w:rPr>
              <w:t>磋商</w:t>
            </w:r>
            <w:r>
              <w:rPr>
                <w:rFonts w:hint="eastAsia" w:ascii="宋体" w:hAnsi="宋体" w:eastAsia="宋体"/>
                <w:color w:val="auto"/>
                <w:sz w:val="21"/>
                <w:szCs w:val="21"/>
                <w:highlight w:val="none"/>
              </w:rPr>
              <w:t>单位为项目经理缴纳的由社保机构出具的</w:t>
            </w:r>
            <w:r>
              <w:rPr>
                <w:rFonts w:hint="eastAsia" w:ascii="宋体" w:hAnsi="宋体" w:eastAsia="宋体"/>
                <w:color w:val="auto"/>
                <w:sz w:val="21"/>
                <w:szCs w:val="21"/>
                <w:highlight w:val="none"/>
                <w:lang w:eastAsia="zh-CN"/>
              </w:rPr>
              <w:t>202</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eastAsia="zh-CN"/>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月至</w:t>
            </w:r>
            <w:r>
              <w:rPr>
                <w:rFonts w:hint="eastAsia" w:ascii="宋体" w:hAnsi="宋体" w:eastAsia="宋体"/>
                <w:color w:val="auto"/>
                <w:sz w:val="21"/>
                <w:szCs w:val="21"/>
                <w:highlight w:val="none"/>
                <w:lang w:eastAsia="zh-CN"/>
              </w:rPr>
              <w:t>202</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lang w:eastAsia="zh-CN"/>
              </w:rPr>
              <w:t>年</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rPr>
              <w:t>月份</w:t>
            </w:r>
            <w:r>
              <w:rPr>
                <w:rFonts w:hint="eastAsia" w:ascii="宋体" w:hAnsi="宋体" w:eastAsia="宋体"/>
                <w:color w:val="auto"/>
                <w:sz w:val="21"/>
                <w:szCs w:val="21"/>
                <w:highlight w:val="none"/>
                <w:lang w:eastAsia="zh-CN"/>
              </w:rPr>
              <w:t>内连续</w:t>
            </w:r>
            <w:r>
              <w:rPr>
                <w:rFonts w:hint="eastAsia" w:ascii="宋体" w:hAnsi="宋体" w:eastAsia="宋体"/>
                <w:color w:val="auto"/>
                <w:sz w:val="21"/>
                <w:szCs w:val="21"/>
                <w:highlight w:val="none"/>
                <w:lang w:val="en-US" w:eastAsia="zh-CN"/>
              </w:rPr>
              <w:t>3个月</w:t>
            </w:r>
            <w:r>
              <w:rPr>
                <w:rFonts w:hint="eastAsia" w:ascii="宋体" w:hAnsi="宋体" w:eastAsia="宋体"/>
                <w:color w:val="auto"/>
                <w:sz w:val="21"/>
                <w:szCs w:val="21"/>
                <w:highlight w:val="none"/>
              </w:rPr>
              <w:t>社会保险证明复印件）</w:t>
            </w:r>
            <w:r>
              <w:rPr>
                <w:rFonts w:hint="eastAsia" w:ascii="宋体" w:hAnsi="宋体" w:cs="宋体"/>
                <w:color w:val="000000" w:themeColor="text1"/>
                <w:szCs w:val="21"/>
                <w:highlight w:val="none"/>
                <w14:textFill>
                  <w14:solidFill>
                    <w14:schemeClr w14:val="tx1"/>
                  </w14:solidFill>
                </w14:textFill>
              </w:rPr>
              <w:t>及项目经理不在其他项目服务的承诺书</w:t>
            </w:r>
            <w:r>
              <w:rPr>
                <w:rFonts w:hint="eastAsia" w:ascii="宋体" w:hAnsi="宋体" w:cs="宋体"/>
                <w:b/>
                <w:bCs/>
                <w:color w:val="000000" w:themeColor="text1"/>
                <w:szCs w:val="21"/>
                <w:highlight w:val="none"/>
                <w14:textFill>
                  <w14:solidFill>
                    <w14:schemeClr w14:val="tx1"/>
                  </w14:solidFill>
                </w14:textFill>
              </w:rPr>
              <w:t>（必须提供，否则按无效响应处理）</w:t>
            </w:r>
          </w:p>
          <w:p w14:paraId="2D8974F1">
            <w:pPr>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w:t>
            </w:r>
            <w:r>
              <w:rPr>
                <w:rFonts w:hint="eastAsia"/>
                <w:color w:val="000000" w:themeColor="text1"/>
                <w:highlight w:val="none"/>
                <w14:textFill>
                  <w14:solidFill>
                    <w14:schemeClr w14:val="tx1"/>
                  </w14:solidFill>
                </w14:textFill>
              </w:rPr>
              <w:t>供应商</w:t>
            </w:r>
            <w:r>
              <w:rPr>
                <w:rFonts w:hint="eastAsia" w:ascii="宋体" w:hAnsi="宋体" w:cs="宋体"/>
                <w:bCs/>
                <w:color w:val="000000" w:themeColor="text1"/>
                <w:szCs w:val="21"/>
                <w:highlight w:val="none"/>
                <w14:textFill>
                  <w14:solidFill>
                    <w14:schemeClr w14:val="tx1"/>
                  </w14:solidFill>
                </w14:textFill>
              </w:rPr>
              <w:t>拟投入本工程的技术负责人建筑工程专业中级及以上工程师职称证书复印件或打印件</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p>
          <w:p w14:paraId="36F3446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10.供应商</w:t>
            </w:r>
            <w:r>
              <w:rPr>
                <w:rFonts w:hint="eastAsia" w:ascii="宋体" w:hAnsi="宋体" w:cs="宋体"/>
                <w:color w:val="000000" w:themeColor="text1"/>
                <w:szCs w:val="21"/>
                <w:highlight w:val="none"/>
                <w14:textFill>
                  <w14:solidFill>
                    <w14:schemeClr w14:val="tx1"/>
                  </w14:solidFill>
                </w14:textFill>
              </w:rPr>
              <w:t>拟投入本工程四大员（施工员、质量员、安全员、材料员）中，安全员有效的安全生产考核合格证（C类）复印件或打印件及身份证正反面复印件，施工员、质量员、材料员有效的</w:t>
            </w:r>
            <w:r>
              <w:rPr>
                <w:rFonts w:hint="eastAsia"/>
                <w:color w:val="000000" w:themeColor="text1"/>
                <w:highlight w:val="none"/>
                <w14:textFill>
                  <w14:solidFill>
                    <w14:schemeClr w14:val="tx1"/>
                  </w14:solidFill>
                </w14:textFill>
              </w:rPr>
              <w:t>职业培训合格证</w:t>
            </w:r>
            <w:r>
              <w:rPr>
                <w:rFonts w:hint="eastAsia" w:ascii="宋体" w:hAnsi="宋体" w:cs="宋体"/>
                <w:color w:val="000000" w:themeColor="text1"/>
                <w:szCs w:val="21"/>
                <w:highlight w:val="none"/>
                <w14:textFill>
                  <w14:solidFill>
                    <w14:schemeClr w14:val="tx1"/>
                  </w14:solidFill>
                </w14:textFill>
              </w:rPr>
              <w:t>复印件或打印件及身份证正反面复印件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必须提供，否则按无效响应处理</w:t>
            </w:r>
            <w:r>
              <w:rPr>
                <w:rFonts w:hint="eastAsia" w:ascii="宋体" w:hAnsi="宋体" w:cs="宋体"/>
                <w:b/>
                <w:color w:val="000000" w:themeColor="text1"/>
                <w:szCs w:val="21"/>
                <w:highlight w:val="none"/>
                <w14:textFill>
                  <w14:solidFill>
                    <w14:schemeClr w14:val="tx1"/>
                  </w14:solidFill>
                </w14:textFill>
              </w:rPr>
              <w:t>）</w:t>
            </w:r>
          </w:p>
          <w:p w14:paraId="3B4C959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14:textFill>
                  <w14:solidFill>
                    <w14:schemeClr w14:val="tx1"/>
                  </w14:solidFill>
                </w14:textFill>
              </w:rPr>
              <w:t>专门面向中小企业采购的项目（供应商应为中小微企业、监狱企业、残疾人福利性单位)，供应商必须在响应文件中提供《</w:t>
            </w:r>
            <w:r>
              <w:rPr>
                <w:rFonts w:hint="eastAsia" w:ascii="宋体" w:hAnsi="宋体"/>
                <w:bCs/>
                <w:color w:val="000000" w:themeColor="text1"/>
                <w:szCs w:val="21"/>
                <w:highlight w:val="none"/>
                <w14:textFill>
                  <w14:solidFill>
                    <w14:schemeClr w14:val="tx1"/>
                  </w14:solidFill>
                </w14:textFill>
              </w:rPr>
              <w:t>中小企业声明函（工程）</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2"/>
                <w:highlight w:val="none"/>
                <w14:textFill>
                  <w14:solidFill>
                    <w14:schemeClr w14:val="tx1"/>
                  </w14:solidFill>
                </w14:textFill>
              </w:rPr>
              <w:t>或残疾人福利性单位声明函或监狱企业证明材料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9F4F0E2">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12.除磋商文件规定必须提供以外，供应商认为需要提供的其他证明材料</w:t>
            </w:r>
            <w:r>
              <w:rPr>
                <w:rFonts w:hint="eastAsia" w:ascii="宋体" w:hAnsi="宋体" w:cs="宋体"/>
                <w:color w:val="000000" w:themeColor="text1"/>
                <w:szCs w:val="21"/>
                <w:highlight w:val="none"/>
                <w:lang w:eastAsia="zh-CN"/>
                <w14:textFill>
                  <w14:solidFill>
                    <w14:schemeClr w14:val="tx1"/>
                  </w14:solidFill>
                </w14:textFill>
              </w:rPr>
              <w:t>；</w:t>
            </w:r>
          </w:p>
          <w:p w14:paraId="6DCD3F71">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E8D5AE8">
            <w:pPr>
              <w:pStyle w:val="1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w:t>
            </w:r>
            <w:r>
              <w:rPr>
                <w:rFonts w:hint="eastAsia"/>
                <w:b/>
                <w:bCs/>
                <w:color w:val="000000" w:themeColor="text1"/>
                <w:highlight w:val="none"/>
                <w14:textFill>
                  <w14:solidFill>
                    <w14:schemeClr w14:val="tx1"/>
                  </w14:solidFill>
                </w14:textFill>
              </w:rPr>
              <w:t>标明“必须提供”的材料 ，必须加盖供应商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14:textFill>
                  <w14:solidFill>
                    <w14:schemeClr w14:val="tx1"/>
                  </w14:solidFill>
                </w14:textFill>
              </w:rPr>
              <w:t>，否则响应文件按无效响应处理。</w:t>
            </w:r>
          </w:p>
        </w:tc>
      </w:tr>
      <w:tr w14:paraId="53E5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95645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4523FC6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1555DB4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1.竞标函及竞标函附录（格式后附）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863CAF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2F2832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3.已标价工程量清单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A4FBE0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4.供应商认为需要提供的其他有关资料。</w:t>
            </w:r>
          </w:p>
        </w:tc>
      </w:tr>
      <w:tr w14:paraId="07C9F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3B846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40C8B13">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57CD65D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BEB554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E8A02C4">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委托时必须提供，否则响应文件按无效处理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D082BB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4.磋商保证金提交凭证</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7AB6F7DB">
            <w:pPr>
              <w:spacing w:line="360" w:lineRule="auto"/>
              <w:rPr>
                <w:rFonts w:ascii="宋体" w:hAnsi="宋体" w:cs="宋体"/>
                <w:color w:val="auto"/>
                <w:szCs w:val="21"/>
                <w:highlight w:val="none"/>
              </w:rPr>
            </w:pPr>
            <w:r>
              <w:rPr>
                <w:rFonts w:hint="eastAsia" w:ascii="宋体" w:hAnsi="宋体" w:cs="宋体"/>
                <w:color w:val="auto"/>
                <w:szCs w:val="21"/>
                <w:highlight w:val="none"/>
              </w:rPr>
              <w:t>5.建筑材料和设备节能环保要求承诺书（格式后附）</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C6EFFC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6.代理服务费承诺书（格式后附）</w:t>
            </w:r>
            <w:r>
              <w:rPr>
                <w:rFonts w:hint="eastAsia" w:ascii="宋体" w:hAnsi="宋体" w:cs="宋体"/>
                <w:color w:val="000000" w:themeColor="text1"/>
                <w:szCs w:val="21"/>
                <w:highlight w:val="none"/>
                <w:lang w:eastAsia="zh-CN"/>
                <w14:textFill>
                  <w14:solidFill>
                    <w14:schemeClr w14:val="tx1"/>
                  </w14:solidFill>
                </w14:textFill>
              </w:rPr>
              <w:t>；</w:t>
            </w:r>
          </w:p>
          <w:p w14:paraId="1A7978B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7.施工组织设计方案（格式自拟）</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C5E1AD4">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8.项目管理机构配备情况表及主要人员简历表（格式后附）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 xml:space="preserve">） </w:t>
            </w:r>
          </w:p>
          <w:p w14:paraId="2ABAB64F">
            <w:pPr>
              <w:wordWrap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技术商务要求响应表；（</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A7EE096">
            <w:pPr>
              <w:wordWrap w:val="0"/>
              <w:spacing w:line="40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kern w:val="0"/>
                <w:szCs w:val="21"/>
                <w:highlight w:val="none"/>
                <w14:textFill>
                  <w14:solidFill>
                    <w14:schemeClr w14:val="tx1"/>
                  </w14:solidFill>
                </w14:textFill>
              </w:rPr>
              <w:t>建设工程项目管理承诺书（格式后附）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299034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298E7B68">
            <w:pPr>
              <w:pStyle w:val="17"/>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以上标明“必须提供”的材料，必须加盖供应商电子签章</w:t>
            </w: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必须提供的材料在第五章“响应文件格式”中有要求法定代表人或委托代理人签字的，必须由法定代表人或委托代理人签字，否则响应文件按无效响应处理。</w:t>
            </w:r>
          </w:p>
        </w:tc>
      </w:tr>
      <w:tr w14:paraId="203A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F4817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0B5AC416">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竞标报价是履行合同的最终价格，包括了</w:t>
            </w:r>
            <w:r>
              <w:rPr>
                <w:rFonts w:hint="eastAsia" w:ascii="宋体" w:hAnsi="宋体" w:cs="宋体"/>
                <w:color w:val="000000" w:themeColor="text1"/>
                <w:szCs w:val="21"/>
                <w:highlight w:val="none"/>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2F58F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8B75F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p>
        </w:tc>
        <w:tc>
          <w:tcPr>
            <w:tcW w:w="7912" w:type="dxa"/>
            <w:vAlign w:val="center"/>
          </w:tcPr>
          <w:p w14:paraId="461A9812">
            <w:pPr>
              <w:spacing w:line="360" w:lineRule="auto"/>
              <w:contextualSpacing/>
              <w:jc w:val="left"/>
              <w:rPr>
                <w:rFonts w:ascii="宋体" w:hAnsi="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本工程增值税计税方法：☑一般计税法</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14:textFill>
                  <w14:solidFill>
                    <w14:schemeClr w14:val="tx1"/>
                  </w14:solidFill>
                </w14:textFill>
              </w:rPr>
              <w:t xml:space="preserve"> □简易计税法</w:t>
            </w:r>
          </w:p>
        </w:tc>
      </w:tr>
      <w:tr w14:paraId="6C57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4FE18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48C45769">
            <w:pPr>
              <w:pStyle w:val="14"/>
              <w:widowControl w:val="0"/>
              <w:tabs>
                <w:tab w:val="clear" w:pos="454"/>
              </w:tabs>
              <w:snapToGrid w:val="0"/>
              <w:spacing w:afterLines="0" w:line="360" w:lineRule="auto"/>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1880F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9276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69BF5B6D">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□本项目不收取磋商保证金。</w:t>
            </w:r>
          </w:p>
          <w:p w14:paraId="584531AE">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☑本项目收取磋商保证金，具体规定如下：</w:t>
            </w:r>
            <w:r>
              <w:rPr>
                <w:rFonts w:hint="eastAsia" w:ascii="宋体" w:hAnsi="宋体" w:cs="宋体"/>
                <w:color w:val="000000" w:themeColor="text1"/>
                <w:kern w:val="0"/>
                <w:szCs w:val="21"/>
                <w:highlight w:val="none"/>
                <w14:textFill>
                  <w14:solidFill>
                    <w14:schemeClr w14:val="tx1"/>
                  </w14:solidFill>
                </w14:textFill>
              </w:rPr>
              <w:t>磋商保证金人民币</w:t>
            </w:r>
            <w:r>
              <w:rPr>
                <w:rFonts w:hint="eastAsia" w:ascii="宋体" w:hAnsi="宋体" w:cs="宋体"/>
                <w:b/>
                <w:color w:val="000000" w:themeColor="text1"/>
                <w:kern w:val="0"/>
                <w:szCs w:val="21"/>
                <w:highlight w:val="none"/>
                <w:u w:val="single"/>
                <w:lang w:eastAsia="zh-CN"/>
                <w14:textFill>
                  <w14:solidFill>
                    <w14:schemeClr w14:val="tx1"/>
                  </w14:solidFill>
                </w14:textFill>
              </w:rPr>
              <w:t>柒仟元整</w:t>
            </w:r>
            <w:r>
              <w:rPr>
                <w:rFonts w:hint="eastAsia" w:ascii="宋体" w:hAnsi="宋体" w:cs="宋体"/>
                <w:b/>
                <w:color w:val="000000" w:themeColor="text1"/>
                <w:kern w:val="0"/>
                <w:szCs w:val="21"/>
                <w:highlight w:val="none"/>
                <w:u w:val="single"/>
                <w14:textFill>
                  <w14:solidFill>
                    <w14:schemeClr w14:val="tx1"/>
                  </w14:solidFill>
                </w14:textFill>
              </w:rPr>
              <w:t>（¥</w:t>
            </w:r>
            <w:r>
              <w:rPr>
                <w:rFonts w:hint="eastAsia" w:ascii="宋体" w:hAnsi="宋体" w:cs="宋体"/>
                <w:b/>
                <w:color w:val="000000" w:themeColor="text1"/>
                <w:kern w:val="0"/>
                <w:szCs w:val="21"/>
                <w:highlight w:val="none"/>
                <w:u w:val="single"/>
                <w:lang w:val="en-US" w:eastAsia="zh-CN"/>
                <w14:textFill>
                  <w14:solidFill>
                    <w14:schemeClr w14:val="tx1"/>
                  </w14:solidFill>
                </w14:textFill>
              </w:rPr>
              <w:t>7</w:t>
            </w:r>
            <w:r>
              <w:rPr>
                <w:rFonts w:hint="eastAsia" w:ascii="宋体" w:hAnsi="宋体" w:cs="宋体"/>
                <w:b/>
                <w:color w:val="000000" w:themeColor="text1"/>
                <w:kern w:val="0"/>
                <w:szCs w:val="21"/>
                <w:highlight w:val="none"/>
                <w:u w:val="single"/>
                <w14:textFill>
                  <w14:solidFill>
                    <w14:schemeClr w14:val="tx1"/>
                  </w14:solidFill>
                </w14:textFill>
              </w:rPr>
              <w:t>000.00）</w:t>
            </w:r>
            <w:r>
              <w:rPr>
                <w:rFonts w:hint="eastAsia" w:ascii="宋体" w:hAnsi="宋体" w:cs="宋体"/>
                <w:color w:val="000000" w:themeColor="text1"/>
                <w:kern w:val="0"/>
                <w:szCs w:val="21"/>
                <w:highlight w:val="none"/>
                <w14:textFill>
                  <w14:solidFill>
                    <w14:schemeClr w14:val="tx1"/>
                  </w14:solidFill>
                </w14:textFill>
              </w:rPr>
              <w:t>。</w:t>
            </w:r>
          </w:p>
          <w:p w14:paraId="03686D8A">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磋商保证金的交纳方式：银行转账、支票、汇票、本票或者银行、保险机构出具的保函（包含电子保函），禁止采用现钞方式。采用银行转账方式的，在响应文件提交截止时间前交至指定账户并且到账（</w:t>
            </w: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 xml:space="preserve">   交通银行钦州分行 </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 xml:space="preserve">  广西翔正项目管理有限公司钦州分公司  </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 xml:space="preserve"> 7178 9999 1013 0000 45281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采用支票、汇票、本票或者保函（不包含电子保函）等方式的，在响应文件提交截止时间前，供应商必须提交单独密封的支票、汇票、本票或者保函原件。</w:t>
            </w:r>
            <w:r>
              <w:rPr>
                <w:rFonts w:hint="eastAsia" w:ascii="宋体" w:hAnsi="宋体" w:cs="宋体"/>
                <w:b/>
                <w:color w:val="000000" w:themeColor="text1"/>
                <w:kern w:val="0"/>
                <w:szCs w:val="21"/>
                <w:highlight w:val="none"/>
                <w14:textFill>
                  <w14:solidFill>
                    <w14:schemeClr w14:val="tx1"/>
                  </w14:solidFill>
                </w14:textFill>
              </w:rPr>
              <w:t>否则视为无效磋商保证金。</w:t>
            </w:r>
          </w:p>
          <w:p w14:paraId="6D2B47A2">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相关要求：</w:t>
            </w:r>
          </w:p>
          <w:p w14:paraId="4E31DDF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3CC1A427">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保证金采用支票、汇票、本票或者银行、保险机构出具的保函（包含电子保函）交纳方式的，供应商应将支票、汇票、本票或者银行、保险机构出具的保函（包含电子保函）的复印件作为磋商保证金提交凭证，放置于</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olor w:val="000000" w:themeColor="text1"/>
                <w:szCs w:val="21"/>
                <w:highlight w:val="none"/>
                <w14:textFill>
                  <w14:solidFill>
                    <w14:schemeClr w14:val="tx1"/>
                  </w14:solidFill>
                </w14:textFill>
              </w:rPr>
              <w:t>。供应商必须</w:t>
            </w:r>
            <w:r>
              <w:rPr>
                <w:rFonts w:hint="eastAsia"/>
                <w:color w:val="000000" w:themeColor="text1"/>
                <w:highlight w:val="none"/>
                <w14:textFill>
                  <w14:solidFill>
                    <w14:schemeClr w14:val="tx1"/>
                  </w14:solidFill>
                </w14:textFill>
              </w:rPr>
              <w:t>在响应文件提交截止时间前采用现场或邮寄方式（现场提交地址：</w:t>
            </w:r>
            <w:r>
              <w:rPr>
                <w:rFonts w:hint="eastAsia" w:ascii="宋体" w:hAnsi="宋体" w:cs="宋体"/>
                <w:color w:val="000000" w:themeColor="text1"/>
                <w:kern w:val="0"/>
                <w:szCs w:val="21"/>
                <w:highlight w:val="none"/>
                <w:u w:val="single"/>
                <w:lang w:eastAsia="zh-CN"/>
                <w14:textFill>
                  <w14:solidFill>
                    <w14:schemeClr w14:val="tx1"/>
                  </w14:solidFill>
                </w14:textFill>
              </w:rPr>
              <w:t>钦州市新华路268号江滨豪园10栋27层2703号广西翔正项目管理有限公司</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邮寄地址：</w:t>
            </w:r>
            <w:r>
              <w:rPr>
                <w:rFonts w:hint="eastAsia" w:ascii="宋体" w:hAnsi="宋体" w:cs="宋体"/>
                <w:color w:val="000000" w:themeColor="text1"/>
                <w:kern w:val="0"/>
                <w:szCs w:val="21"/>
                <w:highlight w:val="none"/>
                <w:u w:val="single"/>
                <w:lang w:eastAsia="zh-CN"/>
                <w14:textFill>
                  <w14:solidFill>
                    <w14:schemeClr w14:val="tx1"/>
                  </w14:solidFill>
                </w14:textFill>
              </w:rPr>
              <w:t>钦州市新华路268号江滨豪园10栋27层2703号广西翔正项目管理有限公司</w:t>
            </w:r>
            <w:r>
              <w:rPr>
                <w:rFonts w:hint="eastAsia" w:ascii="宋体" w:hAnsi="宋体" w:cs="宋体"/>
                <w:color w:val="000000" w:themeColor="text1"/>
                <w:kern w:val="0"/>
                <w:szCs w:val="21"/>
                <w:highlight w:val="none"/>
                <w:u w:val="single"/>
                <w14:textFill>
                  <w14:solidFill>
                    <w14:schemeClr w14:val="tx1"/>
                  </w14:solidFill>
                </w14:textFill>
              </w:rPr>
              <w:t>，联系人：</w:t>
            </w:r>
            <w:r>
              <w:rPr>
                <w:rFonts w:hint="eastAsia" w:ascii="宋体" w:hAnsi="宋体" w:cs="宋体"/>
                <w:color w:val="000000" w:themeColor="text1"/>
                <w:kern w:val="0"/>
                <w:szCs w:val="21"/>
                <w:highlight w:val="none"/>
                <w:u w:val="single"/>
                <w:lang w:eastAsia="zh-CN"/>
                <w14:textFill>
                  <w14:solidFill>
                    <w14:schemeClr w14:val="tx1"/>
                  </w14:solidFill>
                </w14:textFill>
              </w:rPr>
              <w:t>黄博</w:t>
            </w:r>
            <w:r>
              <w:rPr>
                <w:rFonts w:hint="eastAsia" w:ascii="宋体" w:hAnsi="宋体" w:cs="宋体"/>
                <w:color w:val="000000" w:themeColor="text1"/>
                <w:kern w:val="0"/>
                <w:szCs w:val="21"/>
                <w:highlight w:val="none"/>
                <w:u w:val="single"/>
                <w14:textFill>
                  <w14:solidFill>
                    <w14:schemeClr w14:val="tx1"/>
                  </w14:solidFill>
                </w14:textFill>
              </w:rPr>
              <w:t>，电话：0777-</w:t>
            </w:r>
            <w:r>
              <w:rPr>
                <w:rFonts w:hint="eastAsia" w:ascii="宋体" w:hAnsi="宋体" w:cs="宋体"/>
                <w:color w:val="000000" w:themeColor="text1"/>
                <w:kern w:val="0"/>
                <w:szCs w:val="21"/>
                <w:highlight w:val="none"/>
                <w:u w:val="single"/>
                <w:lang w:val="en-US" w:eastAsia="zh-CN"/>
                <w14:textFill>
                  <w14:solidFill>
                    <w14:schemeClr w14:val="tx1"/>
                  </w14:solidFill>
                </w14:textFill>
              </w:rPr>
              <w:t>2839828</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w:t>
            </w:r>
            <w:r>
              <w:rPr>
                <w:rFonts w:hint="eastAsia" w:ascii="宋体" w:hAnsi="宋体" w:cs="宋体"/>
                <w:color w:val="000000" w:themeColor="text1"/>
                <w:kern w:val="0"/>
                <w:szCs w:val="21"/>
                <w:highlight w:val="none"/>
                <w14:textFill>
                  <w14:solidFill>
                    <w14:schemeClr w14:val="tx1"/>
                  </w14:solidFill>
                </w14:textFill>
              </w:rPr>
              <w:t>（不包含电子保函）</w:t>
            </w:r>
            <w:r>
              <w:rPr>
                <w:rFonts w:hint="eastAsia" w:ascii="宋体" w:hAnsi="宋体"/>
                <w:color w:val="000000" w:themeColor="text1"/>
                <w:szCs w:val="21"/>
                <w:highlight w:val="none"/>
                <w14:textFill>
                  <w14:solidFill>
                    <w14:schemeClr w14:val="tx1"/>
                  </w14:solidFill>
                </w14:textFill>
              </w:rPr>
              <w:t>原件提交给采购人或者采购代理机构，由采购人或者采购代理机构向供应商出具回执（邮寄方式的除外），并妥善保管。</w:t>
            </w:r>
          </w:p>
          <w:p w14:paraId="45923632">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3.供应商为联合体的，可以由联合体中的一方或者多方共同交纳磋商保证金，其交纳的保证金对联合体各方均具有约束力。</w:t>
            </w:r>
          </w:p>
          <w:p w14:paraId="692D9565">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1C6DC673">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1.磋商保证金在响应文件提交截止时间后提交的，或者不按规定交纳方式交纳的，或者未足额交纳的（包含保函额度不足的），视为无效磋商保证金。</w:t>
            </w:r>
          </w:p>
          <w:p w14:paraId="4ADAD810">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2.供应商采用现钞方式或者从个人账户转出的磋商保证金，视为无效磋商保证金。</w:t>
            </w:r>
          </w:p>
          <w:p w14:paraId="4BCAE3E8">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3.支票、汇票或者本票出现无效或者背书情形的，视为无效磋商保证金。</w:t>
            </w:r>
          </w:p>
          <w:p w14:paraId="4A23B7CA">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4.保函有效期低于竞标有效期的，视为无效磋商保证金。</w:t>
            </w:r>
          </w:p>
          <w:p w14:paraId="231C0B0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5.采用银行、保险机构出具保函的，必须为无条件保函，否则视为无效磋商保证金。</w:t>
            </w:r>
          </w:p>
        </w:tc>
      </w:tr>
      <w:tr w14:paraId="12BE6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AEFFE9">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76A8035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6CA3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F8AAC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26259C6E">
            <w:pPr>
              <w:spacing w:line="360" w:lineRule="auto"/>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21855D71">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1E8F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783DD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5C7015C4">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w:t>
            </w:r>
            <w:r>
              <w:rPr>
                <w:rFonts w:hint="eastAsia" w:ascii="宋体" w:hAnsi="宋体" w:cs="宋体"/>
                <w:color w:val="000000" w:themeColor="text1"/>
                <w:szCs w:val="21"/>
                <w:highlight w:val="none"/>
                <w14:textFill>
                  <w14:solidFill>
                    <w14:schemeClr w14:val="tx1"/>
                  </w14:solidFill>
                </w14:textFill>
              </w:rPr>
              <w:t>人。</w:t>
            </w:r>
          </w:p>
        </w:tc>
      </w:tr>
      <w:tr w14:paraId="7377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835F3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03F1F4E0">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2AB1469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30</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分钟</w:t>
            </w:r>
            <w:r>
              <w:rPr>
                <w:rFonts w:hint="eastAsia" w:hAnsi="宋体"/>
                <w:i/>
                <w:color w:val="000000" w:themeColor="text1"/>
                <w:highlight w:val="none"/>
                <w14:textFill>
                  <w14:solidFill>
                    <w14:schemeClr w14:val="tx1"/>
                  </w14:solidFill>
                </w14:textFill>
              </w:rPr>
              <w:t>（注：不少于</w:t>
            </w:r>
            <w:r>
              <w:rPr>
                <w:rFonts w:hAnsi="宋体"/>
                <w:i/>
                <w:color w:val="000000" w:themeColor="text1"/>
                <w:highlight w:val="none"/>
                <w14:textFill>
                  <w14:solidFill>
                    <w14:schemeClr w14:val="tx1"/>
                  </w14:solidFill>
                </w14:textFill>
              </w:rPr>
              <w:t>30</w:t>
            </w:r>
            <w:r>
              <w:rPr>
                <w:rFonts w:hint="eastAsia" w:hAnsi="宋体"/>
                <w:i/>
                <w:color w:val="000000" w:themeColor="text1"/>
                <w:highlight w:val="none"/>
                <w14:textFill>
                  <w14:solidFill>
                    <w14:schemeClr w14:val="tx1"/>
                  </w14:solidFill>
                </w14:textFill>
              </w:rPr>
              <w:t>分钟）</w:t>
            </w:r>
          </w:p>
        </w:tc>
      </w:tr>
      <w:tr w14:paraId="69D73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C63C8F">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3B5B8028">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5EA0FF02">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本项目收取履约保证金，具体规定如下：</w:t>
            </w:r>
          </w:p>
          <w:p w14:paraId="6604D19B">
            <w:pPr>
              <w:keepNext w:val="0"/>
              <w:keepLines w:val="0"/>
              <w:pageBreakBefore w:val="0"/>
              <w:kinsoku/>
              <w:wordWrap/>
              <w:overflowPunct/>
              <w:topLinePunct w:val="0"/>
              <w:bidi w:val="0"/>
              <w:snapToGrid/>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1.履约保证金：按合同价的5%收取，供应商在收到成交通知书后，须在</w:t>
            </w:r>
            <w:r>
              <w:rPr>
                <w:rFonts w:hint="eastAsia" w:ascii="宋体" w:hAnsi="宋体" w:eastAsia="宋体" w:cs="Times New Roman"/>
                <w:color w:val="auto"/>
                <w:highlight w:val="none"/>
                <w:lang w:eastAsia="zh-CN"/>
              </w:rPr>
              <w:t>3个工作日</w:t>
            </w:r>
            <w:r>
              <w:rPr>
                <w:rFonts w:hint="eastAsia" w:ascii="宋体" w:hAnsi="宋体" w:eastAsia="宋体" w:cs="Times New Roman"/>
                <w:color w:val="auto"/>
                <w:highlight w:val="none"/>
                <w:lang w:val="en-US" w:eastAsia="zh-CN"/>
              </w:rPr>
              <w:t>内向采购人足额提交履约保证金，否则采购人可以取消其中标资格。</w:t>
            </w:r>
          </w:p>
          <w:p w14:paraId="717BA2B6">
            <w:pPr>
              <w:keepNext w:val="0"/>
              <w:keepLines w:val="0"/>
              <w:pageBreakBefore w:val="0"/>
              <w:kinsoku/>
              <w:wordWrap/>
              <w:overflowPunct/>
              <w:topLinePunct w:val="0"/>
              <w:bidi w:val="0"/>
              <w:snapToGrid/>
              <w:spacing w:line="360" w:lineRule="auto"/>
              <w:rPr>
                <w:rFonts w:hint="eastAsia" w:ascii="宋体" w:hAnsi="宋体" w:eastAsia="宋体" w:cs="Times New Roman"/>
                <w:color w:val="auto"/>
                <w:highlight w:val="red"/>
                <w:lang w:val="en-US" w:eastAsia="zh-CN"/>
              </w:rPr>
            </w:pPr>
            <w:r>
              <w:rPr>
                <w:rFonts w:hint="eastAsia" w:ascii="宋体" w:hAnsi="宋体" w:eastAsia="宋体" w:cs="Times New Roman"/>
                <w:color w:val="auto"/>
                <w:highlight w:val="none"/>
                <w:lang w:val="en-US" w:eastAsia="zh-CN"/>
              </w:rPr>
              <w:t>2.履约保证金提交方式：银行转账、支票、汇票、本票。</w:t>
            </w:r>
          </w:p>
          <w:p w14:paraId="06C40FA9">
            <w:pPr>
              <w:keepNext w:val="0"/>
              <w:keepLines w:val="0"/>
              <w:pageBreakBefore w:val="0"/>
              <w:kinsoku/>
              <w:wordWrap/>
              <w:overflowPunct/>
              <w:topLinePunct w:val="0"/>
              <w:bidi w:val="0"/>
              <w:snapToGrid/>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3.履约保证金提交时间：《成交通知书》发出后、签订合同前。</w:t>
            </w:r>
          </w:p>
          <w:p w14:paraId="5274FC62">
            <w:pPr>
              <w:keepNext w:val="0"/>
              <w:keepLines w:val="0"/>
              <w:pageBreakBefore w:val="0"/>
              <w:kinsoku/>
              <w:wordWrap/>
              <w:overflowPunct/>
              <w:topLinePunct w:val="0"/>
              <w:bidi w:val="0"/>
              <w:snapToGrid/>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履约保证金退付方式、时间及条件：合同签订后，如成交供应商按合同履约的，并按照施工要求履行承诺且无质量问题的，竣工验收合格之日起，由成交供应商向采购人发出付款函，采购人自收到齐全的付款材料之日起十个工作日内向成交供应商支付（无息）。如成交供应商不按双方签订的合同履约的，履约保证金不予退还，履约保证金不足以赔偿实际损失的，按实际损失赔偿。</w:t>
            </w:r>
          </w:p>
          <w:p w14:paraId="24422307">
            <w:pPr>
              <w:keepNext w:val="0"/>
              <w:keepLines w:val="0"/>
              <w:pageBreakBefore w:val="0"/>
              <w:kinsoku/>
              <w:wordWrap/>
              <w:overflowPunct/>
              <w:topLinePunct w:val="0"/>
              <w:bidi w:val="0"/>
              <w:snapToGrid/>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5.履约保证金指定账户：</w:t>
            </w:r>
          </w:p>
          <w:p w14:paraId="3744CAEC">
            <w:pPr>
              <w:keepNext w:val="0"/>
              <w:keepLines w:val="0"/>
              <w:pageBreakBefore w:val="0"/>
              <w:kinsoku/>
              <w:wordWrap/>
              <w:overflowPunct/>
              <w:topLinePunct w:val="0"/>
              <w:bidi w:val="0"/>
              <w:snapToGrid/>
              <w:spacing w:line="360" w:lineRule="auto"/>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 xml:space="preserve">户名:钦州幼儿师范高等专科学校 </w:t>
            </w:r>
          </w:p>
          <w:p w14:paraId="78613245">
            <w:pPr>
              <w:keepNext w:val="0"/>
              <w:keepLines w:val="0"/>
              <w:pageBreakBefore w:val="0"/>
              <w:kinsoku/>
              <w:wordWrap/>
              <w:overflowPunct/>
              <w:topLinePunct w:val="0"/>
              <w:bidi w:val="0"/>
              <w:snapToGrid/>
              <w:spacing w:line="360" w:lineRule="auto"/>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账号:57120188000091606</w:t>
            </w:r>
          </w:p>
          <w:p w14:paraId="218A3B7A">
            <w:pPr>
              <w:spacing w:line="360" w:lineRule="auto"/>
              <w:contextualSpacing/>
              <w:rPr>
                <w:rFonts w:ascii="宋体" w:hAnsi="宋体" w:cs="宋体"/>
                <w:color w:val="000000" w:themeColor="text1"/>
                <w:szCs w:val="21"/>
                <w:highlight w:val="none"/>
                <w14:textFill>
                  <w14:solidFill>
                    <w14:schemeClr w14:val="tx1"/>
                  </w14:solidFill>
                </w14:textFill>
              </w:rPr>
            </w:pPr>
            <w:r>
              <w:rPr>
                <w:rFonts w:hint="default" w:ascii="宋体" w:hAnsi="宋体" w:eastAsia="宋体" w:cs="Times New Roman"/>
                <w:color w:val="auto"/>
                <w:highlight w:val="none"/>
                <w:lang w:val="en-US" w:eastAsia="zh-CN"/>
              </w:rPr>
              <w:t>开户银行:中国光大银行股份有限公司钦州分行</w:t>
            </w:r>
          </w:p>
        </w:tc>
      </w:tr>
      <w:tr w14:paraId="52453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C2409D">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266F2C96">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B7270FE">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委托代理人负责签订合同的，须携带授权委托书及委托代理人身份证原件180日历天等其他资格证件。</w:t>
            </w:r>
          </w:p>
          <w:p w14:paraId="515F679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571A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A39A4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045085C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接收质疑函方式：书面形式或者广西政府采购云系统在线形式</w:t>
            </w:r>
          </w:p>
          <w:p w14:paraId="7B4C154B">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质疑联系部门及联系方式：</w:t>
            </w:r>
            <w:r>
              <w:rPr>
                <w:rFonts w:hint="eastAsia" w:ascii="宋体" w:hAnsi="宋体" w:cs="宋体"/>
                <w:color w:val="000000" w:themeColor="text1"/>
                <w:kern w:val="0"/>
                <w:szCs w:val="21"/>
                <w:highlight w:val="none"/>
                <w:lang w:eastAsia="zh-CN"/>
                <w14:textFill>
                  <w14:solidFill>
                    <w14:schemeClr w14:val="tx1"/>
                  </w14:solidFill>
                </w14:textFill>
              </w:rPr>
              <w:t>广西翔正项目管理有限公司</w:t>
            </w:r>
          </w:p>
          <w:p w14:paraId="6779201F">
            <w:pPr>
              <w:snapToGrid w:val="0"/>
              <w:spacing w:line="360" w:lineRule="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w:t>
            </w:r>
            <w:r>
              <w:rPr>
                <w:rFonts w:hint="eastAsia" w:ascii="宋体" w:hAnsi="宋体" w:cs="宋体"/>
                <w:color w:val="000000" w:themeColor="text1"/>
                <w:kern w:val="0"/>
                <w:szCs w:val="21"/>
                <w:highlight w:val="none"/>
                <w:lang w:val="en-US" w:eastAsia="zh-CN"/>
                <w14:textFill>
                  <w14:solidFill>
                    <w14:schemeClr w14:val="tx1"/>
                  </w14:solidFill>
                </w14:textFill>
              </w:rPr>
              <w:t>2839828</w:t>
            </w:r>
          </w:p>
          <w:p w14:paraId="1C4004AB">
            <w:pPr>
              <w:snapToGrid w:val="0"/>
              <w:spacing w:line="360" w:lineRule="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通讯地址：</w:t>
            </w:r>
            <w:r>
              <w:rPr>
                <w:rFonts w:hint="eastAsia" w:ascii="宋体" w:hAnsi="宋体" w:cs="宋体"/>
                <w:color w:val="000000" w:themeColor="text1"/>
                <w:kern w:val="0"/>
                <w:szCs w:val="21"/>
                <w:highlight w:val="none"/>
                <w:lang w:eastAsia="zh-CN"/>
                <w14:textFill>
                  <w14:solidFill>
                    <w14:schemeClr w14:val="tx1"/>
                  </w14:solidFill>
                </w14:textFill>
              </w:rPr>
              <w:t>钦州市新华路268号江滨豪园10栋27层2703号</w:t>
            </w:r>
          </w:p>
          <w:p w14:paraId="150B61B0">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业务时间：工作日上午8时00分到12时00分，下午3时00分到6时00分，业务时间以外、双休日和法定节假日不办理业务。</w:t>
            </w:r>
          </w:p>
        </w:tc>
      </w:tr>
      <w:tr w14:paraId="06FB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4C7170">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2F536EBC">
            <w:pPr>
              <w:pStyle w:val="25"/>
              <w:numPr>
                <w:ilvl w:val="0"/>
                <w:numId w:val="2"/>
              </w:numPr>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采购代理费支付方式：</w:t>
            </w:r>
          </w:p>
          <w:p w14:paraId="7E020C28">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一次性向采购代理机构支付。</w:t>
            </w:r>
          </w:p>
          <w:p w14:paraId="0701C0DC">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217FCA99">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以成交金额为计费额，按本须知正文第</w:t>
            </w:r>
            <w:r>
              <w:rPr>
                <w:rFonts w:hAnsi="宋体" w:cs="宋体"/>
                <w:color w:val="000000" w:themeColor="text1"/>
                <w:sz w:val="21"/>
                <w:highlight w:val="none"/>
                <w14:textFill>
                  <w14:solidFill>
                    <w14:schemeClr w14:val="tx1"/>
                  </w14:solidFill>
                </w14:textFill>
              </w:rPr>
              <w:t>32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条规定的工程类收费标准采用差额定率累进法计算出收费基准价格，采购代理收费以收费基准价格收取。</w:t>
            </w:r>
          </w:p>
          <w:p w14:paraId="5227E4C1">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 采购代理费收取银行账户</w:t>
            </w:r>
          </w:p>
          <w:p w14:paraId="2A614631">
            <w:pPr>
              <w:snapToGrid w:val="0"/>
              <w:spacing w:line="360" w:lineRule="auto"/>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lang w:eastAsia="zh-CN"/>
                <w14:textFill>
                  <w14:solidFill>
                    <w14:schemeClr w14:val="tx1"/>
                  </w14:solidFill>
                </w14:textFill>
              </w:rPr>
              <w:t>名称：广西翔正项目管理有限公司钦州分公司</w:t>
            </w:r>
          </w:p>
          <w:p w14:paraId="78D888C4">
            <w:pPr>
              <w:snapToGrid w:val="0"/>
              <w:spacing w:line="360" w:lineRule="auto"/>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开户银行：交通银行钦州分行；</w:t>
            </w:r>
          </w:p>
          <w:p w14:paraId="7058B52E">
            <w:pPr>
              <w:snapToGrid w:val="0"/>
              <w:spacing w:line="360" w:lineRule="auto"/>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银行账号：7178 9999 1013 0000 45281；</w:t>
            </w:r>
          </w:p>
          <w:p w14:paraId="62A6741A">
            <w:pPr>
              <w:snapToGrid w:val="0"/>
              <w:spacing w:line="360" w:lineRule="auto"/>
              <w:rPr>
                <w:rFonts w:hAnsi="宋体" w:cs="宋体"/>
                <w:color w:val="000000" w:themeColor="text1"/>
                <w:sz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 xml:space="preserve">行号：3016 3110 0010 </w:t>
            </w:r>
            <w:r>
              <w:rPr>
                <w:rFonts w:hint="eastAsia" w:hAnsi="宋体" w:cs="宋体"/>
                <w:color w:val="000000" w:themeColor="text1"/>
                <w:sz w:val="21"/>
                <w:highlight w:val="none"/>
                <w14:textFill>
                  <w14:solidFill>
                    <w14:schemeClr w14:val="tx1"/>
                  </w14:solidFill>
                </w14:textFill>
              </w:rPr>
              <w:t xml:space="preserve"> </w:t>
            </w:r>
          </w:p>
        </w:tc>
      </w:tr>
      <w:tr w14:paraId="0A0C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79B2F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1CCCC145">
            <w:pPr>
              <w:pStyle w:val="25"/>
              <w:snapToGrid w:val="0"/>
              <w:spacing w:line="360" w:lineRule="auto"/>
              <w:rPr>
                <w:rFonts w:hAnsi="宋体" w:cs="宋体"/>
                <w:color w:val="000000" w:themeColor="text1"/>
                <w:kern w:val="2"/>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解释：</w:t>
            </w:r>
            <w:r>
              <w:rPr>
                <w:rFonts w:hAnsi="宋体"/>
                <w:color w:val="000000" w:themeColor="text1"/>
                <w:sz w:val="21"/>
                <w:highlight w:val="none"/>
                <w14:textFill>
                  <w14:solidFill>
                    <w14:schemeClr w14:val="tx1"/>
                  </w14:solidFill>
                </w14:textFill>
              </w:rPr>
              <w:t>构成本</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的各个组成文件应互为解释，互为说明</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除</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中有特别规定外，仅适用于</w:t>
            </w:r>
            <w:r>
              <w:rPr>
                <w:rFonts w:hint="eastAsia" w:hAnsi="宋体"/>
                <w:color w:val="000000" w:themeColor="text1"/>
                <w:sz w:val="21"/>
                <w:highlight w:val="none"/>
                <w14:textFill>
                  <w14:solidFill>
                    <w14:schemeClr w14:val="tx1"/>
                  </w14:solidFill>
                </w14:textFill>
              </w:rPr>
              <w:t>竞标</w:t>
            </w:r>
            <w:r>
              <w:rPr>
                <w:rFonts w:hAnsi="宋体"/>
                <w:color w:val="000000" w:themeColor="text1"/>
                <w:sz w:val="21"/>
                <w:highlight w:val="none"/>
                <w14:textFill>
                  <w14:solidFill>
                    <w14:schemeClr w14:val="tx1"/>
                  </w14:solidFill>
                </w14:textFill>
              </w:rPr>
              <w:t>阶段的规定，按</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竞争性磋商</w:t>
            </w:r>
            <w:r>
              <w:rPr>
                <w:rFonts w:hAnsi="宋体"/>
                <w:color w:val="000000" w:themeColor="text1"/>
                <w:sz w:val="21"/>
                <w:highlight w:val="none"/>
                <w14:textFill>
                  <w14:solidFill>
                    <w14:schemeClr w14:val="tx1"/>
                  </w14:solidFill>
                </w14:textFill>
              </w:rPr>
              <w:t>公告、</w:t>
            </w:r>
            <w:r>
              <w:rPr>
                <w:rFonts w:hint="eastAsia" w:hAnsi="宋体"/>
                <w:color w:val="000000" w:themeColor="text1"/>
                <w:sz w:val="21"/>
                <w:highlight w:val="none"/>
                <w14:textFill>
                  <w14:solidFill>
                    <w14:schemeClr w14:val="tx1"/>
                  </w14:solidFill>
                </w14:textFill>
              </w:rPr>
              <w:t>供应商</w:t>
            </w:r>
            <w:r>
              <w:rPr>
                <w:rFonts w:hAnsi="宋体"/>
                <w:color w:val="000000" w:themeColor="text1"/>
                <w:sz w:val="21"/>
                <w:highlight w:val="none"/>
                <w14:textFill>
                  <w14:solidFill>
                    <w14:schemeClr w14:val="tx1"/>
                  </w14:solidFill>
                </w14:textFill>
              </w:rPr>
              <w:t>须知</w:t>
            </w:r>
            <w:r>
              <w:rPr>
                <w:rFonts w:hint="eastAsia" w:hAnsi="宋体"/>
                <w:color w:val="000000" w:themeColor="text1"/>
                <w:sz w:val="21"/>
                <w:highlight w:val="none"/>
                <w14:textFill>
                  <w14:solidFill>
                    <w14:schemeClr w14:val="tx1"/>
                  </w14:solidFill>
                </w14:textFill>
              </w:rPr>
              <w:t>、采购需求</w:t>
            </w:r>
            <w:r>
              <w:rPr>
                <w:rFonts w:hAnsi="宋体"/>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评审程序、评审方法和评审标准</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响应</w:t>
            </w:r>
            <w:r>
              <w:rPr>
                <w:rFonts w:hAnsi="宋体"/>
                <w:color w:val="000000" w:themeColor="text1"/>
                <w:sz w:val="21"/>
                <w:highlight w:val="none"/>
                <w14:textFill>
                  <w14:solidFill>
                    <w14:schemeClr w14:val="tx1"/>
                  </w14:solidFill>
                </w14:textFill>
              </w:rPr>
              <w:t>文件格式</w:t>
            </w:r>
            <w:r>
              <w:rPr>
                <w:rFonts w:hint="eastAsia" w:hAnsi="宋体"/>
                <w:color w:val="000000" w:themeColor="text1"/>
                <w:sz w:val="21"/>
                <w:highlight w:val="none"/>
                <w14:textFill>
                  <w14:solidFill>
                    <w14:schemeClr w14:val="tx1"/>
                  </w14:solidFill>
                </w14:textFill>
              </w:rPr>
              <w:t>、合同文本</w:t>
            </w:r>
            <w:r>
              <w:rPr>
                <w:rFonts w:hAnsi="宋体"/>
                <w:color w:val="000000" w:themeColor="text1"/>
                <w:sz w:val="21"/>
                <w:highlight w:val="none"/>
                <w14:textFill>
                  <w14:solidFill>
                    <w14:schemeClr w14:val="tx1"/>
                  </w14:solidFill>
                </w14:textFill>
              </w:rPr>
              <w:t>的先后顺序解释</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同一组成文件中就同一事项的规定或者约定不一致的，以编排顺序在后者为准</w:t>
            </w:r>
            <w:r>
              <w:rPr>
                <w:rFonts w:hint="eastAsia" w:hAnsi="宋体"/>
                <w:color w:val="000000" w:themeColor="text1"/>
                <w:sz w:val="21"/>
                <w:highlight w:val="none"/>
                <w:lang w:eastAsia="zh-CN"/>
                <w14:textFill>
                  <w14:solidFill>
                    <w14:schemeClr w14:val="tx1"/>
                  </w14:solidFill>
                </w14:textFill>
              </w:rPr>
              <w:t>；</w:t>
            </w:r>
            <w:r>
              <w:rPr>
                <w:rFonts w:hAnsi="宋体"/>
                <w:color w:val="000000" w:themeColor="text1"/>
                <w:sz w:val="21"/>
                <w:highlight w:val="none"/>
                <w14:textFill>
                  <w14:solidFill>
                    <w14:schemeClr w14:val="tx1"/>
                  </w14:solidFill>
                </w14:textFill>
              </w:rPr>
              <w:t>同一组成文件不同版本之间有不一致的，以形成时间在后者为准</w:t>
            </w:r>
            <w:r>
              <w:rPr>
                <w:rFonts w:hint="eastAsia" w:hAnsi="宋体"/>
                <w:color w:val="000000" w:themeColor="text1"/>
                <w:sz w:val="21"/>
                <w:highlight w:val="none"/>
                <w:lang w:eastAsia="zh-CN"/>
                <w14:textFill>
                  <w14:solidFill>
                    <w14:schemeClr w14:val="tx1"/>
                  </w14:solidFill>
                </w14:textFill>
              </w:rPr>
              <w:t>；</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与同步更新的</w:t>
            </w:r>
            <w:r>
              <w:rPr>
                <w:rFonts w:hint="eastAsia" w:hAnsi="宋体"/>
                <w:color w:val="000000" w:themeColor="text1"/>
                <w:sz w:val="21"/>
                <w:highlight w:val="none"/>
                <w14:textFill>
                  <w14:solidFill>
                    <w14:schemeClr w14:val="tx1"/>
                  </w14:solidFill>
                </w14:textFill>
              </w:rPr>
              <w:t>磋商文件</w:t>
            </w:r>
            <w:r>
              <w:rPr>
                <w:rFonts w:hAnsi="宋体"/>
                <w:color w:val="000000" w:themeColor="text1"/>
                <w:sz w:val="21"/>
                <w:highlight w:val="none"/>
                <w14:textFill>
                  <w14:solidFill>
                    <w14:schemeClr w14:val="tx1"/>
                  </w14:solidFill>
                </w14:textFill>
              </w:rPr>
              <w:t>不一致时以</w:t>
            </w:r>
            <w:r>
              <w:rPr>
                <w:rFonts w:hint="eastAsia" w:hAnsi="宋体"/>
                <w:color w:val="000000" w:themeColor="text1"/>
                <w:sz w:val="21"/>
                <w:highlight w:val="none"/>
                <w14:textFill>
                  <w14:solidFill>
                    <w14:schemeClr w14:val="tx1"/>
                  </w14:solidFill>
                </w14:textFill>
              </w:rPr>
              <w:t>更正公告（澄清公告）</w:t>
            </w:r>
            <w:r>
              <w:rPr>
                <w:rFonts w:hAnsi="宋体"/>
                <w:color w:val="000000" w:themeColor="text1"/>
                <w:sz w:val="21"/>
                <w:highlight w:val="none"/>
                <w14:textFill>
                  <w14:solidFill>
                    <w14:schemeClr w14:val="tx1"/>
                  </w14:solidFill>
                </w14:textFill>
              </w:rPr>
              <w:t>为准。按本款前述规定仍不能形成结论的，由</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人</w:t>
            </w:r>
            <w:r>
              <w:rPr>
                <w:rFonts w:hint="eastAsia" w:hAnsi="宋体"/>
                <w:color w:val="000000" w:themeColor="text1"/>
                <w:sz w:val="21"/>
                <w:highlight w:val="none"/>
                <w14:textFill>
                  <w14:solidFill>
                    <w14:schemeClr w14:val="tx1"/>
                  </w14:solidFill>
                </w14:textFill>
              </w:rPr>
              <w:t>或者采购代理机构</w:t>
            </w:r>
            <w:r>
              <w:rPr>
                <w:rFonts w:hAnsi="宋体"/>
                <w:color w:val="000000" w:themeColor="text1"/>
                <w:sz w:val="21"/>
                <w:highlight w:val="none"/>
                <w14:textFill>
                  <w14:solidFill>
                    <w14:schemeClr w14:val="tx1"/>
                  </w14:solidFill>
                </w14:textFill>
              </w:rPr>
              <w:t>负责解释。</w:t>
            </w:r>
          </w:p>
        </w:tc>
      </w:tr>
      <w:tr w14:paraId="167C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D6DEF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p>
        </w:tc>
        <w:tc>
          <w:tcPr>
            <w:tcW w:w="7912" w:type="dxa"/>
            <w:vAlign w:val="center"/>
          </w:tcPr>
          <w:p w14:paraId="7723E6F8">
            <w:pPr>
              <w:pStyle w:val="25"/>
              <w:snapToGrid w:val="0"/>
              <w:spacing w:line="360" w:lineRule="auto"/>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2482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D852C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687C1E18">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BEC3AB6">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2.本磋商文件所称的“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14C5729E">
            <w:pPr>
              <w:pStyle w:val="25"/>
              <w:snapToGrid w:val="0"/>
              <w:spacing w:line="360" w:lineRule="auto"/>
              <w:rPr>
                <w:rFonts w:hAnsi="宋体" w:cs="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营业执照或者执业许可证等证照上的</w:t>
            </w:r>
            <w:r>
              <w:rPr>
                <w:rFonts w:hint="eastAsia" w:hAnsi="宋体" w:cs="宋体"/>
                <w:color w:val="000000" w:themeColor="text1"/>
                <w:sz w:val="21"/>
                <w:highlight w:val="none"/>
                <w14:textFill>
                  <w14:solidFill>
                    <w14:schemeClr w14:val="tx1"/>
                  </w14:solidFill>
                </w14:textFill>
              </w:rPr>
              <w:t>负责人</w:t>
            </w:r>
            <w:r>
              <w:rPr>
                <w:rFonts w:hint="eastAsia" w:hAnsi="宋体" w:cs="宋体"/>
                <w:bCs/>
                <w:color w:val="000000" w:themeColor="text1"/>
                <w:sz w:val="21"/>
                <w:highlight w:val="none"/>
                <w14:textFill>
                  <w14:solidFill>
                    <w14:schemeClr w14:val="tx1"/>
                  </w14:solidFill>
                </w14:textFill>
              </w:rPr>
              <w:t>。</w:t>
            </w:r>
          </w:p>
          <w:p w14:paraId="32F3B112">
            <w:pPr>
              <w:pStyle w:val="25"/>
              <w:snapToGrid w:val="0"/>
              <w:spacing w:line="360" w:lineRule="auto"/>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2C6FA80A">
            <w:pPr>
              <w:pStyle w:val="25"/>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本磋商文件所称的“以上”“以下”“以内”“届满”，包括本数</w:t>
            </w:r>
            <w:r>
              <w:rPr>
                <w:rFonts w:hint="eastAsia" w:hAnsi="宋体" w:cs="宋体"/>
                <w:color w:val="000000" w:themeColor="text1"/>
                <w:sz w:val="21"/>
                <w:highlight w:val="none"/>
                <w:lang w:eastAsia="zh-CN"/>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所称的“不满”“超过”“以外”，不包括本数。</w:t>
            </w:r>
          </w:p>
        </w:tc>
      </w:tr>
    </w:tbl>
    <w:p w14:paraId="20D5CDD7">
      <w:pPr>
        <w:spacing w:line="40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5DACD8F1">
      <w:pPr>
        <w:spacing w:line="400" w:lineRule="exact"/>
        <w:jc w:val="center"/>
        <w:rPr>
          <w:rFonts w:ascii="宋体" w:hAnsi="宋体"/>
          <w:b/>
          <w:color w:val="000000" w:themeColor="text1"/>
          <w:sz w:val="32"/>
          <w:szCs w:val="32"/>
          <w:highlight w:val="none"/>
          <w14:textFill>
            <w14:solidFill>
              <w14:schemeClr w14:val="tx1"/>
            </w14:solidFill>
          </w14:textFill>
        </w:rPr>
      </w:pPr>
    </w:p>
    <w:p w14:paraId="3DD40483">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23DA6481">
      <w:pPr>
        <w:spacing w:line="400" w:lineRule="exact"/>
        <w:rPr>
          <w:rFonts w:ascii="宋体" w:hAnsi="宋体"/>
          <w:color w:val="000000" w:themeColor="text1"/>
          <w:szCs w:val="21"/>
          <w:highlight w:val="none"/>
          <w14:textFill>
            <w14:solidFill>
              <w14:schemeClr w14:val="tx1"/>
            </w14:solidFill>
          </w14:textFill>
        </w:rPr>
      </w:pPr>
    </w:p>
    <w:p w14:paraId="76802D4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1F8790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76BA9F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1.2本竞争性磋商文件（以下简称磋商文件）适用于本项目的所有采购程序和环节（法律、法规另有规定的，从其规定）</w:t>
      </w:r>
      <w:r>
        <w:rPr>
          <w:rFonts w:hint="eastAsia" w:ascii="宋体" w:hAnsi="宋体" w:cs="宋体"/>
          <w:color w:val="000000" w:themeColor="text1"/>
          <w:spacing w:val="-6"/>
          <w:szCs w:val="21"/>
          <w:highlight w:val="none"/>
          <w14:textFill>
            <w14:solidFill>
              <w14:schemeClr w14:val="tx1"/>
            </w14:solidFill>
          </w14:textFill>
        </w:rPr>
        <w:t>。</w:t>
      </w:r>
    </w:p>
    <w:p w14:paraId="4EC8113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793D7D6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2.1“采购人”是指依法进行政府采购的国家机关、事业单位、团体组织。180日历天</w:t>
      </w:r>
    </w:p>
    <w:p w14:paraId="7EE6D282">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A122D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4B94A6B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2.4“工程”是指建设工程，包括建筑物和构筑物的新建、改建、扩建、装修、拆除、修缮等。</w:t>
      </w:r>
    </w:p>
    <w:p w14:paraId="56E6CD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2B08FC3C">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210007E2">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2.7“响应文件”是指：供应商根据本磋商文件要求，编制包含资格证明、报价、商务技术等所有内容的文件</w:t>
      </w:r>
      <w:r>
        <w:rPr>
          <w:rFonts w:hint="eastAsia" w:ascii="宋体" w:hAnsi="宋体" w:cs="宋体"/>
          <w:color w:val="000000" w:themeColor="text1"/>
          <w:spacing w:val="-6"/>
          <w:szCs w:val="21"/>
          <w:highlight w:val="none"/>
          <w14:textFill>
            <w14:solidFill>
              <w14:schemeClr w14:val="tx1"/>
            </w14:solidFill>
          </w14:textFill>
        </w:rPr>
        <w:t>。</w:t>
      </w:r>
    </w:p>
    <w:p w14:paraId="5DC9393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2.8“实质性要求”是指磋商文件中已经指明不满足则响应文件按无效处理的条款，或者不能负偏离的条款，或者采购需求中带“▲”的条款。</w:t>
      </w:r>
    </w:p>
    <w:p w14:paraId="29443B16">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4B32ABE0">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5A82ABC5">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53B57823">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3E90C76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138E8C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3.1供应商的资格条件详见“供应商须知前附表”。</w:t>
      </w:r>
    </w:p>
    <w:p w14:paraId="7EA25B85">
      <w:pPr>
        <w:spacing w:line="360" w:lineRule="auto"/>
        <w:ind w:firstLine="420" w:firstLineChars="200"/>
        <w:rPr>
          <w:rFonts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3.2供应商</w:t>
      </w:r>
      <w:r>
        <w:rPr>
          <w:rFonts w:hint="eastAsia" w:cs="宋体"/>
          <w:color w:val="000000" w:themeColor="text1"/>
          <w:highlight w:val="none"/>
          <w14:textFill>
            <w14:solidFill>
              <w14:schemeClr w14:val="tx1"/>
            </w14:solidFill>
          </w14:textFill>
        </w:rPr>
        <w:t>不得存在下列情形之一：</w:t>
      </w:r>
    </w:p>
    <w:p w14:paraId="116BF3B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szCs w:val="21"/>
          <w:highlight w:val="none"/>
          <w:lang w:eastAsia="zh-CN"/>
          <w14:textFill>
            <w14:solidFill>
              <w14:schemeClr w14:val="tx1"/>
            </w14:solidFill>
          </w14:textFill>
        </w:rPr>
        <w:t>；</w:t>
      </w:r>
    </w:p>
    <w:p w14:paraId="410F7AF7">
      <w:pPr>
        <w:spacing w:line="360" w:lineRule="auto"/>
        <w:ind w:firstLine="420" w:firstLineChars="200"/>
        <w:rPr>
          <w:rFonts w:hint="eastAsia"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（2）为本项目提供过整体设计、规范编制或者项目管理、监理、检测等服务的供应商，不得再参加本项目上述服务以外的其他采购活动</w:t>
      </w:r>
      <w:r>
        <w:rPr>
          <w:rFonts w:hint="eastAsia" w:ascii="宋体" w:hAnsi="宋体" w:cs="宋体"/>
          <w:color w:val="000000" w:themeColor="text1"/>
          <w:szCs w:val="21"/>
          <w:highlight w:val="none"/>
          <w:lang w:eastAsia="zh-CN"/>
          <w14:textFill>
            <w14:solidFill>
              <w14:schemeClr w14:val="tx1"/>
            </w14:solidFill>
          </w14:textFill>
        </w:rPr>
        <w:t>；</w:t>
      </w:r>
    </w:p>
    <w:p w14:paraId="328F2C71">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）为本分标的代建人</w:t>
      </w:r>
      <w:r>
        <w:rPr>
          <w:rFonts w:hint="eastAsia" w:cs="宋体"/>
          <w:color w:val="000000" w:themeColor="text1"/>
          <w:highlight w:val="none"/>
          <w:lang w:eastAsia="zh-CN"/>
          <w14:textFill>
            <w14:solidFill>
              <w14:schemeClr w14:val="tx1"/>
            </w14:solidFill>
          </w14:textFill>
        </w:rPr>
        <w:t>；</w:t>
      </w:r>
    </w:p>
    <w:p w14:paraId="2DFFDB5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r>
        <w:rPr>
          <w:rFonts w:hint="eastAsia" w:cs="宋体"/>
          <w:color w:val="000000" w:themeColor="text1"/>
          <w:highlight w:val="none"/>
          <w14:textFill>
            <w14:solidFill>
              <w14:schemeClr w14:val="tx1"/>
            </w14:solidFill>
          </w14:textFill>
        </w:rPr>
        <w:t>）为本分标提供采购代理服务的</w:t>
      </w:r>
      <w:r>
        <w:rPr>
          <w:rFonts w:hint="eastAsia" w:cs="宋体"/>
          <w:color w:val="000000" w:themeColor="text1"/>
          <w:highlight w:val="none"/>
          <w:lang w:eastAsia="zh-CN"/>
          <w14:textFill>
            <w14:solidFill>
              <w14:schemeClr w14:val="tx1"/>
            </w14:solidFill>
          </w14:textFill>
        </w:rPr>
        <w:t>；</w:t>
      </w:r>
    </w:p>
    <w:p w14:paraId="1BEA9536">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s="宋体"/>
          <w:color w:val="000000" w:themeColor="text1"/>
          <w:highlight w:val="none"/>
          <w14:textFill>
            <w14:solidFill>
              <w14:schemeClr w14:val="tx1"/>
            </w14:solidFill>
          </w14:textFill>
        </w:rPr>
        <w:t>）与本分标的监理人或代建人或采购代理机构同为一个法定代表人的</w:t>
      </w:r>
      <w:r>
        <w:rPr>
          <w:rFonts w:hint="eastAsia" w:cs="宋体"/>
          <w:color w:val="000000" w:themeColor="text1"/>
          <w:highlight w:val="none"/>
          <w:lang w:eastAsia="zh-CN"/>
          <w14:textFill>
            <w14:solidFill>
              <w14:schemeClr w14:val="tx1"/>
            </w14:solidFill>
          </w14:textFill>
        </w:rPr>
        <w:t>；</w:t>
      </w:r>
    </w:p>
    <w:p w14:paraId="62D5BE9A">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w:t>
      </w:r>
      <w:r>
        <w:rPr>
          <w:rFonts w:hint="eastAsia" w:cs="宋体"/>
          <w:color w:val="000000" w:themeColor="text1"/>
          <w:highlight w:val="none"/>
          <w14:textFill>
            <w14:solidFill>
              <w14:schemeClr w14:val="tx1"/>
            </w14:solidFill>
          </w14:textFill>
        </w:rPr>
        <w:t>）与本分标的监理人或代建人或采购代理机构相互控股或参股的</w:t>
      </w:r>
      <w:r>
        <w:rPr>
          <w:rFonts w:hint="eastAsia" w:cs="宋体"/>
          <w:color w:val="000000" w:themeColor="text1"/>
          <w:highlight w:val="none"/>
          <w:lang w:eastAsia="zh-CN"/>
          <w14:textFill>
            <w14:solidFill>
              <w14:schemeClr w14:val="tx1"/>
            </w14:solidFill>
          </w14:textFill>
        </w:rPr>
        <w:t>；</w:t>
      </w:r>
    </w:p>
    <w:p w14:paraId="7B3CC3EB">
      <w:pPr>
        <w:spacing w:line="360" w:lineRule="auto"/>
        <w:ind w:firstLine="420" w:firstLineChars="200"/>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7</w:t>
      </w:r>
      <w:r>
        <w:rPr>
          <w:rFonts w:hint="eastAsia" w:cs="宋体"/>
          <w:color w:val="000000" w:themeColor="text1"/>
          <w:highlight w:val="none"/>
          <w14:textFill>
            <w14:solidFill>
              <w14:schemeClr w14:val="tx1"/>
            </w14:solidFill>
          </w14:textFill>
        </w:rPr>
        <w:t>）与本分标的监理人或代建人或采购代理机构相互任职或工作的</w:t>
      </w:r>
      <w:r>
        <w:rPr>
          <w:rFonts w:hint="eastAsia" w:cs="宋体"/>
          <w:color w:val="000000" w:themeColor="text1"/>
          <w:highlight w:val="none"/>
          <w:lang w:eastAsia="zh-CN"/>
          <w14:textFill>
            <w14:solidFill>
              <w14:schemeClr w14:val="tx1"/>
            </w14:solidFill>
          </w14:textFill>
        </w:rPr>
        <w:t>；</w:t>
      </w:r>
    </w:p>
    <w:p w14:paraId="0CB9C6A6">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（8）在“信用中国”网站（https：//www.creditchina.gov.cn） 、中国政府采购网（https：//www.ccgp.gov.cn）被列入失信被执行人、重大税收违法失信主体、政府采购严重违法失信行为记录名单及180日历天其他不符合《中华人民共和国政府采购法》第二十二条规定条件的。</w:t>
      </w:r>
    </w:p>
    <w:p w14:paraId="0A284EF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2FD5031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12FB1F3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186C23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085964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593F44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51" w:name="_Hlk66782192"/>
      <w:r>
        <w:rPr>
          <w:rFonts w:hint="eastAsia" w:ascii="宋体" w:hAnsi="宋体"/>
          <w:color w:val="000000" w:themeColor="text1"/>
          <w:szCs w:val="21"/>
          <w:highlight w:val="none"/>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180日历天的价格参加评审。</w:t>
      </w:r>
      <w:bookmarkEnd w:id="51"/>
    </w:p>
    <w:p w14:paraId="71F560E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727AB913">
      <w:pPr>
        <w:pStyle w:val="6"/>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bookmarkStart w:id="52" w:name="_Toc254970673"/>
      <w:bookmarkStart w:id="53" w:name="_Toc254970532"/>
      <w:r>
        <w:rPr>
          <w:rFonts w:hint="eastAsia" w:ascii="宋体" w:hAnsi="宋体"/>
          <w:b w:val="0"/>
          <w:color w:val="000000" w:themeColor="text1"/>
          <w:sz w:val="21"/>
          <w:szCs w:val="21"/>
          <w:highlight w:val="none"/>
          <w14:textFill>
            <w14:solidFill>
              <w14:schemeClr w14:val="tx1"/>
            </w14:solidFill>
          </w14:textFill>
        </w:rPr>
        <w:t>6.1本项目不允许转包。</w:t>
      </w:r>
    </w:p>
    <w:p w14:paraId="08DE1535">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4580D203">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A4A7CB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52"/>
      <w:bookmarkEnd w:id="53"/>
    </w:p>
    <w:p w14:paraId="4330879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4" w:name="_8.1提供相同品牌产品且通过资格审查、符合性审查的不同投标人参加同一合"/>
      <w:bookmarkEnd w:id="54"/>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55"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55"/>
    <w:p w14:paraId="117AF6E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135F28B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56" w:name="_Hlk170492024"/>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供应商在竞标活动中提供任何虚假材料谋取成交的，将报财政部门查处</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签订合同后发现的，成交供应商须依照</w:t>
      </w:r>
      <w:bookmarkStart w:id="57" w:name="_Hlk170492034"/>
      <w:r>
        <w:rPr>
          <w:rFonts w:hint="eastAsia" w:ascii="宋体" w:hAnsi="宋体" w:cs="宋体"/>
          <w:color w:val="000000" w:themeColor="text1"/>
          <w:szCs w:val="21"/>
          <w:highlight w:val="none"/>
          <w14:textFill>
            <w14:solidFill>
              <w14:schemeClr w14:val="tx1"/>
            </w14:solidFill>
          </w14:textFill>
        </w:rPr>
        <w:t>有关法律法规</w:t>
      </w:r>
      <w:bookmarkEnd w:id="57"/>
      <w:r>
        <w:rPr>
          <w:rFonts w:hint="eastAsia" w:ascii="宋体" w:hAnsi="宋体" w:cs="宋体"/>
          <w:color w:val="000000" w:themeColor="text1"/>
          <w:szCs w:val="21"/>
          <w:highlight w:val="none"/>
          <w14:textFill>
            <w14:solidFill>
              <w14:schemeClr w14:val="tx1"/>
            </w14:solidFill>
          </w14:textFill>
        </w:rPr>
        <w:t>规定赔偿采购人，且民事赔偿并不免除违法供应商的行政与刑事责任。</w:t>
      </w:r>
    </w:p>
    <w:bookmarkEnd w:id="56"/>
    <w:p w14:paraId="6F082F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6F7EE33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r>
        <w:rPr>
          <w:rFonts w:hint="eastAsia" w:ascii="宋体" w:hAnsi="宋体" w:cs="宋体"/>
          <w:color w:val="000000" w:themeColor="text1"/>
          <w:szCs w:val="21"/>
          <w:highlight w:val="none"/>
          <w:lang w:eastAsia="zh-CN"/>
          <w14:textFill>
            <w14:solidFill>
              <w14:schemeClr w14:val="tx1"/>
            </w14:solidFill>
          </w14:textFill>
        </w:rPr>
        <w:t>；</w:t>
      </w:r>
    </w:p>
    <w:p w14:paraId="4A0B87A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r>
        <w:rPr>
          <w:rFonts w:hint="eastAsia" w:ascii="宋体" w:hAnsi="宋体" w:cs="宋体"/>
          <w:color w:val="000000" w:themeColor="text1"/>
          <w:szCs w:val="21"/>
          <w:highlight w:val="none"/>
          <w:lang w:eastAsia="zh-CN"/>
          <w14:textFill>
            <w14:solidFill>
              <w14:schemeClr w14:val="tx1"/>
            </w14:solidFill>
          </w14:textFill>
        </w:rPr>
        <w:t>；</w:t>
      </w:r>
    </w:p>
    <w:p w14:paraId="3FC2D61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r>
        <w:rPr>
          <w:rFonts w:hint="eastAsia" w:ascii="宋体" w:hAnsi="宋体" w:cs="宋体"/>
          <w:color w:val="000000" w:themeColor="text1"/>
          <w:szCs w:val="21"/>
          <w:highlight w:val="none"/>
          <w:lang w:eastAsia="zh-CN"/>
          <w14:textFill>
            <w14:solidFill>
              <w14:schemeClr w14:val="tx1"/>
            </w14:solidFill>
          </w14:textFill>
        </w:rPr>
        <w:t>；</w:t>
      </w:r>
    </w:p>
    <w:p w14:paraId="3C3B07A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（4）与供应商的法定代表人或者负责人有夫妻、直系血亲、三代以内旁系血亲或者180日历天近姻亲关系</w:t>
      </w:r>
      <w:r>
        <w:rPr>
          <w:rFonts w:hint="eastAsia" w:ascii="宋体" w:hAnsi="宋体" w:cs="宋体"/>
          <w:color w:val="000000" w:themeColor="text1"/>
          <w:szCs w:val="21"/>
          <w:highlight w:val="none"/>
          <w:lang w:eastAsia="zh-CN"/>
          <w14:textFill>
            <w14:solidFill>
              <w14:schemeClr w14:val="tx1"/>
            </w14:solidFill>
          </w14:textFill>
        </w:rPr>
        <w:t>；</w:t>
      </w:r>
    </w:p>
    <w:p w14:paraId="3CA75E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0702C8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A2933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7EA5AF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w:t>
      </w:r>
    </w:p>
    <w:p w14:paraId="6EA9BAA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r>
        <w:rPr>
          <w:rFonts w:hint="eastAsia" w:ascii="宋体" w:hAnsi="宋体" w:cs="宋体"/>
          <w:color w:val="000000" w:themeColor="text1"/>
          <w:szCs w:val="21"/>
          <w:highlight w:val="none"/>
          <w:lang w:eastAsia="zh-CN"/>
          <w14:textFill>
            <w14:solidFill>
              <w14:schemeClr w14:val="tx1"/>
            </w14:solidFill>
          </w14:textFill>
        </w:rPr>
        <w:t>；</w:t>
      </w:r>
    </w:p>
    <w:p w14:paraId="54EEAAC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r>
        <w:rPr>
          <w:rFonts w:hint="eastAsia" w:ascii="宋体" w:hAnsi="宋体" w:cs="宋体"/>
          <w:color w:val="000000" w:themeColor="text1"/>
          <w:szCs w:val="21"/>
          <w:highlight w:val="none"/>
          <w:lang w:eastAsia="zh-CN"/>
          <w14:textFill>
            <w14:solidFill>
              <w14:schemeClr w14:val="tx1"/>
            </w14:solidFill>
          </w14:textFill>
        </w:rPr>
        <w:t>；</w:t>
      </w:r>
    </w:p>
    <w:p w14:paraId="25E8913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r>
        <w:rPr>
          <w:rFonts w:hint="eastAsia" w:ascii="宋体" w:hAnsi="宋体" w:cs="宋体"/>
          <w:color w:val="000000" w:themeColor="text1"/>
          <w:szCs w:val="21"/>
          <w:highlight w:val="none"/>
          <w:lang w:eastAsia="zh-CN"/>
          <w14:textFill>
            <w14:solidFill>
              <w14:schemeClr w14:val="tx1"/>
            </w14:solidFill>
          </w14:textFill>
        </w:rPr>
        <w:t>；</w:t>
      </w:r>
    </w:p>
    <w:p w14:paraId="70E0E98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r>
        <w:rPr>
          <w:rFonts w:hint="eastAsia" w:ascii="宋体" w:hAnsi="宋体" w:cs="宋体"/>
          <w:color w:val="000000" w:themeColor="text1"/>
          <w:szCs w:val="21"/>
          <w:highlight w:val="none"/>
          <w:lang w:eastAsia="zh-CN"/>
          <w14:textFill>
            <w14:solidFill>
              <w14:schemeClr w14:val="tx1"/>
            </w14:solidFill>
          </w14:textFill>
        </w:rPr>
        <w:t>；</w:t>
      </w:r>
    </w:p>
    <w:p w14:paraId="088EDF1A">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3390B0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4CFC629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r>
        <w:rPr>
          <w:rFonts w:hint="eastAsia" w:ascii="宋体" w:hAnsi="宋体" w:cs="宋体"/>
          <w:color w:val="000000" w:themeColor="text1"/>
          <w:szCs w:val="21"/>
          <w:highlight w:val="none"/>
          <w:lang w:eastAsia="zh-CN"/>
          <w14:textFill>
            <w14:solidFill>
              <w14:schemeClr w14:val="tx1"/>
            </w14:solidFill>
          </w14:textFill>
        </w:rPr>
        <w:t>；</w:t>
      </w:r>
    </w:p>
    <w:p w14:paraId="76D930E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r>
        <w:rPr>
          <w:rFonts w:hint="eastAsia" w:ascii="宋体" w:hAnsi="宋体" w:cs="宋体"/>
          <w:color w:val="000000" w:themeColor="text1"/>
          <w:szCs w:val="21"/>
          <w:highlight w:val="none"/>
          <w:lang w:eastAsia="zh-CN"/>
          <w14:textFill>
            <w14:solidFill>
              <w14:schemeClr w14:val="tx1"/>
            </w14:solidFill>
          </w14:textFill>
        </w:rPr>
        <w:t>；</w:t>
      </w:r>
    </w:p>
    <w:p w14:paraId="4F1334F9">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r>
        <w:rPr>
          <w:rFonts w:hint="eastAsia" w:ascii="宋体" w:hAnsi="宋体" w:cs="宋体"/>
          <w:color w:val="000000" w:themeColor="text1"/>
          <w:szCs w:val="21"/>
          <w:highlight w:val="none"/>
          <w:lang w:eastAsia="zh-CN"/>
          <w14:textFill>
            <w14:solidFill>
              <w14:schemeClr w14:val="tx1"/>
            </w14:solidFill>
          </w14:textFill>
        </w:rPr>
        <w:t>；</w:t>
      </w:r>
    </w:p>
    <w:p w14:paraId="4C3110EA">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r>
        <w:rPr>
          <w:rFonts w:hint="eastAsia" w:ascii="宋体" w:hAnsi="宋体" w:cs="宋体"/>
          <w:color w:val="000000" w:themeColor="text1"/>
          <w:szCs w:val="21"/>
          <w:highlight w:val="none"/>
          <w:lang w:eastAsia="zh-CN"/>
          <w14:textFill>
            <w14:solidFill>
              <w14:schemeClr w14:val="tx1"/>
            </w14:solidFill>
          </w14:textFill>
        </w:rPr>
        <w:t>；</w:t>
      </w:r>
    </w:p>
    <w:p w14:paraId="13B6D544">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r>
        <w:rPr>
          <w:rFonts w:hint="eastAsia" w:ascii="宋体" w:hAnsi="宋体" w:cs="宋体"/>
          <w:color w:val="000000" w:themeColor="text1"/>
          <w:szCs w:val="21"/>
          <w:highlight w:val="none"/>
          <w:lang w:eastAsia="zh-CN"/>
          <w14:textFill>
            <w14:solidFill>
              <w14:schemeClr w14:val="tx1"/>
            </w14:solidFill>
          </w14:textFill>
        </w:rPr>
        <w:t>；</w:t>
      </w:r>
    </w:p>
    <w:p w14:paraId="591656D7">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r>
        <w:rPr>
          <w:rFonts w:hint="eastAsia" w:ascii="宋体" w:hAnsi="宋体" w:cs="宋体"/>
          <w:color w:val="000000" w:themeColor="text1"/>
          <w:szCs w:val="21"/>
          <w:highlight w:val="none"/>
          <w:lang w:eastAsia="zh-CN"/>
          <w14:textFill>
            <w14:solidFill>
              <w14:schemeClr w14:val="tx1"/>
            </w14:solidFill>
          </w14:textFill>
        </w:rPr>
        <w:t>；</w:t>
      </w:r>
    </w:p>
    <w:p w14:paraId="23CE31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1BE62D0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1EA155E1">
      <w:pPr>
        <w:spacing w:line="360" w:lineRule="auto"/>
        <w:ind w:left="1" w:firstLine="417" w:firstLineChars="199"/>
        <w:jc w:val="center"/>
        <w:rPr>
          <w:rFonts w:ascii="宋体" w:hAnsi="宋体"/>
          <w:color w:val="000000" w:themeColor="text1"/>
          <w:highlight w:val="none"/>
          <w14:textFill>
            <w14:solidFill>
              <w14:schemeClr w14:val="tx1"/>
            </w14:solidFill>
          </w14:textFill>
        </w:rPr>
      </w:pPr>
      <w:bookmarkStart w:id="58" w:name="_Toc254970675"/>
      <w:bookmarkStart w:id="59" w:name="_Toc254970534"/>
    </w:p>
    <w:p w14:paraId="3018E89B">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58"/>
      <w:bookmarkEnd w:id="59"/>
    </w:p>
    <w:p w14:paraId="62FE7B8B">
      <w:pPr>
        <w:spacing w:line="360" w:lineRule="auto"/>
        <w:rPr>
          <w:rFonts w:ascii="宋体" w:hAnsi="宋体"/>
          <w:color w:val="000000" w:themeColor="text1"/>
          <w:szCs w:val="21"/>
          <w:highlight w:val="none"/>
          <w14:textFill>
            <w14:solidFill>
              <w14:schemeClr w14:val="tx1"/>
            </w14:solidFill>
          </w14:textFill>
        </w:rPr>
      </w:pPr>
    </w:p>
    <w:p w14:paraId="412B2A7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01F83B83">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  竞争性磋商公告</w:t>
      </w:r>
      <w:r>
        <w:rPr>
          <w:rFonts w:hint="eastAsia" w:ascii="宋体" w:hAnsi="宋体"/>
          <w:color w:val="000000" w:themeColor="text1"/>
          <w:szCs w:val="21"/>
          <w:highlight w:val="none"/>
          <w:lang w:eastAsia="zh-CN"/>
          <w14:textFill>
            <w14:solidFill>
              <w14:schemeClr w14:val="tx1"/>
            </w14:solidFill>
          </w14:textFill>
        </w:rPr>
        <w:t>；</w:t>
      </w:r>
    </w:p>
    <w:p w14:paraId="443330DD">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  供应商须知</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4A19F4DE">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  采购需求</w:t>
      </w:r>
      <w:r>
        <w:rPr>
          <w:rFonts w:hint="eastAsia" w:ascii="宋体" w:hAnsi="宋体"/>
          <w:color w:val="000000" w:themeColor="text1"/>
          <w:szCs w:val="21"/>
          <w:highlight w:val="none"/>
          <w:lang w:eastAsia="zh-CN"/>
          <w14:textFill>
            <w14:solidFill>
              <w14:schemeClr w14:val="tx1"/>
            </w14:solidFill>
          </w14:textFill>
        </w:rPr>
        <w:t>；</w:t>
      </w:r>
    </w:p>
    <w:p w14:paraId="65E87967">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  评审程序、评审方法和评审标准</w:t>
      </w:r>
      <w:r>
        <w:rPr>
          <w:rFonts w:hint="eastAsia" w:ascii="宋体" w:hAnsi="宋体"/>
          <w:color w:val="000000" w:themeColor="text1"/>
          <w:szCs w:val="21"/>
          <w:highlight w:val="none"/>
          <w:lang w:eastAsia="zh-CN"/>
          <w14:textFill>
            <w14:solidFill>
              <w14:schemeClr w14:val="tx1"/>
            </w14:solidFill>
          </w14:textFill>
        </w:rPr>
        <w:t>；</w:t>
      </w:r>
    </w:p>
    <w:p w14:paraId="196ED16A">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  工程量清单及图纸</w:t>
      </w:r>
      <w:r>
        <w:rPr>
          <w:rFonts w:hint="eastAsia" w:ascii="宋体" w:hAnsi="宋体"/>
          <w:color w:val="000000" w:themeColor="text1"/>
          <w:szCs w:val="21"/>
          <w:highlight w:val="none"/>
          <w:lang w:eastAsia="zh-CN"/>
          <w14:textFill>
            <w14:solidFill>
              <w14:schemeClr w14:val="tx1"/>
            </w14:solidFill>
          </w14:textFill>
        </w:rPr>
        <w:t>；</w:t>
      </w:r>
    </w:p>
    <w:p w14:paraId="6ABC0ACE">
      <w:pPr>
        <w:spacing w:line="360" w:lineRule="auto"/>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  响应文件格式</w:t>
      </w:r>
      <w:r>
        <w:rPr>
          <w:rFonts w:hint="eastAsia" w:ascii="宋体" w:hAnsi="宋体"/>
          <w:color w:val="000000" w:themeColor="text1"/>
          <w:szCs w:val="21"/>
          <w:highlight w:val="none"/>
          <w:lang w:eastAsia="zh-CN"/>
          <w14:textFill>
            <w14:solidFill>
              <w14:schemeClr w14:val="tx1"/>
            </w14:solidFill>
          </w14:textFill>
        </w:rPr>
        <w:t>；</w:t>
      </w:r>
    </w:p>
    <w:p w14:paraId="67BC3851">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  合同文本。</w:t>
      </w:r>
    </w:p>
    <w:p w14:paraId="133154F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5296386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2CD579D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614F5C9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w:t>
      </w:r>
      <w:r>
        <w:rPr>
          <w:rFonts w:hint="eastAsia" w:ascii="宋体" w:hAnsi="宋体"/>
          <w:color w:val="000000" w:themeColor="text1"/>
          <w:szCs w:val="21"/>
          <w:highlight w:val="none"/>
          <w14:textFill>
            <w14:solidFill>
              <w14:schemeClr w14:val="tx1"/>
            </w14:solidFill>
          </w14:textFill>
        </w:rPr>
        <w:t>180日历天</w:t>
      </w:r>
      <w:r>
        <w:rPr>
          <w:rFonts w:ascii="宋体" w:hAnsi="宋体"/>
          <w:color w:val="000000" w:themeColor="text1"/>
          <w:szCs w:val="21"/>
          <w:highlight w:val="none"/>
          <w14:textFill>
            <w14:solidFill>
              <w14:schemeClr w14:val="tx1"/>
            </w14:solidFill>
          </w14:textFill>
        </w:rPr>
        <w:t>可能影响响应文件编制的，</w:t>
      </w:r>
      <w:r>
        <w:rPr>
          <w:rFonts w:hint="eastAsia" w:ascii="宋体" w:hAnsi="宋体"/>
          <w:color w:val="000000" w:themeColor="text1"/>
          <w:szCs w:val="21"/>
          <w:highlight w:val="none"/>
          <w14:textFill>
            <w14:solidFill>
              <w14:schemeClr w14:val="tx1"/>
            </w14:solidFill>
          </w14:textFill>
        </w:rPr>
        <w:t>采购人或者采购代理机构应当</w:t>
      </w:r>
      <w:r>
        <w:rPr>
          <w:rFonts w:ascii="宋体" w:hAnsi="宋体"/>
          <w:color w:val="000000" w:themeColor="text1"/>
          <w:szCs w:val="21"/>
          <w:highlight w:val="none"/>
          <w14:textFill>
            <w14:solidFill>
              <w14:schemeClr w14:val="tx1"/>
            </w14:solidFill>
          </w14:textFill>
        </w:rPr>
        <w:t>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p>
    <w:p w14:paraId="316B78BB">
      <w:pPr>
        <w:spacing w:line="360" w:lineRule="auto"/>
        <w:rPr>
          <w:rFonts w:ascii="宋体" w:hAnsi="宋体"/>
          <w:color w:val="000000" w:themeColor="text1"/>
          <w:szCs w:val="21"/>
          <w:highlight w:val="none"/>
          <w14:textFill>
            <w14:solidFill>
              <w14:schemeClr w14:val="tx1"/>
            </w14:solidFill>
          </w14:textFill>
        </w:rPr>
      </w:pPr>
    </w:p>
    <w:p w14:paraId="6F58E781">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16B38A18">
      <w:pPr>
        <w:spacing w:line="360" w:lineRule="auto"/>
        <w:rPr>
          <w:rFonts w:ascii="宋体" w:hAnsi="宋体"/>
          <w:color w:val="000000" w:themeColor="text1"/>
          <w:szCs w:val="21"/>
          <w:highlight w:val="none"/>
          <w14:textFill>
            <w14:solidFill>
              <w14:schemeClr w14:val="tx1"/>
            </w14:solidFill>
          </w14:textFill>
        </w:rPr>
      </w:pPr>
    </w:p>
    <w:p w14:paraId="7C909C9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597DF0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1948225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688DF6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6F1CCE3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539054F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0F0A9452">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1CE4BC2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14061A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磋商文件没有规定的，应采用中华人民共和国法定计量单位，货币种类为人民币，否则视同未响应。</w:t>
      </w:r>
    </w:p>
    <w:p w14:paraId="34272E4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195BAB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供应商没有按照磋商文件要求提供全部资料，或者供应商没有对磋商文件在各方面180日历天作出实质性响应可能导致其响应无效，是供应商应当考虑的风险。</w:t>
      </w:r>
    </w:p>
    <w:p w14:paraId="21C0823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41CC8CE8">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15.1竞标报价应按磋商文件第五章“工程量清单及图纸”的要求及第六章“响应文件格式”填写相应表格。</w:t>
      </w:r>
    </w:p>
    <w:p w14:paraId="3199C72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7612CBA4">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15.3本项目的增值税计税方法见“供应商须知前附表”。</w:t>
      </w:r>
    </w:p>
    <w:p w14:paraId="4B6A2824">
      <w:pPr>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15.4竞标报价要求</w:t>
      </w:r>
    </w:p>
    <w:p w14:paraId="7751E7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供应商的竞标报价应符合以下要求，否则响应文件按无效处理：</w:t>
      </w:r>
    </w:p>
    <w:p w14:paraId="7C2C2951">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r>
        <w:rPr>
          <w:rFonts w:hint="eastAsia" w:ascii="宋体" w:hAnsi="宋体" w:cs="宋体"/>
          <w:color w:val="000000" w:themeColor="text1"/>
          <w:szCs w:val="21"/>
          <w:highlight w:val="none"/>
          <w:lang w:eastAsia="zh-CN"/>
          <w14:textFill>
            <w14:solidFill>
              <w14:schemeClr w14:val="tx1"/>
            </w14:solidFill>
          </w14:textFill>
        </w:rPr>
        <w:t>；</w:t>
      </w:r>
    </w:p>
    <w:p w14:paraId="45C8F8F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69105B0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769BAE1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w:t>
      </w:r>
      <w:r>
        <w:rPr>
          <w:rFonts w:ascii="宋体" w:hAnsi="宋体" w:cs="宋体"/>
          <w:color w:val="000000" w:themeColor="text1"/>
          <w:szCs w:val="21"/>
          <w:highlight w:val="none"/>
          <w14:textFill>
            <w14:solidFill>
              <w14:schemeClr w14:val="tx1"/>
            </w14:solidFill>
          </w14:textFill>
        </w:rPr>
        <w:t>3</w:t>
      </w:r>
      <w:bookmarkStart w:id="60"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竞标报价（包含首次报价、最后报价）超过分项采购预算金额或者单价最高限价的（如有要求），其响应文件将按无效处理。</w:t>
      </w:r>
    </w:p>
    <w:p w14:paraId="35C09D0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15.4.4供应商在提交响应文件截止时间前修改竞标函中的竞标总报价，应同时修改响应文件“已标价工程量清单”中的相应报价。此修改须符合本须知正文第20条、第21条的有关要求。</w:t>
      </w:r>
    </w:p>
    <w:bookmarkEnd w:id="60"/>
    <w:p w14:paraId="4CB6FC7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0AA247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16.1竞标有效期是指为保证采购人有足够的时间在提交响应文件后完成评审、确定180日历天成交供应商、合同签订等工作而要求供应商提交的响应文件在一定时间内保持有效的期限。</w:t>
      </w:r>
    </w:p>
    <w:p w14:paraId="2C5F6B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5733D7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685B7FA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2866A93D">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56DB7D78">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6A37972C">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1" w:name="_Hlk66782243"/>
      <w:r>
        <w:rPr>
          <w:rFonts w:hint="eastAsia" w:ascii="宋体" w:hAnsi="宋体" w:cs="宋体"/>
          <w:color w:val="000000" w:themeColor="text1"/>
          <w:szCs w:val="21"/>
          <w:highlight w:val="none"/>
          <w14:textFill>
            <w14:solidFill>
              <w14:schemeClr w14:val="tx1"/>
            </w14:solidFill>
          </w14:textFill>
        </w:rPr>
        <w:t>未成交供应商的磋商保证金自成交通知书发出之日起5个工作日内退还</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61"/>
      <w:r>
        <w:rPr>
          <w:rFonts w:hint="eastAsia" w:ascii="宋体" w:hAnsi="宋体" w:cs="宋体"/>
          <w:color w:val="000000" w:themeColor="text1"/>
          <w:szCs w:val="21"/>
          <w:highlight w:val="none"/>
          <w14:textFill>
            <w14:solidFill>
              <w14:schemeClr w14:val="tx1"/>
            </w14:solidFill>
          </w14:textFill>
        </w:rPr>
        <w:t xml:space="preserve"> </w:t>
      </w:r>
    </w:p>
    <w:p w14:paraId="515460F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65CDF9C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412A8961">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r>
        <w:rPr>
          <w:rFonts w:hint="eastAsia" w:ascii="宋体" w:hAnsi="宋体" w:cs="宋体"/>
          <w:color w:val="000000" w:themeColor="text1"/>
          <w:szCs w:val="21"/>
          <w:highlight w:val="none"/>
          <w:lang w:eastAsia="zh-CN"/>
          <w14:textFill>
            <w14:solidFill>
              <w14:schemeClr w14:val="tx1"/>
            </w14:solidFill>
          </w14:textFill>
        </w:rPr>
        <w:t>；</w:t>
      </w:r>
    </w:p>
    <w:p w14:paraId="1D18D813">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r>
        <w:rPr>
          <w:rFonts w:hint="eastAsia" w:ascii="宋体" w:hAnsi="宋体"/>
          <w:color w:val="000000" w:themeColor="text1"/>
          <w:szCs w:val="21"/>
          <w:highlight w:val="none"/>
          <w:lang w:eastAsia="zh-CN"/>
          <w14:textFill>
            <w14:solidFill>
              <w14:schemeClr w14:val="tx1"/>
            </w14:solidFill>
          </w14:textFill>
        </w:rPr>
        <w:t>；</w:t>
      </w:r>
    </w:p>
    <w:p w14:paraId="630F3E8C">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r>
        <w:rPr>
          <w:rFonts w:hint="eastAsia" w:ascii="宋体" w:hAnsi="宋体" w:cs="宋体"/>
          <w:color w:val="000000" w:themeColor="text1"/>
          <w:szCs w:val="21"/>
          <w:highlight w:val="none"/>
          <w:lang w:eastAsia="zh-CN"/>
          <w14:textFill>
            <w14:solidFill>
              <w14:schemeClr w14:val="tx1"/>
            </w14:solidFill>
          </w14:textFill>
        </w:rPr>
        <w:t>；</w:t>
      </w:r>
    </w:p>
    <w:p w14:paraId="7C915FB2">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r>
        <w:rPr>
          <w:rFonts w:hint="eastAsia" w:ascii="宋体" w:hAnsi="宋体" w:cs="宋体"/>
          <w:color w:val="000000" w:themeColor="text1"/>
          <w:szCs w:val="21"/>
          <w:highlight w:val="none"/>
          <w:lang w:eastAsia="zh-CN"/>
          <w14:textFill>
            <w14:solidFill>
              <w14:schemeClr w14:val="tx1"/>
            </w14:solidFill>
          </w14:textFill>
        </w:rPr>
        <w:t>；</w:t>
      </w:r>
    </w:p>
    <w:p w14:paraId="746A0A69">
      <w:pPr>
        <w:spacing w:line="360" w:lineRule="auto"/>
        <w:ind w:left="420" w:left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r>
        <w:rPr>
          <w:rFonts w:hint="eastAsia" w:ascii="宋体" w:hAnsi="宋体" w:cs="宋体"/>
          <w:color w:val="000000" w:themeColor="text1"/>
          <w:szCs w:val="21"/>
          <w:highlight w:val="none"/>
          <w:lang w:eastAsia="zh-CN"/>
          <w14:textFill>
            <w14:solidFill>
              <w14:schemeClr w14:val="tx1"/>
            </w14:solidFill>
          </w14:textFill>
        </w:rPr>
        <w:t>；</w:t>
      </w:r>
    </w:p>
    <w:p w14:paraId="272AD258">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6F7E1C9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01D580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w:t>
      </w:r>
      <w:r>
        <w:rPr>
          <w:rFonts w:hint="eastAsia" w:ascii="宋体" w:hAnsi="宋体" w:cs="宋体"/>
          <w:color w:val="000000" w:themeColor="text1"/>
          <w:szCs w:val="21"/>
          <w:highlight w:val="none"/>
          <w:lang w:eastAsia="zh-CN"/>
          <w14:textFill>
            <w14:solidFill>
              <w14:schemeClr w14:val="tx1"/>
            </w14:solidFill>
          </w14:textFill>
        </w:rPr>
        <w:t>广西政府采购云电子交易客户端</w:t>
      </w:r>
      <w:r>
        <w:rPr>
          <w:rFonts w:hint="eastAsia" w:ascii="宋体" w:hAnsi="宋体" w:cs="宋体"/>
          <w:color w:val="000000" w:themeColor="text1"/>
          <w:szCs w:val="21"/>
          <w:highlight w:val="none"/>
          <w14:textFill>
            <w14:solidFill>
              <w14:schemeClr w14:val="tx1"/>
            </w14:solidFill>
          </w14:textFill>
        </w:rPr>
        <w:t>”（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C0563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79D4DF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19DE2E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bookmarkStart w:id="62" w:name="_Hlk170492647"/>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并与广西政府采购云平台中获取磋商文件的供应商名称一致，</w:t>
      </w:r>
      <w:bookmarkEnd w:id="62"/>
      <w:r>
        <w:rPr>
          <w:rFonts w:hint="eastAsia" w:ascii="宋体" w:hAnsi="宋体" w:cs="宋体"/>
          <w:color w:val="000000" w:themeColor="text1"/>
          <w:szCs w:val="21"/>
          <w:highlight w:val="none"/>
          <w14:textFill>
            <w14:solidFill>
              <w14:schemeClr w14:val="tx1"/>
            </w14:solidFill>
          </w14:textFill>
        </w:rPr>
        <w:t>否则其响应文件按无效处理。</w:t>
      </w:r>
    </w:p>
    <w:p w14:paraId="44DE70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B5C4365">
      <w:pPr>
        <w:spacing w:line="360" w:lineRule="auto"/>
        <w:ind w:firstLine="482"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593ABB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w:t>
      </w:r>
      <w:r>
        <w:rPr>
          <w:rFonts w:hint="eastAsia"/>
          <w:color w:val="000000" w:themeColor="text1"/>
          <w:highlight w:val="none"/>
          <w:lang w:eastAsia="zh-CN"/>
          <w14:textFill>
            <w14:solidFill>
              <w14:schemeClr w14:val="tx1"/>
            </w14:solidFill>
          </w14:textFill>
        </w:rPr>
        <w:t>广西政府采购云</w:t>
      </w:r>
      <w:r>
        <w:rPr>
          <w:rFonts w:hint="eastAsia"/>
          <w:color w:val="000000" w:themeColor="text1"/>
          <w:highlight w:val="none"/>
          <w14:textFill>
            <w14:solidFill>
              <w14:schemeClr w14:val="tx1"/>
            </w14:solidFill>
          </w14:textFill>
        </w:rPr>
        <w:t>电子投标客户端”在线编制生成且后缀名为“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详见在“供应商须知前附表”。</w:t>
      </w:r>
    </w:p>
    <w:p w14:paraId="6A1C2B5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5C4E78E3">
      <w:pPr>
        <w:spacing w:line="360" w:lineRule="auto"/>
        <w:ind w:firstLine="420" w:firstLineChars="200"/>
        <w:rPr>
          <w:rFonts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r>
        <w:rPr>
          <w:rFonts w:hint="eastAsia" w:hAnsi="宋体"/>
          <w:b/>
          <w:color w:val="000000" w:themeColor="text1"/>
          <w:highlight w:val="none"/>
          <w14:textFill>
            <w14:solidFill>
              <w14:schemeClr w14:val="tx1"/>
            </w14:solidFill>
          </w14:textFill>
        </w:rPr>
        <w:t xml:space="preserve"> </w:t>
      </w:r>
    </w:p>
    <w:p w14:paraId="1A295C2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3BAA62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1ECDDD80">
      <w:pPr>
        <w:spacing w:line="360" w:lineRule="auto"/>
        <w:ind w:firstLine="420" w:firstLineChars="200"/>
        <w:rPr>
          <w:rFonts w:hAnsi="宋体"/>
          <w:bCs/>
          <w:color w:val="000000" w:themeColor="text1"/>
          <w:szCs w:val="21"/>
          <w:highlight w:val="none"/>
          <w14:textFill>
            <w14:solidFill>
              <w14:schemeClr w14:val="tx1"/>
            </w14:solidFill>
          </w14:textFill>
        </w:rPr>
      </w:pPr>
      <w:bookmarkStart w:id="63" w:name="_Toc254970543"/>
      <w:bookmarkStart w:id="64" w:name="_Toc254970684"/>
      <w:r>
        <w:rPr>
          <w:rFonts w:hAnsi="宋体"/>
          <w:bCs/>
          <w:color w:val="000000" w:themeColor="text1"/>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1.1供应商应当在提交响应文件截止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前完成电子响应文件的提交（上传），提交响应文件截止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前可以补充、修改或者撤回响应文件。补充或者修改响应文件的，应当先行撤回原响应文件，补充、修改后重新提交（上传），提交响应文件截止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前未完成提交（上传）的，视为撤回响应文件。提交响应文件截止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以后提交（上传）的响应文件，广西政府采购云平台将予以拒收。（注：补充、修改或者撤回方式可登录广西政府采购云平台，进入“服务中心”中查看 “电子投标文件制作与投送教程”）</w:t>
      </w:r>
    </w:p>
    <w:bookmarkEnd w:id="63"/>
    <w:bookmarkEnd w:id="64"/>
    <w:p w14:paraId="7D86F1E1">
      <w:pPr>
        <w:pStyle w:val="101"/>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33A32EA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65"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6611F1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7A1AB689">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3B9137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供应商在响应文件提交截止时间后向采购人、采购代理机构书面申请撤回响应文件的，将根据本须知正文第17.4条的规定不予退还其磋商保证金。</w:t>
      </w:r>
    </w:p>
    <w:bookmarkEnd w:id="65"/>
    <w:p w14:paraId="79F8813E">
      <w:pPr>
        <w:spacing w:line="360" w:lineRule="auto"/>
        <w:rPr>
          <w:rFonts w:ascii="宋体" w:hAnsi="宋体"/>
          <w:color w:val="000000" w:themeColor="text1"/>
          <w:szCs w:val="21"/>
          <w:highlight w:val="none"/>
          <w14:textFill>
            <w14:solidFill>
              <w14:schemeClr w14:val="tx1"/>
            </w14:solidFill>
          </w14:textFill>
        </w:rPr>
      </w:pPr>
    </w:p>
    <w:p w14:paraId="4A4FE365">
      <w:pPr>
        <w:spacing w:line="360" w:lineRule="auto"/>
        <w:ind w:left="420" w:firstLine="42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2E52FE52">
      <w:pPr>
        <w:spacing w:line="360" w:lineRule="auto"/>
        <w:ind w:left="420" w:firstLine="420"/>
        <w:rPr>
          <w:rFonts w:ascii="宋体" w:hAnsi="宋体"/>
          <w:color w:val="000000" w:themeColor="text1"/>
          <w:szCs w:val="21"/>
          <w:highlight w:val="none"/>
          <w14:textFill>
            <w14:solidFill>
              <w14:schemeClr w14:val="tx1"/>
            </w14:solidFill>
          </w14:textFill>
        </w:rPr>
      </w:pPr>
    </w:p>
    <w:p w14:paraId="13EE69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114B5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180日历天身份参加本部门或者本单位采购项目的评审。采购代理机构人员不得参加本机构代理的采购项目的评审。</w:t>
      </w:r>
    </w:p>
    <w:p w14:paraId="56E65B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9D77EA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7ABD127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1186B7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的响应文件按无效处理</w:t>
      </w:r>
      <w:r>
        <w:rPr>
          <w:b/>
          <w:color w:val="000000" w:themeColor="text1"/>
          <w:highlight w:val="none"/>
          <w14:textFill>
            <w14:solidFill>
              <w14:schemeClr w14:val="tx1"/>
            </w14:solidFill>
          </w14:textFill>
        </w:rPr>
        <w:t>。</w:t>
      </w:r>
    </w:p>
    <w:p w14:paraId="3E157C8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435028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488477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r>
        <w:rPr>
          <w:rFonts w:hint="eastAsia" w:ascii="宋体" w:hAnsi="宋体" w:cs="宋体"/>
          <w:color w:val="000000" w:themeColor="text1"/>
          <w:szCs w:val="21"/>
          <w:highlight w:val="none"/>
          <w14:textFill>
            <w14:solidFill>
              <w14:schemeClr w14:val="tx1"/>
            </w14:solidFill>
          </w14:textFill>
        </w:rPr>
        <w:t>并推荐成交候选供应商</w:t>
      </w:r>
      <w:r>
        <w:rPr>
          <w:rFonts w:ascii="宋体" w:hAnsi="宋体" w:cs="宋体"/>
          <w:color w:val="000000" w:themeColor="text1"/>
          <w:szCs w:val="21"/>
          <w:highlight w:val="none"/>
          <w14:textFill>
            <w14:solidFill>
              <w14:schemeClr w14:val="tx1"/>
            </w14:solidFill>
          </w14:textFill>
        </w:rPr>
        <w:t>。</w:t>
      </w:r>
    </w:p>
    <w:p w14:paraId="5354FE3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26.3磋商小组成员要依法独立评审，并对评审意见承担个人责任。磋商小组成员对需要共同认定的事项存在争议的，按照少数服从多数的原则做出结论。持不同意见的磋商小组成180日历天员应当在评审报告上签署不同意见并说明理由，否则视为同意。</w:t>
      </w:r>
    </w:p>
    <w:p w14:paraId="4B9C0F00">
      <w:pPr>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2AEF13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（1）电子交易平台发生故障而无法登录访问的</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w:t>
      </w:r>
    </w:p>
    <w:p w14:paraId="6141CF47">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r>
        <w:rPr>
          <w:rFonts w:hint="eastAsia" w:hAnsi="宋体"/>
          <w:color w:val="000000" w:themeColor="text1"/>
          <w:highlight w:val="none"/>
          <w:lang w:eastAsia="zh-CN"/>
          <w14:textFill>
            <w14:solidFill>
              <w14:schemeClr w14:val="tx1"/>
            </w14:solidFill>
          </w14:textFill>
        </w:rPr>
        <w:t>；</w:t>
      </w:r>
    </w:p>
    <w:p w14:paraId="6387D91F">
      <w:pPr>
        <w:spacing w:line="360" w:lineRule="auto"/>
        <w:ind w:firstLine="420" w:firstLineChars="2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r>
        <w:rPr>
          <w:rFonts w:hint="eastAsia" w:hAnsi="宋体"/>
          <w:color w:val="000000" w:themeColor="text1"/>
          <w:highlight w:val="none"/>
          <w:lang w:eastAsia="zh-CN"/>
          <w14:textFill>
            <w14:solidFill>
              <w14:schemeClr w14:val="tx1"/>
            </w14:solidFill>
          </w14:textFill>
        </w:rPr>
        <w:t>；</w:t>
      </w:r>
    </w:p>
    <w:p w14:paraId="2459858B">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（4）病毒发作导致不能进行正常操作的</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w:t>
      </w:r>
    </w:p>
    <w:p w14:paraId="78149364">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69F7DA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26.5</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影响或可能影响采购公平、公正性的，经采购代理机构确认，报采购人同意后，应当重新采购。采购代理机构必须对原有的资料及信息作出妥善保密处理，并报财政部门备案。</w:t>
      </w:r>
    </w:p>
    <w:p w14:paraId="409DF2A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64E9D9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5FC079">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6"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66"/>
    </w:p>
    <w:p w14:paraId="2972F512">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4554DDB9">
      <w:pPr>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r>
        <w:rPr>
          <w:rFonts w:hint="eastAsia" w:ascii="宋体" w:hAnsi="宋体" w:cs="Courier New"/>
          <w:color w:val="000000" w:themeColor="text1"/>
          <w:szCs w:val="21"/>
          <w:highlight w:val="none"/>
          <w:lang w:eastAsia="zh-CN"/>
          <w14:textFill>
            <w14:solidFill>
              <w14:schemeClr w14:val="tx1"/>
            </w14:solidFill>
          </w14:textFill>
        </w:rPr>
        <w:t>；</w:t>
      </w:r>
    </w:p>
    <w:p w14:paraId="16B4CF61">
      <w:pPr>
        <w:spacing w:line="360" w:lineRule="auto"/>
        <w:ind w:firstLine="420" w:firstLineChars="200"/>
        <w:rPr>
          <w:rFonts w:hint="eastAsia" w:ascii="宋体" w:hAnsi="宋体" w:eastAsia="宋体" w:cs="Courier New"/>
          <w:color w:val="000000" w:themeColor="text1"/>
          <w:szCs w:val="21"/>
          <w:highlight w:val="none"/>
          <w:lang w:eastAsia="zh-CN"/>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r>
        <w:rPr>
          <w:rFonts w:hint="eastAsia" w:ascii="宋体" w:hAnsi="宋体" w:cs="Courier New"/>
          <w:color w:val="000000" w:themeColor="text1"/>
          <w:szCs w:val="21"/>
          <w:highlight w:val="none"/>
          <w:lang w:eastAsia="zh-CN"/>
          <w14:textFill>
            <w14:solidFill>
              <w14:schemeClr w14:val="tx1"/>
            </w14:solidFill>
          </w14:textFill>
        </w:rPr>
        <w:t>；</w:t>
      </w:r>
    </w:p>
    <w:p w14:paraId="05E12F5F">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46AEDC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6FC0715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1E81A2C3">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履约保证金的金额、提交方式、退付的时间和条件详见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7039F3C0">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5998538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277EE0EB">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3F3E815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3BD73D9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1B5C25EB">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072D9DE">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FF93E9">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也不得协商另行订立背离磋商文件和合同实质性内容的协议。</w:t>
      </w:r>
    </w:p>
    <w:p w14:paraId="1CBE5D47">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32EBBB6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2FE3DE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652B9F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54EC79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2E408AF9">
      <w:pPr>
        <w:pStyle w:val="7"/>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1DE5C0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30C6717F">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（1）对可以质疑的磋商文件提出质疑的，为获取磋商文件之日或者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lang w:eastAsia="zh-CN"/>
          <w14:textFill>
            <w14:solidFill>
              <w14:schemeClr w14:val="tx1"/>
            </w14:solidFill>
          </w14:textFill>
        </w:rPr>
        <w:t>；</w:t>
      </w:r>
    </w:p>
    <w:p w14:paraId="066B4A5B">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r>
        <w:rPr>
          <w:rFonts w:hint="eastAsia" w:ascii="宋体" w:hAnsi="宋体" w:cs="宋体"/>
          <w:color w:val="000000" w:themeColor="text1"/>
          <w:highlight w:val="none"/>
          <w:lang w:eastAsia="zh-CN"/>
          <w14:textFill>
            <w14:solidFill>
              <w14:schemeClr w14:val="tx1"/>
            </w14:solidFill>
          </w14:textFill>
        </w:rPr>
        <w:t>；</w:t>
      </w:r>
    </w:p>
    <w:p w14:paraId="193B34B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0B811D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8FA14E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D10F472">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r>
        <w:rPr>
          <w:rFonts w:hint="eastAsia" w:ascii="宋体" w:hAnsi="宋体" w:cs="宋体"/>
          <w:color w:val="000000" w:themeColor="text1"/>
          <w:highlight w:val="none"/>
          <w:lang w:eastAsia="zh-CN"/>
          <w14:textFill>
            <w14:solidFill>
              <w14:schemeClr w14:val="tx1"/>
            </w14:solidFill>
          </w14:textFill>
        </w:rPr>
        <w:t>；</w:t>
      </w:r>
    </w:p>
    <w:p w14:paraId="7A7E5B05">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r>
        <w:rPr>
          <w:rFonts w:hint="eastAsia" w:ascii="宋体" w:hAnsi="宋体" w:cs="宋体"/>
          <w:color w:val="000000" w:themeColor="text1"/>
          <w:highlight w:val="none"/>
          <w:lang w:eastAsia="zh-CN"/>
          <w14:textFill>
            <w14:solidFill>
              <w14:schemeClr w14:val="tx1"/>
            </w14:solidFill>
          </w14:textFill>
        </w:rPr>
        <w:t>；</w:t>
      </w:r>
    </w:p>
    <w:p w14:paraId="63E322A0">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r>
        <w:rPr>
          <w:rFonts w:hint="eastAsia" w:ascii="宋体" w:hAnsi="宋体" w:cs="宋体"/>
          <w:color w:val="000000" w:themeColor="text1"/>
          <w:highlight w:val="none"/>
          <w:lang w:eastAsia="zh-CN"/>
          <w14:textFill>
            <w14:solidFill>
              <w14:schemeClr w14:val="tx1"/>
            </w14:solidFill>
          </w14:textFill>
        </w:rPr>
        <w:t>；</w:t>
      </w:r>
    </w:p>
    <w:p w14:paraId="5E63A7D7">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r>
        <w:rPr>
          <w:rFonts w:hint="eastAsia" w:ascii="宋体" w:hAnsi="宋体" w:cs="宋体"/>
          <w:color w:val="000000" w:themeColor="text1"/>
          <w:highlight w:val="none"/>
          <w:lang w:eastAsia="zh-CN"/>
          <w14:textFill>
            <w14:solidFill>
              <w14:schemeClr w14:val="tx1"/>
            </w14:solidFill>
          </w14:textFill>
        </w:rPr>
        <w:t>；</w:t>
      </w:r>
    </w:p>
    <w:p w14:paraId="3426A614">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r>
        <w:rPr>
          <w:rFonts w:hint="eastAsia" w:ascii="宋体" w:hAnsi="宋体" w:cs="宋体"/>
          <w:color w:val="000000" w:themeColor="text1"/>
          <w:highlight w:val="none"/>
          <w:lang w:eastAsia="zh-CN"/>
          <w14:textFill>
            <w14:solidFill>
              <w14:schemeClr w14:val="tx1"/>
            </w14:solidFill>
          </w14:textFill>
        </w:rPr>
        <w:t>；</w:t>
      </w:r>
    </w:p>
    <w:p w14:paraId="0A6B028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12A099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供应商为法人或者其他组织的，应当由法定代表人、主要负责人，或者其委托代理人签字或者盖章，并加盖公章。</w:t>
      </w:r>
    </w:p>
    <w:p w14:paraId="79300E1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认为供应商质疑成立且影响或者可能影响成交结果的，按照下列情况处理：</w:t>
      </w:r>
    </w:p>
    <w:p w14:paraId="255589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否则应当修改采购文件后重新开展采购活动。</w:t>
      </w:r>
    </w:p>
    <w:p w14:paraId="5BC1ECB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否则应当重新开展采购活动。</w:t>
      </w:r>
    </w:p>
    <w:p w14:paraId="4F14C86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4A01F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05804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2C53A10E">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.1代理服务收取标准及缴费账户详见“供应商须知前附表”，供应商为联合体的，可以由联合体中的一方或者多方共同交纳代理服务费。</w:t>
      </w:r>
    </w:p>
    <w:p w14:paraId="352E2EC6">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3D2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14C629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2950527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03252F99">
            <w:pPr>
              <w:spacing w:line="360" w:lineRule="auto"/>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02FF973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6134A12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1EA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AE7C0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5D3F1B3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Pr>
          <w:p w14:paraId="119E5E8B">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Pr>
          <w:p w14:paraId="6102E8D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7205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A575C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77F920F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Pr>
          <w:p w14:paraId="65B5228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Pr>
          <w:p w14:paraId="11AB5A71">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6A52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970A3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36DEDE1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Pr>
          <w:p w14:paraId="2B2E8B6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Pr>
          <w:p w14:paraId="6846ED85">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2F6F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1C42C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7B347BE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Pr>
          <w:p w14:paraId="289648A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Pr>
          <w:p w14:paraId="50D2517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36F6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4EB27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6C9CA44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Pr>
          <w:p w14:paraId="364F1F9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Pr>
          <w:p w14:paraId="3564D6E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0CF6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DD005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49D6C47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Pr>
          <w:p w14:paraId="76B53BC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Pr>
          <w:p w14:paraId="3770C87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366F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F7C98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076ED810">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Pr>
          <w:p w14:paraId="4A1D769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Pr>
          <w:p w14:paraId="6E36FDBC">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02F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51AA61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7B30CBA5">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Pr>
          <w:p w14:paraId="6D40A3A3">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Pr>
          <w:p w14:paraId="1DFEBF1A">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1C7A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03C9D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3B8235D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Pr>
          <w:p w14:paraId="51142460">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Pr>
          <w:p w14:paraId="3258CE88">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45C0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FF016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7EA7DD9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Pr>
          <w:p w14:paraId="3506EE9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Pr>
          <w:p w14:paraId="09026CB6">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4CFC63B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26EF671E">
      <w:pPr>
        <w:spacing w:line="360" w:lineRule="auto"/>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lang w:eastAsia="zh-CN"/>
          <w14:textFill>
            <w14:solidFill>
              <w14:schemeClr w14:val="tx1"/>
            </w14:solidFill>
          </w14:textFill>
        </w:rPr>
        <w:t>；</w:t>
      </w:r>
    </w:p>
    <w:p w14:paraId="67E5ACD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6751B1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工程项目采购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19311C6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w:t>
      </w:r>
      <w:r>
        <w:rPr>
          <w:rFonts w:hint="eastAsia" w:ascii="宋体" w:hAnsi="宋体" w:cs="宋体"/>
          <w:color w:val="000000" w:themeColor="text1"/>
          <w:highlight w:val="none"/>
          <w14:textFill>
            <w14:solidFill>
              <w14:schemeClr w14:val="tx1"/>
            </w14:solidFill>
          </w14:textFill>
        </w:rPr>
        <w:t>0</w:t>
      </w:r>
      <w:r>
        <w:rPr>
          <w:rFonts w:ascii="宋体" w:hAnsi="宋体" w:cs="宋体"/>
          <w:color w:val="000000" w:themeColor="text1"/>
          <w:highlight w:val="none"/>
          <w14:textFill>
            <w14:solidFill>
              <w14:schemeClr w14:val="tx1"/>
            </w14:solidFill>
          </w14:textFill>
        </w:rPr>
        <w:t xml:space="preserve"> %＝ 1.</w:t>
      </w:r>
      <w:r>
        <w:rPr>
          <w:rFonts w:hint="eastAsia" w:ascii="宋体" w:hAnsi="宋体" w:cs="宋体"/>
          <w:color w:val="000000" w:themeColor="text1"/>
          <w:highlight w:val="none"/>
          <w14:textFill>
            <w14:solidFill>
              <w14:schemeClr w14:val="tx1"/>
            </w14:solidFill>
          </w14:textFill>
        </w:rPr>
        <w:t>0</w:t>
      </w:r>
      <w:r>
        <w:rPr>
          <w:rFonts w:ascii="宋体" w:hAnsi="宋体" w:cs="宋体"/>
          <w:color w:val="000000" w:themeColor="text1"/>
          <w:highlight w:val="none"/>
          <w14:textFill>
            <w14:solidFill>
              <w14:schemeClr w14:val="tx1"/>
            </w14:solidFill>
          </w14:textFill>
        </w:rPr>
        <w:t>万元</w:t>
      </w:r>
    </w:p>
    <w:p w14:paraId="2710C3B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150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100 ）万元 ×0.</w:t>
      </w:r>
      <w:r>
        <w:rPr>
          <w:rFonts w:hint="eastAsia" w:ascii="宋体" w:hAnsi="宋体" w:cs="宋体"/>
          <w:color w:val="000000" w:themeColor="text1"/>
          <w:highlight w:val="none"/>
          <w14:textFill>
            <w14:solidFill>
              <w14:schemeClr w14:val="tx1"/>
            </w14:solidFill>
          </w14:textFill>
        </w:rPr>
        <w:t>7</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0.</w:t>
      </w:r>
      <w:r>
        <w:rPr>
          <w:rFonts w:hint="eastAsia" w:ascii="宋体" w:hAnsi="宋体" w:cs="宋体"/>
          <w:color w:val="000000" w:themeColor="text1"/>
          <w:highlight w:val="none"/>
          <w14:textFill>
            <w14:solidFill>
              <w14:schemeClr w14:val="tx1"/>
            </w14:solidFill>
          </w14:textFill>
        </w:rPr>
        <w:t>35</w:t>
      </w:r>
      <w:r>
        <w:rPr>
          <w:rFonts w:ascii="宋体" w:hAnsi="宋体" w:cs="宋体"/>
          <w:color w:val="000000" w:themeColor="text1"/>
          <w:highlight w:val="none"/>
          <w14:textFill>
            <w14:solidFill>
              <w14:schemeClr w14:val="tx1"/>
            </w14:solidFill>
          </w14:textFill>
        </w:rPr>
        <w:t>万元</w:t>
      </w:r>
    </w:p>
    <w:p w14:paraId="7632E87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w:t>
      </w:r>
      <w:r>
        <w:rPr>
          <w:rFonts w:hint="eastAsia" w:ascii="宋体" w:hAnsi="宋体" w:cs="宋体"/>
          <w:color w:val="000000" w:themeColor="text1"/>
          <w:highlight w:val="none"/>
          <w14:textFill>
            <w14:solidFill>
              <w14:schemeClr w14:val="tx1"/>
            </w14:solidFill>
          </w14:textFill>
        </w:rPr>
        <w:t xml:space="preserve">0 + </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 xml:space="preserve">35 </w:t>
      </w:r>
      <w:r>
        <w:rPr>
          <w:rFonts w:ascii="宋体" w:hAnsi="宋体" w:cs="宋体"/>
          <w:color w:val="000000" w:themeColor="text1"/>
          <w:highlight w:val="none"/>
          <w14:textFill>
            <w14:solidFill>
              <w14:schemeClr w14:val="tx1"/>
            </w14:solidFill>
          </w14:textFill>
        </w:rPr>
        <w:t>＝ 1.</w:t>
      </w:r>
      <w:r>
        <w:rPr>
          <w:rFonts w:hint="eastAsia" w:ascii="宋体" w:hAnsi="宋体" w:cs="宋体"/>
          <w:color w:val="000000" w:themeColor="text1"/>
          <w:highlight w:val="none"/>
          <w14:textFill>
            <w14:solidFill>
              <w14:schemeClr w14:val="tx1"/>
            </w14:solidFill>
          </w14:textFill>
        </w:rPr>
        <w:t>35</w:t>
      </w:r>
      <w:r>
        <w:rPr>
          <w:rFonts w:ascii="宋体" w:hAnsi="宋体" w:cs="宋体"/>
          <w:color w:val="000000" w:themeColor="text1"/>
          <w:highlight w:val="none"/>
          <w14:textFill>
            <w14:solidFill>
              <w14:schemeClr w14:val="tx1"/>
            </w14:solidFill>
          </w14:textFill>
        </w:rPr>
        <w:t xml:space="preserve"> 万元</w:t>
      </w:r>
    </w:p>
    <w:p w14:paraId="5AA14FA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31B1622E">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3.1</w:t>
      </w:r>
      <w:r>
        <w:rPr>
          <w:rFonts w:hint="eastAsia" w:hAnsi="宋体" w:cs="宋体"/>
          <w:color w:val="000000" w:themeColor="text1"/>
          <w:kern w:val="2"/>
          <w:sz w:val="21"/>
          <w:highlight w:val="none"/>
          <w14:textFill>
            <w14:solidFill>
              <w14:schemeClr w14:val="tx1"/>
            </w14:solidFill>
          </w14:textFill>
        </w:rPr>
        <w:t>本磋商文件解释规则详见“供应商须知前附表”。</w:t>
      </w:r>
    </w:p>
    <w:p w14:paraId="422C76EF">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33.2农民工工资保证金见“供应商须知前附表”。</w:t>
      </w:r>
    </w:p>
    <w:p w14:paraId="2A10B395">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33.</w:t>
      </w:r>
      <w:r>
        <w:rPr>
          <w:rFonts w:hint="eastAsia" w:hAnsi="宋体" w:cs="宋体"/>
          <w:color w:val="000000" w:themeColor="text1"/>
          <w:kern w:val="2"/>
          <w:sz w:val="21"/>
          <w:highlight w:val="none"/>
          <w14:textFill>
            <w14:solidFill>
              <w14:schemeClr w14:val="tx1"/>
            </w14:solidFill>
          </w14:textFill>
        </w:rPr>
        <w:t>3 其他事项详见“供应商须知前附表”。</w:t>
      </w:r>
    </w:p>
    <w:p w14:paraId="25F998C8">
      <w:pPr>
        <w:pStyle w:val="2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w:t>
      </w:r>
      <w:r>
        <w:rPr>
          <w:rFonts w:hint="eastAsia" w:hAnsi="宋体" w:cs="宋体"/>
          <w:color w:val="000000" w:themeColor="text1"/>
          <w:kern w:val="2"/>
          <w:sz w:val="21"/>
          <w:highlight w:val="none"/>
          <w14:textFill>
            <w14:solidFill>
              <w14:schemeClr w14:val="tx1"/>
            </w14:solidFill>
          </w14:textFill>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E62C0B8">
      <w:pPr>
        <w:pStyle w:val="25"/>
        <w:spacing w:line="360" w:lineRule="auto"/>
        <w:ind w:firstLine="420" w:firstLineChars="200"/>
        <w:contextualSpacing/>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r>
        <w:rPr>
          <w:rFonts w:hint="eastAsia" w:hAnsi="宋体"/>
          <w:color w:val="000000" w:themeColor="text1"/>
          <w:sz w:val="21"/>
          <w:highlight w:val="none"/>
          <w:lang w:eastAsia="zh-CN"/>
          <w14:textFill>
            <w14:solidFill>
              <w14:schemeClr w14:val="tx1"/>
            </w14:solidFill>
          </w14:textFill>
        </w:rPr>
        <w:t>；</w:t>
      </w:r>
    </w:p>
    <w:p w14:paraId="2C143F66">
      <w:pPr>
        <w:pStyle w:val="25"/>
        <w:spacing w:line="360" w:lineRule="auto"/>
        <w:ind w:firstLine="420" w:firstLineChars="200"/>
        <w:contextualSpacing/>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r>
        <w:rPr>
          <w:rFonts w:hint="eastAsia" w:hAnsi="宋体"/>
          <w:color w:val="000000" w:themeColor="text1"/>
          <w:sz w:val="21"/>
          <w:highlight w:val="none"/>
          <w:lang w:eastAsia="zh-CN"/>
          <w14:textFill>
            <w14:solidFill>
              <w14:schemeClr w14:val="tx1"/>
            </w14:solidFill>
          </w14:textFill>
        </w:rPr>
        <w:t>；</w:t>
      </w:r>
    </w:p>
    <w:p w14:paraId="02083FA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3439302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sz w:val="21"/>
          <w:highlight w:val="none"/>
          <w14:textFill>
            <w14:solidFill>
              <w14:schemeClr w14:val="tx1"/>
            </w14:solidFill>
          </w14:textFill>
        </w:rPr>
        <w:t>中小企业的，联合体视同中小企业。其中，联合体各方均为小微企业的，联合体视同小微企业。</w:t>
      </w:r>
    </w:p>
    <w:p w14:paraId="4D1F0372">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2A8DFD02">
      <w:pPr>
        <w:pStyle w:val="2"/>
        <w:spacing w:before="0" w:after="0" w:line="360" w:lineRule="auto"/>
        <w:jc w:val="center"/>
        <w:rPr>
          <w:color w:val="000000" w:themeColor="text1"/>
          <w:highlight w:val="none"/>
          <w14:textFill>
            <w14:solidFill>
              <w14:schemeClr w14:val="tx1"/>
            </w14:solidFill>
          </w14:textFill>
        </w:rPr>
      </w:pPr>
      <w:r>
        <w:rPr>
          <w:rFonts w:hAnsi="宋体"/>
          <w:b w:val="0"/>
          <w:color w:val="000000" w:themeColor="text1"/>
          <w:highlight w:val="none"/>
          <w14:textFill>
            <w14:solidFill>
              <w14:schemeClr w14:val="tx1"/>
            </w14:solidFill>
          </w14:textFill>
        </w:rPr>
        <w:br w:type="page"/>
      </w:r>
      <w:bookmarkStart w:id="67" w:name="_Toc122424246"/>
      <w:r>
        <w:rPr>
          <w:rFonts w:hint="eastAsia"/>
          <w:color w:val="000000" w:themeColor="text1"/>
          <w:highlight w:val="none"/>
          <w14:textFill>
            <w14:solidFill>
              <w14:schemeClr w14:val="tx1"/>
            </w14:solidFill>
          </w14:textFill>
        </w:rPr>
        <w:t>第三章 采购需求</w:t>
      </w:r>
      <w:bookmarkEnd w:id="67"/>
    </w:p>
    <w:p w14:paraId="4C60BBC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5A4AB5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为落实政府采购政策需满足的要求</w:t>
      </w:r>
    </w:p>
    <w:p w14:paraId="72E99A57">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“实质性要求”是指采购需求中带“▲”的条款或者不能负偏离的条款或者已经指明不满足按响应文件按无效处理的条款。</w:t>
      </w:r>
    </w:p>
    <w:p w14:paraId="41F09852">
      <w:pPr>
        <w:spacing w:line="360" w:lineRule="auto"/>
        <w:ind w:firstLine="424" w:firstLineChars="202"/>
        <w:jc w:val="left"/>
        <w:rPr>
          <w:rFonts w:ascii="宋体" w:hAnsi="宋体" w:cs="Arial"/>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104983C7">
      <w:pPr>
        <w:spacing w:line="360" w:lineRule="auto"/>
        <w:ind w:firstLine="422" w:firstLineChars="20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所属行业：建筑业</w:t>
      </w:r>
    </w:p>
    <w:tbl>
      <w:tblPr>
        <w:tblStyle w:val="43"/>
        <w:tblW w:w="8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960"/>
        <w:gridCol w:w="183"/>
        <w:gridCol w:w="568"/>
        <w:gridCol w:w="224"/>
        <w:gridCol w:w="6481"/>
        <w:gridCol w:w="46"/>
      </w:tblGrid>
      <w:tr w14:paraId="4FEB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824" w:hRule="atLeast"/>
          <w:jc w:val="center"/>
        </w:trPr>
        <w:tc>
          <w:tcPr>
            <w:tcW w:w="389" w:type="dxa"/>
            <w:vAlign w:val="center"/>
          </w:tcPr>
          <w:p w14:paraId="144A7AF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143" w:type="dxa"/>
            <w:gridSpan w:val="2"/>
            <w:vAlign w:val="center"/>
          </w:tcPr>
          <w:p w14:paraId="62DF3E1E">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792" w:type="dxa"/>
            <w:gridSpan w:val="2"/>
            <w:vAlign w:val="center"/>
          </w:tcPr>
          <w:p w14:paraId="7325C3E9">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6481" w:type="dxa"/>
            <w:vAlign w:val="center"/>
          </w:tcPr>
          <w:p w14:paraId="747FF9A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r>
      <w:tr w14:paraId="562B4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1266" w:hRule="atLeast"/>
          <w:jc w:val="center"/>
        </w:trPr>
        <w:tc>
          <w:tcPr>
            <w:tcW w:w="389" w:type="dxa"/>
            <w:vAlign w:val="center"/>
          </w:tcPr>
          <w:p w14:paraId="3509B0B9">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43" w:type="dxa"/>
            <w:gridSpan w:val="2"/>
            <w:vAlign w:val="center"/>
          </w:tcPr>
          <w:p w14:paraId="5B50E92F">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钦州幼儿师范高等专科学校室内体育馆钢结构防火防腐及地板建设工程</w:t>
            </w:r>
          </w:p>
        </w:tc>
        <w:tc>
          <w:tcPr>
            <w:tcW w:w="792" w:type="dxa"/>
            <w:gridSpan w:val="2"/>
            <w:vAlign w:val="center"/>
          </w:tcPr>
          <w:p w14:paraId="100D1BF7">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6481" w:type="dxa"/>
            <w:vAlign w:val="center"/>
          </w:tcPr>
          <w:p w14:paraId="5405122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一、建设地点：</w:t>
            </w:r>
            <w:r>
              <w:rPr>
                <w:rFonts w:hint="eastAsia"/>
                <w:color w:val="000000" w:themeColor="text1"/>
                <w:highlight w:val="none"/>
                <w14:textFill>
                  <w14:solidFill>
                    <w14:schemeClr w14:val="tx1"/>
                  </w14:solidFill>
                </w14:textFill>
              </w:rPr>
              <w:t>钦州市钦南区南珠街道西环南路89号</w:t>
            </w:r>
            <w:r>
              <w:rPr>
                <w:rFonts w:hint="eastAsia" w:ascii="宋体" w:hAnsi="宋体"/>
                <w:color w:val="000000" w:themeColor="text1"/>
                <w:szCs w:val="21"/>
                <w:highlight w:val="none"/>
                <w14:textFill>
                  <w14:solidFill>
                    <w14:schemeClr w14:val="tx1"/>
                  </w14:solidFill>
                </w14:textFill>
              </w:rPr>
              <w:t>。</w:t>
            </w:r>
          </w:p>
          <w:p w14:paraId="7E4D3808">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二、工程概况：</w:t>
            </w:r>
          </w:p>
          <w:p w14:paraId="2C89A9BF">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体育馆钢结构防火防腐及地板等工程建设</w:t>
            </w:r>
            <w:r>
              <w:rPr>
                <w:rFonts w:hint="eastAsia"/>
                <w:color w:val="000000" w:themeColor="text1"/>
                <w:highlight w:val="none"/>
                <w14:textFill>
                  <w14:solidFill>
                    <w14:schemeClr w14:val="tx1"/>
                  </w14:solidFill>
                </w14:textFill>
              </w:rPr>
              <w:t>。</w:t>
            </w:r>
          </w:p>
          <w:p w14:paraId="5DC6930B">
            <w:pPr>
              <w:spacing w:line="360" w:lineRule="auto"/>
              <w:rPr>
                <w:rFonts w:ascii="宋体" w:hAnsi="宋体"/>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三、工程质量要求：</w:t>
            </w:r>
            <w:r>
              <w:rPr>
                <w:rFonts w:hint="eastAsia" w:ascii="宋体" w:hAnsi="宋体" w:cs="宋体"/>
                <w:color w:val="000000" w:themeColor="text1"/>
                <w:szCs w:val="21"/>
                <w:highlight w:val="none"/>
                <w14:textFill>
                  <w14:solidFill>
                    <w14:schemeClr w14:val="tx1"/>
                  </w14:solidFill>
                </w14:textFill>
              </w:rPr>
              <w:t>达到国家施工验收规范合格标准要求</w:t>
            </w:r>
          </w:p>
          <w:p w14:paraId="03A6B202">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四、具体需求内容详见工程量清单（另册发放）</w:t>
            </w:r>
            <w:bookmarkStart w:id="68" w:name="_Toc333607989"/>
          </w:p>
          <w:p w14:paraId="7B3D25A0">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五、单价说明：</w:t>
            </w:r>
          </w:p>
          <w:p w14:paraId="4C861C6E">
            <w:pPr>
              <w:widowControl/>
              <w:spacing w:line="360" w:lineRule="auto"/>
              <w:jc w:val="left"/>
              <w:rPr>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 xml:space="preserve">  </w:t>
            </w:r>
            <w:bookmarkEnd w:id="68"/>
            <w:r>
              <w:rPr>
                <w:rFonts w:hint="eastAsia" w:ascii="Times New Roman" w:hAnsi="Times New Roman" w:eastAsia="宋体" w:cs="Times New Roman"/>
                <w:color w:val="auto"/>
                <w:szCs w:val="21"/>
                <w:highlight w:val="none"/>
                <w:lang w:val="en-US" w:eastAsia="zh-CN"/>
              </w:rPr>
              <w:t>材料价格主要按2025年第11期《钦州市建设工程造价信息》发布的钦州市除税价格计取，钦州市没有发布的材料，参考同期南宁市除税信息价或按市场价计取</w:t>
            </w:r>
            <w:r>
              <w:rPr>
                <w:rFonts w:hint="eastAsia" w:ascii="宋体" w:hAnsi="宋体" w:cs="宋体"/>
                <w:color w:val="000000" w:themeColor="text1"/>
                <w:kern w:val="0"/>
                <w:szCs w:val="21"/>
                <w:highlight w:val="none"/>
                <w14:textFill>
                  <w14:solidFill>
                    <w14:schemeClr w14:val="tx1"/>
                  </w14:solidFill>
                </w14:textFill>
              </w:rPr>
              <w:t>。</w:t>
            </w:r>
          </w:p>
        </w:tc>
      </w:tr>
      <w:tr w14:paraId="29A57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8805" w:type="dxa"/>
            <w:gridSpan w:val="6"/>
            <w:tcBorders>
              <w:top w:val="single" w:color="auto" w:sz="4" w:space="0"/>
              <w:left w:val="single" w:color="auto" w:sz="4" w:space="0"/>
              <w:bottom w:val="single" w:color="auto" w:sz="4" w:space="0"/>
              <w:right w:val="single" w:color="auto" w:sz="4" w:space="0"/>
            </w:tcBorders>
          </w:tcPr>
          <w:p w14:paraId="11AE3E6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一、商务要求</w:t>
            </w:r>
          </w:p>
        </w:tc>
      </w:tr>
      <w:tr w14:paraId="02214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0A3C5BB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计划工期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AD6F9E2">
            <w:pP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30</w:t>
            </w:r>
            <w:r>
              <w:rPr>
                <w:rFonts w:hint="eastAsia" w:ascii="宋体" w:hAnsi="宋体"/>
                <w:color w:val="000000" w:themeColor="text1"/>
                <w:highlight w:val="none"/>
                <w:lang w:val="zh-CN"/>
                <w14:textFill>
                  <w14:solidFill>
                    <w14:schemeClr w14:val="tx1"/>
                  </w14:solidFill>
                </w14:textFill>
              </w:rPr>
              <w:t>日历天</w:t>
            </w:r>
            <w:r>
              <w:rPr>
                <w:rFonts w:ascii="宋体" w:hAnsi="宋体"/>
                <w:color w:val="000000" w:themeColor="text1"/>
                <w:highlight w:val="none"/>
                <w:lang w:val="zh-CN"/>
                <w14:textFill>
                  <w14:solidFill>
                    <w14:schemeClr w14:val="tx1"/>
                  </w14:solidFill>
                </w14:textFill>
              </w:rPr>
              <w:t>。</w:t>
            </w:r>
          </w:p>
        </w:tc>
      </w:tr>
      <w:tr w14:paraId="59090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7BA5C30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▲建设地点</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9F60AAC">
            <w:pPr>
              <w:spacing w:line="360"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钦州市钦南区南珠街道西环南路89号</w:t>
            </w:r>
            <w:r>
              <w:rPr>
                <w:rFonts w:hint="eastAsia" w:ascii="宋体" w:hAnsi="宋体"/>
                <w:color w:val="000000" w:themeColor="text1"/>
                <w:szCs w:val="21"/>
                <w:highlight w:val="none"/>
                <w14:textFill>
                  <w14:solidFill>
                    <w14:schemeClr w14:val="tx1"/>
                  </w14:solidFill>
                </w14:textFill>
              </w:rPr>
              <w:t>。</w:t>
            </w:r>
          </w:p>
        </w:tc>
      </w:tr>
      <w:tr w14:paraId="2BB72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2BDA339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▲合同签订时间</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AA19F9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eastAsia="宋体" w:cs="Times New Roman"/>
                <w:color w:val="auto"/>
                <w:sz w:val="21"/>
                <w:highlight w:val="none"/>
                <w:lang w:val="en-US" w:eastAsia="zh-CN" w:bidi="ar-SA"/>
              </w:rPr>
              <w:t>成交通知发出后3个工作日内</w:t>
            </w:r>
            <w:r>
              <w:rPr>
                <w:rFonts w:hint="eastAsia" w:ascii="宋体" w:hAnsi="宋体"/>
                <w:color w:val="000000" w:themeColor="text1"/>
                <w:szCs w:val="21"/>
                <w:highlight w:val="none"/>
                <w14:textFill>
                  <w14:solidFill>
                    <w14:schemeClr w14:val="tx1"/>
                  </w14:solidFill>
                </w14:textFill>
              </w:rPr>
              <w:t>。</w:t>
            </w:r>
          </w:p>
        </w:tc>
      </w:tr>
      <w:tr w14:paraId="08B6C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48F59A5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▲付款条件（进度和方式）</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6048C635">
            <w:pPr>
              <w:spacing w:line="360" w:lineRule="auto"/>
              <w:ind w:firstLine="420"/>
              <w:rPr>
                <w:rFonts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auto"/>
                <w:sz w:val="21"/>
                <w:szCs w:val="21"/>
                <w:highlight w:val="none"/>
                <w:lang w:val="en-US" w:eastAsia="zh-CN"/>
              </w:rPr>
              <w:t>合同签订后，</w:t>
            </w:r>
            <w:r>
              <w:rPr>
                <w:rFonts w:hint="eastAsia" w:ascii="宋体" w:hAnsi="宋体" w:eastAsia="宋体" w:cs="Times New Roman"/>
                <w:color w:val="auto"/>
                <w:sz w:val="21"/>
                <w:szCs w:val="21"/>
                <w:highlight w:val="none"/>
              </w:rPr>
              <w:t>完成工程量的</w:t>
            </w:r>
            <w:r>
              <w:rPr>
                <w:rFonts w:hint="eastAsia" w:ascii="宋体" w:hAnsi="宋体" w:eastAsia="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rPr>
              <w:t>%支付至合同总价款的</w:t>
            </w:r>
            <w:r>
              <w:rPr>
                <w:rFonts w:hint="eastAsia" w:ascii="宋体" w:hAnsi="宋体" w:eastAsia="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rPr>
              <w:t>%；工程</w:t>
            </w:r>
            <w:r>
              <w:rPr>
                <w:rFonts w:hint="eastAsia" w:ascii="宋体" w:hAnsi="宋体" w:eastAsia="宋体" w:cs="Times New Roman"/>
                <w:color w:val="auto"/>
                <w:sz w:val="21"/>
                <w:szCs w:val="21"/>
                <w:highlight w:val="none"/>
                <w:lang w:val="en-US" w:eastAsia="zh-CN"/>
              </w:rPr>
              <w:t>全部</w:t>
            </w:r>
            <w:r>
              <w:rPr>
                <w:rFonts w:hint="eastAsia" w:ascii="宋体" w:hAnsi="宋体" w:eastAsia="宋体" w:cs="Times New Roman"/>
                <w:color w:val="auto"/>
                <w:sz w:val="21"/>
                <w:szCs w:val="21"/>
                <w:highlight w:val="none"/>
              </w:rPr>
              <w:t>竣工</w:t>
            </w:r>
            <w:r>
              <w:rPr>
                <w:rFonts w:hint="eastAsia" w:ascii="宋体" w:hAnsi="宋体" w:eastAsia="宋体" w:cs="Times New Roman"/>
                <w:color w:val="auto"/>
                <w:sz w:val="21"/>
                <w:szCs w:val="21"/>
                <w:highlight w:val="none"/>
                <w:lang w:val="en-US" w:eastAsia="zh-CN"/>
              </w:rPr>
              <w:t>完成并</w:t>
            </w:r>
            <w:r>
              <w:rPr>
                <w:rFonts w:hint="eastAsia" w:ascii="宋体" w:hAnsi="宋体" w:eastAsia="宋体" w:cs="Times New Roman"/>
                <w:color w:val="auto"/>
                <w:sz w:val="21"/>
                <w:szCs w:val="21"/>
                <w:highlight w:val="none"/>
              </w:rPr>
              <w:t>验收合格后30个工作日内，工程进度款支付至完成合同总价款的80%；竣工结算经审计部门审计后，工程款支付至项目审定结算价款的97%，预留结算总价的3%作为质量保证金，待工程缺陷责任期满后由成交供应商申请退还，采购人一次性无息返还。采购人每次付款前，成交供应商应向采购人开具同等金额的增值税专用发票，否则，采购人有权顺延付款。供应商应知晓本项目使用财政性资金，合同价款的支付前提为采购人支付合同价款流程已审批完成且对应本项目的财政资金已拨付给采购人。供应商知晓上述风险，如由于财政拨付的原因导致采购人无法按合同约定支付价款的，成交供应商承诺不因进度款延迟支付而停工，自愿放弃追究采购人延迟支付进度款的违约责任的权利</w:t>
            </w:r>
            <w:r>
              <w:rPr>
                <w:rFonts w:hint="eastAsia" w:ascii="宋体" w:hAnsi="宋体"/>
                <w:color w:val="000000" w:themeColor="text1"/>
                <w:szCs w:val="21"/>
                <w:highlight w:val="none"/>
                <w14:textFill>
                  <w14:solidFill>
                    <w14:schemeClr w14:val="tx1"/>
                  </w14:solidFill>
                </w14:textFill>
              </w:rPr>
              <w:t>。</w:t>
            </w:r>
          </w:p>
        </w:tc>
      </w:tr>
      <w:tr w14:paraId="5685C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4"/>
            <w:tcBorders>
              <w:top w:val="single" w:color="auto" w:sz="4" w:space="0"/>
              <w:left w:val="single" w:color="auto" w:sz="4" w:space="0"/>
              <w:bottom w:val="single" w:color="auto" w:sz="4" w:space="0"/>
              <w:right w:val="single" w:color="auto" w:sz="4" w:space="0"/>
            </w:tcBorders>
            <w:vAlign w:val="center"/>
          </w:tcPr>
          <w:p w14:paraId="389CBE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▲验收标准</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5EEF798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符合现行国家相关标准、行业标准、地方标准或者其他标准、规范。</w:t>
            </w:r>
          </w:p>
        </w:tc>
      </w:tr>
      <w:tr w14:paraId="25714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5D0E23B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二、与实现项目目标相关的其他要求</w:t>
            </w:r>
          </w:p>
        </w:tc>
      </w:tr>
      <w:tr w14:paraId="59E33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2413F8AA">
            <w:pPr>
              <w:snapToGrid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业绩要求</w:t>
            </w:r>
          </w:p>
        </w:tc>
        <w:tc>
          <w:tcPr>
            <w:tcW w:w="7502" w:type="dxa"/>
            <w:gridSpan w:val="5"/>
            <w:tcBorders>
              <w:top w:val="single" w:color="auto" w:sz="4" w:space="0"/>
              <w:left w:val="single" w:color="auto" w:sz="4" w:space="0"/>
              <w:bottom w:val="single" w:color="auto" w:sz="4" w:space="0"/>
              <w:right w:val="single" w:color="auto" w:sz="4" w:space="0"/>
            </w:tcBorders>
            <w:vAlign w:val="center"/>
          </w:tcPr>
          <w:p w14:paraId="203FCF9E">
            <w:pPr>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年1月1日以来至响应文件递交截止日期止供应商提供同类工程施工项目业绩，符合第四章“评审标准”的可予以加分。</w:t>
            </w:r>
          </w:p>
        </w:tc>
      </w:tr>
      <w:tr w14:paraId="40759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08D2C64B">
            <w:pPr>
              <w:snapToGrid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人员要求</w:t>
            </w:r>
          </w:p>
        </w:tc>
        <w:tc>
          <w:tcPr>
            <w:tcW w:w="7502" w:type="dxa"/>
            <w:gridSpan w:val="5"/>
            <w:tcBorders>
              <w:top w:val="single" w:color="auto" w:sz="4" w:space="0"/>
              <w:left w:val="single" w:color="auto" w:sz="4" w:space="0"/>
              <w:bottom w:val="single" w:color="auto" w:sz="4" w:space="0"/>
              <w:right w:val="single" w:color="auto" w:sz="4" w:space="0"/>
            </w:tcBorders>
            <w:vAlign w:val="center"/>
          </w:tcPr>
          <w:p w14:paraId="7FBB137C">
            <w:pPr>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拟投入本项目的人员应配置合理。</w:t>
            </w:r>
          </w:p>
        </w:tc>
      </w:tr>
      <w:tr w14:paraId="6C87C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0130A255">
            <w:pPr>
              <w:wordWrap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其它</w:t>
            </w:r>
          </w:p>
        </w:tc>
        <w:tc>
          <w:tcPr>
            <w:tcW w:w="7502" w:type="dxa"/>
            <w:gridSpan w:val="5"/>
            <w:tcBorders>
              <w:top w:val="single" w:color="auto" w:sz="4" w:space="0"/>
              <w:left w:val="single" w:color="auto" w:sz="4" w:space="0"/>
              <w:bottom w:val="single" w:color="auto" w:sz="4" w:space="0"/>
              <w:right w:val="single" w:color="auto" w:sz="4" w:space="0"/>
            </w:tcBorders>
            <w:vAlign w:val="center"/>
          </w:tcPr>
          <w:p w14:paraId="7396C5D6">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1.采购需求中，</w:t>
            </w:r>
            <w:r>
              <w:rPr>
                <w:rFonts w:hint="eastAsia" w:ascii="宋体" w:hAnsi="宋体" w:cs="宋体"/>
                <w:b/>
                <w:bCs/>
                <w:color w:val="000000" w:themeColor="text1"/>
                <w:szCs w:val="21"/>
                <w:highlight w:val="none"/>
                <w14:textFill>
                  <w14:solidFill>
                    <w14:schemeClr w14:val="tx1"/>
                  </w14:solidFill>
                </w14:textFill>
              </w:rPr>
              <w:t>技术要求允许负偏离的条款数为</w:t>
            </w:r>
            <w:r>
              <w:rPr>
                <w:rFonts w:hint="eastAsia"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项，商务要求允许负偏离的条款数为</w:t>
            </w:r>
            <w:r>
              <w:rPr>
                <w:rFonts w:hint="eastAsia" w:ascii="宋体" w:hAnsi="宋体" w:cs="宋体"/>
                <w:b/>
                <w:bCs/>
                <w:color w:val="000000" w:themeColor="text1"/>
                <w:szCs w:val="21"/>
                <w:highlight w:val="none"/>
                <w:u w:val="singl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项，必须满足或优于，否则响应文件按无效处理。</w:t>
            </w:r>
          </w:p>
          <w:p w14:paraId="610F27B4">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2.供应商</w:t>
            </w:r>
            <w:r>
              <w:rPr>
                <w:rFonts w:hint="eastAsia" w:ascii="宋体" w:hAnsi="宋体" w:cs="宋体"/>
                <w:color w:val="000000" w:themeColor="text1"/>
                <w:szCs w:val="21"/>
                <w:highlight w:val="none"/>
                <w14:textFill>
                  <w14:solidFill>
                    <w14:schemeClr w14:val="tx1"/>
                  </w14:solidFill>
                </w14:textFill>
              </w:rPr>
              <w:t>在竞标活动中如提供任何虚假材料，</w:t>
            </w:r>
            <w:r>
              <w:rPr>
                <w:rFonts w:hint="eastAsia" w:ascii="宋体" w:hAnsi="宋体" w:cs="宋体"/>
                <w:b/>
                <w:color w:val="000000" w:themeColor="text1"/>
                <w:szCs w:val="21"/>
                <w:highlight w:val="none"/>
                <w14:textFill>
                  <w14:solidFill>
                    <w14:schemeClr w14:val="tx1"/>
                  </w14:solidFill>
                </w14:textFill>
              </w:rPr>
              <w:t>其响应文件按无效处理，</w:t>
            </w:r>
            <w:r>
              <w:rPr>
                <w:rFonts w:hint="eastAsia" w:ascii="宋体" w:hAnsi="宋体" w:cs="宋体"/>
                <w:color w:val="000000" w:themeColor="text1"/>
                <w:szCs w:val="21"/>
                <w:highlight w:val="none"/>
                <w14:textFill>
                  <w14:solidFill>
                    <w14:schemeClr w14:val="tx1"/>
                  </w14:solidFill>
                </w14:textFill>
              </w:rPr>
              <w:t>并报监管部门查处。</w:t>
            </w:r>
          </w:p>
          <w:p w14:paraId="5628055A">
            <w:pPr>
              <w:wordWrap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3.供应商应在响应文件中提供施工组织设计方案</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并就本项目投入具有相关能力的人员。</w:t>
            </w:r>
          </w:p>
        </w:tc>
      </w:tr>
    </w:tbl>
    <w:p w14:paraId="08A235F0">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7D556F21">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4F85FF57">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7575573F">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482FFF1B">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2F856D8E">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0DB0279D">
      <w:pPr>
        <w:pStyle w:val="2"/>
        <w:spacing w:before="0" w:after="0" w:line="360" w:lineRule="auto"/>
        <w:jc w:val="center"/>
        <w:rPr>
          <w:color w:val="000000" w:themeColor="text1"/>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Start w:id="69" w:name="_Toc122424247"/>
      <w:r>
        <w:rPr>
          <w:rFonts w:hint="eastAsia"/>
          <w:color w:val="000000" w:themeColor="text1"/>
          <w:highlight w:val="none"/>
          <w14:textFill>
            <w14:solidFill>
              <w14:schemeClr w14:val="tx1"/>
            </w14:solidFill>
          </w14:textFill>
        </w:rPr>
        <w:t>第四章  评审程序、评审方法和评审标准</w:t>
      </w:r>
      <w:bookmarkEnd w:id="69"/>
    </w:p>
    <w:p w14:paraId="02147E4C">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71322C8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4E26BAA9">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36F7C6D0">
      <w:pPr>
        <w:wordWrap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5B0C4BB8">
      <w:pPr>
        <w:wordWrap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（1）查询渠道：“信用中国”网站（www.creditchina.gov.cn）、中国政府采购网（www.ccgp.gov.cn）链接入口。</w:t>
      </w:r>
    </w:p>
    <w:p w14:paraId="21CDF8A3">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2B3A7329">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（3）查询记录和证据留存方式：在查询网站中直接查询、打印作为评审资料保存。</w:t>
      </w:r>
    </w:p>
    <w:p w14:paraId="0841B3B3">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采购活动。</w:t>
      </w:r>
      <w:r>
        <w:rPr>
          <w:rFonts w:hint="eastAsia" w:ascii="宋体" w:hAnsi="宋体"/>
          <w:color w:val="auto"/>
          <w:szCs w:val="21"/>
        </w:rPr>
        <w:t>两个以上的法人或者其他组织组成一个联合体，以一个供应商的身份共同参加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3163B5EE">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0377E4AC">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.3供应商有下列情形之一的，资格审查不通过，其响应文件按无效处理：</w:t>
      </w:r>
    </w:p>
    <w:p w14:paraId="28ADC2C8">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155975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（2）未按磋商文件规定的方式获取本磋商文件的供应商；</w:t>
      </w:r>
    </w:p>
    <w:p w14:paraId="2DC9B6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01F32B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1E051E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CC6166B">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应当重新开展采购活动。</w:t>
      </w:r>
    </w:p>
    <w:p w14:paraId="6627A727">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4F36531B">
      <w:pPr>
        <w:spacing w:line="360" w:lineRule="auto"/>
        <w:ind w:firstLine="420" w:firstLineChars="200"/>
        <w:rPr>
          <w:rFonts w:hint="eastAsia" w:ascii="宋体" w:hAnsi="宋体" w:cs="宋体"/>
          <w:color w:val="auto"/>
          <w:szCs w:val="21"/>
        </w:rPr>
      </w:pPr>
      <w:bookmarkStart w:id="70"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70"/>
    <w:p w14:paraId="128CB458">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7FFB05">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磋商小组要求供应商澄清、说明或者更正响应文件的，应当</w:t>
      </w:r>
      <w:r>
        <w:rPr>
          <w:rFonts w:hint="eastAsia" w:ascii="宋体" w:hAnsi="宋体" w:cs="Courier New"/>
          <w:color w:val="auto"/>
          <w:szCs w:val="21"/>
        </w:rPr>
        <w:t>以书面形式要求供应商在规定时间内作出必要的澄清、说明或者补正。供应商的澄清、说明或者补正必须采用书面形式，并加盖公章，或者由法定代表人或者其授权的代表签字。</w:t>
      </w:r>
      <w:r>
        <w:rPr>
          <w:rFonts w:ascii="宋体" w:hAnsi="宋体" w:cs="宋体"/>
          <w:color w:val="auto"/>
          <w:spacing w:val="-6"/>
          <w:szCs w:val="21"/>
        </w:rPr>
        <w:t xml:space="preserve"> </w:t>
      </w:r>
    </w:p>
    <w:p w14:paraId="318AA842">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328288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6F239C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74715C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50F936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72AB0A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同时出现两种以上不一致的，按照以上（1）-（4）规定的顺序逐条进行修正。修正后的报价经供应商确认后产生约束力，供应商不确认的，其响应文件按无效处理。</w:t>
      </w:r>
    </w:p>
    <w:p w14:paraId="66501FF9">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1AFF3FF3">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在评审时，如发现下列情形之一的，将被视为响应文件无效处理：</w:t>
      </w:r>
    </w:p>
    <w:p w14:paraId="3E50429B">
      <w:pPr>
        <w:spacing w:line="360" w:lineRule="auto"/>
        <w:ind w:firstLine="422" w:firstLineChars="200"/>
        <w:rPr>
          <w:rFonts w:ascii="宋体" w:hAnsi="宋体" w:cs="宋体"/>
          <w:b/>
          <w:color w:val="auto"/>
          <w:szCs w:val="21"/>
        </w:rPr>
      </w:pPr>
      <w:r>
        <w:rPr>
          <w:rFonts w:hint="eastAsia" w:ascii="宋体" w:hAnsi="宋体" w:cs="宋体"/>
          <w:b/>
          <w:color w:val="auto"/>
          <w:szCs w:val="21"/>
        </w:rPr>
        <w:t>（1）商务技术评审</w:t>
      </w:r>
    </w:p>
    <w:p w14:paraId="340CF0B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1）响应文件未按磋商文件要求签署、盖章的；</w:t>
      </w:r>
    </w:p>
    <w:p w14:paraId="3250F69B">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 xml:space="preserve">2）委托代理人未能出具有效身份证或者出具的身份证与授权委托书中的信息不符的； </w:t>
      </w:r>
    </w:p>
    <w:p w14:paraId="35CC4497">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3）提交的磋商保证金无效的或者未按照磋商文件的规定提交磋商保证金的；</w:t>
      </w:r>
    </w:p>
    <w:p w14:paraId="52B8ACFD">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7D0FEA0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5）商务要求允许负偏离的条款数超过“供应商须知前附表”规定项数的；</w:t>
      </w:r>
    </w:p>
    <w:p w14:paraId="789B4FDE">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6）未对竞标有效期作出响应或者响应文件承诺的竞标有效期不满足磋商文件要求的；</w:t>
      </w:r>
    </w:p>
    <w:p w14:paraId="7D3E3E20">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7）响应文件的实质性内容未使用中文表述、使用计量单位不符合磋商文件要求的；</w:t>
      </w:r>
    </w:p>
    <w:p w14:paraId="07903A7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8）响应文件中的文件资料因填写不齐全或者内容虚假或者出现其他情形而导致被磋商小组认定无效的；</w:t>
      </w:r>
    </w:p>
    <w:p w14:paraId="68AE605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9）响应文件含有采购人不能接受的附加条件的；</w:t>
      </w:r>
    </w:p>
    <w:p w14:paraId="3DE78956">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10）属于“供应商须知正文”第7.</w:t>
      </w:r>
      <w:r>
        <w:rPr>
          <w:rFonts w:ascii="宋体" w:hAnsi="宋体" w:cs="宋体"/>
          <w:b/>
          <w:color w:val="auto"/>
          <w:szCs w:val="21"/>
        </w:rPr>
        <w:t>5</w:t>
      </w:r>
      <w:r>
        <w:rPr>
          <w:rFonts w:hint="eastAsia" w:ascii="宋体" w:hAnsi="宋体" w:cs="宋体"/>
          <w:b/>
          <w:color w:val="auto"/>
          <w:szCs w:val="21"/>
        </w:rPr>
        <w:t>条供应商相互串通竞标情形的；</w:t>
      </w:r>
    </w:p>
    <w:p w14:paraId="77C9BA58">
      <w:pPr>
        <w:spacing w:line="360" w:lineRule="auto"/>
        <w:ind w:firstLine="422" w:firstLineChars="200"/>
        <w:rPr>
          <w:rFonts w:hint="eastAsia"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1）技术要求允许负偏离的条款数超过“供应商须知前附表”规定项数的；</w:t>
      </w:r>
    </w:p>
    <w:p w14:paraId="6F0DEB0C">
      <w:pPr>
        <w:spacing w:line="360" w:lineRule="auto"/>
        <w:ind w:firstLine="422" w:firstLineChars="200"/>
        <w:rPr>
          <w:rFonts w:hint="eastAsia"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2）虚假竞标，或者出现其他情形而导致被磋商小组认定无效的；</w:t>
      </w:r>
    </w:p>
    <w:p w14:paraId="2E146A4C">
      <w:pPr>
        <w:spacing w:line="360" w:lineRule="auto"/>
        <w:ind w:firstLine="422" w:firstLineChars="200"/>
        <w:rPr>
          <w:rFonts w:hint="eastAsia"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3）</w:t>
      </w:r>
      <w:bookmarkStart w:id="71"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71"/>
    </w:p>
    <w:p w14:paraId="7DA048CD">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4）响应文件标注的项目名称或者项目编号与磋商文件标注的项目名称或者项目编号不一致的；</w:t>
      </w:r>
    </w:p>
    <w:p w14:paraId="6472DF90">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15）</w:t>
      </w:r>
      <w:r>
        <w:rPr>
          <w:rFonts w:hint="eastAsia" w:ascii="宋体" w:hAnsi="宋体"/>
          <w:b/>
          <w:color w:val="auto"/>
          <w:szCs w:val="21"/>
        </w:rPr>
        <w:t>竞争性磋商文件明确不允许分包，响应文件拟分包的；</w:t>
      </w:r>
    </w:p>
    <w:p w14:paraId="3941CED5">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6）未响应磋商文件实质性要求的；</w:t>
      </w:r>
    </w:p>
    <w:p w14:paraId="3B77A66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17）法律、法规和磋商文件规定的其他无效情形。</w:t>
      </w:r>
    </w:p>
    <w:p w14:paraId="20A0087C">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）报价评审</w:t>
      </w:r>
    </w:p>
    <w:p w14:paraId="4D7A89B5">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w:t>
      </w:r>
      <w:r>
        <w:rPr>
          <w:rFonts w:ascii="宋体" w:hAnsi="宋体" w:cs="宋体"/>
          <w:b/>
          <w:color w:val="auto"/>
          <w:szCs w:val="21"/>
        </w:rPr>
        <w:t xml:space="preserve"> </w:t>
      </w:r>
      <w:r>
        <w:rPr>
          <w:rFonts w:hint="eastAsia" w:ascii="宋体" w:hAnsi="宋体" w:cs="宋体"/>
          <w:b/>
          <w:color w:val="auto"/>
          <w:szCs w:val="21"/>
        </w:rPr>
        <w:t>响应文件未提供“供应商须知前附表” 报价文件中规定的“竞标报价表”的；</w:t>
      </w:r>
    </w:p>
    <w:p w14:paraId="6C44569A">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2）未采用人民币报价或者未按照磋商文件标明的币种报价的；</w:t>
      </w:r>
    </w:p>
    <w:p w14:paraId="1261F5FF">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D15CA5E">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4）竞标报价（包含首次报价、最后报价）超过所竞标分标规定的采购预算金额或者最高限价的（如本项目公布了最高限价）；</w:t>
      </w:r>
      <w:bookmarkStart w:id="72" w:name="_Hlk42596405"/>
      <w:r>
        <w:rPr>
          <w:rFonts w:hint="eastAsia" w:ascii="宋体" w:hAnsi="宋体" w:cs="宋体"/>
          <w:b/>
          <w:color w:val="auto"/>
          <w:szCs w:val="21"/>
        </w:rPr>
        <w:t>竞标报价（包含首次报价、最后报价）</w:t>
      </w:r>
      <w:bookmarkEnd w:id="72"/>
      <w:bookmarkStart w:id="73" w:name="_Hlk42596276"/>
      <w:r>
        <w:rPr>
          <w:rFonts w:hint="eastAsia" w:ascii="宋体" w:hAnsi="宋体" w:cs="宋体"/>
          <w:b/>
          <w:color w:val="auto"/>
          <w:szCs w:val="21"/>
        </w:rPr>
        <w:t>超过磋商文件分项采购预算金额或者最高限价的</w:t>
      </w:r>
      <w:bookmarkEnd w:id="73"/>
      <w:r>
        <w:rPr>
          <w:rFonts w:hint="eastAsia" w:ascii="宋体" w:hAnsi="宋体" w:cs="宋体"/>
          <w:b/>
          <w:color w:val="auto"/>
          <w:szCs w:val="21"/>
        </w:rPr>
        <w:t>（如本项目有要求并公布了分项采购预算金额或者最高限价）；</w:t>
      </w:r>
    </w:p>
    <w:p w14:paraId="6A58E838">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64961B3D">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6）在单价合同工程中供应商采用总价优惠或以总价百分比优惠的方式进行竞标报价的；</w:t>
      </w:r>
    </w:p>
    <w:p w14:paraId="58E241CD">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7）竞标总报价与已标价工程量清单汇总表不一致的；</w:t>
      </w:r>
    </w:p>
    <w:p w14:paraId="02984B21">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8）安全文明施工费和规费、增值税不按广西区费用定额及造价管理相关文件规定报价的（园林绿化及仿古建筑工程除外）；</w:t>
      </w:r>
    </w:p>
    <w:p w14:paraId="5048BAD3">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9）供应商已标价工程量清单的项目编码（12位）、计量单位、工程量任何一处与工程量清单不一致的；</w:t>
      </w:r>
    </w:p>
    <w:p w14:paraId="6CCF82D2">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10）供应商已标价工程量清单的项目名称或项目特征与工程量清单不一致，谈判小组要求澄清、说明或补正，但供应商拒绝澄清、说明或补正的；</w:t>
      </w:r>
    </w:p>
    <w:p w14:paraId="2292E44A">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lang w:val="en-US" w:eastAsia="zh-CN"/>
        </w:rPr>
        <w:t>11</w:t>
      </w:r>
      <w:r>
        <w:rPr>
          <w:rFonts w:hint="eastAsia" w:ascii="宋体" w:hAnsi="宋体" w:cs="宋体"/>
          <w:b/>
          <w:color w:val="auto"/>
          <w:szCs w:val="21"/>
        </w:rPr>
        <w:t>）设有暂估价、暂列金额的，竞标时未按工程量清单给出的暂估价总价、暂列金额总价计入竞标总报价中的；</w:t>
      </w:r>
    </w:p>
    <w:p w14:paraId="31C9FE34">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2</w:t>
      </w:r>
      <w:r>
        <w:rPr>
          <w:rFonts w:hint="eastAsia" w:ascii="宋体" w:hAnsi="宋体" w:cs="宋体"/>
          <w:b/>
          <w:color w:val="auto"/>
          <w:szCs w:val="21"/>
        </w:rPr>
        <w:t>）供应商对工程量清单内容进行增减或对竞标范围进行调整的；</w:t>
      </w:r>
    </w:p>
    <w:p w14:paraId="4120BDF2">
      <w:pPr>
        <w:spacing w:line="360" w:lineRule="auto"/>
        <w:ind w:firstLine="422" w:firstLineChars="200"/>
        <w:rPr>
          <w:rFonts w:hint="eastAsia" w:ascii="宋体" w:hAnsi="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3</w:t>
      </w:r>
      <w:r>
        <w:rPr>
          <w:rFonts w:hint="eastAsia" w:ascii="宋体" w:hAnsi="宋体" w:cs="宋体"/>
          <w:b/>
          <w:color w:val="auto"/>
          <w:szCs w:val="21"/>
        </w:rPr>
        <w:t>）</w:t>
      </w:r>
      <w:r>
        <w:rPr>
          <w:rFonts w:hint="eastAsia" w:ascii="宋体" w:hAnsi="宋体"/>
          <w:b/>
          <w:color w:val="auto"/>
          <w:szCs w:val="21"/>
        </w:rPr>
        <w:t>响应文件响应的标的数量及单位与竞争性磋商采购文件要求实质性不一致的；</w:t>
      </w:r>
    </w:p>
    <w:p w14:paraId="1CBA6E6D">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lang w:val="en-US" w:eastAsia="zh-CN"/>
        </w:rPr>
        <w:t>4</w:t>
      </w:r>
      <w:r>
        <w:rPr>
          <w:rFonts w:hint="eastAsia" w:ascii="宋体" w:hAnsi="宋体" w:cs="宋体"/>
          <w:b/>
          <w:color w:val="auto"/>
          <w:szCs w:val="21"/>
        </w:rPr>
        <w:t>）未响应磋商文件实质性要求的。</w:t>
      </w:r>
    </w:p>
    <w:p w14:paraId="46E10691">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14:paraId="3F229648">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通过符合性审查的合格供应商不足3家的，不得进入磋商环节，应当重新开展采购活动。</w:t>
      </w:r>
    </w:p>
    <w:p w14:paraId="6EF8B47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752795E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073D94D">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A53030A">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3E3B5F58">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供应商必须按照磋商文件的变动情况和磋商小组的要求做出回应。参加磋商的供应商未在规定时间内重新提交响应文件的，视同退出磋商，其响应文件按无效处理。</w:t>
      </w:r>
    </w:p>
    <w:p w14:paraId="5DEE1F76">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14:paraId="0AA9553A">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14:paraId="200333A5">
      <w:pPr>
        <w:tabs>
          <w:tab w:val="left" w:pos="283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rFonts w:hint="eastAsia" w:ascii="宋体" w:hAnsi="宋体"/>
          <w:color w:val="auto"/>
          <w:szCs w:val="21"/>
        </w:rPr>
        <w:t>对磋商过程提交的响应文件进行有效性、完整性和响应程度审查，通过审查的合格供应商不足3家的，应当重新开展采购活动。</w:t>
      </w:r>
    </w:p>
    <w:p w14:paraId="5ED78DE2">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3EE48D3D">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磋商文件能够详细列明采购标的的技术、服务要求的，磋商结束后，磋商小组应当要求所有继续参加磋商的供应商在规定时间内提交最后报价，提交最后报价的供应商不得少于3家，否则应当重新</w:t>
      </w:r>
      <w:r>
        <w:rPr>
          <w:rFonts w:hint="eastAsia" w:ascii="宋体" w:hAnsi="宋体"/>
          <w:color w:val="auto"/>
          <w:szCs w:val="21"/>
        </w:rPr>
        <w:t>开展采购活动</w:t>
      </w:r>
      <w:r>
        <w:rPr>
          <w:rFonts w:hint="eastAsia" w:ascii="宋体" w:hAnsi="宋体" w:cs="宋体"/>
          <w:color w:val="auto"/>
          <w:szCs w:val="21"/>
        </w:rPr>
        <w:t>。</w:t>
      </w:r>
    </w:p>
    <w:p w14:paraId="6C146765">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14:paraId="0BAC1E73">
      <w:pPr>
        <w:spacing w:line="360" w:lineRule="auto"/>
        <w:ind w:firstLine="420" w:firstLineChars="200"/>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lang w:val="en-US" w:eastAsia="zh-CN"/>
        </w:rPr>
        <w:t>3</w:t>
      </w:r>
      <w:r>
        <w:rPr>
          <w:rFonts w:hint="eastAsia" w:ascii="宋体" w:hAnsi="宋体" w:cs="宋体"/>
          <w:color w:val="auto"/>
          <w:szCs w:val="21"/>
        </w:rPr>
        <w:t>已经提交响应文件的供应商，在提交最后报价之前，可以根据磋商情况退出磋商，退出磋商的供应商的响应文件按无效处理。采购人、采购代理机构将退还退出磋商的供应商的保证金。</w:t>
      </w:r>
    </w:p>
    <w:p w14:paraId="02D202AF">
      <w:pPr>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lang w:val="en-US" w:eastAsia="zh-CN"/>
        </w:rPr>
        <w:t>4</w:t>
      </w:r>
      <w:r>
        <w:rPr>
          <w:rFonts w:hint="eastAsia" w:ascii="宋体" w:hAnsi="宋体" w:cs="宋体"/>
          <w:color w:val="auto"/>
          <w:szCs w:val="21"/>
        </w:rPr>
        <w:t>供应商未在规定时间内提交最后报价的，视同退出磋商，其响应文件按无效处理。</w:t>
      </w:r>
    </w:p>
    <w:p w14:paraId="53655C99">
      <w:pPr>
        <w:spacing w:line="360" w:lineRule="auto"/>
        <w:ind w:firstLine="420" w:firstLineChars="200"/>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lang w:val="en-US" w:eastAsia="zh-CN"/>
        </w:rPr>
        <w:t>5</w:t>
      </w:r>
      <w:r>
        <w:rPr>
          <w:rFonts w:hint="eastAsia" w:ascii="宋体" w:hAnsi="宋体" w:cs="宋体"/>
          <w:color w:val="auto"/>
          <w:szCs w:val="21"/>
        </w:rPr>
        <w:t>最后报价统一开启后，磋商小组对最后报价进行有效性、完整性和响应程度的审查。</w:t>
      </w:r>
    </w:p>
    <w:p w14:paraId="1B93AE52">
      <w:pPr>
        <w:spacing w:line="360" w:lineRule="auto"/>
        <w:ind w:firstLine="420" w:firstLineChars="200"/>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lang w:val="en-US" w:eastAsia="zh-CN"/>
        </w:rPr>
        <w:t>6</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114E0C4A">
      <w:pPr>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lang w:val="en-US" w:eastAsia="zh-CN"/>
        </w:rPr>
        <w:t>7</w:t>
      </w:r>
      <w:r>
        <w:rPr>
          <w:rFonts w:hint="eastAsia" w:ascii="宋体" w:hAnsi="宋体" w:cs="宋体"/>
          <w:color w:val="auto"/>
          <w:szCs w:val="21"/>
        </w:rPr>
        <w:t>修正后的报价出现下列情形的，按无效响应处理：</w:t>
      </w:r>
    </w:p>
    <w:p w14:paraId="0942E79F">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258FC4B9">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47930C09">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67E7FC99">
      <w:pPr>
        <w:spacing w:line="360" w:lineRule="auto"/>
        <w:ind w:firstLine="420" w:firstLineChars="200"/>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lang w:val="en-US" w:eastAsia="zh-CN"/>
        </w:rPr>
        <w:t>8</w:t>
      </w:r>
      <w:r>
        <w:rPr>
          <w:rFonts w:hint="eastAsia" w:ascii="宋体" w:hAnsi="宋体" w:cs="宋体"/>
          <w:color w:val="auto"/>
          <w:szCs w:val="21"/>
        </w:rPr>
        <w:t>经供应商确认修正后的最后报价作为评审及签订合同的依据。</w:t>
      </w:r>
    </w:p>
    <w:p w14:paraId="7BE77014">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9</w:t>
      </w:r>
      <w:r>
        <w:rPr>
          <w:rFonts w:hint="eastAsia" w:ascii="宋体" w:hAnsi="宋体" w:cs="宋体"/>
          <w:color w:val="auto"/>
          <w:szCs w:val="21"/>
        </w:rPr>
        <w:t>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2F9447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最后报价结束后，磋商小组不得再与供应商进行任何形式的商谈。</w:t>
      </w:r>
    </w:p>
    <w:p w14:paraId="2C5A8A8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581EDEBD">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486FF8E9">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5454888E">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39D5A3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11BF491F">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3807384F">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C0BBFB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6. 成交供应商荐原则</w:t>
      </w:r>
    </w:p>
    <w:p w14:paraId="625DEF99">
      <w:pPr>
        <w:spacing w:line="360" w:lineRule="auto"/>
        <w:ind w:firstLine="420" w:firstLineChars="200"/>
        <w:rPr>
          <w:rFonts w:hint="eastAsia" w:ascii="宋体" w:hAnsi="宋体"/>
          <w:color w:val="auto"/>
          <w:kern w:val="0"/>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1</w:t>
      </w:r>
      <w:r>
        <w:rPr>
          <w:rFonts w:hint="eastAsia" w:ascii="宋体" w:hAnsi="宋体"/>
          <w:bCs/>
          <w:color w:val="auto"/>
          <w:szCs w:val="21"/>
        </w:rPr>
        <w:t>由磋商小组根据综合评分情况，按照评审得分由高到低顺序推荐3名以上成交候选供应商，并编写评审报告</w:t>
      </w:r>
      <w:r>
        <w:rPr>
          <w:rFonts w:hint="eastAsia" w:hAnsi="宋体"/>
          <w:color w:val="auto"/>
        </w:rPr>
        <w:t>向采购人、采购代理机构提交。</w:t>
      </w:r>
      <w:r>
        <w:rPr>
          <w:rFonts w:hint="eastAsia" w:ascii="宋体" w:hAnsi="宋体"/>
          <w:bCs/>
          <w:color w:val="auto"/>
          <w:szCs w:val="21"/>
        </w:rPr>
        <w:t>评审得分相同的，按照最后报价（不计算价格折扣）由低到高的顺序推荐。评审得分且最后报价（不计算价格折扣）相同的，按照技术得分由高到低排序。评审得分、最后报价（不计算价格折扣）、技术得分均相同的，由磋商小组随机抽取推荐</w:t>
      </w:r>
      <w:r>
        <w:rPr>
          <w:rFonts w:hint="eastAsia" w:ascii="宋体" w:hAnsi="宋体"/>
          <w:color w:val="auto"/>
          <w:kern w:val="0"/>
          <w:szCs w:val="21"/>
        </w:rPr>
        <w:t>。</w:t>
      </w:r>
    </w:p>
    <w:p w14:paraId="3CE1EEB3">
      <w:pPr>
        <w:spacing w:line="440" w:lineRule="exact"/>
        <w:ind w:firstLine="420" w:firstLineChars="200"/>
        <w:rPr>
          <w:rFonts w:hint="eastAsia" w:ascii="宋体" w:hAnsi="宋体"/>
          <w:color w:val="auto"/>
          <w:kern w:val="0"/>
          <w:szCs w:val="21"/>
        </w:rPr>
      </w:pP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kern w:val="0"/>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A14A0E8">
      <w:pPr>
        <w:spacing w:line="440" w:lineRule="exact"/>
        <w:ind w:firstLine="643" w:firstLineChars="200"/>
        <w:jc w:val="center"/>
        <w:rPr>
          <w:rFonts w:hint="eastAsia" w:hAnsi="宋体"/>
          <w:b/>
          <w:bCs/>
          <w:color w:val="auto"/>
        </w:rPr>
      </w:pPr>
      <w:r>
        <w:rPr>
          <w:rFonts w:hint="eastAsia" w:ascii="宋体" w:hAnsi="宋体" w:eastAsia="宋体" w:cs="Times New Roman"/>
          <w:b/>
          <w:color w:val="auto"/>
          <w:sz w:val="32"/>
          <w:szCs w:val="32"/>
        </w:rPr>
        <w:t>二、评审标准</w:t>
      </w:r>
    </w:p>
    <w:p w14:paraId="3882F917">
      <w:pPr>
        <w:ind w:firstLine="420" w:firstLineChars="200"/>
        <w:rPr>
          <w:rFonts w:hint="eastAsia" w:ascii="宋体" w:hAnsi="宋体"/>
          <w:bCs/>
          <w:color w:val="000000" w:themeColor="text1"/>
          <w:szCs w:val="21"/>
          <w:highlight w:val="none"/>
          <w14:textFill>
            <w14:solidFill>
              <w14:schemeClr w14:val="tx1"/>
            </w14:solidFill>
          </w14:textFill>
        </w:rPr>
      </w:pPr>
      <w:r>
        <w:rPr>
          <w:rFonts w:hint="eastAsia" w:hAnsi="宋体"/>
          <w:bCs/>
          <w:color w:val="auto"/>
        </w:rPr>
        <w:t>磋商小组将以磋商响应文件为评审依据，对供应商的报价、技术、商务等方面内容按百分制打分。（计分方法按四舍五入取至百分位）</w:t>
      </w:r>
    </w:p>
    <w:tbl>
      <w:tblPr>
        <w:tblStyle w:val="4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494"/>
        <w:gridCol w:w="1285"/>
        <w:gridCol w:w="6153"/>
        <w:gridCol w:w="878"/>
      </w:tblGrid>
      <w:tr w14:paraId="486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00684037">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序号</w:t>
            </w:r>
          </w:p>
        </w:tc>
        <w:tc>
          <w:tcPr>
            <w:tcW w:w="1779" w:type="dxa"/>
            <w:gridSpan w:val="2"/>
            <w:noWrap w:val="0"/>
            <w:vAlign w:val="center"/>
          </w:tcPr>
          <w:p w14:paraId="31ADB9CE">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评审因素</w:t>
            </w:r>
          </w:p>
        </w:tc>
        <w:tc>
          <w:tcPr>
            <w:tcW w:w="6153" w:type="dxa"/>
            <w:noWrap w:val="0"/>
            <w:vAlign w:val="center"/>
          </w:tcPr>
          <w:p w14:paraId="4F0A353A">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评审标准</w:t>
            </w:r>
          </w:p>
        </w:tc>
        <w:tc>
          <w:tcPr>
            <w:tcW w:w="878" w:type="dxa"/>
            <w:noWrap w:val="0"/>
            <w:vAlign w:val="center"/>
          </w:tcPr>
          <w:p w14:paraId="0F175B11">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分值</w:t>
            </w:r>
          </w:p>
        </w:tc>
      </w:tr>
      <w:tr w14:paraId="27AB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577BF4EA">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w:t>
            </w:r>
          </w:p>
        </w:tc>
        <w:tc>
          <w:tcPr>
            <w:tcW w:w="1779" w:type="dxa"/>
            <w:gridSpan w:val="2"/>
            <w:noWrap w:val="0"/>
            <w:vAlign w:val="center"/>
          </w:tcPr>
          <w:p w14:paraId="103BCAE2">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价格分</w:t>
            </w:r>
          </w:p>
        </w:tc>
        <w:tc>
          <w:tcPr>
            <w:tcW w:w="6153" w:type="dxa"/>
            <w:noWrap w:val="0"/>
            <w:vAlign w:val="top"/>
          </w:tcPr>
          <w:p w14:paraId="41E3814C">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（1）本项目专门面向中小企业采购，根据《政府采购促进中小企业发展管理办法》规定，不再针对小微企业执行价格扣除政策。</w:t>
            </w:r>
          </w:p>
          <w:p w14:paraId="10921AAB">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（2）以进入比较与评价环节的最低的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最后报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价为基准价，基准价得分为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 。</w:t>
            </w:r>
          </w:p>
          <w:p w14:paraId="590A162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（3）价格分计算公式：报价得分=（基准价/最后报价）×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c>
          <w:tcPr>
            <w:tcW w:w="878" w:type="dxa"/>
            <w:noWrap w:val="0"/>
            <w:vAlign w:val="center"/>
          </w:tcPr>
          <w:p w14:paraId="3CF0A123">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20分</w:t>
            </w:r>
          </w:p>
        </w:tc>
      </w:tr>
      <w:tr w14:paraId="7E4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6CF63F62">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2</w:t>
            </w:r>
          </w:p>
        </w:tc>
        <w:tc>
          <w:tcPr>
            <w:tcW w:w="1779" w:type="dxa"/>
            <w:gridSpan w:val="2"/>
            <w:noWrap w:val="0"/>
            <w:vAlign w:val="center"/>
          </w:tcPr>
          <w:p w14:paraId="0CB2C1D1">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技术分</w:t>
            </w:r>
          </w:p>
        </w:tc>
        <w:tc>
          <w:tcPr>
            <w:tcW w:w="6153" w:type="dxa"/>
            <w:noWrap w:val="0"/>
            <w:vAlign w:val="center"/>
          </w:tcPr>
          <w:p w14:paraId="6C04C652">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评审标准</w:t>
            </w:r>
          </w:p>
        </w:tc>
        <w:tc>
          <w:tcPr>
            <w:tcW w:w="878" w:type="dxa"/>
            <w:noWrap w:val="0"/>
            <w:vAlign w:val="center"/>
          </w:tcPr>
          <w:p w14:paraId="104CE39F">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70分</w:t>
            </w:r>
          </w:p>
        </w:tc>
      </w:tr>
      <w:tr w14:paraId="7FA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48" w:type="dxa"/>
            <w:vMerge w:val="restart"/>
            <w:noWrap w:val="0"/>
            <w:vAlign w:val="center"/>
          </w:tcPr>
          <w:p w14:paraId="1CB99E01">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2.1</w:t>
            </w:r>
          </w:p>
        </w:tc>
        <w:tc>
          <w:tcPr>
            <w:tcW w:w="494" w:type="dxa"/>
            <w:vMerge w:val="restart"/>
            <w:noWrap w:val="0"/>
            <w:vAlign w:val="center"/>
          </w:tcPr>
          <w:p w14:paraId="5A084E06">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项目管理机构</w:t>
            </w:r>
          </w:p>
        </w:tc>
        <w:tc>
          <w:tcPr>
            <w:tcW w:w="1285" w:type="dxa"/>
            <w:noWrap w:val="0"/>
            <w:vAlign w:val="center"/>
          </w:tcPr>
          <w:p w14:paraId="7E3CF1BC">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项目经理任职资格</w:t>
            </w:r>
          </w:p>
        </w:tc>
        <w:tc>
          <w:tcPr>
            <w:tcW w:w="6153" w:type="dxa"/>
            <w:noWrap w:val="0"/>
            <w:vAlign w:val="center"/>
          </w:tcPr>
          <w:p w14:paraId="08E56EE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项目经理具备建筑工程专业中级或以上技术职称的得3分。</w:t>
            </w:r>
          </w:p>
          <w:p w14:paraId="0A7A163D">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注：响应文件中提供项目经理相应有效的职称证书复印件，复印件需加盖单位公章，否则不得分。</w:t>
            </w:r>
          </w:p>
        </w:tc>
        <w:tc>
          <w:tcPr>
            <w:tcW w:w="878" w:type="dxa"/>
            <w:noWrap w:val="0"/>
            <w:vAlign w:val="center"/>
          </w:tcPr>
          <w:p w14:paraId="076F901E">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3分</w:t>
            </w:r>
          </w:p>
        </w:tc>
      </w:tr>
      <w:tr w14:paraId="0704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548" w:type="dxa"/>
            <w:vMerge w:val="continue"/>
            <w:noWrap w:val="0"/>
            <w:vAlign w:val="center"/>
          </w:tcPr>
          <w:p w14:paraId="07A527E0">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3C32EBF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85" w:type="dxa"/>
            <w:noWrap w:val="0"/>
            <w:vAlign w:val="center"/>
          </w:tcPr>
          <w:p w14:paraId="0905D868">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其他主要人员</w:t>
            </w:r>
          </w:p>
        </w:tc>
        <w:tc>
          <w:tcPr>
            <w:tcW w:w="6153" w:type="dxa"/>
            <w:noWrap w:val="0"/>
            <w:vAlign w:val="top"/>
          </w:tcPr>
          <w:p w14:paraId="2B2C6881">
            <w:pPr>
              <w:pStyle w:val="40"/>
              <w:keepNext w:val="0"/>
              <w:keepLines w:val="0"/>
              <w:pageBreakBefore w:val="0"/>
              <w:kinsoku/>
              <w:wordWrap w:val="0"/>
              <w:overflowPunct/>
              <w:topLinePunct w:val="0"/>
              <w:bidi w:val="0"/>
              <w:snapToGrid w:val="0"/>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拟投入本工程的技术人员中有施工员、质量员、材料员，且持证上岗的，每提供一种证书得1分，满分3分。</w:t>
            </w:r>
          </w:p>
          <w:p w14:paraId="5188414E">
            <w:pPr>
              <w:pStyle w:val="40"/>
              <w:keepNext w:val="0"/>
              <w:keepLines w:val="0"/>
              <w:pageBreakBefore w:val="0"/>
              <w:kinsoku/>
              <w:wordWrap w:val="0"/>
              <w:overflowPunct/>
              <w:topLinePunct w:val="0"/>
              <w:bidi w:val="0"/>
              <w:snapToGrid w:val="0"/>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注：响应文件中提供上述人员相应有效的证书复印件，复印件需加盖单位公章，否则不得分。</w:t>
            </w:r>
          </w:p>
        </w:tc>
        <w:tc>
          <w:tcPr>
            <w:tcW w:w="878" w:type="dxa"/>
            <w:noWrap w:val="0"/>
            <w:vAlign w:val="center"/>
          </w:tcPr>
          <w:p w14:paraId="13E2AD74">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3分</w:t>
            </w:r>
          </w:p>
        </w:tc>
      </w:tr>
      <w:tr w14:paraId="4D9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restart"/>
            <w:noWrap w:val="0"/>
            <w:vAlign w:val="center"/>
          </w:tcPr>
          <w:p w14:paraId="5B40F8AC">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2.2</w:t>
            </w:r>
          </w:p>
        </w:tc>
        <w:tc>
          <w:tcPr>
            <w:tcW w:w="494" w:type="dxa"/>
            <w:vMerge w:val="restart"/>
            <w:noWrap w:val="0"/>
            <w:vAlign w:val="center"/>
          </w:tcPr>
          <w:p w14:paraId="595A0C64">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t>施工组织设计</w:t>
            </w:r>
          </w:p>
        </w:tc>
        <w:tc>
          <w:tcPr>
            <w:tcW w:w="1285" w:type="dxa"/>
            <w:noWrap w:val="0"/>
            <w:vAlign w:val="center"/>
          </w:tcPr>
          <w:p w14:paraId="76F4CB74">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主要施工方法</w:t>
            </w:r>
          </w:p>
        </w:tc>
        <w:tc>
          <w:tcPr>
            <w:tcW w:w="6153" w:type="dxa"/>
            <w:noWrap w:val="0"/>
            <w:vAlign w:val="center"/>
          </w:tcPr>
          <w:p w14:paraId="01074983">
            <w:pPr>
              <w:keepNext w:val="0"/>
              <w:keepLines w:val="0"/>
              <w:pageBreakBefore w:val="0"/>
              <w:widowControl/>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一档（2分）：各主要分部施工方法基本符合项目实际，施工技术方案考虑不够详细、不够切合项目。</w:t>
            </w:r>
          </w:p>
          <w:p w14:paraId="6512A07E">
            <w:pPr>
              <w:keepNext w:val="0"/>
              <w:keepLines w:val="0"/>
              <w:pageBreakBefore w:val="0"/>
              <w:widowControl/>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二档（6分）：各主要分部施工方法符合项目实际，有详尽的施工技术方案，工艺基本可行、方法可行，能指导具体施工并确保安全。</w:t>
            </w:r>
          </w:p>
          <w:p w14:paraId="5B4F452E">
            <w:pPr>
              <w:keepNext w:val="0"/>
              <w:keepLines w:val="0"/>
              <w:pageBreakBefore w:val="0"/>
              <w:widowControl/>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三档（10分）：各主要分部施工方法符合项目实际，有详尽的施工技术方案，工艺先进、方法科学合理、可行，能指导具体施工并确保安全。</w:t>
            </w:r>
          </w:p>
          <w:p w14:paraId="03EE4F71">
            <w:pPr>
              <w:keepNext w:val="0"/>
              <w:keepLines w:val="0"/>
              <w:pageBreakBefore w:val="0"/>
              <w:widowControl/>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0AD9FCDA">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10分</w:t>
            </w:r>
          </w:p>
        </w:tc>
      </w:tr>
      <w:tr w14:paraId="6C6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D5BBD9D">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61A76008">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60FDAB37">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拟投入的主要物资计划</w:t>
            </w:r>
          </w:p>
        </w:tc>
        <w:tc>
          <w:tcPr>
            <w:tcW w:w="6153" w:type="dxa"/>
            <w:noWrap w:val="0"/>
            <w:vAlign w:val="center"/>
          </w:tcPr>
          <w:p w14:paraId="4501B8CA">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投入的施工材料有组织计划，数量、选型配置、进场时间基本满足施工需要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C85AEC7">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投入的施工材料有详细的组织计划且计划</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考虑不够周全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，数量、选型配置、进场时间安排较合理，满足施工需要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F5FCC1A">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分）：投入的施工材料有详细的组织计划且计划周密，数量、选型配置、进场时间安排合理，有拟配备本项目的试验和检测仪器设备表，完全满足施工需要。</w:t>
            </w:r>
          </w:p>
          <w:p w14:paraId="5DD92AAC">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64CE6AE9">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分</w:t>
            </w:r>
          </w:p>
        </w:tc>
      </w:tr>
      <w:tr w14:paraId="3C7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1097E7D">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44138ED3">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1A5CCC7D">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拟投入的主要施工机械、设备计划</w:t>
            </w:r>
          </w:p>
        </w:tc>
        <w:tc>
          <w:tcPr>
            <w:tcW w:w="6153" w:type="dxa"/>
            <w:noWrap w:val="0"/>
            <w:vAlign w:val="center"/>
          </w:tcPr>
          <w:p w14:paraId="44855FB0">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一档（2分）：投入的施工机械、设备、机具无详细的组织计划，设备数量、选型配置、进场时间安排不够合理。</w:t>
            </w:r>
          </w:p>
          <w:p w14:paraId="3D02715E">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分）：投入的施工机械、设备、机具有组织计划且计划考虑基本切合项目实际，设备数量、选型配置、进场时间安排合理，基本满足施工需要。  </w:t>
            </w:r>
          </w:p>
          <w:p w14:paraId="0486019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分）：投入的施工机械、设备、机具有详细的组织计划且计划周密，设备数量、选型配置、进场时间安排合理，满足施工需要。 </w:t>
            </w:r>
          </w:p>
          <w:p w14:paraId="260D375D">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34BBD897">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分</w:t>
            </w:r>
          </w:p>
        </w:tc>
      </w:tr>
      <w:tr w14:paraId="2319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3C5F9F05">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751D7FE9">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57C98B8A">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劳动力安排计划</w:t>
            </w:r>
          </w:p>
        </w:tc>
        <w:tc>
          <w:tcPr>
            <w:tcW w:w="6153" w:type="dxa"/>
            <w:noWrap w:val="0"/>
            <w:vAlign w:val="center"/>
          </w:tcPr>
          <w:p w14:paraId="1244939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各主要施工工序有劳动力安排计划，劳动力投入基本满足施工需要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3B2705">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各主要施工工序有详细的劳动力安排计划，有各工种劳动力安排计划，劳动力投入较合理，满足施工需要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0AA7EFD">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分）：各主要施工工序有详细周密的劳动力安排计划，有各工种劳动力安排计划，劳动力投入合理，满足施工需要。</w:t>
            </w:r>
          </w:p>
          <w:p w14:paraId="7BB86CF2">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3A6A6D51">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分</w:t>
            </w:r>
          </w:p>
        </w:tc>
      </w:tr>
      <w:tr w14:paraId="439F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00096CDA">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5F8B0BA5">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4F24ABF0">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确保工程质量的技术组织措施</w:t>
            </w:r>
          </w:p>
        </w:tc>
        <w:tc>
          <w:tcPr>
            <w:tcW w:w="6153" w:type="dxa"/>
            <w:noWrap w:val="0"/>
            <w:vAlign w:val="center"/>
          </w:tcPr>
          <w:p w14:paraId="6EF50698">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一档（2分）：有专门的质量技术管理班子和制度。主要工序有质量技术保证措施和手段，基本能保证技术质量，达到承诺的质量标准。</w:t>
            </w:r>
          </w:p>
          <w:p w14:paraId="2A4101A5">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4分）：有专门的质量技术管理班子和制度，且人员配备较合理，制度较健全。有质量管理责任人和职责明确，正确完整列出针对本工程关键工序的质量验收流程和验收依据标准。主要工序有质量技术保证措施和手段，自控体系较完整，能有效保证技术质量，达到承诺的质量标准。</w:t>
            </w:r>
          </w:p>
          <w:p w14:paraId="7DE77EA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6分）：有专门的质量技术管理班子和制度，且人员配备合理，制度健全。有质量管理责任人和职责明确，正确完整列出针对本工程关键工序的质量验收流程和验收依据标准，有针对施工过程质量控制日常管理制度流程，且满足本工程需要。主要工序有质量技术保证措施和手段，自控体系完整，能有效保证技术质量，达到承诺的质量标准。</w:t>
            </w:r>
          </w:p>
          <w:p w14:paraId="153D95FE">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15BCA2CD">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6分</w:t>
            </w:r>
          </w:p>
        </w:tc>
      </w:tr>
      <w:tr w14:paraId="6F7E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51323804">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5995581E">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7B244302">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确保安全生产的技术组织措施</w:t>
            </w:r>
          </w:p>
        </w:tc>
        <w:tc>
          <w:tcPr>
            <w:tcW w:w="6153" w:type="dxa"/>
            <w:noWrap w:val="0"/>
            <w:vAlign w:val="center"/>
          </w:tcPr>
          <w:p w14:paraId="6E31525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一档（2分）：有专门的安全管理人员和制度，且人员配备基本合理，制度基本健全，各道工序安全技术措施基本符合满足有关安全技术标准要求。现场防火、应急救援、社会治安安全措施基本可行。</w:t>
            </w:r>
          </w:p>
          <w:p w14:paraId="4FE07945">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4分）：有专门的安全管理人员和制度，且人员配备较合理，制度较健全，各道工序安全技术措施针对性较强，符合实际且满足有关安全技术标准要求。现场防火、应急救援、社会治安安全措施较得力。有对本工程的全面风险分析、施工各项风险的专项防护措施、风险事件的应急处置预案，内容基本可行。</w:t>
            </w:r>
          </w:p>
          <w:p w14:paraId="1CFE4405">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6分）：有专门的安全管理人员和制度，且人员配备合理，制度健全，各道工序安全技术措施针对性强，符合实际且满足有关安全技术标准要求。现场防火、应急救援、社会治安安全措施得力。有针对本工程的全面风险分析、施工各项风险的专项防护措施、风险事件的应急处置预案，且内容可行性强。有可行的对他方交叉作业安全管理措施和针对本工程突发异常天气等自然灾害环形的预防保障及应急处置措施。</w:t>
            </w:r>
          </w:p>
          <w:p w14:paraId="051F7367">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13D732E6">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6分</w:t>
            </w:r>
          </w:p>
        </w:tc>
      </w:tr>
      <w:tr w14:paraId="278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7F0FAB06">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66D62BAC">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6849D133">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确保工期的技术组织措施</w:t>
            </w:r>
          </w:p>
        </w:tc>
        <w:tc>
          <w:tcPr>
            <w:tcW w:w="6153" w:type="dxa"/>
            <w:noWrap w:val="0"/>
            <w:vAlign w:val="center"/>
          </w:tcPr>
          <w:p w14:paraId="38D33A04">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一档（2分）：在施工工艺、施工方法、材料选用、劳动力安排、技术等方面有保证工期的措施。有控制工期的施工进度计划，基本符合本项目施工实际要求。</w:t>
            </w:r>
          </w:p>
          <w:p w14:paraId="2C9010C9">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4分）：在施工工艺、施工方法、材料选用、劳动力安排、技术等方面有保证工期的具体措施且措施较得当。有控制工期的施工进度计划。有施工总进度表或施工网络图，各项计划图表编制较完善，安排较合理，符合本项目施工实际要求。</w:t>
            </w:r>
          </w:p>
          <w:p w14:paraId="7659488B">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6分）：在施工工艺、施工方法、材料选用、劳动力安排、技术等方面有保证工期的具体措施且措施得当。有控制工期的施工进度计划。有施工总进度表或施工网络图，对关键线路节点控制管理措施得当，并对如果发生进度滞后有具体可行的纠偏及补救措施，各项计划图表编制完善，安排科学合理，符合本项目施工实际要求。</w:t>
            </w:r>
          </w:p>
          <w:p w14:paraId="6B80542A">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71BDBA1B">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6分</w:t>
            </w:r>
          </w:p>
        </w:tc>
      </w:tr>
      <w:tr w14:paraId="31FE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6FF6A4E9">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48D7D586">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528D02F5">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确保文明施工的技术组织措施</w:t>
            </w:r>
          </w:p>
        </w:tc>
        <w:tc>
          <w:tcPr>
            <w:tcW w:w="6153" w:type="dxa"/>
            <w:noWrap w:val="0"/>
            <w:vAlign w:val="center"/>
          </w:tcPr>
          <w:p w14:paraId="0358D77F">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应有现场文明施工、环境保护措施，且措施内容应达到《建筑施工安全生产检查标准》（JGJ59-2011）合格标准并符合《广西壮族自治区建筑工程文明施工导则》要求。各项措施不够合理。无具体实现现场文明施工目标的承诺。</w:t>
            </w:r>
          </w:p>
          <w:p w14:paraId="042FFCF6">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4分）：有现场文明施工、环境保护措施，且措施内容达到《建筑施工安全生产检查标准》（JGJ59-2011）合格标准并符合《广西壮族自治区建筑工程文明施工导则》要求。各项措施详细，内容基本合理。有具体实现现场文明施工目标的承诺。</w:t>
            </w:r>
          </w:p>
          <w:p w14:paraId="3CFB6363">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三档（6分）：针对本工程项目特点，有现场文明施工、环境保护措施，且措施内容达到《建筑施工安全生产检查标准》（JGJ59-2011）合格标准并符合《广西壮族自治区建筑工程文明施工导则》要求。各项措施详尽、周全、具体、有效。有具体实现现场文明施工目标的承诺。 </w:t>
            </w:r>
          </w:p>
          <w:p w14:paraId="4CA5DD21">
            <w:pPr>
              <w:keepNext w:val="0"/>
              <w:keepLines w:val="0"/>
              <w:pageBreakBefore w:val="0"/>
              <w:kinsoku/>
              <w:wordWrap w:val="0"/>
              <w:overflowPunct/>
              <w:topLinePunct w:val="0"/>
              <w:bidi w:val="0"/>
              <w:spacing w:line="4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0AD25D5E">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6分</w:t>
            </w:r>
          </w:p>
        </w:tc>
      </w:tr>
      <w:tr w14:paraId="3C91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702DDA33">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652B1471">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3E18AFA7">
            <w:pPr>
              <w:keepNext w:val="0"/>
              <w:keepLines w:val="0"/>
              <w:pageBreakBefore w:val="0"/>
              <w:widowControl/>
              <w:kinsoku/>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工程施工的重点和难点及保证措施</w:t>
            </w:r>
          </w:p>
        </w:tc>
        <w:tc>
          <w:tcPr>
            <w:tcW w:w="6153" w:type="dxa"/>
            <w:noWrap w:val="0"/>
            <w:vAlign w:val="center"/>
          </w:tcPr>
          <w:p w14:paraId="486E120C">
            <w:pPr>
              <w:keepNext w:val="0"/>
              <w:keepLines w:val="0"/>
              <w:pageBreakBefore w:val="0"/>
              <w:kinsoku/>
              <w:overflowPunct/>
              <w:topLinePunct w:val="0"/>
              <w:bidi w:val="0"/>
              <w:spacing w:line="400" w:lineRule="exact"/>
              <w:ind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w:t>
            </w:r>
            <w:r>
              <w:rPr>
                <w:rFonts w:hint="eastAsia" w:asciiTheme="minorEastAsia" w:hAnsiTheme="minorEastAsia" w:eastAsiaTheme="minorEastAsia" w:cstheme="minorEastAsia"/>
                <w:color w:val="auto"/>
                <w:sz w:val="21"/>
                <w:szCs w:val="21"/>
                <w:highlight w:val="none"/>
              </w:rPr>
              <w:t xml:space="preserve">：对项目关键技术有表述，对重点、难点有建议，解决方案不够经济、安全，不够切实。  </w:t>
            </w:r>
          </w:p>
          <w:p w14:paraId="06198F04">
            <w:pPr>
              <w:keepNext w:val="0"/>
              <w:keepLines w:val="0"/>
              <w:pageBreakBefore w:val="0"/>
              <w:kinsoku/>
              <w:overflowPunct/>
              <w:topLinePunct w:val="0"/>
              <w:bidi w:val="0"/>
              <w:spacing w:line="400" w:lineRule="exact"/>
              <w:ind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二档（4分）</w:t>
            </w:r>
            <w:r>
              <w:rPr>
                <w:rFonts w:hint="eastAsia" w:asciiTheme="minorEastAsia" w:hAnsiTheme="minorEastAsia" w:eastAsiaTheme="minorEastAsia" w:cstheme="minorEastAsia"/>
                <w:color w:val="auto"/>
                <w:sz w:val="21"/>
                <w:szCs w:val="21"/>
                <w:highlight w:val="none"/>
              </w:rPr>
              <w:t>：对项目关键技术、工艺技术有一定了解，对重点、难点有建议，解决方案经济、安全、基本可行。</w:t>
            </w:r>
          </w:p>
          <w:p w14:paraId="75BB2C41">
            <w:pPr>
              <w:keepNext w:val="0"/>
              <w:keepLines w:val="0"/>
              <w:pageBreakBefore w:val="0"/>
              <w:widowControl/>
              <w:kinsoku/>
              <w:overflowPunct/>
              <w:topLinePunct w:val="0"/>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三档（6分）</w:t>
            </w:r>
            <w:r>
              <w:rPr>
                <w:rFonts w:hint="eastAsia" w:asciiTheme="minorEastAsia" w:hAnsiTheme="minorEastAsia" w:eastAsiaTheme="minorEastAsia" w:cstheme="minorEastAsia"/>
                <w:color w:val="auto"/>
                <w:sz w:val="21"/>
                <w:szCs w:val="21"/>
                <w:highlight w:val="none"/>
              </w:rPr>
              <w:t>：对项目关键技术、工艺有深入的表述，对重点、难点有先进合理的施工措施并有可行的安全措施，解决方案完整、经济、安全、切实可行，措施得力。</w:t>
            </w:r>
          </w:p>
          <w:p w14:paraId="2D57A601">
            <w:pPr>
              <w:keepNext w:val="0"/>
              <w:keepLines w:val="0"/>
              <w:pageBreakBefore w:val="0"/>
              <w:widowControl/>
              <w:kinsoku/>
              <w:overflowPunct/>
              <w:topLinePunct w:val="0"/>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1E1A5E2C">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6分</w:t>
            </w:r>
          </w:p>
        </w:tc>
      </w:tr>
      <w:tr w14:paraId="408B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noWrap w:val="0"/>
            <w:vAlign w:val="center"/>
          </w:tcPr>
          <w:p w14:paraId="10E2AB9F">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494" w:type="dxa"/>
            <w:vMerge w:val="continue"/>
            <w:noWrap w:val="0"/>
            <w:vAlign w:val="center"/>
          </w:tcPr>
          <w:p w14:paraId="25CD716D">
            <w:pPr>
              <w:keepNext w:val="0"/>
              <w:keepLines w:val="0"/>
              <w:pageBreakBefore w:val="0"/>
              <w:kinsoku/>
              <w:wordWrap w:val="0"/>
              <w:overflowPunct/>
              <w:topLinePunct w:val="0"/>
              <w:bidi w:val="0"/>
              <w:adjustRightInd w:val="0"/>
              <w:spacing w:line="400" w:lineRule="exact"/>
              <w:jc w:val="center"/>
              <w:textAlignment w:val="baseline"/>
              <w:rPr>
                <w:rFonts w:hint="eastAsia" w:asciiTheme="minorEastAsia" w:hAnsiTheme="minorEastAsia" w:eastAsiaTheme="minorEastAsia" w:cstheme="minorEastAsia"/>
                <w:bCs/>
                <w:color w:val="000000" w:themeColor="text1"/>
                <w:kern w:val="0"/>
                <w:sz w:val="21"/>
                <w:szCs w:val="21"/>
                <w:highlight w:val="none"/>
                <w14:textFill>
                  <w14:solidFill>
                    <w14:schemeClr w14:val="tx1"/>
                  </w14:solidFill>
                </w14:textFill>
              </w:rPr>
            </w:pPr>
          </w:p>
        </w:tc>
        <w:tc>
          <w:tcPr>
            <w:tcW w:w="1285" w:type="dxa"/>
            <w:noWrap w:val="0"/>
            <w:vAlign w:val="center"/>
          </w:tcPr>
          <w:p w14:paraId="69B8A408">
            <w:pPr>
              <w:keepNext w:val="0"/>
              <w:keepLines w:val="0"/>
              <w:pageBreakBefore w:val="0"/>
              <w:widowControl/>
              <w:kinsoku/>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施工总平面布置图</w:t>
            </w:r>
          </w:p>
        </w:tc>
        <w:tc>
          <w:tcPr>
            <w:tcW w:w="6153" w:type="dxa"/>
            <w:noWrap w:val="0"/>
            <w:vAlign w:val="center"/>
          </w:tcPr>
          <w:p w14:paraId="57B33693">
            <w:pPr>
              <w:keepNext w:val="0"/>
              <w:keepLines w:val="0"/>
              <w:pageBreakBefore w:val="0"/>
              <w:kinsoku/>
              <w:overflowPunct/>
              <w:topLinePunct w:val="0"/>
              <w:bidi w:val="0"/>
              <w:spacing w:line="400" w:lineRule="exact"/>
              <w:ind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一档（2分）</w:t>
            </w:r>
            <w:r>
              <w:rPr>
                <w:rFonts w:hint="eastAsia" w:asciiTheme="minorEastAsia" w:hAnsiTheme="minorEastAsia" w:eastAsiaTheme="minorEastAsia" w:cstheme="minorEastAsia"/>
                <w:color w:val="auto"/>
                <w:sz w:val="21"/>
                <w:szCs w:val="21"/>
                <w:highlight w:val="none"/>
              </w:rPr>
              <w:t xml:space="preserve">：有施工总平面布置图，总体布置不合理，不符合安全、文明生产要求。 </w:t>
            </w:r>
          </w:p>
          <w:p w14:paraId="70A16B5D">
            <w:pPr>
              <w:keepNext w:val="0"/>
              <w:keepLines w:val="0"/>
              <w:pageBreakBefore w:val="0"/>
              <w:kinsoku/>
              <w:overflowPunct/>
              <w:topLinePunct w:val="0"/>
              <w:bidi w:val="0"/>
              <w:spacing w:line="400" w:lineRule="exact"/>
              <w:ind w:right="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二档（4分）</w:t>
            </w:r>
            <w:r>
              <w:rPr>
                <w:rFonts w:hint="eastAsia" w:asciiTheme="minorEastAsia" w:hAnsiTheme="minorEastAsia" w:eastAsiaTheme="minorEastAsia" w:cstheme="minorEastAsia"/>
                <w:color w:val="auto"/>
                <w:sz w:val="21"/>
                <w:szCs w:val="21"/>
                <w:highlight w:val="none"/>
              </w:rPr>
              <w:t>：有施工总平面布置图，总体布置基本合理，能满足施工需要，基本符合安全、文明生产要求。</w:t>
            </w:r>
          </w:p>
          <w:p w14:paraId="28DF22BD">
            <w:pPr>
              <w:keepNext w:val="0"/>
              <w:keepLines w:val="0"/>
              <w:pageBreakBefore w:val="0"/>
              <w:widowControl/>
              <w:kinsoku/>
              <w:overflowPunct/>
              <w:topLinePunct w:val="0"/>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三档（6分）</w:t>
            </w:r>
            <w:r>
              <w:rPr>
                <w:rFonts w:hint="eastAsia" w:asciiTheme="minorEastAsia" w:hAnsiTheme="minorEastAsia" w:eastAsiaTheme="minorEastAsia" w:cstheme="minorEastAsia"/>
                <w:color w:val="auto"/>
                <w:sz w:val="21"/>
                <w:szCs w:val="21"/>
                <w:highlight w:val="none"/>
              </w:rPr>
              <w:t>：有施工总平面布置图，总体布置有针对性、安排科学合理，较好满足施工需要，符合安全、文明生产要求。</w:t>
            </w:r>
          </w:p>
          <w:p w14:paraId="1455AE26">
            <w:pPr>
              <w:keepNext w:val="0"/>
              <w:keepLines w:val="0"/>
              <w:pageBreakBefore w:val="0"/>
              <w:widowControl/>
              <w:kinsoku/>
              <w:overflowPunct/>
              <w:topLinePunct w:val="0"/>
              <w:bidi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注：供应商未提供该方案或该方案未达到一档标准要求的，得0分。</w:t>
            </w:r>
          </w:p>
        </w:tc>
        <w:tc>
          <w:tcPr>
            <w:tcW w:w="878" w:type="dxa"/>
            <w:noWrap w:val="0"/>
            <w:vAlign w:val="center"/>
          </w:tcPr>
          <w:p w14:paraId="4272ECCB">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6分</w:t>
            </w:r>
          </w:p>
        </w:tc>
      </w:tr>
      <w:tr w14:paraId="2636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7A43A791">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w:t>
            </w:r>
          </w:p>
        </w:tc>
        <w:tc>
          <w:tcPr>
            <w:tcW w:w="1779" w:type="dxa"/>
            <w:gridSpan w:val="2"/>
            <w:noWrap w:val="0"/>
            <w:vAlign w:val="center"/>
          </w:tcPr>
          <w:p w14:paraId="245CCF4E">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商务分</w:t>
            </w:r>
          </w:p>
        </w:tc>
        <w:tc>
          <w:tcPr>
            <w:tcW w:w="6153" w:type="dxa"/>
            <w:noWrap w:val="0"/>
            <w:vAlign w:val="center"/>
          </w:tcPr>
          <w:p w14:paraId="4C17593B">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评审标准</w:t>
            </w:r>
          </w:p>
        </w:tc>
        <w:tc>
          <w:tcPr>
            <w:tcW w:w="878" w:type="dxa"/>
            <w:noWrap w:val="0"/>
            <w:vAlign w:val="center"/>
          </w:tcPr>
          <w:p w14:paraId="63204F08">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10分</w:t>
            </w:r>
          </w:p>
        </w:tc>
      </w:tr>
      <w:tr w14:paraId="18F2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noWrap w:val="0"/>
            <w:vAlign w:val="center"/>
          </w:tcPr>
          <w:p w14:paraId="74017F6A">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3.1</w:t>
            </w:r>
          </w:p>
        </w:tc>
        <w:tc>
          <w:tcPr>
            <w:tcW w:w="1779" w:type="dxa"/>
            <w:gridSpan w:val="2"/>
            <w:noWrap w:val="0"/>
            <w:vAlign w:val="center"/>
          </w:tcPr>
          <w:p w14:paraId="4300830E">
            <w:pPr>
              <w:keepNext w:val="0"/>
              <w:keepLines w:val="0"/>
              <w:pageBreakBefore w:val="0"/>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业绩分</w:t>
            </w:r>
          </w:p>
        </w:tc>
        <w:tc>
          <w:tcPr>
            <w:tcW w:w="6153" w:type="dxa"/>
            <w:noWrap w:val="0"/>
            <w:vAlign w:val="center"/>
          </w:tcPr>
          <w:p w14:paraId="610B4F20">
            <w:pPr>
              <w:keepNext w:val="0"/>
              <w:keepLines w:val="0"/>
              <w:pageBreakBefore w:val="0"/>
              <w:kinsoku/>
              <w:wordWrap w:val="0"/>
              <w:overflowPunct/>
              <w:topLinePunct w:val="0"/>
              <w:autoSpaceDE w:val="0"/>
              <w:autoSpaceDN w:val="0"/>
              <w:bidi w:val="0"/>
              <w:adjustRightInd w:val="0"/>
              <w:spacing w:line="40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供应商自2023年1月1日以来（以合同签订时间为准）具有同类项目业绩的，每个得2.5分，满分10分。注：需在响应文件中提供成交（成交）通知书和施工合同复印件并加盖供应商公章，不提供或提供不齐全不得分。</w:t>
            </w:r>
          </w:p>
        </w:tc>
        <w:tc>
          <w:tcPr>
            <w:tcW w:w="878" w:type="dxa"/>
            <w:noWrap w:val="0"/>
            <w:vAlign w:val="center"/>
          </w:tcPr>
          <w:p w14:paraId="6E717207">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10分</w:t>
            </w:r>
          </w:p>
        </w:tc>
      </w:tr>
      <w:tr w14:paraId="457D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0" w:type="dxa"/>
            <w:gridSpan w:val="4"/>
            <w:noWrap w:val="0"/>
            <w:vAlign w:val="top"/>
          </w:tcPr>
          <w:p w14:paraId="60EF188E">
            <w:pPr>
              <w:pStyle w:val="25"/>
              <w:keepNext w:val="0"/>
              <w:keepLines w:val="0"/>
              <w:pageBreakBefore w:val="0"/>
              <w:kinsoku/>
              <w:wordWrap w:val="0"/>
              <w:overflowPunct/>
              <w:topLinePunct w:val="0"/>
              <w:bidi w:val="0"/>
              <w:spacing w:line="400" w:lineRule="exact"/>
              <w:ind w:firstLine="420" w:firstLineChars="200"/>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14:textFill>
                  <w14:solidFill>
                    <w14:schemeClr w14:val="tx1"/>
                  </w14:solidFill>
                </w14:textFill>
              </w:rPr>
              <w:t>总得分＝1＋2＋3</w:t>
            </w:r>
          </w:p>
        </w:tc>
        <w:tc>
          <w:tcPr>
            <w:tcW w:w="878" w:type="dxa"/>
            <w:noWrap w:val="0"/>
            <w:vAlign w:val="center"/>
          </w:tcPr>
          <w:p w14:paraId="743FC06F">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100分</w:t>
            </w:r>
          </w:p>
        </w:tc>
      </w:tr>
      <w:tr w14:paraId="5CA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8" w:type="dxa"/>
            <w:gridSpan w:val="5"/>
            <w:noWrap w:val="0"/>
            <w:vAlign w:val="top"/>
          </w:tcPr>
          <w:p w14:paraId="578C0066">
            <w:pPr>
              <w:keepNext w:val="0"/>
              <w:keepLines w:val="0"/>
              <w:pageBreakBefore w:val="0"/>
              <w:widowControl/>
              <w:kinsoku/>
              <w:wordWrap w:val="0"/>
              <w:overflowPunct/>
              <w:topLinePunct w:val="0"/>
              <w:bidi w:val="0"/>
              <w:spacing w:line="400" w:lineRule="exact"/>
              <w:jc w:val="cente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本项目为施工项目，不涉及政策功能的节能，环保分加分。</w:t>
            </w:r>
          </w:p>
        </w:tc>
      </w:tr>
    </w:tbl>
    <w:p w14:paraId="5732F20E">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p>
    <w:p w14:paraId="6FAECF30">
      <w:pPr>
        <w:pStyle w:val="2"/>
        <w:rPr>
          <w:rFonts w:ascii="宋体" w:hAnsi="宋体" w:cs="宋体"/>
          <w:color w:val="000000" w:themeColor="text1"/>
          <w:highlight w:val="none"/>
          <w14:textFill>
            <w14:solidFill>
              <w14:schemeClr w14:val="tx1"/>
            </w14:solidFill>
          </w14:textFill>
        </w:rPr>
      </w:pPr>
    </w:p>
    <w:p w14:paraId="2C0B4131">
      <w:pPr>
        <w:pStyle w:val="2"/>
        <w:jc w:val="center"/>
        <w:rPr>
          <w:rFonts w:ascii="宋体" w:hAnsi="宋体" w:cs="宋体"/>
          <w:color w:val="000000" w:themeColor="text1"/>
          <w:highlight w:val="none"/>
          <w14:textFill>
            <w14:solidFill>
              <w14:schemeClr w14:val="tx1"/>
            </w14:solidFill>
          </w14:textFill>
        </w:rPr>
      </w:pPr>
    </w:p>
    <w:p w14:paraId="696D76C9">
      <w:pPr>
        <w:rPr>
          <w:rFonts w:ascii="宋体" w:hAnsi="宋体" w:cs="宋体"/>
          <w:color w:val="000000" w:themeColor="text1"/>
          <w:highlight w:val="none"/>
          <w14:textFill>
            <w14:solidFill>
              <w14:schemeClr w14:val="tx1"/>
            </w14:solidFill>
          </w14:textFill>
        </w:rPr>
      </w:pPr>
    </w:p>
    <w:p w14:paraId="16C25248">
      <w:pPr>
        <w:rPr>
          <w:rFonts w:ascii="宋体" w:hAnsi="宋体" w:cs="宋体"/>
          <w:color w:val="000000" w:themeColor="text1"/>
          <w:highlight w:val="none"/>
          <w14:textFill>
            <w14:solidFill>
              <w14:schemeClr w14:val="tx1"/>
            </w14:solidFill>
          </w14:textFill>
        </w:rPr>
      </w:pPr>
    </w:p>
    <w:p w14:paraId="14157404">
      <w:pPr>
        <w:rPr>
          <w:rFonts w:ascii="宋体" w:hAnsi="宋体" w:cs="宋体"/>
          <w:color w:val="000000" w:themeColor="text1"/>
          <w:highlight w:val="none"/>
          <w14:textFill>
            <w14:solidFill>
              <w14:schemeClr w14:val="tx1"/>
            </w14:solidFill>
          </w14:textFill>
        </w:rPr>
      </w:pPr>
    </w:p>
    <w:p w14:paraId="2AE2089F">
      <w:pPr>
        <w:rPr>
          <w:rFonts w:ascii="宋体" w:hAnsi="宋体" w:cs="宋体"/>
          <w:color w:val="000000" w:themeColor="text1"/>
          <w:highlight w:val="none"/>
          <w14:textFill>
            <w14:solidFill>
              <w14:schemeClr w14:val="tx1"/>
            </w14:solidFill>
          </w14:textFill>
        </w:rPr>
      </w:pPr>
    </w:p>
    <w:p w14:paraId="5FFB6CD0">
      <w:pPr>
        <w:rPr>
          <w:rFonts w:ascii="宋体" w:hAnsi="宋体" w:cs="宋体"/>
          <w:color w:val="000000" w:themeColor="text1"/>
          <w:highlight w:val="none"/>
          <w14:textFill>
            <w14:solidFill>
              <w14:schemeClr w14:val="tx1"/>
            </w14:solidFill>
          </w14:textFill>
        </w:rPr>
      </w:pPr>
    </w:p>
    <w:p w14:paraId="01B5F1B1">
      <w:pPr>
        <w:rPr>
          <w:rFonts w:ascii="宋体" w:hAnsi="宋体" w:cs="宋体"/>
          <w:color w:val="000000" w:themeColor="text1"/>
          <w:highlight w:val="none"/>
          <w14:textFill>
            <w14:solidFill>
              <w14:schemeClr w14:val="tx1"/>
            </w14:solidFill>
          </w14:textFill>
        </w:rPr>
      </w:pPr>
    </w:p>
    <w:p w14:paraId="6029C290">
      <w:pPr>
        <w:rPr>
          <w:rFonts w:ascii="宋体" w:hAnsi="宋体" w:cs="宋体"/>
          <w:color w:val="000000" w:themeColor="text1"/>
          <w:highlight w:val="none"/>
          <w14:textFill>
            <w14:solidFill>
              <w14:schemeClr w14:val="tx1"/>
            </w14:solidFill>
          </w14:textFill>
        </w:rPr>
      </w:pPr>
    </w:p>
    <w:p w14:paraId="5E68E8B7">
      <w:pPr>
        <w:rPr>
          <w:rFonts w:ascii="宋体" w:hAnsi="宋体" w:cs="宋体"/>
          <w:color w:val="000000" w:themeColor="text1"/>
          <w:highlight w:val="none"/>
          <w14:textFill>
            <w14:solidFill>
              <w14:schemeClr w14:val="tx1"/>
            </w14:solidFill>
          </w14:textFill>
        </w:rPr>
      </w:pPr>
    </w:p>
    <w:p w14:paraId="19D79AD8">
      <w:pPr>
        <w:rPr>
          <w:rFonts w:ascii="宋体" w:hAnsi="宋体" w:cs="宋体"/>
          <w:color w:val="000000" w:themeColor="text1"/>
          <w:highlight w:val="none"/>
          <w14:textFill>
            <w14:solidFill>
              <w14:schemeClr w14:val="tx1"/>
            </w14:solidFill>
          </w14:textFill>
        </w:rPr>
      </w:pPr>
    </w:p>
    <w:p w14:paraId="5635A222">
      <w:pPr>
        <w:rPr>
          <w:rFonts w:ascii="宋体" w:hAnsi="宋体" w:cs="宋体"/>
          <w:color w:val="000000" w:themeColor="text1"/>
          <w:highlight w:val="none"/>
          <w14:textFill>
            <w14:solidFill>
              <w14:schemeClr w14:val="tx1"/>
            </w14:solidFill>
          </w14:textFill>
        </w:rPr>
      </w:pPr>
    </w:p>
    <w:p w14:paraId="4BED8D2D">
      <w:pPr>
        <w:rPr>
          <w:rFonts w:ascii="宋体" w:hAnsi="宋体" w:cs="宋体"/>
          <w:color w:val="000000" w:themeColor="text1"/>
          <w:highlight w:val="none"/>
          <w14:textFill>
            <w14:solidFill>
              <w14:schemeClr w14:val="tx1"/>
            </w14:solidFill>
          </w14:textFill>
        </w:rPr>
      </w:pPr>
    </w:p>
    <w:p w14:paraId="5C8C3B7D">
      <w:pPr>
        <w:rPr>
          <w:rFonts w:ascii="宋体" w:hAnsi="宋体" w:cs="宋体"/>
          <w:color w:val="000000" w:themeColor="text1"/>
          <w:highlight w:val="none"/>
          <w14:textFill>
            <w14:solidFill>
              <w14:schemeClr w14:val="tx1"/>
            </w14:solidFill>
          </w14:textFill>
        </w:rPr>
      </w:pPr>
    </w:p>
    <w:p w14:paraId="5B182440">
      <w:pPr>
        <w:rPr>
          <w:rFonts w:ascii="宋体" w:hAnsi="宋体" w:cs="宋体"/>
          <w:color w:val="000000" w:themeColor="text1"/>
          <w:highlight w:val="none"/>
          <w14:textFill>
            <w14:solidFill>
              <w14:schemeClr w14:val="tx1"/>
            </w14:solidFill>
          </w14:textFill>
        </w:rPr>
      </w:pPr>
    </w:p>
    <w:p w14:paraId="0C49F954">
      <w:pPr>
        <w:rPr>
          <w:rFonts w:ascii="宋体" w:hAnsi="宋体" w:cs="宋体"/>
          <w:color w:val="000000" w:themeColor="text1"/>
          <w:highlight w:val="none"/>
          <w14:textFill>
            <w14:solidFill>
              <w14:schemeClr w14:val="tx1"/>
            </w14:solidFill>
          </w14:textFill>
        </w:rPr>
      </w:pPr>
    </w:p>
    <w:p w14:paraId="45774E64">
      <w:pPr>
        <w:rPr>
          <w:rFonts w:ascii="宋体" w:hAnsi="宋体" w:cs="宋体"/>
          <w:color w:val="000000" w:themeColor="text1"/>
          <w:highlight w:val="none"/>
          <w14:textFill>
            <w14:solidFill>
              <w14:schemeClr w14:val="tx1"/>
            </w14:solidFill>
          </w14:textFill>
        </w:rPr>
      </w:pPr>
    </w:p>
    <w:p w14:paraId="1648F048">
      <w:pPr>
        <w:rPr>
          <w:rFonts w:ascii="宋体" w:hAnsi="宋体" w:cs="宋体"/>
          <w:color w:val="000000" w:themeColor="text1"/>
          <w:highlight w:val="none"/>
          <w14:textFill>
            <w14:solidFill>
              <w14:schemeClr w14:val="tx1"/>
            </w14:solidFill>
          </w14:textFill>
        </w:rPr>
      </w:pPr>
    </w:p>
    <w:p w14:paraId="507919B1">
      <w:pPr>
        <w:rPr>
          <w:rFonts w:ascii="宋体" w:hAnsi="宋体" w:cs="宋体"/>
          <w:color w:val="000000" w:themeColor="text1"/>
          <w:highlight w:val="none"/>
          <w14:textFill>
            <w14:solidFill>
              <w14:schemeClr w14:val="tx1"/>
            </w14:solidFill>
          </w14:textFill>
        </w:rPr>
      </w:pPr>
    </w:p>
    <w:p w14:paraId="40F23E95">
      <w:pPr>
        <w:rPr>
          <w:rFonts w:ascii="宋体" w:hAnsi="宋体" w:cs="宋体"/>
          <w:color w:val="000000" w:themeColor="text1"/>
          <w:highlight w:val="none"/>
          <w14:textFill>
            <w14:solidFill>
              <w14:schemeClr w14:val="tx1"/>
            </w14:solidFill>
          </w14:textFill>
        </w:rPr>
      </w:pPr>
    </w:p>
    <w:p w14:paraId="67FAC4B2">
      <w:pPr>
        <w:rPr>
          <w:rFonts w:ascii="宋体" w:hAnsi="宋体" w:cs="宋体"/>
          <w:color w:val="000000" w:themeColor="text1"/>
          <w:highlight w:val="none"/>
          <w14:textFill>
            <w14:solidFill>
              <w14:schemeClr w14:val="tx1"/>
            </w14:solidFill>
          </w14:textFill>
        </w:rPr>
      </w:pPr>
    </w:p>
    <w:p w14:paraId="75A67008">
      <w:pPr>
        <w:rPr>
          <w:rFonts w:ascii="宋体" w:hAnsi="宋体" w:cs="宋体"/>
          <w:color w:val="000000" w:themeColor="text1"/>
          <w:highlight w:val="none"/>
          <w14:textFill>
            <w14:solidFill>
              <w14:schemeClr w14:val="tx1"/>
            </w14:solidFill>
          </w14:textFill>
        </w:rPr>
      </w:pPr>
    </w:p>
    <w:p w14:paraId="68A17E85">
      <w:pPr>
        <w:rPr>
          <w:rFonts w:ascii="宋体" w:hAnsi="宋体" w:cs="宋体"/>
          <w:color w:val="000000" w:themeColor="text1"/>
          <w:highlight w:val="none"/>
          <w14:textFill>
            <w14:solidFill>
              <w14:schemeClr w14:val="tx1"/>
            </w14:solidFill>
          </w14:textFill>
        </w:rPr>
      </w:pPr>
    </w:p>
    <w:p w14:paraId="014D8B4D">
      <w:pPr>
        <w:rPr>
          <w:rFonts w:ascii="宋体" w:hAnsi="宋体" w:cs="宋体"/>
          <w:color w:val="000000" w:themeColor="text1"/>
          <w:highlight w:val="none"/>
          <w14:textFill>
            <w14:solidFill>
              <w14:schemeClr w14:val="tx1"/>
            </w14:solidFill>
          </w14:textFill>
        </w:rPr>
      </w:pPr>
    </w:p>
    <w:p w14:paraId="219D6E49">
      <w:pPr>
        <w:rPr>
          <w:rFonts w:ascii="宋体" w:hAnsi="宋体" w:cs="宋体"/>
          <w:color w:val="000000" w:themeColor="text1"/>
          <w:highlight w:val="none"/>
          <w14:textFill>
            <w14:solidFill>
              <w14:schemeClr w14:val="tx1"/>
            </w14:solidFill>
          </w14:textFill>
        </w:rPr>
      </w:pPr>
    </w:p>
    <w:p w14:paraId="46FC3EC9">
      <w:pPr>
        <w:rPr>
          <w:rFonts w:ascii="宋体" w:hAnsi="宋体" w:cs="宋体"/>
          <w:color w:val="000000" w:themeColor="text1"/>
          <w:highlight w:val="none"/>
          <w14:textFill>
            <w14:solidFill>
              <w14:schemeClr w14:val="tx1"/>
            </w14:solidFill>
          </w14:textFill>
        </w:rPr>
      </w:pPr>
    </w:p>
    <w:p w14:paraId="2C0FCB84">
      <w:pPr>
        <w:rPr>
          <w:rFonts w:ascii="宋体" w:hAnsi="宋体" w:cs="宋体"/>
          <w:color w:val="000000" w:themeColor="text1"/>
          <w:highlight w:val="none"/>
          <w14:textFill>
            <w14:solidFill>
              <w14:schemeClr w14:val="tx1"/>
            </w14:solidFill>
          </w14:textFill>
        </w:rPr>
      </w:pPr>
    </w:p>
    <w:p w14:paraId="3B65B64C">
      <w:pPr>
        <w:pStyle w:val="2"/>
        <w:jc w:val="center"/>
        <w:rPr>
          <w:rFonts w:ascii="宋体" w:hAnsi="宋体" w:cs="宋体"/>
          <w:color w:val="000000" w:themeColor="text1"/>
          <w:highlight w:val="none"/>
          <w14:textFill>
            <w14:solidFill>
              <w14:schemeClr w14:val="tx1"/>
            </w14:solidFill>
          </w14:textFill>
        </w:rPr>
      </w:pPr>
    </w:p>
    <w:p w14:paraId="184D4D74">
      <w:pPr>
        <w:rPr>
          <w:color w:val="000000" w:themeColor="text1"/>
          <w:highlight w:val="none"/>
          <w14:textFill>
            <w14:solidFill>
              <w14:schemeClr w14:val="tx1"/>
            </w14:solidFill>
          </w14:textFill>
        </w:rPr>
      </w:pPr>
    </w:p>
    <w:p w14:paraId="790C4849">
      <w:pPr>
        <w:pStyle w:val="2"/>
        <w:jc w:val="center"/>
        <w:rPr>
          <w:color w:val="000000" w:themeColor="text1"/>
          <w:highlight w:val="none"/>
          <w14:textFill>
            <w14:solidFill>
              <w14:schemeClr w14:val="tx1"/>
            </w14:solidFill>
          </w14:textFill>
        </w:rPr>
      </w:pPr>
      <w:bookmarkStart w:id="74" w:name="_Toc122424248"/>
      <w:r>
        <w:rPr>
          <w:rFonts w:hint="eastAsia"/>
          <w:color w:val="000000" w:themeColor="text1"/>
          <w:highlight w:val="none"/>
          <w14:textFill>
            <w14:solidFill>
              <w14:schemeClr w14:val="tx1"/>
            </w14:solidFill>
          </w14:textFill>
        </w:rPr>
        <w:t>第五章 工程量清单及图纸</w:t>
      </w:r>
      <w:bookmarkEnd w:id="74"/>
      <w:r>
        <w:rPr>
          <w:rFonts w:hint="eastAsia"/>
          <w:color w:val="000000" w:themeColor="text1"/>
          <w:highlight w:val="none"/>
          <w14:textFill>
            <w14:solidFill>
              <w14:schemeClr w14:val="tx1"/>
            </w14:solidFill>
          </w14:textFill>
        </w:rPr>
        <w:t>（另册发放）</w:t>
      </w:r>
    </w:p>
    <w:p w14:paraId="7282C34D">
      <w:pPr>
        <w:pStyle w:val="2"/>
        <w:jc w:val="center"/>
        <w:rPr>
          <w:color w:val="000000" w:themeColor="text1"/>
          <w:highlight w:val="none"/>
          <w14:textFill>
            <w14:solidFill>
              <w14:schemeClr w14:val="tx1"/>
            </w14:solidFill>
          </w14:textFill>
        </w:rPr>
      </w:pPr>
    </w:p>
    <w:p w14:paraId="422A264D">
      <w:pPr>
        <w:pStyle w:val="2"/>
        <w:spacing w:before="0" w:after="0"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820D523">
      <w:pPr>
        <w:rPr>
          <w:color w:val="000000" w:themeColor="text1"/>
          <w:highlight w:val="none"/>
          <w14:textFill>
            <w14:solidFill>
              <w14:schemeClr w14:val="tx1"/>
            </w14:solidFill>
          </w14:textFill>
        </w:rPr>
      </w:pPr>
    </w:p>
    <w:p w14:paraId="6B247C16">
      <w:pPr>
        <w:rPr>
          <w:color w:val="000000" w:themeColor="text1"/>
          <w:highlight w:val="none"/>
          <w14:textFill>
            <w14:solidFill>
              <w14:schemeClr w14:val="tx1"/>
            </w14:solidFill>
          </w14:textFill>
        </w:rPr>
      </w:pPr>
    </w:p>
    <w:p w14:paraId="24406129">
      <w:pPr>
        <w:rPr>
          <w:color w:val="000000" w:themeColor="text1"/>
          <w:highlight w:val="none"/>
          <w14:textFill>
            <w14:solidFill>
              <w14:schemeClr w14:val="tx1"/>
            </w14:solidFill>
          </w14:textFill>
        </w:rPr>
      </w:pPr>
    </w:p>
    <w:p w14:paraId="0A1BB3C6">
      <w:pPr>
        <w:rPr>
          <w:color w:val="000000" w:themeColor="text1"/>
          <w:highlight w:val="none"/>
          <w14:textFill>
            <w14:solidFill>
              <w14:schemeClr w14:val="tx1"/>
            </w14:solidFill>
          </w14:textFill>
        </w:rPr>
      </w:pPr>
    </w:p>
    <w:p w14:paraId="62537427">
      <w:pPr>
        <w:rPr>
          <w:color w:val="000000" w:themeColor="text1"/>
          <w:highlight w:val="none"/>
          <w14:textFill>
            <w14:solidFill>
              <w14:schemeClr w14:val="tx1"/>
            </w14:solidFill>
          </w14:textFill>
        </w:rPr>
      </w:pPr>
    </w:p>
    <w:p w14:paraId="014E2C32">
      <w:pPr>
        <w:rPr>
          <w:color w:val="000000" w:themeColor="text1"/>
          <w:highlight w:val="none"/>
          <w14:textFill>
            <w14:solidFill>
              <w14:schemeClr w14:val="tx1"/>
            </w14:solidFill>
          </w14:textFill>
        </w:rPr>
      </w:pPr>
    </w:p>
    <w:p w14:paraId="2A915A26">
      <w:pPr>
        <w:rPr>
          <w:color w:val="000000" w:themeColor="text1"/>
          <w:highlight w:val="none"/>
          <w14:textFill>
            <w14:solidFill>
              <w14:schemeClr w14:val="tx1"/>
            </w14:solidFill>
          </w14:textFill>
        </w:rPr>
      </w:pPr>
    </w:p>
    <w:p w14:paraId="7625017D">
      <w:pPr>
        <w:rPr>
          <w:color w:val="000000" w:themeColor="text1"/>
          <w:highlight w:val="none"/>
          <w14:textFill>
            <w14:solidFill>
              <w14:schemeClr w14:val="tx1"/>
            </w14:solidFill>
          </w14:textFill>
        </w:rPr>
      </w:pPr>
    </w:p>
    <w:p w14:paraId="378A9009">
      <w:pPr>
        <w:rPr>
          <w:color w:val="000000" w:themeColor="text1"/>
          <w:highlight w:val="none"/>
          <w14:textFill>
            <w14:solidFill>
              <w14:schemeClr w14:val="tx1"/>
            </w14:solidFill>
          </w14:textFill>
        </w:rPr>
      </w:pPr>
    </w:p>
    <w:p w14:paraId="0B6799D5">
      <w:pPr>
        <w:rPr>
          <w:color w:val="000000" w:themeColor="text1"/>
          <w:highlight w:val="none"/>
          <w14:textFill>
            <w14:solidFill>
              <w14:schemeClr w14:val="tx1"/>
            </w14:solidFill>
          </w14:textFill>
        </w:rPr>
      </w:pPr>
    </w:p>
    <w:p w14:paraId="69C9E13E">
      <w:pPr>
        <w:rPr>
          <w:color w:val="000000" w:themeColor="text1"/>
          <w:highlight w:val="none"/>
          <w14:textFill>
            <w14:solidFill>
              <w14:schemeClr w14:val="tx1"/>
            </w14:solidFill>
          </w14:textFill>
        </w:rPr>
      </w:pPr>
    </w:p>
    <w:p w14:paraId="7EB9A177">
      <w:pPr>
        <w:rPr>
          <w:color w:val="000000" w:themeColor="text1"/>
          <w:highlight w:val="none"/>
          <w14:textFill>
            <w14:solidFill>
              <w14:schemeClr w14:val="tx1"/>
            </w14:solidFill>
          </w14:textFill>
        </w:rPr>
      </w:pPr>
    </w:p>
    <w:p w14:paraId="6C7F7D01">
      <w:pPr>
        <w:rPr>
          <w:color w:val="000000" w:themeColor="text1"/>
          <w:highlight w:val="none"/>
          <w14:textFill>
            <w14:solidFill>
              <w14:schemeClr w14:val="tx1"/>
            </w14:solidFill>
          </w14:textFill>
        </w:rPr>
      </w:pPr>
    </w:p>
    <w:p w14:paraId="10032C17">
      <w:pPr>
        <w:rPr>
          <w:color w:val="000000" w:themeColor="text1"/>
          <w:highlight w:val="none"/>
          <w14:textFill>
            <w14:solidFill>
              <w14:schemeClr w14:val="tx1"/>
            </w14:solidFill>
          </w14:textFill>
        </w:rPr>
      </w:pPr>
    </w:p>
    <w:p w14:paraId="42D8375C">
      <w:pPr>
        <w:rPr>
          <w:color w:val="000000" w:themeColor="text1"/>
          <w:highlight w:val="none"/>
          <w14:textFill>
            <w14:solidFill>
              <w14:schemeClr w14:val="tx1"/>
            </w14:solidFill>
          </w14:textFill>
        </w:rPr>
      </w:pPr>
    </w:p>
    <w:p w14:paraId="4395943B">
      <w:pPr>
        <w:rPr>
          <w:color w:val="000000" w:themeColor="text1"/>
          <w:highlight w:val="none"/>
          <w14:textFill>
            <w14:solidFill>
              <w14:schemeClr w14:val="tx1"/>
            </w14:solidFill>
          </w14:textFill>
        </w:rPr>
      </w:pPr>
    </w:p>
    <w:p w14:paraId="43789DA9">
      <w:pPr>
        <w:rPr>
          <w:color w:val="000000" w:themeColor="text1"/>
          <w:highlight w:val="none"/>
          <w14:textFill>
            <w14:solidFill>
              <w14:schemeClr w14:val="tx1"/>
            </w14:solidFill>
          </w14:textFill>
        </w:rPr>
      </w:pPr>
    </w:p>
    <w:p w14:paraId="701EF5F1">
      <w:pPr>
        <w:pStyle w:val="2"/>
        <w:jc w:val="center"/>
        <w:rPr>
          <w:color w:val="000000" w:themeColor="text1"/>
          <w:highlight w:val="none"/>
          <w14:textFill>
            <w14:solidFill>
              <w14:schemeClr w14:val="tx1"/>
            </w14:solidFill>
          </w14:textFill>
        </w:rPr>
      </w:pPr>
      <w:bookmarkStart w:id="75" w:name="_Toc122424265"/>
      <w:r>
        <w:rPr>
          <w:rFonts w:hint="eastAsia"/>
          <w:color w:val="000000" w:themeColor="text1"/>
          <w:highlight w:val="none"/>
          <w14:textFill>
            <w14:solidFill>
              <w14:schemeClr w14:val="tx1"/>
            </w14:solidFill>
          </w14:textFill>
        </w:rPr>
        <w:t>第六章 响应文件格式</w:t>
      </w:r>
      <w:bookmarkEnd w:id="75"/>
    </w:p>
    <w:p w14:paraId="6A5657B5">
      <w:pPr>
        <w:spacing w:line="240" w:lineRule="atLeast"/>
        <w:rPr>
          <w:rFonts w:ascii="宋体" w:hAnsi="宋体"/>
          <w:b/>
          <w:color w:val="000000" w:themeColor="text1"/>
          <w:sz w:val="32"/>
          <w:szCs w:val="32"/>
          <w:highlight w:val="none"/>
          <w14:textFill>
            <w14:solidFill>
              <w14:schemeClr w14:val="tx1"/>
            </w14:solidFill>
          </w14:textFill>
        </w:rPr>
      </w:pPr>
    </w:p>
    <w:p w14:paraId="7448AF09">
      <w:pPr>
        <w:spacing w:line="240" w:lineRule="atLeast"/>
        <w:rPr>
          <w:rFonts w:ascii="宋体" w:hAnsi="宋体"/>
          <w:b/>
          <w:color w:val="000000" w:themeColor="text1"/>
          <w:sz w:val="32"/>
          <w:szCs w:val="32"/>
          <w:highlight w:val="none"/>
          <w14:textFill>
            <w14:solidFill>
              <w14:schemeClr w14:val="tx1"/>
            </w14:solidFill>
          </w14:textFill>
        </w:rPr>
      </w:pPr>
    </w:p>
    <w:p w14:paraId="7EC04E73">
      <w:pPr>
        <w:spacing w:line="240" w:lineRule="atLeast"/>
        <w:rPr>
          <w:rFonts w:ascii="宋体" w:hAnsi="宋体"/>
          <w:b/>
          <w:color w:val="000000" w:themeColor="text1"/>
          <w:sz w:val="32"/>
          <w:szCs w:val="32"/>
          <w:highlight w:val="none"/>
          <w14:textFill>
            <w14:solidFill>
              <w14:schemeClr w14:val="tx1"/>
            </w14:solidFill>
          </w14:textFill>
        </w:rPr>
      </w:pPr>
    </w:p>
    <w:p w14:paraId="73FE7891">
      <w:pPr>
        <w:spacing w:line="240" w:lineRule="atLeast"/>
        <w:rPr>
          <w:rFonts w:ascii="宋体" w:hAnsi="宋体"/>
          <w:b/>
          <w:color w:val="000000" w:themeColor="text1"/>
          <w:sz w:val="32"/>
          <w:szCs w:val="32"/>
          <w:highlight w:val="none"/>
          <w14:textFill>
            <w14:solidFill>
              <w14:schemeClr w14:val="tx1"/>
            </w14:solidFill>
          </w14:textFill>
        </w:rPr>
      </w:pPr>
    </w:p>
    <w:p w14:paraId="06C3A90A">
      <w:pPr>
        <w:spacing w:line="240" w:lineRule="atLeast"/>
        <w:rPr>
          <w:rFonts w:ascii="宋体" w:hAnsi="宋体"/>
          <w:b/>
          <w:color w:val="000000" w:themeColor="text1"/>
          <w:sz w:val="32"/>
          <w:szCs w:val="32"/>
          <w:highlight w:val="none"/>
          <w14:textFill>
            <w14:solidFill>
              <w14:schemeClr w14:val="tx1"/>
            </w14:solidFill>
          </w14:textFill>
        </w:rPr>
      </w:pPr>
    </w:p>
    <w:p w14:paraId="1B6EC939">
      <w:pPr>
        <w:spacing w:line="240" w:lineRule="atLeast"/>
        <w:rPr>
          <w:rFonts w:ascii="宋体" w:hAnsi="宋体"/>
          <w:b/>
          <w:color w:val="000000" w:themeColor="text1"/>
          <w:sz w:val="32"/>
          <w:szCs w:val="32"/>
          <w:highlight w:val="none"/>
          <w14:textFill>
            <w14:solidFill>
              <w14:schemeClr w14:val="tx1"/>
            </w14:solidFill>
          </w14:textFill>
        </w:rPr>
      </w:pPr>
    </w:p>
    <w:p w14:paraId="1458E236">
      <w:pPr>
        <w:spacing w:line="240" w:lineRule="atLeast"/>
        <w:rPr>
          <w:rFonts w:ascii="宋体" w:hAnsi="宋体"/>
          <w:b/>
          <w:color w:val="000000" w:themeColor="text1"/>
          <w:sz w:val="32"/>
          <w:szCs w:val="32"/>
          <w:highlight w:val="none"/>
          <w14:textFill>
            <w14:solidFill>
              <w14:schemeClr w14:val="tx1"/>
            </w14:solidFill>
          </w14:textFill>
        </w:rPr>
      </w:pPr>
    </w:p>
    <w:p w14:paraId="26EB43DB">
      <w:pPr>
        <w:spacing w:line="240" w:lineRule="atLeast"/>
        <w:rPr>
          <w:rFonts w:ascii="宋体" w:hAnsi="宋体"/>
          <w:b/>
          <w:color w:val="000000" w:themeColor="text1"/>
          <w:sz w:val="32"/>
          <w:szCs w:val="32"/>
          <w:highlight w:val="none"/>
          <w14:textFill>
            <w14:solidFill>
              <w14:schemeClr w14:val="tx1"/>
            </w14:solidFill>
          </w14:textFill>
        </w:rPr>
      </w:pPr>
    </w:p>
    <w:p w14:paraId="5ECA08F8">
      <w:pPr>
        <w:spacing w:line="240" w:lineRule="atLeast"/>
        <w:rPr>
          <w:rFonts w:ascii="宋体" w:hAnsi="宋体"/>
          <w:b/>
          <w:color w:val="000000" w:themeColor="text1"/>
          <w:sz w:val="32"/>
          <w:szCs w:val="32"/>
          <w:highlight w:val="none"/>
          <w14:textFill>
            <w14:solidFill>
              <w14:schemeClr w14:val="tx1"/>
            </w14:solidFill>
          </w14:textFill>
        </w:rPr>
      </w:pPr>
    </w:p>
    <w:p w14:paraId="4A5EBBEF">
      <w:pPr>
        <w:spacing w:line="240" w:lineRule="atLeast"/>
        <w:rPr>
          <w:rFonts w:ascii="宋体" w:hAnsi="宋体"/>
          <w:b/>
          <w:color w:val="000000" w:themeColor="text1"/>
          <w:sz w:val="32"/>
          <w:szCs w:val="32"/>
          <w:highlight w:val="none"/>
          <w14:textFill>
            <w14:solidFill>
              <w14:schemeClr w14:val="tx1"/>
            </w14:solidFill>
          </w14:textFill>
        </w:rPr>
      </w:pPr>
    </w:p>
    <w:p w14:paraId="5C93C5E1">
      <w:pPr>
        <w:snapToGrid w:val="0"/>
        <w:spacing w:before="50" w:after="50"/>
        <w:outlineLvl w:val="1"/>
        <w:rPr>
          <w:rFonts w:ascii="宋体" w:hAnsi="宋体"/>
          <w:b/>
          <w:bCs/>
          <w:color w:val="000000" w:themeColor="text1"/>
          <w:sz w:val="24"/>
          <w:highlight w:val="none"/>
          <w14:textFill>
            <w14:solidFill>
              <w14:schemeClr w14:val="tx1"/>
            </w14:solidFill>
          </w14:textFill>
        </w:rPr>
      </w:pPr>
    </w:p>
    <w:p w14:paraId="4C21880F">
      <w:pPr>
        <w:rPr>
          <w:b/>
          <w:color w:val="000000" w:themeColor="text1"/>
          <w:sz w:val="32"/>
          <w:szCs w:val="32"/>
          <w:highlight w:val="none"/>
          <w14:textFill>
            <w14:solidFill>
              <w14:schemeClr w14:val="tx1"/>
            </w14:solidFill>
          </w14:textFill>
        </w:rPr>
      </w:pPr>
      <w:bookmarkStart w:id="76" w:name="_Toc44229899"/>
      <w:bookmarkStart w:id="77" w:name="_Toc31723070"/>
      <w:bookmarkStart w:id="78" w:name="_Toc35611516"/>
      <w:bookmarkStart w:id="79" w:name="_Toc71366186"/>
      <w:bookmarkStart w:id="80" w:name="_Toc35611438"/>
      <w:bookmarkStart w:id="81" w:name="_Toc31728084"/>
      <w:r>
        <w:rPr>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76"/>
      <w:bookmarkEnd w:id="77"/>
      <w:bookmarkEnd w:id="78"/>
      <w:bookmarkEnd w:id="79"/>
      <w:bookmarkEnd w:id="80"/>
      <w:bookmarkEnd w:id="81"/>
    </w:p>
    <w:p w14:paraId="5B8234F7">
      <w:pPr>
        <w:snapToGrid w:val="0"/>
        <w:spacing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3277847A">
      <w:pPr>
        <w:snapToGrid w:val="0"/>
        <w:spacing w:beforeLines="50" w:after="50"/>
        <w:jc w:val="center"/>
        <w:rPr>
          <w:rFonts w:ascii="宋体" w:hAnsi="宋体"/>
          <w:color w:val="000000" w:themeColor="text1"/>
          <w:sz w:val="44"/>
          <w:szCs w:val="44"/>
          <w:highlight w:val="none"/>
          <w14:textFill>
            <w14:solidFill>
              <w14:schemeClr w14:val="tx1"/>
            </w14:solidFill>
          </w14:textFill>
        </w:rPr>
      </w:pPr>
    </w:p>
    <w:p w14:paraId="205808D4">
      <w:pPr>
        <w:snapToGrid w:val="0"/>
        <w:spacing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B57EB23">
      <w:pPr>
        <w:snapToGrid w:val="0"/>
        <w:spacing w:beforeLines="50" w:after="50"/>
        <w:rPr>
          <w:rFonts w:ascii="宋体" w:hAnsi="宋体"/>
          <w:color w:val="000000" w:themeColor="text1"/>
          <w:sz w:val="24"/>
          <w:szCs w:val="20"/>
          <w:highlight w:val="none"/>
          <w14:textFill>
            <w14:solidFill>
              <w14:schemeClr w14:val="tx1"/>
            </w14:solidFill>
          </w14:textFill>
        </w:rPr>
      </w:pPr>
    </w:p>
    <w:p w14:paraId="740F38CE">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29323839">
      <w:pPr>
        <w:snapToGrid w:val="0"/>
        <w:spacing w:beforeLines="50" w:after="50"/>
        <w:rPr>
          <w:rFonts w:ascii="宋体" w:hAnsi="宋体"/>
          <w:bCs/>
          <w:color w:val="000000" w:themeColor="text1"/>
          <w:sz w:val="24"/>
          <w:szCs w:val="20"/>
          <w:highlight w:val="none"/>
          <w14:textFill>
            <w14:solidFill>
              <w14:schemeClr w14:val="tx1"/>
            </w14:solidFill>
          </w14:textFill>
        </w:rPr>
      </w:pPr>
    </w:p>
    <w:p w14:paraId="5B583D31">
      <w:pPr>
        <w:snapToGrid w:val="0"/>
        <w:spacing w:beforeLines="50" w:after="50"/>
        <w:rPr>
          <w:rFonts w:ascii="宋体" w:hAnsi="宋体"/>
          <w:bCs/>
          <w:color w:val="000000" w:themeColor="text1"/>
          <w:sz w:val="24"/>
          <w:szCs w:val="20"/>
          <w:highlight w:val="none"/>
          <w14:textFill>
            <w14:solidFill>
              <w14:schemeClr w14:val="tx1"/>
            </w14:solidFill>
          </w14:textFill>
        </w:rPr>
      </w:pPr>
    </w:p>
    <w:p w14:paraId="713FEAB1">
      <w:pPr>
        <w:snapToGrid w:val="0"/>
        <w:spacing w:beforeLines="50" w:after="50"/>
        <w:rPr>
          <w:rFonts w:ascii="宋体" w:hAnsi="宋体"/>
          <w:bCs/>
          <w:color w:val="000000" w:themeColor="text1"/>
          <w:sz w:val="24"/>
          <w:szCs w:val="20"/>
          <w:highlight w:val="none"/>
          <w14:textFill>
            <w14:solidFill>
              <w14:schemeClr w14:val="tx1"/>
            </w14:solidFill>
          </w14:textFill>
        </w:rPr>
      </w:pPr>
    </w:p>
    <w:p w14:paraId="55E4A1B9">
      <w:pPr>
        <w:snapToGrid w:val="0"/>
        <w:spacing w:beforeLines="50" w:after="50"/>
        <w:rPr>
          <w:rFonts w:ascii="宋体" w:hAnsi="宋体"/>
          <w:bCs/>
          <w:color w:val="000000" w:themeColor="text1"/>
          <w:sz w:val="24"/>
          <w:szCs w:val="20"/>
          <w:highlight w:val="none"/>
          <w14:textFill>
            <w14:solidFill>
              <w14:schemeClr w14:val="tx1"/>
            </w14:solidFill>
          </w14:textFill>
        </w:rPr>
      </w:pPr>
    </w:p>
    <w:p w14:paraId="604D1B2E">
      <w:pPr>
        <w:snapToGrid w:val="0"/>
        <w:spacing w:beforeLines="50" w:after="50"/>
        <w:rPr>
          <w:rFonts w:ascii="宋体" w:hAnsi="宋体"/>
          <w:bCs/>
          <w:color w:val="000000" w:themeColor="text1"/>
          <w:sz w:val="24"/>
          <w:szCs w:val="20"/>
          <w:highlight w:val="none"/>
          <w14:textFill>
            <w14:solidFill>
              <w14:schemeClr w14:val="tx1"/>
            </w14:solidFill>
          </w14:textFill>
        </w:rPr>
      </w:pPr>
    </w:p>
    <w:p w14:paraId="686F4E4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69A196C7">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203B189">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E7F68B8">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06252AB4">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5E8CA6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2DBC030">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5FD3AA1">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2FB723EF">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A665832">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7CD41E5">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B1A81C6">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112C2C86">
      <w:pPr>
        <w:snapToGrid w:val="0"/>
        <w:spacing w:beforeLines="50" w:after="50" w:line="360" w:lineRule="auto"/>
        <w:ind w:left="142"/>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68B7D110">
      <w:pPr>
        <w:snapToGrid w:val="0"/>
        <w:spacing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62E852C1">
      <w:pPr>
        <w:snapToGrid w:val="0"/>
        <w:spacing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57EF7064">
      <w:pPr>
        <w:spacing w:line="300" w:lineRule="auto"/>
        <w:rPr>
          <w:rFonts w:ascii="宋体" w:hAnsi="宋体"/>
          <w:color w:val="000000" w:themeColor="text1"/>
          <w:szCs w:val="21"/>
          <w:highlight w:val="none"/>
          <w14:textFill>
            <w14:solidFill>
              <w14:schemeClr w14:val="tx1"/>
            </w14:solidFill>
          </w14:textFill>
        </w:rPr>
      </w:pPr>
    </w:p>
    <w:p w14:paraId="1C50D006">
      <w:pPr>
        <w:spacing w:line="300" w:lineRule="auto"/>
        <w:rPr>
          <w:rFonts w:ascii="宋体" w:hAnsi="宋体"/>
          <w:color w:val="000000" w:themeColor="text1"/>
          <w:szCs w:val="21"/>
          <w:highlight w:val="none"/>
          <w14:textFill>
            <w14:solidFill>
              <w14:schemeClr w14:val="tx1"/>
            </w14:solidFill>
          </w14:textFill>
        </w:rPr>
      </w:pPr>
    </w:p>
    <w:p w14:paraId="44602D32">
      <w:pPr>
        <w:spacing w:line="300" w:lineRule="auto"/>
        <w:rPr>
          <w:rFonts w:ascii="宋体" w:hAnsi="宋体"/>
          <w:color w:val="000000" w:themeColor="text1"/>
          <w:szCs w:val="21"/>
          <w:highlight w:val="none"/>
          <w14:textFill>
            <w14:solidFill>
              <w14:schemeClr w14:val="tx1"/>
            </w14:solidFill>
          </w14:textFill>
        </w:rPr>
      </w:pPr>
    </w:p>
    <w:p w14:paraId="7FCA3D6C">
      <w:pPr>
        <w:spacing w:line="300" w:lineRule="auto"/>
        <w:rPr>
          <w:rFonts w:ascii="宋体" w:hAnsi="宋体"/>
          <w:color w:val="000000" w:themeColor="text1"/>
          <w:szCs w:val="21"/>
          <w:highlight w:val="none"/>
          <w14:textFill>
            <w14:solidFill>
              <w14:schemeClr w14:val="tx1"/>
            </w14:solidFill>
          </w14:textFill>
        </w:rPr>
      </w:pPr>
    </w:p>
    <w:p w14:paraId="4C3F6595">
      <w:pPr>
        <w:spacing w:line="300" w:lineRule="auto"/>
        <w:rPr>
          <w:rFonts w:ascii="宋体" w:hAnsi="宋体"/>
          <w:color w:val="000000" w:themeColor="text1"/>
          <w:szCs w:val="21"/>
          <w:highlight w:val="none"/>
          <w14:textFill>
            <w14:solidFill>
              <w14:schemeClr w14:val="tx1"/>
            </w14:solidFill>
          </w14:textFill>
        </w:rPr>
      </w:pPr>
    </w:p>
    <w:p w14:paraId="7D88D069">
      <w:pPr>
        <w:spacing w:line="300" w:lineRule="auto"/>
        <w:rPr>
          <w:rFonts w:ascii="宋体" w:hAnsi="宋体"/>
          <w:color w:val="000000" w:themeColor="text1"/>
          <w:szCs w:val="21"/>
          <w:highlight w:val="none"/>
          <w14:textFill>
            <w14:solidFill>
              <w14:schemeClr w14:val="tx1"/>
            </w14:solidFill>
          </w14:textFill>
        </w:rPr>
      </w:pPr>
    </w:p>
    <w:p w14:paraId="19596B0A">
      <w:pPr>
        <w:spacing w:line="300" w:lineRule="auto"/>
        <w:rPr>
          <w:rFonts w:ascii="宋体" w:hAnsi="宋体"/>
          <w:color w:val="000000" w:themeColor="text1"/>
          <w:szCs w:val="21"/>
          <w:highlight w:val="none"/>
          <w14:textFill>
            <w14:solidFill>
              <w14:schemeClr w14:val="tx1"/>
            </w14:solidFill>
          </w14:textFill>
        </w:rPr>
      </w:pPr>
    </w:p>
    <w:p w14:paraId="4581264A">
      <w:pPr>
        <w:spacing w:line="300" w:lineRule="auto"/>
        <w:rPr>
          <w:rFonts w:ascii="宋体" w:hAnsi="宋体"/>
          <w:color w:val="000000" w:themeColor="text1"/>
          <w:szCs w:val="21"/>
          <w:highlight w:val="none"/>
          <w14:textFill>
            <w14:solidFill>
              <w14:schemeClr w14:val="tx1"/>
            </w14:solidFill>
          </w14:textFill>
        </w:rPr>
      </w:pPr>
    </w:p>
    <w:p w14:paraId="5E3DD4A7">
      <w:pPr>
        <w:spacing w:line="300" w:lineRule="auto"/>
        <w:rPr>
          <w:rFonts w:ascii="宋体" w:hAnsi="宋体"/>
          <w:color w:val="000000" w:themeColor="text1"/>
          <w:szCs w:val="21"/>
          <w:highlight w:val="none"/>
          <w14:textFill>
            <w14:solidFill>
              <w14:schemeClr w14:val="tx1"/>
            </w14:solidFill>
          </w14:textFill>
        </w:rPr>
      </w:pPr>
    </w:p>
    <w:p w14:paraId="7D1E9775">
      <w:pPr>
        <w:spacing w:line="300" w:lineRule="auto"/>
        <w:rPr>
          <w:rFonts w:ascii="宋体" w:hAnsi="宋体"/>
          <w:color w:val="000000" w:themeColor="text1"/>
          <w:szCs w:val="21"/>
          <w:highlight w:val="none"/>
          <w14:textFill>
            <w14:solidFill>
              <w14:schemeClr w14:val="tx1"/>
            </w14:solidFill>
          </w14:textFill>
        </w:rPr>
      </w:pPr>
    </w:p>
    <w:p w14:paraId="1A582249">
      <w:pPr>
        <w:spacing w:line="300" w:lineRule="auto"/>
        <w:rPr>
          <w:rFonts w:ascii="宋体" w:hAnsi="宋体"/>
          <w:color w:val="000000" w:themeColor="text1"/>
          <w:szCs w:val="21"/>
          <w:highlight w:val="none"/>
          <w14:textFill>
            <w14:solidFill>
              <w14:schemeClr w14:val="tx1"/>
            </w14:solidFill>
          </w14:textFill>
        </w:rPr>
      </w:pPr>
    </w:p>
    <w:p w14:paraId="4F5E910D">
      <w:pPr>
        <w:spacing w:line="300" w:lineRule="auto"/>
        <w:rPr>
          <w:rFonts w:ascii="宋体" w:hAnsi="宋体"/>
          <w:color w:val="000000" w:themeColor="text1"/>
          <w:szCs w:val="21"/>
          <w:highlight w:val="none"/>
          <w14:textFill>
            <w14:solidFill>
              <w14:schemeClr w14:val="tx1"/>
            </w14:solidFill>
          </w14:textFill>
        </w:rPr>
      </w:pPr>
    </w:p>
    <w:p w14:paraId="1D379B18">
      <w:pPr>
        <w:spacing w:line="300" w:lineRule="auto"/>
        <w:rPr>
          <w:rFonts w:ascii="宋体" w:hAnsi="宋体"/>
          <w:color w:val="000000" w:themeColor="text1"/>
          <w:szCs w:val="21"/>
          <w:highlight w:val="none"/>
          <w14:textFill>
            <w14:solidFill>
              <w14:schemeClr w14:val="tx1"/>
            </w14:solidFill>
          </w14:textFill>
        </w:rPr>
      </w:pPr>
    </w:p>
    <w:p w14:paraId="5B725928">
      <w:pPr>
        <w:spacing w:line="300" w:lineRule="auto"/>
        <w:rPr>
          <w:rFonts w:ascii="宋体" w:hAnsi="宋体"/>
          <w:color w:val="000000" w:themeColor="text1"/>
          <w:szCs w:val="21"/>
          <w:highlight w:val="none"/>
          <w14:textFill>
            <w14:solidFill>
              <w14:schemeClr w14:val="tx1"/>
            </w14:solidFill>
          </w14:textFill>
        </w:rPr>
      </w:pPr>
    </w:p>
    <w:p w14:paraId="36BCF19C">
      <w:pPr>
        <w:spacing w:line="300" w:lineRule="auto"/>
        <w:rPr>
          <w:rFonts w:ascii="宋体" w:hAnsi="宋体"/>
          <w:color w:val="000000" w:themeColor="text1"/>
          <w:szCs w:val="21"/>
          <w:highlight w:val="none"/>
          <w14:textFill>
            <w14:solidFill>
              <w14:schemeClr w14:val="tx1"/>
            </w14:solidFill>
          </w14:textFill>
        </w:rPr>
      </w:pPr>
    </w:p>
    <w:p w14:paraId="44E7119F">
      <w:pPr>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color w:val="000000" w:themeColor="text1"/>
          <w:szCs w:val="21"/>
          <w:highlight w:val="none"/>
          <w14:textFill>
            <w14:solidFill>
              <w14:schemeClr w14:val="tx1"/>
            </w14:solidFill>
          </w14:textFill>
        </w:rPr>
        <w:t xml:space="preserve"> </w:t>
      </w:r>
    </w:p>
    <w:p w14:paraId="6393788D">
      <w:pPr>
        <w:wordWrap w:val="0"/>
        <w:spacing w:beforeLines="50" w:after="50" w:line="320" w:lineRule="exact"/>
        <w:ind w:right="482" w:firstLine="210" w:firstLineChars="100"/>
        <w:contextualSpacing/>
        <w:jc w:val="center"/>
        <w:rPr>
          <w:rFonts w:ascii="宋体" w:hAnsi="宋体"/>
          <w:color w:val="000000" w:themeColor="text1"/>
          <w:szCs w:val="21"/>
          <w:highlight w:val="none"/>
          <w14:textFill>
            <w14:solidFill>
              <w14:schemeClr w14:val="tx1"/>
            </w14:solidFill>
          </w14:textFill>
        </w:rPr>
      </w:pPr>
    </w:p>
    <w:p w14:paraId="209E9F39">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52B8C4DB">
      <w:pPr>
        <w:snapToGrid w:val="0"/>
        <w:spacing w:beforeLines="50" w:after="50" w:line="360" w:lineRule="auto"/>
        <w:jc w:val="center"/>
        <w:rPr>
          <w:rFonts w:ascii="宋体" w:hAnsi="宋体"/>
          <w:b/>
          <w:color w:val="000000" w:themeColor="text1"/>
          <w:sz w:val="24"/>
          <w:highlight w:val="none"/>
          <w14:textFill>
            <w14:solidFill>
              <w14:schemeClr w14:val="tx1"/>
            </w14:solidFill>
          </w14:textFill>
        </w:rPr>
      </w:pPr>
    </w:p>
    <w:p w14:paraId="05C5B15E">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0F24E072">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4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76139A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BE5781">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C60044">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D3788">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0B6B0">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DB458D">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D4F84A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624F6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5DD5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715C5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1A118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7DDEE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3B53249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1A57C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D958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E1895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2C88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BBD1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2D92922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F8E4BA">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663567">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6F8B0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3B2F4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5B59AC">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52C4B1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F72AF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7FBE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E32E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67174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A3D28B">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0E3E6490">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6DC7C26E">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出资额或者持有股份的比例虽然不足百分之五十，但依其出资额或者持有的股份所享有的表决权已足以对股东会、股东大会的决议产生重大影响的股东。</w:t>
      </w:r>
    </w:p>
    <w:p w14:paraId="2115A161">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C850A4D">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4CB55FE0">
      <w:pPr>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118F8397">
      <w:pPr>
        <w:spacing w:line="360" w:lineRule="auto"/>
        <w:ind w:firstLine="560" w:firstLineChars="200"/>
        <w:contextualSpacing/>
        <w:jc w:val="left"/>
        <w:rPr>
          <w:rFonts w:ascii="宋体" w:hAnsi="宋体" w:cs="宋体"/>
          <w:color w:val="000000" w:themeColor="text1"/>
          <w:sz w:val="28"/>
          <w:szCs w:val="28"/>
          <w:highlight w:val="none"/>
          <w14:textFill>
            <w14:solidFill>
              <w14:schemeClr w14:val="tx1"/>
            </w14:solidFill>
          </w14:textFill>
        </w:rPr>
      </w:pPr>
    </w:p>
    <w:p w14:paraId="4C669016">
      <w:pPr>
        <w:spacing w:line="360" w:lineRule="auto"/>
        <w:ind w:right="480"/>
        <w:contextualSpacing/>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397047F9">
      <w:pPr>
        <w:spacing w:line="360" w:lineRule="auto"/>
        <w:ind w:right="480" w:firstLine="3000" w:firstLineChars="125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54C31129">
      <w:pPr>
        <w:spacing w:line="360" w:lineRule="auto"/>
        <w:ind w:firstLine="480" w:firstLineChars="200"/>
        <w:contextualSpacing/>
        <w:jc w:val="righ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472E9763">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4A2E37C4">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12207E19">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4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2F8C4F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136A">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DCEF4">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21B0DB">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46BE">
            <w:pPr>
              <w:widowControl/>
              <w:spacing w:line="360" w:lineRule="auto"/>
              <w:contextualSpacing/>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相互关系</w:t>
            </w:r>
          </w:p>
        </w:tc>
      </w:tr>
      <w:tr w14:paraId="183663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6D38B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9636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07A46">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372A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70F5D8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C9E403">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E57B61">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8E2E1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A0204D">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67550B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BBCC74">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EA369F">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C0885">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4EA95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r w14:paraId="443B690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275DE0">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3B084E">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984D8">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F915B9">
            <w:pPr>
              <w:widowControl/>
              <w:spacing w:line="360" w:lineRule="auto"/>
              <w:contextualSpacing/>
              <w:jc w:val="center"/>
              <w:rPr>
                <w:rFonts w:ascii="宋体" w:hAnsi="宋体" w:cs="宋体"/>
                <w:color w:val="000000" w:themeColor="text1"/>
                <w:kern w:val="0"/>
                <w:sz w:val="24"/>
                <w:highlight w:val="none"/>
                <w14:textFill>
                  <w14:solidFill>
                    <w14:schemeClr w14:val="tx1"/>
                  </w14:solidFill>
                </w14:textFill>
              </w:rPr>
            </w:pPr>
          </w:p>
        </w:tc>
      </w:tr>
    </w:tbl>
    <w:p w14:paraId="13162E27">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464A5930">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66E8D904">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778D6F37">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6D7E6255">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7C4F191A">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39910DAB">
      <w:pPr>
        <w:spacing w:line="360" w:lineRule="auto"/>
        <w:contextualSpacing/>
        <w:jc w:val="left"/>
        <w:rPr>
          <w:color w:val="000000" w:themeColor="text1"/>
          <w:sz w:val="28"/>
          <w:szCs w:val="28"/>
          <w:highlight w:val="none"/>
          <w14:textFill>
            <w14:solidFill>
              <w14:schemeClr w14:val="tx1"/>
            </w14:solidFill>
          </w14:textFill>
        </w:rPr>
      </w:pPr>
    </w:p>
    <w:p w14:paraId="283098A5">
      <w:pPr>
        <w:spacing w:line="360" w:lineRule="auto"/>
        <w:contextualSpacing/>
        <w:jc w:val="left"/>
        <w:rPr>
          <w:color w:val="000000" w:themeColor="text1"/>
          <w:sz w:val="28"/>
          <w:szCs w:val="28"/>
          <w:highlight w:val="none"/>
          <w14:textFill>
            <w14:solidFill>
              <w14:schemeClr w14:val="tx1"/>
            </w14:solidFill>
          </w14:textFill>
        </w:rPr>
      </w:pPr>
    </w:p>
    <w:p w14:paraId="6CBD546A">
      <w:pPr>
        <w:spacing w:line="360" w:lineRule="auto"/>
        <w:contextualSpacing/>
        <w:jc w:val="left"/>
        <w:rPr>
          <w:color w:val="000000" w:themeColor="text1"/>
          <w:sz w:val="28"/>
          <w:szCs w:val="28"/>
          <w:highlight w:val="none"/>
          <w14:textFill>
            <w14:solidFill>
              <w14:schemeClr w14:val="tx1"/>
            </w14:solidFill>
          </w14:textFill>
        </w:rPr>
      </w:pPr>
    </w:p>
    <w:p w14:paraId="283D7FB3">
      <w:pPr>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2FAE5A1D">
      <w:pPr>
        <w:spacing w:line="360" w:lineRule="auto"/>
        <w:ind w:right="480"/>
        <w:contextualSpacing/>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法定代表人或者委托代理人（签字或者电子签名）：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0387228E">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r>
        <w:rPr>
          <w:rFonts w:hint="eastAsia" w:ascii="宋体" w:hAnsi="宋体"/>
          <w:color w:val="000000" w:themeColor="text1"/>
          <w:sz w:val="24"/>
          <w:highlight w:val="none"/>
          <w:u w:val="single"/>
          <w14:textFill>
            <w14:solidFill>
              <w14:schemeClr w14:val="tx1"/>
            </w14:solidFill>
          </w14:textFill>
        </w:rPr>
        <w:t xml:space="preserve">                </w:t>
      </w:r>
    </w:p>
    <w:p w14:paraId="4BD00C24">
      <w:pPr>
        <w:spacing w:line="360" w:lineRule="auto"/>
        <w:ind w:firstLine="480" w:firstLineChars="200"/>
        <w:contextualSpacing/>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14D9127">
      <w:pPr>
        <w:spacing w:line="320" w:lineRule="exact"/>
        <w:jc w:val="center"/>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竞标声明</w:t>
      </w:r>
    </w:p>
    <w:p w14:paraId="5D0445D7">
      <w:pPr>
        <w:spacing w:line="320" w:lineRule="exact"/>
        <w:jc w:val="center"/>
        <w:rPr>
          <w:rFonts w:ascii="宋体" w:hAnsi="宋体"/>
          <w:color w:val="000000" w:themeColor="text1"/>
          <w:sz w:val="24"/>
          <w:szCs w:val="20"/>
          <w:highlight w:val="none"/>
          <w14:textFill>
            <w14:solidFill>
              <w14:schemeClr w14:val="tx1"/>
            </w14:solidFill>
          </w14:textFill>
        </w:rPr>
      </w:pPr>
    </w:p>
    <w:p w14:paraId="03A4F639">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62126B7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31C2C6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（项目名称）（项目编号）</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项目的竞标，为便于贵方公正、择优地确定成交供应商及其服务，我方就本次竞标有关事项郑重声明如下：</w:t>
      </w:r>
    </w:p>
    <w:p w14:paraId="44B0B42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6F97161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226F9CC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630EACE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r>
        <w:rPr>
          <w:rFonts w:hint="eastAsia" w:ascii="宋体" w:hAnsi="宋体" w:cs="宋体"/>
          <w:color w:val="000000" w:themeColor="text1"/>
          <w:sz w:val="24"/>
          <w:highlight w:val="none"/>
          <w:lang w:eastAsia="zh-CN"/>
          <w14:textFill>
            <w14:solidFill>
              <w14:schemeClr w14:val="tx1"/>
            </w14:solidFill>
          </w14:textFill>
        </w:rPr>
        <w:t>；</w:t>
      </w:r>
    </w:p>
    <w:p w14:paraId="31964984">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r>
        <w:rPr>
          <w:rFonts w:hint="eastAsia" w:ascii="宋体" w:hAnsi="宋体" w:cs="宋体"/>
          <w:color w:val="000000" w:themeColor="text1"/>
          <w:sz w:val="24"/>
          <w:highlight w:val="none"/>
          <w:lang w:eastAsia="zh-CN"/>
          <w14:textFill>
            <w14:solidFill>
              <w14:schemeClr w14:val="tx1"/>
            </w14:solidFill>
          </w14:textFill>
        </w:rPr>
        <w:t>；</w:t>
      </w:r>
    </w:p>
    <w:p w14:paraId="32286B05">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r>
        <w:rPr>
          <w:rFonts w:hint="eastAsia" w:ascii="宋体" w:hAnsi="宋体" w:cs="宋体"/>
          <w:color w:val="000000" w:themeColor="text1"/>
          <w:sz w:val="24"/>
          <w:highlight w:val="none"/>
          <w:lang w:eastAsia="zh-CN"/>
          <w14:textFill>
            <w14:solidFill>
              <w14:schemeClr w14:val="tx1"/>
            </w14:solidFill>
          </w14:textFill>
        </w:rPr>
        <w:t>；</w:t>
      </w:r>
    </w:p>
    <w:p w14:paraId="32BF8C6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5382F75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6062619B">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r>
        <w:rPr>
          <w:rFonts w:hint="eastAsia" w:ascii="宋体" w:hAnsi="宋体" w:cs="宋体"/>
          <w:color w:val="000000" w:themeColor="text1"/>
          <w:sz w:val="24"/>
          <w:highlight w:val="none"/>
          <w:lang w:eastAsia="zh-CN"/>
          <w14:textFill>
            <w14:solidFill>
              <w14:schemeClr w14:val="tx1"/>
            </w14:solidFill>
          </w14:textFill>
        </w:rPr>
        <w:t>；</w:t>
      </w:r>
    </w:p>
    <w:p w14:paraId="5B7C1E48">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r>
        <w:rPr>
          <w:rFonts w:hint="eastAsia" w:ascii="宋体" w:hAnsi="宋体" w:cs="宋体"/>
          <w:color w:val="000000" w:themeColor="text1"/>
          <w:sz w:val="24"/>
          <w:highlight w:val="none"/>
          <w:lang w:eastAsia="zh-CN"/>
          <w14:textFill>
            <w14:solidFill>
              <w14:schemeClr w14:val="tx1"/>
            </w14:solidFill>
          </w14:textFill>
        </w:rPr>
        <w:t>；</w:t>
      </w:r>
    </w:p>
    <w:p w14:paraId="26B9DD6E">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r>
        <w:rPr>
          <w:rFonts w:hint="eastAsia" w:ascii="宋体" w:hAnsi="宋体" w:cs="宋体"/>
          <w:color w:val="000000" w:themeColor="text1"/>
          <w:sz w:val="24"/>
          <w:highlight w:val="none"/>
          <w:lang w:eastAsia="zh-CN"/>
          <w14:textFill>
            <w14:solidFill>
              <w14:schemeClr w14:val="tx1"/>
            </w14:solidFill>
          </w14:textFill>
        </w:rPr>
        <w:t>；</w:t>
      </w:r>
    </w:p>
    <w:p w14:paraId="44183D0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r>
        <w:rPr>
          <w:rFonts w:hint="eastAsia" w:ascii="宋体" w:hAnsi="宋体" w:cs="宋体"/>
          <w:color w:val="000000" w:themeColor="text1"/>
          <w:sz w:val="24"/>
          <w:highlight w:val="none"/>
          <w:lang w:eastAsia="zh-CN"/>
          <w14:textFill>
            <w14:solidFill>
              <w14:schemeClr w14:val="tx1"/>
            </w14:solidFill>
          </w14:textFill>
        </w:rPr>
        <w:t>；</w:t>
      </w:r>
    </w:p>
    <w:p w14:paraId="362CE868">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r>
        <w:rPr>
          <w:rFonts w:hint="eastAsia" w:ascii="宋体" w:hAnsi="宋体" w:cs="宋体"/>
          <w:color w:val="000000" w:themeColor="text1"/>
          <w:sz w:val="24"/>
          <w:highlight w:val="none"/>
          <w:lang w:eastAsia="zh-CN"/>
          <w14:textFill>
            <w14:solidFill>
              <w14:schemeClr w14:val="tx1"/>
            </w14:solidFill>
          </w14:textFill>
        </w:rPr>
        <w:t>；</w:t>
      </w:r>
    </w:p>
    <w:p w14:paraId="2FA7A0A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11B57C05">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9CB69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8A8F40">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lang w:eastAsia="zh-CN"/>
          <w14:textFill>
            <w14:solidFill>
              <w14:schemeClr w14:val="tx1"/>
            </w14:solidFill>
          </w14:textFill>
        </w:rPr>
        <w:t>；</w:t>
      </w:r>
    </w:p>
    <w:p w14:paraId="54D1D9BC">
      <w:pPr>
        <w:spacing w:line="360" w:lineRule="auto"/>
        <w:ind w:firstLine="480" w:firstLineChars="200"/>
        <w:contextualSpacing/>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eastAsia="zh-CN"/>
          <w14:textFill>
            <w14:solidFill>
              <w14:schemeClr w14:val="tx1"/>
            </w14:solidFill>
          </w14:textFill>
        </w:rPr>
        <w:t>；</w:t>
      </w:r>
    </w:p>
    <w:p w14:paraId="15E93032">
      <w:pPr>
        <w:pStyle w:val="25"/>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26C92C7D">
      <w:pPr>
        <w:pStyle w:val="25"/>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电子邮箱：</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294A740E">
      <w:pPr>
        <w:pStyle w:val="21"/>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w:t>
      </w:r>
      <w:r>
        <w:rPr>
          <w:rFonts w:hint="eastAsia" w:ascii="宋体" w:hAnsi="宋体" w:cs="宋体"/>
          <w:color w:val="000000" w:themeColor="text1"/>
          <w:sz w:val="24"/>
          <w:highlight w:val="none"/>
          <w:u w:val="single"/>
          <w14:textFill>
            <w14:solidFill>
              <w14:schemeClr w14:val="tx1"/>
            </w14:solidFill>
          </w14:textFill>
        </w:rPr>
        <w:t xml:space="preserve">                               </w:t>
      </w:r>
    </w:p>
    <w:p w14:paraId="6883839B">
      <w:pPr>
        <w:pStyle w:val="21"/>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425AA991">
      <w:pPr>
        <w:pStyle w:val="21"/>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A5F0307">
      <w:pPr>
        <w:spacing w:line="360" w:lineRule="auto"/>
        <w:ind w:firstLine="482" w:firstLineChars="200"/>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如为联合体竞标，盖章处须加盖联合体牵头人电子签章并由联合体牵头人法定代表人签字或者盖章或者电子签名，否则响应文件按无效处理。</w:t>
      </w:r>
    </w:p>
    <w:p w14:paraId="4E4456D3">
      <w:pPr>
        <w:spacing w:line="360" w:lineRule="auto"/>
        <w:contextualSpacing/>
        <w:jc w:val="left"/>
        <w:rPr>
          <w:rFonts w:ascii="宋体" w:hAnsi="宋体" w:cs="宋体"/>
          <w:color w:val="000000" w:themeColor="text1"/>
          <w:sz w:val="24"/>
          <w:highlight w:val="none"/>
          <w14:textFill>
            <w14:solidFill>
              <w14:schemeClr w14:val="tx1"/>
            </w14:solidFill>
          </w14:textFill>
        </w:rPr>
      </w:pPr>
    </w:p>
    <w:p w14:paraId="61EBA48E">
      <w:pPr>
        <w:spacing w:line="360" w:lineRule="auto"/>
        <w:ind w:firstLine="1800" w:firstLineChars="750"/>
        <w:contextualSpacing/>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p w14:paraId="356D8EA9">
      <w:pPr>
        <w:spacing w:line="360" w:lineRule="auto"/>
        <w:ind w:firstLine="4320" w:firstLineChars="1800"/>
        <w:contextualSpacing/>
        <w:rPr>
          <w:rFonts w:ascii="宋体" w:hAnsi="宋体" w:cs="宋体"/>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供应商（电子签章）：</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7463234">
      <w:pPr>
        <w:pStyle w:val="21"/>
        <w:tabs>
          <w:tab w:val="left" w:pos="939"/>
        </w:tabs>
        <w:spacing w:line="360" w:lineRule="auto"/>
        <w:ind w:left="0" w:leftChars="0"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    月    日</w:t>
      </w:r>
    </w:p>
    <w:p w14:paraId="783F4E70">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6C72892D">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292DE92D">
      <w:pPr>
        <w:snapToGrid w:val="0"/>
        <w:spacing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A3935A9">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444AEDD1">
      <w:pPr>
        <w:snapToGrid w:val="0"/>
        <w:spacing w:beforeLines="50" w:after="50"/>
        <w:rPr>
          <w:rFonts w:ascii="宋体" w:hAnsi="宋体"/>
          <w:color w:val="000000" w:themeColor="text1"/>
          <w:sz w:val="24"/>
          <w:szCs w:val="20"/>
          <w:highlight w:val="none"/>
          <w14:textFill>
            <w14:solidFill>
              <w14:schemeClr w14:val="tx1"/>
            </w14:solidFill>
          </w14:textFill>
        </w:rPr>
      </w:pPr>
    </w:p>
    <w:p w14:paraId="6BF095EF">
      <w:pPr>
        <w:snapToGrid w:val="0"/>
        <w:spacing w:beforeLines="50" w:after="50"/>
        <w:rPr>
          <w:rFonts w:ascii="宋体" w:hAnsi="宋体"/>
          <w:color w:val="000000" w:themeColor="text1"/>
          <w:sz w:val="24"/>
          <w:szCs w:val="20"/>
          <w:highlight w:val="none"/>
          <w14:textFill>
            <w14:solidFill>
              <w14:schemeClr w14:val="tx1"/>
            </w14:solidFill>
          </w14:textFill>
        </w:rPr>
      </w:pPr>
    </w:p>
    <w:p w14:paraId="1129D702">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04D468B0">
      <w:pPr>
        <w:snapToGrid w:val="0"/>
        <w:spacing w:beforeLines="50" w:after="50"/>
        <w:rPr>
          <w:rFonts w:ascii="宋体" w:hAnsi="宋体"/>
          <w:bCs/>
          <w:color w:val="000000" w:themeColor="text1"/>
          <w:sz w:val="24"/>
          <w:szCs w:val="20"/>
          <w:highlight w:val="none"/>
          <w14:textFill>
            <w14:solidFill>
              <w14:schemeClr w14:val="tx1"/>
            </w14:solidFill>
          </w14:textFill>
        </w:rPr>
      </w:pPr>
    </w:p>
    <w:p w14:paraId="4B25335A">
      <w:pPr>
        <w:snapToGrid w:val="0"/>
        <w:spacing w:beforeLines="50" w:after="50"/>
        <w:rPr>
          <w:rFonts w:ascii="宋体" w:hAnsi="宋体"/>
          <w:bCs/>
          <w:color w:val="000000" w:themeColor="text1"/>
          <w:sz w:val="24"/>
          <w:szCs w:val="20"/>
          <w:highlight w:val="none"/>
          <w14:textFill>
            <w14:solidFill>
              <w14:schemeClr w14:val="tx1"/>
            </w14:solidFill>
          </w14:textFill>
        </w:rPr>
      </w:pPr>
    </w:p>
    <w:p w14:paraId="303CD352">
      <w:pPr>
        <w:snapToGrid w:val="0"/>
        <w:spacing w:beforeLines="50" w:after="50"/>
        <w:rPr>
          <w:rFonts w:ascii="宋体" w:hAnsi="宋体"/>
          <w:bCs/>
          <w:color w:val="000000" w:themeColor="text1"/>
          <w:sz w:val="24"/>
          <w:szCs w:val="20"/>
          <w:highlight w:val="none"/>
          <w14:textFill>
            <w14:solidFill>
              <w14:schemeClr w14:val="tx1"/>
            </w14:solidFill>
          </w14:textFill>
        </w:rPr>
      </w:pPr>
    </w:p>
    <w:p w14:paraId="4E08136B">
      <w:pPr>
        <w:snapToGrid w:val="0"/>
        <w:spacing w:beforeLines="50" w:after="50"/>
        <w:rPr>
          <w:rFonts w:ascii="宋体" w:hAnsi="宋体"/>
          <w:bCs/>
          <w:color w:val="000000" w:themeColor="text1"/>
          <w:sz w:val="24"/>
          <w:szCs w:val="20"/>
          <w:highlight w:val="none"/>
          <w14:textFill>
            <w14:solidFill>
              <w14:schemeClr w14:val="tx1"/>
            </w14:solidFill>
          </w14:textFill>
        </w:rPr>
      </w:pPr>
    </w:p>
    <w:p w14:paraId="4947E242">
      <w:pPr>
        <w:snapToGrid w:val="0"/>
        <w:spacing w:beforeLines="50" w:after="50"/>
        <w:rPr>
          <w:rFonts w:ascii="宋体" w:hAnsi="宋体"/>
          <w:bCs/>
          <w:color w:val="000000" w:themeColor="text1"/>
          <w:sz w:val="24"/>
          <w:szCs w:val="20"/>
          <w:highlight w:val="none"/>
          <w14:textFill>
            <w14:solidFill>
              <w14:schemeClr w14:val="tx1"/>
            </w14:solidFill>
          </w14:textFill>
        </w:rPr>
      </w:pPr>
    </w:p>
    <w:p w14:paraId="7BE0FC7D">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7E7D17C7">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BEF39B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3D4ACE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106380AD">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6A895362">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0E2E064">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836E064">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77A9AD8B">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C2489A6">
      <w:pPr>
        <w:pStyle w:val="7"/>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4D378885">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1D23442C">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7AAAF31">
      <w:pPr>
        <w:snapToGrid w:val="0"/>
        <w:spacing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33D72496">
      <w:pPr>
        <w:spacing w:line="520" w:lineRule="exact"/>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09F05EDB">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竞标函及竞标函附录</w:t>
      </w:r>
    </w:p>
    <w:p w14:paraId="27ADA714">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p>
    <w:p w14:paraId="4142F147">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方正小标宋简体"/>
          <w:b/>
          <w:bCs/>
          <w:color w:val="000000" w:themeColor="text1"/>
          <w:sz w:val="32"/>
          <w:szCs w:val="32"/>
          <w:highlight w:val="none"/>
          <w14:textFill>
            <w14:solidFill>
              <w14:schemeClr w14:val="tx1"/>
            </w14:solidFill>
          </w14:textFill>
        </w:rPr>
        <w:t>（一）竞标函</w:t>
      </w:r>
    </w:p>
    <w:p w14:paraId="1EB404D9">
      <w:pPr>
        <w:spacing w:line="520" w:lineRule="exact"/>
        <w:jc w:val="center"/>
        <w:rPr>
          <w:rFonts w:ascii="宋体" w:hAnsi="宋体" w:cs="方正小标宋简体"/>
          <w:b/>
          <w:bCs/>
          <w:color w:val="000000" w:themeColor="text1"/>
          <w:sz w:val="32"/>
          <w:szCs w:val="32"/>
          <w:highlight w:val="none"/>
          <w14:textFill>
            <w14:solidFill>
              <w14:schemeClr w14:val="tx1"/>
            </w14:solidFill>
          </w14:textFill>
        </w:rPr>
      </w:pPr>
    </w:p>
    <w:p w14:paraId="07FE78A0">
      <w:pPr>
        <w:spacing w:line="360" w:lineRule="auto"/>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color w:val="000000" w:themeColor="text1"/>
          <w:szCs w:val="21"/>
          <w:highlight w:val="none"/>
          <w:lang w:val="zh-CN" w:bidi="zh-CN"/>
          <w14:textFill>
            <w14:solidFill>
              <w14:schemeClr w14:val="tx1"/>
            </w14:solidFill>
          </w14:textFill>
        </w:rPr>
        <w:t>采购人</w:t>
      </w:r>
      <w:r>
        <w:rPr>
          <w:color w:val="000000" w:themeColor="text1"/>
          <w:szCs w:val="21"/>
          <w:highlight w:val="none"/>
          <w:lang w:val="zh-CN" w:bidi="zh-CN"/>
          <w14:textFill>
            <w14:solidFill>
              <w14:schemeClr w14:val="tx1"/>
            </w14:solidFill>
          </w14:textFill>
        </w:rPr>
        <w:t>名称</w:t>
      </w:r>
      <w:r>
        <w:rPr>
          <w:color w:val="000000" w:themeColor="text1"/>
          <w:szCs w:val="21"/>
          <w:highlight w:val="none"/>
          <w14:textFill>
            <w14:solidFill>
              <w14:schemeClr w14:val="tx1"/>
            </w14:solidFill>
          </w14:textFill>
        </w:rPr>
        <w:t>）：</w:t>
      </w:r>
    </w:p>
    <w:p w14:paraId="1ED6408B">
      <w:pPr>
        <w:pStyle w:val="178"/>
        <w:numPr>
          <w:ilvl w:val="0"/>
          <w:numId w:val="3"/>
        </w:numPr>
        <w:tabs>
          <w:tab w:val="left" w:pos="762"/>
          <w:tab w:val="left" w:pos="2074"/>
          <w:tab w:val="left" w:pos="3430"/>
          <w:tab w:val="left" w:pos="4687"/>
          <w:tab w:val="left" w:pos="7898"/>
        </w:tabs>
        <w:ind w:firstLine="440"/>
        <w:rPr>
          <w:rFonts w:ascii="Times New Roman" w:hAnsi="Times New Roman" w:cs="Times New Roman"/>
          <w:color w:val="000000" w:themeColor="text1"/>
          <w:szCs w:val="21"/>
          <w:highlight w:val="none"/>
          <w14:textFill>
            <w14:solidFill>
              <w14:schemeClr w14:val="tx1"/>
            </w14:solidFill>
          </w14:textFill>
        </w:rPr>
      </w:pPr>
      <w:bookmarkStart w:id="82" w:name="bookmark2065"/>
      <w:bookmarkEnd w:id="82"/>
      <w:r>
        <w:rPr>
          <w:rFonts w:ascii="Times New Roman" w:hAnsi="Times New Roman" w:cs="Times New Roman"/>
          <w:color w:val="000000" w:themeColor="text1"/>
          <w:szCs w:val="21"/>
          <w:highlight w:val="none"/>
          <w14:textFill>
            <w14:solidFill>
              <w14:schemeClr w14:val="tx1"/>
            </w14:solidFill>
          </w14:textFill>
        </w:rPr>
        <w:t>我方已仔细研究了</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（项目名称</w:t>
      </w:r>
      <w:r>
        <w:rPr>
          <w:rFonts w:hint="eastAsia" w:ascii="Times New Roman" w:hAnsi="Times New Roman" w:cs="Times New Roman"/>
          <w:color w:val="000000" w:themeColor="text1"/>
          <w:szCs w:val="21"/>
          <w:highlight w:val="none"/>
          <w:u w:val="single"/>
          <w14:textFill>
            <w14:solidFill>
              <w14:schemeClr w14:val="tx1"/>
            </w14:solidFill>
          </w14:textFill>
        </w:rPr>
        <w:t>、项目编号</w:t>
      </w:r>
      <w:r>
        <w:rPr>
          <w:rFonts w:ascii="Times New Roman" w:hAnsi="Times New Roman" w:cs="Times New Roman"/>
          <w:color w:val="000000" w:themeColor="text1"/>
          <w:szCs w:val="21"/>
          <w:highlight w:val="none"/>
          <w:u w:val="single"/>
          <w14:textFill>
            <w14:solidFill>
              <w14:schemeClr w14:val="tx1"/>
            </w14:solidFill>
          </w14:textFill>
        </w:rPr>
        <w:t>）</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文件的全部内容，愿意以人民币（大写）</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元（¥</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）的</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标总报价，工期</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日历天，按合同约定实施和完成承包工程，修补工程中的任何缺陷，工程质量达到</w:t>
      </w:r>
      <w:r>
        <w:rPr>
          <w:rFonts w:hint="eastAsia" w:ascii="Times New Roman" w:hAnsi="Times New Roman" w:cs="Times New Roman"/>
          <w:color w:val="000000" w:themeColor="text1"/>
          <w:szCs w:val="21"/>
          <w:highlight w:val="none"/>
          <w:u w:val="single"/>
          <w:lang w:val="en-US"/>
          <w14:textFill>
            <w14:solidFill>
              <w14:schemeClr w14:val="tx1"/>
            </w14:solidFill>
          </w14:textFill>
        </w:rPr>
        <w:t xml:space="preserve">           </w:t>
      </w:r>
      <w:r>
        <w:rPr>
          <w:rFonts w:ascii="Times New Roman" w:hAnsi="Times New Roman" w:cs="Times New Roman"/>
          <w:color w:val="000000" w:themeColor="text1"/>
          <w:szCs w:val="21"/>
          <w:highlight w:val="none"/>
          <w:u w:val="single"/>
          <w14:textFill>
            <w14:solidFill>
              <w14:schemeClr w14:val="tx1"/>
            </w14:solidFill>
          </w14:textFill>
        </w:rPr>
        <w:t xml:space="preserve"> </w:t>
      </w:r>
      <w:r>
        <w:rPr>
          <w:rFonts w:ascii="Times New Roman" w:hAnsi="Times New Roman" w:cs="Times New Roman"/>
          <w:color w:val="000000" w:themeColor="text1"/>
          <w:szCs w:val="21"/>
          <w:highlight w:val="none"/>
          <w:lang w:val="en-US" w:bidi="en-US"/>
          <w14:textFill>
            <w14:solidFill>
              <w14:schemeClr w14:val="tx1"/>
            </w14:solidFill>
          </w14:textFill>
        </w:rPr>
        <w:t>。</w:t>
      </w:r>
    </w:p>
    <w:p w14:paraId="1A125258">
      <w:pPr>
        <w:pStyle w:val="178"/>
        <w:numPr>
          <w:ilvl w:val="0"/>
          <w:numId w:val="3"/>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bookmarkStart w:id="83" w:name="bookmark2068"/>
      <w:bookmarkEnd w:id="83"/>
      <w:bookmarkStart w:id="84" w:name="bookmark2067"/>
      <w:bookmarkEnd w:id="84"/>
      <w:bookmarkStart w:id="85" w:name="bookmark2066"/>
      <w:bookmarkEnd w:id="85"/>
      <w:r>
        <w:rPr>
          <w:rFonts w:hint="eastAsia"/>
          <w:color w:val="000000" w:themeColor="text1"/>
          <w:highlight w:val="none"/>
          <w14:textFill>
            <w14:solidFill>
              <w14:schemeClr w14:val="tx1"/>
            </w14:solidFill>
          </w14:textFill>
        </w:rPr>
        <w:t>我方承认竞标函附录是我方竞标函的组成部分。</w:t>
      </w:r>
    </w:p>
    <w:p w14:paraId="362E501F">
      <w:pPr>
        <w:pStyle w:val="178"/>
        <w:numPr>
          <w:ilvl w:val="0"/>
          <w:numId w:val="3"/>
        </w:numPr>
        <w:tabs>
          <w:tab w:val="left" w:pos="762"/>
        </w:tabs>
        <w:ind w:firstLine="420"/>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如我方</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w:t>
      </w:r>
    </w:p>
    <w:p w14:paraId="1D94CE18">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86" w:name="bookmark2069"/>
      <w:r>
        <w:rPr>
          <w:rFonts w:ascii="Times New Roman" w:hAnsi="Times New Roman" w:cs="Times New Roman"/>
          <w:color w:val="000000" w:themeColor="text1"/>
          <w:szCs w:val="21"/>
          <w:highlight w:val="none"/>
          <w14:textFill>
            <w14:solidFill>
              <w14:schemeClr w14:val="tx1"/>
            </w14:solidFill>
          </w14:textFill>
        </w:rPr>
        <w:t>（</w:t>
      </w:r>
      <w:bookmarkEnd w:id="86"/>
      <w:r>
        <w:rPr>
          <w:rFonts w:ascii="Times New Roman" w:hAnsi="Times New Roman" w:cs="Times New Roman"/>
          <w:color w:val="000000" w:themeColor="text1"/>
          <w:szCs w:val="21"/>
          <w:highlight w:val="none"/>
          <w14:textFill>
            <w14:solidFill>
              <w14:schemeClr w14:val="tx1"/>
            </w14:solidFill>
          </w14:textFill>
        </w:rPr>
        <w:t>1）我方承诺在收到</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通知书后，在</w:t>
      </w:r>
      <w:r>
        <w:rPr>
          <w:rFonts w:hint="eastAsia" w:ascii="Times New Roman" w:hAnsi="Times New Roman" w:cs="Times New Roman"/>
          <w:color w:val="000000" w:themeColor="text1"/>
          <w:szCs w:val="21"/>
          <w:highlight w:val="none"/>
          <w14:textFill>
            <w14:solidFill>
              <w14:schemeClr w14:val="tx1"/>
            </w14:solidFill>
          </w14:textFill>
        </w:rPr>
        <w:t>成交</w:t>
      </w:r>
      <w:r>
        <w:rPr>
          <w:rFonts w:ascii="Times New Roman" w:hAnsi="Times New Roman" w:cs="Times New Roman"/>
          <w:color w:val="000000" w:themeColor="text1"/>
          <w:szCs w:val="21"/>
          <w:highlight w:val="none"/>
          <w14:textFill>
            <w14:solidFill>
              <w14:schemeClr w14:val="tx1"/>
            </w14:solidFill>
          </w14:textFill>
        </w:rPr>
        <w:t>通知书规定的期限内与你方签订合同。</w:t>
      </w:r>
    </w:p>
    <w:p w14:paraId="68FCC11A">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87" w:name="bookmark2070"/>
      <w:r>
        <w:rPr>
          <w:rFonts w:ascii="Times New Roman" w:hAnsi="Times New Roman" w:cs="Times New Roman"/>
          <w:color w:val="000000" w:themeColor="text1"/>
          <w:szCs w:val="21"/>
          <w:highlight w:val="none"/>
          <w14:textFill>
            <w14:solidFill>
              <w14:schemeClr w14:val="tx1"/>
            </w14:solidFill>
          </w14:textFill>
        </w:rPr>
        <w:t>（</w:t>
      </w:r>
      <w:bookmarkEnd w:id="87"/>
      <w:r>
        <w:rPr>
          <w:rFonts w:ascii="Times New Roman" w:hAnsi="Times New Roman" w:cs="Times New Roman"/>
          <w:color w:val="000000" w:themeColor="text1"/>
          <w:szCs w:val="21"/>
          <w:highlight w:val="none"/>
          <w14:textFill>
            <w14:solidFill>
              <w14:schemeClr w14:val="tx1"/>
            </w14:solidFill>
          </w14:textFill>
        </w:rPr>
        <w:t>2）</w:t>
      </w:r>
      <w:r>
        <w:rPr>
          <w:color w:val="000000" w:themeColor="text1"/>
          <w:highlight w:val="none"/>
          <w14:textFill>
            <w14:solidFill>
              <w14:schemeClr w14:val="tx1"/>
            </w14:solidFill>
          </w14:textFill>
        </w:rPr>
        <w:t>在签订合同时不向你方提出附加条件</w:t>
      </w:r>
      <w:r>
        <w:rPr>
          <w:rFonts w:ascii="Times New Roman" w:hAnsi="Times New Roman" w:cs="Times New Roman"/>
          <w:color w:val="000000" w:themeColor="text1"/>
          <w:szCs w:val="21"/>
          <w:highlight w:val="none"/>
          <w14:textFill>
            <w14:solidFill>
              <w14:schemeClr w14:val="tx1"/>
            </w14:solidFill>
          </w14:textFill>
        </w:rPr>
        <w:t>。</w:t>
      </w:r>
    </w:p>
    <w:p w14:paraId="55D79DAC">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88" w:name="bookmark2071"/>
      <w:r>
        <w:rPr>
          <w:rFonts w:ascii="Times New Roman" w:hAnsi="Times New Roman" w:cs="Times New Roman"/>
          <w:color w:val="000000" w:themeColor="text1"/>
          <w:szCs w:val="21"/>
          <w:highlight w:val="none"/>
          <w14:textFill>
            <w14:solidFill>
              <w14:schemeClr w14:val="tx1"/>
            </w14:solidFill>
          </w14:textFill>
        </w:rPr>
        <w:t>（</w:t>
      </w:r>
      <w:bookmarkEnd w:id="88"/>
      <w:r>
        <w:rPr>
          <w:rFonts w:ascii="Times New Roman" w:hAnsi="Times New Roman" w:cs="Times New Roman"/>
          <w:color w:val="000000" w:themeColor="text1"/>
          <w:szCs w:val="21"/>
          <w:highlight w:val="none"/>
          <w14:textFill>
            <w14:solidFill>
              <w14:schemeClr w14:val="tx1"/>
            </w14:solidFill>
          </w14:textFill>
        </w:rPr>
        <w:t>3）我方承诺按照</w:t>
      </w:r>
      <w:r>
        <w:rPr>
          <w:rFonts w:hint="eastAsia" w:ascii="Times New Roman" w:hAnsi="Times New Roman" w:cs="Times New Roman"/>
          <w:color w:val="000000" w:themeColor="text1"/>
          <w:szCs w:val="21"/>
          <w:highlight w:val="none"/>
          <w14:textFill>
            <w14:solidFill>
              <w14:schemeClr w14:val="tx1"/>
            </w14:solidFill>
          </w14:textFill>
        </w:rPr>
        <w:t>磋商</w:t>
      </w:r>
      <w:r>
        <w:rPr>
          <w:rFonts w:ascii="Times New Roman" w:hAnsi="Times New Roman" w:cs="Times New Roman"/>
          <w:color w:val="000000" w:themeColor="text1"/>
          <w:szCs w:val="21"/>
          <w:highlight w:val="none"/>
          <w14:textFill>
            <w14:solidFill>
              <w14:schemeClr w14:val="tx1"/>
            </w14:solidFill>
          </w14:textFill>
        </w:rPr>
        <w:t>文件规定向你方递交履约担保。</w:t>
      </w:r>
    </w:p>
    <w:p w14:paraId="1872A305">
      <w:pPr>
        <w:pStyle w:val="178"/>
        <w:tabs>
          <w:tab w:val="left" w:pos="903"/>
        </w:tabs>
        <w:ind w:firstLine="420"/>
        <w:rPr>
          <w:rFonts w:ascii="Times New Roman" w:hAnsi="Times New Roman" w:cs="Times New Roman"/>
          <w:color w:val="000000" w:themeColor="text1"/>
          <w:szCs w:val="21"/>
          <w:highlight w:val="none"/>
          <w14:textFill>
            <w14:solidFill>
              <w14:schemeClr w14:val="tx1"/>
            </w14:solidFill>
          </w14:textFill>
        </w:rPr>
      </w:pPr>
      <w:bookmarkStart w:id="89" w:name="bookmark2072"/>
      <w:r>
        <w:rPr>
          <w:rFonts w:ascii="Times New Roman" w:hAnsi="Times New Roman" w:cs="Times New Roman"/>
          <w:color w:val="000000" w:themeColor="text1"/>
          <w:szCs w:val="21"/>
          <w:highlight w:val="none"/>
          <w14:textFill>
            <w14:solidFill>
              <w14:schemeClr w14:val="tx1"/>
            </w14:solidFill>
          </w14:textFill>
        </w:rPr>
        <w:t>（</w:t>
      </w:r>
      <w:bookmarkEnd w:id="89"/>
      <w:r>
        <w:rPr>
          <w:rFonts w:ascii="Times New Roman" w:hAnsi="Times New Roman" w:cs="Times New Roman"/>
          <w:color w:val="000000" w:themeColor="text1"/>
          <w:szCs w:val="21"/>
          <w:highlight w:val="none"/>
          <w14:textFill>
            <w14:solidFill>
              <w14:schemeClr w14:val="tx1"/>
            </w14:solidFill>
          </w14:textFill>
        </w:rPr>
        <w:t>4）我方承诺在合同约定的期限内完成并移交全部合同工程。</w:t>
      </w:r>
    </w:p>
    <w:p w14:paraId="24BCEFF9">
      <w:pPr>
        <w:pStyle w:val="178"/>
        <w:numPr>
          <w:ilvl w:val="0"/>
          <w:numId w:val="3"/>
        </w:numPr>
        <w:tabs>
          <w:tab w:val="left" w:pos="762"/>
        </w:tabs>
        <w:ind w:firstLine="440"/>
        <w:rPr>
          <w:rFonts w:ascii="Times New Roman" w:hAnsi="Times New Roman" w:cs="Times New Roman"/>
          <w:color w:val="000000" w:themeColor="text1"/>
          <w:szCs w:val="21"/>
          <w:highlight w:val="none"/>
          <w14:textFill>
            <w14:solidFill>
              <w14:schemeClr w14:val="tx1"/>
            </w14:solidFill>
          </w14:textFill>
        </w:rPr>
      </w:pPr>
      <w:bookmarkStart w:id="90" w:name="bookmark2073"/>
      <w:bookmarkEnd w:id="90"/>
      <w:r>
        <w:rPr>
          <w:color w:val="000000" w:themeColor="text1"/>
          <w:highlight w:val="none"/>
          <w14:textFill>
            <w14:solidFill>
              <w14:schemeClr w14:val="tx1"/>
            </w14:solidFill>
          </w14:textFill>
        </w:rPr>
        <w:t>在合同协议书正式签署生效之前，本</w:t>
      </w:r>
      <w:r>
        <w:rPr>
          <w:rFonts w:hint="eastAsia" w:ascii="Times New Roman" w:hAnsi="Times New Roman" w:cs="Times New Roman"/>
          <w:color w:val="000000" w:themeColor="text1"/>
          <w:szCs w:val="21"/>
          <w:highlight w:val="none"/>
          <w14:textFill>
            <w14:solidFill>
              <w14:schemeClr w14:val="tx1"/>
            </w14:solidFill>
          </w14:textFill>
        </w:rPr>
        <w:t>竞</w:t>
      </w:r>
      <w:r>
        <w:rPr>
          <w:rFonts w:ascii="Times New Roman" w:hAnsi="Times New Roman" w:cs="Times New Roman"/>
          <w:color w:val="000000" w:themeColor="text1"/>
          <w:szCs w:val="21"/>
          <w:highlight w:val="none"/>
          <w14:textFill>
            <w14:solidFill>
              <w14:schemeClr w14:val="tx1"/>
            </w14:solidFill>
          </w14:textFill>
        </w:rPr>
        <w:t>标</w:t>
      </w:r>
      <w:r>
        <w:rPr>
          <w:color w:val="000000" w:themeColor="text1"/>
          <w:highlight w:val="none"/>
          <w14:textFill>
            <w14:solidFill>
              <w14:schemeClr w14:val="tx1"/>
            </w14:solidFill>
          </w14:textFill>
        </w:rPr>
        <w:t>函连同你方的</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通知书将构成我们双方之间共同遵守的文件，对双方具有约束力</w:t>
      </w:r>
      <w:r>
        <w:rPr>
          <w:rFonts w:ascii="Times New Roman" w:hAnsi="Times New Roman" w:cs="Times New Roman"/>
          <w:color w:val="000000" w:themeColor="text1"/>
          <w:szCs w:val="21"/>
          <w:highlight w:val="none"/>
          <w14:textFill>
            <w14:solidFill>
              <w14:schemeClr w14:val="tx1"/>
            </w14:solidFill>
          </w14:textFill>
        </w:rPr>
        <w:t>。</w:t>
      </w:r>
    </w:p>
    <w:p w14:paraId="219C97D8">
      <w:pPr>
        <w:spacing w:line="360" w:lineRule="auto"/>
        <w:ind w:firstLine="420" w:firstLineChars="200"/>
        <w:rPr>
          <w:color w:val="000000" w:themeColor="text1"/>
          <w:szCs w:val="21"/>
          <w:highlight w:val="none"/>
          <w14:textFill>
            <w14:solidFill>
              <w14:schemeClr w14:val="tx1"/>
            </w14:solidFill>
          </w14:textFill>
        </w:rPr>
      </w:pPr>
      <w:bookmarkStart w:id="91" w:name="bookmark2074"/>
      <w:bookmarkEnd w:id="91"/>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（其他补充说明）。</w:t>
      </w:r>
    </w:p>
    <w:p w14:paraId="4A2ACE95">
      <w:pPr>
        <w:spacing w:line="360" w:lineRule="auto"/>
        <w:jc w:val="center"/>
        <w:rPr>
          <w:rFonts w:ascii="宋体" w:hAnsi="宋体" w:cs="方正小标宋简体"/>
          <w:b/>
          <w:bCs/>
          <w:color w:val="000000" w:themeColor="text1"/>
          <w:sz w:val="32"/>
          <w:szCs w:val="32"/>
          <w:highlight w:val="none"/>
          <w14:textFill>
            <w14:solidFill>
              <w14:schemeClr w14:val="tx1"/>
            </w14:solidFill>
          </w14:textFill>
        </w:rPr>
      </w:pPr>
    </w:p>
    <w:p w14:paraId="0FEC81D6">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50975BD1">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3076D3F8">
      <w:pPr>
        <w:spacing w:line="360" w:lineRule="auto"/>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r>
        <w:rPr>
          <w:rFonts w:ascii="宋体" w:hAnsi="宋体" w:cs="方正小标宋简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（二）竞标函附录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11B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CD8466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号</w:t>
            </w:r>
          </w:p>
        </w:tc>
        <w:tc>
          <w:tcPr>
            <w:tcW w:w="1985" w:type="dxa"/>
            <w:vAlign w:val="center"/>
          </w:tcPr>
          <w:p w14:paraId="32AEFFC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条款内容</w:t>
            </w:r>
          </w:p>
        </w:tc>
        <w:tc>
          <w:tcPr>
            <w:tcW w:w="2126" w:type="dxa"/>
            <w:vAlign w:val="center"/>
          </w:tcPr>
          <w:p w14:paraId="3F5B745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合同条款号</w:t>
            </w:r>
          </w:p>
        </w:tc>
        <w:tc>
          <w:tcPr>
            <w:tcW w:w="1984" w:type="dxa"/>
            <w:vAlign w:val="center"/>
          </w:tcPr>
          <w:p w14:paraId="1C432AD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约定内容</w:t>
            </w:r>
          </w:p>
        </w:tc>
        <w:tc>
          <w:tcPr>
            <w:tcW w:w="1843" w:type="dxa"/>
            <w:vAlign w:val="center"/>
          </w:tcPr>
          <w:p w14:paraId="442020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供应商响应情况</w:t>
            </w:r>
          </w:p>
        </w:tc>
      </w:tr>
      <w:tr w14:paraId="103B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95100A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985" w:type="dxa"/>
            <w:vAlign w:val="center"/>
          </w:tcPr>
          <w:p w14:paraId="78C7B7FF">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项目经理</w:t>
            </w:r>
          </w:p>
        </w:tc>
        <w:tc>
          <w:tcPr>
            <w:tcW w:w="2126" w:type="dxa"/>
            <w:tcMar>
              <w:left w:w="170" w:type="dxa"/>
            </w:tcMar>
            <w:vAlign w:val="center"/>
          </w:tcPr>
          <w:p w14:paraId="15965E2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B2218C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r>
              <w:rPr>
                <w:color w:val="000000" w:themeColor="text1"/>
                <w:highlight w:val="none"/>
                <w:u w:val="single"/>
                <w14:textFill>
                  <w14:solidFill>
                    <w14:schemeClr w14:val="tx1"/>
                  </w14:solidFill>
                </w14:textFill>
              </w:rPr>
              <w:t xml:space="preserve">          </w:t>
            </w:r>
          </w:p>
        </w:tc>
        <w:tc>
          <w:tcPr>
            <w:tcW w:w="1843" w:type="dxa"/>
            <w:vAlign w:val="center"/>
          </w:tcPr>
          <w:p w14:paraId="478F48E0">
            <w:pPr>
              <w:jc w:val="center"/>
              <w:rPr>
                <w:color w:val="000000" w:themeColor="text1"/>
                <w:highlight w:val="none"/>
                <w14:textFill>
                  <w14:solidFill>
                    <w14:schemeClr w14:val="tx1"/>
                  </w14:solidFill>
                </w14:textFill>
              </w:rPr>
            </w:pPr>
          </w:p>
        </w:tc>
      </w:tr>
      <w:tr w14:paraId="7874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C98C12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1985" w:type="dxa"/>
            <w:vAlign w:val="center"/>
          </w:tcPr>
          <w:p w14:paraId="7556F5D9">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竞标有效期</w:t>
            </w:r>
          </w:p>
        </w:tc>
        <w:tc>
          <w:tcPr>
            <w:tcW w:w="2126" w:type="dxa"/>
            <w:tcMar>
              <w:left w:w="170" w:type="dxa"/>
            </w:tcMar>
            <w:vAlign w:val="center"/>
          </w:tcPr>
          <w:p w14:paraId="3A0AB2CE">
            <w:pPr>
              <w:rPr>
                <w:color w:val="000000" w:themeColor="text1"/>
                <w:highlight w:val="none"/>
                <w14:textFill>
                  <w14:solidFill>
                    <w14:schemeClr w14:val="tx1"/>
                  </w14:solidFill>
                </w14:textFill>
              </w:rPr>
            </w:pPr>
          </w:p>
        </w:tc>
        <w:tc>
          <w:tcPr>
            <w:tcW w:w="1984" w:type="dxa"/>
            <w:vAlign w:val="center"/>
          </w:tcPr>
          <w:p w14:paraId="7D9163B5">
            <w:pPr>
              <w:jc w:val="center"/>
              <w:rPr>
                <w:color w:val="000000" w:themeColor="text1"/>
                <w:highlight w:val="none"/>
                <w:u w:val="single"/>
                <w14:textFill>
                  <w14:solidFill>
                    <w14:schemeClr w14:val="tx1"/>
                  </w14:solidFill>
                </w14:textFill>
              </w:rPr>
            </w:pPr>
          </w:p>
        </w:tc>
        <w:tc>
          <w:tcPr>
            <w:tcW w:w="1843" w:type="dxa"/>
            <w:vAlign w:val="center"/>
          </w:tcPr>
          <w:p w14:paraId="13AE0FFE">
            <w:pPr>
              <w:jc w:val="center"/>
              <w:rPr>
                <w:color w:val="000000" w:themeColor="text1"/>
                <w:highlight w:val="none"/>
                <w14:textFill>
                  <w14:solidFill>
                    <w14:schemeClr w14:val="tx1"/>
                  </w14:solidFill>
                </w14:textFill>
              </w:rPr>
            </w:pPr>
          </w:p>
        </w:tc>
      </w:tr>
      <w:tr w14:paraId="205A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FB68FE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985" w:type="dxa"/>
            <w:vAlign w:val="center"/>
          </w:tcPr>
          <w:p w14:paraId="0382D51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工期</w:t>
            </w:r>
          </w:p>
        </w:tc>
        <w:tc>
          <w:tcPr>
            <w:tcW w:w="2126" w:type="dxa"/>
            <w:tcMar>
              <w:left w:w="170" w:type="dxa"/>
            </w:tcMar>
            <w:vAlign w:val="center"/>
          </w:tcPr>
          <w:p w14:paraId="266C9DF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10D30CB">
            <w:pPr>
              <w:jc w:val="center"/>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日历天</w:t>
            </w:r>
          </w:p>
        </w:tc>
        <w:tc>
          <w:tcPr>
            <w:tcW w:w="1843" w:type="dxa"/>
            <w:vAlign w:val="center"/>
          </w:tcPr>
          <w:p w14:paraId="1C54CA3E">
            <w:pPr>
              <w:jc w:val="center"/>
              <w:rPr>
                <w:color w:val="000000" w:themeColor="text1"/>
                <w:highlight w:val="none"/>
                <w14:textFill>
                  <w14:solidFill>
                    <w14:schemeClr w14:val="tx1"/>
                  </w14:solidFill>
                </w14:textFill>
              </w:rPr>
            </w:pPr>
          </w:p>
        </w:tc>
      </w:tr>
      <w:tr w14:paraId="65D5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A91A7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985" w:type="dxa"/>
            <w:vAlign w:val="center"/>
          </w:tcPr>
          <w:p w14:paraId="046A9BF4">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缺陷责任期</w:t>
            </w:r>
          </w:p>
        </w:tc>
        <w:tc>
          <w:tcPr>
            <w:tcW w:w="2126" w:type="dxa"/>
            <w:tcMar>
              <w:left w:w="170" w:type="dxa"/>
            </w:tcMar>
            <w:vAlign w:val="center"/>
          </w:tcPr>
          <w:p w14:paraId="1C6E226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6ED247FF">
            <w:pPr>
              <w:jc w:val="center"/>
              <w:rPr>
                <w:color w:val="000000" w:themeColor="text1"/>
                <w:highlight w:val="none"/>
                <w14:textFill>
                  <w14:solidFill>
                    <w14:schemeClr w14:val="tx1"/>
                  </w14:solidFill>
                </w14:textFill>
              </w:rPr>
            </w:pPr>
          </w:p>
        </w:tc>
        <w:tc>
          <w:tcPr>
            <w:tcW w:w="1843" w:type="dxa"/>
            <w:vAlign w:val="center"/>
          </w:tcPr>
          <w:p w14:paraId="346E4AE4">
            <w:pPr>
              <w:jc w:val="center"/>
              <w:rPr>
                <w:color w:val="000000" w:themeColor="text1"/>
                <w:highlight w:val="none"/>
                <w14:textFill>
                  <w14:solidFill>
                    <w14:schemeClr w14:val="tx1"/>
                  </w14:solidFill>
                </w14:textFill>
              </w:rPr>
            </w:pPr>
          </w:p>
        </w:tc>
      </w:tr>
      <w:tr w14:paraId="10A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76D46D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985" w:type="dxa"/>
            <w:vAlign w:val="center"/>
          </w:tcPr>
          <w:p w14:paraId="1D5C938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发包人支付担保</w:t>
            </w:r>
          </w:p>
        </w:tc>
        <w:tc>
          <w:tcPr>
            <w:tcW w:w="2126" w:type="dxa"/>
            <w:tcMar>
              <w:left w:w="170" w:type="dxa"/>
            </w:tcMar>
            <w:vAlign w:val="center"/>
          </w:tcPr>
          <w:p w14:paraId="6DA9CC1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7AE7F510">
            <w:pPr>
              <w:jc w:val="center"/>
              <w:rPr>
                <w:color w:val="000000" w:themeColor="text1"/>
                <w:highlight w:val="none"/>
                <w14:textFill>
                  <w14:solidFill>
                    <w14:schemeClr w14:val="tx1"/>
                  </w14:solidFill>
                </w14:textFill>
              </w:rPr>
            </w:pPr>
          </w:p>
        </w:tc>
        <w:tc>
          <w:tcPr>
            <w:tcW w:w="1843" w:type="dxa"/>
            <w:vAlign w:val="center"/>
          </w:tcPr>
          <w:p w14:paraId="4A0755C1">
            <w:pPr>
              <w:jc w:val="center"/>
              <w:rPr>
                <w:color w:val="000000" w:themeColor="text1"/>
                <w:highlight w:val="none"/>
                <w14:textFill>
                  <w14:solidFill>
                    <w14:schemeClr w14:val="tx1"/>
                  </w14:solidFill>
                </w14:textFill>
              </w:rPr>
            </w:pPr>
          </w:p>
        </w:tc>
      </w:tr>
      <w:tr w14:paraId="502A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3FA14C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985" w:type="dxa"/>
            <w:vAlign w:val="center"/>
          </w:tcPr>
          <w:p w14:paraId="62D52550">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承包人履约担保金额</w:t>
            </w:r>
          </w:p>
        </w:tc>
        <w:tc>
          <w:tcPr>
            <w:tcW w:w="2126" w:type="dxa"/>
            <w:tcMar>
              <w:left w:w="170" w:type="dxa"/>
            </w:tcMar>
            <w:vAlign w:val="center"/>
          </w:tcPr>
          <w:p w14:paraId="7BC9269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385B3A78">
            <w:pPr>
              <w:jc w:val="center"/>
              <w:rPr>
                <w:color w:val="000000" w:themeColor="text1"/>
                <w:highlight w:val="none"/>
                <w14:textFill>
                  <w14:solidFill>
                    <w14:schemeClr w14:val="tx1"/>
                  </w14:solidFill>
                </w14:textFill>
              </w:rPr>
            </w:pPr>
          </w:p>
        </w:tc>
        <w:tc>
          <w:tcPr>
            <w:tcW w:w="1843" w:type="dxa"/>
            <w:vAlign w:val="center"/>
          </w:tcPr>
          <w:p w14:paraId="159D0636">
            <w:pPr>
              <w:jc w:val="center"/>
              <w:rPr>
                <w:color w:val="000000" w:themeColor="text1"/>
                <w:highlight w:val="none"/>
                <w14:textFill>
                  <w14:solidFill>
                    <w14:schemeClr w14:val="tx1"/>
                  </w14:solidFill>
                </w14:textFill>
              </w:rPr>
            </w:pPr>
          </w:p>
        </w:tc>
      </w:tr>
      <w:tr w14:paraId="7A25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70E5A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1985" w:type="dxa"/>
            <w:vAlign w:val="center"/>
          </w:tcPr>
          <w:p w14:paraId="26DBF496">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分包</w:t>
            </w:r>
          </w:p>
        </w:tc>
        <w:tc>
          <w:tcPr>
            <w:tcW w:w="2126" w:type="dxa"/>
            <w:tcMar>
              <w:left w:w="170" w:type="dxa"/>
            </w:tcMar>
            <w:vAlign w:val="center"/>
          </w:tcPr>
          <w:p w14:paraId="10708D0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7BC7E42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见分包项目情况表</w:t>
            </w:r>
          </w:p>
        </w:tc>
        <w:tc>
          <w:tcPr>
            <w:tcW w:w="1843" w:type="dxa"/>
            <w:vAlign w:val="center"/>
          </w:tcPr>
          <w:p w14:paraId="2E2B438B">
            <w:pPr>
              <w:jc w:val="center"/>
              <w:rPr>
                <w:color w:val="000000" w:themeColor="text1"/>
                <w:highlight w:val="none"/>
                <w14:textFill>
                  <w14:solidFill>
                    <w14:schemeClr w14:val="tx1"/>
                  </w14:solidFill>
                </w14:textFill>
              </w:rPr>
            </w:pPr>
          </w:p>
        </w:tc>
      </w:tr>
      <w:tr w14:paraId="599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C88C1A">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1985" w:type="dxa"/>
            <w:vAlign w:val="center"/>
          </w:tcPr>
          <w:p w14:paraId="20E2FD1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w:t>
            </w:r>
          </w:p>
        </w:tc>
        <w:tc>
          <w:tcPr>
            <w:tcW w:w="2126" w:type="dxa"/>
            <w:tcMar>
              <w:left w:w="170" w:type="dxa"/>
            </w:tcMar>
            <w:vAlign w:val="center"/>
          </w:tcPr>
          <w:p w14:paraId="5B85366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2604FD2">
            <w:pPr>
              <w:rPr>
                <w:color w:val="000000" w:themeColor="text1"/>
                <w:highlight w:val="none"/>
                <w14:textFill>
                  <w14:solidFill>
                    <w14:schemeClr w14:val="tx1"/>
                  </w14:solidFill>
                </w14:textFill>
              </w:rPr>
            </w:pPr>
          </w:p>
        </w:tc>
        <w:tc>
          <w:tcPr>
            <w:tcW w:w="1843" w:type="dxa"/>
            <w:vAlign w:val="center"/>
          </w:tcPr>
          <w:p w14:paraId="3341DC31">
            <w:pPr>
              <w:jc w:val="center"/>
              <w:rPr>
                <w:color w:val="000000" w:themeColor="text1"/>
                <w:highlight w:val="none"/>
                <w14:textFill>
                  <w14:solidFill>
                    <w14:schemeClr w14:val="tx1"/>
                  </w14:solidFill>
                </w14:textFill>
              </w:rPr>
            </w:pPr>
          </w:p>
        </w:tc>
      </w:tr>
      <w:tr w14:paraId="2594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CE2AB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1985" w:type="dxa"/>
            <w:vAlign w:val="center"/>
          </w:tcPr>
          <w:p w14:paraId="0AB28659">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逾期竣工违约金最高限额</w:t>
            </w:r>
          </w:p>
        </w:tc>
        <w:tc>
          <w:tcPr>
            <w:tcW w:w="2126" w:type="dxa"/>
            <w:tcMar>
              <w:left w:w="170" w:type="dxa"/>
            </w:tcMar>
            <w:vAlign w:val="center"/>
          </w:tcPr>
          <w:p w14:paraId="03487E2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6B91D7E">
            <w:pPr>
              <w:rPr>
                <w:color w:val="000000" w:themeColor="text1"/>
                <w:highlight w:val="none"/>
                <w14:textFill>
                  <w14:solidFill>
                    <w14:schemeClr w14:val="tx1"/>
                  </w14:solidFill>
                </w14:textFill>
              </w:rPr>
            </w:pPr>
          </w:p>
        </w:tc>
        <w:tc>
          <w:tcPr>
            <w:tcW w:w="1843" w:type="dxa"/>
            <w:vAlign w:val="center"/>
          </w:tcPr>
          <w:p w14:paraId="2CCC78B9">
            <w:pPr>
              <w:jc w:val="center"/>
              <w:rPr>
                <w:color w:val="000000" w:themeColor="text1"/>
                <w:highlight w:val="none"/>
                <w14:textFill>
                  <w14:solidFill>
                    <w14:schemeClr w14:val="tx1"/>
                  </w14:solidFill>
                </w14:textFill>
              </w:rPr>
            </w:pPr>
          </w:p>
        </w:tc>
      </w:tr>
      <w:tr w14:paraId="4E75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C666A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1985" w:type="dxa"/>
            <w:vAlign w:val="center"/>
          </w:tcPr>
          <w:p w14:paraId="7825FEA7">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质量标准</w:t>
            </w:r>
          </w:p>
        </w:tc>
        <w:tc>
          <w:tcPr>
            <w:tcW w:w="2126" w:type="dxa"/>
            <w:tcMar>
              <w:left w:w="170" w:type="dxa"/>
            </w:tcMar>
            <w:vAlign w:val="center"/>
          </w:tcPr>
          <w:p w14:paraId="6DCB349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5927B806">
            <w:pPr>
              <w:jc w:val="center"/>
              <w:rPr>
                <w:color w:val="000000" w:themeColor="text1"/>
                <w:highlight w:val="none"/>
                <w14:textFill>
                  <w14:solidFill>
                    <w14:schemeClr w14:val="tx1"/>
                  </w14:solidFill>
                </w14:textFill>
              </w:rPr>
            </w:pPr>
          </w:p>
        </w:tc>
        <w:tc>
          <w:tcPr>
            <w:tcW w:w="1843" w:type="dxa"/>
            <w:vAlign w:val="center"/>
          </w:tcPr>
          <w:p w14:paraId="3C0BB9A4">
            <w:pPr>
              <w:jc w:val="center"/>
              <w:rPr>
                <w:color w:val="000000" w:themeColor="text1"/>
                <w:highlight w:val="none"/>
                <w14:textFill>
                  <w14:solidFill>
                    <w14:schemeClr w14:val="tx1"/>
                  </w14:solidFill>
                </w14:textFill>
              </w:rPr>
            </w:pPr>
          </w:p>
        </w:tc>
      </w:tr>
      <w:tr w14:paraId="692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2B937C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1985" w:type="dxa"/>
            <w:vAlign w:val="center"/>
          </w:tcPr>
          <w:p w14:paraId="1BA854EE">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预付款额度</w:t>
            </w:r>
          </w:p>
        </w:tc>
        <w:tc>
          <w:tcPr>
            <w:tcW w:w="2126" w:type="dxa"/>
            <w:tcMar>
              <w:left w:w="170" w:type="dxa"/>
            </w:tcMar>
            <w:vAlign w:val="center"/>
          </w:tcPr>
          <w:p w14:paraId="2BC1FE6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27F00379">
            <w:pPr>
              <w:jc w:val="center"/>
              <w:rPr>
                <w:color w:val="000000" w:themeColor="text1"/>
                <w:highlight w:val="none"/>
                <w14:textFill>
                  <w14:solidFill>
                    <w14:schemeClr w14:val="tx1"/>
                  </w14:solidFill>
                </w14:textFill>
              </w:rPr>
            </w:pPr>
          </w:p>
        </w:tc>
        <w:tc>
          <w:tcPr>
            <w:tcW w:w="1843" w:type="dxa"/>
            <w:vAlign w:val="center"/>
          </w:tcPr>
          <w:p w14:paraId="7E911696">
            <w:pPr>
              <w:jc w:val="center"/>
              <w:rPr>
                <w:color w:val="000000" w:themeColor="text1"/>
                <w:highlight w:val="none"/>
                <w14:textFill>
                  <w14:solidFill>
                    <w14:schemeClr w14:val="tx1"/>
                  </w14:solidFill>
                </w14:textFill>
              </w:rPr>
            </w:pPr>
          </w:p>
        </w:tc>
      </w:tr>
      <w:tr w14:paraId="169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BD4FFE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1985" w:type="dxa"/>
            <w:vAlign w:val="center"/>
          </w:tcPr>
          <w:p w14:paraId="01090C8B">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预付款保函金额</w:t>
            </w:r>
          </w:p>
        </w:tc>
        <w:tc>
          <w:tcPr>
            <w:tcW w:w="2126" w:type="dxa"/>
            <w:tcMar>
              <w:left w:w="170" w:type="dxa"/>
            </w:tcMar>
            <w:vAlign w:val="center"/>
          </w:tcPr>
          <w:p w14:paraId="1E2C420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39BFA413">
            <w:pPr>
              <w:jc w:val="center"/>
              <w:rPr>
                <w:color w:val="000000" w:themeColor="text1"/>
                <w:highlight w:val="none"/>
                <w14:textFill>
                  <w14:solidFill>
                    <w14:schemeClr w14:val="tx1"/>
                  </w14:solidFill>
                </w14:textFill>
              </w:rPr>
            </w:pPr>
          </w:p>
        </w:tc>
        <w:tc>
          <w:tcPr>
            <w:tcW w:w="1843" w:type="dxa"/>
            <w:vAlign w:val="center"/>
          </w:tcPr>
          <w:p w14:paraId="341F0FCC">
            <w:pPr>
              <w:jc w:val="center"/>
              <w:rPr>
                <w:color w:val="000000" w:themeColor="text1"/>
                <w:highlight w:val="none"/>
                <w14:textFill>
                  <w14:solidFill>
                    <w14:schemeClr w14:val="tx1"/>
                  </w14:solidFill>
                </w14:textFill>
              </w:rPr>
            </w:pPr>
          </w:p>
        </w:tc>
      </w:tr>
      <w:tr w14:paraId="5E93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3C64750">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c>
          <w:tcPr>
            <w:tcW w:w="1985" w:type="dxa"/>
            <w:vAlign w:val="center"/>
          </w:tcPr>
          <w:p w14:paraId="46C32ADC">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质量保证金额度</w:t>
            </w:r>
          </w:p>
        </w:tc>
        <w:tc>
          <w:tcPr>
            <w:tcW w:w="2126" w:type="dxa"/>
            <w:tcMar>
              <w:left w:w="170" w:type="dxa"/>
            </w:tcMar>
            <w:vAlign w:val="center"/>
          </w:tcPr>
          <w:p w14:paraId="144B1A9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专用条款</w:t>
            </w:r>
          </w:p>
        </w:tc>
        <w:tc>
          <w:tcPr>
            <w:tcW w:w="1984" w:type="dxa"/>
            <w:vAlign w:val="center"/>
          </w:tcPr>
          <w:p w14:paraId="4FEBEA5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结算价的</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tc>
        <w:tc>
          <w:tcPr>
            <w:tcW w:w="1843" w:type="dxa"/>
            <w:vAlign w:val="center"/>
          </w:tcPr>
          <w:p w14:paraId="7D0AACC4">
            <w:pPr>
              <w:jc w:val="center"/>
              <w:rPr>
                <w:color w:val="000000" w:themeColor="text1"/>
                <w:highlight w:val="none"/>
                <w14:textFill>
                  <w14:solidFill>
                    <w14:schemeClr w14:val="tx1"/>
                  </w14:solidFill>
                </w14:textFill>
              </w:rPr>
            </w:pPr>
          </w:p>
        </w:tc>
      </w:tr>
      <w:tr w14:paraId="7D82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1952F61">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1985" w:type="dxa"/>
            <w:vAlign w:val="center"/>
          </w:tcPr>
          <w:p w14:paraId="589DCB28">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2126" w:type="dxa"/>
            <w:tcMar>
              <w:left w:w="170" w:type="dxa"/>
            </w:tcMar>
            <w:vAlign w:val="center"/>
          </w:tcPr>
          <w:p w14:paraId="57C54B95">
            <w:pPr>
              <w:rPr>
                <w:color w:val="000000" w:themeColor="text1"/>
                <w:highlight w:val="none"/>
                <w14:textFill>
                  <w14:solidFill>
                    <w14:schemeClr w14:val="tx1"/>
                  </w14:solidFill>
                </w14:textFill>
              </w:rPr>
            </w:pPr>
          </w:p>
        </w:tc>
        <w:tc>
          <w:tcPr>
            <w:tcW w:w="1984" w:type="dxa"/>
            <w:vAlign w:val="center"/>
          </w:tcPr>
          <w:p w14:paraId="452DF66E">
            <w:pPr>
              <w:jc w:val="center"/>
              <w:rPr>
                <w:color w:val="000000" w:themeColor="text1"/>
                <w:highlight w:val="none"/>
                <w14:textFill>
                  <w14:solidFill>
                    <w14:schemeClr w14:val="tx1"/>
                  </w14:solidFill>
                </w14:textFill>
              </w:rPr>
            </w:pPr>
          </w:p>
        </w:tc>
        <w:tc>
          <w:tcPr>
            <w:tcW w:w="1843" w:type="dxa"/>
            <w:vAlign w:val="center"/>
          </w:tcPr>
          <w:p w14:paraId="058F248E">
            <w:pPr>
              <w:jc w:val="center"/>
              <w:rPr>
                <w:color w:val="000000" w:themeColor="text1"/>
                <w:highlight w:val="none"/>
                <w14:textFill>
                  <w14:solidFill>
                    <w14:schemeClr w14:val="tx1"/>
                  </w14:solidFill>
                </w14:textFill>
              </w:rPr>
            </w:pPr>
          </w:p>
        </w:tc>
      </w:tr>
      <w:tr w14:paraId="57B3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4F4A8913">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438BFE4F">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p>
    <w:p w14:paraId="479C1CFB">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51CCC49B">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4B824BA6">
      <w:pPr>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0D9D0E3">
      <w:pPr>
        <w:spacing w:line="360" w:lineRule="auto"/>
        <w:rPr>
          <w:rFonts w:ascii="宋体" w:hAnsi="宋体" w:cs="仿宋_GB2312"/>
          <w:color w:val="000000" w:themeColor="text1"/>
          <w:sz w:val="24"/>
          <w:highlight w:val="none"/>
          <w14:textFill>
            <w14:solidFill>
              <w14:schemeClr w14:val="tx1"/>
            </w14:solidFill>
          </w14:textFill>
        </w:rPr>
      </w:pPr>
    </w:p>
    <w:p w14:paraId="0E2EEA96">
      <w:pPr>
        <w:spacing w:line="360" w:lineRule="auto"/>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竞标报价表</w:t>
      </w:r>
    </w:p>
    <w:p w14:paraId="5439E838">
      <w:pPr>
        <w:spacing w:line="44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528907A4">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178AF7C">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2A3F5327">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6BE592A8">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单位：元</w:t>
      </w:r>
    </w:p>
    <w:tbl>
      <w:tblPr>
        <w:tblStyle w:val="4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1EE2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92BCF78">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D106604">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r>
              <w:rPr>
                <w:rFonts w:ascii="宋体" w:hAnsi="宋体" w:cs="仿宋_GB2312"/>
                <w:color w:val="000000" w:themeColor="text1"/>
                <w:sz w:val="24"/>
                <w:highlight w:val="none"/>
                <w14:textFill>
                  <w14:solidFill>
                    <w14:schemeClr w14:val="tx1"/>
                  </w14:solidFill>
                </w14:textFill>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2C90A9D5">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5DCFADF9">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E07E7F0">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083F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312C4A3">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003A93FE">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vAlign w:val="center"/>
          </w:tcPr>
          <w:p w14:paraId="646ECF9F">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1项</w:t>
            </w:r>
          </w:p>
        </w:tc>
        <w:tc>
          <w:tcPr>
            <w:tcW w:w="3107" w:type="dxa"/>
            <w:tcBorders>
              <w:top w:val="single" w:color="auto" w:sz="4" w:space="0"/>
              <w:left w:val="single" w:color="auto" w:sz="4" w:space="0"/>
              <w:bottom w:val="single" w:color="auto" w:sz="4" w:space="0"/>
              <w:right w:val="single" w:color="auto" w:sz="4" w:space="0"/>
            </w:tcBorders>
          </w:tcPr>
          <w:p w14:paraId="49AF751B">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3D862958">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0FFA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01B7A512">
            <w:pPr>
              <w:pStyle w:val="17"/>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合计金额（人民币）</w:t>
            </w:r>
            <w:r>
              <w:rPr>
                <w:rFonts w:hint="eastAsia" w:ascii="宋体" w:hAnsi="宋体" w:cs="仿宋_GB2312"/>
                <w:color w:val="000000" w:themeColor="text1"/>
                <w:sz w:val="24"/>
                <w:highlight w:val="none"/>
                <w:u w:val="single"/>
                <w14:textFill>
                  <w14:solidFill>
                    <w14:schemeClr w14:val="tx1"/>
                  </w14:solidFill>
                </w14:textFill>
              </w:rPr>
              <w:t xml:space="preserve">大写：                      </w:t>
            </w:r>
            <w:r>
              <w:rPr>
                <w:rFonts w:hint="eastAsia" w:ascii="宋体" w:hAnsi="宋体" w:cs="仿宋_GB2312"/>
                <w:color w:val="000000" w:themeColor="text1"/>
                <w:sz w:val="24"/>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w:t>
            </w:r>
          </w:p>
        </w:tc>
      </w:tr>
    </w:tbl>
    <w:p w14:paraId="485C1F65">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2DAAB329">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007102CA">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6E3E52EC">
      <w:pPr>
        <w:spacing w:line="360" w:lineRule="auto"/>
        <w:ind w:firstLine="480" w:firstLineChars="200"/>
        <w:contextualSpacing/>
        <w:jc w:val="left"/>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39802808">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2DEFBC32">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472FD62E">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644E45DB">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685D537F">
      <w:pPr>
        <w:spacing w:line="360" w:lineRule="auto"/>
        <w:contextualSpacing/>
        <w:jc w:val="center"/>
        <w:rPr>
          <w:rFonts w:ascii="宋体" w:hAnsi="宋体" w:cs="仿宋_GB2312"/>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已标价工程量清单</w:t>
      </w:r>
    </w:p>
    <w:p w14:paraId="110B8C6A">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已标价工程量清单应按第五章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中的相关表格及竞标报价说明填写。构成合同文件的已标价工程量清单包括第五章</w:t>
      </w:r>
      <w:r>
        <w:rPr>
          <w:rFonts w:hint="eastAsia"/>
          <w:color w:val="000000" w:themeColor="text1"/>
          <w:highlight w:val="none"/>
          <w14:textFill>
            <w14:solidFill>
              <w14:schemeClr w14:val="tx1"/>
            </w14:solidFill>
          </w14:textFill>
        </w:rPr>
        <w:t>“工程量清单及图纸”</w:t>
      </w:r>
      <w:r>
        <w:rPr>
          <w:rFonts w:hint="eastAsia" w:cs="宋体"/>
          <w:color w:val="000000" w:themeColor="text1"/>
          <w:highlight w:val="none"/>
          <w14:textFill>
            <w14:solidFill>
              <w14:schemeClr w14:val="tx1"/>
            </w14:solidFill>
          </w14:textFill>
        </w:rPr>
        <w:t>有关工程量清单、竞标报价以及其他说明的内容。</w:t>
      </w:r>
    </w:p>
    <w:p w14:paraId="0ABC8658">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一般计税法建设工程已标价工程量清单表格按</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附件“增值税一般计税方法工程计价表”</w:t>
      </w:r>
      <w:r>
        <w:rPr>
          <w:rFonts w:hint="eastAsia" w:cs="宋体"/>
          <w:color w:val="000000" w:themeColor="text1"/>
          <w:highlight w:val="none"/>
          <w14:textFill>
            <w14:solidFill>
              <w14:schemeClr w14:val="tx1"/>
            </w14:solidFill>
          </w14:textFill>
        </w:rPr>
        <w:t>要求提供，简易计税法表格按《</w:t>
      </w:r>
      <w:r>
        <w:rPr>
          <w:color w:val="000000" w:themeColor="text1"/>
          <w:highlight w:val="none"/>
          <w14:textFill>
            <w14:solidFill>
              <w14:schemeClr w14:val="tx1"/>
            </w14:solidFill>
          </w14:textFill>
        </w:rPr>
        <w:t>&lt;</w:t>
      </w:r>
      <w:r>
        <w:rPr>
          <w:rFonts w:hint="eastAsia" w:cs="宋体"/>
          <w:color w:val="000000" w:themeColor="text1"/>
          <w:highlight w:val="none"/>
          <w14:textFill>
            <w14:solidFill>
              <w14:schemeClr w14:val="tx1"/>
            </w14:solidFill>
          </w14:textFill>
        </w:rPr>
        <w:t>建设工程工程量清单计价规范</w:t>
      </w:r>
      <w:r>
        <w:rPr>
          <w:color w:val="000000" w:themeColor="text1"/>
          <w:highlight w:val="none"/>
          <w14:textFill>
            <w14:solidFill>
              <w14:schemeClr w14:val="tx1"/>
            </w14:solidFill>
          </w14:textFill>
        </w:rPr>
        <w:t>&gt;</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GB5050-2013</w:t>
      </w:r>
      <w:r>
        <w:rPr>
          <w:rFonts w:hint="eastAsia" w:cs="宋体"/>
          <w:color w:val="000000" w:themeColor="text1"/>
          <w:highlight w:val="none"/>
          <w14:textFill>
            <w14:solidFill>
              <w14:schemeClr w14:val="tx1"/>
            </w14:solidFill>
          </w14:textFill>
        </w:rPr>
        <w:t>）广西壮族自治区实施细则》要求的表格提供，但规费和税费按照</w:t>
      </w:r>
      <w:r>
        <w:rPr>
          <w:rFonts w:hint="eastAsia"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w:t>
      </w:r>
      <w:r>
        <w:rPr>
          <w:rFonts w:hAnsi="宋体"/>
          <w:color w:val="000000" w:themeColor="text1"/>
          <w:kern w:val="0"/>
          <w:highlight w:val="none"/>
          <w14:textFill>
            <w14:solidFill>
              <w14:schemeClr w14:val="tx1"/>
            </w14:solidFill>
          </w14:textFill>
        </w:rPr>
        <w:t>2016</w:t>
      </w:r>
      <w:r>
        <w:rPr>
          <w:rFonts w:hint="eastAsia" w:hAnsi="宋体" w:cs="宋体"/>
          <w:color w:val="000000" w:themeColor="text1"/>
          <w:kern w:val="0"/>
          <w:highlight w:val="none"/>
          <w14:textFill>
            <w14:solidFill>
              <w14:schemeClr w14:val="tx1"/>
            </w14:solidFill>
          </w14:textFill>
        </w:rPr>
        <w:t>〕</w:t>
      </w:r>
      <w:r>
        <w:rPr>
          <w:rFonts w:hAnsi="宋体"/>
          <w:color w:val="000000" w:themeColor="text1"/>
          <w:kern w:val="0"/>
          <w:highlight w:val="none"/>
          <w14:textFill>
            <w14:solidFill>
              <w14:schemeClr w14:val="tx1"/>
            </w14:solidFill>
          </w14:textFill>
        </w:rPr>
        <w:t>17</w:t>
      </w:r>
      <w:r>
        <w:rPr>
          <w:rFonts w:hint="eastAsia" w:hAnsi="宋体" w:cs="宋体"/>
          <w:color w:val="000000" w:themeColor="text1"/>
          <w:kern w:val="0"/>
          <w:highlight w:val="none"/>
          <w14:textFill>
            <w14:solidFill>
              <w14:schemeClr w14:val="tx1"/>
            </w14:solidFill>
          </w14:textFill>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000000" w:themeColor="text1"/>
          <w:highlight w:val="none"/>
          <w14:textFill>
            <w14:solidFill>
              <w14:schemeClr w14:val="tx1"/>
            </w14:solidFill>
          </w14:textFill>
        </w:rPr>
        <w:t>调整</w:t>
      </w:r>
      <w:r>
        <w:rPr>
          <w:rFonts w:hint="eastAsia" w:cs="宋体"/>
          <w:color w:val="000000" w:themeColor="text1"/>
          <w:highlight w:val="none"/>
          <w14:textFill>
            <w14:solidFill>
              <w14:schemeClr w14:val="tx1"/>
            </w14:solidFill>
          </w14:textFill>
        </w:rPr>
        <w:t>，具体内容包括：</w:t>
      </w:r>
    </w:p>
    <w:p w14:paraId="5CEA5B68">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 </w:t>
      </w:r>
      <w:r>
        <w:rPr>
          <w:rFonts w:hint="eastAsia" w:cs="宋体"/>
          <w:color w:val="000000" w:themeColor="text1"/>
          <w:highlight w:val="none"/>
          <w14:textFill>
            <w14:solidFill>
              <w14:schemeClr w14:val="tx1"/>
            </w14:solidFill>
          </w14:textFill>
        </w:rPr>
        <w:t>竞标总价（封</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6E99CA88">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 </w:t>
      </w:r>
      <w:r>
        <w:rPr>
          <w:rFonts w:hint="eastAsia" w:cs="宋体"/>
          <w:color w:val="000000" w:themeColor="text1"/>
          <w:highlight w:val="none"/>
          <w14:textFill>
            <w14:solidFill>
              <w14:schemeClr w14:val="tx1"/>
            </w14:solidFill>
          </w14:textFill>
        </w:rPr>
        <w:t>竞标总价（扉</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w:t>
      </w:r>
    </w:p>
    <w:p w14:paraId="2CFE6D0E">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1.3 </w:t>
      </w:r>
      <w:r>
        <w:rPr>
          <w:rFonts w:hint="eastAsia" w:cs="宋体"/>
          <w:color w:val="000000" w:themeColor="text1"/>
          <w:highlight w:val="none"/>
          <w14:textFill>
            <w14:solidFill>
              <w14:schemeClr w14:val="tx1"/>
            </w14:solidFill>
          </w14:textFill>
        </w:rPr>
        <w:t>总说明（表</w:t>
      </w:r>
      <w:r>
        <w:rPr>
          <w:color w:val="000000" w:themeColor="text1"/>
          <w:highlight w:val="none"/>
          <w14:textFill>
            <w14:solidFill>
              <w14:schemeClr w14:val="tx1"/>
            </w14:solidFill>
          </w14:textFill>
        </w:rPr>
        <w:t>-01</w:t>
      </w:r>
      <w:r>
        <w:rPr>
          <w:rFonts w:hint="eastAsia" w:cs="宋体"/>
          <w:color w:val="000000" w:themeColor="text1"/>
          <w:highlight w:val="none"/>
          <w14:textFill>
            <w14:solidFill>
              <w14:schemeClr w14:val="tx1"/>
            </w14:solidFill>
          </w14:textFill>
        </w:rPr>
        <w:t>）</w:t>
      </w:r>
    </w:p>
    <w:p w14:paraId="049B44D1">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1.4 </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1423482F">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1.5 </w:t>
      </w:r>
      <w:r>
        <w:rPr>
          <w:rFonts w:hint="eastAsia" w:cs="宋体"/>
          <w:color w:val="000000" w:themeColor="text1"/>
          <w:highlight w:val="none"/>
          <w14:textFill>
            <w14:solidFill>
              <w14:schemeClr w14:val="tx1"/>
            </w14:solidFill>
          </w14:textFill>
        </w:rPr>
        <w:t>单项工程竞标报价汇总表（表</w:t>
      </w:r>
      <w:r>
        <w:rPr>
          <w:color w:val="000000" w:themeColor="text1"/>
          <w:highlight w:val="none"/>
          <w14:textFill>
            <w14:solidFill>
              <w14:schemeClr w14:val="tx1"/>
            </w14:solidFill>
          </w14:textFill>
        </w:rPr>
        <w:t>-03</w:t>
      </w:r>
      <w:r>
        <w:rPr>
          <w:rFonts w:hint="eastAsia" w:cs="宋体"/>
          <w:color w:val="000000" w:themeColor="text1"/>
          <w:highlight w:val="none"/>
          <w14:textFill>
            <w14:solidFill>
              <w14:schemeClr w14:val="tx1"/>
            </w14:solidFill>
          </w14:textFill>
        </w:rPr>
        <w:t>）</w:t>
      </w:r>
    </w:p>
    <w:p w14:paraId="330FEECA">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1.6 </w:t>
      </w:r>
      <w:r>
        <w:rPr>
          <w:rFonts w:hint="eastAsia" w:cs="宋体"/>
          <w:color w:val="000000" w:themeColor="text1"/>
          <w:highlight w:val="none"/>
          <w14:textFill>
            <w14:solidFill>
              <w14:schemeClr w14:val="tx1"/>
            </w14:solidFill>
          </w14:textFill>
        </w:rPr>
        <w:t>单位工程竞标报价汇总表（表</w:t>
      </w:r>
      <w:r>
        <w:rPr>
          <w:color w:val="000000" w:themeColor="text1"/>
          <w:highlight w:val="none"/>
          <w14:textFill>
            <w14:solidFill>
              <w14:schemeClr w14:val="tx1"/>
            </w14:solidFill>
          </w14:textFill>
        </w:rPr>
        <w:t>-04</w:t>
      </w:r>
      <w:r>
        <w:rPr>
          <w:rFonts w:hint="eastAsia" w:cs="宋体"/>
          <w:color w:val="000000" w:themeColor="text1"/>
          <w:highlight w:val="none"/>
          <w14:textFill>
            <w14:solidFill>
              <w14:schemeClr w14:val="tx1"/>
            </w14:solidFill>
          </w14:textFill>
        </w:rPr>
        <w:t>）</w:t>
      </w:r>
    </w:p>
    <w:p w14:paraId="59A1CB2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1.7 </w:t>
      </w:r>
      <w:r>
        <w:rPr>
          <w:rFonts w:hint="eastAsia" w:cs="宋体"/>
          <w:color w:val="000000" w:themeColor="text1"/>
          <w:highlight w:val="none"/>
          <w14:textFill>
            <w14:solidFill>
              <w14:schemeClr w14:val="tx1"/>
            </w14:solidFill>
          </w14:textFill>
        </w:rPr>
        <w:t>分部分项工程和单价措施项目清单与计价表（表</w:t>
      </w:r>
      <w:r>
        <w:rPr>
          <w:color w:val="000000" w:themeColor="text1"/>
          <w:highlight w:val="none"/>
          <w14:textFill>
            <w14:solidFill>
              <w14:schemeClr w14:val="tx1"/>
            </w14:solidFill>
          </w14:textFill>
        </w:rPr>
        <w:t>-08</w:t>
      </w:r>
      <w:r>
        <w:rPr>
          <w:rFonts w:hint="eastAsia" w:cs="宋体"/>
          <w:color w:val="000000" w:themeColor="text1"/>
          <w:highlight w:val="none"/>
          <w14:textFill>
            <w14:solidFill>
              <w14:schemeClr w14:val="tx1"/>
            </w14:solidFill>
          </w14:textFill>
        </w:rPr>
        <w:t>）</w:t>
      </w:r>
    </w:p>
    <w:p w14:paraId="33D71547">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工程量清单综合单价分析表（表</w:t>
      </w:r>
      <w:r>
        <w:rPr>
          <w:color w:val="000000" w:themeColor="text1"/>
          <w:highlight w:val="none"/>
          <w14:textFill>
            <w14:solidFill>
              <w14:schemeClr w14:val="tx1"/>
            </w14:solidFill>
          </w14:textFill>
        </w:rPr>
        <w:t>-09</w:t>
      </w:r>
      <w:r>
        <w:rPr>
          <w:rFonts w:hint="eastAsia" w:cs="宋体"/>
          <w:color w:val="000000" w:themeColor="text1"/>
          <w:highlight w:val="none"/>
          <w14:textFill>
            <w14:solidFill>
              <w14:schemeClr w14:val="tx1"/>
            </w14:solidFill>
          </w14:textFill>
        </w:rPr>
        <w:t>）</w:t>
      </w:r>
    </w:p>
    <w:p w14:paraId="28210756">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1.9 </w:t>
      </w:r>
      <w:r>
        <w:rPr>
          <w:rFonts w:hint="eastAsia" w:cs="宋体"/>
          <w:color w:val="000000" w:themeColor="text1"/>
          <w:highlight w:val="none"/>
          <w14:textFill>
            <w14:solidFill>
              <w14:schemeClr w14:val="tx1"/>
            </w14:solidFill>
          </w14:textFill>
        </w:rPr>
        <w:t>主要清单项目工料机分析表（表</w:t>
      </w:r>
      <w:r>
        <w:rPr>
          <w:color w:val="000000" w:themeColor="text1"/>
          <w:highlight w:val="none"/>
          <w14:textFill>
            <w14:solidFill>
              <w14:schemeClr w14:val="tx1"/>
            </w14:solidFill>
          </w14:textFill>
        </w:rPr>
        <w:t>-10</w:t>
      </w:r>
      <w:r>
        <w:rPr>
          <w:rFonts w:hint="eastAsia" w:cs="宋体"/>
          <w:color w:val="000000" w:themeColor="text1"/>
          <w:highlight w:val="none"/>
          <w14:textFill>
            <w14:solidFill>
              <w14:schemeClr w14:val="tx1"/>
            </w14:solidFill>
          </w14:textFill>
        </w:rPr>
        <w:t>）【备注：可按要求有选择的提供】</w:t>
      </w:r>
    </w:p>
    <w:p w14:paraId="56EEA87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1.10 </w:t>
      </w:r>
      <w:r>
        <w:rPr>
          <w:rFonts w:hint="eastAsia" w:cs="宋体"/>
          <w:color w:val="000000" w:themeColor="text1"/>
          <w:highlight w:val="none"/>
          <w14:textFill>
            <w14:solidFill>
              <w14:schemeClr w14:val="tx1"/>
            </w14:solidFill>
          </w14:textFill>
        </w:rPr>
        <w:t>总价措施项目清单与计价表（表</w:t>
      </w:r>
      <w:r>
        <w:rPr>
          <w:color w:val="000000" w:themeColor="text1"/>
          <w:highlight w:val="none"/>
          <w14:textFill>
            <w14:solidFill>
              <w14:schemeClr w14:val="tx1"/>
            </w14:solidFill>
          </w14:textFill>
        </w:rPr>
        <w:t>-11</w:t>
      </w:r>
      <w:r>
        <w:rPr>
          <w:rFonts w:hint="eastAsia" w:cs="宋体"/>
          <w:color w:val="000000" w:themeColor="text1"/>
          <w:highlight w:val="none"/>
          <w14:textFill>
            <w14:solidFill>
              <w14:schemeClr w14:val="tx1"/>
            </w14:solidFill>
          </w14:textFill>
        </w:rPr>
        <w:t>）</w:t>
      </w:r>
    </w:p>
    <w:p w14:paraId="4EA6FB72">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1.11 </w:t>
      </w:r>
      <w:r>
        <w:rPr>
          <w:rFonts w:hint="eastAsia" w:cs="宋体"/>
          <w:color w:val="000000" w:themeColor="text1"/>
          <w:highlight w:val="none"/>
          <w14:textFill>
            <w14:solidFill>
              <w14:schemeClr w14:val="tx1"/>
            </w14:solidFill>
          </w14:textFill>
        </w:rPr>
        <w:t>其他项目清单与计价汇总表（表</w:t>
      </w:r>
      <w:r>
        <w:rPr>
          <w:color w:val="000000" w:themeColor="text1"/>
          <w:highlight w:val="none"/>
          <w14:textFill>
            <w14:solidFill>
              <w14:schemeClr w14:val="tx1"/>
            </w14:solidFill>
          </w14:textFill>
        </w:rPr>
        <w:t>-12</w:t>
      </w:r>
      <w:r>
        <w:rPr>
          <w:rFonts w:hint="eastAsia" w:cs="宋体"/>
          <w:color w:val="000000" w:themeColor="text1"/>
          <w:highlight w:val="none"/>
          <w14:textFill>
            <w14:solidFill>
              <w14:schemeClr w14:val="tx1"/>
            </w14:solidFill>
          </w14:textFill>
        </w:rPr>
        <w:t>）</w:t>
      </w:r>
    </w:p>
    <w:p w14:paraId="5D30171A">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1.12 </w:t>
      </w:r>
      <w:r>
        <w:rPr>
          <w:rFonts w:hint="eastAsia" w:cs="宋体"/>
          <w:color w:val="000000" w:themeColor="text1"/>
          <w:highlight w:val="none"/>
          <w14:textFill>
            <w14:solidFill>
              <w14:schemeClr w14:val="tx1"/>
            </w14:solidFill>
          </w14:textFill>
        </w:rPr>
        <w:t>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31E16B0B">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1.13 </w:t>
      </w:r>
      <w:r>
        <w:rPr>
          <w:rFonts w:hint="eastAsia" w:cs="宋体"/>
          <w:color w:val="000000" w:themeColor="text1"/>
          <w:highlight w:val="none"/>
          <w14:textFill>
            <w14:solidFill>
              <w14:schemeClr w14:val="tx1"/>
            </w14:solidFill>
          </w14:textFill>
        </w:rPr>
        <w:t>材料（工程设备）暂估单价及调整表（表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1321AF9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1.14 </w:t>
      </w:r>
      <w:r>
        <w:rPr>
          <w:rFonts w:hint="eastAsia" w:cs="宋体"/>
          <w:color w:val="000000" w:themeColor="text1"/>
          <w:highlight w:val="none"/>
          <w14:textFill>
            <w14:solidFill>
              <w14:schemeClr w14:val="tx1"/>
            </w14:solidFill>
          </w14:textFill>
        </w:rPr>
        <w:t>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4F5E3BB1">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1.15</w:t>
      </w:r>
      <w:r>
        <w:rPr>
          <w:rFonts w:hint="eastAsia" w:cs="宋体"/>
          <w:color w:val="000000" w:themeColor="text1"/>
          <w:highlight w:val="none"/>
          <w14:textFill>
            <w14:solidFill>
              <w14:schemeClr w14:val="tx1"/>
            </w14:solidFill>
          </w14:textFill>
        </w:rPr>
        <w:t>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5AF8CBA3">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1.16 </w:t>
      </w:r>
      <w:r>
        <w:rPr>
          <w:rFonts w:hint="eastAsia" w:cs="宋体"/>
          <w:color w:val="000000" w:themeColor="text1"/>
          <w:highlight w:val="none"/>
          <w14:textFill>
            <w14:solidFill>
              <w14:schemeClr w14:val="tx1"/>
            </w14:solidFill>
          </w14:textFill>
        </w:rPr>
        <w:t>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08DC7F2C">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1.17 </w:t>
      </w:r>
      <w:r>
        <w:rPr>
          <w:rFonts w:hint="eastAsia" w:cs="宋体"/>
          <w:color w:val="000000" w:themeColor="text1"/>
          <w:highlight w:val="none"/>
          <w14:textFill>
            <w14:solidFill>
              <w14:schemeClr w14:val="tx1"/>
            </w14:solidFill>
          </w14:textFill>
        </w:rPr>
        <w:t>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2F07B32D">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1.18 </w:t>
      </w:r>
      <w:r>
        <w:rPr>
          <w:rFonts w:hint="eastAsia" w:cs="宋体"/>
          <w:color w:val="000000" w:themeColor="text1"/>
          <w:highlight w:val="none"/>
          <w14:textFill>
            <w14:solidFill>
              <w14:schemeClr w14:val="tx1"/>
            </w14:solidFill>
          </w14:textFill>
        </w:rPr>
        <w:t>规费、增值税计价表（表</w:t>
      </w:r>
      <w:r>
        <w:rPr>
          <w:color w:val="000000" w:themeColor="text1"/>
          <w:highlight w:val="none"/>
          <w14:textFill>
            <w14:solidFill>
              <w14:schemeClr w14:val="tx1"/>
            </w14:solidFill>
          </w14:textFill>
        </w:rPr>
        <w:t>-15</w:t>
      </w:r>
      <w:r>
        <w:rPr>
          <w:rFonts w:hint="eastAsia" w:cs="宋体"/>
          <w:color w:val="000000" w:themeColor="text1"/>
          <w:highlight w:val="none"/>
          <w14:textFill>
            <w14:solidFill>
              <w14:schemeClr w14:val="tx1"/>
            </w14:solidFill>
          </w14:textFill>
        </w:rPr>
        <w:t>）</w:t>
      </w:r>
    </w:p>
    <w:p w14:paraId="2E893AFC">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1.19 </w:t>
      </w:r>
      <w:r>
        <w:rPr>
          <w:rFonts w:hint="eastAsia" w:cs="宋体"/>
          <w:color w:val="000000" w:themeColor="text1"/>
          <w:highlight w:val="none"/>
          <w14:textFill>
            <w14:solidFill>
              <w14:schemeClr w14:val="tx1"/>
            </w14:solidFill>
          </w14:textFill>
        </w:rPr>
        <w:t>发包人提供主要材料和工程设备一览表（表</w:t>
      </w:r>
      <w:r>
        <w:rPr>
          <w:color w:val="000000" w:themeColor="text1"/>
          <w:highlight w:val="none"/>
          <w14:textFill>
            <w14:solidFill>
              <w14:schemeClr w14:val="tx1"/>
            </w14:solidFill>
          </w14:textFill>
        </w:rPr>
        <w:t>-21</w:t>
      </w:r>
      <w:r>
        <w:rPr>
          <w:rFonts w:hint="eastAsia" w:cs="宋体"/>
          <w:color w:val="000000" w:themeColor="text1"/>
          <w:highlight w:val="none"/>
          <w14:textFill>
            <w14:solidFill>
              <w14:schemeClr w14:val="tx1"/>
            </w14:solidFill>
          </w14:textFill>
        </w:rPr>
        <w:t>）</w:t>
      </w:r>
    </w:p>
    <w:p w14:paraId="1842D31E">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1.20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w:t>
      </w:r>
    </w:p>
    <w:p w14:paraId="1C884ADD">
      <w:pPr>
        <w:spacing w:line="360" w:lineRule="auto"/>
        <w:ind w:firstLine="630" w:firstLineChars="3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1.21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0F7FA4C5">
      <w:pPr>
        <w:spacing w:line="360" w:lineRule="auto"/>
        <w:ind w:firstLine="630" w:firstLineChars="3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本工程</w:t>
      </w:r>
      <w:r>
        <w:rPr>
          <w:rFonts w:cs="宋体"/>
          <w:color w:val="000000" w:themeColor="text1"/>
          <w:highlight w:val="none"/>
          <w14:textFill>
            <w14:solidFill>
              <w14:schemeClr w14:val="tx1"/>
            </w14:solidFill>
          </w14:textFill>
        </w:rPr>
        <w:t>材料和工程设备</w:t>
      </w:r>
      <w:r>
        <w:rPr>
          <w:rFonts w:hint="eastAsia" w:cs="宋体"/>
          <w:color w:val="000000" w:themeColor="text1"/>
          <w:highlight w:val="none"/>
          <w14:textFill>
            <w14:solidFill>
              <w14:schemeClr w14:val="tx1"/>
            </w14:solidFill>
          </w14:textFill>
        </w:rPr>
        <w:t>一览表（表-24）</w:t>
      </w:r>
    </w:p>
    <w:p w14:paraId="5AB73F80">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w:t>
      </w:r>
    </w:p>
    <w:p w14:paraId="746D372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）供应商在上传竞标报价文件时应上传纸质竞标总价封面的原件扫描件。报标总价封面必须经供应商盖章，并由法定代表人（或其授权人）签字（或盖章），同时由编制人签字盖专用章。</w:t>
      </w:r>
    </w:p>
    <w:p w14:paraId="5686345D">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1.8</w:t>
      </w:r>
      <w:r>
        <w:rPr>
          <w:rFonts w:hint="eastAsia" w:cs="宋体"/>
          <w:color w:val="000000" w:themeColor="text1"/>
          <w:highlight w:val="none"/>
          <w14:textFill>
            <w14:solidFill>
              <w14:schemeClr w14:val="tx1"/>
            </w14:solidFill>
          </w14:textFill>
        </w:rPr>
        <w:t>工程量清单综合单价分析表和</w:t>
      </w:r>
      <w:r>
        <w:rPr>
          <w:color w:val="000000" w:themeColor="text1"/>
          <w:highlight w:val="none"/>
          <w14:textFill>
            <w14:solidFill>
              <w14:schemeClr w14:val="tx1"/>
            </w14:solidFill>
          </w14:textFill>
        </w:rPr>
        <w:t>1.9</w:t>
      </w:r>
      <w:r>
        <w:rPr>
          <w:rFonts w:hint="eastAsia" w:cs="宋体"/>
          <w:color w:val="000000" w:themeColor="text1"/>
          <w:highlight w:val="none"/>
          <w14:textFill>
            <w14:solidFill>
              <w14:schemeClr w14:val="tx1"/>
            </w14:solidFill>
          </w14:textFill>
        </w:rPr>
        <w:t>主要清单项目工料机分析表要求附上。</w:t>
      </w:r>
    </w:p>
    <w:p w14:paraId="681D982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s="宋体"/>
          <w:color w:val="000000" w:themeColor="text1"/>
          <w:highlight w:val="none"/>
          <w14:textFill>
            <w14:solidFill>
              <w14:schemeClr w14:val="tx1"/>
            </w14:solidFill>
          </w14:textFill>
        </w:rPr>
        <w:t>）已标价工程量清单表格要严格按照采购工程量清单给出的表格要求和内容填报。如本工程在合同中约定采用造价信息价差调整法，1.</w:t>
      </w:r>
      <w:r>
        <w:rPr>
          <w:color w:val="000000" w:themeColor="text1"/>
          <w:highlight w:val="none"/>
          <w14:textFill>
            <w14:solidFill>
              <w14:schemeClr w14:val="tx1"/>
            </w14:solidFill>
          </w14:textFill>
        </w:rPr>
        <w:t xml:space="preserve">18 </w:t>
      </w:r>
      <w:r>
        <w:rPr>
          <w:rFonts w:hint="eastAsia" w:cs="宋体"/>
          <w:color w:val="000000" w:themeColor="text1"/>
          <w:highlight w:val="none"/>
          <w14:textFill>
            <w14:solidFill>
              <w14:schemeClr w14:val="tx1"/>
            </w14:solidFill>
          </w14:textFill>
        </w:rPr>
        <w:t>允许调整主要材料和工程设备一览表（适用于造价信息差额调整法）（表</w:t>
      </w:r>
      <w:r>
        <w:rPr>
          <w:color w:val="000000" w:themeColor="text1"/>
          <w:highlight w:val="none"/>
          <w14:textFill>
            <w14:solidFill>
              <w14:schemeClr w14:val="tx1"/>
            </w14:solidFill>
          </w14:textFill>
        </w:rPr>
        <w:t>-22</w:t>
      </w:r>
      <w:r>
        <w:rPr>
          <w:rFonts w:hint="eastAsia" w:cs="宋体"/>
          <w:color w:val="000000" w:themeColor="text1"/>
          <w:highlight w:val="none"/>
          <w14:textFill>
            <w14:solidFill>
              <w14:schemeClr w14:val="tx1"/>
            </w14:solidFill>
          </w14:textFill>
        </w:rPr>
        <w:t>）载明的主要材料和工程设备为本工程允许调整的材料和工程设备，采购工程量清单必须提供该表格，且不能提供空白表。以下表格视工程实际需要选用，如该工程不发生如下表格相关项目和费用，采购工程量清单不应列入该部分表格，已标价工程量清单亦不包括这部分表格。</w:t>
      </w:r>
    </w:p>
    <w:p w14:paraId="15FB7B83">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r>
        <w:rPr>
          <w:rFonts w:hint="eastAsia" w:cs="宋体"/>
          <w:color w:val="000000" w:themeColor="text1"/>
          <w:highlight w:val="none"/>
          <w14:textFill>
            <w14:solidFill>
              <w14:schemeClr w14:val="tx1"/>
            </w14:solidFill>
          </w14:textFill>
        </w:rPr>
        <w:t>建设项目竞标报价汇总表（表</w:t>
      </w:r>
      <w:r>
        <w:rPr>
          <w:color w:val="000000" w:themeColor="text1"/>
          <w:highlight w:val="none"/>
          <w14:textFill>
            <w14:solidFill>
              <w14:schemeClr w14:val="tx1"/>
            </w14:solidFill>
          </w14:textFill>
        </w:rPr>
        <w:t>-02</w:t>
      </w:r>
      <w:r>
        <w:rPr>
          <w:rFonts w:hint="eastAsia" w:cs="宋体"/>
          <w:color w:val="000000" w:themeColor="text1"/>
          <w:highlight w:val="none"/>
          <w14:textFill>
            <w14:solidFill>
              <w14:schemeClr w14:val="tx1"/>
            </w14:solidFill>
          </w14:textFill>
        </w:rPr>
        <w:t>）</w:t>
      </w:r>
    </w:p>
    <w:p w14:paraId="5E748C98">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②暂列金额明细表（表</w:t>
      </w:r>
      <w:r>
        <w:rPr>
          <w:color w:val="000000" w:themeColor="text1"/>
          <w:highlight w:val="none"/>
          <w14:textFill>
            <w14:solidFill>
              <w14:schemeClr w14:val="tx1"/>
            </w14:solidFill>
          </w14:textFill>
        </w:rPr>
        <w:t>12-1</w:t>
      </w:r>
      <w:r>
        <w:rPr>
          <w:rFonts w:hint="eastAsia" w:cs="宋体"/>
          <w:color w:val="000000" w:themeColor="text1"/>
          <w:highlight w:val="none"/>
          <w14:textFill>
            <w14:solidFill>
              <w14:schemeClr w14:val="tx1"/>
            </w14:solidFill>
          </w14:textFill>
        </w:rPr>
        <w:t>）</w:t>
      </w:r>
    </w:p>
    <w:p w14:paraId="6B6BEA78">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③材料（工程设备）暂估单位及调整表（表</w:t>
      </w:r>
      <w:r>
        <w:rPr>
          <w:color w:val="000000" w:themeColor="text1"/>
          <w:highlight w:val="none"/>
          <w14:textFill>
            <w14:solidFill>
              <w14:schemeClr w14:val="tx1"/>
            </w14:solidFill>
          </w14:textFill>
        </w:rPr>
        <w:t>12-2</w:t>
      </w:r>
      <w:r>
        <w:rPr>
          <w:rFonts w:hint="eastAsia" w:cs="宋体"/>
          <w:color w:val="000000" w:themeColor="text1"/>
          <w:highlight w:val="none"/>
          <w14:textFill>
            <w14:solidFill>
              <w14:schemeClr w14:val="tx1"/>
            </w14:solidFill>
          </w14:textFill>
        </w:rPr>
        <w:t>）</w:t>
      </w:r>
    </w:p>
    <w:p w14:paraId="3E98880A">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④专业工程暂估价及结算价表（表</w:t>
      </w:r>
      <w:r>
        <w:rPr>
          <w:color w:val="000000" w:themeColor="text1"/>
          <w:highlight w:val="none"/>
          <w14:textFill>
            <w14:solidFill>
              <w14:schemeClr w14:val="tx1"/>
            </w14:solidFill>
          </w14:textFill>
        </w:rPr>
        <w:t>12-3</w:t>
      </w:r>
      <w:r>
        <w:rPr>
          <w:rFonts w:hint="eastAsia" w:cs="宋体"/>
          <w:color w:val="000000" w:themeColor="text1"/>
          <w:highlight w:val="none"/>
          <w14:textFill>
            <w14:solidFill>
              <w14:schemeClr w14:val="tx1"/>
            </w14:solidFill>
          </w14:textFill>
        </w:rPr>
        <w:t>）</w:t>
      </w:r>
    </w:p>
    <w:p w14:paraId="247A8E36">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⑤计日工表表</w:t>
      </w:r>
      <w:r>
        <w:rPr>
          <w:color w:val="000000" w:themeColor="text1"/>
          <w:highlight w:val="none"/>
          <w14:textFill>
            <w14:solidFill>
              <w14:schemeClr w14:val="tx1"/>
            </w14:solidFill>
          </w14:textFill>
        </w:rPr>
        <w:t>12-4</w:t>
      </w:r>
      <w:r>
        <w:rPr>
          <w:rFonts w:hint="eastAsia" w:cs="宋体"/>
          <w:color w:val="000000" w:themeColor="text1"/>
          <w:highlight w:val="none"/>
          <w14:textFill>
            <w14:solidFill>
              <w14:schemeClr w14:val="tx1"/>
            </w14:solidFill>
          </w14:textFill>
        </w:rPr>
        <w:t>）</w:t>
      </w:r>
    </w:p>
    <w:p w14:paraId="7039A16F">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⑥总承包服务费计价表（表</w:t>
      </w:r>
      <w:r>
        <w:rPr>
          <w:color w:val="000000" w:themeColor="text1"/>
          <w:highlight w:val="none"/>
          <w14:textFill>
            <w14:solidFill>
              <w14:schemeClr w14:val="tx1"/>
            </w14:solidFill>
          </w14:textFill>
        </w:rPr>
        <w:t>12-5</w:t>
      </w:r>
      <w:r>
        <w:rPr>
          <w:rFonts w:hint="eastAsia" w:cs="宋体"/>
          <w:color w:val="000000" w:themeColor="text1"/>
          <w:highlight w:val="none"/>
          <w14:textFill>
            <w14:solidFill>
              <w14:schemeClr w14:val="tx1"/>
            </w14:solidFill>
          </w14:textFill>
        </w:rPr>
        <w:t>）</w:t>
      </w:r>
    </w:p>
    <w:p w14:paraId="76E7B355">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⑦税前项目清单与计价表（表</w:t>
      </w:r>
      <w:r>
        <w:rPr>
          <w:color w:val="000000" w:themeColor="text1"/>
          <w:highlight w:val="none"/>
          <w14:textFill>
            <w14:solidFill>
              <w14:schemeClr w14:val="tx1"/>
            </w14:solidFill>
          </w14:textFill>
        </w:rPr>
        <w:t>-14</w:t>
      </w:r>
      <w:r>
        <w:rPr>
          <w:rFonts w:hint="eastAsia" w:cs="宋体"/>
          <w:color w:val="000000" w:themeColor="text1"/>
          <w:highlight w:val="none"/>
          <w14:textFill>
            <w14:solidFill>
              <w14:schemeClr w14:val="tx1"/>
            </w14:solidFill>
          </w14:textFill>
        </w:rPr>
        <w:t>）</w:t>
      </w:r>
    </w:p>
    <w:p w14:paraId="004CBFCA">
      <w:pPr>
        <w:spacing w:line="360" w:lineRule="auto"/>
        <w:ind w:firstLine="420" w:firstLineChars="200"/>
        <w:rPr>
          <w:rFonts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 8 \* GB3</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⑧</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允许调整主要材料和工程设备一览表（适用于价格指数差额调整法）（表</w:t>
      </w:r>
      <w:r>
        <w:rPr>
          <w:color w:val="000000" w:themeColor="text1"/>
          <w:highlight w:val="none"/>
          <w14:textFill>
            <w14:solidFill>
              <w14:schemeClr w14:val="tx1"/>
            </w14:solidFill>
          </w14:textFill>
        </w:rPr>
        <w:t>-23</w:t>
      </w:r>
      <w:r>
        <w:rPr>
          <w:rFonts w:hint="eastAsia" w:cs="宋体"/>
          <w:color w:val="000000" w:themeColor="text1"/>
          <w:highlight w:val="none"/>
          <w14:textFill>
            <w14:solidFill>
              <w14:schemeClr w14:val="tx1"/>
            </w14:solidFill>
          </w14:textFill>
        </w:rPr>
        <w:t>）</w:t>
      </w:r>
    </w:p>
    <w:p w14:paraId="32823EBB">
      <w:pPr>
        <w:spacing w:line="360" w:lineRule="auto"/>
        <w:ind w:firstLine="420" w:firstLineChars="200"/>
        <w:contextualSpacing/>
        <w:jc w:val="left"/>
        <w:rPr>
          <w:rFonts w:hAnsi="宋体" w:cs="宋体"/>
          <w:color w:val="000000" w:themeColor="text1"/>
          <w:kern w:val="0"/>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w:t>
      </w:r>
      <w:r>
        <w:rPr>
          <w:rFonts w:hint="eastAsia" w:hAnsi="宋体" w:cs="宋体"/>
          <w:color w:val="000000" w:themeColor="text1"/>
          <w:kern w:val="0"/>
          <w:highlight w:val="none"/>
          <w14:textFill>
            <w14:solidFill>
              <w14:schemeClr w14:val="tx1"/>
            </w14:solidFill>
          </w14:textFill>
        </w:rPr>
        <w:t>因2021年《广西壮族自治区园林绿化及仿古建筑工程费用定额》采用全费用综合单价形式，故园林绿化及仿古建筑工程的已标价工程量清单</w:t>
      </w:r>
      <w:r>
        <w:rPr>
          <w:rFonts w:hint="eastAsia" w:cs="黑体"/>
          <w:color w:val="000000" w:themeColor="text1"/>
          <w:highlight w:val="none"/>
          <w14:textFill>
            <w14:solidFill>
              <w14:schemeClr w14:val="tx1"/>
            </w14:solidFill>
          </w14:textFill>
        </w:rPr>
        <w:t>采用</w:t>
      </w:r>
      <w:r>
        <w:rPr>
          <w:rFonts w:hint="eastAsia" w:hAnsi="宋体" w:cs="宋体"/>
          <w:color w:val="000000" w:themeColor="text1"/>
          <w:kern w:val="0"/>
          <w:highlight w:val="none"/>
          <w14:textFill>
            <w14:solidFill>
              <w14:schemeClr w14:val="tx1"/>
            </w14:solidFill>
          </w14:textFill>
        </w:rPr>
        <w:t>《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108B4AC9">
      <w:pPr>
        <w:spacing w:line="360" w:lineRule="auto"/>
        <w:contextualSpacing/>
        <w:jc w:val="left"/>
        <w:rPr>
          <w:color w:val="000000" w:themeColor="text1"/>
          <w:highlight w:val="none"/>
          <w14:textFill>
            <w14:solidFill>
              <w14:schemeClr w14:val="tx1"/>
            </w14:solidFill>
          </w14:textFill>
        </w:rPr>
      </w:pPr>
    </w:p>
    <w:p w14:paraId="06581E6C">
      <w:pPr>
        <w:spacing w:line="360" w:lineRule="auto"/>
        <w:ind w:firstLine="643" w:firstLineChars="200"/>
        <w:contextualSpacing/>
        <w:jc w:val="center"/>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商务技术文件格式</w:t>
      </w:r>
    </w:p>
    <w:p w14:paraId="29C56DAF">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5CD644D7">
      <w:pPr>
        <w:snapToGrid w:val="0"/>
        <w:spacing w:beforeLines="50" w:after="50"/>
        <w:rPr>
          <w:rFonts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7981FD6">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9377884">
      <w:pPr>
        <w:snapToGrid w:val="0"/>
        <w:spacing w:beforeLines="50" w:after="50"/>
        <w:rPr>
          <w:rFonts w:ascii="宋体" w:hAnsi="宋体"/>
          <w:color w:val="000000" w:themeColor="text1"/>
          <w:sz w:val="24"/>
          <w:szCs w:val="20"/>
          <w:highlight w:val="none"/>
          <w14:textFill>
            <w14:solidFill>
              <w14:schemeClr w14:val="tx1"/>
            </w14:solidFill>
          </w14:textFill>
        </w:rPr>
      </w:pPr>
    </w:p>
    <w:p w14:paraId="2B807718">
      <w:pPr>
        <w:snapToGrid w:val="0"/>
        <w:spacing w:beforeLines="50" w:after="50"/>
        <w:rPr>
          <w:rFonts w:ascii="宋体" w:hAnsi="宋体"/>
          <w:color w:val="000000" w:themeColor="text1"/>
          <w:sz w:val="24"/>
          <w:szCs w:val="20"/>
          <w:highlight w:val="none"/>
          <w14:textFill>
            <w14:solidFill>
              <w14:schemeClr w14:val="tx1"/>
            </w14:solidFill>
          </w14:textFill>
        </w:rPr>
      </w:pPr>
    </w:p>
    <w:p w14:paraId="1D32249A">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4757BF29">
      <w:pPr>
        <w:snapToGrid w:val="0"/>
        <w:spacing w:beforeLines="50" w:after="50"/>
        <w:rPr>
          <w:rFonts w:ascii="宋体" w:hAnsi="宋体"/>
          <w:bCs/>
          <w:color w:val="000000" w:themeColor="text1"/>
          <w:sz w:val="24"/>
          <w:szCs w:val="20"/>
          <w:highlight w:val="none"/>
          <w14:textFill>
            <w14:solidFill>
              <w14:schemeClr w14:val="tx1"/>
            </w14:solidFill>
          </w14:textFill>
        </w:rPr>
      </w:pPr>
    </w:p>
    <w:p w14:paraId="6493308E">
      <w:pPr>
        <w:snapToGrid w:val="0"/>
        <w:spacing w:beforeLines="50" w:after="50"/>
        <w:rPr>
          <w:rFonts w:ascii="宋体" w:hAnsi="宋体"/>
          <w:bCs/>
          <w:color w:val="000000" w:themeColor="text1"/>
          <w:sz w:val="24"/>
          <w:szCs w:val="20"/>
          <w:highlight w:val="none"/>
          <w14:textFill>
            <w14:solidFill>
              <w14:schemeClr w14:val="tx1"/>
            </w14:solidFill>
          </w14:textFill>
        </w:rPr>
      </w:pPr>
    </w:p>
    <w:p w14:paraId="74EDA225">
      <w:pPr>
        <w:snapToGrid w:val="0"/>
        <w:spacing w:beforeLines="50" w:after="50"/>
        <w:rPr>
          <w:rFonts w:ascii="宋体" w:hAnsi="宋体"/>
          <w:bCs/>
          <w:color w:val="000000" w:themeColor="text1"/>
          <w:sz w:val="24"/>
          <w:szCs w:val="20"/>
          <w:highlight w:val="none"/>
          <w14:textFill>
            <w14:solidFill>
              <w14:schemeClr w14:val="tx1"/>
            </w14:solidFill>
          </w14:textFill>
        </w:rPr>
      </w:pPr>
    </w:p>
    <w:p w14:paraId="1237F5C8">
      <w:pPr>
        <w:snapToGrid w:val="0"/>
        <w:spacing w:beforeLines="50" w:after="50"/>
        <w:rPr>
          <w:rFonts w:ascii="宋体" w:hAnsi="宋体"/>
          <w:bCs/>
          <w:color w:val="000000" w:themeColor="text1"/>
          <w:sz w:val="24"/>
          <w:szCs w:val="20"/>
          <w:highlight w:val="none"/>
          <w14:textFill>
            <w14:solidFill>
              <w14:schemeClr w14:val="tx1"/>
            </w14:solidFill>
          </w14:textFill>
        </w:rPr>
      </w:pPr>
    </w:p>
    <w:p w14:paraId="51764DC4">
      <w:pPr>
        <w:snapToGrid w:val="0"/>
        <w:spacing w:beforeLines="50" w:after="50"/>
        <w:rPr>
          <w:rFonts w:ascii="宋体" w:hAnsi="宋体"/>
          <w:bCs/>
          <w:color w:val="000000" w:themeColor="text1"/>
          <w:sz w:val="24"/>
          <w:szCs w:val="20"/>
          <w:highlight w:val="none"/>
          <w14:textFill>
            <w14:solidFill>
              <w14:schemeClr w14:val="tx1"/>
            </w14:solidFill>
          </w14:textFill>
        </w:rPr>
      </w:pPr>
    </w:p>
    <w:p w14:paraId="5B2A61E1">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0A2DC8EB">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BD6ED8E">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3D320042">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6EC2A7A6">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283BAA0">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63309BC">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92917EC">
      <w:pPr>
        <w:pStyle w:val="7"/>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64665BE7">
      <w:pPr>
        <w:pStyle w:val="7"/>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E0DA4DF">
      <w:pPr>
        <w:pStyle w:val="7"/>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38AB0816">
      <w:pPr>
        <w:pStyle w:val="7"/>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2B1E2CF0">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B7727E6">
      <w:pPr>
        <w:snapToGrid w:val="0"/>
        <w:spacing w:beforeLines="50" w:after="50" w:line="360" w:lineRule="auto"/>
        <w:ind w:right="480" w:firstLine="240" w:firstLineChars="100"/>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57D4448E">
      <w:pPr>
        <w:snapToGrid w:val="0"/>
        <w:spacing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3554E3A9">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A35BAE6">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无串通竞标行为的承诺函</w:t>
      </w:r>
    </w:p>
    <w:p w14:paraId="4AC18B11">
      <w:pPr>
        <w:spacing w:line="360" w:lineRule="auto"/>
        <w:ind w:firstLine="640"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3A8AB1D1">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4343E63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1.不同供应商的响应文件由同一单位或者个人编制</w:t>
      </w:r>
      <w:r>
        <w:rPr>
          <w:rFonts w:hint="eastAsia" w:ascii="宋体" w:hAnsi="宋体" w:cs="仿宋_GB2312"/>
          <w:color w:val="000000" w:themeColor="text1"/>
          <w:sz w:val="24"/>
          <w:highlight w:val="none"/>
          <w:lang w:eastAsia="zh-CN"/>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 xml:space="preserve"> </w:t>
      </w:r>
    </w:p>
    <w:p w14:paraId="2F0632FE">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r>
        <w:rPr>
          <w:rFonts w:hint="eastAsia" w:ascii="宋体" w:hAnsi="宋体" w:cs="仿宋_GB2312"/>
          <w:color w:val="000000" w:themeColor="text1"/>
          <w:sz w:val="24"/>
          <w:highlight w:val="none"/>
          <w:lang w:eastAsia="zh-CN"/>
          <w14:textFill>
            <w14:solidFill>
              <w14:schemeClr w14:val="tx1"/>
            </w14:solidFill>
          </w14:textFill>
        </w:rPr>
        <w:t>；</w:t>
      </w:r>
    </w:p>
    <w:p w14:paraId="1AF682AA">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r>
        <w:rPr>
          <w:rFonts w:hint="eastAsia" w:ascii="宋体" w:hAnsi="宋体" w:cs="仿宋_GB2312"/>
          <w:color w:val="000000" w:themeColor="text1"/>
          <w:sz w:val="24"/>
          <w:highlight w:val="none"/>
          <w:lang w:eastAsia="zh-CN"/>
          <w14:textFill>
            <w14:solidFill>
              <w14:schemeClr w14:val="tx1"/>
            </w14:solidFill>
          </w14:textFill>
        </w:rPr>
        <w:t>；</w:t>
      </w:r>
    </w:p>
    <w:p w14:paraId="3AF80EE7">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r>
        <w:rPr>
          <w:rFonts w:hint="eastAsia" w:ascii="宋体" w:hAnsi="宋体" w:cs="仿宋_GB2312"/>
          <w:color w:val="000000" w:themeColor="text1"/>
          <w:spacing w:val="-6"/>
          <w:sz w:val="24"/>
          <w:highlight w:val="none"/>
          <w:lang w:eastAsia="zh-CN"/>
          <w14:textFill>
            <w14:solidFill>
              <w14:schemeClr w14:val="tx1"/>
            </w14:solidFill>
          </w14:textFill>
        </w:rPr>
        <w:t>；</w:t>
      </w:r>
    </w:p>
    <w:p w14:paraId="38BF8ABC">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r>
        <w:rPr>
          <w:rFonts w:hint="eastAsia" w:ascii="宋体" w:hAnsi="宋体" w:cs="仿宋_GB2312"/>
          <w:color w:val="000000" w:themeColor="text1"/>
          <w:sz w:val="24"/>
          <w:highlight w:val="none"/>
          <w:lang w:eastAsia="zh-CN"/>
          <w14:textFill>
            <w14:solidFill>
              <w14:schemeClr w14:val="tx1"/>
            </w14:solidFill>
          </w14:textFill>
        </w:rPr>
        <w:t>；</w:t>
      </w:r>
    </w:p>
    <w:p w14:paraId="068E1863">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379A9122">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1C86A080">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r>
        <w:rPr>
          <w:rFonts w:hint="eastAsia" w:ascii="宋体" w:hAnsi="宋体" w:cs="仿宋_GB2312"/>
          <w:color w:val="000000" w:themeColor="text1"/>
          <w:sz w:val="24"/>
          <w:highlight w:val="none"/>
          <w:lang w:eastAsia="zh-CN"/>
          <w14:textFill>
            <w14:solidFill>
              <w14:schemeClr w14:val="tx1"/>
            </w14:solidFill>
          </w14:textFill>
        </w:rPr>
        <w:t>；</w:t>
      </w:r>
    </w:p>
    <w:p w14:paraId="34D94096">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r>
        <w:rPr>
          <w:rFonts w:hint="eastAsia" w:ascii="宋体" w:hAnsi="宋体" w:cs="仿宋_GB2312"/>
          <w:color w:val="000000" w:themeColor="text1"/>
          <w:sz w:val="24"/>
          <w:highlight w:val="none"/>
          <w:lang w:eastAsia="zh-CN"/>
          <w14:textFill>
            <w14:solidFill>
              <w14:schemeClr w14:val="tx1"/>
            </w14:solidFill>
          </w14:textFill>
        </w:rPr>
        <w:t>；</w:t>
      </w:r>
    </w:p>
    <w:p w14:paraId="4760E550">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r>
        <w:rPr>
          <w:rFonts w:hint="eastAsia" w:ascii="宋体" w:hAnsi="宋体" w:cs="仿宋_GB2312"/>
          <w:color w:val="000000" w:themeColor="text1"/>
          <w:spacing w:val="-6"/>
          <w:sz w:val="24"/>
          <w:highlight w:val="none"/>
          <w:lang w:eastAsia="zh-CN"/>
          <w14:textFill>
            <w14:solidFill>
              <w14:schemeClr w14:val="tx1"/>
            </w14:solidFill>
          </w14:textFill>
        </w:rPr>
        <w:t>；</w:t>
      </w:r>
    </w:p>
    <w:p w14:paraId="62C5E313">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r>
        <w:rPr>
          <w:rFonts w:hint="eastAsia" w:ascii="宋体" w:hAnsi="宋体" w:cs="仿宋_GB2312"/>
          <w:color w:val="000000" w:themeColor="text1"/>
          <w:sz w:val="24"/>
          <w:highlight w:val="none"/>
          <w:lang w:eastAsia="zh-CN"/>
          <w14:textFill>
            <w14:solidFill>
              <w14:schemeClr w14:val="tx1"/>
            </w14:solidFill>
          </w14:textFill>
        </w:rPr>
        <w:t>；</w:t>
      </w:r>
    </w:p>
    <w:p w14:paraId="61D53645">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r>
        <w:rPr>
          <w:rFonts w:hint="eastAsia" w:ascii="宋体" w:hAnsi="宋体" w:cs="仿宋_GB2312"/>
          <w:color w:val="000000" w:themeColor="text1"/>
          <w:sz w:val="24"/>
          <w:highlight w:val="none"/>
          <w:lang w:eastAsia="zh-CN"/>
          <w14:textFill>
            <w14:solidFill>
              <w14:schemeClr w14:val="tx1"/>
            </w14:solidFill>
          </w14:textFill>
        </w:rPr>
        <w:t>；</w:t>
      </w:r>
    </w:p>
    <w:p w14:paraId="3F4EC40A">
      <w:pPr>
        <w:spacing w:line="360" w:lineRule="auto"/>
        <w:ind w:firstLine="480" w:firstLineChars="200"/>
        <w:contextualSpacing/>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r>
        <w:rPr>
          <w:rFonts w:hint="eastAsia" w:ascii="宋体" w:hAnsi="宋体" w:cs="仿宋_GB2312"/>
          <w:color w:val="000000" w:themeColor="text1"/>
          <w:sz w:val="24"/>
          <w:highlight w:val="none"/>
          <w:lang w:eastAsia="zh-CN"/>
          <w14:textFill>
            <w14:solidFill>
              <w14:schemeClr w14:val="tx1"/>
            </w14:solidFill>
          </w14:textFill>
        </w:rPr>
        <w:t>；</w:t>
      </w:r>
    </w:p>
    <w:p w14:paraId="032F057B">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6D99AA10">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099959B6">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1E92DC12">
      <w:pPr>
        <w:spacing w:line="360" w:lineRule="auto"/>
        <w:contextualSpacing/>
        <w:rPr>
          <w:rFonts w:ascii="宋体" w:hAnsi="宋体" w:cs="仿宋_GB2312"/>
          <w:color w:val="000000" w:themeColor="text1"/>
          <w:sz w:val="24"/>
          <w:highlight w:val="none"/>
          <w14:textFill>
            <w14:solidFill>
              <w14:schemeClr w14:val="tx1"/>
            </w14:solidFill>
          </w14:textFill>
        </w:rPr>
      </w:pPr>
    </w:p>
    <w:p w14:paraId="24C85552">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134E612F">
      <w:pPr>
        <w:spacing w:line="360" w:lineRule="auto"/>
        <w:ind w:firstLine="480" w:firstLineChars="200"/>
        <w:contextualSpacing/>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1C170148">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法定代表人证明书</w:t>
      </w:r>
    </w:p>
    <w:p w14:paraId="3720C318">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5DE1626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p>
    <w:p w14:paraId="21805E75">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r>
        <w:rPr>
          <w:rFonts w:hint="eastAsia" w:ascii="宋体" w:hAnsi="宋体" w:cs="仿宋_GB2312"/>
          <w:color w:val="000000" w:themeColor="text1"/>
          <w:sz w:val="24"/>
          <w:highlight w:val="none"/>
          <w:u w:val="single"/>
          <w14:textFill>
            <w14:solidFill>
              <w14:schemeClr w14:val="tx1"/>
            </w14:solidFill>
          </w14:textFill>
        </w:rPr>
        <w:t xml:space="preserve">                                                        </w:t>
      </w:r>
    </w:p>
    <w:p w14:paraId="4C90F876">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性     别：</w:t>
      </w:r>
      <w:r>
        <w:rPr>
          <w:rFonts w:hint="eastAsia" w:ascii="宋体" w:hAnsi="宋体" w:cs="仿宋_GB2312"/>
          <w:color w:val="000000" w:themeColor="text1"/>
          <w:sz w:val="24"/>
          <w:highlight w:val="none"/>
          <w:u w:val="single"/>
          <w14:textFill>
            <w14:solidFill>
              <w14:schemeClr w14:val="tx1"/>
            </w14:solidFill>
          </w14:textFill>
        </w:rPr>
        <w:t xml:space="preserve">                </w:t>
      </w:r>
    </w:p>
    <w:p w14:paraId="7E2F6F30">
      <w:pPr>
        <w:spacing w:line="360" w:lineRule="auto"/>
        <w:ind w:left="540"/>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职     务：</w:t>
      </w:r>
      <w:r>
        <w:rPr>
          <w:rFonts w:hint="eastAsia" w:ascii="宋体" w:hAnsi="宋体" w:cs="仿宋_GB2312"/>
          <w:color w:val="000000" w:themeColor="text1"/>
          <w:sz w:val="24"/>
          <w:highlight w:val="none"/>
          <w:u w:val="single"/>
          <w14:textFill>
            <w14:solidFill>
              <w14:schemeClr w14:val="tx1"/>
            </w14:solidFill>
          </w14:textFill>
        </w:rPr>
        <w:t xml:space="preserve">                </w:t>
      </w:r>
    </w:p>
    <w:p w14:paraId="48B8C8D9">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r>
        <w:rPr>
          <w:rFonts w:hint="eastAsia" w:ascii="宋体" w:hAnsi="宋体" w:cs="仿宋_GB2312"/>
          <w:color w:val="000000" w:themeColor="text1"/>
          <w:sz w:val="24"/>
          <w:highlight w:val="none"/>
          <w:u w:val="single"/>
          <w14:textFill>
            <w14:solidFill>
              <w14:schemeClr w14:val="tx1"/>
            </w14:solidFill>
          </w14:textFill>
        </w:rPr>
        <w:t xml:space="preserve">                                        </w:t>
      </w:r>
    </w:p>
    <w:p w14:paraId="0E8597FD">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2D7AAB88">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5B54D1C8">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5B3A2757">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369C6421">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B9BA14B">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3F992E8D">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0CE77AB9">
      <w:pPr>
        <w:spacing w:line="360" w:lineRule="auto"/>
        <w:ind w:left="540" w:firstLine="3000" w:firstLineChars="125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r>
        <w:rPr>
          <w:rFonts w:hint="eastAsia" w:ascii="宋体" w:hAnsi="宋体" w:cs="仿宋_GB2312"/>
          <w:color w:val="000000" w:themeColor="text1"/>
          <w:sz w:val="24"/>
          <w:highlight w:val="none"/>
          <w:u w:val="single"/>
          <w14:textFill>
            <w14:solidFill>
              <w14:schemeClr w14:val="tx1"/>
            </w14:solidFill>
          </w14:textFill>
        </w:rPr>
        <w:t xml:space="preserve">               </w:t>
      </w:r>
    </w:p>
    <w:p w14:paraId="1FE2665F">
      <w:pPr>
        <w:spacing w:line="360" w:lineRule="auto"/>
        <w:ind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5F36045A">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5044510B">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674B8C00">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注：联合体竞标的只需牵头人出具。</w:t>
      </w:r>
    </w:p>
    <w:p w14:paraId="2F545572">
      <w:pPr>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318E3CAE">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p>
    <w:p w14:paraId="2FD9ECD7">
      <w:pPr>
        <w:spacing w:line="520" w:lineRule="exact"/>
        <w:jc w:val="center"/>
        <w:rPr>
          <w:rFonts w:ascii="宋体" w:hAnsi="宋体" w:cs="方正小标宋简体"/>
          <w:b/>
          <w:color w:val="000000" w:themeColor="text1"/>
          <w:sz w:val="32"/>
          <w:szCs w:val="32"/>
          <w:highlight w:val="none"/>
          <w14:textFill>
            <w14:solidFill>
              <w14:schemeClr w14:val="tx1"/>
            </w14:solidFill>
          </w14:textFill>
        </w:rPr>
      </w:pPr>
      <w:bookmarkStart w:id="92" w:name="_Hlk65853643"/>
      <w:r>
        <w:rPr>
          <w:rFonts w:hint="eastAsia" w:ascii="宋体" w:hAnsi="宋体" w:cs="方正小标宋简体"/>
          <w:b/>
          <w:color w:val="000000" w:themeColor="text1"/>
          <w:sz w:val="32"/>
          <w:szCs w:val="32"/>
          <w:highlight w:val="none"/>
          <w14:textFill>
            <w14:solidFill>
              <w14:schemeClr w14:val="tx1"/>
            </w14:solidFill>
          </w14:textFill>
        </w:rPr>
        <w:t>授权委托书</w:t>
      </w:r>
    </w:p>
    <w:p w14:paraId="75657EDE">
      <w:pPr>
        <w:spacing w:line="520" w:lineRule="exact"/>
        <w:jc w:val="center"/>
        <w:rPr>
          <w:rFonts w:ascii="宋体" w:hAnsi="宋体" w:cs="方正小标宋简体"/>
          <w:b/>
          <w:color w:val="000000" w:themeColor="text1"/>
          <w:sz w:val="24"/>
          <w:highlight w:val="none"/>
          <w14:textFill>
            <w14:solidFill>
              <w14:schemeClr w14:val="tx1"/>
            </w14:solidFill>
          </w14:textFill>
        </w:rPr>
      </w:pPr>
      <w:r>
        <w:rPr>
          <w:rFonts w:hint="eastAsia" w:ascii="宋体" w:hAnsi="宋体" w:cs="方正小标宋简体"/>
          <w:b/>
          <w:color w:val="000000" w:themeColor="text1"/>
          <w:sz w:val="24"/>
          <w:highlight w:val="none"/>
          <w14:textFill>
            <w14:solidFill>
              <w14:schemeClr w14:val="tx1"/>
            </w14:solidFill>
          </w14:textFill>
        </w:rPr>
        <w:t>（非联合体竞标格式）</w:t>
      </w:r>
    </w:p>
    <w:p w14:paraId="6584C3A0">
      <w:pPr>
        <w:spacing w:line="520" w:lineRule="exact"/>
        <w:jc w:val="center"/>
        <w:rPr>
          <w:rFonts w:ascii="宋体" w:hAnsi="宋体" w:cs="方正小标宋简体"/>
          <w:b/>
          <w:color w:val="000000" w:themeColor="text1"/>
          <w:sz w:val="24"/>
          <w:highlight w:val="none"/>
          <w14:textFill>
            <w14:solidFill>
              <w14:schemeClr w14:val="tx1"/>
            </w14:solidFill>
          </w14:textFill>
        </w:rPr>
      </w:pPr>
      <w:r>
        <w:rPr>
          <w:rFonts w:hint="eastAsia" w:ascii="宋体" w:hAnsi="宋体" w:cs="方正小标宋简体"/>
          <w:b/>
          <w:color w:val="000000" w:themeColor="text1"/>
          <w:sz w:val="24"/>
          <w:highlight w:val="none"/>
          <w14:textFill>
            <w14:solidFill>
              <w14:schemeClr w14:val="tx1"/>
            </w14:solidFill>
          </w14:textFill>
        </w:rPr>
        <w:t>（如有委托时）</w:t>
      </w:r>
    </w:p>
    <w:p w14:paraId="4E7724E3">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C0F237D">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5D18358D">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□法定代表人/□负责人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5A6F096B">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0ECB543D">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0F9DCB9">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510F0BC0">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2C25E059">
      <w:pPr>
        <w:spacing w:line="360" w:lineRule="auto"/>
        <w:rPr>
          <w:rFonts w:ascii="宋体" w:hAnsi="宋体" w:cs="仿宋_GB2312"/>
          <w:color w:val="000000" w:themeColor="text1"/>
          <w:sz w:val="24"/>
          <w:highlight w:val="none"/>
          <w14:textFill>
            <w14:solidFill>
              <w14:schemeClr w14:val="tx1"/>
            </w14:solidFill>
          </w14:textFill>
        </w:rPr>
      </w:pPr>
    </w:p>
    <w:p w14:paraId="622C32D5">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49D5B4D1">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00EDBF06">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69FA3BE2">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7800054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5B4D3771">
      <w:pPr>
        <w:spacing w:line="360" w:lineRule="auto"/>
        <w:rPr>
          <w:rFonts w:ascii="宋体" w:hAnsi="宋体" w:cs="仿宋_GB2312"/>
          <w:color w:val="000000" w:themeColor="text1"/>
          <w:sz w:val="24"/>
          <w:highlight w:val="none"/>
          <w14:textFill>
            <w14:solidFill>
              <w14:schemeClr w14:val="tx1"/>
            </w14:solidFill>
          </w14:textFill>
        </w:rPr>
      </w:pPr>
    </w:p>
    <w:p w14:paraId="0302F0F5">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115F3CE4">
      <w:pPr>
        <w:spacing w:line="360" w:lineRule="auto"/>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p>
    <w:p w14:paraId="01CE04A4">
      <w:pPr>
        <w:spacing w:line="360" w:lineRule="auto"/>
        <w:contextualSpacing/>
        <w:rPr>
          <w:rFonts w:ascii="宋体" w:hAnsi="宋体" w:cs="仿宋_GB2312"/>
          <w:color w:val="000000" w:themeColor="text1"/>
          <w:sz w:val="24"/>
          <w:highlight w:val="none"/>
          <w14:textFill>
            <w14:solidFill>
              <w14:schemeClr w14:val="tx1"/>
            </w14:solidFill>
          </w14:textFill>
        </w:rPr>
      </w:pPr>
    </w:p>
    <w:bookmarkEnd w:id="92"/>
    <w:p w14:paraId="62362927">
      <w:pPr>
        <w:spacing w:line="360" w:lineRule="auto"/>
        <w:jc w:val="center"/>
        <w:rPr>
          <w:rFonts w:ascii="宋体" w:hAnsi="宋体" w:cs="方正小标宋简体"/>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建筑材料和设备节能环保要求承诺书</w:t>
      </w:r>
    </w:p>
    <w:p w14:paraId="1FD2A16A">
      <w:pPr>
        <w:spacing w:line="360" w:lineRule="auto"/>
        <w:jc w:val="center"/>
        <w:rPr>
          <w:rFonts w:ascii="宋体" w:hAnsi="宋体" w:cs="宋体"/>
          <w:color w:val="000000" w:themeColor="text1"/>
          <w:szCs w:val="21"/>
          <w:highlight w:val="none"/>
          <w14:textFill>
            <w14:solidFill>
              <w14:schemeClr w14:val="tx1"/>
            </w14:solidFill>
          </w14:textFill>
        </w:rPr>
      </w:pPr>
    </w:p>
    <w:p w14:paraId="4ACB16A0">
      <w:pPr>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我方承诺，一旦成交，我方保证严格执行</w:t>
      </w:r>
      <w:r>
        <w:rPr>
          <w:rFonts w:hint="eastAsia" w:cs="宋体"/>
          <w:color w:val="000000" w:themeColor="text1"/>
          <w:sz w:val="24"/>
          <w:highlight w:val="none"/>
          <w14:textFill>
            <w14:solidFill>
              <w14:schemeClr w14:val="tx1"/>
            </w14:solidFill>
          </w14:textFill>
        </w:rPr>
        <w:t>《财政部</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发展改革委</w:t>
      </w:r>
      <w:r>
        <w:rPr>
          <w:rFonts w:cs="宋体"/>
          <w:color w:val="000000" w:themeColor="text1"/>
          <w:sz w:val="24"/>
          <w:highlight w:val="non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生态环境部市场监管总局关于调整优化节能产品、环境标志产品政府采购执行机制的通知》（财库〔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9</w:t>
      </w:r>
      <w:r>
        <w:rPr>
          <w:rFonts w:hint="eastAsia" w:cs="宋体"/>
          <w:color w:val="000000" w:themeColor="text1"/>
          <w:sz w:val="24"/>
          <w:highlight w:val="none"/>
          <w14:textFill>
            <w14:solidFill>
              <w14:schemeClr w14:val="tx1"/>
            </w14:solidFill>
          </w14:textFill>
        </w:rPr>
        <w:t>号）和《关于印发节能产品政府采购品目清单的通知》（财库〔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19</w:t>
      </w:r>
      <w:r>
        <w:rPr>
          <w:rFonts w:hint="eastAsia" w:cs="宋体"/>
          <w:color w:val="000000" w:themeColor="text1"/>
          <w:sz w:val="24"/>
          <w:highlight w:val="none"/>
          <w14:textFill>
            <w14:solidFill>
              <w14:schemeClr w14:val="tx1"/>
            </w14:solidFill>
          </w14:textFill>
        </w:rPr>
        <w:t>号）的规定，所有工程中涉及的建筑材料和设备如属于财库〔</w:t>
      </w:r>
      <w:r>
        <w:rPr>
          <w:rFonts w:cs="宋体"/>
          <w:color w:val="000000" w:themeColor="text1"/>
          <w:sz w:val="24"/>
          <w:highlight w:val="none"/>
          <w14:textFill>
            <w14:solidFill>
              <w14:schemeClr w14:val="tx1"/>
            </w14:solidFill>
          </w14:textFill>
        </w:rPr>
        <w:t>2019</w:t>
      </w:r>
      <w:r>
        <w:rPr>
          <w:rFonts w:hint="eastAsia" w:cs="宋体"/>
          <w:color w:val="000000" w:themeColor="text1"/>
          <w:sz w:val="24"/>
          <w:highlight w:val="none"/>
          <w14:textFill>
            <w14:solidFill>
              <w14:schemeClr w14:val="tx1"/>
            </w14:solidFill>
          </w14:textFill>
        </w:rPr>
        <w:t>〕</w:t>
      </w:r>
      <w:r>
        <w:rPr>
          <w:rFonts w:cs="宋体"/>
          <w:color w:val="000000" w:themeColor="text1"/>
          <w:sz w:val="24"/>
          <w:highlight w:val="none"/>
          <w14:textFill>
            <w14:solidFill>
              <w14:schemeClr w14:val="tx1"/>
            </w14:solidFill>
          </w14:textFill>
        </w:rPr>
        <w:t>19</w:t>
      </w:r>
      <w:r>
        <w:rPr>
          <w:rFonts w:hint="eastAsia" w:cs="宋体"/>
          <w:color w:val="000000" w:themeColor="text1"/>
          <w:sz w:val="24"/>
          <w:highlight w:val="none"/>
          <w14:textFill>
            <w14:solidFill>
              <w14:schemeClr w14:val="tx1"/>
            </w14:solidFill>
          </w14:textFill>
        </w:rPr>
        <w:t>号文中《节能产品政府采购品目清单》内标注“★”的产品，都使用政府强制采购的节能产品。</w:t>
      </w:r>
      <w:r>
        <w:rPr>
          <w:rFonts w:hint="eastAsia"/>
          <w:color w:val="000000" w:themeColor="text1"/>
          <w:sz w:val="24"/>
          <w:highlight w:val="none"/>
          <w14:textFill>
            <w14:solidFill>
              <w14:schemeClr w14:val="tx1"/>
            </w14:solidFill>
          </w14:textFill>
        </w:rPr>
        <w:t>如我方在该项目的承包中出现未按规定执行的情形，我方愿意按照相关规定接受采购人及有关行政主管部门的处罚，愿意承担一切后果，并不再寻求任何旨在减轻或者免除法律责任的辩解。</w:t>
      </w:r>
    </w:p>
    <w:p w14:paraId="12C7DFC0">
      <w:pPr>
        <w:spacing w:line="360" w:lineRule="auto"/>
        <w:ind w:firstLine="480" w:firstLineChars="200"/>
        <w:jc w:val="center"/>
        <w:rPr>
          <w:color w:val="000000" w:themeColor="text1"/>
          <w:sz w:val="24"/>
          <w:highlight w:val="none"/>
          <w14:textFill>
            <w14:solidFill>
              <w14:schemeClr w14:val="tx1"/>
            </w14:solidFill>
          </w14:textFill>
        </w:rPr>
      </w:pPr>
    </w:p>
    <w:p w14:paraId="53CEE00E">
      <w:pPr>
        <w:spacing w:line="360" w:lineRule="auto"/>
        <w:contextualSpacing/>
        <w:rPr>
          <w:rFonts w:ascii="宋体" w:hAnsi="宋体" w:cs="仿宋_GB2312"/>
          <w:color w:val="000000" w:themeColor="text1"/>
          <w:sz w:val="24"/>
          <w:highlight w:val="none"/>
          <w14:textFill>
            <w14:solidFill>
              <w14:schemeClr w14:val="tx1"/>
            </w14:solidFill>
          </w14:textFill>
        </w:rPr>
      </w:pPr>
    </w:p>
    <w:p w14:paraId="46094518">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26435918">
      <w:pPr>
        <w:snapToGrid w:val="0"/>
        <w:spacing w:beforeLines="50" w:after="50"/>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25701D46">
      <w:pPr>
        <w:snapToGrid w:val="0"/>
        <w:spacing w:beforeLines="50" w:after="50"/>
        <w:jc w:val="left"/>
        <w:rPr>
          <w:rFonts w:hint="eastAsia" w:ascii="宋体" w:hAnsi="宋体" w:cs="方正小标宋简体"/>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br w:type="page"/>
      </w:r>
      <w:r>
        <w:rPr>
          <w:rFonts w:hint="eastAsia" w:ascii="宋体" w:hAnsi="宋体" w:cs="仿宋_GB2312"/>
          <w:color w:val="000000" w:themeColor="text1"/>
          <w:sz w:val="24"/>
          <w:highlight w:val="none"/>
          <w:lang w:val="en-US" w:eastAsia="zh-CN"/>
          <w14:textFill>
            <w14:solidFill>
              <w14:schemeClr w14:val="tx1"/>
            </w14:solidFill>
          </w14:textFill>
        </w:rPr>
        <w:t xml:space="preserve">                    </w:t>
      </w:r>
      <w:r>
        <w:rPr>
          <w:rFonts w:hint="eastAsia" w:ascii="宋体" w:hAnsi="宋体" w:cs="方正小标宋简体"/>
          <w:b/>
          <w:color w:val="000000" w:themeColor="text1"/>
          <w:sz w:val="32"/>
          <w:szCs w:val="32"/>
          <w:highlight w:val="none"/>
          <w14:textFill>
            <w14:solidFill>
              <w14:schemeClr w14:val="tx1"/>
            </w14:solidFill>
          </w14:textFill>
        </w:rPr>
        <w:t>技术商务要求响应表</w:t>
      </w:r>
    </w:p>
    <w:p w14:paraId="7722BF1E">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7F0C2EA9">
      <w:pPr>
        <w:spacing w:line="360"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117"/>
        <w:gridCol w:w="2836"/>
        <w:gridCol w:w="2735"/>
        <w:gridCol w:w="1492"/>
      </w:tblGrid>
      <w:tr w14:paraId="342C6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40ECB4C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93" w:name="_Toc297193185"/>
            <w:bookmarkStart w:id="94" w:name="_Toc373333689"/>
            <w:bookmarkStart w:id="95" w:name="_Toc254970588"/>
            <w:bookmarkStart w:id="96" w:name="_Toc254970729"/>
            <w:bookmarkStart w:id="97" w:name="_Toc295404981"/>
            <w:bookmarkStart w:id="98" w:name="_Toc173066401"/>
            <w:bookmarkStart w:id="99" w:name="_Toc301781611"/>
            <w:bookmarkStart w:id="100" w:name="_Toc173211900"/>
            <w:bookmarkStart w:id="101" w:name="_Toc383699906"/>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序号</w:t>
            </w:r>
            <w:bookmarkEnd w:id="93"/>
            <w:bookmarkEnd w:id="94"/>
            <w:bookmarkEnd w:id="95"/>
            <w:bookmarkEnd w:id="96"/>
            <w:bookmarkEnd w:id="97"/>
            <w:bookmarkEnd w:id="98"/>
            <w:bookmarkEnd w:id="99"/>
            <w:bookmarkEnd w:id="100"/>
            <w:bookmarkEnd w:id="101"/>
          </w:p>
        </w:tc>
        <w:tc>
          <w:tcPr>
            <w:tcW w:w="614" w:type="pct"/>
            <w:tcBorders>
              <w:right w:val="single" w:color="auto" w:sz="4" w:space="0"/>
            </w:tcBorders>
            <w:noWrap w:val="0"/>
            <w:vAlign w:val="center"/>
          </w:tcPr>
          <w:p w14:paraId="4A132473">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名称</w:t>
            </w:r>
          </w:p>
        </w:tc>
        <w:tc>
          <w:tcPr>
            <w:tcW w:w="1559" w:type="pct"/>
            <w:tcBorders>
              <w:left w:val="single" w:color="auto" w:sz="4" w:space="0"/>
            </w:tcBorders>
            <w:noWrap w:val="0"/>
            <w:vAlign w:val="center"/>
          </w:tcPr>
          <w:p w14:paraId="0A2710D4">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磋商文件要求</w:t>
            </w:r>
          </w:p>
        </w:tc>
        <w:tc>
          <w:tcPr>
            <w:tcW w:w="1503" w:type="pct"/>
            <w:noWrap w:val="0"/>
            <w:vAlign w:val="center"/>
          </w:tcPr>
          <w:p w14:paraId="7138ABB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02" w:name="_Toc301781613"/>
            <w:bookmarkStart w:id="103" w:name="_Toc173211902"/>
            <w:bookmarkStart w:id="104" w:name="_Toc297193187"/>
            <w:bookmarkStart w:id="105" w:name="_Toc373333691"/>
            <w:bookmarkStart w:id="106" w:name="_Toc173066403"/>
            <w:bookmarkStart w:id="107" w:name="_Toc383699908"/>
            <w:bookmarkStart w:id="108" w:name="_Toc295404983"/>
            <w:bookmarkStart w:id="109" w:name="_Toc254970590"/>
            <w:bookmarkStart w:id="110" w:name="_Toc254970731"/>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竞标响应</w:t>
            </w:r>
            <w:bookmarkEnd w:id="102"/>
            <w:bookmarkEnd w:id="103"/>
            <w:bookmarkEnd w:id="104"/>
            <w:bookmarkEnd w:id="105"/>
            <w:bookmarkEnd w:id="106"/>
            <w:bookmarkEnd w:id="107"/>
            <w:bookmarkEnd w:id="108"/>
            <w:bookmarkEnd w:id="109"/>
            <w:bookmarkEnd w:id="110"/>
          </w:p>
        </w:tc>
        <w:tc>
          <w:tcPr>
            <w:tcW w:w="820" w:type="pct"/>
            <w:noWrap w:val="0"/>
            <w:vAlign w:val="center"/>
          </w:tcPr>
          <w:p w14:paraId="54DB0BD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11" w:name="_Toc295404984"/>
            <w:bookmarkStart w:id="112" w:name="_Toc301781614"/>
            <w:bookmarkStart w:id="113" w:name="_Toc254970591"/>
            <w:bookmarkStart w:id="114" w:name="_Toc297193188"/>
            <w:bookmarkStart w:id="115" w:name="_Toc173066404"/>
            <w:bookmarkStart w:id="116" w:name="_Toc373333692"/>
            <w:bookmarkStart w:id="117" w:name="_Toc254970732"/>
            <w:bookmarkStart w:id="118" w:name="_Toc173211903"/>
            <w:bookmarkStart w:id="119" w:name="_Toc383699909"/>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偏离</w:t>
            </w:r>
            <w:bookmarkEnd w:id="111"/>
            <w:bookmarkEnd w:id="112"/>
            <w:bookmarkEnd w:id="113"/>
            <w:bookmarkEnd w:id="114"/>
            <w:bookmarkEnd w:id="115"/>
            <w:bookmarkEnd w:id="116"/>
            <w:bookmarkEnd w:id="117"/>
            <w:bookmarkEnd w:id="118"/>
            <w:bookmarkEnd w:id="119"/>
            <w:bookmarkStart w:id="120" w:name="_Toc297193189"/>
            <w:bookmarkStart w:id="121" w:name="_Toc295404985"/>
            <w:bookmarkStart w:id="122" w:name="_Toc173211904"/>
            <w:bookmarkStart w:id="123" w:name="_Toc373333693"/>
            <w:bookmarkStart w:id="124" w:name="_Toc301781615"/>
            <w:bookmarkStart w:id="125" w:name="_Toc383699910"/>
            <w:bookmarkStart w:id="126" w:name="_Toc254970592"/>
            <w:bookmarkStart w:id="127" w:name="_Toc173066405"/>
            <w:bookmarkStart w:id="128" w:name="_Toc254970733"/>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说明</w:t>
            </w:r>
            <w:bookmarkEnd w:id="120"/>
            <w:bookmarkEnd w:id="121"/>
            <w:bookmarkEnd w:id="122"/>
            <w:bookmarkEnd w:id="123"/>
            <w:bookmarkEnd w:id="124"/>
            <w:bookmarkEnd w:id="125"/>
            <w:bookmarkEnd w:id="126"/>
            <w:bookmarkEnd w:id="127"/>
            <w:bookmarkEnd w:id="128"/>
          </w:p>
        </w:tc>
      </w:tr>
      <w:tr w14:paraId="03561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1422F0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29" w:name="_Toc254970734"/>
            <w:bookmarkStart w:id="130" w:name="_Toc373333694"/>
            <w:bookmarkStart w:id="131" w:name="_Toc173066406"/>
            <w:bookmarkStart w:id="132" w:name="_Toc295404986"/>
            <w:bookmarkStart w:id="133" w:name="_Toc254970593"/>
            <w:bookmarkStart w:id="134" w:name="_Toc297193190"/>
            <w:bookmarkStart w:id="135" w:name="_Toc173211905"/>
            <w:bookmarkStart w:id="136" w:name="_Toc383699911"/>
            <w:bookmarkStart w:id="137" w:name="_Toc301781616"/>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1</w:t>
            </w:r>
            <w:bookmarkEnd w:id="129"/>
            <w:bookmarkEnd w:id="130"/>
            <w:bookmarkEnd w:id="131"/>
            <w:bookmarkEnd w:id="132"/>
            <w:bookmarkEnd w:id="133"/>
            <w:bookmarkEnd w:id="134"/>
            <w:bookmarkEnd w:id="135"/>
            <w:bookmarkEnd w:id="136"/>
            <w:bookmarkEnd w:id="137"/>
          </w:p>
        </w:tc>
        <w:tc>
          <w:tcPr>
            <w:tcW w:w="614" w:type="pct"/>
            <w:tcBorders>
              <w:right w:val="single" w:color="auto" w:sz="4" w:space="0"/>
            </w:tcBorders>
            <w:noWrap w:val="0"/>
            <w:vAlign w:val="center"/>
          </w:tcPr>
          <w:p w14:paraId="4BFD6A0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一、建设地点：</w:t>
            </w:r>
          </w:p>
        </w:tc>
        <w:tc>
          <w:tcPr>
            <w:tcW w:w="1559" w:type="pct"/>
            <w:tcBorders>
              <w:left w:val="single" w:color="auto" w:sz="4" w:space="0"/>
            </w:tcBorders>
            <w:noWrap w:val="0"/>
            <w:vAlign w:val="center"/>
          </w:tcPr>
          <w:p w14:paraId="4D3F810E">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07470799">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7092E65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14E8C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2DFCAAE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38" w:name="_Toc301781617"/>
            <w:bookmarkStart w:id="139" w:name="_Toc254970735"/>
            <w:bookmarkStart w:id="140" w:name="_Toc373333695"/>
            <w:bookmarkStart w:id="141" w:name="_Toc297193191"/>
            <w:bookmarkStart w:id="142" w:name="_Toc173211906"/>
            <w:bookmarkStart w:id="143" w:name="_Toc173066407"/>
            <w:bookmarkStart w:id="144" w:name="_Toc254970594"/>
            <w:bookmarkStart w:id="145" w:name="_Toc295404987"/>
            <w:bookmarkStart w:id="146" w:name="_Toc383699912"/>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2</w:t>
            </w:r>
            <w:bookmarkEnd w:id="138"/>
            <w:bookmarkEnd w:id="139"/>
            <w:bookmarkEnd w:id="140"/>
            <w:bookmarkEnd w:id="141"/>
            <w:bookmarkEnd w:id="142"/>
            <w:bookmarkEnd w:id="143"/>
            <w:bookmarkEnd w:id="144"/>
            <w:bookmarkEnd w:id="145"/>
            <w:bookmarkEnd w:id="146"/>
          </w:p>
        </w:tc>
        <w:tc>
          <w:tcPr>
            <w:tcW w:w="614" w:type="pct"/>
            <w:tcBorders>
              <w:right w:val="single" w:color="auto" w:sz="4" w:space="0"/>
            </w:tcBorders>
            <w:noWrap w:val="0"/>
            <w:vAlign w:val="center"/>
          </w:tcPr>
          <w:p w14:paraId="2272EAA3">
            <w:pPr>
              <w:pStyle w:val="20"/>
              <w:spacing w:line="360" w:lineRule="auto"/>
              <w:ind w:firstLine="0" w:firstLineChars="0"/>
              <w:contextualSpacing/>
              <w:jc w:val="center"/>
              <w:rPr>
                <w:rFonts w:hint="default"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1559" w:type="pct"/>
            <w:tcBorders>
              <w:left w:val="single" w:color="auto" w:sz="4" w:space="0"/>
            </w:tcBorders>
            <w:noWrap w:val="0"/>
            <w:vAlign w:val="center"/>
          </w:tcPr>
          <w:p w14:paraId="221111D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4673B60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59D9191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7CDF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F4C5787">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47" w:name="_Toc254970595"/>
            <w:bookmarkStart w:id="148" w:name="_Toc173211907"/>
            <w:bookmarkStart w:id="149" w:name="_Toc301781618"/>
            <w:bookmarkStart w:id="150" w:name="_Toc373333696"/>
            <w:bookmarkStart w:id="151" w:name="_Toc383699913"/>
            <w:bookmarkStart w:id="152" w:name="_Toc254970736"/>
            <w:bookmarkStart w:id="153" w:name="_Toc173066408"/>
            <w:bookmarkStart w:id="154" w:name="_Toc295404988"/>
            <w:bookmarkStart w:id="155" w:name="_Toc297193192"/>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3</w:t>
            </w:r>
            <w:bookmarkEnd w:id="147"/>
            <w:bookmarkEnd w:id="148"/>
            <w:bookmarkEnd w:id="149"/>
            <w:bookmarkEnd w:id="150"/>
            <w:bookmarkEnd w:id="151"/>
            <w:bookmarkEnd w:id="152"/>
            <w:bookmarkEnd w:id="153"/>
            <w:bookmarkEnd w:id="154"/>
            <w:bookmarkEnd w:id="155"/>
          </w:p>
        </w:tc>
        <w:tc>
          <w:tcPr>
            <w:tcW w:w="614" w:type="pct"/>
            <w:tcBorders>
              <w:right w:val="single" w:color="auto" w:sz="4" w:space="0"/>
            </w:tcBorders>
            <w:noWrap w:val="0"/>
            <w:vAlign w:val="center"/>
          </w:tcPr>
          <w:p w14:paraId="76D1CCB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59" w:type="pct"/>
            <w:tcBorders>
              <w:left w:val="single" w:color="auto" w:sz="4" w:space="0"/>
            </w:tcBorders>
            <w:noWrap w:val="0"/>
            <w:vAlign w:val="center"/>
          </w:tcPr>
          <w:p w14:paraId="67E42E1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0496247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714551FD">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52ACA5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AE580F1">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56" w:name="_Toc297193193"/>
            <w:bookmarkStart w:id="157" w:name="_Toc173211908"/>
            <w:bookmarkStart w:id="158" w:name="_Toc301781619"/>
            <w:bookmarkStart w:id="159" w:name="_Toc383699914"/>
            <w:bookmarkStart w:id="160" w:name="_Toc373333697"/>
            <w:bookmarkStart w:id="161" w:name="_Toc295404989"/>
            <w:bookmarkStart w:id="162" w:name="_Toc254970596"/>
            <w:bookmarkStart w:id="163" w:name="_Toc173066409"/>
            <w:bookmarkStart w:id="164" w:name="_Toc254970737"/>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4</w:t>
            </w:r>
            <w:bookmarkEnd w:id="156"/>
            <w:bookmarkEnd w:id="157"/>
            <w:bookmarkEnd w:id="158"/>
            <w:bookmarkEnd w:id="159"/>
            <w:bookmarkEnd w:id="160"/>
            <w:bookmarkEnd w:id="161"/>
            <w:bookmarkEnd w:id="162"/>
            <w:bookmarkEnd w:id="163"/>
            <w:bookmarkEnd w:id="164"/>
          </w:p>
        </w:tc>
        <w:tc>
          <w:tcPr>
            <w:tcW w:w="614" w:type="pct"/>
            <w:tcBorders>
              <w:right w:val="single" w:color="auto" w:sz="4" w:space="0"/>
            </w:tcBorders>
            <w:noWrap w:val="0"/>
            <w:vAlign w:val="center"/>
          </w:tcPr>
          <w:p w14:paraId="26A93CFB">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▲计划工期</w:t>
            </w:r>
          </w:p>
        </w:tc>
        <w:tc>
          <w:tcPr>
            <w:tcW w:w="1559" w:type="pct"/>
            <w:tcBorders>
              <w:left w:val="single" w:color="auto" w:sz="4" w:space="0"/>
            </w:tcBorders>
            <w:noWrap w:val="0"/>
            <w:vAlign w:val="center"/>
          </w:tcPr>
          <w:p w14:paraId="58A31BDF">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5DF54D9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16753CD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00BFD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27C8C87">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65" w:name="_Toc173066410"/>
            <w:bookmarkStart w:id="166" w:name="_Toc173211909"/>
            <w:bookmarkStart w:id="167" w:name="_Toc254970738"/>
            <w:bookmarkStart w:id="168" w:name="_Toc254970597"/>
            <w:bookmarkStart w:id="169" w:name="_Toc383699915"/>
            <w:bookmarkStart w:id="170" w:name="_Toc301781620"/>
            <w:bookmarkStart w:id="171" w:name="_Toc295404990"/>
            <w:bookmarkStart w:id="172" w:name="_Toc373333698"/>
            <w:bookmarkStart w:id="173" w:name="_Toc297193194"/>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5</w:t>
            </w:r>
            <w:bookmarkEnd w:id="165"/>
            <w:bookmarkEnd w:id="166"/>
            <w:bookmarkEnd w:id="167"/>
            <w:bookmarkEnd w:id="168"/>
            <w:bookmarkEnd w:id="169"/>
            <w:bookmarkEnd w:id="170"/>
            <w:bookmarkEnd w:id="171"/>
            <w:bookmarkEnd w:id="172"/>
            <w:bookmarkEnd w:id="173"/>
          </w:p>
        </w:tc>
        <w:tc>
          <w:tcPr>
            <w:tcW w:w="614" w:type="pct"/>
            <w:tcBorders>
              <w:right w:val="single" w:color="auto" w:sz="4" w:space="0"/>
            </w:tcBorders>
            <w:noWrap w:val="0"/>
            <w:vAlign w:val="center"/>
          </w:tcPr>
          <w:p w14:paraId="6E8C12B1">
            <w:pPr>
              <w:pStyle w:val="20"/>
              <w:spacing w:line="360" w:lineRule="auto"/>
              <w:ind w:firstLine="0" w:firstLineChars="0"/>
              <w:contextualSpacing/>
              <w:jc w:val="center"/>
              <w:rPr>
                <w:rFonts w:hint="default" w:ascii="宋体" w:hAnsi="宋体" w:eastAsia="宋体" w:cs="仿宋_GB2312"/>
                <w:color w:val="000000" w:themeColor="text1"/>
                <w:kern w:val="2"/>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p>
        </w:tc>
        <w:tc>
          <w:tcPr>
            <w:tcW w:w="1559" w:type="pct"/>
            <w:tcBorders>
              <w:left w:val="single" w:color="auto" w:sz="4" w:space="0"/>
            </w:tcBorders>
            <w:noWrap w:val="0"/>
            <w:vAlign w:val="center"/>
          </w:tcPr>
          <w:p w14:paraId="7D6021F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152D0B36">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noWrap w:val="0"/>
            <w:vAlign w:val="center"/>
          </w:tcPr>
          <w:p w14:paraId="067D3460">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r w14:paraId="4E1E42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4B961FB8">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bookmarkStart w:id="174" w:name="_Toc173066415"/>
            <w:bookmarkStart w:id="175" w:name="_Toc254970602"/>
            <w:bookmarkStart w:id="176" w:name="_Toc373333699"/>
            <w:bookmarkStart w:id="177" w:name="_Toc173211914"/>
            <w:bookmarkStart w:id="178" w:name="_Toc297193195"/>
            <w:bookmarkStart w:id="179" w:name="_Toc383699916"/>
            <w:bookmarkStart w:id="180" w:name="_Toc301781621"/>
            <w:bookmarkStart w:id="181" w:name="_Toc254970743"/>
            <w:bookmarkStart w:id="182" w:name="_Toc295404991"/>
            <w: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t>…</w:t>
            </w:r>
            <w:bookmarkEnd w:id="174"/>
            <w:bookmarkEnd w:id="175"/>
            <w:bookmarkEnd w:id="176"/>
            <w:bookmarkEnd w:id="177"/>
            <w:bookmarkEnd w:id="178"/>
            <w:bookmarkEnd w:id="179"/>
            <w:bookmarkEnd w:id="180"/>
            <w:bookmarkEnd w:id="181"/>
            <w:bookmarkEnd w:id="182"/>
          </w:p>
        </w:tc>
        <w:tc>
          <w:tcPr>
            <w:tcW w:w="614" w:type="pct"/>
            <w:tcBorders>
              <w:right w:val="single" w:color="auto" w:sz="4" w:space="0"/>
            </w:tcBorders>
            <w:noWrap w:val="0"/>
            <w:vAlign w:val="center"/>
          </w:tcPr>
          <w:p w14:paraId="6DF736DE">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59" w:type="pct"/>
            <w:tcBorders>
              <w:left w:val="single" w:color="auto" w:sz="4" w:space="0"/>
            </w:tcBorders>
            <w:noWrap w:val="0"/>
            <w:vAlign w:val="center"/>
          </w:tcPr>
          <w:p w14:paraId="2DF5DB65">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1503" w:type="pct"/>
            <w:noWrap w:val="0"/>
            <w:vAlign w:val="center"/>
          </w:tcPr>
          <w:p w14:paraId="3745FB02">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c>
          <w:tcPr>
            <w:tcW w:w="820" w:type="pct"/>
            <w:tcBorders>
              <w:right w:val="single" w:color="auto" w:sz="4" w:space="0"/>
            </w:tcBorders>
            <w:noWrap w:val="0"/>
            <w:vAlign w:val="center"/>
          </w:tcPr>
          <w:p w14:paraId="5987F34B">
            <w:pPr>
              <w:pStyle w:val="20"/>
              <w:spacing w:line="360" w:lineRule="auto"/>
              <w:ind w:firstLine="0" w:firstLineChars="0"/>
              <w:contextualSpacing/>
              <w:jc w:val="center"/>
              <w:rPr>
                <w:rFonts w:hint="eastAsia" w:ascii="宋体" w:hAnsi="宋体" w:eastAsia="宋体" w:cs="仿宋_GB2312"/>
                <w:color w:val="000000" w:themeColor="text1"/>
                <w:kern w:val="2"/>
                <w:sz w:val="24"/>
                <w:szCs w:val="24"/>
                <w:highlight w:val="none"/>
                <w:lang w:val="en-US" w:eastAsia="zh-CN"/>
                <w14:textFill>
                  <w14:solidFill>
                    <w14:schemeClr w14:val="tx1"/>
                  </w14:solidFill>
                </w14:textFill>
              </w:rPr>
            </w:pPr>
          </w:p>
        </w:tc>
      </w:tr>
    </w:tbl>
    <w:p w14:paraId="07F96226">
      <w:pPr>
        <w:adjustRightInd w:val="0"/>
        <w:spacing w:line="360" w:lineRule="auto"/>
        <w:contextualSpacing/>
        <w:rPr>
          <w:rFonts w:hint="eastAsia" w:ascii="宋体" w:hAnsi="宋体" w:cs="仿宋_GB2312"/>
          <w:color w:val="000000" w:themeColor="text1"/>
          <w:sz w:val="24"/>
          <w:highlight w:val="none"/>
          <w14:textFill>
            <w14:solidFill>
              <w14:schemeClr w14:val="tx1"/>
            </w14:solidFill>
          </w14:textFill>
        </w:rPr>
      </w:pPr>
    </w:p>
    <w:p w14:paraId="6E902DC3">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1CADD461">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采购需求”中的所有要求逐条作出明确响应，并作出偏离说明。</w:t>
      </w:r>
    </w:p>
    <w:p w14:paraId="2FBD8A12">
      <w:pPr>
        <w:pStyle w:val="20"/>
        <w:spacing w:line="360" w:lineRule="auto"/>
        <w:ind w:firstLine="0" w:firstLineChars="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411B1477">
      <w:pPr>
        <w:spacing w:line="360" w:lineRule="auto"/>
        <w:ind w:right="-817" w:rightChars="-389"/>
        <w:contextualSpacing/>
        <w:rPr>
          <w:rFonts w:hint="eastAsia" w:ascii="宋体" w:hAnsi="宋体" w:cs="仿宋_GB2312"/>
          <w:color w:val="000000" w:themeColor="text1"/>
          <w:sz w:val="24"/>
          <w:highlight w:val="none"/>
          <w14:textFill>
            <w14:solidFill>
              <w14:schemeClr w14:val="tx1"/>
            </w14:solidFill>
          </w14:textFill>
        </w:rPr>
      </w:pPr>
    </w:p>
    <w:p w14:paraId="70DCFCD8">
      <w:pPr>
        <w:spacing w:line="360" w:lineRule="auto"/>
        <w:ind w:right="-817" w:rightChars="-389"/>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74BA2068">
      <w:pPr>
        <w:spacing w:line="360" w:lineRule="auto"/>
        <w:ind w:right="-817" w:rightChars="-389" w:firstLine="2640" w:firstLineChars="11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5EC8DFA5">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6FBB82B">
      <w:pP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br w:type="page"/>
      </w:r>
    </w:p>
    <w:p w14:paraId="26AC7E6D">
      <w:pPr>
        <w:widowControl w:val="0"/>
        <w:jc w:val="center"/>
        <w:outlineLvl w:val="0"/>
        <w:rPr>
          <w:rFonts w:ascii="Times New Roman" w:hAnsi="Times New Roman"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宋体" w:cs="宋体"/>
          <w:b/>
          <w:bCs/>
          <w:color w:val="000000" w:themeColor="text1"/>
          <w:kern w:val="2"/>
          <w:sz w:val="28"/>
          <w:szCs w:val="28"/>
          <w:highlight w:val="none"/>
          <w:lang w:val="en-US" w:eastAsia="zh-CN" w:bidi="ar-SA"/>
          <w14:textFill>
            <w14:solidFill>
              <w14:schemeClr w14:val="tx1"/>
            </w14:solidFill>
          </w14:textFill>
        </w:rPr>
        <w:t>建设工程项目管理承诺书</w:t>
      </w:r>
    </w:p>
    <w:p w14:paraId="0C2EBA81">
      <w:pPr>
        <w:spacing w:line="480" w:lineRule="auto"/>
        <w:jc w:val="left"/>
        <w:rPr>
          <w:color w:val="000000" w:themeColor="text1"/>
          <w:highlight w:val="none"/>
          <w14:textFill>
            <w14:solidFill>
              <w14:schemeClr w14:val="tx1"/>
            </w14:solidFill>
          </w14:textFill>
        </w:rPr>
      </w:pPr>
    </w:p>
    <w:p w14:paraId="58DA55F5">
      <w:pPr>
        <w:spacing w:line="480" w:lineRule="auto"/>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（采购人名称）：</w:t>
      </w:r>
    </w:p>
    <w:p w14:paraId="2021C040">
      <w:pPr>
        <w:spacing w:line="520" w:lineRule="exact"/>
        <w:ind w:left="-10" w:firstLine="455" w:firstLineChars="217"/>
        <w:jc w:val="lef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作为参与</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（工程名称）项目的供应商，根据国家、自治区相关文件规定，我方在此向采购人承诺：</w:t>
      </w:r>
    </w:p>
    <w:p w14:paraId="6E65E000">
      <w:pPr>
        <w:spacing w:line="520" w:lineRule="exact"/>
        <w:ind w:left="-10" w:firstLine="455" w:firstLineChars="217"/>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，我方保证按照政府相关部门的规定，</w:t>
      </w:r>
      <w:r>
        <w:rPr>
          <w:rFonts w:hint="eastAsia" w:ascii="宋体" w:hAnsi="宋体"/>
          <w:color w:val="000000" w:themeColor="text1"/>
          <w:highlight w:val="none"/>
          <w14:textFill>
            <w14:solidFill>
              <w14:schemeClr w14:val="tx1"/>
            </w14:solidFill>
          </w14:textFill>
        </w:rPr>
        <w:t>在成交后7个工作日内，按照《保障农民工工资支付条例》规定及广西壮族自治区有关规定开设农民工工资专用账户，并按要求比例将农民工工资保证金存入</w:t>
      </w:r>
      <w:r>
        <w:rPr>
          <w:rFonts w:hint="eastAsia" w:ascii="宋体" w:hAnsi="宋体"/>
          <w:color w:val="000000" w:themeColor="text1"/>
          <w:highlight w:val="none"/>
          <w:lang w:val="en-US" w:eastAsia="zh-CN"/>
          <w14:textFill>
            <w14:solidFill>
              <w14:schemeClr w14:val="tx1"/>
            </w14:solidFill>
          </w14:textFill>
        </w:rPr>
        <w:t>账</w:t>
      </w:r>
      <w:r>
        <w:rPr>
          <w:rFonts w:hint="eastAsia" w:ascii="宋体" w:hAnsi="宋体"/>
          <w:color w:val="000000" w:themeColor="text1"/>
          <w:highlight w:val="none"/>
          <w14:textFill>
            <w14:solidFill>
              <w14:schemeClr w14:val="tx1"/>
            </w14:solidFill>
          </w14:textFill>
        </w:rPr>
        <w:t>户</w:t>
      </w:r>
      <w:r>
        <w:rPr>
          <w:rFonts w:hint="eastAsia"/>
          <w:color w:val="000000" w:themeColor="text1"/>
          <w:highlight w:val="none"/>
          <w14:textFill>
            <w14:solidFill>
              <w14:schemeClr w14:val="tx1"/>
            </w14:solidFill>
          </w14:textFill>
        </w:rPr>
        <w:t>，专项用于支付本工程提供劳动的农民工被拖欠的工资。</w:t>
      </w:r>
      <w:r>
        <w:rPr>
          <w:color w:val="000000" w:themeColor="text1"/>
          <w:highlight w:val="none"/>
          <w14:textFill>
            <w14:solidFill>
              <w14:schemeClr w14:val="tx1"/>
            </w14:solidFill>
          </w14:textFill>
        </w:rPr>
        <w:t>按照与农民工依法约定的工资支付周期和具体支付日期支付工资</w:t>
      </w:r>
      <w:r>
        <w:rPr>
          <w:rFonts w:hint="eastAsia"/>
          <w:color w:val="000000" w:themeColor="text1"/>
          <w:highlight w:val="none"/>
          <w14:textFill>
            <w14:solidFill>
              <w14:schemeClr w14:val="tx1"/>
            </w14:solidFill>
          </w14:textFill>
        </w:rPr>
        <w:t>，保证</w:t>
      </w:r>
      <w:r>
        <w:rPr>
          <w:color w:val="000000" w:themeColor="text1"/>
          <w:highlight w:val="none"/>
          <w14:textFill>
            <w14:solidFill>
              <w14:schemeClr w14:val="tx1"/>
            </w14:solidFill>
          </w14:textFill>
        </w:rPr>
        <w:t>每月至少向农民工足额支付一次工资。</w:t>
      </w:r>
    </w:p>
    <w:p w14:paraId="4AE0B187">
      <w:pPr>
        <w:spacing w:line="520" w:lineRule="exact"/>
        <w:ind w:left="-10" w:firstLine="455" w:firstLineChars="217"/>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，我方保证在施工过程中，严格执行《广西壮族自治区建筑工程安全文明施工费使用管理细则》（桂建质〔20</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号）的有关规定，确保建设工程各项安全防护、文明施工措施落实到位。如我方在该项目的承包中出现未按桂建质〔20</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号文附件一规定执行的情形，我方愿意按照相关规定接受建设单位及有关主管部门的处罚。</w:t>
      </w:r>
    </w:p>
    <w:p w14:paraId="55D969F9">
      <w:pPr>
        <w:spacing w:line="520" w:lineRule="exact"/>
        <w:ind w:left="-2" w:leftChars="-1" w:firstLine="449" w:firstLineChars="214"/>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3、一旦</w:t>
      </w:r>
      <w:r>
        <w:rPr>
          <w:rFonts w:hint="eastAsia"/>
          <w:color w:val="000000" w:themeColor="text1"/>
          <w:highlight w:val="none"/>
          <w14:textFill>
            <w14:solidFill>
              <w14:schemeClr w14:val="tx1"/>
            </w14:solidFill>
          </w14:textFill>
        </w:rPr>
        <w:t>成交</w:t>
      </w:r>
      <w:r>
        <w:rPr>
          <w:color w:val="000000" w:themeColor="text1"/>
          <w:highlight w:val="none"/>
          <w14:textFill>
            <w14:solidFill>
              <w14:schemeClr w14:val="tx1"/>
            </w14:solidFill>
          </w14:textFill>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D8A7857">
      <w:pPr>
        <w:spacing w:line="520" w:lineRule="exact"/>
        <w:ind w:left="-10" w:firstLine="455" w:firstLineChars="217"/>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4、一旦成交，我方保证在施工过程中，严格执行《关于禁止使用不符合规范要求的竹脚手架的通知》（</w:t>
      </w:r>
      <w:r>
        <w:rPr>
          <w:color w:val="000000" w:themeColor="text1"/>
          <w:highlight w:val="none"/>
          <w14:textFill>
            <w14:solidFill>
              <w14:schemeClr w14:val="tx1"/>
            </w14:solidFill>
          </w14:textFill>
        </w:rPr>
        <w:t>桂建</w:t>
      </w:r>
      <w:r>
        <w:rPr>
          <w:rFonts w:hint="eastAsia"/>
          <w:color w:val="000000" w:themeColor="text1"/>
          <w:highlight w:val="none"/>
          <w14:textFill>
            <w14:solidFill>
              <w14:schemeClr w14:val="tx1"/>
            </w14:solidFill>
          </w14:textFill>
        </w:rPr>
        <w:t>管字</w:t>
      </w:r>
      <w:r>
        <w:rPr>
          <w:color w:val="000000" w:themeColor="text1"/>
          <w:highlight w:val="none"/>
          <w14:textFill>
            <w14:solidFill>
              <w14:schemeClr w14:val="tx1"/>
            </w14:solidFill>
          </w14:textFill>
        </w:rPr>
        <w:t>〔200</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t>号</w:t>
      </w:r>
      <w:r>
        <w:rPr>
          <w:rFonts w:hint="eastAsia"/>
          <w:color w:val="000000" w:themeColor="text1"/>
          <w:highlight w:val="none"/>
          <w14:textFill>
            <w14:solidFill>
              <w14:schemeClr w14:val="tx1"/>
            </w14:solidFill>
          </w14:textFill>
        </w:rPr>
        <w:t>）的有关规定，不使用竹脚手架。如我方在该</w:t>
      </w:r>
      <w:r>
        <w:rPr>
          <w:color w:val="000000" w:themeColor="text1"/>
          <w:highlight w:val="none"/>
          <w14:textFill>
            <w14:solidFill>
              <w14:schemeClr w14:val="tx1"/>
            </w14:solidFill>
          </w14:textFill>
        </w:rPr>
        <w:t>项目的承包中出现未按规定执行的情形，我方愿意按照相关规定接受建设单位及有关主管部门的处罚。</w:t>
      </w:r>
    </w:p>
    <w:p w14:paraId="17341643">
      <w:pPr>
        <w:spacing w:line="520" w:lineRule="exact"/>
        <w:ind w:left="-10" w:firstLine="455" w:firstLineChars="217"/>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94E06E">
      <w:pPr>
        <w:spacing w:line="520" w:lineRule="exact"/>
        <w:jc w:val="left"/>
        <w:rPr>
          <w:color w:val="000000" w:themeColor="text1"/>
          <w:highlight w:val="none"/>
          <w14:textFill>
            <w14:solidFill>
              <w14:schemeClr w14:val="tx1"/>
            </w14:solidFill>
          </w14:textFill>
        </w:rPr>
      </w:pPr>
    </w:p>
    <w:p w14:paraId="5AED4C39">
      <w:pPr>
        <w:spacing w:line="360" w:lineRule="auto"/>
        <w:ind w:firstLine="4410" w:firstLineChars="2100"/>
        <w:jc w:val="left"/>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供应商：</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u w:val="single"/>
          <w14:textFill>
            <w14:solidFill>
              <w14:schemeClr w14:val="tx1"/>
            </w14:solidFill>
          </w14:textFill>
        </w:rPr>
        <w:t>（电子签章）</w:t>
      </w:r>
    </w:p>
    <w:p w14:paraId="24DEE38B">
      <w:pPr>
        <w:spacing w:line="360" w:lineRule="auto"/>
        <w:ind w:firstLine="4410" w:firstLineChars="2100"/>
        <w:jc w:val="left"/>
        <w:rPr>
          <w:rFonts w:hint="eastAsia"/>
          <w:color w:val="000000" w:themeColor="text1"/>
          <w:highlight w:val="none"/>
          <w:u w:val="single"/>
          <w14:textFill>
            <w14:solidFill>
              <w14:schemeClr w14:val="tx1"/>
            </w14:solidFill>
          </w14:textFill>
        </w:rPr>
      </w:pPr>
    </w:p>
    <w:p w14:paraId="3B381905">
      <w:pPr>
        <w:ind w:firstLine="4410" w:firstLineChars="2100"/>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r>
        <w:rPr>
          <w:color w:val="000000" w:themeColor="text1"/>
          <w:highlight w:val="none"/>
          <w14:textFill>
            <w14:solidFill>
              <w14:schemeClr w14:val="tx1"/>
            </w14:solidFill>
          </w14:textFill>
        </w:rPr>
        <w:br w:type="page"/>
      </w:r>
    </w:p>
    <w:p w14:paraId="119C290C">
      <w:pPr>
        <w:snapToGrid w:val="0"/>
        <w:spacing w:beforeLines="50" w:after="50"/>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代理服务费承诺书</w:t>
      </w:r>
    </w:p>
    <w:p w14:paraId="62AE88A6">
      <w:pPr>
        <w:snapToGrid w:val="0"/>
        <w:spacing w:beforeLines="50" w:after="50"/>
        <w:jc w:val="center"/>
        <w:rPr>
          <w:rFonts w:ascii="宋体" w:hAnsi="宋体"/>
          <w:b/>
          <w:color w:val="000000" w:themeColor="text1"/>
          <w:sz w:val="24"/>
          <w:highlight w:val="none"/>
          <w14:textFill>
            <w14:solidFill>
              <w14:schemeClr w14:val="tx1"/>
            </w14:solidFill>
          </w14:textFill>
        </w:rPr>
      </w:pPr>
    </w:p>
    <w:p w14:paraId="37383E53">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采购代理机构名称</w:t>
      </w:r>
    </w:p>
    <w:p w14:paraId="7226E26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3338FA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7740992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种方式作为代理服务费开票类型：</w:t>
      </w:r>
    </w:p>
    <w:p w14:paraId="25782B8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440B92ED">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113991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565CB34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6C6B7CC0">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0506034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742F3FD7">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（3）在税局登记的地址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5C72D9A3">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（4）在税局登记的电话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2C8DFEC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lang w:eastAsia="zh-CN"/>
          <w14:textFill>
            <w14:solidFill>
              <w14:schemeClr w14:val="tx1"/>
            </w14:solidFill>
          </w14:textFill>
        </w:rPr>
        <w:t>；</w:t>
      </w:r>
    </w:p>
    <w:p w14:paraId="20CA2BF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8FD4309">
      <w:pPr>
        <w:spacing w:line="440" w:lineRule="exact"/>
        <w:rPr>
          <w:rFonts w:ascii="宋体" w:hAnsi="宋体"/>
          <w:color w:val="000000" w:themeColor="text1"/>
          <w:sz w:val="24"/>
          <w:highlight w:val="none"/>
          <w14:textFill>
            <w14:solidFill>
              <w14:schemeClr w14:val="tx1"/>
            </w14:solidFill>
          </w14:textFill>
        </w:rPr>
      </w:pPr>
    </w:p>
    <w:p w14:paraId="0315B8B6">
      <w:pPr>
        <w:spacing w:line="440" w:lineRule="exact"/>
        <w:rPr>
          <w:rFonts w:ascii="宋体" w:hAnsi="宋体"/>
          <w:color w:val="000000" w:themeColor="text1"/>
          <w:sz w:val="24"/>
          <w:highlight w:val="none"/>
          <w14:textFill>
            <w14:solidFill>
              <w14:schemeClr w14:val="tx1"/>
            </w14:solidFill>
          </w14:textFill>
        </w:rPr>
      </w:pPr>
    </w:p>
    <w:p w14:paraId="2647A4C0">
      <w:pPr>
        <w:spacing w:line="440" w:lineRule="exact"/>
        <w:rPr>
          <w:rFonts w:ascii="宋体" w:hAnsi="宋体"/>
          <w:color w:val="000000" w:themeColor="text1"/>
          <w:sz w:val="24"/>
          <w:highlight w:val="none"/>
          <w14:textFill>
            <w14:solidFill>
              <w14:schemeClr w14:val="tx1"/>
            </w14:solidFill>
          </w14:textFill>
        </w:rPr>
      </w:pPr>
    </w:p>
    <w:p w14:paraId="39F3BEBE">
      <w:pPr>
        <w:snapToGrid w:val="0"/>
        <w:spacing w:line="360" w:lineRule="auto"/>
        <w:ind w:left="-2" w:leftChars="-1" w:right="-817" w:rightChars="-389" w:firstLine="1920" w:firstLineChars="8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7030FDD2">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3764E108">
      <w:pPr>
        <w:spacing w:line="360" w:lineRule="auto"/>
        <w:ind w:firstLine="480" w:firstLineChars="200"/>
        <w:jc w:val="center"/>
        <w:rPr>
          <w:rFonts w:ascii="宋体" w:hAnsi="宋体" w:cs="方正小标宋简体"/>
          <w:b/>
          <w:bCs/>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r>
        <w:rPr>
          <w:rFonts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宋体" w:hAnsi="宋体" w:cs="方正小标宋简体"/>
          <w:b/>
          <w:bCs/>
          <w:color w:val="000000" w:themeColor="text1"/>
          <w:sz w:val="32"/>
          <w:szCs w:val="32"/>
          <w:highlight w:val="none"/>
          <w14:textFill>
            <w14:solidFill>
              <w14:schemeClr w14:val="tx1"/>
            </w14:solidFill>
          </w14:textFill>
        </w:rPr>
        <w:t>施工组织设计</w:t>
      </w:r>
    </w:p>
    <w:p w14:paraId="7BE402B0">
      <w:pPr>
        <w:spacing w:line="360" w:lineRule="auto"/>
        <w:ind w:firstLine="420" w:firstLineChars="200"/>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施工组织</w:t>
      </w:r>
      <w:r>
        <w:rPr>
          <w:rFonts w:hint="eastAsia"/>
          <w:color w:val="000000" w:themeColor="text1"/>
          <w:highlight w:val="none"/>
          <w14:textFill>
            <w14:solidFill>
              <w14:schemeClr w14:val="tx1"/>
            </w14:solidFill>
          </w14:textFill>
        </w:rPr>
        <w:t>设计</w:t>
      </w:r>
      <w:r>
        <w:rPr>
          <w:rFonts w:hint="eastAsia" w:ascii="宋体" w:hAnsi="宋体"/>
          <w:color w:val="000000" w:themeColor="text1"/>
          <w:highlight w:val="none"/>
          <w14:textFill>
            <w14:solidFill>
              <w14:schemeClr w14:val="tx1"/>
            </w14:solidFill>
          </w14:textFill>
        </w:rPr>
        <w:t>应</w:t>
      </w:r>
      <w:r>
        <w:rPr>
          <w:rFonts w:hint="eastAsia"/>
          <w:color w:val="000000" w:themeColor="text1"/>
          <w:highlight w:val="none"/>
          <w14:textFill>
            <w14:solidFill>
              <w14:schemeClr w14:val="tx1"/>
            </w14:solidFill>
          </w14:textFill>
        </w:rPr>
        <w:t>以下内容顺序编制，可</w:t>
      </w:r>
      <w:r>
        <w:rPr>
          <w:rFonts w:hint="eastAsia" w:ascii="宋体" w:hAnsi="宋体"/>
          <w:color w:val="000000" w:themeColor="text1"/>
          <w:highlight w:val="none"/>
          <w14:textFill>
            <w14:solidFill>
              <w14:schemeClr w14:val="tx1"/>
            </w14:solidFill>
          </w14:textFill>
        </w:rPr>
        <w:t>采用文字并结合图表形式说明施工方法，</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设计具体</w:t>
      </w:r>
      <w:r>
        <w:rPr>
          <w:color w:val="000000" w:themeColor="text1"/>
          <w:highlight w:val="none"/>
          <w14:textFill>
            <w14:solidFill>
              <w14:schemeClr w14:val="tx1"/>
            </w14:solidFill>
          </w14:textFill>
        </w:rPr>
        <w:t>内容</w:t>
      </w:r>
      <w:r>
        <w:rPr>
          <w:rFonts w:hint="eastAsia" w:cs="宋体"/>
          <w:color w:val="000000" w:themeColor="text1"/>
          <w:highlight w:val="none"/>
          <w14:textFill>
            <w14:solidFill>
              <w14:schemeClr w14:val="tx1"/>
            </w14:solidFill>
          </w14:textFill>
        </w:rPr>
        <w:t>如下：</w:t>
      </w:r>
    </w:p>
    <w:p w14:paraId="5991BF6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（1）概述</w:t>
      </w:r>
    </w:p>
    <w:p w14:paraId="50EC001A">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（2）主要施工方法；</w:t>
      </w:r>
    </w:p>
    <w:p w14:paraId="5E7B98E0">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（3）拟投入的主要物资计划</w:t>
      </w:r>
    </w:p>
    <w:p w14:paraId="6F4C0B8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）劳动力安排计划；</w:t>
      </w:r>
    </w:p>
    <w:p w14:paraId="3CD958E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）确保工程质量的技术组织措施；</w:t>
      </w:r>
    </w:p>
    <w:p w14:paraId="42BFF1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）确保安全生产的技术组织措施；</w:t>
      </w:r>
    </w:p>
    <w:p w14:paraId="119F3A8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）确保工期的技术组织措施；</w:t>
      </w:r>
    </w:p>
    <w:p w14:paraId="441051C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）确保文明施工的技术组织措施；</w:t>
      </w:r>
    </w:p>
    <w:p w14:paraId="7FFF591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）工程施工的重点和难点及保证措施；</w:t>
      </w:r>
    </w:p>
    <w:p w14:paraId="41A1FE1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）施工总平面布置图；</w:t>
      </w:r>
    </w:p>
    <w:p w14:paraId="21D443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如有）</w:t>
      </w:r>
      <w:r>
        <w:rPr>
          <w:rFonts w:hint="eastAsia"/>
          <w:color w:val="000000" w:themeColor="text1"/>
          <w:highlight w:val="none"/>
          <w14:textFill>
            <w14:solidFill>
              <w14:schemeClr w14:val="tx1"/>
            </w14:solidFill>
          </w14:textFill>
        </w:rPr>
        <w:t>（与第四章“评审程序、评审方法和评审标准”中的评审</w:t>
      </w:r>
      <w:r>
        <w:rPr>
          <w:color w:val="000000" w:themeColor="text1"/>
          <w:highlight w:val="none"/>
          <w14:textFill>
            <w14:solidFill>
              <w14:schemeClr w14:val="tx1"/>
            </w14:solidFill>
          </w14:textFill>
        </w:rPr>
        <w:t>标准一致</w:t>
      </w:r>
      <w:r>
        <w:rPr>
          <w:rFonts w:hint="eastAsia"/>
          <w:color w:val="000000" w:themeColor="text1"/>
          <w:highlight w:val="none"/>
          <w14:textFill>
            <w14:solidFill>
              <w14:schemeClr w14:val="tx1"/>
            </w14:solidFill>
          </w14:textFill>
        </w:rPr>
        <w:t>）</w:t>
      </w:r>
    </w:p>
    <w:p w14:paraId="558CF31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技术标</w:t>
      </w:r>
      <w:r>
        <w:rPr>
          <w:color w:val="000000" w:themeColor="text1"/>
          <w:highlight w:val="none"/>
          <w14:textFill>
            <w14:solidFill>
              <w14:schemeClr w14:val="tx1"/>
            </w14:solidFill>
          </w14:textFill>
        </w:rPr>
        <w:t>施工组织</w:t>
      </w:r>
      <w:r>
        <w:rPr>
          <w:rFonts w:hint="eastAsia"/>
          <w:color w:val="000000" w:themeColor="text1"/>
          <w:highlight w:val="none"/>
          <w14:textFill>
            <w14:solidFill>
              <w14:schemeClr w14:val="tx1"/>
            </w14:solidFill>
          </w14:textFill>
        </w:rPr>
        <w:t>设计除采用文字表述外可附下列图表，图表及格式要求附后。</w:t>
      </w:r>
    </w:p>
    <w:p w14:paraId="4783E23A">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附表一</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劳动力计划表</w:t>
      </w:r>
    </w:p>
    <w:p w14:paraId="1D926B9C">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附表二</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计划开、竣工日期和施工进度计划（网络图或横道图）</w:t>
      </w:r>
    </w:p>
    <w:p w14:paraId="58757FCC">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附表三</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施工总平面图</w:t>
      </w:r>
    </w:p>
    <w:p w14:paraId="667EDEA7">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附表四</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临时用地表</w:t>
      </w:r>
    </w:p>
    <w:p w14:paraId="5978138E">
      <w:pPr>
        <w:spacing w:line="360" w:lineRule="auto"/>
        <w:ind w:firstLine="420" w:firstLineChars="200"/>
        <w:rPr>
          <w:color w:val="000000" w:themeColor="text1"/>
          <w:highlight w:val="none"/>
          <w14:textFill>
            <w14:solidFill>
              <w14:schemeClr w14:val="tx1"/>
            </w14:solidFill>
          </w14:textFill>
        </w:rPr>
      </w:pPr>
    </w:p>
    <w:p w14:paraId="5DA91DD5">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附表一：劳动力计划表</w:t>
      </w:r>
    </w:p>
    <w:p w14:paraId="0E1E1F70">
      <w:pPr>
        <w:ind w:firstLine="7245" w:firstLineChars="345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单位：人</w:t>
      </w:r>
    </w:p>
    <w:tbl>
      <w:tblPr>
        <w:tblStyle w:val="4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53F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28BF0B">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工种</w:t>
            </w:r>
          </w:p>
        </w:tc>
        <w:tc>
          <w:tcPr>
            <w:tcW w:w="7248" w:type="dxa"/>
            <w:gridSpan w:val="6"/>
            <w:vAlign w:val="center"/>
          </w:tcPr>
          <w:p w14:paraId="0C8D10DC">
            <w:pPr>
              <w:spacing w:line="360" w:lineRule="auto"/>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按工程施工阶段投入劳动力情况</w:t>
            </w:r>
          </w:p>
        </w:tc>
      </w:tr>
      <w:tr w14:paraId="18D4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2B35D48">
            <w:pPr>
              <w:spacing w:line="360" w:lineRule="auto"/>
              <w:jc w:val="center"/>
              <w:rPr>
                <w:color w:val="000000" w:themeColor="text1"/>
                <w:highlight w:val="none"/>
                <w14:textFill>
                  <w14:solidFill>
                    <w14:schemeClr w14:val="tx1"/>
                  </w14:solidFill>
                </w14:textFill>
              </w:rPr>
            </w:pPr>
          </w:p>
        </w:tc>
        <w:tc>
          <w:tcPr>
            <w:tcW w:w="961" w:type="dxa"/>
            <w:vAlign w:val="center"/>
          </w:tcPr>
          <w:p w14:paraId="2189B5F5">
            <w:pPr>
              <w:spacing w:line="360" w:lineRule="auto"/>
              <w:jc w:val="center"/>
              <w:rPr>
                <w:color w:val="000000" w:themeColor="text1"/>
                <w:highlight w:val="none"/>
                <w14:textFill>
                  <w14:solidFill>
                    <w14:schemeClr w14:val="tx1"/>
                  </w14:solidFill>
                </w14:textFill>
              </w:rPr>
            </w:pPr>
          </w:p>
        </w:tc>
        <w:tc>
          <w:tcPr>
            <w:tcW w:w="1257" w:type="dxa"/>
            <w:vAlign w:val="center"/>
          </w:tcPr>
          <w:p w14:paraId="5B35650F">
            <w:pPr>
              <w:spacing w:line="360" w:lineRule="auto"/>
              <w:jc w:val="center"/>
              <w:rPr>
                <w:color w:val="000000" w:themeColor="text1"/>
                <w:highlight w:val="none"/>
                <w14:textFill>
                  <w14:solidFill>
                    <w14:schemeClr w14:val="tx1"/>
                  </w14:solidFill>
                </w14:textFill>
              </w:rPr>
            </w:pPr>
          </w:p>
        </w:tc>
        <w:tc>
          <w:tcPr>
            <w:tcW w:w="1257" w:type="dxa"/>
            <w:vAlign w:val="center"/>
          </w:tcPr>
          <w:p w14:paraId="14488CEF">
            <w:pPr>
              <w:spacing w:line="360" w:lineRule="auto"/>
              <w:jc w:val="center"/>
              <w:rPr>
                <w:color w:val="000000" w:themeColor="text1"/>
                <w:highlight w:val="none"/>
                <w14:textFill>
                  <w14:solidFill>
                    <w14:schemeClr w14:val="tx1"/>
                  </w14:solidFill>
                </w14:textFill>
              </w:rPr>
            </w:pPr>
          </w:p>
        </w:tc>
        <w:tc>
          <w:tcPr>
            <w:tcW w:w="1258" w:type="dxa"/>
            <w:vAlign w:val="center"/>
          </w:tcPr>
          <w:p w14:paraId="27672FEB">
            <w:pPr>
              <w:spacing w:line="360" w:lineRule="auto"/>
              <w:jc w:val="center"/>
              <w:rPr>
                <w:color w:val="000000" w:themeColor="text1"/>
                <w:highlight w:val="none"/>
                <w14:textFill>
                  <w14:solidFill>
                    <w14:schemeClr w14:val="tx1"/>
                  </w14:solidFill>
                </w14:textFill>
              </w:rPr>
            </w:pPr>
          </w:p>
        </w:tc>
        <w:tc>
          <w:tcPr>
            <w:tcW w:w="1257" w:type="dxa"/>
            <w:vAlign w:val="center"/>
          </w:tcPr>
          <w:p w14:paraId="27D3B689">
            <w:pPr>
              <w:spacing w:line="360" w:lineRule="auto"/>
              <w:jc w:val="center"/>
              <w:rPr>
                <w:color w:val="000000" w:themeColor="text1"/>
                <w:highlight w:val="none"/>
                <w14:textFill>
                  <w14:solidFill>
                    <w14:schemeClr w14:val="tx1"/>
                  </w14:solidFill>
                </w14:textFill>
              </w:rPr>
            </w:pPr>
          </w:p>
        </w:tc>
        <w:tc>
          <w:tcPr>
            <w:tcW w:w="1258" w:type="dxa"/>
            <w:vAlign w:val="center"/>
          </w:tcPr>
          <w:p w14:paraId="2257CDA4">
            <w:pPr>
              <w:spacing w:line="360" w:lineRule="auto"/>
              <w:jc w:val="center"/>
              <w:rPr>
                <w:color w:val="000000" w:themeColor="text1"/>
                <w:highlight w:val="none"/>
                <w14:textFill>
                  <w14:solidFill>
                    <w14:schemeClr w14:val="tx1"/>
                  </w14:solidFill>
                </w14:textFill>
              </w:rPr>
            </w:pPr>
          </w:p>
        </w:tc>
      </w:tr>
      <w:tr w14:paraId="409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E503C36">
            <w:pPr>
              <w:spacing w:line="360" w:lineRule="auto"/>
              <w:jc w:val="center"/>
              <w:rPr>
                <w:color w:val="000000" w:themeColor="text1"/>
                <w:highlight w:val="none"/>
                <w14:textFill>
                  <w14:solidFill>
                    <w14:schemeClr w14:val="tx1"/>
                  </w14:solidFill>
                </w14:textFill>
              </w:rPr>
            </w:pPr>
          </w:p>
        </w:tc>
        <w:tc>
          <w:tcPr>
            <w:tcW w:w="961" w:type="dxa"/>
            <w:vAlign w:val="center"/>
          </w:tcPr>
          <w:p w14:paraId="35FAAE5E">
            <w:pPr>
              <w:spacing w:line="360" w:lineRule="auto"/>
              <w:jc w:val="center"/>
              <w:rPr>
                <w:color w:val="000000" w:themeColor="text1"/>
                <w:highlight w:val="none"/>
                <w14:textFill>
                  <w14:solidFill>
                    <w14:schemeClr w14:val="tx1"/>
                  </w14:solidFill>
                </w14:textFill>
              </w:rPr>
            </w:pPr>
          </w:p>
        </w:tc>
        <w:tc>
          <w:tcPr>
            <w:tcW w:w="1257" w:type="dxa"/>
            <w:vAlign w:val="center"/>
          </w:tcPr>
          <w:p w14:paraId="023F1585">
            <w:pPr>
              <w:spacing w:line="360" w:lineRule="auto"/>
              <w:jc w:val="center"/>
              <w:rPr>
                <w:color w:val="000000" w:themeColor="text1"/>
                <w:highlight w:val="none"/>
                <w14:textFill>
                  <w14:solidFill>
                    <w14:schemeClr w14:val="tx1"/>
                  </w14:solidFill>
                </w14:textFill>
              </w:rPr>
            </w:pPr>
          </w:p>
        </w:tc>
        <w:tc>
          <w:tcPr>
            <w:tcW w:w="1257" w:type="dxa"/>
            <w:vAlign w:val="center"/>
          </w:tcPr>
          <w:p w14:paraId="35E18B76">
            <w:pPr>
              <w:spacing w:line="360" w:lineRule="auto"/>
              <w:jc w:val="center"/>
              <w:rPr>
                <w:color w:val="000000" w:themeColor="text1"/>
                <w:highlight w:val="none"/>
                <w14:textFill>
                  <w14:solidFill>
                    <w14:schemeClr w14:val="tx1"/>
                  </w14:solidFill>
                </w14:textFill>
              </w:rPr>
            </w:pPr>
          </w:p>
        </w:tc>
        <w:tc>
          <w:tcPr>
            <w:tcW w:w="1258" w:type="dxa"/>
            <w:vAlign w:val="center"/>
          </w:tcPr>
          <w:p w14:paraId="23DE9352">
            <w:pPr>
              <w:spacing w:line="360" w:lineRule="auto"/>
              <w:jc w:val="center"/>
              <w:rPr>
                <w:color w:val="000000" w:themeColor="text1"/>
                <w:highlight w:val="none"/>
                <w14:textFill>
                  <w14:solidFill>
                    <w14:schemeClr w14:val="tx1"/>
                  </w14:solidFill>
                </w14:textFill>
              </w:rPr>
            </w:pPr>
          </w:p>
        </w:tc>
        <w:tc>
          <w:tcPr>
            <w:tcW w:w="1257" w:type="dxa"/>
            <w:vAlign w:val="center"/>
          </w:tcPr>
          <w:p w14:paraId="2AA6AF52">
            <w:pPr>
              <w:spacing w:line="360" w:lineRule="auto"/>
              <w:jc w:val="center"/>
              <w:rPr>
                <w:color w:val="000000" w:themeColor="text1"/>
                <w:highlight w:val="none"/>
                <w14:textFill>
                  <w14:solidFill>
                    <w14:schemeClr w14:val="tx1"/>
                  </w14:solidFill>
                </w14:textFill>
              </w:rPr>
            </w:pPr>
          </w:p>
        </w:tc>
        <w:tc>
          <w:tcPr>
            <w:tcW w:w="1258" w:type="dxa"/>
            <w:vAlign w:val="center"/>
          </w:tcPr>
          <w:p w14:paraId="797B8DEB">
            <w:pPr>
              <w:spacing w:line="360" w:lineRule="auto"/>
              <w:jc w:val="center"/>
              <w:rPr>
                <w:color w:val="000000" w:themeColor="text1"/>
                <w:highlight w:val="none"/>
                <w14:textFill>
                  <w14:solidFill>
                    <w14:schemeClr w14:val="tx1"/>
                  </w14:solidFill>
                </w14:textFill>
              </w:rPr>
            </w:pPr>
          </w:p>
        </w:tc>
      </w:tr>
      <w:tr w14:paraId="2659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0094404">
            <w:pPr>
              <w:spacing w:line="360" w:lineRule="auto"/>
              <w:jc w:val="center"/>
              <w:rPr>
                <w:color w:val="000000" w:themeColor="text1"/>
                <w:highlight w:val="none"/>
                <w14:textFill>
                  <w14:solidFill>
                    <w14:schemeClr w14:val="tx1"/>
                  </w14:solidFill>
                </w14:textFill>
              </w:rPr>
            </w:pPr>
          </w:p>
        </w:tc>
        <w:tc>
          <w:tcPr>
            <w:tcW w:w="961" w:type="dxa"/>
            <w:vAlign w:val="center"/>
          </w:tcPr>
          <w:p w14:paraId="59225384">
            <w:pPr>
              <w:spacing w:line="360" w:lineRule="auto"/>
              <w:jc w:val="center"/>
              <w:rPr>
                <w:color w:val="000000" w:themeColor="text1"/>
                <w:highlight w:val="none"/>
                <w14:textFill>
                  <w14:solidFill>
                    <w14:schemeClr w14:val="tx1"/>
                  </w14:solidFill>
                </w14:textFill>
              </w:rPr>
            </w:pPr>
          </w:p>
        </w:tc>
        <w:tc>
          <w:tcPr>
            <w:tcW w:w="1257" w:type="dxa"/>
            <w:vAlign w:val="center"/>
          </w:tcPr>
          <w:p w14:paraId="23A0A3D0">
            <w:pPr>
              <w:spacing w:line="360" w:lineRule="auto"/>
              <w:jc w:val="center"/>
              <w:rPr>
                <w:color w:val="000000" w:themeColor="text1"/>
                <w:highlight w:val="none"/>
                <w14:textFill>
                  <w14:solidFill>
                    <w14:schemeClr w14:val="tx1"/>
                  </w14:solidFill>
                </w14:textFill>
              </w:rPr>
            </w:pPr>
          </w:p>
        </w:tc>
        <w:tc>
          <w:tcPr>
            <w:tcW w:w="1257" w:type="dxa"/>
            <w:vAlign w:val="center"/>
          </w:tcPr>
          <w:p w14:paraId="11D3BAA1">
            <w:pPr>
              <w:spacing w:line="360" w:lineRule="auto"/>
              <w:jc w:val="center"/>
              <w:rPr>
                <w:color w:val="000000" w:themeColor="text1"/>
                <w:highlight w:val="none"/>
                <w14:textFill>
                  <w14:solidFill>
                    <w14:schemeClr w14:val="tx1"/>
                  </w14:solidFill>
                </w14:textFill>
              </w:rPr>
            </w:pPr>
          </w:p>
        </w:tc>
        <w:tc>
          <w:tcPr>
            <w:tcW w:w="1258" w:type="dxa"/>
            <w:vAlign w:val="center"/>
          </w:tcPr>
          <w:p w14:paraId="294A48A5">
            <w:pPr>
              <w:spacing w:line="360" w:lineRule="auto"/>
              <w:jc w:val="center"/>
              <w:rPr>
                <w:color w:val="000000" w:themeColor="text1"/>
                <w:highlight w:val="none"/>
                <w14:textFill>
                  <w14:solidFill>
                    <w14:schemeClr w14:val="tx1"/>
                  </w14:solidFill>
                </w14:textFill>
              </w:rPr>
            </w:pPr>
          </w:p>
        </w:tc>
        <w:tc>
          <w:tcPr>
            <w:tcW w:w="1257" w:type="dxa"/>
            <w:vAlign w:val="center"/>
          </w:tcPr>
          <w:p w14:paraId="2CB20123">
            <w:pPr>
              <w:spacing w:line="360" w:lineRule="auto"/>
              <w:jc w:val="center"/>
              <w:rPr>
                <w:color w:val="000000" w:themeColor="text1"/>
                <w:highlight w:val="none"/>
                <w14:textFill>
                  <w14:solidFill>
                    <w14:schemeClr w14:val="tx1"/>
                  </w14:solidFill>
                </w14:textFill>
              </w:rPr>
            </w:pPr>
          </w:p>
        </w:tc>
        <w:tc>
          <w:tcPr>
            <w:tcW w:w="1258" w:type="dxa"/>
            <w:vAlign w:val="center"/>
          </w:tcPr>
          <w:p w14:paraId="09595B7C">
            <w:pPr>
              <w:spacing w:line="360" w:lineRule="auto"/>
              <w:jc w:val="center"/>
              <w:rPr>
                <w:color w:val="000000" w:themeColor="text1"/>
                <w:highlight w:val="none"/>
                <w14:textFill>
                  <w14:solidFill>
                    <w14:schemeClr w14:val="tx1"/>
                  </w14:solidFill>
                </w14:textFill>
              </w:rPr>
            </w:pPr>
          </w:p>
        </w:tc>
      </w:tr>
      <w:tr w14:paraId="597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CC797AA">
            <w:pPr>
              <w:spacing w:line="360" w:lineRule="auto"/>
              <w:jc w:val="center"/>
              <w:rPr>
                <w:color w:val="000000" w:themeColor="text1"/>
                <w:highlight w:val="none"/>
                <w14:textFill>
                  <w14:solidFill>
                    <w14:schemeClr w14:val="tx1"/>
                  </w14:solidFill>
                </w14:textFill>
              </w:rPr>
            </w:pPr>
          </w:p>
        </w:tc>
        <w:tc>
          <w:tcPr>
            <w:tcW w:w="961" w:type="dxa"/>
            <w:vAlign w:val="center"/>
          </w:tcPr>
          <w:p w14:paraId="48FDABD2">
            <w:pPr>
              <w:spacing w:line="360" w:lineRule="auto"/>
              <w:jc w:val="center"/>
              <w:rPr>
                <w:color w:val="000000" w:themeColor="text1"/>
                <w:highlight w:val="none"/>
                <w14:textFill>
                  <w14:solidFill>
                    <w14:schemeClr w14:val="tx1"/>
                  </w14:solidFill>
                </w14:textFill>
              </w:rPr>
            </w:pPr>
          </w:p>
        </w:tc>
        <w:tc>
          <w:tcPr>
            <w:tcW w:w="1257" w:type="dxa"/>
            <w:vAlign w:val="center"/>
          </w:tcPr>
          <w:p w14:paraId="0BAF3F87">
            <w:pPr>
              <w:spacing w:line="360" w:lineRule="auto"/>
              <w:jc w:val="center"/>
              <w:rPr>
                <w:color w:val="000000" w:themeColor="text1"/>
                <w:highlight w:val="none"/>
                <w14:textFill>
                  <w14:solidFill>
                    <w14:schemeClr w14:val="tx1"/>
                  </w14:solidFill>
                </w14:textFill>
              </w:rPr>
            </w:pPr>
          </w:p>
        </w:tc>
        <w:tc>
          <w:tcPr>
            <w:tcW w:w="1257" w:type="dxa"/>
            <w:vAlign w:val="center"/>
          </w:tcPr>
          <w:p w14:paraId="4082DF36">
            <w:pPr>
              <w:spacing w:line="360" w:lineRule="auto"/>
              <w:jc w:val="center"/>
              <w:rPr>
                <w:color w:val="000000" w:themeColor="text1"/>
                <w:highlight w:val="none"/>
                <w14:textFill>
                  <w14:solidFill>
                    <w14:schemeClr w14:val="tx1"/>
                  </w14:solidFill>
                </w14:textFill>
              </w:rPr>
            </w:pPr>
          </w:p>
        </w:tc>
        <w:tc>
          <w:tcPr>
            <w:tcW w:w="1258" w:type="dxa"/>
            <w:vAlign w:val="center"/>
          </w:tcPr>
          <w:p w14:paraId="7B4A871C">
            <w:pPr>
              <w:spacing w:line="360" w:lineRule="auto"/>
              <w:jc w:val="center"/>
              <w:rPr>
                <w:color w:val="000000" w:themeColor="text1"/>
                <w:highlight w:val="none"/>
                <w14:textFill>
                  <w14:solidFill>
                    <w14:schemeClr w14:val="tx1"/>
                  </w14:solidFill>
                </w14:textFill>
              </w:rPr>
            </w:pPr>
          </w:p>
        </w:tc>
        <w:tc>
          <w:tcPr>
            <w:tcW w:w="1257" w:type="dxa"/>
            <w:vAlign w:val="center"/>
          </w:tcPr>
          <w:p w14:paraId="4D7C75D7">
            <w:pPr>
              <w:spacing w:line="360" w:lineRule="auto"/>
              <w:jc w:val="center"/>
              <w:rPr>
                <w:color w:val="000000" w:themeColor="text1"/>
                <w:highlight w:val="none"/>
                <w14:textFill>
                  <w14:solidFill>
                    <w14:schemeClr w14:val="tx1"/>
                  </w14:solidFill>
                </w14:textFill>
              </w:rPr>
            </w:pPr>
          </w:p>
        </w:tc>
        <w:tc>
          <w:tcPr>
            <w:tcW w:w="1258" w:type="dxa"/>
            <w:vAlign w:val="center"/>
          </w:tcPr>
          <w:p w14:paraId="060B18E0">
            <w:pPr>
              <w:spacing w:line="360" w:lineRule="auto"/>
              <w:jc w:val="center"/>
              <w:rPr>
                <w:color w:val="000000" w:themeColor="text1"/>
                <w:highlight w:val="none"/>
                <w14:textFill>
                  <w14:solidFill>
                    <w14:schemeClr w14:val="tx1"/>
                  </w14:solidFill>
                </w14:textFill>
              </w:rPr>
            </w:pPr>
          </w:p>
        </w:tc>
      </w:tr>
      <w:tr w14:paraId="6BC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6356D62">
            <w:pPr>
              <w:spacing w:line="360" w:lineRule="auto"/>
              <w:jc w:val="center"/>
              <w:rPr>
                <w:color w:val="000000" w:themeColor="text1"/>
                <w:highlight w:val="none"/>
                <w14:textFill>
                  <w14:solidFill>
                    <w14:schemeClr w14:val="tx1"/>
                  </w14:solidFill>
                </w14:textFill>
              </w:rPr>
            </w:pPr>
          </w:p>
        </w:tc>
        <w:tc>
          <w:tcPr>
            <w:tcW w:w="961" w:type="dxa"/>
            <w:vAlign w:val="center"/>
          </w:tcPr>
          <w:p w14:paraId="72862E33">
            <w:pPr>
              <w:spacing w:line="360" w:lineRule="auto"/>
              <w:jc w:val="center"/>
              <w:rPr>
                <w:color w:val="000000" w:themeColor="text1"/>
                <w:highlight w:val="none"/>
                <w14:textFill>
                  <w14:solidFill>
                    <w14:schemeClr w14:val="tx1"/>
                  </w14:solidFill>
                </w14:textFill>
              </w:rPr>
            </w:pPr>
          </w:p>
        </w:tc>
        <w:tc>
          <w:tcPr>
            <w:tcW w:w="1257" w:type="dxa"/>
            <w:vAlign w:val="center"/>
          </w:tcPr>
          <w:p w14:paraId="4411D856">
            <w:pPr>
              <w:spacing w:line="360" w:lineRule="auto"/>
              <w:jc w:val="center"/>
              <w:rPr>
                <w:color w:val="000000" w:themeColor="text1"/>
                <w:highlight w:val="none"/>
                <w14:textFill>
                  <w14:solidFill>
                    <w14:schemeClr w14:val="tx1"/>
                  </w14:solidFill>
                </w14:textFill>
              </w:rPr>
            </w:pPr>
          </w:p>
        </w:tc>
        <w:tc>
          <w:tcPr>
            <w:tcW w:w="1257" w:type="dxa"/>
            <w:vAlign w:val="center"/>
          </w:tcPr>
          <w:p w14:paraId="5B997FA6">
            <w:pPr>
              <w:spacing w:line="360" w:lineRule="auto"/>
              <w:jc w:val="center"/>
              <w:rPr>
                <w:color w:val="000000" w:themeColor="text1"/>
                <w:highlight w:val="none"/>
                <w14:textFill>
                  <w14:solidFill>
                    <w14:schemeClr w14:val="tx1"/>
                  </w14:solidFill>
                </w14:textFill>
              </w:rPr>
            </w:pPr>
          </w:p>
        </w:tc>
        <w:tc>
          <w:tcPr>
            <w:tcW w:w="1258" w:type="dxa"/>
            <w:vAlign w:val="center"/>
          </w:tcPr>
          <w:p w14:paraId="7F791949">
            <w:pPr>
              <w:spacing w:line="360" w:lineRule="auto"/>
              <w:jc w:val="center"/>
              <w:rPr>
                <w:color w:val="000000" w:themeColor="text1"/>
                <w:highlight w:val="none"/>
                <w14:textFill>
                  <w14:solidFill>
                    <w14:schemeClr w14:val="tx1"/>
                  </w14:solidFill>
                </w14:textFill>
              </w:rPr>
            </w:pPr>
          </w:p>
        </w:tc>
        <w:tc>
          <w:tcPr>
            <w:tcW w:w="1257" w:type="dxa"/>
            <w:vAlign w:val="center"/>
          </w:tcPr>
          <w:p w14:paraId="3A200865">
            <w:pPr>
              <w:spacing w:line="360" w:lineRule="auto"/>
              <w:jc w:val="center"/>
              <w:rPr>
                <w:color w:val="000000" w:themeColor="text1"/>
                <w:highlight w:val="none"/>
                <w14:textFill>
                  <w14:solidFill>
                    <w14:schemeClr w14:val="tx1"/>
                  </w14:solidFill>
                </w14:textFill>
              </w:rPr>
            </w:pPr>
          </w:p>
        </w:tc>
        <w:tc>
          <w:tcPr>
            <w:tcW w:w="1258" w:type="dxa"/>
            <w:vAlign w:val="center"/>
          </w:tcPr>
          <w:p w14:paraId="41E5F581">
            <w:pPr>
              <w:spacing w:line="360" w:lineRule="auto"/>
              <w:jc w:val="center"/>
              <w:rPr>
                <w:color w:val="000000" w:themeColor="text1"/>
                <w:highlight w:val="none"/>
                <w14:textFill>
                  <w14:solidFill>
                    <w14:schemeClr w14:val="tx1"/>
                  </w14:solidFill>
                </w14:textFill>
              </w:rPr>
            </w:pPr>
          </w:p>
        </w:tc>
      </w:tr>
      <w:tr w14:paraId="604D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299A35A">
            <w:pPr>
              <w:spacing w:line="360" w:lineRule="auto"/>
              <w:jc w:val="center"/>
              <w:rPr>
                <w:color w:val="000000" w:themeColor="text1"/>
                <w:highlight w:val="none"/>
                <w14:textFill>
                  <w14:solidFill>
                    <w14:schemeClr w14:val="tx1"/>
                  </w14:solidFill>
                </w14:textFill>
              </w:rPr>
            </w:pPr>
          </w:p>
        </w:tc>
        <w:tc>
          <w:tcPr>
            <w:tcW w:w="961" w:type="dxa"/>
            <w:vAlign w:val="center"/>
          </w:tcPr>
          <w:p w14:paraId="30BD65F2">
            <w:pPr>
              <w:spacing w:line="360" w:lineRule="auto"/>
              <w:jc w:val="center"/>
              <w:rPr>
                <w:color w:val="000000" w:themeColor="text1"/>
                <w:highlight w:val="none"/>
                <w14:textFill>
                  <w14:solidFill>
                    <w14:schemeClr w14:val="tx1"/>
                  </w14:solidFill>
                </w14:textFill>
              </w:rPr>
            </w:pPr>
          </w:p>
        </w:tc>
        <w:tc>
          <w:tcPr>
            <w:tcW w:w="1257" w:type="dxa"/>
            <w:vAlign w:val="center"/>
          </w:tcPr>
          <w:p w14:paraId="09780CD2">
            <w:pPr>
              <w:spacing w:line="360" w:lineRule="auto"/>
              <w:jc w:val="center"/>
              <w:rPr>
                <w:color w:val="000000" w:themeColor="text1"/>
                <w:highlight w:val="none"/>
                <w14:textFill>
                  <w14:solidFill>
                    <w14:schemeClr w14:val="tx1"/>
                  </w14:solidFill>
                </w14:textFill>
              </w:rPr>
            </w:pPr>
          </w:p>
        </w:tc>
        <w:tc>
          <w:tcPr>
            <w:tcW w:w="1257" w:type="dxa"/>
            <w:vAlign w:val="center"/>
          </w:tcPr>
          <w:p w14:paraId="442D9FE7">
            <w:pPr>
              <w:spacing w:line="360" w:lineRule="auto"/>
              <w:jc w:val="center"/>
              <w:rPr>
                <w:color w:val="000000" w:themeColor="text1"/>
                <w:highlight w:val="none"/>
                <w14:textFill>
                  <w14:solidFill>
                    <w14:schemeClr w14:val="tx1"/>
                  </w14:solidFill>
                </w14:textFill>
              </w:rPr>
            </w:pPr>
          </w:p>
        </w:tc>
        <w:tc>
          <w:tcPr>
            <w:tcW w:w="1258" w:type="dxa"/>
            <w:vAlign w:val="center"/>
          </w:tcPr>
          <w:p w14:paraId="15C613B5">
            <w:pPr>
              <w:spacing w:line="360" w:lineRule="auto"/>
              <w:jc w:val="center"/>
              <w:rPr>
                <w:color w:val="000000" w:themeColor="text1"/>
                <w:highlight w:val="none"/>
                <w14:textFill>
                  <w14:solidFill>
                    <w14:schemeClr w14:val="tx1"/>
                  </w14:solidFill>
                </w14:textFill>
              </w:rPr>
            </w:pPr>
          </w:p>
        </w:tc>
        <w:tc>
          <w:tcPr>
            <w:tcW w:w="1257" w:type="dxa"/>
            <w:vAlign w:val="center"/>
          </w:tcPr>
          <w:p w14:paraId="34661173">
            <w:pPr>
              <w:spacing w:line="360" w:lineRule="auto"/>
              <w:jc w:val="center"/>
              <w:rPr>
                <w:color w:val="000000" w:themeColor="text1"/>
                <w:highlight w:val="none"/>
                <w14:textFill>
                  <w14:solidFill>
                    <w14:schemeClr w14:val="tx1"/>
                  </w14:solidFill>
                </w14:textFill>
              </w:rPr>
            </w:pPr>
          </w:p>
        </w:tc>
        <w:tc>
          <w:tcPr>
            <w:tcW w:w="1258" w:type="dxa"/>
            <w:vAlign w:val="center"/>
          </w:tcPr>
          <w:p w14:paraId="391A0DB1">
            <w:pPr>
              <w:spacing w:line="360" w:lineRule="auto"/>
              <w:jc w:val="center"/>
              <w:rPr>
                <w:color w:val="000000" w:themeColor="text1"/>
                <w:highlight w:val="none"/>
                <w14:textFill>
                  <w14:solidFill>
                    <w14:schemeClr w14:val="tx1"/>
                  </w14:solidFill>
                </w14:textFill>
              </w:rPr>
            </w:pPr>
          </w:p>
        </w:tc>
      </w:tr>
    </w:tbl>
    <w:p w14:paraId="2AA45C82">
      <w:pPr>
        <w:rPr>
          <w:color w:val="000000" w:themeColor="text1"/>
          <w:highlight w:val="none"/>
          <w14:textFill>
            <w14:solidFill>
              <w14:schemeClr w14:val="tx1"/>
            </w14:solidFill>
          </w14:textFill>
        </w:rPr>
      </w:pPr>
    </w:p>
    <w:p w14:paraId="56E358CF">
      <w:pPr>
        <w:rPr>
          <w:b/>
          <w:bCs/>
          <w:color w:val="000000" w:themeColor="text1"/>
          <w:highlight w:val="none"/>
          <w14:textFill>
            <w14:solidFill>
              <w14:schemeClr w14:val="tx1"/>
            </w14:solidFill>
          </w14:textFill>
        </w:rPr>
      </w:pPr>
    </w:p>
    <w:p w14:paraId="7474EB8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附表二：计划开、竣工日期和施工进度计划（网络图或横道图）</w:t>
      </w:r>
    </w:p>
    <w:p w14:paraId="18D64B94">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cs="宋体"/>
          <w:color w:val="000000" w:themeColor="text1"/>
          <w:highlight w:val="none"/>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42DF15CE">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cs="宋体"/>
          <w:color w:val="000000" w:themeColor="text1"/>
          <w:highlight w:val="none"/>
          <w14:textFill>
            <w14:solidFill>
              <w14:schemeClr w14:val="tx1"/>
            </w14:solidFill>
          </w14:textFill>
        </w:rPr>
        <w:t>施工进度计划可采用网络图（或横道图）表示，说明计划开工日期和各分项工程各阶段的完工日期和分包合同签订的日期。</w:t>
      </w:r>
    </w:p>
    <w:p w14:paraId="4A443E37">
      <w:pPr>
        <w:spacing w:line="460" w:lineRule="exact"/>
        <w:ind w:left="-6"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cs="宋体"/>
          <w:color w:val="000000" w:themeColor="text1"/>
          <w:highlight w:val="none"/>
          <w14:textFill>
            <w14:solidFill>
              <w14:schemeClr w14:val="tx1"/>
            </w14:solidFill>
          </w14:textFill>
        </w:rPr>
        <w:t>施工进度计划应与施工组织设计相适应。</w:t>
      </w:r>
    </w:p>
    <w:p w14:paraId="07CC02B1">
      <w:pPr>
        <w:spacing w:line="360" w:lineRule="auto"/>
        <w:ind w:left="-6" w:firstLine="420"/>
        <w:rPr>
          <w:color w:val="000000" w:themeColor="text1"/>
          <w:highlight w:val="none"/>
          <w14:textFill>
            <w14:solidFill>
              <w14:schemeClr w14:val="tx1"/>
            </w14:solidFill>
          </w14:textFill>
        </w:rPr>
      </w:pPr>
    </w:p>
    <w:p w14:paraId="5F35AD7F">
      <w:pPr>
        <w:rPr>
          <w:color w:val="000000" w:themeColor="text1"/>
          <w:highlight w:val="none"/>
          <w14:textFill>
            <w14:solidFill>
              <w14:schemeClr w14:val="tx1"/>
            </w14:solidFill>
          </w14:textFill>
        </w:rPr>
      </w:pPr>
    </w:p>
    <w:p w14:paraId="0347EE8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附表三：施工总平面图</w:t>
      </w:r>
    </w:p>
    <w:p w14:paraId="04BA595F">
      <w:pPr>
        <w:spacing w:line="460" w:lineRule="exact"/>
        <w:ind w:firstLine="420" w:firstLineChars="20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762A99FE">
      <w:pPr>
        <w:rPr>
          <w:color w:val="000000" w:themeColor="text1"/>
          <w:highlight w:val="none"/>
          <w14:textFill>
            <w14:solidFill>
              <w14:schemeClr w14:val="tx1"/>
            </w14:solidFill>
          </w14:textFill>
        </w:rPr>
      </w:pPr>
    </w:p>
    <w:p w14:paraId="44F319ED">
      <w:pPr>
        <w:rPr>
          <w:color w:val="000000" w:themeColor="text1"/>
          <w:highlight w:val="none"/>
          <w14:textFill>
            <w14:solidFill>
              <w14:schemeClr w14:val="tx1"/>
            </w14:solidFill>
          </w14:textFill>
        </w:rPr>
      </w:pPr>
    </w:p>
    <w:p w14:paraId="13EFECC8">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附表四：临时用地表</w:t>
      </w:r>
    </w:p>
    <w:tbl>
      <w:tblPr>
        <w:tblStyle w:val="43"/>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2B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68845C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用途</w:t>
            </w:r>
          </w:p>
        </w:tc>
        <w:tc>
          <w:tcPr>
            <w:tcW w:w="2357" w:type="dxa"/>
            <w:vAlign w:val="center"/>
          </w:tcPr>
          <w:p w14:paraId="70E6171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面积（平方米）</w:t>
            </w:r>
          </w:p>
        </w:tc>
        <w:tc>
          <w:tcPr>
            <w:tcW w:w="2356" w:type="dxa"/>
            <w:vAlign w:val="center"/>
          </w:tcPr>
          <w:p w14:paraId="70C887D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位置</w:t>
            </w:r>
          </w:p>
        </w:tc>
        <w:tc>
          <w:tcPr>
            <w:tcW w:w="2136" w:type="dxa"/>
            <w:vAlign w:val="center"/>
          </w:tcPr>
          <w:p w14:paraId="4DBF53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需用时间</w:t>
            </w:r>
          </w:p>
        </w:tc>
      </w:tr>
      <w:tr w14:paraId="6888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7B9E11F">
            <w:pPr>
              <w:rPr>
                <w:color w:val="000000" w:themeColor="text1"/>
                <w:highlight w:val="none"/>
                <w14:textFill>
                  <w14:solidFill>
                    <w14:schemeClr w14:val="tx1"/>
                  </w14:solidFill>
                </w14:textFill>
              </w:rPr>
            </w:pPr>
          </w:p>
        </w:tc>
        <w:tc>
          <w:tcPr>
            <w:tcW w:w="2357" w:type="dxa"/>
          </w:tcPr>
          <w:p w14:paraId="1EAB0649">
            <w:pPr>
              <w:rPr>
                <w:color w:val="000000" w:themeColor="text1"/>
                <w:highlight w:val="none"/>
                <w14:textFill>
                  <w14:solidFill>
                    <w14:schemeClr w14:val="tx1"/>
                  </w14:solidFill>
                </w14:textFill>
              </w:rPr>
            </w:pPr>
          </w:p>
        </w:tc>
        <w:tc>
          <w:tcPr>
            <w:tcW w:w="2356" w:type="dxa"/>
          </w:tcPr>
          <w:p w14:paraId="7847656E">
            <w:pPr>
              <w:rPr>
                <w:color w:val="000000" w:themeColor="text1"/>
                <w:highlight w:val="none"/>
                <w14:textFill>
                  <w14:solidFill>
                    <w14:schemeClr w14:val="tx1"/>
                  </w14:solidFill>
                </w14:textFill>
              </w:rPr>
            </w:pPr>
          </w:p>
        </w:tc>
        <w:tc>
          <w:tcPr>
            <w:tcW w:w="2136" w:type="dxa"/>
          </w:tcPr>
          <w:p w14:paraId="1F8CCD5A">
            <w:pPr>
              <w:rPr>
                <w:color w:val="000000" w:themeColor="text1"/>
                <w:highlight w:val="none"/>
                <w14:textFill>
                  <w14:solidFill>
                    <w14:schemeClr w14:val="tx1"/>
                  </w14:solidFill>
                </w14:textFill>
              </w:rPr>
            </w:pPr>
          </w:p>
        </w:tc>
      </w:tr>
      <w:tr w14:paraId="1D01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DAE171">
            <w:pPr>
              <w:rPr>
                <w:color w:val="000000" w:themeColor="text1"/>
                <w:highlight w:val="none"/>
                <w14:textFill>
                  <w14:solidFill>
                    <w14:schemeClr w14:val="tx1"/>
                  </w14:solidFill>
                </w14:textFill>
              </w:rPr>
            </w:pPr>
          </w:p>
        </w:tc>
        <w:tc>
          <w:tcPr>
            <w:tcW w:w="2357" w:type="dxa"/>
          </w:tcPr>
          <w:p w14:paraId="488A6504">
            <w:pPr>
              <w:rPr>
                <w:color w:val="000000" w:themeColor="text1"/>
                <w:highlight w:val="none"/>
                <w14:textFill>
                  <w14:solidFill>
                    <w14:schemeClr w14:val="tx1"/>
                  </w14:solidFill>
                </w14:textFill>
              </w:rPr>
            </w:pPr>
          </w:p>
        </w:tc>
        <w:tc>
          <w:tcPr>
            <w:tcW w:w="2356" w:type="dxa"/>
          </w:tcPr>
          <w:p w14:paraId="0481618E">
            <w:pPr>
              <w:rPr>
                <w:color w:val="000000" w:themeColor="text1"/>
                <w:highlight w:val="none"/>
                <w14:textFill>
                  <w14:solidFill>
                    <w14:schemeClr w14:val="tx1"/>
                  </w14:solidFill>
                </w14:textFill>
              </w:rPr>
            </w:pPr>
          </w:p>
        </w:tc>
        <w:tc>
          <w:tcPr>
            <w:tcW w:w="2136" w:type="dxa"/>
          </w:tcPr>
          <w:p w14:paraId="16B0D2A9">
            <w:pPr>
              <w:rPr>
                <w:color w:val="000000" w:themeColor="text1"/>
                <w:highlight w:val="none"/>
                <w14:textFill>
                  <w14:solidFill>
                    <w14:schemeClr w14:val="tx1"/>
                  </w14:solidFill>
                </w14:textFill>
              </w:rPr>
            </w:pPr>
          </w:p>
        </w:tc>
      </w:tr>
      <w:tr w14:paraId="1C8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5AA599E8">
            <w:pPr>
              <w:rPr>
                <w:color w:val="000000" w:themeColor="text1"/>
                <w:highlight w:val="none"/>
                <w14:textFill>
                  <w14:solidFill>
                    <w14:schemeClr w14:val="tx1"/>
                  </w14:solidFill>
                </w14:textFill>
              </w:rPr>
            </w:pPr>
          </w:p>
        </w:tc>
        <w:tc>
          <w:tcPr>
            <w:tcW w:w="2357" w:type="dxa"/>
          </w:tcPr>
          <w:p w14:paraId="62167DC5">
            <w:pPr>
              <w:rPr>
                <w:color w:val="000000" w:themeColor="text1"/>
                <w:highlight w:val="none"/>
                <w14:textFill>
                  <w14:solidFill>
                    <w14:schemeClr w14:val="tx1"/>
                  </w14:solidFill>
                </w14:textFill>
              </w:rPr>
            </w:pPr>
          </w:p>
        </w:tc>
        <w:tc>
          <w:tcPr>
            <w:tcW w:w="2356" w:type="dxa"/>
          </w:tcPr>
          <w:p w14:paraId="0DAB37FF">
            <w:pPr>
              <w:rPr>
                <w:color w:val="000000" w:themeColor="text1"/>
                <w:highlight w:val="none"/>
                <w14:textFill>
                  <w14:solidFill>
                    <w14:schemeClr w14:val="tx1"/>
                  </w14:solidFill>
                </w14:textFill>
              </w:rPr>
            </w:pPr>
          </w:p>
        </w:tc>
        <w:tc>
          <w:tcPr>
            <w:tcW w:w="2136" w:type="dxa"/>
          </w:tcPr>
          <w:p w14:paraId="2475CDD2">
            <w:pPr>
              <w:rPr>
                <w:color w:val="000000" w:themeColor="text1"/>
                <w:highlight w:val="none"/>
                <w14:textFill>
                  <w14:solidFill>
                    <w14:schemeClr w14:val="tx1"/>
                  </w14:solidFill>
                </w14:textFill>
              </w:rPr>
            </w:pPr>
          </w:p>
        </w:tc>
      </w:tr>
      <w:tr w14:paraId="6438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AA6EEFE">
            <w:pPr>
              <w:rPr>
                <w:color w:val="000000" w:themeColor="text1"/>
                <w:highlight w:val="none"/>
                <w14:textFill>
                  <w14:solidFill>
                    <w14:schemeClr w14:val="tx1"/>
                  </w14:solidFill>
                </w14:textFill>
              </w:rPr>
            </w:pPr>
          </w:p>
        </w:tc>
        <w:tc>
          <w:tcPr>
            <w:tcW w:w="2357" w:type="dxa"/>
          </w:tcPr>
          <w:p w14:paraId="4A606D64">
            <w:pPr>
              <w:rPr>
                <w:color w:val="000000" w:themeColor="text1"/>
                <w:highlight w:val="none"/>
                <w14:textFill>
                  <w14:solidFill>
                    <w14:schemeClr w14:val="tx1"/>
                  </w14:solidFill>
                </w14:textFill>
              </w:rPr>
            </w:pPr>
          </w:p>
        </w:tc>
        <w:tc>
          <w:tcPr>
            <w:tcW w:w="2356" w:type="dxa"/>
          </w:tcPr>
          <w:p w14:paraId="7EBD4394">
            <w:pPr>
              <w:rPr>
                <w:color w:val="000000" w:themeColor="text1"/>
                <w:highlight w:val="none"/>
                <w14:textFill>
                  <w14:solidFill>
                    <w14:schemeClr w14:val="tx1"/>
                  </w14:solidFill>
                </w14:textFill>
              </w:rPr>
            </w:pPr>
          </w:p>
        </w:tc>
        <w:tc>
          <w:tcPr>
            <w:tcW w:w="2136" w:type="dxa"/>
          </w:tcPr>
          <w:p w14:paraId="251BE939">
            <w:pPr>
              <w:rPr>
                <w:color w:val="000000" w:themeColor="text1"/>
                <w:highlight w:val="none"/>
                <w14:textFill>
                  <w14:solidFill>
                    <w14:schemeClr w14:val="tx1"/>
                  </w14:solidFill>
                </w14:textFill>
              </w:rPr>
            </w:pPr>
          </w:p>
        </w:tc>
      </w:tr>
    </w:tbl>
    <w:p w14:paraId="47693020">
      <w:pPr>
        <w:spacing w:line="360" w:lineRule="auto"/>
        <w:ind w:firstLine="880" w:firstLineChars="200"/>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AF194EE">
      <w:pPr>
        <w:spacing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063BEC5">
      <w:pPr>
        <w:spacing w:line="360" w:lineRule="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 xml:space="preserve"> </w:t>
      </w:r>
    </w:p>
    <w:p w14:paraId="280E288B">
      <w:pPr>
        <w:spacing w:line="360" w:lineRule="auto"/>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 xml:space="preserve"> </w:t>
      </w:r>
    </w:p>
    <w:p w14:paraId="5730BB89">
      <w:pPr>
        <w:adjustRightInd w:val="0"/>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bookmarkStart w:id="183" w:name="OLE_LINK28"/>
      <w:bookmarkStart w:id="184" w:name="OLE_LINK27"/>
      <w:r>
        <w:rPr>
          <w:rFonts w:hint="eastAsia" w:ascii="宋体" w:hAnsi="宋体" w:cs="方正小标宋简体"/>
          <w:b/>
          <w:bCs/>
          <w:color w:val="000000" w:themeColor="text1"/>
          <w:sz w:val="32"/>
          <w:szCs w:val="32"/>
          <w:highlight w:val="none"/>
          <w14:textFill>
            <w14:solidFill>
              <w14:schemeClr w14:val="tx1"/>
            </w14:solidFill>
          </w14:textFill>
        </w:rPr>
        <w:t>项目管理机构配备情况表及主要人员简历表</w:t>
      </w:r>
      <w:bookmarkEnd w:id="183"/>
      <w:bookmarkEnd w:id="184"/>
    </w:p>
    <w:p w14:paraId="70294EC7">
      <w:pPr>
        <w:snapToGrid w:val="0"/>
        <w:spacing w:beforeLines="50" w:after="50"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（一）项目管理机构配备情况表</w:t>
      </w:r>
    </w:p>
    <w:p w14:paraId="52B91E2B">
      <w:pPr>
        <w:pStyle w:val="25"/>
        <w:spacing w:line="360" w:lineRule="auto"/>
        <w:contextualSpacing/>
        <w:rPr>
          <w:color w:val="000000" w:themeColor="text1"/>
          <w:sz w:val="24"/>
          <w:szCs w:val="24"/>
          <w:highlight w:val="none"/>
          <w14:textFill>
            <w14:solidFill>
              <w14:schemeClr w14:val="tx1"/>
            </w14:solidFill>
          </w14:textFill>
        </w:rPr>
      </w:pPr>
      <w:r>
        <w:rPr>
          <w:rFonts w:hint="eastAsia" w:hAnsi="宋体" w:cs="仿宋_GB2312"/>
          <w:color w:val="000000" w:themeColor="text1"/>
          <w:sz w:val="24"/>
          <w:highlight w:val="none"/>
          <w14:textFill>
            <w14:solidFill>
              <w14:schemeClr w14:val="tx1"/>
            </w14:solidFill>
          </w14:textFill>
        </w:rPr>
        <w:t>分标（如有）</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tbl>
      <w:tblPr>
        <w:tblStyle w:val="43"/>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CA6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2FA09016">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岗位</w:t>
            </w:r>
          </w:p>
        </w:tc>
        <w:tc>
          <w:tcPr>
            <w:tcW w:w="670" w:type="dxa"/>
            <w:vMerge w:val="restart"/>
            <w:vAlign w:val="center"/>
          </w:tcPr>
          <w:p w14:paraId="499ED81C">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829" w:type="dxa"/>
            <w:vMerge w:val="restart"/>
            <w:vAlign w:val="center"/>
          </w:tcPr>
          <w:p w14:paraId="1ED306F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身份证号</w:t>
            </w:r>
          </w:p>
        </w:tc>
        <w:tc>
          <w:tcPr>
            <w:tcW w:w="816" w:type="dxa"/>
            <w:vMerge w:val="restart"/>
            <w:vAlign w:val="center"/>
          </w:tcPr>
          <w:p w14:paraId="45E57292">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职称</w:t>
            </w:r>
          </w:p>
        </w:tc>
        <w:tc>
          <w:tcPr>
            <w:tcW w:w="4188" w:type="dxa"/>
            <w:gridSpan w:val="4"/>
            <w:vAlign w:val="center"/>
          </w:tcPr>
          <w:p w14:paraId="0BD36D0A">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执业或职业资格</w:t>
            </w:r>
          </w:p>
        </w:tc>
        <w:tc>
          <w:tcPr>
            <w:tcW w:w="2443" w:type="dxa"/>
            <w:gridSpan w:val="2"/>
            <w:vAlign w:val="center"/>
          </w:tcPr>
          <w:p w14:paraId="5956BF42">
            <w:pPr>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承担完工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在建工程情况</w:t>
            </w:r>
          </w:p>
        </w:tc>
      </w:tr>
      <w:tr w14:paraId="304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82C7A67">
            <w:pPr>
              <w:ind w:left="223" w:hanging="222" w:hangingChars="106"/>
              <w:jc w:val="center"/>
              <w:rPr>
                <w:color w:val="000000" w:themeColor="text1"/>
                <w:highlight w:val="none"/>
                <w14:textFill>
                  <w14:solidFill>
                    <w14:schemeClr w14:val="tx1"/>
                  </w14:solidFill>
                </w14:textFill>
              </w:rPr>
            </w:pPr>
          </w:p>
        </w:tc>
        <w:tc>
          <w:tcPr>
            <w:tcW w:w="670" w:type="dxa"/>
            <w:vMerge w:val="continue"/>
            <w:vAlign w:val="center"/>
          </w:tcPr>
          <w:p w14:paraId="0E92F55A">
            <w:pPr>
              <w:ind w:left="223" w:hanging="222" w:hangingChars="106"/>
              <w:jc w:val="center"/>
              <w:rPr>
                <w:color w:val="000000" w:themeColor="text1"/>
                <w:highlight w:val="none"/>
                <w14:textFill>
                  <w14:solidFill>
                    <w14:schemeClr w14:val="tx1"/>
                  </w14:solidFill>
                </w14:textFill>
              </w:rPr>
            </w:pPr>
          </w:p>
        </w:tc>
        <w:tc>
          <w:tcPr>
            <w:tcW w:w="829" w:type="dxa"/>
            <w:vMerge w:val="continue"/>
            <w:vAlign w:val="center"/>
          </w:tcPr>
          <w:p w14:paraId="1D376984">
            <w:pPr>
              <w:ind w:left="223" w:hanging="222" w:hangingChars="106"/>
              <w:jc w:val="center"/>
              <w:rPr>
                <w:color w:val="000000" w:themeColor="text1"/>
                <w:highlight w:val="none"/>
                <w14:textFill>
                  <w14:solidFill>
                    <w14:schemeClr w14:val="tx1"/>
                  </w14:solidFill>
                </w14:textFill>
              </w:rPr>
            </w:pPr>
          </w:p>
        </w:tc>
        <w:tc>
          <w:tcPr>
            <w:tcW w:w="816" w:type="dxa"/>
            <w:vMerge w:val="continue"/>
            <w:vAlign w:val="center"/>
          </w:tcPr>
          <w:p w14:paraId="20D733F0">
            <w:pPr>
              <w:ind w:left="223" w:hanging="222" w:hangingChars="106"/>
              <w:jc w:val="center"/>
              <w:rPr>
                <w:color w:val="000000" w:themeColor="text1"/>
                <w:highlight w:val="none"/>
                <w14:textFill>
                  <w14:solidFill>
                    <w14:schemeClr w14:val="tx1"/>
                  </w14:solidFill>
                </w14:textFill>
              </w:rPr>
            </w:pPr>
          </w:p>
        </w:tc>
        <w:tc>
          <w:tcPr>
            <w:tcW w:w="1148" w:type="dxa"/>
            <w:vAlign w:val="center"/>
          </w:tcPr>
          <w:p w14:paraId="4F997540">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证书名称</w:t>
            </w:r>
          </w:p>
        </w:tc>
        <w:tc>
          <w:tcPr>
            <w:tcW w:w="1148" w:type="dxa"/>
            <w:vAlign w:val="center"/>
          </w:tcPr>
          <w:p w14:paraId="5724E2B3">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148" w:type="dxa"/>
            <w:vAlign w:val="center"/>
          </w:tcPr>
          <w:p w14:paraId="679FB4C5">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证号</w:t>
            </w:r>
          </w:p>
        </w:tc>
        <w:tc>
          <w:tcPr>
            <w:tcW w:w="744" w:type="dxa"/>
            <w:vAlign w:val="center"/>
          </w:tcPr>
          <w:p w14:paraId="7738D034">
            <w:pPr>
              <w:ind w:left="223" w:hanging="222" w:hangingChars="10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专业</w:t>
            </w:r>
          </w:p>
        </w:tc>
        <w:tc>
          <w:tcPr>
            <w:tcW w:w="1167" w:type="dxa"/>
            <w:vAlign w:val="center"/>
          </w:tcPr>
          <w:p w14:paraId="6F8B76A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完工/在建</w:t>
            </w:r>
          </w:p>
        </w:tc>
        <w:tc>
          <w:tcPr>
            <w:tcW w:w="1276" w:type="dxa"/>
            <w:vAlign w:val="center"/>
          </w:tcPr>
          <w:p w14:paraId="534CA579">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主要项目</w:t>
            </w:r>
          </w:p>
          <w:p w14:paraId="415E6242">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r>
      <w:tr w14:paraId="13A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395744">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1.</w:t>
            </w:r>
            <w:r>
              <w:rPr>
                <w:color w:val="000000" w:themeColor="text1"/>
                <w:sz w:val="21"/>
                <w:szCs w:val="21"/>
                <w:highlight w:val="none"/>
                <w14:textFill>
                  <w14:solidFill>
                    <w14:schemeClr w14:val="tx1"/>
                  </w14:solidFill>
                </w14:textFill>
              </w:rPr>
              <w:t>项目经理</w:t>
            </w:r>
          </w:p>
        </w:tc>
        <w:tc>
          <w:tcPr>
            <w:tcW w:w="670" w:type="dxa"/>
            <w:vAlign w:val="center"/>
          </w:tcPr>
          <w:p w14:paraId="11869C07">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3A04EB30">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ABC9CC1">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99921B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C8426A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6D2132DC">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460A67C0">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49098D37">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4ED7AA32">
            <w:pPr>
              <w:ind w:left="223" w:hanging="222" w:hangingChars="106"/>
              <w:jc w:val="center"/>
              <w:rPr>
                <w:color w:val="000000" w:themeColor="text1"/>
                <w:szCs w:val="21"/>
                <w:highlight w:val="none"/>
                <w14:textFill>
                  <w14:solidFill>
                    <w14:schemeClr w14:val="tx1"/>
                  </w14:solidFill>
                </w14:textFill>
              </w:rPr>
            </w:pPr>
          </w:p>
        </w:tc>
      </w:tr>
      <w:tr w14:paraId="723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2D6E8A5">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bidi="en-US"/>
                <w14:textFill>
                  <w14:solidFill>
                    <w14:schemeClr w14:val="tx1"/>
                  </w14:solidFill>
                </w14:textFill>
              </w:rPr>
              <w:t>2.</w:t>
            </w:r>
            <w:r>
              <w:rPr>
                <w:color w:val="000000" w:themeColor="text1"/>
                <w:sz w:val="21"/>
                <w:szCs w:val="21"/>
                <w:highlight w:val="none"/>
                <w14:textFill>
                  <w14:solidFill>
                    <w14:schemeClr w14:val="tx1"/>
                  </w14:solidFill>
                </w14:textFill>
              </w:rPr>
              <w:t>技术负责人</w:t>
            </w:r>
            <w:r>
              <w:rPr>
                <w:rFonts w:hint="eastAsia"/>
                <w:color w:val="000000" w:themeColor="text1"/>
                <w:sz w:val="21"/>
                <w:szCs w:val="21"/>
                <w:highlight w:val="none"/>
                <w14:textFill>
                  <w14:solidFill>
                    <w14:schemeClr w14:val="tx1"/>
                  </w14:solidFill>
                </w14:textFill>
              </w:rPr>
              <w:t>（项目总工）</w:t>
            </w:r>
          </w:p>
        </w:tc>
        <w:tc>
          <w:tcPr>
            <w:tcW w:w="670" w:type="dxa"/>
            <w:vAlign w:val="center"/>
          </w:tcPr>
          <w:p w14:paraId="71AAA064">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1BD5CD14">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00E0EC98">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6716F7BE">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7606552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0ED5605B">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6D6C6F1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474BDF4B">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670D389A">
            <w:pPr>
              <w:ind w:left="223" w:hanging="222" w:hangingChars="106"/>
              <w:jc w:val="center"/>
              <w:rPr>
                <w:color w:val="000000" w:themeColor="text1"/>
                <w:szCs w:val="21"/>
                <w:highlight w:val="none"/>
                <w14:textFill>
                  <w14:solidFill>
                    <w14:schemeClr w14:val="tx1"/>
                  </w14:solidFill>
                </w14:textFill>
              </w:rPr>
            </w:pPr>
          </w:p>
        </w:tc>
      </w:tr>
      <w:tr w14:paraId="49FD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35CE9BA">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 xml:space="preserve"> 施工员</w:t>
            </w:r>
          </w:p>
        </w:tc>
        <w:tc>
          <w:tcPr>
            <w:tcW w:w="670" w:type="dxa"/>
            <w:vAlign w:val="center"/>
          </w:tcPr>
          <w:p w14:paraId="0321EE32">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7579EBD9">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701E3230">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3DDD106">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23AF8D55">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3DC3B5D">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61E1EA3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50998631">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5FE9EFAF">
            <w:pPr>
              <w:ind w:left="223" w:hanging="222" w:hangingChars="106"/>
              <w:jc w:val="center"/>
              <w:rPr>
                <w:color w:val="000000" w:themeColor="text1"/>
                <w:szCs w:val="21"/>
                <w:highlight w:val="none"/>
                <w14:textFill>
                  <w14:solidFill>
                    <w14:schemeClr w14:val="tx1"/>
                  </w14:solidFill>
                </w14:textFill>
              </w:rPr>
            </w:pPr>
          </w:p>
        </w:tc>
      </w:tr>
      <w:tr w14:paraId="269F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122B447">
            <w:pPr>
              <w:pStyle w:val="183"/>
              <w:spacing w:line="240" w:lineRule="auto"/>
              <w:ind w:firstLine="0"/>
              <w:rPr>
                <w:color w:val="000000" w:themeColor="text1"/>
                <w:sz w:val="21"/>
                <w:szCs w:val="21"/>
                <w:highlight w:val="none"/>
                <w14:textFill>
                  <w14:solidFill>
                    <w14:schemeClr w14:val="tx1"/>
                  </w14:solidFill>
                </w14:textFill>
              </w:rPr>
            </w:pPr>
            <w:r>
              <w:rPr>
                <w:rFonts w:ascii="Times New Roman" w:hAnsi="Times New Roman" w:eastAsia="Times New Roman" w:cs="Times New Roman"/>
                <w:color w:val="000000" w:themeColor="text1"/>
                <w:sz w:val="21"/>
                <w:szCs w:val="21"/>
                <w:highlight w:val="none"/>
                <w:lang w:val="en-US" w:eastAsia="en-US" w:bidi="en-US"/>
                <w14:textFill>
                  <w14:solidFill>
                    <w14:schemeClr w14:val="tx1"/>
                  </w14:solidFill>
                </w14:textFill>
              </w:rPr>
              <w:t>4.</w:t>
            </w:r>
            <w:r>
              <w:rPr>
                <w:color w:val="000000" w:themeColor="text1"/>
                <w:sz w:val="21"/>
                <w:szCs w:val="21"/>
                <w:highlight w:val="none"/>
                <w14:textFill>
                  <w14:solidFill>
                    <w14:schemeClr w14:val="tx1"/>
                  </w14:solidFill>
                </w14:textFill>
              </w:rPr>
              <w:t>安全员</w:t>
            </w:r>
          </w:p>
        </w:tc>
        <w:tc>
          <w:tcPr>
            <w:tcW w:w="670" w:type="dxa"/>
            <w:vAlign w:val="center"/>
          </w:tcPr>
          <w:p w14:paraId="6C2A5AFA">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21831085">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1DB9A7C">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26AD301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9958EDB">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C8D742C">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3754C47E">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3D85EFC2">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0C3CF46C">
            <w:pPr>
              <w:ind w:left="223" w:hanging="222" w:hangingChars="106"/>
              <w:jc w:val="center"/>
              <w:rPr>
                <w:color w:val="000000" w:themeColor="text1"/>
                <w:szCs w:val="21"/>
                <w:highlight w:val="none"/>
                <w14:textFill>
                  <w14:solidFill>
                    <w14:schemeClr w14:val="tx1"/>
                  </w14:solidFill>
                </w14:textFill>
              </w:rPr>
            </w:pPr>
          </w:p>
        </w:tc>
      </w:tr>
      <w:tr w14:paraId="4B12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4DA0BF6">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 xml:space="preserve"> 质量员</w:t>
            </w:r>
          </w:p>
        </w:tc>
        <w:tc>
          <w:tcPr>
            <w:tcW w:w="670" w:type="dxa"/>
            <w:vAlign w:val="center"/>
          </w:tcPr>
          <w:p w14:paraId="503AA978">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379BBE08">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1FA30998">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2C3583A">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35269DD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9D85632">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7E5487FF">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65CE3CA0">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3A772242">
            <w:pPr>
              <w:ind w:left="223" w:hanging="222" w:hangingChars="106"/>
              <w:jc w:val="center"/>
              <w:rPr>
                <w:color w:val="000000" w:themeColor="text1"/>
                <w:szCs w:val="21"/>
                <w:highlight w:val="none"/>
                <w14:textFill>
                  <w14:solidFill>
                    <w14:schemeClr w14:val="tx1"/>
                  </w14:solidFill>
                </w14:textFill>
              </w:rPr>
            </w:pPr>
          </w:p>
        </w:tc>
      </w:tr>
      <w:tr w14:paraId="675A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BDB118C">
            <w:pPr>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6.材料员</w:t>
            </w:r>
          </w:p>
        </w:tc>
        <w:tc>
          <w:tcPr>
            <w:tcW w:w="670" w:type="dxa"/>
            <w:vAlign w:val="center"/>
          </w:tcPr>
          <w:p w14:paraId="27A85A8A">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2B29A270">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5435BB40">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42935929">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43392BF1">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86F1D0F">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5C1F3C74">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0DFA87AA">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6DFE6F88">
            <w:pPr>
              <w:ind w:left="223" w:hanging="222" w:hangingChars="106"/>
              <w:jc w:val="center"/>
              <w:rPr>
                <w:color w:val="000000" w:themeColor="text1"/>
                <w:szCs w:val="21"/>
                <w:highlight w:val="none"/>
                <w14:textFill>
                  <w14:solidFill>
                    <w14:schemeClr w14:val="tx1"/>
                  </w14:solidFill>
                </w14:textFill>
              </w:rPr>
            </w:pPr>
          </w:p>
        </w:tc>
      </w:tr>
      <w:tr w14:paraId="311D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AFECEC">
            <w:pPr>
              <w:ind w:left="223" w:hanging="222" w:hangingChars="106"/>
              <w:jc w:val="center"/>
              <w:rPr>
                <w:color w:val="000000" w:themeColor="text1"/>
                <w:szCs w:val="21"/>
                <w:highlight w:val="none"/>
                <w14:textFill>
                  <w14:solidFill>
                    <w14:schemeClr w14:val="tx1"/>
                  </w14:solidFill>
                </w14:textFill>
              </w:rPr>
            </w:pPr>
          </w:p>
        </w:tc>
        <w:tc>
          <w:tcPr>
            <w:tcW w:w="670" w:type="dxa"/>
            <w:vAlign w:val="center"/>
          </w:tcPr>
          <w:p w14:paraId="6116C7AB">
            <w:pPr>
              <w:ind w:left="223" w:hanging="222" w:hangingChars="106"/>
              <w:jc w:val="center"/>
              <w:rPr>
                <w:color w:val="000000" w:themeColor="text1"/>
                <w:szCs w:val="21"/>
                <w:highlight w:val="none"/>
                <w14:textFill>
                  <w14:solidFill>
                    <w14:schemeClr w14:val="tx1"/>
                  </w14:solidFill>
                </w14:textFill>
              </w:rPr>
            </w:pPr>
          </w:p>
        </w:tc>
        <w:tc>
          <w:tcPr>
            <w:tcW w:w="829" w:type="dxa"/>
            <w:vAlign w:val="center"/>
          </w:tcPr>
          <w:p w14:paraId="60F7FE04">
            <w:pPr>
              <w:ind w:left="223" w:hanging="222" w:hangingChars="106"/>
              <w:jc w:val="center"/>
              <w:rPr>
                <w:color w:val="000000" w:themeColor="text1"/>
                <w:szCs w:val="21"/>
                <w:highlight w:val="none"/>
                <w14:textFill>
                  <w14:solidFill>
                    <w14:schemeClr w14:val="tx1"/>
                  </w14:solidFill>
                </w14:textFill>
              </w:rPr>
            </w:pPr>
          </w:p>
        </w:tc>
        <w:tc>
          <w:tcPr>
            <w:tcW w:w="816" w:type="dxa"/>
            <w:vAlign w:val="center"/>
          </w:tcPr>
          <w:p w14:paraId="397DF857">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79DC1B3C">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583F5039">
            <w:pPr>
              <w:ind w:left="223" w:hanging="222" w:hangingChars="106"/>
              <w:jc w:val="center"/>
              <w:rPr>
                <w:color w:val="000000" w:themeColor="text1"/>
                <w:szCs w:val="21"/>
                <w:highlight w:val="none"/>
                <w14:textFill>
                  <w14:solidFill>
                    <w14:schemeClr w14:val="tx1"/>
                  </w14:solidFill>
                </w14:textFill>
              </w:rPr>
            </w:pPr>
          </w:p>
        </w:tc>
        <w:tc>
          <w:tcPr>
            <w:tcW w:w="1148" w:type="dxa"/>
            <w:vAlign w:val="center"/>
          </w:tcPr>
          <w:p w14:paraId="1B9CCB8B">
            <w:pPr>
              <w:ind w:left="223" w:hanging="222" w:hangingChars="106"/>
              <w:jc w:val="center"/>
              <w:rPr>
                <w:color w:val="000000" w:themeColor="text1"/>
                <w:szCs w:val="21"/>
                <w:highlight w:val="none"/>
                <w14:textFill>
                  <w14:solidFill>
                    <w14:schemeClr w14:val="tx1"/>
                  </w14:solidFill>
                </w14:textFill>
              </w:rPr>
            </w:pPr>
          </w:p>
        </w:tc>
        <w:tc>
          <w:tcPr>
            <w:tcW w:w="744" w:type="dxa"/>
            <w:vAlign w:val="center"/>
          </w:tcPr>
          <w:p w14:paraId="15D4AA70">
            <w:pPr>
              <w:ind w:left="223" w:hanging="222" w:hangingChars="106"/>
              <w:jc w:val="center"/>
              <w:rPr>
                <w:color w:val="000000" w:themeColor="text1"/>
                <w:szCs w:val="21"/>
                <w:highlight w:val="none"/>
                <w14:textFill>
                  <w14:solidFill>
                    <w14:schemeClr w14:val="tx1"/>
                  </w14:solidFill>
                </w14:textFill>
              </w:rPr>
            </w:pPr>
          </w:p>
        </w:tc>
        <w:tc>
          <w:tcPr>
            <w:tcW w:w="1167" w:type="dxa"/>
            <w:vAlign w:val="center"/>
          </w:tcPr>
          <w:p w14:paraId="241E2BAB">
            <w:pPr>
              <w:ind w:left="223" w:hanging="222" w:hangingChars="106"/>
              <w:jc w:val="center"/>
              <w:rPr>
                <w:color w:val="000000" w:themeColor="text1"/>
                <w:szCs w:val="21"/>
                <w:highlight w:val="none"/>
                <w14:textFill>
                  <w14:solidFill>
                    <w14:schemeClr w14:val="tx1"/>
                  </w14:solidFill>
                </w14:textFill>
              </w:rPr>
            </w:pPr>
          </w:p>
        </w:tc>
        <w:tc>
          <w:tcPr>
            <w:tcW w:w="1276" w:type="dxa"/>
            <w:vAlign w:val="center"/>
          </w:tcPr>
          <w:p w14:paraId="5E48328F">
            <w:pPr>
              <w:ind w:left="223" w:hanging="222" w:hangingChars="106"/>
              <w:jc w:val="center"/>
              <w:rPr>
                <w:color w:val="000000" w:themeColor="text1"/>
                <w:szCs w:val="21"/>
                <w:highlight w:val="none"/>
                <w14:textFill>
                  <w14:solidFill>
                    <w14:schemeClr w14:val="tx1"/>
                  </w14:solidFill>
                </w14:textFill>
              </w:rPr>
            </w:pPr>
          </w:p>
        </w:tc>
      </w:tr>
      <w:tr w14:paraId="06A5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695FFB45">
            <w:pPr>
              <w:spacing w:line="360" w:lineRule="auto"/>
              <w:ind w:left="223" w:hanging="222" w:hangingChars="106"/>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0516A46E">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备注：</w:t>
      </w:r>
    </w:p>
    <w:p w14:paraId="4AE20CCA">
      <w:pPr>
        <w:spacing w:line="360" w:lineRule="auto"/>
        <w:ind w:firstLine="48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本表所列岗位的所有管理人员的情况均应如实填写。可按以上格式扩展为多页填写。</w:t>
      </w:r>
    </w:p>
    <w:p w14:paraId="035FB088">
      <w:pPr>
        <w:spacing w:line="360" w:lineRule="auto"/>
        <w:ind w:firstLine="48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供应商应当在本表后附所有管理人员的身份证、职称证、执业或职业资格证书的复印件并加盖供应商电子签章。</w:t>
      </w:r>
    </w:p>
    <w:p w14:paraId="291EFA7A">
      <w:pPr>
        <w:spacing w:line="360" w:lineRule="auto"/>
        <w:ind w:firstLine="480" w:firstLineChars="200"/>
        <w:contextualSpacing/>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0DBFA2F2">
      <w:pPr>
        <w:spacing w:line="360" w:lineRule="auto"/>
        <w:ind w:firstLine="560" w:firstLineChars="200"/>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3125B70B">
      <w:pPr>
        <w:spacing w:line="360" w:lineRule="auto"/>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（二）拟投入的主要人员简历表</w:t>
      </w:r>
    </w:p>
    <w:p w14:paraId="284A2FEC">
      <w:pPr>
        <w:spacing w:line="360" w:lineRule="auto"/>
        <w:ind w:firstLine="562" w:firstLineChars="200"/>
        <w:jc w:val="center"/>
        <w:rPr>
          <w:color w:val="000000" w:themeColor="text1"/>
          <w:sz w:val="28"/>
          <w:szCs w:val="28"/>
          <w:highlight w:val="none"/>
          <w:u w:val="singl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项目经理简历表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6C31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5412CD98">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18" w:type="dxa"/>
            <w:gridSpan w:val="5"/>
            <w:vAlign w:val="center"/>
          </w:tcPr>
          <w:p w14:paraId="255EF565">
            <w:pPr>
              <w:jc w:val="center"/>
              <w:rPr>
                <w:color w:val="000000" w:themeColor="text1"/>
                <w:highlight w:val="none"/>
                <w14:textFill>
                  <w14:solidFill>
                    <w14:schemeClr w14:val="tx1"/>
                  </w14:solidFill>
                </w14:textFill>
              </w:rPr>
            </w:pPr>
          </w:p>
        </w:tc>
        <w:tc>
          <w:tcPr>
            <w:tcW w:w="1893" w:type="dxa"/>
            <w:gridSpan w:val="5"/>
            <w:vAlign w:val="center"/>
          </w:tcPr>
          <w:p w14:paraId="28CEB1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173B53D3">
            <w:pPr>
              <w:jc w:val="center"/>
              <w:rPr>
                <w:color w:val="000000" w:themeColor="text1"/>
                <w:highlight w:val="none"/>
                <w14:textFill>
                  <w14:solidFill>
                    <w14:schemeClr w14:val="tx1"/>
                  </w14:solidFill>
                </w14:textFill>
              </w:rPr>
            </w:pPr>
          </w:p>
        </w:tc>
        <w:tc>
          <w:tcPr>
            <w:tcW w:w="1108" w:type="dxa"/>
            <w:vAlign w:val="center"/>
          </w:tcPr>
          <w:p w14:paraId="2AAF72A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0287419E">
            <w:pPr>
              <w:jc w:val="center"/>
              <w:rPr>
                <w:color w:val="000000" w:themeColor="text1"/>
                <w:highlight w:val="none"/>
                <w14:textFill>
                  <w14:solidFill>
                    <w14:schemeClr w14:val="tx1"/>
                  </w14:solidFill>
                </w14:textFill>
              </w:rPr>
            </w:pPr>
          </w:p>
        </w:tc>
      </w:tr>
      <w:tr w14:paraId="7168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79F3C80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18" w:type="dxa"/>
            <w:gridSpan w:val="5"/>
            <w:vAlign w:val="center"/>
          </w:tcPr>
          <w:p w14:paraId="20D2C90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项目经理</w:t>
            </w:r>
          </w:p>
        </w:tc>
        <w:tc>
          <w:tcPr>
            <w:tcW w:w="1893" w:type="dxa"/>
            <w:gridSpan w:val="5"/>
            <w:vAlign w:val="center"/>
          </w:tcPr>
          <w:p w14:paraId="210DEC6B">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6416218F">
            <w:pPr>
              <w:jc w:val="center"/>
              <w:rPr>
                <w:color w:val="000000" w:themeColor="text1"/>
                <w:highlight w:val="none"/>
                <w14:textFill>
                  <w14:solidFill>
                    <w14:schemeClr w14:val="tx1"/>
                  </w14:solidFill>
                </w14:textFill>
              </w:rPr>
            </w:pPr>
          </w:p>
        </w:tc>
        <w:tc>
          <w:tcPr>
            <w:tcW w:w="1108" w:type="dxa"/>
            <w:vAlign w:val="center"/>
          </w:tcPr>
          <w:p w14:paraId="24D5022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47914A6F">
            <w:pPr>
              <w:jc w:val="center"/>
              <w:rPr>
                <w:color w:val="000000" w:themeColor="text1"/>
                <w:highlight w:val="none"/>
                <w14:textFill>
                  <w14:solidFill>
                    <w14:schemeClr w14:val="tx1"/>
                  </w14:solidFill>
                </w14:textFill>
              </w:rPr>
            </w:pPr>
          </w:p>
        </w:tc>
      </w:tr>
      <w:tr w14:paraId="365F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48020D3C">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18" w:type="dxa"/>
            <w:gridSpan w:val="5"/>
            <w:vAlign w:val="center"/>
          </w:tcPr>
          <w:p w14:paraId="2A0E70ED">
            <w:pPr>
              <w:jc w:val="center"/>
              <w:rPr>
                <w:color w:val="000000" w:themeColor="text1"/>
                <w:highlight w:val="none"/>
                <w14:textFill>
                  <w14:solidFill>
                    <w14:schemeClr w14:val="tx1"/>
                  </w14:solidFill>
                </w14:textFill>
              </w:rPr>
            </w:pPr>
          </w:p>
        </w:tc>
        <w:tc>
          <w:tcPr>
            <w:tcW w:w="1893" w:type="dxa"/>
            <w:gridSpan w:val="5"/>
            <w:vAlign w:val="center"/>
          </w:tcPr>
          <w:p w14:paraId="74D1660B">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716738A7">
            <w:pPr>
              <w:jc w:val="center"/>
              <w:rPr>
                <w:color w:val="000000" w:themeColor="text1"/>
                <w:highlight w:val="none"/>
                <w14:textFill>
                  <w14:solidFill>
                    <w14:schemeClr w14:val="tx1"/>
                  </w14:solidFill>
                </w14:textFill>
              </w:rPr>
            </w:pPr>
          </w:p>
        </w:tc>
        <w:tc>
          <w:tcPr>
            <w:tcW w:w="1108" w:type="dxa"/>
            <w:vAlign w:val="center"/>
          </w:tcPr>
          <w:p w14:paraId="67FE8BE7">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75EEB4B1">
            <w:pPr>
              <w:jc w:val="center"/>
              <w:rPr>
                <w:color w:val="000000" w:themeColor="text1"/>
                <w:highlight w:val="none"/>
                <w14:textFill>
                  <w14:solidFill>
                    <w14:schemeClr w14:val="tx1"/>
                  </w14:solidFill>
                </w14:textFill>
              </w:rPr>
            </w:pPr>
          </w:p>
        </w:tc>
      </w:tr>
      <w:tr w14:paraId="28D7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2345D1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担任项目经理年限</w:t>
            </w:r>
          </w:p>
        </w:tc>
        <w:tc>
          <w:tcPr>
            <w:tcW w:w="2563" w:type="dxa"/>
            <w:gridSpan w:val="6"/>
            <w:vAlign w:val="center"/>
          </w:tcPr>
          <w:p w14:paraId="5BECC0BF">
            <w:pPr>
              <w:jc w:val="center"/>
              <w:rPr>
                <w:color w:val="000000" w:themeColor="text1"/>
                <w:highlight w:val="none"/>
                <w14:textFill>
                  <w14:solidFill>
                    <w14:schemeClr w14:val="tx1"/>
                  </w14:solidFill>
                </w14:textFill>
              </w:rPr>
            </w:pPr>
          </w:p>
        </w:tc>
        <w:tc>
          <w:tcPr>
            <w:tcW w:w="1209" w:type="dxa"/>
            <w:vAlign w:val="center"/>
          </w:tcPr>
          <w:p w14:paraId="55EB31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71C076EF">
            <w:pPr>
              <w:jc w:val="center"/>
              <w:rPr>
                <w:color w:val="000000" w:themeColor="text1"/>
                <w:highlight w:val="none"/>
                <w14:textFill>
                  <w14:solidFill>
                    <w14:schemeClr w14:val="tx1"/>
                  </w14:solidFill>
                </w14:textFill>
              </w:rPr>
            </w:pPr>
          </w:p>
        </w:tc>
      </w:tr>
      <w:tr w14:paraId="5F24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6B96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275" w:type="dxa"/>
            <w:gridSpan w:val="2"/>
            <w:vAlign w:val="center"/>
          </w:tcPr>
          <w:p w14:paraId="146D489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47ABA6FE">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05FFC4C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764195A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3CB48E9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58A748D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776A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C99437E">
            <w:pPr>
              <w:jc w:val="center"/>
              <w:rPr>
                <w:color w:val="000000" w:themeColor="text1"/>
                <w:highlight w:val="none"/>
                <w14:textFill>
                  <w14:solidFill>
                    <w14:schemeClr w14:val="tx1"/>
                  </w14:solidFill>
                </w14:textFill>
              </w:rPr>
            </w:pPr>
          </w:p>
        </w:tc>
        <w:tc>
          <w:tcPr>
            <w:tcW w:w="1275" w:type="dxa"/>
            <w:gridSpan w:val="2"/>
            <w:vAlign w:val="center"/>
          </w:tcPr>
          <w:p w14:paraId="40B287AB">
            <w:pPr>
              <w:jc w:val="center"/>
              <w:rPr>
                <w:color w:val="000000" w:themeColor="text1"/>
                <w:highlight w:val="none"/>
                <w14:textFill>
                  <w14:solidFill>
                    <w14:schemeClr w14:val="tx1"/>
                  </w14:solidFill>
                </w14:textFill>
              </w:rPr>
            </w:pPr>
          </w:p>
        </w:tc>
        <w:tc>
          <w:tcPr>
            <w:tcW w:w="1222" w:type="dxa"/>
            <w:gridSpan w:val="3"/>
            <w:vAlign w:val="center"/>
          </w:tcPr>
          <w:p w14:paraId="3B8388E5">
            <w:pPr>
              <w:jc w:val="center"/>
              <w:rPr>
                <w:rFonts w:cs="宋体"/>
                <w:color w:val="000000" w:themeColor="text1"/>
                <w:highlight w:val="none"/>
                <w14:textFill>
                  <w14:solidFill>
                    <w14:schemeClr w14:val="tx1"/>
                  </w14:solidFill>
                </w14:textFill>
              </w:rPr>
            </w:pPr>
          </w:p>
        </w:tc>
        <w:tc>
          <w:tcPr>
            <w:tcW w:w="1417" w:type="dxa"/>
            <w:gridSpan w:val="3"/>
            <w:vAlign w:val="center"/>
          </w:tcPr>
          <w:p w14:paraId="2D001141">
            <w:pPr>
              <w:jc w:val="center"/>
              <w:rPr>
                <w:color w:val="000000" w:themeColor="text1"/>
                <w:highlight w:val="none"/>
                <w14:textFill>
                  <w14:solidFill>
                    <w14:schemeClr w14:val="tx1"/>
                  </w14:solidFill>
                </w14:textFill>
              </w:rPr>
            </w:pPr>
          </w:p>
        </w:tc>
        <w:tc>
          <w:tcPr>
            <w:tcW w:w="1418" w:type="dxa"/>
            <w:gridSpan w:val="3"/>
            <w:vAlign w:val="center"/>
          </w:tcPr>
          <w:p w14:paraId="27253DF5">
            <w:pPr>
              <w:jc w:val="center"/>
              <w:rPr>
                <w:color w:val="000000" w:themeColor="text1"/>
                <w:highlight w:val="none"/>
                <w14:textFill>
                  <w14:solidFill>
                    <w14:schemeClr w14:val="tx1"/>
                  </w14:solidFill>
                </w14:textFill>
              </w:rPr>
            </w:pPr>
          </w:p>
        </w:tc>
        <w:tc>
          <w:tcPr>
            <w:tcW w:w="1632" w:type="dxa"/>
            <w:gridSpan w:val="4"/>
            <w:vAlign w:val="center"/>
          </w:tcPr>
          <w:p w14:paraId="03E559B4">
            <w:pPr>
              <w:jc w:val="center"/>
              <w:rPr>
                <w:color w:val="000000" w:themeColor="text1"/>
                <w:highlight w:val="none"/>
                <w14:textFill>
                  <w14:solidFill>
                    <w14:schemeClr w14:val="tx1"/>
                  </w14:solidFill>
                </w14:textFill>
              </w:rPr>
            </w:pPr>
          </w:p>
        </w:tc>
        <w:tc>
          <w:tcPr>
            <w:tcW w:w="1416" w:type="dxa"/>
            <w:gridSpan w:val="2"/>
            <w:vAlign w:val="center"/>
          </w:tcPr>
          <w:p w14:paraId="5BB33D9C">
            <w:pPr>
              <w:jc w:val="center"/>
              <w:rPr>
                <w:color w:val="000000" w:themeColor="text1"/>
                <w:highlight w:val="none"/>
                <w14:textFill>
                  <w14:solidFill>
                    <w14:schemeClr w14:val="tx1"/>
                  </w14:solidFill>
                </w14:textFill>
              </w:rPr>
            </w:pPr>
          </w:p>
        </w:tc>
      </w:tr>
      <w:tr w14:paraId="7735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6E9E5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275" w:type="dxa"/>
            <w:gridSpan w:val="2"/>
            <w:vAlign w:val="center"/>
          </w:tcPr>
          <w:p w14:paraId="084592A0">
            <w:pPr>
              <w:jc w:val="center"/>
              <w:rPr>
                <w:color w:val="000000" w:themeColor="text1"/>
                <w:highlight w:val="none"/>
                <w14:textFill>
                  <w14:solidFill>
                    <w14:schemeClr w14:val="tx1"/>
                  </w14:solidFill>
                </w14:textFill>
              </w:rPr>
            </w:pPr>
          </w:p>
        </w:tc>
        <w:tc>
          <w:tcPr>
            <w:tcW w:w="1222" w:type="dxa"/>
            <w:gridSpan w:val="3"/>
            <w:vAlign w:val="center"/>
          </w:tcPr>
          <w:p w14:paraId="369CF3E1">
            <w:pPr>
              <w:jc w:val="center"/>
              <w:rPr>
                <w:rFonts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B类</w:t>
            </w:r>
          </w:p>
        </w:tc>
        <w:tc>
          <w:tcPr>
            <w:tcW w:w="1417" w:type="dxa"/>
            <w:gridSpan w:val="3"/>
            <w:vAlign w:val="center"/>
          </w:tcPr>
          <w:p w14:paraId="111503F5">
            <w:pPr>
              <w:jc w:val="center"/>
              <w:rPr>
                <w:color w:val="000000" w:themeColor="text1"/>
                <w:highlight w:val="none"/>
                <w14:textFill>
                  <w14:solidFill>
                    <w14:schemeClr w14:val="tx1"/>
                  </w14:solidFill>
                </w14:textFill>
              </w:rPr>
            </w:pPr>
          </w:p>
        </w:tc>
        <w:tc>
          <w:tcPr>
            <w:tcW w:w="1418" w:type="dxa"/>
            <w:gridSpan w:val="3"/>
            <w:vAlign w:val="center"/>
          </w:tcPr>
          <w:p w14:paraId="69C40288">
            <w:pPr>
              <w:jc w:val="center"/>
              <w:rPr>
                <w:color w:val="000000" w:themeColor="text1"/>
                <w:highlight w:val="none"/>
                <w14:textFill>
                  <w14:solidFill>
                    <w14:schemeClr w14:val="tx1"/>
                  </w14:solidFill>
                </w14:textFill>
              </w:rPr>
            </w:pPr>
          </w:p>
        </w:tc>
        <w:tc>
          <w:tcPr>
            <w:tcW w:w="1632" w:type="dxa"/>
            <w:gridSpan w:val="4"/>
            <w:vAlign w:val="center"/>
          </w:tcPr>
          <w:p w14:paraId="29C42C65">
            <w:pPr>
              <w:jc w:val="center"/>
              <w:rPr>
                <w:color w:val="000000" w:themeColor="text1"/>
                <w:highlight w:val="none"/>
                <w14:textFill>
                  <w14:solidFill>
                    <w14:schemeClr w14:val="tx1"/>
                  </w14:solidFill>
                </w14:textFill>
              </w:rPr>
            </w:pPr>
          </w:p>
        </w:tc>
        <w:tc>
          <w:tcPr>
            <w:tcW w:w="1416" w:type="dxa"/>
            <w:gridSpan w:val="2"/>
            <w:vAlign w:val="center"/>
          </w:tcPr>
          <w:p w14:paraId="0486B23D">
            <w:pPr>
              <w:jc w:val="center"/>
              <w:rPr>
                <w:color w:val="000000" w:themeColor="text1"/>
                <w:highlight w:val="none"/>
                <w14:textFill>
                  <w14:solidFill>
                    <w14:schemeClr w14:val="tx1"/>
                  </w14:solidFill>
                </w14:textFill>
              </w:rPr>
            </w:pPr>
          </w:p>
        </w:tc>
      </w:tr>
      <w:tr w14:paraId="7EF7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41B8440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5331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D571930">
            <w:pPr>
              <w:jc w:val="center"/>
              <w:rPr>
                <w:color w:val="000000" w:themeColor="text1"/>
                <w:highlight w:val="none"/>
                <w14:textFill>
                  <w14:solidFill>
                    <w14:schemeClr w14:val="tx1"/>
                  </w14:solidFill>
                </w14:textFill>
              </w:rPr>
            </w:pPr>
          </w:p>
        </w:tc>
        <w:tc>
          <w:tcPr>
            <w:tcW w:w="1548" w:type="dxa"/>
            <w:gridSpan w:val="2"/>
            <w:vAlign w:val="center"/>
          </w:tcPr>
          <w:p w14:paraId="19DDA0A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3D10F64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64439C7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6DC778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14982FD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084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B71607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455CC4D8">
            <w:pPr>
              <w:jc w:val="center"/>
              <w:rPr>
                <w:color w:val="000000" w:themeColor="text1"/>
                <w:highlight w:val="none"/>
                <w14:textFill>
                  <w14:solidFill>
                    <w14:schemeClr w14:val="tx1"/>
                  </w14:solidFill>
                </w14:textFill>
              </w:rPr>
            </w:pPr>
          </w:p>
        </w:tc>
        <w:tc>
          <w:tcPr>
            <w:tcW w:w="1837" w:type="dxa"/>
            <w:gridSpan w:val="4"/>
            <w:vAlign w:val="center"/>
          </w:tcPr>
          <w:p w14:paraId="26EECF34">
            <w:pPr>
              <w:jc w:val="center"/>
              <w:rPr>
                <w:color w:val="000000" w:themeColor="text1"/>
                <w:highlight w:val="none"/>
                <w14:textFill>
                  <w14:solidFill>
                    <w14:schemeClr w14:val="tx1"/>
                  </w14:solidFill>
                </w14:textFill>
              </w:rPr>
            </w:pPr>
          </w:p>
        </w:tc>
        <w:tc>
          <w:tcPr>
            <w:tcW w:w="1472" w:type="dxa"/>
            <w:gridSpan w:val="3"/>
            <w:vAlign w:val="center"/>
          </w:tcPr>
          <w:p w14:paraId="0BFC61C5">
            <w:pPr>
              <w:jc w:val="center"/>
              <w:rPr>
                <w:color w:val="000000" w:themeColor="text1"/>
                <w:highlight w:val="none"/>
                <w14:textFill>
                  <w14:solidFill>
                    <w14:schemeClr w14:val="tx1"/>
                  </w14:solidFill>
                </w14:textFill>
              </w:rPr>
            </w:pPr>
          </w:p>
        </w:tc>
        <w:tc>
          <w:tcPr>
            <w:tcW w:w="1641" w:type="dxa"/>
            <w:gridSpan w:val="4"/>
            <w:vAlign w:val="center"/>
          </w:tcPr>
          <w:p w14:paraId="532235D1">
            <w:pPr>
              <w:jc w:val="center"/>
              <w:rPr>
                <w:color w:val="000000" w:themeColor="text1"/>
                <w:highlight w:val="none"/>
                <w14:textFill>
                  <w14:solidFill>
                    <w14:schemeClr w14:val="tx1"/>
                  </w14:solidFill>
                </w14:textFill>
              </w:rPr>
            </w:pPr>
          </w:p>
        </w:tc>
        <w:tc>
          <w:tcPr>
            <w:tcW w:w="1484" w:type="dxa"/>
            <w:gridSpan w:val="2"/>
            <w:vAlign w:val="center"/>
          </w:tcPr>
          <w:p w14:paraId="09C53CAC">
            <w:pPr>
              <w:jc w:val="center"/>
              <w:rPr>
                <w:color w:val="000000" w:themeColor="text1"/>
                <w:highlight w:val="none"/>
                <w14:textFill>
                  <w14:solidFill>
                    <w14:schemeClr w14:val="tx1"/>
                  </w14:solidFill>
                </w14:textFill>
              </w:rPr>
            </w:pPr>
          </w:p>
        </w:tc>
      </w:tr>
      <w:tr w14:paraId="2131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4CDD24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03C7FD8F">
            <w:pPr>
              <w:jc w:val="center"/>
              <w:rPr>
                <w:color w:val="000000" w:themeColor="text1"/>
                <w:highlight w:val="none"/>
                <w14:textFill>
                  <w14:solidFill>
                    <w14:schemeClr w14:val="tx1"/>
                  </w14:solidFill>
                </w14:textFill>
              </w:rPr>
            </w:pPr>
          </w:p>
        </w:tc>
        <w:tc>
          <w:tcPr>
            <w:tcW w:w="1837" w:type="dxa"/>
            <w:gridSpan w:val="4"/>
            <w:vAlign w:val="center"/>
          </w:tcPr>
          <w:p w14:paraId="16299E1F">
            <w:pPr>
              <w:jc w:val="center"/>
              <w:rPr>
                <w:color w:val="000000" w:themeColor="text1"/>
                <w:highlight w:val="none"/>
                <w14:textFill>
                  <w14:solidFill>
                    <w14:schemeClr w14:val="tx1"/>
                  </w14:solidFill>
                </w14:textFill>
              </w:rPr>
            </w:pPr>
          </w:p>
        </w:tc>
        <w:tc>
          <w:tcPr>
            <w:tcW w:w="1472" w:type="dxa"/>
            <w:gridSpan w:val="3"/>
            <w:vAlign w:val="center"/>
          </w:tcPr>
          <w:p w14:paraId="444641E4">
            <w:pPr>
              <w:jc w:val="center"/>
              <w:rPr>
                <w:color w:val="000000" w:themeColor="text1"/>
                <w:highlight w:val="none"/>
                <w14:textFill>
                  <w14:solidFill>
                    <w14:schemeClr w14:val="tx1"/>
                  </w14:solidFill>
                </w14:textFill>
              </w:rPr>
            </w:pPr>
          </w:p>
        </w:tc>
        <w:tc>
          <w:tcPr>
            <w:tcW w:w="1641" w:type="dxa"/>
            <w:gridSpan w:val="4"/>
            <w:vAlign w:val="center"/>
          </w:tcPr>
          <w:p w14:paraId="345377F3">
            <w:pPr>
              <w:jc w:val="center"/>
              <w:rPr>
                <w:color w:val="000000" w:themeColor="text1"/>
                <w:highlight w:val="none"/>
                <w14:textFill>
                  <w14:solidFill>
                    <w14:schemeClr w14:val="tx1"/>
                  </w14:solidFill>
                </w14:textFill>
              </w:rPr>
            </w:pPr>
          </w:p>
        </w:tc>
        <w:tc>
          <w:tcPr>
            <w:tcW w:w="1484" w:type="dxa"/>
            <w:gridSpan w:val="2"/>
            <w:vAlign w:val="center"/>
          </w:tcPr>
          <w:p w14:paraId="751D1566">
            <w:pPr>
              <w:jc w:val="center"/>
              <w:rPr>
                <w:color w:val="000000" w:themeColor="text1"/>
                <w:highlight w:val="none"/>
                <w14:textFill>
                  <w14:solidFill>
                    <w14:schemeClr w14:val="tx1"/>
                  </w14:solidFill>
                </w14:textFill>
              </w:rPr>
            </w:pPr>
          </w:p>
        </w:tc>
      </w:tr>
      <w:tr w14:paraId="2BB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AB8E477">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69AC888F">
            <w:pPr>
              <w:jc w:val="center"/>
              <w:rPr>
                <w:color w:val="000000" w:themeColor="text1"/>
                <w:highlight w:val="none"/>
                <w14:textFill>
                  <w14:solidFill>
                    <w14:schemeClr w14:val="tx1"/>
                  </w14:solidFill>
                </w14:textFill>
              </w:rPr>
            </w:pPr>
          </w:p>
        </w:tc>
        <w:tc>
          <w:tcPr>
            <w:tcW w:w="1837" w:type="dxa"/>
            <w:gridSpan w:val="4"/>
            <w:vAlign w:val="center"/>
          </w:tcPr>
          <w:p w14:paraId="20DC6FAB">
            <w:pPr>
              <w:jc w:val="center"/>
              <w:rPr>
                <w:color w:val="000000" w:themeColor="text1"/>
                <w:highlight w:val="none"/>
                <w14:textFill>
                  <w14:solidFill>
                    <w14:schemeClr w14:val="tx1"/>
                  </w14:solidFill>
                </w14:textFill>
              </w:rPr>
            </w:pPr>
          </w:p>
        </w:tc>
        <w:tc>
          <w:tcPr>
            <w:tcW w:w="1472" w:type="dxa"/>
            <w:gridSpan w:val="3"/>
            <w:vAlign w:val="center"/>
          </w:tcPr>
          <w:p w14:paraId="43A440FC">
            <w:pPr>
              <w:jc w:val="center"/>
              <w:rPr>
                <w:color w:val="000000" w:themeColor="text1"/>
                <w:highlight w:val="none"/>
                <w14:textFill>
                  <w14:solidFill>
                    <w14:schemeClr w14:val="tx1"/>
                  </w14:solidFill>
                </w14:textFill>
              </w:rPr>
            </w:pPr>
          </w:p>
        </w:tc>
        <w:tc>
          <w:tcPr>
            <w:tcW w:w="1641" w:type="dxa"/>
            <w:gridSpan w:val="4"/>
            <w:vAlign w:val="center"/>
          </w:tcPr>
          <w:p w14:paraId="28625AD0">
            <w:pPr>
              <w:jc w:val="center"/>
              <w:rPr>
                <w:color w:val="000000" w:themeColor="text1"/>
                <w:highlight w:val="none"/>
                <w14:textFill>
                  <w14:solidFill>
                    <w14:schemeClr w14:val="tx1"/>
                  </w14:solidFill>
                </w14:textFill>
              </w:rPr>
            </w:pPr>
          </w:p>
        </w:tc>
        <w:tc>
          <w:tcPr>
            <w:tcW w:w="1484" w:type="dxa"/>
            <w:gridSpan w:val="2"/>
            <w:vAlign w:val="center"/>
          </w:tcPr>
          <w:p w14:paraId="62B5B0D8">
            <w:pPr>
              <w:jc w:val="center"/>
              <w:rPr>
                <w:color w:val="000000" w:themeColor="text1"/>
                <w:highlight w:val="none"/>
                <w14:textFill>
                  <w14:solidFill>
                    <w14:schemeClr w14:val="tx1"/>
                  </w14:solidFill>
                </w14:textFill>
              </w:rPr>
            </w:pPr>
          </w:p>
        </w:tc>
      </w:tr>
      <w:tr w14:paraId="5F5F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CC23314">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363EF758">
            <w:pPr>
              <w:jc w:val="center"/>
              <w:rPr>
                <w:color w:val="000000" w:themeColor="text1"/>
                <w:highlight w:val="none"/>
                <w14:textFill>
                  <w14:solidFill>
                    <w14:schemeClr w14:val="tx1"/>
                  </w14:solidFill>
                </w14:textFill>
              </w:rPr>
            </w:pPr>
          </w:p>
        </w:tc>
        <w:tc>
          <w:tcPr>
            <w:tcW w:w="1837" w:type="dxa"/>
            <w:gridSpan w:val="4"/>
            <w:vAlign w:val="center"/>
          </w:tcPr>
          <w:p w14:paraId="03359EA0">
            <w:pPr>
              <w:jc w:val="center"/>
              <w:rPr>
                <w:color w:val="000000" w:themeColor="text1"/>
                <w:highlight w:val="none"/>
                <w14:textFill>
                  <w14:solidFill>
                    <w14:schemeClr w14:val="tx1"/>
                  </w14:solidFill>
                </w14:textFill>
              </w:rPr>
            </w:pPr>
          </w:p>
        </w:tc>
        <w:tc>
          <w:tcPr>
            <w:tcW w:w="1472" w:type="dxa"/>
            <w:gridSpan w:val="3"/>
            <w:vAlign w:val="center"/>
          </w:tcPr>
          <w:p w14:paraId="3F609F39">
            <w:pPr>
              <w:jc w:val="center"/>
              <w:rPr>
                <w:color w:val="000000" w:themeColor="text1"/>
                <w:highlight w:val="none"/>
                <w14:textFill>
                  <w14:solidFill>
                    <w14:schemeClr w14:val="tx1"/>
                  </w14:solidFill>
                </w14:textFill>
              </w:rPr>
            </w:pPr>
          </w:p>
        </w:tc>
        <w:tc>
          <w:tcPr>
            <w:tcW w:w="1641" w:type="dxa"/>
            <w:gridSpan w:val="4"/>
            <w:vAlign w:val="center"/>
          </w:tcPr>
          <w:p w14:paraId="3DBF53F1">
            <w:pPr>
              <w:jc w:val="center"/>
              <w:rPr>
                <w:color w:val="000000" w:themeColor="text1"/>
                <w:highlight w:val="none"/>
                <w14:textFill>
                  <w14:solidFill>
                    <w14:schemeClr w14:val="tx1"/>
                  </w14:solidFill>
                </w14:textFill>
              </w:rPr>
            </w:pPr>
          </w:p>
        </w:tc>
        <w:tc>
          <w:tcPr>
            <w:tcW w:w="1484" w:type="dxa"/>
            <w:gridSpan w:val="2"/>
            <w:vAlign w:val="center"/>
          </w:tcPr>
          <w:p w14:paraId="42B6E6DA">
            <w:pPr>
              <w:jc w:val="center"/>
              <w:rPr>
                <w:color w:val="000000" w:themeColor="text1"/>
                <w:highlight w:val="none"/>
                <w14:textFill>
                  <w14:solidFill>
                    <w14:schemeClr w14:val="tx1"/>
                  </w14:solidFill>
                </w14:textFill>
              </w:rPr>
            </w:pPr>
          </w:p>
        </w:tc>
      </w:tr>
      <w:tr w14:paraId="7593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34AF18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1AC2CEFD">
            <w:pPr>
              <w:jc w:val="center"/>
              <w:rPr>
                <w:color w:val="000000" w:themeColor="text1"/>
                <w:highlight w:val="none"/>
                <w14:textFill>
                  <w14:solidFill>
                    <w14:schemeClr w14:val="tx1"/>
                  </w14:solidFill>
                </w14:textFill>
              </w:rPr>
            </w:pPr>
          </w:p>
        </w:tc>
        <w:tc>
          <w:tcPr>
            <w:tcW w:w="1837" w:type="dxa"/>
            <w:gridSpan w:val="4"/>
            <w:vAlign w:val="center"/>
          </w:tcPr>
          <w:p w14:paraId="40115040">
            <w:pPr>
              <w:jc w:val="center"/>
              <w:rPr>
                <w:color w:val="000000" w:themeColor="text1"/>
                <w:highlight w:val="none"/>
                <w14:textFill>
                  <w14:solidFill>
                    <w14:schemeClr w14:val="tx1"/>
                  </w14:solidFill>
                </w14:textFill>
              </w:rPr>
            </w:pPr>
          </w:p>
        </w:tc>
        <w:tc>
          <w:tcPr>
            <w:tcW w:w="1472" w:type="dxa"/>
            <w:gridSpan w:val="3"/>
            <w:vAlign w:val="center"/>
          </w:tcPr>
          <w:p w14:paraId="476EAE05">
            <w:pPr>
              <w:jc w:val="center"/>
              <w:rPr>
                <w:color w:val="000000" w:themeColor="text1"/>
                <w:highlight w:val="none"/>
                <w14:textFill>
                  <w14:solidFill>
                    <w14:schemeClr w14:val="tx1"/>
                  </w14:solidFill>
                </w14:textFill>
              </w:rPr>
            </w:pPr>
          </w:p>
        </w:tc>
        <w:tc>
          <w:tcPr>
            <w:tcW w:w="1641" w:type="dxa"/>
            <w:gridSpan w:val="4"/>
            <w:vAlign w:val="center"/>
          </w:tcPr>
          <w:p w14:paraId="105C089E">
            <w:pPr>
              <w:jc w:val="center"/>
              <w:rPr>
                <w:color w:val="000000" w:themeColor="text1"/>
                <w:highlight w:val="none"/>
                <w14:textFill>
                  <w14:solidFill>
                    <w14:schemeClr w14:val="tx1"/>
                  </w14:solidFill>
                </w14:textFill>
              </w:rPr>
            </w:pPr>
          </w:p>
        </w:tc>
        <w:tc>
          <w:tcPr>
            <w:tcW w:w="1484" w:type="dxa"/>
            <w:gridSpan w:val="2"/>
            <w:vAlign w:val="center"/>
          </w:tcPr>
          <w:p w14:paraId="3DB8F7D0">
            <w:pPr>
              <w:jc w:val="center"/>
              <w:rPr>
                <w:color w:val="000000" w:themeColor="text1"/>
                <w:highlight w:val="none"/>
                <w14:textFill>
                  <w14:solidFill>
                    <w14:schemeClr w14:val="tx1"/>
                  </w14:solidFill>
                </w14:textFill>
              </w:rPr>
            </w:pPr>
          </w:p>
        </w:tc>
      </w:tr>
      <w:tr w14:paraId="10D7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C617A5C">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7793C4D0">
            <w:pPr>
              <w:jc w:val="center"/>
              <w:rPr>
                <w:color w:val="000000" w:themeColor="text1"/>
                <w:highlight w:val="none"/>
                <w14:textFill>
                  <w14:solidFill>
                    <w14:schemeClr w14:val="tx1"/>
                  </w14:solidFill>
                </w14:textFill>
              </w:rPr>
            </w:pPr>
          </w:p>
        </w:tc>
        <w:tc>
          <w:tcPr>
            <w:tcW w:w="1837" w:type="dxa"/>
            <w:gridSpan w:val="4"/>
            <w:vAlign w:val="center"/>
          </w:tcPr>
          <w:p w14:paraId="20CF952A">
            <w:pPr>
              <w:jc w:val="center"/>
              <w:rPr>
                <w:color w:val="000000" w:themeColor="text1"/>
                <w:highlight w:val="none"/>
                <w14:textFill>
                  <w14:solidFill>
                    <w14:schemeClr w14:val="tx1"/>
                  </w14:solidFill>
                </w14:textFill>
              </w:rPr>
            </w:pPr>
          </w:p>
        </w:tc>
        <w:tc>
          <w:tcPr>
            <w:tcW w:w="1472" w:type="dxa"/>
            <w:gridSpan w:val="3"/>
            <w:vAlign w:val="center"/>
          </w:tcPr>
          <w:p w14:paraId="319B5651">
            <w:pPr>
              <w:jc w:val="center"/>
              <w:rPr>
                <w:color w:val="000000" w:themeColor="text1"/>
                <w:highlight w:val="none"/>
                <w14:textFill>
                  <w14:solidFill>
                    <w14:schemeClr w14:val="tx1"/>
                  </w14:solidFill>
                </w14:textFill>
              </w:rPr>
            </w:pPr>
          </w:p>
        </w:tc>
        <w:tc>
          <w:tcPr>
            <w:tcW w:w="1641" w:type="dxa"/>
            <w:gridSpan w:val="4"/>
            <w:vAlign w:val="center"/>
          </w:tcPr>
          <w:p w14:paraId="061CE39E">
            <w:pPr>
              <w:jc w:val="center"/>
              <w:rPr>
                <w:color w:val="000000" w:themeColor="text1"/>
                <w:highlight w:val="none"/>
                <w14:textFill>
                  <w14:solidFill>
                    <w14:schemeClr w14:val="tx1"/>
                  </w14:solidFill>
                </w14:textFill>
              </w:rPr>
            </w:pPr>
          </w:p>
        </w:tc>
        <w:tc>
          <w:tcPr>
            <w:tcW w:w="1484" w:type="dxa"/>
            <w:gridSpan w:val="2"/>
            <w:vAlign w:val="center"/>
          </w:tcPr>
          <w:p w14:paraId="68AA285D">
            <w:pPr>
              <w:jc w:val="center"/>
              <w:rPr>
                <w:color w:val="000000" w:themeColor="text1"/>
                <w:highlight w:val="none"/>
                <w14:textFill>
                  <w14:solidFill>
                    <w14:schemeClr w14:val="tx1"/>
                  </w14:solidFill>
                </w14:textFill>
              </w:rPr>
            </w:pPr>
          </w:p>
        </w:tc>
      </w:tr>
      <w:tr w14:paraId="69AA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CC9EDD9">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67ED6B9A">
            <w:pPr>
              <w:jc w:val="center"/>
              <w:rPr>
                <w:color w:val="000000" w:themeColor="text1"/>
                <w:highlight w:val="none"/>
                <w14:textFill>
                  <w14:solidFill>
                    <w14:schemeClr w14:val="tx1"/>
                  </w14:solidFill>
                </w14:textFill>
              </w:rPr>
            </w:pPr>
          </w:p>
        </w:tc>
        <w:tc>
          <w:tcPr>
            <w:tcW w:w="1837" w:type="dxa"/>
            <w:gridSpan w:val="4"/>
            <w:vAlign w:val="center"/>
          </w:tcPr>
          <w:p w14:paraId="3DB7CC8E">
            <w:pPr>
              <w:jc w:val="center"/>
              <w:rPr>
                <w:color w:val="000000" w:themeColor="text1"/>
                <w:highlight w:val="none"/>
                <w14:textFill>
                  <w14:solidFill>
                    <w14:schemeClr w14:val="tx1"/>
                  </w14:solidFill>
                </w14:textFill>
              </w:rPr>
            </w:pPr>
          </w:p>
        </w:tc>
        <w:tc>
          <w:tcPr>
            <w:tcW w:w="1472" w:type="dxa"/>
            <w:gridSpan w:val="3"/>
            <w:vAlign w:val="center"/>
          </w:tcPr>
          <w:p w14:paraId="795B68A7">
            <w:pPr>
              <w:jc w:val="center"/>
              <w:rPr>
                <w:color w:val="000000" w:themeColor="text1"/>
                <w:highlight w:val="none"/>
                <w14:textFill>
                  <w14:solidFill>
                    <w14:schemeClr w14:val="tx1"/>
                  </w14:solidFill>
                </w14:textFill>
              </w:rPr>
            </w:pPr>
          </w:p>
        </w:tc>
        <w:tc>
          <w:tcPr>
            <w:tcW w:w="1641" w:type="dxa"/>
            <w:gridSpan w:val="4"/>
            <w:vAlign w:val="center"/>
          </w:tcPr>
          <w:p w14:paraId="627137ED">
            <w:pPr>
              <w:jc w:val="center"/>
              <w:rPr>
                <w:color w:val="000000" w:themeColor="text1"/>
                <w:highlight w:val="none"/>
                <w14:textFill>
                  <w14:solidFill>
                    <w14:schemeClr w14:val="tx1"/>
                  </w14:solidFill>
                </w14:textFill>
              </w:rPr>
            </w:pPr>
          </w:p>
        </w:tc>
        <w:tc>
          <w:tcPr>
            <w:tcW w:w="1484" w:type="dxa"/>
            <w:gridSpan w:val="2"/>
            <w:vAlign w:val="center"/>
          </w:tcPr>
          <w:p w14:paraId="0F0192A5">
            <w:pPr>
              <w:jc w:val="center"/>
              <w:rPr>
                <w:color w:val="000000" w:themeColor="text1"/>
                <w:highlight w:val="none"/>
                <w14:textFill>
                  <w14:solidFill>
                    <w14:schemeClr w14:val="tx1"/>
                  </w14:solidFill>
                </w14:textFill>
              </w:rPr>
            </w:pPr>
          </w:p>
        </w:tc>
      </w:tr>
      <w:tr w14:paraId="7E0C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16C83E6">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55AC6C0B">
            <w:pPr>
              <w:jc w:val="center"/>
              <w:rPr>
                <w:color w:val="000000" w:themeColor="text1"/>
                <w:highlight w:val="none"/>
                <w14:textFill>
                  <w14:solidFill>
                    <w14:schemeClr w14:val="tx1"/>
                  </w14:solidFill>
                </w14:textFill>
              </w:rPr>
            </w:pPr>
          </w:p>
        </w:tc>
        <w:tc>
          <w:tcPr>
            <w:tcW w:w="1837" w:type="dxa"/>
            <w:gridSpan w:val="4"/>
            <w:vAlign w:val="center"/>
          </w:tcPr>
          <w:p w14:paraId="5E134580">
            <w:pPr>
              <w:jc w:val="center"/>
              <w:rPr>
                <w:color w:val="000000" w:themeColor="text1"/>
                <w:highlight w:val="none"/>
                <w14:textFill>
                  <w14:solidFill>
                    <w14:schemeClr w14:val="tx1"/>
                  </w14:solidFill>
                </w14:textFill>
              </w:rPr>
            </w:pPr>
          </w:p>
        </w:tc>
        <w:tc>
          <w:tcPr>
            <w:tcW w:w="1472" w:type="dxa"/>
            <w:gridSpan w:val="3"/>
            <w:vAlign w:val="center"/>
          </w:tcPr>
          <w:p w14:paraId="2932FB94">
            <w:pPr>
              <w:jc w:val="center"/>
              <w:rPr>
                <w:color w:val="000000" w:themeColor="text1"/>
                <w:highlight w:val="none"/>
                <w14:textFill>
                  <w14:solidFill>
                    <w14:schemeClr w14:val="tx1"/>
                  </w14:solidFill>
                </w14:textFill>
              </w:rPr>
            </w:pPr>
          </w:p>
        </w:tc>
        <w:tc>
          <w:tcPr>
            <w:tcW w:w="1641" w:type="dxa"/>
            <w:gridSpan w:val="4"/>
            <w:vAlign w:val="center"/>
          </w:tcPr>
          <w:p w14:paraId="3F7FA0D9">
            <w:pPr>
              <w:jc w:val="center"/>
              <w:rPr>
                <w:color w:val="000000" w:themeColor="text1"/>
                <w:highlight w:val="none"/>
                <w14:textFill>
                  <w14:solidFill>
                    <w14:schemeClr w14:val="tx1"/>
                  </w14:solidFill>
                </w14:textFill>
              </w:rPr>
            </w:pPr>
          </w:p>
        </w:tc>
        <w:tc>
          <w:tcPr>
            <w:tcW w:w="1484" w:type="dxa"/>
            <w:gridSpan w:val="2"/>
            <w:vAlign w:val="center"/>
          </w:tcPr>
          <w:p w14:paraId="5393E8BD">
            <w:pPr>
              <w:jc w:val="center"/>
              <w:rPr>
                <w:color w:val="000000" w:themeColor="text1"/>
                <w:highlight w:val="none"/>
                <w14:textFill>
                  <w14:solidFill>
                    <w14:schemeClr w14:val="tx1"/>
                  </w14:solidFill>
                </w14:textFill>
              </w:rPr>
            </w:pPr>
          </w:p>
        </w:tc>
      </w:tr>
      <w:tr w14:paraId="4287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B479752">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7E5B7F16">
            <w:pPr>
              <w:jc w:val="center"/>
              <w:rPr>
                <w:color w:val="000000" w:themeColor="text1"/>
                <w:highlight w:val="none"/>
                <w14:textFill>
                  <w14:solidFill>
                    <w14:schemeClr w14:val="tx1"/>
                  </w14:solidFill>
                </w14:textFill>
              </w:rPr>
            </w:pPr>
          </w:p>
        </w:tc>
        <w:tc>
          <w:tcPr>
            <w:tcW w:w="1837" w:type="dxa"/>
            <w:gridSpan w:val="4"/>
            <w:vAlign w:val="center"/>
          </w:tcPr>
          <w:p w14:paraId="57DFBBD1">
            <w:pPr>
              <w:jc w:val="center"/>
              <w:rPr>
                <w:color w:val="000000" w:themeColor="text1"/>
                <w:highlight w:val="none"/>
                <w14:textFill>
                  <w14:solidFill>
                    <w14:schemeClr w14:val="tx1"/>
                  </w14:solidFill>
                </w14:textFill>
              </w:rPr>
            </w:pPr>
          </w:p>
        </w:tc>
        <w:tc>
          <w:tcPr>
            <w:tcW w:w="1472" w:type="dxa"/>
            <w:gridSpan w:val="3"/>
            <w:vAlign w:val="center"/>
          </w:tcPr>
          <w:p w14:paraId="61F4CEF8">
            <w:pPr>
              <w:jc w:val="center"/>
              <w:rPr>
                <w:color w:val="000000" w:themeColor="text1"/>
                <w:highlight w:val="none"/>
                <w14:textFill>
                  <w14:solidFill>
                    <w14:schemeClr w14:val="tx1"/>
                  </w14:solidFill>
                </w14:textFill>
              </w:rPr>
            </w:pPr>
          </w:p>
        </w:tc>
        <w:tc>
          <w:tcPr>
            <w:tcW w:w="1641" w:type="dxa"/>
            <w:gridSpan w:val="4"/>
            <w:vAlign w:val="center"/>
          </w:tcPr>
          <w:p w14:paraId="052BD0C2">
            <w:pPr>
              <w:jc w:val="center"/>
              <w:rPr>
                <w:color w:val="000000" w:themeColor="text1"/>
                <w:highlight w:val="none"/>
                <w14:textFill>
                  <w14:solidFill>
                    <w14:schemeClr w14:val="tx1"/>
                  </w14:solidFill>
                </w14:textFill>
              </w:rPr>
            </w:pPr>
          </w:p>
        </w:tc>
        <w:tc>
          <w:tcPr>
            <w:tcW w:w="1484" w:type="dxa"/>
            <w:gridSpan w:val="2"/>
            <w:vAlign w:val="center"/>
          </w:tcPr>
          <w:p w14:paraId="59B066D9">
            <w:pPr>
              <w:jc w:val="center"/>
              <w:rPr>
                <w:color w:val="000000" w:themeColor="text1"/>
                <w:highlight w:val="none"/>
                <w14:textFill>
                  <w14:solidFill>
                    <w14:schemeClr w14:val="tx1"/>
                  </w14:solidFill>
                </w14:textFill>
              </w:rPr>
            </w:pPr>
          </w:p>
        </w:tc>
      </w:tr>
    </w:tbl>
    <w:p w14:paraId="484FE7C8">
      <w:pPr>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433781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r>
        <w:rPr>
          <w:rFonts w:hint="eastAsia" w:ascii="宋体" w:hAnsi="宋体"/>
          <w:color w:val="000000" w:themeColor="text1"/>
          <w:szCs w:val="21"/>
          <w:highlight w:val="none"/>
          <w14:textFill>
            <w14:solidFill>
              <w14:schemeClr w14:val="tx1"/>
            </w14:solidFill>
          </w14:textFill>
        </w:rPr>
        <w:t>。</w:t>
      </w:r>
    </w:p>
    <w:p w14:paraId="3E905CF0">
      <w:pPr>
        <w:pStyle w:val="17"/>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本表后附项目经理的</w:t>
      </w:r>
      <w:r>
        <w:rPr>
          <w:color w:val="000000" w:themeColor="text1"/>
          <w:highlight w:val="none"/>
          <w14:textFill>
            <w14:solidFill>
              <w14:schemeClr w14:val="tx1"/>
            </w14:solidFill>
          </w14:textFill>
        </w:rPr>
        <w:t>执业资格证书复印件（或打印件）、职称证书复印件（或打印件）</w:t>
      </w:r>
      <w:r>
        <w:rPr>
          <w:rFonts w:hint="eastAsia" w:ascii="宋体" w:hAnsi="宋体"/>
          <w:color w:val="000000" w:themeColor="text1"/>
          <w:szCs w:val="21"/>
          <w:highlight w:val="none"/>
          <w14:textFill>
            <w14:solidFill>
              <w14:schemeClr w14:val="tx1"/>
            </w14:solidFill>
          </w14:textFill>
        </w:rPr>
        <w:t>、安全生产考核合格证（B类）</w:t>
      </w:r>
      <w:r>
        <w:rPr>
          <w:color w:val="000000" w:themeColor="text1"/>
          <w:highlight w:val="none"/>
          <w14:textFill>
            <w14:solidFill>
              <w14:schemeClr w14:val="tx1"/>
            </w14:solidFill>
          </w14:textFill>
        </w:rPr>
        <w:t>复印件（或打印件）</w:t>
      </w:r>
      <w:r>
        <w:rPr>
          <w:rFonts w:hint="eastAsia" w:ascii="宋体" w:hAnsi="宋体"/>
          <w:color w:val="000000" w:themeColor="text1"/>
          <w:szCs w:val="21"/>
          <w:highlight w:val="none"/>
          <w14:textFill>
            <w14:solidFill>
              <w14:schemeClr w14:val="tx1"/>
            </w14:solidFill>
          </w14:textFill>
        </w:rPr>
        <w:t>，本表所列证书材料并加盖供应商电子签章。</w:t>
      </w:r>
    </w:p>
    <w:p w14:paraId="518D6234">
      <w:pPr>
        <w:spacing w:beforeLines="50"/>
        <w:ind w:firstLine="643" w:firstLineChars="200"/>
        <w:jc w:val="center"/>
        <w:rPr>
          <w:color w:val="000000" w:themeColor="text1"/>
          <w:sz w:val="28"/>
          <w:szCs w:val="28"/>
          <w:highlight w:val="none"/>
          <w:u w:val="single"/>
          <w14:textFill>
            <w14:solidFill>
              <w14:schemeClr w14:val="tx1"/>
            </w14:solidFill>
          </w14:textFill>
        </w:rPr>
      </w:pPr>
      <w:r>
        <w:rPr>
          <w:rFonts w:cs="宋体"/>
          <w:b/>
          <w:color w:val="000000" w:themeColor="text1"/>
          <w:sz w:val="32"/>
          <w:szCs w:val="32"/>
          <w:highlight w:val="none"/>
          <w14:textFill>
            <w14:solidFill>
              <w14:schemeClr w14:val="tx1"/>
            </w14:solidFill>
          </w14:textFill>
        </w:rPr>
        <w:br w:type="page"/>
      </w:r>
      <w:r>
        <w:rPr>
          <w:rFonts w:hint="eastAsia" w:cs="宋体"/>
          <w:b/>
          <w:color w:val="000000" w:themeColor="text1"/>
          <w:sz w:val="28"/>
          <w:szCs w:val="28"/>
          <w:highlight w:val="none"/>
          <w14:textFill>
            <w14:solidFill>
              <w14:schemeClr w14:val="tx1"/>
            </w14:solidFill>
          </w14:textFill>
        </w:rPr>
        <w:t>项目技术负责人（项目总工）简历表</w:t>
      </w:r>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592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4357EF3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5"/>
            <w:vAlign w:val="center"/>
          </w:tcPr>
          <w:p w14:paraId="6CED7C10">
            <w:pPr>
              <w:jc w:val="center"/>
              <w:rPr>
                <w:color w:val="000000" w:themeColor="text1"/>
                <w:highlight w:val="none"/>
                <w14:textFill>
                  <w14:solidFill>
                    <w14:schemeClr w14:val="tx1"/>
                  </w14:solidFill>
                </w14:textFill>
              </w:rPr>
            </w:pPr>
          </w:p>
        </w:tc>
        <w:tc>
          <w:tcPr>
            <w:tcW w:w="1893" w:type="dxa"/>
            <w:gridSpan w:val="5"/>
            <w:vAlign w:val="center"/>
          </w:tcPr>
          <w:p w14:paraId="0CDEE12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3712DC69">
            <w:pPr>
              <w:jc w:val="center"/>
              <w:rPr>
                <w:color w:val="000000" w:themeColor="text1"/>
                <w:highlight w:val="none"/>
                <w14:textFill>
                  <w14:solidFill>
                    <w14:schemeClr w14:val="tx1"/>
                  </w14:solidFill>
                </w14:textFill>
              </w:rPr>
            </w:pPr>
          </w:p>
        </w:tc>
        <w:tc>
          <w:tcPr>
            <w:tcW w:w="1108" w:type="dxa"/>
            <w:vAlign w:val="center"/>
          </w:tcPr>
          <w:p w14:paraId="4EADB96A">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3CACC9C5">
            <w:pPr>
              <w:jc w:val="center"/>
              <w:rPr>
                <w:color w:val="000000" w:themeColor="text1"/>
                <w:highlight w:val="none"/>
                <w14:textFill>
                  <w14:solidFill>
                    <w14:schemeClr w14:val="tx1"/>
                  </w14:solidFill>
                </w14:textFill>
              </w:rPr>
            </w:pPr>
          </w:p>
        </w:tc>
      </w:tr>
      <w:tr w14:paraId="1046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476A1423">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5"/>
            <w:vAlign w:val="center"/>
          </w:tcPr>
          <w:p w14:paraId="7A01440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项目技术负责人（项目总工）</w:t>
            </w:r>
          </w:p>
        </w:tc>
        <w:tc>
          <w:tcPr>
            <w:tcW w:w="1893" w:type="dxa"/>
            <w:gridSpan w:val="5"/>
            <w:vAlign w:val="center"/>
          </w:tcPr>
          <w:p w14:paraId="027265B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008B6B4B">
            <w:pPr>
              <w:jc w:val="center"/>
              <w:rPr>
                <w:color w:val="000000" w:themeColor="text1"/>
                <w:highlight w:val="none"/>
                <w14:textFill>
                  <w14:solidFill>
                    <w14:schemeClr w14:val="tx1"/>
                  </w14:solidFill>
                </w14:textFill>
              </w:rPr>
            </w:pPr>
          </w:p>
        </w:tc>
        <w:tc>
          <w:tcPr>
            <w:tcW w:w="1108" w:type="dxa"/>
            <w:vAlign w:val="center"/>
          </w:tcPr>
          <w:p w14:paraId="647D693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5F1E918C">
            <w:pPr>
              <w:jc w:val="center"/>
              <w:rPr>
                <w:color w:val="000000" w:themeColor="text1"/>
                <w:highlight w:val="none"/>
                <w14:textFill>
                  <w14:solidFill>
                    <w14:schemeClr w14:val="tx1"/>
                  </w14:solidFill>
                </w14:textFill>
              </w:rPr>
            </w:pPr>
          </w:p>
        </w:tc>
      </w:tr>
      <w:tr w14:paraId="262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201CDB8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5"/>
            <w:vAlign w:val="center"/>
          </w:tcPr>
          <w:p w14:paraId="69488F3D">
            <w:pPr>
              <w:jc w:val="center"/>
              <w:rPr>
                <w:color w:val="000000" w:themeColor="text1"/>
                <w:highlight w:val="none"/>
                <w14:textFill>
                  <w14:solidFill>
                    <w14:schemeClr w14:val="tx1"/>
                  </w14:solidFill>
                </w14:textFill>
              </w:rPr>
            </w:pPr>
          </w:p>
        </w:tc>
        <w:tc>
          <w:tcPr>
            <w:tcW w:w="1893" w:type="dxa"/>
            <w:gridSpan w:val="5"/>
            <w:vAlign w:val="center"/>
          </w:tcPr>
          <w:p w14:paraId="0D73CE1E">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2FD4C321">
            <w:pPr>
              <w:jc w:val="center"/>
              <w:rPr>
                <w:color w:val="000000" w:themeColor="text1"/>
                <w:highlight w:val="none"/>
                <w14:textFill>
                  <w14:solidFill>
                    <w14:schemeClr w14:val="tx1"/>
                  </w14:solidFill>
                </w14:textFill>
              </w:rPr>
            </w:pPr>
          </w:p>
        </w:tc>
        <w:tc>
          <w:tcPr>
            <w:tcW w:w="1108" w:type="dxa"/>
            <w:vAlign w:val="center"/>
          </w:tcPr>
          <w:p w14:paraId="706C4349">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01B6A56E">
            <w:pPr>
              <w:jc w:val="center"/>
              <w:rPr>
                <w:color w:val="000000" w:themeColor="text1"/>
                <w:highlight w:val="none"/>
                <w14:textFill>
                  <w14:solidFill>
                    <w14:schemeClr w14:val="tx1"/>
                  </w14:solidFill>
                </w14:textFill>
              </w:rPr>
            </w:pPr>
          </w:p>
        </w:tc>
      </w:tr>
      <w:tr w14:paraId="6643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666AABCD">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w:t>
            </w:r>
            <w:r>
              <w:rPr>
                <w:rFonts w:hint="eastAsia"/>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年限</w:t>
            </w:r>
          </w:p>
        </w:tc>
        <w:tc>
          <w:tcPr>
            <w:tcW w:w="2476" w:type="dxa"/>
            <w:gridSpan w:val="6"/>
            <w:vAlign w:val="center"/>
          </w:tcPr>
          <w:p w14:paraId="35E1CABA">
            <w:pPr>
              <w:jc w:val="center"/>
              <w:rPr>
                <w:color w:val="000000" w:themeColor="text1"/>
                <w:highlight w:val="none"/>
                <w14:textFill>
                  <w14:solidFill>
                    <w14:schemeClr w14:val="tx1"/>
                  </w14:solidFill>
                </w14:textFill>
              </w:rPr>
            </w:pPr>
          </w:p>
        </w:tc>
        <w:tc>
          <w:tcPr>
            <w:tcW w:w="1209" w:type="dxa"/>
            <w:vAlign w:val="center"/>
          </w:tcPr>
          <w:p w14:paraId="7D7FC10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04A9EB93">
            <w:pPr>
              <w:jc w:val="center"/>
              <w:rPr>
                <w:color w:val="000000" w:themeColor="text1"/>
                <w:highlight w:val="none"/>
                <w14:textFill>
                  <w14:solidFill>
                    <w14:schemeClr w14:val="tx1"/>
                  </w14:solidFill>
                </w14:textFill>
              </w:rPr>
            </w:pPr>
          </w:p>
        </w:tc>
      </w:tr>
      <w:tr w14:paraId="22F9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A1EB41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188" w:type="dxa"/>
            <w:gridSpan w:val="2"/>
            <w:vAlign w:val="center"/>
          </w:tcPr>
          <w:p w14:paraId="70EF71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001235B5">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372687B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45146A3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1CD72E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2804C77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34C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2D1D9854">
            <w:pPr>
              <w:jc w:val="center"/>
              <w:rPr>
                <w:color w:val="000000" w:themeColor="text1"/>
                <w:highlight w:val="none"/>
                <w14:textFill>
                  <w14:solidFill>
                    <w14:schemeClr w14:val="tx1"/>
                  </w14:solidFill>
                </w14:textFill>
              </w:rPr>
            </w:pPr>
          </w:p>
        </w:tc>
        <w:tc>
          <w:tcPr>
            <w:tcW w:w="1188" w:type="dxa"/>
            <w:gridSpan w:val="2"/>
            <w:vAlign w:val="center"/>
          </w:tcPr>
          <w:p w14:paraId="6D234363">
            <w:pPr>
              <w:jc w:val="center"/>
              <w:rPr>
                <w:color w:val="000000" w:themeColor="text1"/>
                <w:highlight w:val="none"/>
                <w14:textFill>
                  <w14:solidFill>
                    <w14:schemeClr w14:val="tx1"/>
                  </w14:solidFill>
                </w14:textFill>
              </w:rPr>
            </w:pPr>
          </w:p>
        </w:tc>
        <w:tc>
          <w:tcPr>
            <w:tcW w:w="1222" w:type="dxa"/>
            <w:gridSpan w:val="3"/>
            <w:vAlign w:val="center"/>
          </w:tcPr>
          <w:p w14:paraId="2BBA53D4">
            <w:pPr>
              <w:jc w:val="center"/>
              <w:rPr>
                <w:rFonts w:cs="宋体"/>
                <w:color w:val="000000" w:themeColor="text1"/>
                <w:highlight w:val="none"/>
                <w14:textFill>
                  <w14:solidFill>
                    <w14:schemeClr w14:val="tx1"/>
                  </w14:solidFill>
                </w14:textFill>
              </w:rPr>
            </w:pPr>
          </w:p>
        </w:tc>
        <w:tc>
          <w:tcPr>
            <w:tcW w:w="1417" w:type="dxa"/>
            <w:gridSpan w:val="3"/>
            <w:vAlign w:val="center"/>
          </w:tcPr>
          <w:p w14:paraId="1BC3BD0A">
            <w:pPr>
              <w:jc w:val="center"/>
              <w:rPr>
                <w:color w:val="000000" w:themeColor="text1"/>
                <w:highlight w:val="none"/>
                <w14:textFill>
                  <w14:solidFill>
                    <w14:schemeClr w14:val="tx1"/>
                  </w14:solidFill>
                </w14:textFill>
              </w:rPr>
            </w:pPr>
          </w:p>
        </w:tc>
        <w:tc>
          <w:tcPr>
            <w:tcW w:w="1418" w:type="dxa"/>
            <w:gridSpan w:val="3"/>
            <w:vAlign w:val="center"/>
          </w:tcPr>
          <w:p w14:paraId="334108A8">
            <w:pPr>
              <w:jc w:val="center"/>
              <w:rPr>
                <w:color w:val="000000" w:themeColor="text1"/>
                <w:highlight w:val="none"/>
                <w14:textFill>
                  <w14:solidFill>
                    <w14:schemeClr w14:val="tx1"/>
                  </w14:solidFill>
                </w14:textFill>
              </w:rPr>
            </w:pPr>
          </w:p>
        </w:tc>
        <w:tc>
          <w:tcPr>
            <w:tcW w:w="1632" w:type="dxa"/>
            <w:gridSpan w:val="4"/>
            <w:vAlign w:val="center"/>
          </w:tcPr>
          <w:p w14:paraId="217402DE">
            <w:pPr>
              <w:jc w:val="center"/>
              <w:rPr>
                <w:color w:val="000000" w:themeColor="text1"/>
                <w:highlight w:val="none"/>
                <w14:textFill>
                  <w14:solidFill>
                    <w14:schemeClr w14:val="tx1"/>
                  </w14:solidFill>
                </w14:textFill>
              </w:rPr>
            </w:pPr>
          </w:p>
        </w:tc>
        <w:tc>
          <w:tcPr>
            <w:tcW w:w="1416" w:type="dxa"/>
            <w:gridSpan w:val="2"/>
            <w:vAlign w:val="center"/>
          </w:tcPr>
          <w:p w14:paraId="6C05BC29">
            <w:pPr>
              <w:jc w:val="center"/>
              <w:rPr>
                <w:color w:val="000000" w:themeColor="text1"/>
                <w:highlight w:val="none"/>
                <w14:textFill>
                  <w14:solidFill>
                    <w14:schemeClr w14:val="tx1"/>
                  </w14:solidFill>
                </w14:textFill>
              </w:rPr>
            </w:pPr>
          </w:p>
        </w:tc>
      </w:tr>
      <w:tr w14:paraId="493E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7D1508A">
            <w:pPr>
              <w:jc w:val="center"/>
              <w:rPr>
                <w:color w:val="000000" w:themeColor="text1"/>
                <w:highlight w:val="none"/>
                <w14:textFill>
                  <w14:solidFill>
                    <w14:schemeClr w14:val="tx1"/>
                  </w14:solidFill>
                </w14:textFill>
              </w:rPr>
            </w:pPr>
          </w:p>
        </w:tc>
        <w:tc>
          <w:tcPr>
            <w:tcW w:w="1188" w:type="dxa"/>
            <w:gridSpan w:val="2"/>
            <w:vAlign w:val="center"/>
          </w:tcPr>
          <w:p w14:paraId="29731864">
            <w:pPr>
              <w:jc w:val="center"/>
              <w:rPr>
                <w:color w:val="000000" w:themeColor="text1"/>
                <w:highlight w:val="none"/>
                <w14:textFill>
                  <w14:solidFill>
                    <w14:schemeClr w14:val="tx1"/>
                  </w14:solidFill>
                </w14:textFill>
              </w:rPr>
            </w:pPr>
          </w:p>
        </w:tc>
        <w:tc>
          <w:tcPr>
            <w:tcW w:w="1222" w:type="dxa"/>
            <w:gridSpan w:val="3"/>
            <w:vAlign w:val="center"/>
          </w:tcPr>
          <w:p w14:paraId="0370C97E">
            <w:pPr>
              <w:jc w:val="center"/>
              <w:rPr>
                <w:rFonts w:cs="宋体"/>
                <w:color w:val="000000" w:themeColor="text1"/>
                <w:highlight w:val="none"/>
                <w14:textFill>
                  <w14:solidFill>
                    <w14:schemeClr w14:val="tx1"/>
                  </w14:solidFill>
                </w14:textFill>
              </w:rPr>
            </w:pPr>
          </w:p>
        </w:tc>
        <w:tc>
          <w:tcPr>
            <w:tcW w:w="1417" w:type="dxa"/>
            <w:gridSpan w:val="3"/>
            <w:vAlign w:val="center"/>
          </w:tcPr>
          <w:p w14:paraId="32EC9DC2">
            <w:pPr>
              <w:jc w:val="center"/>
              <w:rPr>
                <w:color w:val="000000" w:themeColor="text1"/>
                <w:highlight w:val="none"/>
                <w14:textFill>
                  <w14:solidFill>
                    <w14:schemeClr w14:val="tx1"/>
                  </w14:solidFill>
                </w14:textFill>
              </w:rPr>
            </w:pPr>
          </w:p>
        </w:tc>
        <w:tc>
          <w:tcPr>
            <w:tcW w:w="1418" w:type="dxa"/>
            <w:gridSpan w:val="3"/>
            <w:vAlign w:val="center"/>
          </w:tcPr>
          <w:p w14:paraId="051B01CF">
            <w:pPr>
              <w:jc w:val="center"/>
              <w:rPr>
                <w:color w:val="000000" w:themeColor="text1"/>
                <w:highlight w:val="none"/>
                <w14:textFill>
                  <w14:solidFill>
                    <w14:schemeClr w14:val="tx1"/>
                  </w14:solidFill>
                </w14:textFill>
              </w:rPr>
            </w:pPr>
          </w:p>
        </w:tc>
        <w:tc>
          <w:tcPr>
            <w:tcW w:w="1632" w:type="dxa"/>
            <w:gridSpan w:val="4"/>
            <w:vAlign w:val="center"/>
          </w:tcPr>
          <w:p w14:paraId="546362E9">
            <w:pPr>
              <w:jc w:val="center"/>
              <w:rPr>
                <w:color w:val="000000" w:themeColor="text1"/>
                <w:highlight w:val="none"/>
                <w14:textFill>
                  <w14:solidFill>
                    <w14:schemeClr w14:val="tx1"/>
                  </w14:solidFill>
                </w14:textFill>
              </w:rPr>
            </w:pPr>
          </w:p>
        </w:tc>
        <w:tc>
          <w:tcPr>
            <w:tcW w:w="1416" w:type="dxa"/>
            <w:gridSpan w:val="2"/>
            <w:vAlign w:val="center"/>
          </w:tcPr>
          <w:p w14:paraId="41A53F4C">
            <w:pPr>
              <w:jc w:val="center"/>
              <w:rPr>
                <w:color w:val="000000" w:themeColor="text1"/>
                <w:highlight w:val="none"/>
                <w14:textFill>
                  <w14:solidFill>
                    <w14:schemeClr w14:val="tx1"/>
                  </w14:solidFill>
                </w14:textFill>
              </w:rPr>
            </w:pPr>
          </w:p>
        </w:tc>
      </w:tr>
      <w:tr w14:paraId="358B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0FD1DB7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308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3EFB2F2D">
            <w:pPr>
              <w:jc w:val="center"/>
              <w:rPr>
                <w:color w:val="000000" w:themeColor="text1"/>
                <w:highlight w:val="none"/>
                <w14:textFill>
                  <w14:solidFill>
                    <w14:schemeClr w14:val="tx1"/>
                  </w14:solidFill>
                </w14:textFill>
              </w:rPr>
            </w:pPr>
          </w:p>
        </w:tc>
        <w:tc>
          <w:tcPr>
            <w:tcW w:w="1548" w:type="dxa"/>
            <w:gridSpan w:val="2"/>
            <w:vAlign w:val="center"/>
          </w:tcPr>
          <w:p w14:paraId="5A51AC1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154238A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371CFB4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0AA4A8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5BAF390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3FAA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15552A3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6A7D53FA">
            <w:pPr>
              <w:jc w:val="center"/>
              <w:rPr>
                <w:color w:val="000000" w:themeColor="text1"/>
                <w:highlight w:val="none"/>
                <w14:textFill>
                  <w14:solidFill>
                    <w14:schemeClr w14:val="tx1"/>
                  </w14:solidFill>
                </w14:textFill>
              </w:rPr>
            </w:pPr>
          </w:p>
        </w:tc>
        <w:tc>
          <w:tcPr>
            <w:tcW w:w="1837" w:type="dxa"/>
            <w:gridSpan w:val="4"/>
            <w:vAlign w:val="center"/>
          </w:tcPr>
          <w:p w14:paraId="6AD93EE2">
            <w:pPr>
              <w:jc w:val="center"/>
              <w:rPr>
                <w:color w:val="000000" w:themeColor="text1"/>
                <w:highlight w:val="none"/>
                <w14:textFill>
                  <w14:solidFill>
                    <w14:schemeClr w14:val="tx1"/>
                  </w14:solidFill>
                </w14:textFill>
              </w:rPr>
            </w:pPr>
          </w:p>
        </w:tc>
        <w:tc>
          <w:tcPr>
            <w:tcW w:w="1472" w:type="dxa"/>
            <w:gridSpan w:val="3"/>
            <w:vAlign w:val="center"/>
          </w:tcPr>
          <w:p w14:paraId="1B79CC94">
            <w:pPr>
              <w:jc w:val="center"/>
              <w:rPr>
                <w:color w:val="000000" w:themeColor="text1"/>
                <w:highlight w:val="none"/>
                <w14:textFill>
                  <w14:solidFill>
                    <w14:schemeClr w14:val="tx1"/>
                  </w14:solidFill>
                </w14:textFill>
              </w:rPr>
            </w:pPr>
          </w:p>
        </w:tc>
        <w:tc>
          <w:tcPr>
            <w:tcW w:w="1641" w:type="dxa"/>
            <w:gridSpan w:val="4"/>
            <w:vAlign w:val="center"/>
          </w:tcPr>
          <w:p w14:paraId="12D55F42">
            <w:pPr>
              <w:jc w:val="center"/>
              <w:rPr>
                <w:color w:val="000000" w:themeColor="text1"/>
                <w:highlight w:val="none"/>
                <w14:textFill>
                  <w14:solidFill>
                    <w14:schemeClr w14:val="tx1"/>
                  </w14:solidFill>
                </w14:textFill>
              </w:rPr>
            </w:pPr>
          </w:p>
        </w:tc>
        <w:tc>
          <w:tcPr>
            <w:tcW w:w="1484" w:type="dxa"/>
            <w:gridSpan w:val="2"/>
            <w:vAlign w:val="center"/>
          </w:tcPr>
          <w:p w14:paraId="6E1CF043">
            <w:pPr>
              <w:jc w:val="center"/>
              <w:rPr>
                <w:color w:val="000000" w:themeColor="text1"/>
                <w:highlight w:val="none"/>
                <w14:textFill>
                  <w14:solidFill>
                    <w14:schemeClr w14:val="tx1"/>
                  </w14:solidFill>
                </w14:textFill>
              </w:rPr>
            </w:pPr>
          </w:p>
        </w:tc>
      </w:tr>
      <w:tr w14:paraId="613E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7E000F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242224FD">
            <w:pPr>
              <w:jc w:val="center"/>
              <w:rPr>
                <w:color w:val="000000" w:themeColor="text1"/>
                <w:highlight w:val="none"/>
                <w14:textFill>
                  <w14:solidFill>
                    <w14:schemeClr w14:val="tx1"/>
                  </w14:solidFill>
                </w14:textFill>
              </w:rPr>
            </w:pPr>
          </w:p>
        </w:tc>
        <w:tc>
          <w:tcPr>
            <w:tcW w:w="1837" w:type="dxa"/>
            <w:gridSpan w:val="4"/>
            <w:vAlign w:val="center"/>
          </w:tcPr>
          <w:p w14:paraId="5A15603E">
            <w:pPr>
              <w:jc w:val="center"/>
              <w:rPr>
                <w:color w:val="000000" w:themeColor="text1"/>
                <w:highlight w:val="none"/>
                <w14:textFill>
                  <w14:solidFill>
                    <w14:schemeClr w14:val="tx1"/>
                  </w14:solidFill>
                </w14:textFill>
              </w:rPr>
            </w:pPr>
          </w:p>
        </w:tc>
        <w:tc>
          <w:tcPr>
            <w:tcW w:w="1472" w:type="dxa"/>
            <w:gridSpan w:val="3"/>
            <w:vAlign w:val="center"/>
          </w:tcPr>
          <w:p w14:paraId="48E91C6E">
            <w:pPr>
              <w:jc w:val="center"/>
              <w:rPr>
                <w:color w:val="000000" w:themeColor="text1"/>
                <w:highlight w:val="none"/>
                <w14:textFill>
                  <w14:solidFill>
                    <w14:schemeClr w14:val="tx1"/>
                  </w14:solidFill>
                </w14:textFill>
              </w:rPr>
            </w:pPr>
          </w:p>
        </w:tc>
        <w:tc>
          <w:tcPr>
            <w:tcW w:w="1641" w:type="dxa"/>
            <w:gridSpan w:val="4"/>
            <w:vAlign w:val="center"/>
          </w:tcPr>
          <w:p w14:paraId="2A80851E">
            <w:pPr>
              <w:jc w:val="center"/>
              <w:rPr>
                <w:color w:val="000000" w:themeColor="text1"/>
                <w:highlight w:val="none"/>
                <w14:textFill>
                  <w14:solidFill>
                    <w14:schemeClr w14:val="tx1"/>
                  </w14:solidFill>
                </w14:textFill>
              </w:rPr>
            </w:pPr>
          </w:p>
        </w:tc>
        <w:tc>
          <w:tcPr>
            <w:tcW w:w="1484" w:type="dxa"/>
            <w:gridSpan w:val="2"/>
            <w:vAlign w:val="center"/>
          </w:tcPr>
          <w:p w14:paraId="2AEC3DC0">
            <w:pPr>
              <w:jc w:val="center"/>
              <w:rPr>
                <w:color w:val="000000" w:themeColor="text1"/>
                <w:highlight w:val="none"/>
                <w14:textFill>
                  <w14:solidFill>
                    <w14:schemeClr w14:val="tx1"/>
                  </w14:solidFill>
                </w14:textFill>
              </w:rPr>
            </w:pPr>
          </w:p>
        </w:tc>
      </w:tr>
      <w:tr w14:paraId="2F40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7372A3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67800DEE">
            <w:pPr>
              <w:jc w:val="center"/>
              <w:rPr>
                <w:color w:val="000000" w:themeColor="text1"/>
                <w:highlight w:val="none"/>
                <w14:textFill>
                  <w14:solidFill>
                    <w14:schemeClr w14:val="tx1"/>
                  </w14:solidFill>
                </w14:textFill>
              </w:rPr>
            </w:pPr>
          </w:p>
        </w:tc>
        <w:tc>
          <w:tcPr>
            <w:tcW w:w="1837" w:type="dxa"/>
            <w:gridSpan w:val="4"/>
            <w:vAlign w:val="center"/>
          </w:tcPr>
          <w:p w14:paraId="332DB25D">
            <w:pPr>
              <w:jc w:val="center"/>
              <w:rPr>
                <w:color w:val="000000" w:themeColor="text1"/>
                <w:highlight w:val="none"/>
                <w14:textFill>
                  <w14:solidFill>
                    <w14:schemeClr w14:val="tx1"/>
                  </w14:solidFill>
                </w14:textFill>
              </w:rPr>
            </w:pPr>
          </w:p>
        </w:tc>
        <w:tc>
          <w:tcPr>
            <w:tcW w:w="1472" w:type="dxa"/>
            <w:gridSpan w:val="3"/>
            <w:vAlign w:val="center"/>
          </w:tcPr>
          <w:p w14:paraId="0F06D9F4">
            <w:pPr>
              <w:jc w:val="center"/>
              <w:rPr>
                <w:color w:val="000000" w:themeColor="text1"/>
                <w:highlight w:val="none"/>
                <w14:textFill>
                  <w14:solidFill>
                    <w14:schemeClr w14:val="tx1"/>
                  </w14:solidFill>
                </w14:textFill>
              </w:rPr>
            </w:pPr>
          </w:p>
        </w:tc>
        <w:tc>
          <w:tcPr>
            <w:tcW w:w="1641" w:type="dxa"/>
            <w:gridSpan w:val="4"/>
            <w:vAlign w:val="center"/>
          </w:tcPr>
          <w:p w14:paraId="6E608CF6">
            <w:pPr>
              <w:jc w:val="center"/>
              <w:rPr>
                <w:color w:val="000000" w:themeColor="text1"/>
                <w:highlight w:val="none"/>
                <w14:textFill>
                  <w14:solidFill>
                    <w14:schemeClr w14:val="tx1"/>
                  </w14:solidFill>
                </w14:textFill>
              </w:rPr>
            </w:pPr>
          </w:p>
        </w:tc>
        <w:tc>
          <w:tcPr>
            <w:tcW w:w="1484" w:type="dxa"/>
            <w:gridSpan w:val="2"/>
            <w:vAlign w:val="center"/>
          </w:tcPr>
          <w:p w14:paraId="39B5696E">
            <w:pPr>
              <w:jc w:val="center"/>
              <w:rPr>
                <w:color w:val="000000" w:themeColor="text1"/>
                <w:highlight w:val="none"/>
                <w14:textFill>
                  <w14:solidFill>
                    <w14:schemeClr w14:val="tx1"/>
                  </w14:solidFill>
                </w14:textFill>
              </w:rPr>
            </w:pPr>
          </w:p>
        </w:tc>
      </w:tr>
      <w:tr w14:paraId="6513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08A6147">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2227FBF3">
            <w:pPr>
              <w:jc w:val="center"/>
              <w:rPr>
                <w:color w:val="000000" w:themeColor="text1"/>
                <w:highlight w:val="none"/>
                <w14:textFill>
                  <w14:solidFill>
                    <w14:schemeClr w14:val="tx1"/>
                  </w14:solidFill>
                </w14:textFill>
              </w:rPr>
            </w:pPr>
          </w:p>
        </w:tc>
        <w:tc>
          <w:tcPr>
            <w:tcW w:w="1837" w:type="dxa"/>
            <w:gridSpan w:val="4"/>
            <w:vAlign w:val="center"/>
          </w:tcPr>
          <w:p w14:paraId="2A4068E4">
            <w:pPr>
              <w:jc w:val="center"/>
              <w:rPr>
                <w:color w:val="000000" w:themeColor="text1"/>
                <w:highlight w:val="none"/>
                <w14:textFill>
                  <w14:solidFill>
                    <w14:schemeClr w14:val="tx1"/>
                  </w14:solidFill>
                </w14:textFill>
              </w:rPr>
            </w:pPr>
          </w:p>
        </w:tc>
        <w:tc>
          <w:tcPr>
            <w:tcW w:w="1472" w:type="dxa"/>
            <w:gridSpan w:val="3"/>
            <w:vAlign w:val="center"/>
          </w:tcPr>
          <w:p w14:paraId="773D4C7F">
            <w:pPr>
              <w:jc w:val="center"/>
              <w:rPr>
                <w:color w:val="000000" w:themeColor="text1"/>
                <w:highlight w:val="none"/>
                <w14:textFill>
                  <w14:solidFill>
                    <w14:schemeClr w14:val="tx1"/>
                  </w14:solidFill>
                </w14:textFill>
              </w:rPr>
            </w:pPr>
          </w:p>
        </w:tc>
        <w:tc>
          <w:tcPr>
            <w:tcW w:w="1641" w:type="dxa"/>
            <w:gridSpan w:val="4"/>
            <w:vAlign w:val="center"/>
          </w:tcPr>
          <w:p w14:paraId="1392032D">
            <w:pPr>
              <w:jc w:val="center"/>
              <w:rPr>
                <w:color w:val="000000" w:themeColor="text1"/>
                <w:highlight w:val="none"/>
                <w14:textFill>
                  <w14:solidFill>
                    <w14:schemeClr w14:val="tx1"/>
                  </w14:solidFill>
                </w14:textFill>
              </w:rPr>
            </w:pPr>
          </w:p>
        </w:tc>
        <w:tc>
          <w:tcPr>
            <w:tcW w:w="1484" w:type="dxa"/>
            <w:gridSpan w:val="2"/>
            <w:vAlign w:val="center"/>
          </w:tcPr>
          <w:p w14:paraId="408B18C2">
            <w:pPr>
              <w:jc w:val="center"/>
              <w:rPr>
                <w:color w:val="000000" w:themeColor="text1"/>
                <w:highlight w:val="none"/>
                <w14:textFill>
                  <w14:solidFill>
                    <w14:schemeClr w14:val="tx1"/>
                  </w14:solidFill>
                </w14:textFill>
              </w:rPr>
            </w:pPr>
          </w:p>
        </w:tc>
      </w:tr>
      <w:tr w14:paraId="4693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26143B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54DE5651">
            <w:pPr>
              <w:jc w:val="center"/>
              <w:rPr>
                <w:color w:val="000000" w:themeColor="text1"/>
                <w:highlight w:val="none"/>
                <w14:textFill>
                  <w14:solidFill>
                    <w14:schemeClr w14:val="tx1"/>
                  </w14:solidFill>
                </w14:textFill>
              </w:rPr>
            </w:pPr>
          </w:p>
        </w:tc>
        <w:tc>
          <w:tcPr>
            <w:tcW w:w="1837" w:type="dxa"/>
            <w:gridSpan w:val="4"/>
            <w:vAlign w:val="center"/>
          </w:tcPr>
          <w:p w14:paraId="28FE09CE">
            <w:pPr>
              <w:jc w:val="center"/>
              <w:rPr>
                <w:color w:val="000000" w:themeColor="text1"/>
                <w:highlight w:val="none"/>
                <w14:textFill>
                  <w14:solidFill>
                    <w14:schemeClr w14:val="tx1"/>
                  </w14:solidFill>
                </w14:textFill>
              </w:rPr>
            </w:pPr>
          </w:p>
        </w:tc>
        <w:tc>
          <w:tcPr>
            <w:tcW w:w="1472" w:type="dxa"/>
            <w:gridSpan w:val="3"/>
            <w:vAlign w:val="center"/>
          </w:tcPr>
          <w:p w14:paraId="17C080A2">
            <w:pPr>
              <w:jc w:val="center"/>
              <w:rPr>
                <w:color w:val="000000" w:themeColor="text1"/>
                <w:highlight w:val="none"/>
                <w14:textFill>
                  <w14:solidFill>
                    <w14:schemeClr w14:val="tx1"/>
                  </w14:solidFill>
                </w14:textFill>
              </w:rPr>
            </w:pPr>
          </w:p>
        </w:tc>
        <w:tc>
          <w:tcPr>
            <w:tcW w:w="1641" w:type="dxa"/>
            <w:gridSpan w:val="4"/>
            <w:vAlign w:val="center"/>
          </w:tcPr>
          <w:p w14:paraId="3BD87CA5">
            <w:pPr>
              <w:jc w:val="center"/>
              <w:rPr>
                <w:color w:val="000000" w:themeColor="text1"/>
                <w:highlight w:val="none"/>
                <w14:textFill>
                  <w14:solidFill>
                    <w14:schemeClr w14:val="tx1"/>
                  </w14:solidFill>
                </w14:textFill>
              </w:rPr>
            </w:pPr>
          </w:p>
        </w:tc>
        <w:tc>
          <w:tcPr>
            <w:tcW w:w="1484" w:type="dxa"/>
            <w:gridSpan w:val="2"/>
            <w:vAlign w:val="center"/>
          </w:tcPr>
          <w:p w14:paraId="3952C3AE">
            <w:pPr>
              <w:jc w:val="center"/>
              <w:rPr>
                <w:color w:val="000000" w:themeColor="text1"/>
                <w:highlight w:val="none"/>
                <w14:textFill>
                  <w14:solidFill>
                    <w14:schemeClr w14:val="tx1"/>
                  </w14:solidFill>
                </w14:textFill>
              </w:rPr>
            </w:pPr>
          </w:p>
        </w:tc>
      </w:tr>
      <w:tr w14:paraId="3A00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9049D9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55074E5C">
            <w:pPr>
              <w:jc w:val="center"/>
              <w:rPr>
                <w:color w:val="000000" w:themeColor="text1"/>
                <w:highlight w:val="none"/>
                <w14:textFill>
                  <w14:solidFill>
                    <w14:schemeClr w14:val="tx1"/>
                  </w14:solidFill>
                </w14:textFill>
              </w:rPr>
            </w:pPr>
          </w:p>
        </w:tc>
        <w:tc>
          <w:tcPr>
            <w:tcW w:w="1837" w:type="dxa"/>
            <w:gridSpan w:val="4"/>
            <w:vAlign w:val="center"/>
          </w:tcPr>
          <w:p w14:paraId="7C868CED">
            <w:pPr>
              <w:jc w:val="center"/>
              <w:rPr>
                <w:color w:val="000000" w:themeColor="text1"/>
                <w:highlight w:val="none"/>
                <w14:textFill>
                  <w14:solidFill>
                    <w14:schemeClr w14:val="tx1"/>
                  </w14:solidFill>
                </w14:textFill>
              </w:rPr>
            </w:pPr>
          </w:p>
        </w:tc>
        <w:tc>
          <w:tcPr>
            <w:tcW w:w="1472" w:type="dxa"/>
            <w:gridSpan w:val="3"/>
            <w:vAlign w:val="center"/>
          </w:tcPr>
          <w:p w14:paraId="40E15406">
            <w:pPr>
              <w:jc w:val="center"/>
              <w:rPr>
                <w:color w:val="000000" w:themeColor="text1"/>
                <w:highlight w:val="none"/>
                <w14:textFill>
                  <w14:solidFill>
                    <w14:schemeClr w14:val="tx1"/>
                  </w14:solidFill>
                </w14:textFill>
              </w:rPr>
            </w:pPr>
          </w:p>
        </w:tc>
        <w:tc>
          <w:tcPr>
            <w:tcW w:w="1641" w:type="dxa"/>
            <w:gridSpan w:val="4"/>
            <w:vAlign w:val="center"/>
          </w:tcPr>
          <w:p w14:paraId="543CB3C4">
            <w:pPr>
              <w:jc w:val="center"/>
              <w:rPr>
                <w:color w:val="000000" w:themeColor="text1"/>
                <w:highlight w:val="none"/>
                <w14:textFill>
                  <w14:solidFill>
                    <w14:schemeClr w14:val="tx1"/>
                  </w14:solidFill>
                </w14:textFill>
              </w:rPr>
            </w:pPr>
          </w:p>
        </w:tc>
        <w:tc>
          <w:tcPr>
            <w:tcW w:w="1484" w:type="dxa"/>
            <w:gridSpan w:val="2"/>
            <w:vAlign w:val="center"/>
          </w:tcPr>
          <w:p w14:paraId="2ACE6FBD">
            <w:pPr>
              <w:jc w:val="center"/>
              <w:rPr>
                <w:color w:val="000000" w:themeColor="text1"/>
                <w:highlight w:val="none"/>
                <w14:textFill>
                  <w14:solidFill>
                    <w14:schemeClr w14:val="tx1"/>
                  </w14:solidFill>
                </w14:textFill>
              </w:rPr>
            </w:pPr>
          </w:p>
        </w:tc>
      </w:tr>
      <w:tr w14:paraId="06DA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E406CA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43207D02">
            <w:pPr>
              <w:jc w:val="center"/>
              <w:rPr>
                <w:color w:val="000000" w:themeColor="text1"/>
                <w:highlight w:val="none"/>
                <w14:textFill>
                  <w14:solidFill>
                    <w14:schemeClr w14:val="tx1"/>
                  </w14:solidFill>
                </w14:textFill>
              </w:rPr>
            </w:pPr>
          </w:p>
        </w:tc>
        <w:tc>
          <w:tcPr>
            <w:tcW w:w="1837" w:type="dxa"/>
            <w:gridSpan w:val="4"/>
            <w:vAlign w:val="center"/>
          </w:tcPr>
          <w:p w14:paraId="5F9DEF91">
            <w:pPr>
              <w:jc w:val="center"/>
              <w:rPr>
                <w:color w:val="000000" w:themeColor="text1"/>
                <w:highlight w:val="none"/>
                <w14:textFill>
                  <w14:solidFill>
                    <w14:schemeClr w14:val="tx1"/>
                  </w14:solidFill>
                </w14:textFill>
              </w:rPr>
            </w:pPr>
          </w:p>
        </w:tc>
        <w:tc>
          <w:tcPr>
            <w:tcW w:w="1472" w:type="dxa"/>
            <w:gridSpan w:val="3"/>
            <w:vAlign w:val="center"/>
          </w:tcPr>
          <w:p w14:paraId="7868D41A">
            <w:pPr>
              <w:jc w:val="center"/>
              <w:rPr>
                <w:color w:val="000000" w:themeColor="text1"/>
                <w:highlight w:val="none"/>
                <w14:textFill>
                  <w14:solidFill>
                    <w14:schemeClr w14:val="tx1"/>
                  </w14:solidFill>
                </w14:textFill>
              </w:rPr>
            </w:pPr>
          </w:p>
        </w:tc>
        <w:tc>
          <w:tcPr>
            <w:tcW w:w="1641" w:type="dxa"/>
            <w:gridSpan w:val="4"/>
            <w:vAlign w:val="center"/>
          </w:tcPr>
          <w:p w14:paraId="4745BED6">
            <w:pPr>
              <w:jc w:val="center"/>
              <w:rPr>
                <w:color w:val="000000" w:themeColor="text1"/>
                <w:highlight w:val="none"/>
                <w14:textFill>
                  <w14:solidFill>
                    <w14:schemeClr w14:val="tx1"/>
                  </w14:solidFill>
                </w14:textFill>
              </w:rPr>
            </w:pPr>
          </w:p>
        </w:tc>
        <w:tc>
          <w:tcPr>
            <w:tcW w:w="1484" w:type="dxa"/>
            <w:gridSpan w:val="2"/>
            <w:vAlign w:val="center"/>
          </w:tcPr>
          <w:p w14:paraId="623A2C56">
            <w:pPr>
              <w:jc w:val="center"/>
              <w:rPr>
                <w:color w:val="000000" w:themeColor="text1"/>
                <w:highlight w:val="none"/>
                <w14:textFill>
                  <w14:solidFill>
                    <w14:schemeClr w14:val="tx1"/>
                  </w14:solidFill>
                </w14:textFill>
              </w:rPr>
            </w:pPr>
          </w:p>
        </w:tc>
      </w:tr>
      <w:tr w14:paraId="24E2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ED10718">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31A94B72">
            <w:pPr>
              <w:jc w:val="center"/>
              <w:rPr>
                <w:color w:val="000000" w:themeColor="text1"/>
                <w:highlight w:val="none"/>
                <w14:textFill>
                  <w14:solidFill>
                    <w14:schemeClr w14:val="tx1"/>
                  </w14:solidFill>
                </w14:textFill>
              </w:rPr>
            </w:pPr>
          </w:p>
        </w:tc>
        <w:tc>
          <w:tcPr>
            <w:tcW w:w="1837" w:type="dxa"/>
            <w:gridSpan w:val="4"/>
            <w:vAlign w:val="center"/>
          </w:tcPr>
          <w:p w14:paraId="789C6556">
            <w:pPr>
              <w:jc w:val="center"/>
              <w:rPr>
                <w:color w:val="000000" w:themeColor="text1"/>
                <w:highlight w:val="none"/>
                <w14:textFill>
                  <w14:solidFill>
                    <w14:schemeClr w14:val="tx1"/>
                  </w14:solidFill>
                </w14:textFill>
              </w:rPr>
            </w:pPr>
          </w:p>
        </w:tc>
        <w:tc>
          <w:tcPr>
            <w:tcW w:w="1472" w:type="dxa"/>
            <w:gridSpan w:val="3"/>
            <w:vAlign w:val="center"/>
          </w:tcPr>
          <w:p w14:paraId="359D4468">
            <w:pPr>
              <w:jc w:val="center"/>
              <w:rPr>
                <w:color w:val="000000" w:themeColor="text1"/>
                <w:highlight w:val="none"/>
                <w14:textFill>
                  <w14:solidFill>
                    <w14:schemeClr w14:val="tx1"/>
                  </w14:solidFill>
                </w14:textFill>
              </w:rPr>
            </w:pPr>
          </w:p>
        </w:tc>
        <w:tc>
          <w:tcPr>
            <w:tcW w:w="1641" w:type="dxa"/>
            <w:gridSpan w:val="4"/>
            <w:vAlign w:val="center"/>
          </w:tcPr>
          <w:p w14:paraId="4FCE8C0B">
            <w:pPr>
              <w:jc w:val="center"/>
              <w:rPr>
                <w:color w:val="000000" w:themeColor="text1"/>
                <w:highlight w:val="none"/>
                <w14:textFill>
                  <w14:solidFill>
                    <w14:schemeClr w14:val="tx1"/>
                  </w14:solidFill>
                </w14:textFill>
              </w:rPr>
            </w:pPr>
          </w:p>
        </w:tc>
        <w:tc>
          <w:tcPr>
            <w:tcW w:w="1484" w:type="dxa"/>
            <w:gridSpan w:val="2"/>
            <w:vAlign w:val="center"/>
          </w:tcPr>
          <w:p w14:paraId="15817D4F">
            <w:pPr>
              <w:jc w:val="center"/>
              <w:rPr>
                <w:color w:val="000000" w:themeColor="text1"/>
                <w:highlight w:val="none"/>
                <w14:textFill>
                  <w14:solidFill>
                    <w14:schemeClr w14:val="tx1"/>
                  </w14:solidFill>
                </w14:textFill>
              </w:rPr>
            </w:pPr>
          </w:p>
        </w:tc>
      </w:tr>
      <w:tr w14:paraId="4E73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DEF4E0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5A308D41">
            <w:pPr>
              <w:jc w:val="center"/>
              <w:rPr>
                <w:color w:val="000000" w:themeColor="text1"/>
                <w:highlight w:val="none"/>
                <w14:textFill>
                  <w14:solidFill>
                    <w14:schemeClr w14:val="tx1"/>
                  </w14:solidFill>
                </w14:textFill>
              </w:rPr>
            </w:pPr>
          </w:p>
        </w:tc>
        <w:tc>
          <w:tcPr>
            <w:tcW w:w="1837" w:type="dxa"/>
            <w:gridSpan w:val="4"/>
            <w:vAlign w:val="center"/>
          </w:tcPr>
          <w:p w14:paraId="5CB38452">
            <w:pPr>
              <w:jc w:val="center"/>
              <w:rPr>
                <w:color w:val="000000" w:themeColor="text1"/>
                <w:highlight w:val="none"/>
                <w14:textFill>
                  <w14:solidFill>
                    <w14:schemeClr w14:val="tx1"/>
                  </w14:solidFill>
                </w14:textFill>
              </w:rPr>
            </w:pPr>
          </w:p>
        </w:tc>
        <w:tc>
          <w:tcPr>
            <w:tcW w:w="1472" w:type="dxa"/>
            <w:gridSpan w:val="3"/>
            <w:vAlign w:val="center"/>
          </w:tcPr>
          <w:p w14:paraId="3C377A3A">
            <w:pPr>
              <w:jc w:val="center"/>
              <w:rPr>
                <w:color w:val="000000" w:themeColor="text1"/>
                <w:highlight w:val="none"/>
                <w14:textFill>
                  <w14:solidFill>
                    <w14:schemeClr w14:val="tx1"/>
                  </w14:solidFill>
                </w14:textFill>
              </w:rPr>
            </w:pPr>
          </w:p>
        </w:tc>
        <w:tc>
          <w:tcPr>
            <w:tcW w:w="1641" w:type="dxa"/>
            <w:gridSpan w:val="4"/>
            <w:vAlign w:val="center"/>
          </w:tcPr>
          <w:p w14:paraId="7B7F6B16">
            <w:pPr>
              <w:jc w:val="center"/>
              <w:rPr>
                <w:color w:val="000000" w:themeColor="text1"/>
                <w:highlight w:val="none"/>
                <w14:textFill>
                  <w14:solidFill>
                    <w14:schemeClr w14:val="tx1"/>
                  </w14:solidFill>
                </w14:textFill>
              </w:rPr>
            </w:pPr>
          </w:p>
        </w:tc>
        <w:tc>
          <w:tcPr>
            <w:tcW w:w="1484" w:type="dxa"/>
            <w:gridSpan w:val="2"/>
            <w:vAlign w:val="center"/>
          </w:tcPr>
          <w:p w14:paraId="7BF3F391">
            <w:pPr>
              <w:jc w:val="center"/>
              <w:rPr>
                <w:color w:val="000000" w:themeColor="text1"/>
                <w:highlight w:val="none"/>
                <w14:textFill>
                  <w14:solidFill>
                    <w14:schemeClr w14:val="tx1"/>
                  </w14:solidFill>
                </w14:textFill>
              </w:rPr>
            </w:pPr>
          </w:p>
        </w:tc>
      </w:tr>
    </w:tbl>
    <w:p w14:paraId="4C5AFCA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楷体_GB2312"/>
          <w:color w:val="000000" w:themeColor="text1"/>
          <w:szCs w:val="21"/>
          <w:highlight w:val="none"/>
          <w14:textFill>
            <w14:solidFill>
              <w14:schemeClr w14:val="tx1"/>
            </w14:solidFill>
          </w14:textFill>
        </w:rPr>
        <w:t>备注：</w:t>
      </w:r>
    </w:p>
    <w:p w14:paraId="1C9DF48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.项目</w:t>
      </w:r>
      <w:r>
        <w:rPr>
          <w:rFonts w:ascii="宋体" w:hAnsi="宋体"/>
          <w:color w:val="000000" w:themeColor="text1"/>
          <w:szCs w:val="21"/>
          <w:highlight w:val="none"/>
          <w14:textFill>
            <w14:solidFill>
              <w14:schemeClr w14:val="tx1"/>
            </w14:solidFill>
          </w14:textFill>
        </w:rPr>
        <w:t>数</w:t>
      </w:r>
      <w:r>
        <w:rPr>
          <w:rFonts w:hint="eastAsia" w:ascii="宋体" w:hAnsi="宋体"/>
          <w:color w:val="000000" w:themeColor="text1"/>
          <w:szCs w:val="21"/>
          <w:highlight w:val="none"/>
          <w14:textFill>
            <w14:solidFill>
              <w14:schemeClr w14:val="tx1"/>
            </w14:solidFill>
          </w14:textFill>
        </w:rPr>
        <w:t>可</w:t>
      </w:r>
      <w:r>
        <w:rPr>
          <w:rFonts w:ascii="宋体" w:hAnsi="宋体"/>
          <w:color w:val="000000" w:themeColor="text1"/>
          <w:szCs w:val="21"/>
          <w:highlight w:val="none"/>
          <w14:textFill>
            <w14:solidFill>
              <w14:schemeClr w14:val="tx1"/>
            </w14:solidFill>
          </w14:textFill>
        </w:rPr>
        <w:t>以根据需要增加。</w:t>
      </w:r>
    </w:p>
    <w:p w14:paraId="2612302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2.本表后附项目技术负责人（项目总工）的</w:t>
      </w:r>
      <w:r>
        <w:rPr>
          <w:color w:val="000000" w:themeColor="text1"/>
          <w:highlight w:val="none"/>
          <w14:textFill>
            <w14:solidFill>
              <w14:schemeClr w14:val="tx1"/>
            </w14:solidFill>
          </w14:textFill>
        </w:rPr>
        <w:t>职称证书复印件（或打印件）</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本表所列证书复印件并加盖供应商电子签章。</w:t>
      </w:r>
    </w:p>
    <w:p w14:paraId="3711C5FE">
      <w:pPr>
        <w:spacing w:line="360" w:lineRule="auto"/>
        <w:rPr>
          <w:rFonts w:eastAsia="楷体_GB2312"/>
          <w:color w:val="000000" w:themeColor="text1"/>
          <w:highlight w:val="none"/>
          <w14:textFill>
            <w14:solidFill>
              <w14:schemeClr w14:val="tx1"/>
            </w14:solidFill>
          </w14:textFill>
        </w:rPr>
      </w:pPr>
    </w:p>
    <w:p w14:paraId="51FDE450">
      <w:pPr>
        <w:pStyle w:val="157"/>
        <w:spacing w:line="360" w:lineRule="auto"/>
        <w:jc w:val="center"/>
        <w:outlineLvl w:val="0"/>
        <w:rPr>
          <w:color w:val="000000" w:themeColor="text1"/>
          <w:sz w:val="28"/>
          <w:szCs w:val="28"/>
          <w:highlight w:val="none"/>
          <w:u w:val="single"/>
          <w14:textFill>
            <w14:solidFill>
              <w14:schemeClr w14:val="tx1"/>
            </w14:solidFill>
          </w14:textFill>
        </w:rPr>
      </w:pPr>
      <w:r>
        <w:rPr>
          <w:rFonts w:cs="宋体"/>
          <w:b/>
          <w:bCs/>
          <w:color w:val="000000" w:themeColor="text1"/>
          <w:sz w:val="28"/>
          <w:szCs w:val="28"/>
          <w:highlight w:val="none"/>
          <w14:textFill>
            <w14:solidFill>
              <w14:schemeClr w14:val="tx1"/>
            </w14:solidFill>
          </w14:textFill>
        </w:rPr>
        <w:br w:type="page"/>
      </w:r>
      <w:bookmarkStart w:id="185" w:name="_Toc122424266"/>
      <w:bookmarkStart w:id="186" w:name="_Toc122424017"/>
      <w:r>
        <w:rPr>
          <w:rFonts w:hint="eastAsia" w:cs="宋体"/>
          <w:b/>
          <w:color w:val="000000" w:themeColor="text1"/>
          <w:sz w:val="28"/>
          <w:szCs w:val="28"/>
          <w:highlight w:val="none"/>
          <w14:textFill>
            <w14:solidFill>
              <w14:schemeClr w14:val="tx1"/>
            </w14:solidFill>
          </w14:textFill>
        </w:rPr>
        <w:t>专职安全生产管理人员</w:t>
      </w:r>
      <w:bookmarkEnd w:id="185"/>
      <w:bookmarkEnd w:id="186"/>
    </w:p>
    <w:tbl>
      <w:tblPr>
        <w:tblStyle w:val="4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32F1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347037B9">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姓名</w:t>
            </w:r>
          </w:p>
        </w:tc>
        <w:tc>
          <w:tcPr>
            <w:tcW w:w="2340" w:type="dxa"/>
            <w:gridSpan w:val="5"/>
            <w:vAlign w:val="center"/>
          </w:tcPr>
          <w:p w14:paraId="41DEB975">
            <w:pPr>
              <w:jc w:val="center"/>
              <w:rPr>
                <w:color w:val="000000" w:themeColor="text1"/>
                <w:highlight w:val="none"/>
                <w14:textFill>
                  <w14:solidFill>
                    <w14:schemeClr w14:val="tx1"/>
                  </w14:solidFill>
                </w14:textFill>
              </w:rPr>
            </w:pPr>
          </w:p>
        </w:tc>
        <w:tc>
          <w:tcPr>
            <w:tcW w:w="1893" w:type="dxa"/>
            <w:gridSpan w:val="5"/>
            <w:vAlign w:val="center"/>
          </w:tcPr>
          <w:p w14:paraId="2CB9692C">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性别</w:t>
            </w:r>
          </w:p>
        </w:tc>
        <w:tc>
          <w:tcPr>
            <w:tcW w:w="1585" w:type="dxa"/>
            <w:gridSpan w:val="3"/>
            <w:vAlign w:val="center"/>
          </w:tcPr>
          <w:p w14:paraId="5C15282E">
            <w:pPr>
              <w:jc w:val="center"/>
              <w:rPr>
                <w:color w:val="000000" w:themeColor="text1"/>
                <w:highlight w:val="none"/>
                <w14:textFill>
                  <w14:solidFill>
                    <w14:schemeClr w14:val="tx1"/>
                  </w14:solidFill>
                </w14:textFill>
              </w:rPr>
            </w:pPr>
          </w:p>
        </w:tc>
        <w:tc>
          <w:tcPr>
            <w:tcW w:w="1108" w:type="dxa"/>
            <w:vAlign w:val="center"/>
          </w:tcPr>
          <w:p w14:paraId="552C2C6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年龄</w:t>
            </w:r>
          </w:p>
        </w:tc>
        <w:tc>
          <w:tcPr>
            <w:tcW w:w="1531" w:type="dxa"/>
            <w:gridSpan w:val="4"/>
            <w:vAlign w:val="center"/>
          </w:tcPr>
          <w:p w14:paraId="35B21A2B">
            <w:pPr>
              <w:jc w:val="center"/>
              <w:rPr>
                <w:color w:val="000000" w:themeColor="text1"/>
                <w:highlight w:val="none"/>
                <w14:textFill>
                  <w14:solidFill>
                    <w14:schemeClr w14:val="tx1"/>
                  </w14:solidFill>
                </w14:textFill>
              </w:rPr>
            </w:pPr>
          </w:p>
        </w:tc>
      </w:tr>
      <w:tr w14:paraId="2B3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7559F14">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岗位</w:t>
            </w:r>
          </w:p>
        </w:tc>
        <w:tc>
          <w:tcPr>
            <w:tcW w:w="2340" w:type="dxa"/>
            <w:gridSpan w:val="5"/>
            <w:vAlign w:val="center"/>
          </w:tcPr>
          <w:p w14:paraId="66ADE68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专职安全生产管理人员</w:t>
            </w:r>
          </w:p>
        </w:tc>
        <w:tc>
          <w:tcPr>
            <w:tcW w:w="1893" w:type="dxa"/>
            <w:gridSpan w:val="5"/>
            <w:vAlign w:val="center"/>
          </w:tcPr>
          <w:p w14:paraId="2458C1F2">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p>
        </w:tc>
        <w:tc>
          <w:tcPr>
            <w:tcW w:w="1585" w:type="dxa"/>
            <w:gridSpan w:val="3"/>
            <w:vAlign w:val="center"/>
          </w:tcPr>
          <w:p w14:paraId="4D05BBE9">
            <w:pPr>
              <w:jc w:val="center"/>
              <w:rPr>
                <w:color w:val="000000" w:themeColor="text1"/>
                <w:highlight w:val="none"/>
                <w14:textFill>
                  <w14:solidFill>
                    <w14:schemeClr w14:val="tx1"/>
                  </w14:solidFill>
                </w14:textFill>
              </w:rPr>
            </w:pPr>
          </w:p>
        </w:tc>
        <w:tc>
          <w:tcPr>
            <w:tcW w:w="1108" w:type="dxa"/>
            <w:vAlign w:val="center"/>
          </w:tcPr>
          <w:p w14:paraId="17680000">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学历</w:t>
            </w:r>
          </w:p>
        </w:tc>
        <w:tc>
          <w:tcPr>
            <w:tcW w:w="1531" w:type="dxa"/>
            <w:gridSpan w:val="4"/>
            <w:vAlign w:val="center"/>
          </w:tcPr>
          <w:p w14:paraId="03F5BC32">
            <w:pPr>
              <w:jc w:val="center"/>
              <w:rPr>
                <w:color w:val="000000" w:themeColor="text1"/>
                <w:highlight w:val="none"/>
                <w14:textFill>
                  <w14:solidFill>
                    <w14:schemeClr w14:val="tx1"/>
                  </w14:solidFill>
                </w14:textFill>
              </w:rPr>
            </w:pPr>
          </w:p>
        </w:tc>
      </w:tr>
      <w:tr w14:paraId="2D31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32322E7E">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从业开始时间</w:t>
            </w:r>
          </w:p>
        </w:tc>
        <w:tc>
          <w:tcPr>
            <w:tcW w:w="2340" w:type="dxa"/>
            <w:gridSpan w:val="5"/>
            <w:vAlign w:val="center"/>
          </w:tcPr>
          <w:p w14:paraId="47350F65">
            <w:pPr>
              <w:jc w:val="center"/>
              <w:rPr>
                <w:color w:val="000000" w:themeColor="text1"/>
                <w:highlight w:val="none"/>
                <w14:textFill>
                  <w14:solidFill>
                    <w14:schemeClr w14:val="tx1"/>
                  </w14:solidFill>
                </w14:textFill>
              </w:rPr>
            </w:pPr>
          </w:p>
        </w:tc>
        <w:tc>
          <w:tcPr>
            <w:tcW w:w="1893" w:type="dxa"/>
            <w:gridSpan w:val="5"/>
            <w:vAlign w:val="center"/>
          </w:tcPr>
          <w:p w14:paraId="50016A45">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职称</w:t>
            </w:r>
            <w:r>
              <w:rPr>
                <w:rFonts w:cs="宋体"/>
                <w:color w:val="000000" w:themeColor="text1"/>
                <w:highlight w:val="none"/>
                <w14:textFill>
                  <w14:solidFill>
                    <w14:schemeClr w14:val="tx1"/>
                  </w14:solidFill>
                </w14:textFill>
              </w:rPr>
              <w:t>获</w:t>
            </w:r>
            <w:r>
              <w:rPr>
                <w:rFonts w:hint="eastAsia" w:cs="宋体"/>
                <w:color w:val="000000" w:themeColor="text1"/>
                <w:highlight w:val="none"/>
                <w14:textFill>
                  <w14:solidFill>
                    <w14:schemeClr w14:val="tx1"/>
                  </w14:solidFill>
                </w14:textFill>
              </w:rPr>
              <w:t>得</w:t>
            </w:r>
            <w:r>
              <w:rPr>
                <w:rFonts w:cs="宋体"/>
                <w:color w:val="000000" w:themeColor="text1"/>
                <w:highlight w:val="none"/>
                <w14:textFill>
                  <w14:solidFill>
                    <w14:schemeClr w14:val="tx1"/>
                  </w14:solidFill>
                </w14:textFill>
              </w:rPr>
              <w:t>时间</w:t>
            </w:r>
          </w:p>
        </w:tc>
        <w:tc>
          <w:tcPr>
            <w:tcW w:w="1585" w:type="dxa"/>
            <w:gridSpan w:val="3"/>
            <w:vAlign w:val="center"/>
          </w:tcPr>
          <w:p w14:paraId="5D340828">
            <w:pPr>
              <w:jc w:val="center"/>
              <w:rPr>
                <w:color w:val="000000" w:themeColor="text1"/>
                <w:highlight w:val="none"/>
                <w14:textFill>
                  <w14:solidFill>
                    <w14:schemeClr w14:val="tx1"/>
                  </w14:solidFill>
                </w14:textFill>
              </w:rPr>
            </w:pPr>
          </w:p>
        </w:tc>
        <w:tc>
          <w:tcPr>
            <w:tcW w:w="1108" w:type="dxa"/>
            <w:vAlign w:val="center"/>
          </w:tcPr>
          <w:p w14:paraId="68065A65">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毕业时间</w:t>
            </w:r>
          </w:p>
        </w:tc>
        <w:tc>
          <w:tcPr>
            <w:tcW w:w="1531" w:type="dxa"/>
            <w:gridSpan w:val="4"/>
            <w:vAlign w:val="center"/>
          </w:tcPr>
          <w:p w14:paraId="50E58CC9">
            <w:pPr>
              <w:jc w:val="center"/>
              <w:rPr>
                <w:color w:val="000000" w:themeColor="text1"/>
                <w:highlight w:val="none"/>
                <w14:textFill>
                  <w14:solidFill>
                    <w14:schemeClr w14:val="tx1"/>
                  </w14:solidFill>
                </w14:textFill>
              </w:rPr>
            </w:pPr>
          </w:p>
        </w:tc>
      </w:tr>
      <w:tr w14:paraId="55B7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6DF4881">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担任……年限</w:t>
            </w:r>
          </w:p>
        </w:tc>
        <w:tc>
          <w:tcPr>
            <w:tcW w:w="2563" w:type="dxa"/>
            <w:gridSpan w:val="6"/>
            <w:vAlign w:val="center"/>
          </w:tcPr>
          <w:p w14:paraId="43007A73">
            <w:pPr>
              <w:jc w:val="center"/>
              <w:rPr>
                <w:color w:val="000000" w:themeColor="text1"/>
                <w:highlight w:val="none"/>
                <w14:textFill>
                  <w14:solidFill>
                    <w14:schemeClr w14:val="tx1"/>
                  </w14:solidFill>
                </w14:textFill>
              </w:rPr>
            </w:pPr>
          </w:p>
        </w:tc>
        <w:tc>
          <w:tcPr>
            <w:tcW w:w="1209" w:type="dxa"/>
            <w:vAlign w:val="center"/>
          </w:tcPr>
          <w:p w14:paraId="16D9889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身份</w:t>
            </w:r>
            <w:r>
              <w:rPr>
                <w:color w:val="000000" w:themeColor="text1"/>
                <w:highlight w:val="none"/>
                <w14:textFill>
                  <w14:solidFill>
                    <w14:schemeClr w14:val="tx1"/>
                  </w14:solidFill>
                </w14:textFill>
              </w:rPr>
              <w:t>证号码</w:t>
            </w:r>
          </w:p>
        </w:tc>
        <w:tc>
          <w:tcPr>
            <w:tcW w:w="4608" w:type="dxa"/>
            <w:gridSpan w:val="10"/>
            <w:vAlign w:val="center"/>
          </w:tcPr>
          <w:p w14:paraId="567CB921">
            <w:pPr>
              <w:jc w:val="center"/>
              <w:rPr>
                <w:color w:val="000000" w:themeColor="text1"/>
                <w:highlight w:val="none"/>
                <w14:textFill>
                  <w14:solidFill>
                    <w14:schemeClr w14:val="tx1"/>
                  </w14:solidFill>
                </w14:textFill>
              </w:rPr>
            </w:pPr>
          </w:p>
        </w:tc>
      </w:tr>
      <w:tr w14:paraId="456B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7763D3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证书名称</w:t>
            </w:r>
          </w:p>
        </w:tc>
        <w:tc>
          <w:tcPr>
            <w:tcW w:w="1275" w:type="dxa"/>
            <w:gridSpan w:val="2"/>
            <w:vAlign w:val="center"/>
          </w:tcPr>
          <w:p w14:paraId="4C0EE6E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注册专业</w:t>
            </w:r>
          </w:p>
        </w:tc>
        <w:tc>
          <w:tcPr>
            <w:tcW w:w="1222" w:type="dxa"/>
            <w:gridSpan w:val="3"/>
            <w:vAlign w:val="center"/>
          </w:tcPr>
          <w:p w14:paraId="6A6C36BB">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级别</w:t>
            </w:r>
          </w:p>
        </w:tc>
        <w:tc>
          <w:tcPr>
            <w:tcW w:w="1417" w:type="dxa"/>
            <w:gridSpan w:val="3"/>
            <w:vAlign w:val="center"/>
          </w:tcPr>
          <w:p w14:paraId="3C3BE2B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证书编号</w:t>
            </w:r>
          </w:p>
        </w:tc>
        <w:tc>
          <w:tcPr>
            <w:tcW w:w="1418" w:type="dxa"/>
            <w:gridSpan w:val="3"/>
            <w:vAlign w:val="center"/>
          </w:tcPr>
          <w:p w14:paraId="104C490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注册时间</w:t>
            </w:r>
          </w:p>
        </w:tc>
        <w:tc>
          <w:tcPr>
            <w:tcW w:w="1632" w:type="dxa"/>
            <w:gridSpan w:val="4"/>
            <w:vAlign w:val="center"/>
          </w:tcPr>
          <w:p w14:paraId="3C23E26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注册单位</w:t>
            </w:r>
          </w:p>
        </w:tc>
        <w:tc>
          <w:tcPr>
            <w:tcW w:w="1416" w:type="dxa"/>
            <w:gridSpan w:val="2"/>
            <w:vAlign w:val="center"/>
          </w:tcPr>
          <w:p w14:paraId="703304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注册有效期</w:t>
            </w:r>
          </w:p>
        </w:tc>
      </w:tr>
      <w:tr w14:paraId="0AA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D26A5D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安全生产考核合格证书</w:t>
            </w:r>
          </w:p>
        </w:tc>
        <w:tc>
          <w:tcPr>
            <w:tcW w:w="1275" w:type="dxa"/>
            <w:gridSpan w:val="2"/>
            <w:vAlign w:val="center"/>
          </w:tcPr>
          <w:p w14:paraId="45B92548">
            <w:pPr>
              <w:jc w:val="center"/>
              <w:rPr>
                <w:color w:val="000000" w:themeColor="text1"/>
                <w:highlight w:val="none"/>
                <w14:textFill>
                  <w14:solidFill>
                    <w14:schemeClr w14:val="tx1"/>
                  </w14:solidFill>
                </w14:textFill>
              </w:rPr>
            </w:pPr>
          </w:p>
        </w:tc>
        <w:tc>
          <w:tcPr>
            <w:tcW w:w="1222" w:type="dxa"/>
            <w:gridSpan w:val="3"/>
            <w:vAlign w:val="center"/>
          </w:tcPr>
          <w:p w14:paraId="1E4D534B">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C类</w:t>
            </w:r>
          </w:p>
        </w:tc>
        <w:tc>
          <w:tcPr>
            <w:tcW w:w="1417" w:type="dxa"/>
            <w:gridSpan w:val="3"/>
            <w:vAlign w:val="center"/>
          </w:tcPr>
          <w:p w14:paraId="1C01D7FA">
            <w:pPr>
              <w:jc w:val="center"/>
              <w:rPr>
                <w:color w:val="000000" w:themeColor="text1"/>
                <w:highlight w:val="none"/>
                <w14:textFill>
                  <w14:solidFill>
                    <w14:schemeClr w14:val="tx1"/>
                  </w14:solidFill>
                </w14:textFill>
              </w:rPr>
            </w:pPr>
          </w:p>
        </w:tc>
        <w:tc>
          <w:tcPr>
            <w:tcW w:w="1418" w:type="dxa"/>
            <w:gridSpan w:val="3"/>
            <w:vAlign w:val="center"/>
          </w:tcPr>
          <w:p w14:paraId="247E772F">
            <w:pPr>
              <w:jc w:val="center"/>
              <w:rPr>
                <w:color w:val="000000" w:themeColor="text1"/>
                <w:highlight w:val="none"/>
                <w14:textFill>
                  <w14:solidFill>
                    <w14:schemeClr w14:val="tx1"/>
                  </w14:solidFill>
                </w14:textFill>
              </w:rPr>
            </w:pPr>
          </w:p>
        </w:tc>
        <w:tc>
          <w:tcPr>
            <w:tcW w:w="1632" w:type="dxa"/>
            <w:gridSpan w:val="4"/>
            <w:vAlign w:val="center"/>
          </w:tcPr>
          <w:p w14:paraId="1F724664">
            <w:pPr>
              <w:jc w:val="center"/>
              <w:rPr>
                <w:color w:val="000000" w:themeColor="text1"/>
                <w:highlight w:val="none"/>
                <w14:textFill>
                  <w14:solidFill>
                    <w14:schemeClr w14:val="tx1"/>
                  </w14:solidFill>
                </w14:textFill>
              </w:rPr>
            </w:pPr>
          </w:p>
        </w:tc>
        <w:tc>
          <w:tcPr>
            <w:tcW w:w="1416" w:type="dxa"/>
            <w:gridSpan w:val="2"/>
            <w:vAlign w:val="center"/>
          </w:tcPr>
          <w:p w14:paraId="6110CBEB">
            <w:pPr>
              <w:jc w:val="center"/>
              <w:rPr>
                <w:color w:val="000000" w:themeColor="text1"/>
                <w:highlight w:val="none"/>
                <w14:textFill>
                  <w14:solidFill>
                    <w14:schemeClr w14:val="tx1"/>
                  </w14:solidFill>
                </w14:textFill>
              </w:rPr>
            </w:pPr>
          </w:p>
        </w:tc>
      </w:tr>
      <w:tr w14:paraId="693A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9AE8FE5">
            <w:pPr>
              <w:jc w:val="center"/>
              <w:rPr>
                <w:color w:val="000000" w:themeColor="text1"/>
                <w:highlight w:val="none"/>
                <w14:textFill>
                  <w14:solidFill>
                    <w14:schemeClr w14:val="tx1"/>
                  </w14:solidFill>
                </w14:textFill>
              </w:rPr>
            </w:pPr>
          </w:p>
        </w:tc>
        <w:tc>
          <w:tcPr>
            <w:tcW w:w="1275" w:type="dxa"/>
            <w:gridSpan w:val="2"/>
            <w:vAlign w:val="center"/>
          </w:tcPr>
          <w:p w14:paraId="04A64402">
            <w:pPr>
              <w:jc w:val="center"/>
              <w:rPr>
                <w:color w:val="000000" w:themeColor="text1"/>
                <w:highlight w:val="none"/>
                <w14:textFill>
                  <w14:solidFill>
                    <w14:schemeClr w14:val="tx1"/>
                  </w14:solidFill>
                </w14:textFill>
              </w:rPr>
            </w:pPr>
          </w:p>
        </w:tc>
        <w:tc>
          <w:tcPr>
            <w:tcW w:w="1222" w:type="dxa"/>
            <w:gridSpan w:val="3"/>
            <w:vAlign w:val="center"/>
          </w:tcPr>
          <w:p w14:paraId="765950B0">
            <w:pPr>
              <w:jc w:val="center"/>
              <w:rPr>
                <w:rFonts w:cs="宋体"/>
                <w:color w:val="000000" w:themeColor="text1"/>
                <w:highlight w:val="none"/>
                <w14:textFill>
                  <w14:solidFill>
                    <w14:schemeClr w14:val="tx1"/>
                  </w14:solidFill>
                </w14:textFill>
              </w:rPr>
            </w:pPr>
          </w:p>
        </w:tc>
        <w:tc>
          <w:tcPr>
            <w:tcW w:w="1417" w:type="dxa"/>
            <w:gridSpan w:val="3"/>
            <w:vAlign w:val="center"/>
          </w:tcPr>
          <w:p w14:paraId="23BF6D0D">
            <w:pPr>
              <w:jc w:val="center"/>
              <w:rPr>
                <w:color w:val="000000" w:themeColor="text1"/>
                <w:highlight w:val="none"/>
                <w14:textFill>
                  <w14:solidFill>
                    <w14:schemeClr w14:val="tx1"/>
                  </w14:solidFill>
                </w14:textFill>
              </w:rPr>
            </w:pPr>
          </w:p>
        </w:tc>
        <w:tc>
          <w:tcPr>
            <w:tcW w:w="1418" w:type="dxa"/>
            <w:gridSpan w:val="3"/>
            <w:vAlign w:val="center"/>
          </w:tcPr>
          <w:p w14:paraId="31C5A459">
            <w:pPr>
              <w:jc w:val="center"/>
              <w:rPr>
                <w:color w:val="000000" w:themeColor="text1"/>
                <w:highlight w:val="none"/>
                <w14:textFill>
                  <w14:solidFill>
                    <w14:schemeClr w14:val="tx1"/>
                  </w14:solidFill>
                </w14:textFill>
              </w:rPr>
            </w:pPr>
          </w:p>
        </w:tc>
        <w:tc>
          <w:tcPr>
            <w:tcW w:w="1632" w:type="dxa"/>
            <w:gridSpan w:val="4"/>
            <w:vAlign w:val="center"/>
          </w:tcPr>
          <w:p w14:paraId="2CC4C594">
            <w:pPr>
              <w:jc w:val="center"/>
              <w:rPr>
                <w:color w:val="000000" w:themeColor="text1"/>
                <w:highlight w:val="none"/>
                <w14:textFill>
                  <w14:solidFill>
                    <w14:schemeClr w14:val="tx1"/>
                  </w14:solidFill>
                </w14:textFill>
              </w:rPr>
            </w:pPr>
          </w:p>
        </w:tc>
        <w:tc>
          <w:tcPr>
            <w:tcW w:w="1416" w:type="dxa"/>
            <w:gridSpan w:val="2"/>
            <w:vAlign w:val="center"/>
          </w:tcPr>
          <w:p w14:paraId="243B56BC">
            <w:pPr>
              <w:jc w:val="center"/>
              <w:rPr>
                <w:color w:val="000000" w:themeColor="text1"/>
                <w:highlight w:val="none"/>
                <w14:textFill>
                  <w14:solidFill>
                    <w14:schemeClr w14:val="tx1"/>
                  </w14:solidFill>
                </w14:textFill>
              </w:rPr>
            </w:pPr>
          </w:p>
        </w:tc>
      </w:tr>
      <w:tr w14:paraId="7ADA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5C658996">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在建和已完工程项目情况</w:t>
            </w:r>
          </w:p>
        </w:tc>
      </w:tr>
      <w:tr w14:paraId="1B27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1D7A329">
            <w:pPr>
              <w:jc w:val="center"/>
              <w:rPr>
                <w:color w:val="000000" w:themeColor="text1"/>
                <w:highlight w:val="none"/>
                <w14:textFill>
                  <w14:solidFill>
                    <w14:schemeClr w14:val="tx1"/>
                  </w14:solidFill>
                </w14:textFill>
              </w:rPr>
            </w:pPr>
          </w:p>
        </w:tc>
        <w:tc>
          <w:tcPr>
            <w:tcW w:w="1548" w:type="dxa"/>
            <w:gridSpan w:val="2"/>
            <w:vAlign w:val="center"/>
          </w:tcPr>
          <w:p w14:paraId="36D3ED3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项目1</w:t>
            </w:r>
          </w:p>
        </w:tc>
        <w:tc>
          <w:tcPr>
            <w:tcW w:w="1837" w:type="dxa"/>
            <w:gridSpan w:val="4"/>
            <w:vAlign w:val="center"/>
          </w:tcPr>
          <w:p w14:paraId="7EBFA2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项目2</w:t>
            </w:r>
          </w:p>
        </w:tc>
        <w:tc>
          <w:tcPr>
            <w:tcW w:w="1472" w:type="dxa"/>
            <w:gridSpan w:val="3"/>
            <w:vAlign w:val="center"/>
          </w:tcPr>
          <w:p w14:paraId="330777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项目3</w:t>
            </w:r>
          </w:p>
        </w:tc>
        <w:tc>
          <w:tcPr>
            <w:tcW w:w="1641" w:type="dxa"/>
            <w:gridSpan w:val="4"/>
            <w:vAlign w:val="center"/>
          </w:tcPr>
          <w:p w14:paraId="094CAEF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项目4</w:t>
            </w:r>
          </w:p>
        </w:tc>
        <w:tc>
          <w:tcPr>
            <w:tcW w:w="1484" w:type="dxa"/>
            <w:gridSpan w:val="2"/>
            <w:vAlign w:val="center"/>
          </w:tcPr>
          <w:p w14:paraId="1F5DE8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11BC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3B8C8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548" w:type="dxa"/>
            <w:gridSpan w:val="2"/>
            <w:vAlign w:val="center"/>
          </w:tcPr>
          <w:p w14:paraId="2E83E98E">
            <w:pPr>
              <w:jc w:val="center"/>
              <w:rPr>
                <w:color w:val="000000" w:themeColor="text1"/>
                <w:highlight w:val="none"/>
                <w14:textFill>
                  <w14:solidFill>
                    <w14:schemeClr w14:val="tx1"/>
                  </w14:solidFill>
                </w14:textFill>
              </w:rPr>
            </w:pPr>
          </w:p>
        </w:tc>
        <w:tc>
          <w:tcPr>
            <w:tcW w:w="1837" w:type="dxa"/>
            <w:gridSpan w:val="4"/>
            <w:vAlign w:val="center"/>
          </w:tcPr>
          <w:p w14:paraId="63C6A50F">
            <w:pPr>
              <w:jc w:val="center"/>
              <w:rPr>
                <w:color w:val="000000" w:themeColor="text1"/>
                <w:highlight w:val="none"/>
                <w14:textFill>
                  <w14:solidFill>
                    <w14:schemeClr w14:val="tx1"/>
                  </w14:solidFill>
                </w14:textFill>
              </w:rPr>
            </w:pPr>
          </w:p>
        </w:tc>
        <w:tc>
          <w:tcPr>
            <w:tcW w:w="1472" w:type="dxa"/>
            <w:gridSpan w:val="3"/>
            <w:vAlign w:val="center"/>
          </w:tcPr>
          <w:p w14:paraId="48E6305E">
            <w:pPr>
              <w:jc w:val="center"/>
              <w:rPr>
                <w:color w:val="000000" w:themeColor="text1"/>
                <w:highlight w:val="none"/>
                <w14:textFill>
                  <w14:solidFill>
                    <w14:schemeClr w14:val="tx1"/>
                  </w14:solidFill>
                </w14:textFill>
              </w:rPr>
            </w:pPr>
          </w:p>
        </w:tc>
        <w:tc>
          <w:tcPr>
            <w:tcW w:w="1641" w:type="dxa"/>
            <w:gridSpan w:val="4"/>
            <w:vAlign w:val="center"/>
          </w:tcPr>
          <w:p w14:paraId="7ED01204">
            <w:pPr>
              <w:jc w:val="center"/>
              <w:rPr>
                <w:color w:val="000000" w:themeColor="text1"/>
                <w:highlight w:val="none"/>
                <w14:textFill>
                  <w14:solidFill>
                    <w14:schemeClr w14:val="tx1"/>
                  </w14:solidFill>
                </w14:textFill>
              </w:rPr>
            </w:pPr>
          </w:p>
        </w:tc>
        <w:tc>
          <w:tcPr>
            <w:tcW w:w="1484" w:type="dxa"/>
            <w:gridSpan w:val="2"/>
            <w:vAlign w:val="center"/>
          </w:tcPr>
          <w:p w14:paraId="3DFE0421">
            <w:pPr>
              <w:jc w:val="center"/>
              <w:rPr>
                <w:color w:val="000000" w:themeColor="text1"/>
                <w:highlight w:val="none"/>
                <w14:textFill>
                  <w14:solidFill>
                    <w14:schemeClr w14:val="tx1"/>
                  </w14:solidFill>
                </w14:textFill>
              </w:rPr>
            </w:pPr>
          </w:p>
        </w:tc>
      </w:tr>
      <w:tr w14:paraId="175F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8BB9D65">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建设单位</w:t>
            </w:r>
          </w:p>
        </w:tc>
        <w:tc>
          <w:tcPr>
            <w:tcW w:w="1548" w:type="dxa"/>
            <w:gridSpan w:val="2"/>
            <w:vAlign w:val="center"/>
          </w:tcPr>
          <w:p w14:paraId="172B88FD">
            <w:pPr>
              <w:jc w:val="center"/>
              <w:rPr>
                <w:color w:val="000000" w:themeColor="text1"/>
                <w:highlight w:val="none"/>
                <w14:textFill>
                  <w14:solidFill>
                    <w14:schemeClr w14:val="tx1"/>
                  </w14:solidFill>
                </w14:textFill>
              </w:rPr>
            </w:pPr>
          </w:p>
        </w:tc>
        <w:tc>
          <w:tcPr>
            <w:tcW w:w="1837" w:type="dxa"/>
            <w:gridSpan w:val="4"/>
            <w:vAlign w:val="center"/>
          </w:tcPr>
          <w:p w14:paraId="30898BD2">
            <w:pPr>
              <w:jc w:val="center"/>
              <w:rPr>
                <w:color w:val="000000" w:themeColor="text1"/>
                <w:highlight w:val="none"/>
                <w14:textFill>
                  <w14:solidFill>
                    <w14:schemeClr w14:val="tx1"/>
                  </w14:solidFill>
                </w14:textFill>
              </w:rPr>
            </w:pPr>
          </w:p>
        </w:tc>
        <w:tc>
          <w:tcPr>
            <w:tcW w:w="1472" w:type="dxa"/>
            <w:gridSpan w:val="3"/>
            <w:vAlign w:val="center"/>
          </w:tcPr>
          <w:p w14:paraId="5CDF7897">
            <w:pPr>
              <w:jc w:val="center"/>
              <w:rPr>
                <w:color w:val="000000" w:themeColor="text1"/>
                <w:highlight w:val="none"/>
                <w14:textFill>
                  <w14:solidFill>
                    <w14:schemeClr w14:val="tx1"/>
                  </w14:solidFill>
                </w14:textFill>
              </w:rPr>
            </w:pPr>
          </w:p>
        </w:tc>
        <w:tc>
          <w:tcPr>
            <w:tcW w:w="1641" w:type="dxa"/>
            <w:gridSpan w:val="4"/>
            <w:vAlign w:val="center"/>
          </w:tcPr>
          <w:p w14:paraId="738C7E48">
            <w:pPr>
              <w:jc w:val="center"/>
              <w:rPr>
                <w:color w:val="000000" w:themeColor="text1"/>
                <w:highlight w:val="none"/>
                <w14:textFill>
                  <w14:solidFill>
                    <w14:schemeClr w14:val="tx1"/>
                  </w14:solidFill>
                </w14:textFill>
              </w:rPr>
            </w:pPr>
          </w:p>
        </w:tc>
        <w:tc>
          <w:tcPr>
            <w:tcW w:w="1484" w:type="dxa"/>
            <w:gridSpan w:val="2"/>
            <w:vAlign w:val="center"/>
          </w:tcPr>
          <w:p w14:paraId="6887B7AE">
            <w:pPr>
              <w:jc w:val="center"/>
              <w:rPr>
                <w:color w:val="000000" w:themeColor="text1"/>
                <w:highlight w:val="none"/>
                <w14:textFill>
                  <w14:solidFill>
                    <w14:schemeClr w14:val="tx1"/>
                  </w14:solidFill>
                </w14:textFill>
              </w:rPr>
            </w:pPr>
          </w:p>
        </w:tc>
      </w:tr>
      <w:tr w14:paraId="4552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118615E">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建设规模</w:t>
            </w:r>
          </w:p>
        </w:tc>
        <w:tc>
          <w:tcPr>
            <w:tcW w:w="1548" w:type="dxa"/>
            <w:gridSpan w:val="2"/>
            <w:vAlign w:val="center"/>
          </w:tcPr>
          <w:p w14:paraId="4FCF48B4">
            <w:pPr>
              <w:jc w:val="center"/>
              <w:rPr>
                <w:color w:val="000000" w:themeColor="text1"/>
                <w:highlight w:val="none"/>
                <w14:textFill>
                  <w14:solidFill>
                    <w14:schemeClr w14:val="tx1"/>
                  </w14:solidFill>
                </w14:textFill>
              </w:rPr>
            </w:pPr>
          </w:p>
        </w:tc>
        <w:tc>
          <w:tcPr>
            <w:tcW w:w="1837" w:type="dxa"/>
            <w:gridSpan w:val="4"/>
            <w:vAlign w:val="center"/>
          </w:tcPr>
          <w:p w14:paraId="1AD00E88">
            <w:pPr>
              <w:jc w:val="center"/>
              <w:rPr>
                <w:color w:val="000000" w:themeColor="text1"/>
                <w:highlight w:val="none"/>
                <w14:textFill>
                  <w14:solidFill>
                    <w14:schemeClr w14:val="tx1"/>
                  </w14:solidFill>
                </w14:textFill>
              </w:rPr>
            </w:pPr>
          </w:p>
        </w:tc>
        <w:tc>
          <w:tcPr>
            <w:tcW w:w="1472" w:type="dxa"/>
            <w:gridSpan w:val="3"/>
            <w:vAlign w:val="center"/>
          </w:tcPr>
          <w:p w14:paraId="6083A957">
            <w:pPr>
              <w:jc w:val="center"/>
              <w:rPr>
                <w:color w:val="000000" w:themeColor="text1"/>
                <w:highlight w:val="none"/>
                <w14:textFill>
                  <w14:solidFill>
                    <w14:schemeClr w14:val="tx1"/>
                  </w14:solidFill>
                </w14:textFill>
              </w:rPr>
            </w:pPr>
          </w:p>
        </w:tc>
        <w:tc>
          <w:tcPr>
            <w:tcW w:w="1641" w:type="dxa"/>
            <w:gridSpan w:val="4"/>
            <w:vAlign w:val="center"/>
          </w:tcPr>
          <w:p w14:paraId="620B8C3A">
            <w:pPr>
              <w:jc w:val="center"/>
              <w:rPr>
                <w:color w:val="000000" w:themeColor="text1"/>
                <w:highlight w:val="none"/>
                <w14:textFill>
                  <w14:solidFill>
                    <w14:schemeClr w14:val="tx1"/>
                  </w14:solidFill>
                </w14:textFill>
              </w:rPr>
            </w:pPr>
          </w:p>
        </w:tc>
        <w:tc>
          <w:tcPr>
            <w:tcW w:w="1484" w:type="dxa"/>
            <w:gridSpan w:val="2"/>
            <w:vAlign w:val="center"/>
          </w:tcPr>
          <w:p w14:paraId="1E8F64DD">
            <w:pPr>
              <w:jc w:val="center"/>
              <w:rPr>
                <w:color w:val="000000" w:themeColor="text1"/>
                <w:highlight w:val="none"/>
                <w14:textFill>
                  <w14:solidFill>
                    <w14:schemeClr w14:val="tx1"/>
                  </w14:solidFill>
                </w14:textFill>
              </w:rPr>
            </w:pPr>
          </w:p>
        </w:tc>
      </w:tr>
      <w:tr w14:paraId="424E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2F72B38">
            <w:pPr>
              <w:jc w:val="center"/>
              <w:rPr>
                <w:rFonts w:ascii="宋体" w:hAnsi="宋体" w:cs="宋体"/>
                <w:color w:val="000000" w:themeColor="text1"/>
                <w:sz w:val="27"/>
                <w:szCs w:val="27"/>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开工日期</w:t>
            </w:r>
          </w:p>
        </w:tc>
        <w:tc>
          <w:tcPr>
            <w:tcW w:w="1548" w:type="dxa"/>
            <w:gridSpan w:val="2"/>
            <w:vAlign w:val="center"/>
          </w:tcPr>
          <w:p w14:paraId="17395958">
            <w:pPr>
              <w:jc w:val="center"/>
              <w:rPr>
                <w:color w:val="000000" w:themeColor="text1"/>
                <w:highlight w:val="none"/>
                <w14:textFill>
                  <w14:solidFill>
                    <w14:schemeClr w14:val="tx1"/>
                  </w14:solidFill>
                </w14:textFill>
              </w:rPr>
            </w:pPr>
          </w:p>
        </w:tc>
        <w:tc>
          <w:tcPr>
            <w:tcW w:w="1837" w:type="dxa"/>
            <w:gridSpan w:val="4"/>
            <w:vAlign w:val="center"/>
          </w:tcPr>
          <w:p w14:paraId="2052C90E">
            <w:pPr>
              <w:jc w:val="center"/>
              <w:rPr>
                <w:color w:val="000000" w:themeColor="text1"/>
                <w:highlight w:val="none"/>
                <w14:textFill>
                  <w14:solidFill>
                    <w14:schemeClr w14:val="tx1"/>
                  </w14:solidFill>
                </w14:textFill>
              </w:rPr>
            </w:pPr>
          </w:p>
        </w:tc>
        <w:tc>
          <w:tcPr>
            <w:tcW w:w="1472" w:type="dxa"/>
            <w:gridSpan w:val="3"/>
            <w:vAlign w:val="center"/>
          </w:tcPr>
          <w:p w14:paraId="1778C4BA">
            <w:pPr>
              <w:jc w:val="center"/>
              <w:rPr>
                <w:color w:val="000000" w:themeColor="text1"/>
                <w:highlight w:val="none"/>
                <w14:textFill>
                  <w14:solidFill>
                    <w14:schemeClr w14:val="tx1"/>
                  </w14:solidFill>
                </w14:textFill>
              </w:rPr>
            </w:pPr>
          </w:p>
        </w:tc>
        <w:tc>
          <w:tcPr>
            <w:tcW w:w="1641" w:type="dxa"/>
            <w:gridSpan w:val="4"/>
            <w:vAlign w:val="center"/>
          </w:tcPr>
          <w:p w14:paraId="465F9BDB">
            <w:pPr>
              <w:jc w:val="center"/>
              <w:rPr>
                <w:color w:val="000000" w:themeColor="text1"/>
                <w:highlight w:val="none"/>
                <w14:textFill>
                  <w14:solidFill>
                    <w14:schemeClr w14:val="tx1"/>
                  </w14:solidFill>
                </w14:textFill>
              </w:rPr>
            </w:pPr>
          </w:p>
        </w:tc>
        <w:tc>
          <w:tcPr>
            <w:tcW w:w="1484" w:type="dxa"/>
            <w:gridSpan w:val="2"/>
            <w:vAlign w:val="center"/>
          </w:tcPr>
          <w:p w14:paraId="0B794344">
            <w:pPr>
              <w:jc w:val="center"/>
              <w:rPr>
                <w:color w:val="000000" w:themeColor="text1"/>
                <w:highlight w:val="none"/>
                <w14:textFill>
                  <w14:solidFill>
                    <w14:schemeClr w14:val="tx1"/>
                  </w14:solidFill>
                </w14:textFill>
              </w:rPr>
            </w:pPr>
          </w:p>
        </w:tc>
      </w:tr>
      <w:tr w14:paraId="55A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3617EDF">
            <w:pPr>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竣工日期</w:t>
            </w:r>
          </w:p>
        </w:tc>
        <w:tc>
          <w:tcPr>
            <w:tcW w:w="1548" w:type="dxa"/>
            <w:gridSpan w:val="2"/>
            <w:vAlign w:val="center"/>
          </w:tcPr>
          <w:p w14:paraId="7B98CB2B">
            <w:pPr>
              <w:jc w:val="center"/>
              <w:rPr>
                <w:color w:val="000000" w:themeColor="text1"/>
                <w:highlight w:val="none"/>
                <w14:textFill>
                  <w14:solidFill>
                    <w14:schemeClr w14:val="tx1"/>
                  </w14:solidFill>
                </w14:textFill>
              </w:rPr>
            </w:pPr>
          </w:p>
        </w:tc>
        <w:tc>
          <w:tcPr>
            <w:tcW w:w="1837" w:type="dxa"/>
            <w:gridSpan w:val="4"/>
            <w:vAlign w:val="center"/>
          </w:tcPr>
          <w:p w14:paraId="5DF467DA">
            <w:pPr>
              <w:jc w:val="center"/>
              <w:rPr>
                <w:color w:val="000000" w:themeColor="text1"/>
                <w:highlight w:val="none"/>
                <w14:textFill>
                  <w14:solidFill>
                    <w14:schemeClr w14:val="tx1"/>
                  </w14:solidFill>
                </w14:textFill>
              </w:rPr>
            </w:pPr>
          </w:p>
        </w:tc>
        <w:tc>
          <w:tcPr>
            <w:tcW w:w="1472" w:type="dxa"/>
            <w:gridSpan w:val="3"/>
            <w:vAlign w:val="center"/>
          </w:tcPr>
          <w:p w14:paraId="1F27EC1C">
            <w:pPr>
              <w:jc w:val="center"/>
              <w:rPr>
                <w:color w:val="000000" w:themeColor="text1"/>
                <w:highlight w:val="none"/>
                <w14:textFill>
                  <w14:solidFill>
                    <w14:schemeClr w14:val="tx1"/>
                  </w14:solidFill>
                </w14:textFill>
              </w:rPr>
            </w:pPr>
          </w:p>
        </w:tc>
        <w:tc>
          <w:tcPr>
            <w:tcW w:w="1641" w:type="dxa"/>
            <w:gridSpan w:val="4"/>
            <w:vAlign w:val="center"/>
          </w:tcPr>
          <w:p w14:paraId="67BB24A1">
            <w:pPr>
              <w:jc w:val="center"/>
              <w:rPr>
                <w:color w:val="000000" w:themeColor="text1"/>
                <w:highlight w:val="none"/>
                <w14:textFill>
                  <w14:solidFill>
                    <w14:schemeClr w14:val="tx1"/>
                  </w14:solidFill>
                </w14:textFill>
              </w:rPr>
            </w:pPr>
          </w:p>
        </w:tc>
        <w:tc>
          <w:tcPr>
            <w:tcW w:w="1484" w:type="dxa"/>
            <w:gridSpan w:val="2"/>
            <w:vAlign w:val="center"/>
          </w:tcPr>
          <w:p w14:paraId="3FC7DF3D">
            <w:pPr>
              <w:jc w:val="center"/>
              <w:rPr>
                <w:color w:val="000000" w:themeColor="text1"/>
                <w:highlight w:val="none"/>
                <w14:textFill>
                  <w14:solidFill>
                    <w14:schemeClr w14:val="tx1"/>
                  </w14:solidFill>
                </w14:textFill>
              </w:rPr>
            </w:pPr>
          </w:p>
        </w:tc>
      </w:tr>
      <w:tr w14:paraId="55E0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B31302A">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人员角色</w:t>
            </w:r>
          </w:p>
        </w:tc>
        <w:tc>
          <w:tcPr>
            <w:tcW w:w="1548" w:type="dxa"/>
            <w:gridSpan w:val="2"/>
            <w:vAlign w:val="center"/>
          </w:tcPr>
          <w:p w14:paraId="0B0A08C9">
            <w:pPr>
              <w:jc w:val="center"/>
              <w:rPr>
                <w:color w:val="000000" w:themeColor="text1"/>
                <w:highlight w:val="none"/>
                <w14:textFill>
                  <w14:solidFill>
                    <w14:schemeClr w14:val="tx1"/>
                  </w14:solidFill>
                </w14:textFill>
              </w:rPr>
            </w:pPr>
          </w:p>
        </w:tc>
        <w:tc>
          <w:tcPr>
            <w:tcW w:w="1837" w:type="dxa"/>
            <w:gridSpan w:val="4"/>
            <w:vAlign w:val="center"/>
          </w:tcPr>
          <w:p w14:paraId="5A8B7E24">
            <w:pPr>
              <w:jc w:val="center"/>
              <w:rPr>
                <w:color w:val="000000" w:themeColor="text1"/>
                <w:highlight w:val="none"/>
                <w14:textFill>
                  <w14:solidFill>
                    <w14:schemeClr w14:val="tx1"/>
                  </w14:solidFill>
                </w14:textFill>
              </w:rPr>
            </w:pPr>
          </w:p>
        </w:tc>
        <w:tc>
          <w:tcPr>
            <w:tcW w:w="1472" w:type="dxa"/>
            <w:gridSpan w:val="3"/>
            <w:vAlign w:val="center"/>
          </w:tcPr>
          <w:p w14:paraId="7E5C9519">
            <w:pPr>
              <w:jc w:val="center"/>
              <w:rPr>
                <w:color w:val="000000" w:themeColor="text1"/>
                <w:highlight w:val="none"/>
                <w14:textFill>
                  <w14:solidFill>
                    <w14:schemeClr w14:val="tx1"/>
                  </w14:solidFill>
                </w14:textFill>
              </w:rPr>
            </w:pPr>
          </w:p>
        </w:tc>
        <w:tc>
          <w:tcPr>
            <w:tcW w:w="1641" w:type="dxa"/>
            <w:gridSpan w:val="4"/>
            <w:vAlign w:val="center"/>
          </w:tcPr>
          <w:p w14:paraId="1E605EFF">
            <w:pPr>
              <w:jc w:val="center"/>
              <w:rPr>
                <w:color w:val="000000" w:themeColor="text1"/>
                <w:highlight w:val="none"/>
                <w14:textFill>
                  <w14:solidFill>
                    <w14:schemeClr w14:val="tx1"/>
                  </w14:solidFill>
                </w14:textFill>
              </w:rPr>
            </w:pPr>
          </w:p>
        </w:tc>
        <w:tc>
          <w:tcPr>
            <w:tcW w:w="1484" w:type="dxa"/>
            <w:gridSpan w:val="2"/>
            <w:vAlign w:val="center"/>
          </w:tcPr>
          <w:p w14:paraId="554754F7">
            <w:pPr>
              <w:jc w:val="center"/>
              <w:rPr>
                <w:color w:val="000000" w:themeColor="text1"/>
                <w:highlight w:val="none"/>
                <w14:textFill>
                  <w14:solidFill>
                    <w14:schemeClr w14:val="tx1"/>
                  </w14:solidFill>
                </w14:textFill>
              </w:rPr>
            </w:pPr>
          </w:p>
        </w:tc>
      </w:tr>
      <w:tr w14:paraId="33A4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388D78F">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在建或已完</w:t>
            </w:r>
          </w:p>
        </w:tc>
        <w:tc>
          <w:tcPr>
            <w:tcW w:w="1548" w:type="dxa"/>
            <w:gridSpan w:val="2"/>
            <w:vAlign w:val="center"/>
          </w:tcPr>
          <w:p w14:paraId="65571A5A">
            <w:pPr>
              <w:jc w:val="center"/>
              <w:rPr>
                <w:color w:val="000000" w:themeColor="text1"/>
                <w:highlight w:val="none"/>
                <w14:textFill>
                  <w14:solidFill>
                    <w14:schemeClr w14:val="tx1"/>
                  </w14:solidFill>
                </w14:textFill>
              </w:rPr>
            </w:pPr>
          </w:p>
        </w:tc>
        <w:tc>
          <w:tcPr>
            <w:tcW w:w="1837" w:type="dxa"/>
            <w:gridSpan w:val="4"/>
            <w:vAlign w:val="center"/>
          </w:tcPr>
          <w:p w14:paraId="559323B2">
            <w:pPr>
              <w:jc w:val="center"/>
              <w:rPr>
                <w:color w:val="000000" w:themeColor="text1"/>
                <w:highlight w:val="none"/>
                <w14:textFill>
                  <w14:solidFill>
                    <w14:schemeClr w14:val="tx1"/>
                  </w14:solidFill>
                </w14:textFill>
              </w:rPr>
            </w:pPr>
          </w:p>
        </w:tc>
        <w:tc>
          <w:tcPr>
            <w:tcW w:w="1472" w:type="dxa"/>
            <w:gridSpan w:val="3"/>
            <w:vAlign w:val="center"/>
          </w:tcPr>
          <w:p w14:paraId="3DB6EF2E">
            <w:pPr>
              <w:jc w:val="center"/>
              <w:rPr>
                <w:color w:val="000000" w:themeColor="text1"/>
                <w:highlight w:val="none"/>
                <w14:textFill>
                  <w14:solidFill>
                    <w14:schemeClr w14:val="tx1"/>
                  </w14:solidFill>
                </w14:textFill>
              </w:rPr>
            </w:pPr>
          </w:p>
        </w:tc>
        <w:tc>
          <w:tcPr>
            <w:tcW w:w="1641" w:type="dxa"/>
            <w:gridSpan w:val="4"/>
            <w:vAlign w:val="center"/>
          </w:tcPr>
          <w:p w14:paraId="1EE86C82">
            <w:pPr>
              <w:jc w:val="center"/>
              <w:rPr>
                <w:color w:val="000000" w:themeColor="text1"/>
                <w:highlight w:val="none"/>
                <w14:textFill>
                  <w14:solidFill>
                    <w14:schemeClr w14:val="tx1"/>
                  </w14:solidFill>
                </w14:textFill>
              </w:rPr>
            </w:pPr>
          </w:p>
        </w:tc>
        <w:tc>
          <w:tcPr>
            <w:tcW w:w="1484" w:type="dxa"/>
            <w:gridSpan w:val="2"/>
            <w:vAlign w:val="center"/>
          </w:tcPr>
          <w:p w14:paraId="6937FE8B">
            <w:pPr>
              <w:jc w:val="center"/>
              <w:rPr>
                <w:color w:val="000000" w:themeColor="text1"/>
                <w:highlight w:val="none"/>
                <w14:textFill>
                  <w14:solidFill>
                    <w14:schemeClr w14:val="tx1"/>
                  </w14:solidFill>
                </w14:textFill>
              </w:rPr>
            </w:pPr>
          </w:p>
        </w:tc>
      </w:tr>
      <w:tr w14:paraId="1725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F843734">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工程质量</w:t>
            </w:r>
          </w:p>
        </w:tc>
        <w:tc>
          <w:tcPr>
            <w:tcW w:w="1548" w:type="dxa"/>
            <w:gridSpan w:val="2"/>
            <w:vAlign w:val="center"/>
          </w:tcPr>
          <w:p w14:paraId="400B8A21">
            <w:pPr>
              <w:jc w:val="center"/>
              <w:rPr>
                <w:color w:val="000000" w:themeColor="text1"/>
                <w:highlight w:val="none"/>
                <w14:textFill>
                  <w14:solidFill>
                    <w14:schemeClr w14:val="tx1"/>
                  </w14:solidFill>
                </w14:textFill>
              </w:rPr>
            </w:pPr>
          </w:p>
        </w:tc>
        <w:tc>
          <w:tcPr>
            <w:tcW w:w="1837" w:type="dxa"/>
            <w:gridSpan w:val="4"/>
            <w:vAlign w:val="center"/>
          </w:tcPr>
          <w:p w14:paraId="633D2C89">
            <w:pPr>
              <w:jc w:val="center"/>
              <w:rPr>
                <w:color w:val="000000" w:themeColor="text1"/>
                <w:highlight w:val="none"/>
                <w14:textFill>
                  <w14:solidFill>
                    <w14:schemeClr w14:val="tx1"/>
                  </w14:solidFill>
                </w14:textFill>
              </w:rPr>
            </w:pPr>
          </w:p>
        </w:tc>
        <w:tc>
          <w:tcPr>
            <w:tcW w:w="1472" w:type="dxa"/>
            <w:gridSpan w:val="3"/>
            <w:vAlign w:val="center"/>
          </w:tcPr>
          <w:p w14:paraId="1056D80C">
            <w:pPr>
              <w:jc w:val="center"/>
              <w:rPr>
                <w:color w:val="000000" w:themeColor="text1"/>
                <w:highlight w:val="none"/>
                <w14:textFill>
                  <w14:solidFill>
                    <w14:schemeClr w14:val="tx1"/>
                  </w14:solidFill>
                </w14:textFill>
              </w:rPr>
            </w:pPr>
          </w:p>
        </w:tc>
        <w:tc>
          <w:tcPr>
            <w:tcW w:w="1641" w:type="dxa"/>
            <w:gridSpan w:val="4"/>
            <w:vAlign w:val="center"/>
          </w:tcPr>
          <w:p w14:paraId="3659F73F">
            <w:pPr>
              <w:jc w:val="center"/>
              <w:rPr>
                <w:color w:val="000000" w:themeColor="text1"/>
                <w:highlight w:val="none"/>
                <w14:textFill>
                  <w14:solidFill>
                    <w14:schemeClr w14:val="tx1"/>
                  </w14:solidFill>
                </w14:textFill>
              </w:rPr>
            </w:pPr>
          </w:p>
        </w:tc>
        <w:tc>
          <w:tcPr>
            <w:tcW w:w="1484" w:type="dxa"/>
            <w:gridSpan w:val="2"/>
            <w:vAlign w:val="center"/>
          </w:tcPr>
          <w:p w14:paraId="6E92B78D">
            <w:pPr>
              <w:jc w:val="center"/>
              <w:rPr>
                <w:color w:val="000000" w:themeColor="text1"/>
                <w:highlight w:val="none"/>
                <w14:textFill>
                  <w14:solidFill>
                    <w14:schemeClr w14:val="tx1"/>
                  </w14:solidFill>
                </w14:textFill>
              </w:rPr>
            </w:pPr>
          </w:p>
        </w:tc>
      </w:tr>
      <w:tr w14:paraId="1721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EC626B0">
            <w:pPr>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受奖情况</w:t>
            </w:r>
          </w:p>
        </w:tc>
        <w:tc>
          <w:tcPr>
            <w:tcW w:w="1548" w:type="dxa"/>
            <w:gridSpan w:val="2"/>
            <w:vAlign w:val="center"/>
          </w:tcPr>
          <w:p w14:paraId="466B0C12">
            <w:pPr>
              <w:jc w:val="center"/>
              <w:rPr>
                <w:color w:val="000000" w:themeColor="text1"/>
                <w:highlight w:val="none"/>
                <w14:textFill>
                  <w14:solidFill>
                    <w14:schemeClr w14:val="tx1"/>
                  </w14:solidFill>
                </w14:textFill>
              </w:rPr>
            </w:pPr>
          </w:p>
        </w:tc>
        <w:tc>
          <w:tcPr>
            <w:tcW w:w="1837" w:type="dxa"/>
            <w:gridSpan w:val="4"/>
            <w:vAlign w:val="center"/>
          </w:tcPr>
          <w:p w14:paraId="5EF1E3C9">
            <w:pPr>
              <w:jc w:val="center"/>
              <w:rPr>
                <w:color w:val="000000" w:themeColor="text1"/>
                <w:highlight w:val="none"/>
                <w14:textFill>
                  <w14:solidFill>
                    <w14:schemeClr w14:val="tx1"/>
                  </w14:solidFill>
                </w14:textFill>
              </w:rPr>
            </w:pPr>
          </w:p>
        </w:tc>
        <w:tc>
          <w:tcPr>
            <w:tcW w:w="1472" w:type="dxa"/>
            <w:gridSpan w:val="3"/>
            <w:vAlign w:val="center"/>
          </w:tcPr>
          <w:p w14:paraId="6100FCB2">
            <w:pPr>
              <w:jc w:val="center"/>
              <w:rPr>
                <w:color w:val="000000" w:themeColor="text1"/>
                <w:highlight w:val="none"/>
                <w14:textFill>
                  <w14:solidFill>
                    <w14:schemeClr w14:val="tx1"/>
                  </w14:solidFill>
                </w14:textFill>
              </w:rPr>
            </w:pPr>
          </w:p>
        </w:tc>
        <w:tc>
          <w:tcPr>
            <w:tcW w:w="1641" w:type="dxa"/>
            <w:gridSpan w:val="4"/>
            <w:vAlign w:val="center"/>
          </w:tcPr>
          <w:p w14:paraId="0D456E10">
            <w:pPr>
              <w:jc w:val="center"/>
              <w:rPr>
                <w:color w:val="000000" w:themeColor="text1"/>
                <w:highlight w:val="none"/>
                <w14:textFill>
                  <w14:solidFill>
                    <w14:schemeClr w14:val="tx1"/>
                  </w14:solidFill>
                </w14:textFill>
              </w:rPr>
            </w:pPr>
          </w:p>
        </w:tc>
        <w:tc>
          <w:tcPr>
            <w:tcW w:w="1484" w:type="dxa"/>
            <w:gridSpan w:val="2"/>
            <w:vAlign w:val="center"/>
          </w:tcPr>
          <w:p w14:paraId="55524BA1">
            <w:pPr>
              <w:jc w:val="center"/>
              <w:rPr>
                <w:color w:val="000000" w:themeColor="text1"/>
                <w:highlight w:val="none"/>
                <w14:textFill>
                  <w14:solidFill>
                    <w14:schemeClr w14:val="tx1"/>
                  </w14:solidFill>
                </w14:textFill>
              </w:rPr>
            </w:pPr>
          </w:p>
        </w:tc>
      </w:tr>
    </w:tbl>
    <w:p w14:paraId="1078FFDB">
      <w:pPr>
        <w:spacing w:line="360" w:lineRule="auto"/>
        <w:rPr>
          <w:rFonts w:ascii="宋体" w:hAnsi="宋体"/>
          <w:color w:val="000000" w:themeColor="text1"/>
          <w:highlight w:val="none"/>
          <w14:textFill>
            <w14:solidFill>
              <w14:schemeClr w14:val="tx1"/>
            </w14:solidFill>
          </w14:textFill>
        </w:rPr>
      </w:pPr>
      <w:r>
        <w:rPr>
          <w:rFonts w:hint="eastAsia" w:ascii="宋体" w:hAnsi="宋体" w:cs="楷体_GB2312"/>
          <w:color w:val="000000" w:themeColor="text1"/>
          <w:highlight w:val="none"/>
          <w14:textFill>
            <w14:solidFill>
              <w14:schemeClr w14:val="tx1"/>
            </w14:solidFill>
          </w14:textFill>
        </w:rPr>
        <w:t>备注：</w:t>
      </w:r>
    </w:p>
    <w:p w14:paraId="39B91FE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1.供应商可以根据项目情况增减表格内容，项目数可以根据需要增加。</w:t>
      </w:r>
    </w:p>
    <w:p w14:paraId="172A325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本表后附专职安全生产管理人员的安全生产考核合格证（C类）、本表所列证书复印件并加盖供应商电子签章。</w:t>
      </w:r>
    </w:p>
    <w:p w14:paraId="06B6069A">
      <w:pPr>
        <w:spacing w:line="360" w:lineRule="auto"/>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w:t>
      </w:r>
    </w:p>
    <w:p w14:paraId="069CB89E">
      <w:pPr>
        <w:spacing w:line="360" w:lineRule="auto"/>
        <w:rPr>
          <w:rFonts w:ascii="宋体" w:hAnsi="宋体"/>
          <w:color w:val="000000" w:themeColor="text1"/>
          <w:szCs w:val="21"/>
          <w:highlight w:val="none"/>
          <w14:textFill>
            <w14:solidFill>
              <w14:schemeClr w14:val="tx1"/>
            </w14:solidFill>
          </w14:textFill>
        </w:rPr>
      </w:pPr>
    </w:p>
    <w:p w14:paraId="71FE1630">
      <w:pPr>
        <w:jc w:val="center"/>
        <w:rPr>
          <w:rFonts w:ascii="宋体" w:hAnsi="宋体" w:cs="方正小标宋简体"/>
          <w:b/>
          <w:color w:val="000000" w:themeColor="text1"/>
          <w:sz w:val="32"/>
          <w:szCs w:val="32"/>
          <w:highlight w:val="none"/>
          <w14:textFill>
            <w14:solidFill>
              <w14:schemeClr w14:val="tx1"/>
            </w14:solidFill>
          </w14:textFill>
        </w:rPr>
      </w:pPr>
      <w:bookmarkStart w:id="187" w:name="_Toc71365926"/>
      <w:r>
        <w:rPr>
          <w:rFonts w:hint="eastAsia" w:ascii="宋体" w:hAnsi="宋体" w:cs="方正小标宋简体"/>
          <w:b/>
          <w:color w:val="000000" w:themeColor="text1"/>
          <w:sz w:val="32"/>
          <w:szCs w:val="32"/>
          <w:highlight w:val="none"/>
          <w14:textFill>
            <w14:solidFill>
              <w14:schemeClr w14:val="tx1"/>
            </w14:solidFill>
          </w14:textFill>
        </w:rPr>
        <w:t>中小企业声明函（工程）</w:t>
      </w:r>
      <w:bookmarkEnd w:id="187"/>
    </w:p>
    <w:p w14:paraId="71786B3C">
      <w:pPr>
        <w:pStyle w:val="19"/>
        <w:spacing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5B35C3EA">
      <w:pPr>
        <w:tabs>
          <w:tab w:val="left" w:pos="1384"/>
          <w:tab w:val="left" w:pos="4562"/>
          <w:tab w:val="left" w:pos="6803"/>
        </w:tabs>
        <w:spacing w:before="13" w:line="500" w:lineRule="exact"/>
        <w:ind w:right="142" w:firstLine="772" w:firstLineChars="322"/>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lang w:eastAsia="zh-CN"/>
          <w14:textFill>
            <w14:solidFill>
              <w14:schemeClr w14:val="tx1"/>
            </w14:solidFill>
          </w14:textFill>
        </w:rPr>
        <w:t>；</w:t>
      </w:r>
    </w:p>
    <w:p w14:paraId="402AB3B8">
      <w:pPr>
        <w:tabs>
          <w:tab w:val="left" w:pos="1065"/>
          <w:tab w:val="left" w:pos="4262"/>
          <w:tab w:val="left" w:pos="6477"/>
        </w:tabs>
        <w:spacing w:before="20" w:line="500" w:lineRule="exact"/>
        <w:ind w:right="84" w:firstLine="772" w:firstLineChars="322"/>
        <w:rPr>
          <w:rFonts w:hint="eastAsia" w:ascii="宋体" w:hAnsi="宋体" w:eastAsia="宋体"/>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承建企业为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lang w:eastAsia="zh-CN"/>
          <w14:textFill>
            <w14:solidFill>
              <w14:schemeClr w14:val="tx1"/>
            </w14:solidFill>
          </w14:textFill>
        </w:rPr>
        <w:t>；</w:t>
      </w:r>
    </w:p>
    <w:p w14:paraId="04AC098A">
      <w:pPr>
        <w:pStyle w:val="19"/>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AF49CF6">
      <w:pPr>
        <w:pStyle w:val="19"/>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70272E69">
      <w:pPr>
        <w:pStyle w:val="19"/>
        <w:spacing w:before="25"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4317E9C3">
      <w:pPr>
        <w:pStyle w:val="19"/>
        <w:spacing w:before="56"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4B3E75A1">
      <w:pPr>
        <w:pStyle w:val="19"/>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3EBD86A9">
      <w:pPr>
        <w:spacing w:line="520" w:lineRule="exact"/>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注：1.对于联合体中由中小企业承担的部分，或者分包给中小企业的部分，供应商应当在声明函“项目名称”部分标明联合体中中小企业承担的具体内容或者中小企业的具体分包内容。</w:t>
      </w:r>
    </w:p>
    <w:p w14:paraId="5AECC603">
      <w:pPr>
        <w:spacing w:line="520" w:lineRule="exact"/>
        <w:ind w:firstLine="420" w:firstLineChars="200"/>
        <w:jc w:val="left"/>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AD4D46E">
      <w:pPr>
        <w:spacing w:line="520" w:lineRule="exact"/>
        <w:jc w:val="center"/>
        <w:rPr>
          <w:rFonts w:ascii="宋体" w:hAnsi="宋体" w:cs="仿宋_GB2312"/>
          <w:b/>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方正小标宋简体"/>
          <w:b/>
          <w:color w:val="000000" w:themeColor="text1"/>
          <w:sz w:val="32"/>
          <w:szCs w:val="32"/>
          <w:highlight w:val="none"/>
          <w14:textFill>
            <w14:solidFill>
              <w14:schemeClr w14:val="tx1"/>
            </w14:solidFill>
          </w14:textFill>
        </w:rPr>
        <w:t>残疾人福利性单位声明函</w:t>
      </w:r>
    </w:p>
    <w:p w14:paraId="1410A5EE">
      <w:pPr>
        <w:spacing w:line="360" w:lineRule="auto"/>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15B4AC35">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BE88C1C">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1FCC740F">
      <w:pPr>
        <w:spacing w:line="360" w:lineRule="auto"/>
        <w:contextualSpacing/>
        <w:rPr>
          <w:rFonts w:ascii="宋体" w:hAnsi="宋体" w:cs="仿宋_GB2312"/>
          <w:color w:val="000000" w:themeColor="text1"/>
          <w:sz w:val="24"/>
          <w:highlight w:val="none"/>
          <w14:textFill>
            <w14:solidFill>
              <w14:schemeClr w14:val="tx1"/>
            </w14:solidFill>
          </w14:textFill>
        </w:rPr>
      </w:pPr>
    </w:p>
    <w:p w14:paraId="1AA45633">
      <w:pPr>
        <w:spacing w:line="360" w:lineRule="auto"/>
        <w:contextualSpacing/>
        <w:rPr>
          <w:rFonts w:ascii="宋体" w:hAnsi="宋体" w:cs="仿宋_GB2312"/>
          <w:color w:val="000000" w:themeColor="text1"/>
          <w:sz w:val="24"/>
          <w:highlight w:val="none"/>
          <w14:textFill>
            <w14:solidFill>
              <w14:schemeClr w14:val="tx1"/>
            </w14:solidFill>
          </w14:textFill>
        </w:rPr>
      </w:pPr>
    </w:p>
    <w:p w14:paraId="7EA6FB7E">
      <w:pPr>
        <w:spacing w:line="360" w:lineRule="auto"/>
        <w:contextualSpacing/>
        <w:rPr>
          <w:rFonts w:ascii="宋体" w:hAnsi="宋体" w:cs="仿宋_GB2312"/>
          <w:color w:val="000000" w:themeColor="text1"/>
          <w:sz w:val="24"/>
          <w:highlight w:val="none"/>
          <w14:textFill>
            <w14:solidFill>
              <w14:schemeClr w14:val="tx1"/>
            </w14:solidFill>
          </w14:textFill>
        </w:rPr>
      </w:pPr>
    </w:p>
    <w:p w14:paraId="4149DEEF">
      <w:pPr>
        <w:spacing w:line="360" w:lineRule="auto"/>
        <w:ind w:firstLine="2400" w:firstLineChars="10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0A790FC0">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3F9DB753">
      <w:pPr>
        <w:spacing w:line="360" w:lineRule="auto"/>
        <w:contextualSpacing/>
        <w:rPr>
          <w:rFonts w:ascii="宋体" w:hAnsi="宋体" w:cs="仿宋_GB2312"/>
          <w:color w:val="000000" w:themeColor="text1"/>
          <w:sz w:val="24"/>
          <w:highlight w:val="none"/>
          <w14:textFill>
            <w14:solidFill>
              <w14:schemeClr w14:val="tx1"/>
            </w14:solidFill>
          </w14:textFill>
        </w:rPr>
      </w:pPr>
    </w:p>
    <w:p w14:paraId="6B357585">
      <w:pPr>
        <w:spacing w:line="360" w:lineRule="auto"/>
        <w:contextualSpacing/>
        <w:rPr>
          <w:rFonts w:ascii="宋体" w:hAnsi="宋体" w:cs="仿宋_GB2312"/>
          <w:color w:val="000000" w:themeColor="text1"/>
          <w:sz w:val="24"/>
          <w:highlight w:val="none"/>
          <w14:textFill>
            <w14:solidFill>
              <w14:schemeClr w14:val="tx1"/>
            </w14:solidFill>
          </w14:textFill>
        </w:rPr>
      </w:pPr>
    </w:p>
    <w:p w14:paraId="663E4F2F">
      <w:pPr>
        <w:spacing w:line="360" w:lineRule="auto"/>
        <w:contextualSpacing/>
        <w:rPr>
          <w:rFonts w:ascii="宋体" w:hAnsi="宋体" w:cs="仿宋_GB2312"/>
          <w:color w:val="000000" w:themeColor="text1"/>
          <w:sz w:val="24"/>
          <w:highlight w:val="none"/>
          <w14:textFill>
            <w14:solidFill>
              <w14:schemeClr w14:val="tx1"/>
            </w14:solidFill>
          </w14:textFill>
        </w:rPr>
      </w:pPr>
    </w:p>
    <w:p w14:paraId="00FC3F58">
      <w:pPr>
        <w:spacing w:line="360" w:lineRule="auto"/>
        <w:ind w:firstLine="420" w:firstLineChars="200"/>
        <w:contextualSpacing/>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5646ACCB">
      <w:pPr>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7C44C93A">
      <w:pPr>
        <w:pStyle w:val="25"/>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575D21E7">
      <w:pPr>
        <w:pStyle w:val="25"/>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909694C">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34A6707">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F68B999">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114449C4">
      <w:pPr>
        <w:pStyle w:val="25"/>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0955590">
      <w:pPr>
        <w:pStyle w:val="25"/>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86A71DA">
      <w:pPr>
        <w:pStyle w:val="25"/>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5697852F">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54763F2C">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4EC88388">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6E5B80AA">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43B2B3E2">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4BA8BA02">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608501B2">
      <w:pPr>
        <w:pStyle w:val="25"/>
        <w:spacing w:line="360" w:lineRule="auto"/>
        <w:ind w:left="25" w:leftChars="12" w:firstLine="352" w:firstLineChars="147"/>
        <w:contextualSpacing/>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0CC0B910">
      <w:pPr>
        <w:pStyle w:val="25"/>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0077DA8C">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1C89EE95">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4C76CFA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A28154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1A91288A">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5725F137">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222A2D2D">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DC92991">
      <w:pPr>
        <w:pStyle w:val="25"/>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5DFFC06B">
      <w:pPr>
        <w:pStyle w:val="25"/>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A0FC876">
      <w:pPr>
        <w:pStyle w:val="25"/>
        <w:spacing w:line="360" w:lineRule="auto"/>
        <w:ind w:firstLine="480" w:firstLineChars="200"/>
        <w:contextualSpacing/>
        <w:rPr>
          <w:rFonts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F52C3C2">
      <w:pPr>
        <w:pStyle w:val="25"/>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4A30566">
      <w:pPr>
        <w:pStyle w:val="25"/>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03E41E3D">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0C373A">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19A129D4">
      <w:pPr>
        <w:pStyle w:val="25"/>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7B478261">
      <w:pPr>
        <w:pStyle w:val="25"/>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77EFD6AE">
      <w:pPr>
        <w:pStyle w:val="25"/>
        <w:snapToGrid w:val="0"/>
        <w:rPr>
          <w:b/>
          <w:color w:val="000000" w:themeColor="text1"/>
          <w:sz w:val="24"/>
          <w:szCs w:val="24"/>
          <w:highlight w:val="none"/>
          <w14:textFill>
            <w14:solidFill>
              <w14:schemeClr w14:val="tx1"/>
            </w14:solidFill>
          </w14:textFill>
        </w:rPr>
      </w:pPr>
    </w:p>
    <w:p w14:paraId="3C92FF0C">
      <w:pPr>
        <w:rPr>
          <w:color w:val="000000" w:themeColor="text1"/>
          <w:sz w:val="32"/>
          <w:szCs w:val="40"/>
          <w:highlight w:val="none"/>
          <w14:textFill>
            <w14:solidFill>
              <w14:schemeClr w14:val="tx1"/>
            </w14:solidFill>
          </w14:textFill>
        </w:rPr>
      </w:pPr>
    </w:p>
    <w:p w14:paraId="11D3D02E">
      <w:pPr>
        <w:rPr>
          <w:color w:val="000000" w:themeColor="text1"/>
          <w:sz w:val="32"/>
          <w:szCs w:val="40"/>
          <w:highlight w:val="none"/>
          <w14:textFill>
            <w14:solidFill>
              <w14:schemeClr w14:val="tx1"/>
            </w14:solidFill>
          </w14:textFill>
        </w:rPr>
      </w:pPr>
    </w:p>
    <w:p w14:paraId="4AE9AD0D">
      <w:pPr>
        <w:rPr>
          <w:color w:val="000000" w:themeColor="text1"/>
          <w:sz w:val="32"/>
          <w:szCs w:val="40"/>
          <w:highlight w:val="none"/>
          <w14:textFill>
            <w14:solidFill>
              <w14:schemeClr w14:val="tx1"/>
            </w14:solidFill>
          </w14:textFill>
        </w:rPr>
      </w:pPr>
    </w:p>
    <w:p w14:paraId="7C2BE011">
      <w:pPr>
        <w:rPr>
          <w:color w:val="000000" w:themeColor="text1"/>
          <w:sz w:val="32"/>
          <w:szCs w:val="40"/>
          <w:highlight w:val="none"/>
          <w14:textFill>
            <w14:solidFill>
              <w14:schemeClr w14:val="tx1"/>
            </w14:solidFill>
          </w14:textFill>
        </w:rPr>
      </w:pPr>
    </w:p>
    <w:p w14:paraId="42ABF246">
      <w:pPr>
        <w:rPr>
          <w:color w:val="000000" w:themeColor="text1"/>
          <w:sz w:val="32"/>
          <w:szCs w:val="40"/>
          <w:highlight w:val="none"/>
          <w14:textFill>
            <w14:solidFill>
              <w14:schemeClr w14:val="tx1"/>
            </w14:solidFill>
          </w14:textFill>
        </w:rPr>
      </w:pPr>
    </w:p>
    <w:p w14:paraId="732B352D">
      <w:pPr>
        <w:rPr>
          <w:color w:val="000000" w:themeColor="text1"/>
          <w:sz w:val="32"/>
          <w:szCs w:val="40"/>
          <w:highlight w:val="none"/>
          <w14:textFill>
            <w14:solidFill>
              <w14:schemeClr w14:val="tx1"/>
            </w14:solidFill>
          </w14:textFill>
        </w:rPr>
      </w:pPr>
    </w:p>
    <w:p w14:paraId="77CA4BB7">
      <w:pPr>
        <w:rPr>
          <w:color w:val="000000" w:themeColor="text1"/>
          <w:sz w:val="32"/>
          <w:szCs w:val="40"/>
          <w:highlight w:val="none"/>
          <w14:textFill>
            <w14:solidFill>
              <w14:schemeClr w14:val="tx1"/>
            </w14:solidFill>
          </w14:textFill>
        </w:rPr>
      </w:pPr>
    </w:p>
    <w:p w14:paraId="691B3A11">
      <w:pPr>
        <w:rPr>
          <w:color w:val="000000" w:themeColor="text1"/>
          <w:sz w:val="32"/>
          <w:szCs w:val="40"/>
          <w:highlight w:val="none"/>
          <w14:textFill>
            <w14:solidFill>
              <w14:schemeClr w14:val="tx1"/>
            </w14:solidFill>
          </w14:textFill>
        </w:rPr>
      </w:pPr>
    </w:p>
    <w:p w14:paraId="3D8A5937">
      <w:pPr>
        <w:rPr>
          <w:color w:val="000000" w:themeColor="text1"/>
          <w:sz w:val="32"/>
          <w:szCs w:val="40"/>
          <w:highlight w:val="none"/>
          <w14:textFill>
            <w14:solidFill>
              <w14:schemeClr w14:val="tx1"/>
            </w14:solidFill>
          </w14:textFill>
        </w:rPr>
      </w:pPr>
    </w:p>
    <w:p w14:paraId="489C81D1">
      <w:pPr>
        <w:rPr>
          <w:color w:val="000000" w:themeColor="text1"/>
          <w:sz w:val="32"/>
          <w:szCs w:val="40"/>
          <w:highlight w:val="none"/>
          <w14:textFill>
            <w14:solidFill>
              <w14:schemeClr w14:val="tx1"/>
            </w14:solidFill>
          </w14:textFill>
        </w:rPr>
      </w:pPr>
    </w:p>
    <w:p w14:paraId="2D95BB95">
      <w:pPr>
        <w:rPr>
          <w:color w:val="000000" w:themeColor="text1"/>
          <w:sz w:val="32"/>
          <w:szCs w:val="40"/>
          <w:highlight w:val="none"/>
          <w14:textFill>
            <w14:solidFill>
              <w14:schemeClr w14:val="tx1"/>
            </w14:solidFill>
          </w14:textFill>
        </w:rPr>
      </w:pPr>
    </w:p>
    <w:p w14:paraId="64DC9B62">
      <w:pPr>
        <w:rPr>
          <w:color w:val="000000" w:themeColor="text1"/>
          <w:sz w:val="32"/>
          <w:szCs w:val="40"/>
          <w:highlight w:val="none"/>
          <w14:textFill>
            <w14:solidFill>
              <w14:schemeClr w14:val="tx1"/>
            </w14:solidFill>
          </w14:textFill>
        </w:rPr>
      </w:pPr>
    </w:p>
    <w:p w14:paraId="12326663">
      <w:pPr>
        <w:rPr>
          <w:color w:val="000000" w:themeColor="text1"/>
          <w:sz w:val="32"/>
          <w:szCs w:val="40"/>
          <w:highlight w:val="none"/>
          <w14:textFill>
            <w14:solidFill>
              <w14:schemeClr w14:val="tx1"/>
            </w14:solidFill>
          </w14:textFill>
        </w:rPr>
      </w:pPr>
    </w:p>
    <w:p w14:paraId="61018D20">
      <w:pPr>
        <w:rPr>
          <w:color w:val="000000" w:themeColor="text1"/>
          <w:sz w:val="32"/>
          <w:szCs w:val="40"/>
          <w:highlight w:val="none"/>
          <w14:textFill>
            <w14:solidFill>
              <w14:schemeClr w14:val="tx1"/>
            </w14:solidFill>
          </w14:textFill>
        </w:rPr>
      </w:pPr>
    </w:p>
    <w:p w14:paraId="5CD6BFB8">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1F259BFE">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3BE8521B">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F83B959">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A334401">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66E14119">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51DCFB4">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9594C29">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27F1BDD">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4389800">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6499D87A">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3A7E16D3">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C77D201">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B63D66B">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62ED458C">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05AD38F">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6D596F63">
      <w:pPr>
        <w:pStyle w:val="25"/>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9A8367F">
      <w:pPr>
        <w:pStyle w:val="25"/>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CAA9810">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5068E423">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BD31D97">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8E3D71A">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70F7EDAF">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299982F2">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62F07CB">
      <w:pPr>
        <w:pStyle w:val="25"/>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249ACB24">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30696F7F">
      <w:pPr>
        <w:pStyle w:val="25"/>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675CF22E">
      <w:pPr>
        <w:pStyle w:val="25"/>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9737399">
      <w:pPr>
        <w:pStyle w:val="25"/>
        <w:spacing w:line="360" w:lineRule="auto"/>
        <w:ind w:firstLine="241"/>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0B1BD42">
      <w:pPr>
        <w:pStyle w:val="25"/>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3B55E339">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7502017C">
      <w:pPr>
        <w:pStyle w:val="25"/>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5B36211F">
      <w:pPr>
        <w:pStyle w:val="25"/>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BD98C66">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0BD8C5B0">
      <w:pPr>
        <w:pStyle w:val="25"/>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426DB72">
      <w:pPr>
        <w:pStyle w:val="25"/>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4E9E19F7">
      <w:pPr>
        <w:pStyle w:val="25"/>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181FA36D">
      <w:pPr>
        <w:pStyle w:val="25"/>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1E0F385C">
      <w:pPr>
        <w:pStyle w:val="25"/>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17C1AAC0">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60F6B98A">
      <w:pPr>
        <w:pStyle w:val="25"/>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6211FB97">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2A33DFD">
      <w:pPr>
        <w:pStyle w:val="25"/>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18D4739B">
      <w:pPr>
        <w:pStyle w:val="25"/>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CE66A2E">
      <w:pPr>
        <w:pStyle w:val="25"/>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75EBFB39">
      <w:pPr>
        <w:pStyle w:val="25"/>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72AEE083">
      <w:pPr>
        <w:pStyle w:val="25"/>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5B78658F">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F39449F">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1D8678C1">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4D74508C">
      <w:pPr>
        <w:pStyle w:val="25"/>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438EAEB5">
      <w:pPr>
        <w:pStyle w:val="25"/>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01A99FA9">
      <w:pPr>
        <w:pStyle w:val="2"/>
        <w:jc w:val="center"/>
        <w:rPr>
          <w:color w:val="000000" w:themeColor="text1"/>
          <w:highlight w:val="none"/>
          <w14:textFill>
            <w14:solidFill>
              <w14:schemeClr w14:val="tx1"/>
            </w14:solidFill>
          </w14:textFill>
        </w:rPr>
      </w:pPr>
    </w:p>
    <w:p w14:paraId="1F017E11">
      <w:pPr>
        <w:pStyle w:val="2"/>
        <w:jc w:val="center"/>
        <w:rPr>
          <w:color w:val="000000" w:themeColor="text1"/>
          <w:highlight w:val="none"/>
          <w14:textFill>
            <w14:solidFill>
              <w14:schemeClr w14:val="tx1"/>
            </w14:solidFill>
          </w14:textFill>
        </w:rPr>
      </w:pPr>
    </w:p>
    <w:p w14:paraId="7FA820F1">
      <w:pPr>
        <w:pStyle w:val="2"/>
        <w:jc w:val="center"/>
        <w:rPr>
          <w:color w:val="000000" w:themeColor="text1"/>
          <w:highlight w:val="none"/>
          <w14:textFill>
            <w14:solidFill>
              <w14:schemeClr w14:val="tx1"/>
            </w14:solidFill>
          </w14:textFill>
        </w:rPr>
      </w:pPr>
    </w:p>
    <w:p w14:paraId="7B9A7264">
      <w:pPr>
        <w:pStyle w:val="2"/>
        <w:jc w:val="center"/>
        <w:rPr>
          <w:color w:val="000000" w:themeColor="text1"/>
          <w:highlight w:val="none"/>
          <w14:textFill>
            <w14:solidFill>
              <w14:schemeClr w14:val="tx1"/>
            </w14:solidFill>
          </w14:textFill>
        </w:rPr>
      </w:pPr>
    </w:p>
    <w:p w14:paraId="60DA91D0">
      <w:pPr>
        <w:pStyle w:val="2"/>
        <w:jc w:val="center"/>
        <w:rPr>
          <w:color w:val="000000" w:themeColor="text1"/>
          <w:highlight w:val="none"/>
          <w14:textFill>
            <w14:solidFill>
              <w14:schemeClr w14:val="tx1"/>
            </w14:solidFill>
          </w14:textFill>
        </w:rPr>
      </w:pPr>
    </w:p>
    <w:p w14:paraId="69E1D3DD">
      <w:pPr>
        <w:pStyle w:val="2"/>
        <w:jc w:val="center"/>
        <w:rPr>
          <w:color w:val="000000" w:themeColor="text1"/>
          <w:highlight w:val="none"/>
          <w14:textFill>
            <w14:solidFill>
              <w14:schemeClr w14:val="tx1"/>
            </w14:solidFill>
          </w14:textFill>
        </w:rPr>
      </w:pPr>
      <w:bookmarkStart w:id="188" w:name="_Toc122424267"/>
      <w:r>
        <w:rPr>
          <w:rFonts w:hint="eastAsia"/>
          <w:color w:val="000000" w:themeColor="text1"/>
          <w:highlight w:val="none"/>
          <w14:textFill>
            <w14:solidFill>
              <w14:schemeClr w14:val="tx1"/>
            </w14:solidFill>
          </w14:textFill>
        </w:rPr>
        <w:t>第七章 合同文本</w:t>
      </w:r>
      <w:bookmarkEnd w:id="188"/>
    </w:p>
    <w:p w14:paraId="21D90218">
      <w:pPr>
        <w:spacing w:line="520" w:lineRule="exact"/>
        <w:rPr>
          <w:rFonts w:ascii="宋体" w:hAnsi="宋体" w:cs="Courier New"/>
          <w:b/>
          <w:color w:val="000000" w:themeColor="text1"/>
          <w:sz w:val="32"/>
          <w:szCs w:val="32"/>
          <w:highlight w:val="none"/>
          <w14:textFill>
            <w14:solidFill>
              <w14:schemeClr w14:val="tx1"/>
            </w14:solidFill>
          </w14:textFill>
        </w:rPr>
      </w:pPr>
    </w:p>
    <w:p w14:paraId="618D1A07">
      <w:pPr>
        <w:widowControl/>
        <w:rPr>
          <w:rFonts w:ascii="宋体" w:hAnsi="宋体" w:cs="宋体"/>
          <w:b/>
          <w:color w:val="000000" w:themeColor="text1"/>
          <w:sz w:val="44"/>
          <w:szCs w:val="44"/>
          <w:highlight w:val="none"/>
          <w14:textFill>
            <w14:solidFill>
              <w14:schemeClr w14:val="tx1"/>
            </w14:solidFill>
          </w14:textFill>
        </w:rPr>
      </w:pPr>
    </w:p>
    <w:p w14:paraId="2B7434EC">
      <w:pPr>
        <w:pStyle w:val="2"/>
        <w:jc w:val="center"/>
        <w:rPr>
          <w:color w:val="000000" w:themeColor="text1"/>
          <w:highlight w:val="none"/>
          <w14:textFill>
            <w14:solidFill>
              <w14:schemeClr w14:val="tx1"/>
            </w14:solidFill>
          </w14:textFill>
        </w:rPr>
      </w:pPr>
      <w:bookmarkStart w:id="189" w:name="_Toc373478199"/>
      <w:bookmarkStart w:id="190" w:name="_Toc389065255"/>
      <w:bookmarkStart w:id="191" w:name="_Toc724920571"/>
      <w:bookmarkStart w:id="192" w:name="_Toc407135191"/>
      <w:bookmarkStart w:id="193" w:name="_Toc296890982"/>
      <w:bookmarkStart w:id="194" w:name="_Toc351203480"/>
      <w:bookmarkStart w:id="195" w:name="_Toc1756478213"/>
      <w:bookmarkStart w:id="196" w:name="_Toc296503025"/>
      <w:bookmarkStart w:id="197" w:name="_Toc373227552"/>
      <w:bookmarkStart w:id="198" w:name="_Toc78449777"/>
      <w:r>
        <w:rPr>
          <w:rFonts w:cs="黑体"/>
          <w:color w:val="000000" w:themeColor="text1"/>
          <w:highlight w:val="none"/>
          <w14:textFill>
            <w14:solidFill>
              <w14:schemeClr w14:val="tx1"/>
            </w14:solidFill>
          </w14:textFill>
        </w:rPr>
        <w:br w:type="page"/>
      </w:r>
      <w:bookmarkStart w:id="199" w:name="_Toc122424268"/>
      <w:bookmarkStart w:id="200" w:name="_Toc122424019"/>
      <w:r>
        <w:rPr>
          <w:rFonts w:hint="eastAsia" w:cs="黑体"/>
          <w:color w:val="000000" w:themeColor="text1"/>
          <w:highlight w:val="none"/>
          <w14:textFill>
            <w14:solidFill>
              <w14:schemeClr w14:val="tx1"/>
            </w14:solidFill>
          </w14:textFill>
        </w:rPr>
        <w:t>第一部分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合同协议书</w:t>
      </w:r>
      <w:bookmarkEnd w:id="189"/>
      <w:bookmarkEnd w:id="190"/>
      <w:bookmarkEnd w:id="191"/>
      <w:bookmarkEnd w:id="192"/>
      <w:bookmarkEnd w:id="193"/>
      <w:bookmarkEnd w:id="194"/>
      <w:bookmarkEnd w:id="195"/>
      <w:bookmarkEnd w:id="196"/>
      <w:bookmarkEnd w:id="197"/>
      <w:bookmarkEnd w:id="198"/>
      <w:bookmarkEnd w:id="199"/>
      <w:bookmarkEnd w:id="200"/>
    </w:p>
    <w:p w14:paraId="1E59482F">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发包人（全称）：</w:t>
      </w:r>
      <w:r>
        <w:rPr>
          <w:rFonts w:hAnsi="宋体"/>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钦州幼儿师范高等专科学校</w:t>
      </w:r>
      <w:r>
        <w:rPr>
          <w:rFonts w:hAnsi="宋体"/>
          <w:color w:val="000000" w:themeColor="text1"/>
          <w:highlight w:val="none"/>
          <w:u w:val="single"/>
          <w14:textFill>
            <w14:solidFill>
              <w14:schemeClr w14:val="tx1"/>
            </w14:solidFill>
          </w14:textFill>
        </w:rPr>
        <w:t xml:space="preserve">    </w:t>
      </w:r>
    </w:p>
    <w:p w14:paraId="2DA3D422">
      <w:pPr>
        <w:spacing w:line="360" w:lineRule="auto"/>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承包人（全称）：</w:t>
      </w:r>
      <w:r>
        <w:rPr>
          <w:rFonts w:hAnsi="宋体"/>
          <w:color w:val="000000" w:themeColor="text1"/>
          <w:highlight w:val="none"/>
          <w:u w:val="single"/>
          <w14:textFill>
            <w14:solidFill>
              <w14:schemeClr w14:val="tx1"/>
            </w14:solidFill>
          </w14:textFill>
        </w:rPr>
        <w:t xml:space="preserve">                              </w:t>
      </w:r>
    </w:p>
    <w:p w14:paraId="58C990B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根据《中华人民共和国民法典》、《中华人民共和国建筑法》及有关法律规定，遵循平等、自愿、公平和诚实信用的原则，双方就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钦州幼儿师范高等专科学校室内体育馆钢结构防火防腐及地板建设工程</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工程施工及有关事项协商一致，共同达成如下协议：</w:t>
      </w:r>
      <w:bookmarkStart w:id="201" w:name="_Toc351203481"/>
    </w:p>
    <w:p w14:paraId="55F58FF6">
      <w:pPr>
        <w:spacing w:line="360" w:lineRule="auto"/>
        <w:ind w:firstLine="422" w:firstLineChars="200"/>
        <w:outlineLvl w:val="0"/>
        <w:rPr>
          <w:b/>
          <w:bCs/>
          <w:color w:val="000000" w:themeColor="text1"/>
          <w:highlight w:val="none"/>
          <w14:textFill>
            <w14:solidFill>
              <w14:schemeClr w14:val="tx1"/>
            </w14:solidFill>
          </w14:textFill>
        </w:rPr>
      </w:pPr>
      <w:bookmarkStart w:id="202" w:name="_Toc122424020"/>
      <w:bookmarkStart w:id="203" w:name="_Toc122424269"/>
      <w:r>
        <w:rPr>
          <w:rFonts w:hint="eastAsia" w:hAnsi="宋体" w:cs="宋体"/>
          <w:b/>
          <w:bCs/>
          <w:color w:val="000000" w:themeColor="text1"/>
          <w:highlight w:val="none"/>
          <w14:textFill>
            <w14:solidFill>
              <w14:schemeClr w14:val="tx1"/>
            </w14:solidFill>
          </w14:textFill>
        </w:rPr>
        <w:t>一、工程概况</w:t>
      </w:r>
      <w:bookmarkEnd w:id="201"/>
      <w:bookmarkEnd w:id="202"/>
      <w:bookmarkEnd w:id="203"/>
    </w:p>
    <w:p w14:paraId="17A80F37">
      <w:pPr>
        <w:spacing w:line="360" w:lineRule="auto"/>
        <w:ind w:firstLine="411" w:firstLineChars="196"/>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工程名称：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钦州幼儿师范高等专科学校室内体育馆钢结构防火防腐及地板建设工程</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826A121">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工程地点：</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F8FA0E0">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工程立项批准文号：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3D087E15">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4. </w:t>
      </w:r>
      <w:r>
        <w:rPr>
          <w:rFonts w:hint="eastAsia" w:hAnsi="宋体" w:cs="宋体"/>
          <w:color w:val="000000" w:themeColor="text1"/>
          <w:highlight w:val="none"/>
          <w14:textFill>
            <w14:solidFill>
              <w14:schemeClr w14:val="tx1"/>
            </w14:solidFill>
          </w14:textFill>
        </w:rPr>
        <w:t>资金来源：</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03459594">
      <w:pPr>
        <w:spacing w:line="360" w:lineRule="auto"/>
        <w:ind w:firstLine="411" w:firstLineChars="196"/>
        <w:rPr>
          <w:color w:val="000000" w:themeColor="text1"/>
          <w:highlight w:val="none"/>
          <w14:textFill>
            <w14:solidFill>
              <w14:schemeClr w14:val="tx1"/>
            </w14:solidFill>
          </w14:textFill>
        </w:rPr>
      </w:pPr>
      <w:bookmarkStart w:id="204" w:name="_Toc122424021"/>
      <w:bookmarkStart w:id="205" w:name="_Toc122424270"/>
      <w:bookmarkStart w:id="206" w:name="_Toc351203482"/>
      <w:r>
        <w:rPr>
          <w:color w:val="000000" w:themeColor="text1"/>
          <w:highlight w:val="none"/>
          <w14:textFill>
            <w14:solidFill>
              <w14:schemeClr w14:val="tx1"/>
            </w14:solidFill>
          </w14:textFill>
        </w:rPr>
        <w:t xml:space="preserve">5. </w:t>
      </w:r>
      <w:r>
        <w:rPr>
          <w:rFonts w:hint="eastAsia" w:hAnsi="宋体" w:cs="宋体"/>
          <w:color w:val="000000" w:themeColor="text1"/>
          <w:highlight w:val="none"/>
          <w14:textFill>
            <w14:solidFill>
              <w14:schemeClr w14:val="tx1"/>
            </w14:solidFill>
          </w14:textFill>
        </w:rPr>
        <w:t>工程内容：</w:t>
      </w:r>
      <w:r>
        <w:rPr>
          <w:rFonts w:hint="eastAsia" w:hAnsi="宋体" w:cs="宋体"/>
          <w:color w:val="000000" w:themeColor="text1"/>
          <w:highlight w:val="none"/>
          <w:u w:val="single"/>
          <w14:textFill>
            <w14:solidFill>
              <w14:schemeClr w14:val="tx1"/>
            </w14:solidFill>
          </w14:textFill>
        </w:rPr>
        <w:t>详见工程量清单</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2F03F835">
      <w:pPr>
        <w:spacing w:line="360" w:lineRule="auto"/>
        <w:ind w:firstLine="411" w:firstLineChars="1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6. </w:t>
      </w:r>
      <w:r>
        <w:rPr>
          <w:rFonts w:hint="eastAsia" w:hAnsi="宋体" w:cs="宋体"/>
          <w:color w:val="000000" w:themeColor="text1"/>
          <w:highlight w:val="none"/>
          <w14:textFill>
            <w14:solidFill>
              <w14:schemeClr w14:val="tx1"/>
            </w14:solidFill>
          </w14:textFill>
        </w:rPr>
        <w:t>工程承包范围：</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w:t>
      </w:r>
    </w:p>
    <w:p w14:paraId="01045EDE">
      <w:pPr>
        <w:spacing w:line="360" w:lineRule="auto"/>
        <w:ind w:firstLine="407" w:firstLineChars="193"/>
        <w:outlineLvl w:val="0"/>
        <w:rPr>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二、合同工期</w:t>
      </w:r>
      <w:bookmarkEnd w:id="204"/>
      <w:bookmarkEnd w:id="205"/>
      <w:bookmarkEnd w:id="206"/>
    </w:p>
    <w:p w14:paraId="3CDEFE50">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计划开工日期：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（具体以发包人书面通知为准）</w:t>
      </w:r>
    </w:p>
    <w:p w14:paraId="7C351464">
      <w:pPr>
        <w:spacing w:line="360" w:lineRule="auto"/>
        <w:ind w:firstLine="459"/>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计划竣工日期：</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年</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月</w:t>
      </w:r>
      <w:r>
        <w:rPr>
          <w:rFonts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日</w:t>
      </w:r>
      <w:r>
        <w:rPr>
          <w:rFonts w:hint="eastAsia" w:hAnsi="宋体" w:cs="宋体"/>
          <w:color w:val="000000" w:themeColor="text1"/>
          <w:highlight w:val="none"/>
          <w14:textFill>
            <w14:solidFill>
              <w14:schemeClr w14:val="tx1"/>
            </w14:solidFill>
          </w14:textFill>
        </w:rPr>
        <w:t>。</w:t>
      </w:r>
    </w:p>
    <w:p w14:paraId="218E46D9">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工期总日历天数：</w:t>
      </w:r>
      <w:r>
        <w:rPr>
          <w:rFonts w:hint="eastAsia" w:hAnsi="宋体" w:cs="宋体"/>
          <w:color w:val="000000" w:themeColor="text1"/>
          <w:highlight w:val="none"/>
          <w:u w:val="single"/>
          <w14:textFill>
            <w14:solidFill>
              <w14:schemeClr w14:val="tx1"/>
            </w14:solidFill>
          </w14:textFill>
        </w:rPr>
        <w:t xml:space="preserve">   天</w:t>
      </w:r>
      <w:r>
        <w:rPr>
          <w:rFonts w:hint="eastAsia" w:hAnsi="宋体" w:cs="宋体"/>
          <w:color w:val="000000" w:themeColor="text1"/>
          <w:highlight w:val="none"/>
          <w14:textFill>
            <w14:solidFill>
              <w14:schemeClr w14:val="tx1"/>
            </w14:solidFill>
          </w14:textFill>
        </w:rPr>
        <w:t>工期总日历天数与根据前述计划开竣工日期计算的工期天数不一致的，以工期总日历天数为准。</w:t>
      </w:r>
    </w:p>
    <w:p w14:paraId="2F2AEC2B">
      <w:pPr>
        <w:spacing w:line="360" w:lineRule="auto"/>
        <w:ind w:firstLine="459"/>
        <w:outlineLvl w:val="0"/>
        <w:rPr>
          <w:b/>
          <w:bCs/>
          <w:color w:val="000000" w:themeColor="text1"/>
          <w:highlight w:val="none"/>
          <w14:textFill>
            <w14:solidFill>
              <w14:schemeClr w14:val="tx1"/>
            </w14:solidFill>
          </w14:textFill>
        </w:rPr>
      </w:pPr>
      <w:bookmarkStart w:id="207" w:name="_Toc351203483"/>
      <w:bookmarkStart w:id="208" w:name="_Toc122424271"/>
      <w:bookmarkStart w:id="209" w:name="_Toc122424022"/>
      <w:r>
        <w:rPr>
          <w:rFonts w:hint="eastAsia" w:hAnsi="宋体" w:cs="宋体"/>
          <w:b/>
          <w:bCs/>
          <w:color w:val="000000" w:themeColor="text1"/>
          <w:highlight w:val="none"/>
          <w14:textFill>
            <w14:solidFill>
              <w14:schemeClr w14:val="tx1"/>
            </w14:solidFill>
          </w14:textFill>
        </w:rPr>
        <w:t>三、质量标准</w:t>
      </w:r>
      <w:bookmarkEnd w:id="207"/>
      <w:bookmarkEnd w:id="208"/>
      <w:bookmarkEnd w:id="209"/>
    </w:p>
    <w:p w14:paraId="54F2812C">
      <w:pPr>
        <w:spacing w:line="360" w:lineRule="auto"/>
        <w:ind w:firstLine="459"/>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工程质量符合</w:t>
      </w:r>
      <w:r>
        <w:rPr>
          <w:rFonts w:eastAsia="仿宋_GB2312"/>
          <w:color w:val="000000" w:themeColor="text1"/>
          <w:highlight w:val="none"/>
          <w:u w:val="singl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达到国家施工验收规范合格</w:t>
      </w:r>
      <w:r>
        <w:rPr>
          <w:rFonts w:eastAsia="仿宋_GB2312"/>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标准。</w:t>
      </w:r>
    </w:p>
    <w:p w14:paraId="69388A55">
      <w:pPr>
        <w:spacing w:line="360" w:lineRule="auto"/>
        <w:ind w:firstLine="459"/>
        <w:outlineLvl w:val="0"/>
        <w:rPr>
          <w:rFonts w:hAnsi="宋体"/>
          <w:b/>
          <w:bCs/>
          <w:color w:val="000000" w:themeColor="text1"/>
          <w:highlight w:val="none"/>
          <w14:textFill>
            <w14:solidFill>
              <w14:schemeClr w14:val="tx1"/>
            </w14:solidFill>
          </w14:textFill>
        </w:rPr>
      </w:pPr>
      <w:bookmarkStart w:id="210" w:name="_Toc122424272"/>
      <w:bookmarkStart w:id="211" w:name="_Toc351203484"/>
      <w:bookmarkStart w:id="212" w:name="_Toc122424023"/>
      <w:r>
        <w:rPr>
          <w:rFonts w:hint="eastAsia" w:hAnsi="宋体" w:cs="宋体"/>
          <w:b/>
          <w:bCs/>
          <w:color w:val="000000" w:themeColor="text1"/>
          <w:highlight w:val="none"/>
          <w14:textFill>
            <w14:solidFill>
              <w14:schemeClr w14:val="tx1"/>
            </w14:solidFill>
          </w14:textFill>
        </w:rPr>
        <w:t>四、签约合同价与合同价格形式</w:t>
      </w:r>
      <w:bookmarkEnd w:id="210"/>
      <w:bookmarkEnd w:id="211"/>
      <w:bookmarkEnd w:id="212"/>
    </w:p>
    <w:p w14:paraId="0821F2FB">
      <w:pPr>
        <w:spacing w:line="360" w:lineRule="auto"/>
        <w:ind w:firstLine="45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签约合同价为：</w:t>
      </w:r>
    </w:p>
    <w:p w14:paraId="61FB5FFA">
      <w:pPr>
        <w:spacing w:line="360" w:lineRule="auto"/>
        <w:ind w:firstLine="525" w:firstLineChars="250"/>
        <w:rPr>
          <w:rFonts w:hint="eastAsia" w:hAnsi="宋体"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3D81C7E2">
      <w:pPr>
        <w:spacing w:line="360" w:lineRule="auto"/>
        <w:ind w:firstLine="525" w:firstLineChars="25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其中：</w:t>
      </w:r>
    </w:p>
    <w:p w14:paraId="7F8353A5">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）安全文明施工费：</w:t>
      </w:r>
    </w:p>
    <w:p w14:paraId="223322B5">
      <w:pPr>
        <w:spacing w:line="360" w:lineRule="auto"/>
        <w:ind w:left="420" w:leftChars="200" w:firstLine="525" w:firstLineChars="250"/>
        <w:rPr>
          <w:rFonts w:hint="eastAsia" w:hAnsi="宋体"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221C5690">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）材料和工程设备暂估价金额：</w:t>
      </w:r>
    </w:p>
    <w:p w14:paraId="5824A348">
      <w:pPr>
        <w:spacing w:line="360" w:lineRule="auto"/>
        <w:ind w:firstLine="945" w:firstLineChars="45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00F51EA3">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）专业工程暂估价金额：</w:t>
      </w:r>
    </w:p>
    <w:p w14:paraId="1CB7D14E">
      <w:pPr>
        <w:spacing w:line="360" w:lineRule="auto"/>
        <w:ind w:firstLine="945" w:firstLineChars="450"/>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p>
    <w:p w14:paraId="3C35863E">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）暂列金额：</w:t>
      </w:r>
    </w:p>
    <w:p w14:paraId="02261D48">
      <w:pPr>
        <w:spacing w:line="360" w:lineRule="auto"/>
        <w:ind w:firstLine="945" w:firstLineChars="45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人民币（大写）</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元</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w:t>
      </w:r>
    </w:p>
    <w:p w14:paraId="015CB619">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合同价格形式：</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4F6F8B56">
      <w:pPr>
        <w:spacing w:line="360" w:lineRule="auto"/>
        <w:ind w:firstLine="422" w:firstLineChars="200"/>
        <w:outlineLvl w:val="0"/>
        <w:rPr>
          <w:b/>
          <w:bCs/>
          <w:color w:val="000000" w:themeColor="text1"/>
          <w:highlight w:val="none"/>
          <w14:textFill>
            <w14:solidFill>
              <w14:schemeClr w14:val="tx1"/>
            </w14:solidFill>
          </w14:textFill>
        </w:rPr>
      </w:pPr>
      <w:bookmarkStart w:id="213" w:name="_Toc351203485"/>
      <w:bookmarkStart w:id="214" w:name="_Toc122424024"/>
      <w:bookmarkStart w:id="215" w:name="_Toc122424273"/>
      <w:r>
        <w:rPr>
          <w:rFonts w:hint="eastAsia" w:hAnsi="宋体" w:cs="宋体"/>
          <w:b/>
          <w:bCs/>
          <w:color w:val="000000" w:themeColor="text1"/>
          <w:highlight w:val="none"/>
          <w14:textFill>
            <w14:solidFill>
              <w14:schemeClr w14:val="tx1"/>
            </w14:solidFill>
          </w14:textFill>
        </w:rPr>
        <w:t>五、</w:t>
      </w:r>
      <w:bookmarkEnd w:id="213"/>
      <w:r>
        <w:rPr>
          <w:rFonts w:hint="eastAsia" w:hAnsi="宋体" w:cs="宋体"/>
          <w:b/>
          <w:bCs/>
          <w:color w:val="000000" w:themeColor="text1"/>
          <w:highlight w:val="none"/>
          <w14:textFill>
            <w14:solidFill>
              <w14:schemeClr w14:val="tx1"/>
            </w14:solidFill>
          </w14:textFill>
        </w:rPr>
        <w:t>项目经理</w:t>
      </w:r>
      <w:bookmarkEnd w:id="214"/>
      <w:bookmarkEnd w:id="215"/>
    </w:p>
    <w:p w14:paraId="1FF66E7E">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承包人项目经理：</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14:paraId="5EA7469E">
      <w:pPr>
        <w:spacing w:line="360" w:lineRule="auto"/>
        <w:ind w:firstLine="422" w:firstLineChars="200"/>
        <w:outlineLvl w:val="0"/>
        <w:rPr>
          <w:b/>
          <w:bCs/>
          <w:color w:val="000000" w:themeColor="text1"/>
          <w:highlight w:val="none"/>
          <w14:textFill>
            <w14:solidFill>
              <w14:schemeClr w14:val="tx1"/>
            </w14:solidFill>
          </w14:textFill>
        </w:rPr>
      </w:pPr>
      <w:bookmarkStart w:id="216" w:name="_Toc122424274"/>
      <w:bookmarkStart w:id="217" w:name="_Toc122424025"/>
      <w:bookmarkStart w:id="218" w:name="_Toc351203486"/>
      <w:r>
        <w:rPr>
          <w:rFonts w:hint="eastAsia" w:hAnsi="宋体" w:cs="宋体"/>
          <w:b/>
          <w:bCs/>
          <w:color w:val="000000" w:themeColor="text1"/>
          <w:highlight w:val="none"/>
          <w14:textFill>
            <w14:solidFill>
              <w14:schemeClr w14:val="tx1"/>
            </w14:solidFill>
          </w14:textFill>
        </w:rPr>
        <w:t>六、合同文件构成</w:t>
      </w:r>
      <w:bookmarkEnd w:id="216"/>
      <w:bookmarkEnd w:id="217"/>
      <w:bookmarkEnd w:id="218"/>
    </w:p>
    <w:p w14:paraId="21ED133C">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本协议书与下列文件一起构成合同文件：</w:t>
      </w:r>
    </w:p>
    <w:p w14:paraId="35DAB258">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）成交通知书（如有）</w:t>
      </w:r>
      <w:r>
        <w:rPr>
          <w:rFonts w:hint="eastAsia" w:hAnsi="宋体" w:cs="宋体"/>
          <w:color w:val="000000" w:themeColor="text1"/>
          <w:highlight w:val="none"/>
          <w:lang w:eastAsia="zh-CN"/>
          <w14:textFill>
            <w14:solidFill>
              <w14:schemeClr w14:val="tx1"/>
            </w14:solidFill>
          </w14:textFill>
        </w:rPr>
        <w:t>；</w:t>
      </w:r>
    </w:p>
    <w:p w14:paraId="0A297E4C">
      <w:pPr>
        <w:autoSpaceDE w:val="0"/>
        <w:autoSpaceDN w:val="0"/>
        <w:adjustRightInd w:val="0"/>
        <w:spacing w:line="360" w:lineRule="auto"/>
        <w:ind w:firstLine="420" w:firstLineChars="200"/>
        <w:jc w:val="left"/>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）竞标函及其附录（如有）</w:t>
      </w:r>
      <w:r>
        <w:rPr>
          <w:rFonts w:hint="eastAsia" w:hAnsi="宋体" w:cs="宋体"/>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 xml:space="preserve"> </w:t>
      </w:r>
    </w:p>
    <w:p w14:paraId="5F97E2D5">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）专用合同条款及其附件</w:t>
      </w:r>
      <w:r>
        <w:rPr>
          <w:rFonts w:hint="eastAsia" w:hAnsi="宋体" w:cs="宋体"/>
          <w:color w:val="000000" w:themeColor="text1"/>
          <w:highlight w:val="none"/>
          <w:lang w:eastAsia="zh-CN"/>
          <w14:textFill>
            <w14:solidFill>
              <w14:schemeClr w14:val="tx1"/>
            </w14:solidFill>
          </w14:textFill>
        </w:rPr>
        <w:t>；</w:t>
      </w:r>
    </w:p>
    <w:p w14:paraId="2290076F">
      <w:pPr>
        <w:autoSpaceDE w:val="0"/>
        <w:autoSpaceDN w:val="0"/>
        <w:adjustRightInd w:val="0"/>
        <w:spacing w:line="360" w:lineRule="auto"/>
        <w:ind w:firstLine="420" w:firstLineChars="200"/>
        <w:jc w:val="left"/>
        <w:rPr>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）通用合同条款</w:t>
      </w:r>
      <w:r>
        <w:rPr>
          <w:rFonts w:hint="eastAsia" w:hAnsi="宋体" w:cs="宋体"/>
          <w:color w:val="000000" w:themeColor="text1"/>
          <w:highlight w:val="none"/>
          <w:lang w:eastAsia="zh-CN"/>
          <w14:textFill>
            <w14:solidFill>
              <w14:schemeClr w14:val="tx1"/>
            </w14:solidFill>
          </w14:textFill>
        </w:rPr>
        <w:t>；</w:t>
      </w:r>
    </w:p>
    <w:p w14:paraId="213B8582">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）技术标准和要求</w:t>
      </w:r>
      <w:r>
        <w:rPr>
          <w:rFonts w:hint="eastAsia" w:hAnsi="宋体" w:cs="宋体"/>
          <w:color w:val="000000" w:themeColor="text1"/>
          <w:szCs w:val="21"/>
          <w:highlight w:val="none"/>
          <w:lang w:eastAsia="zh-CN"/>
          <w14:textFill>
            <w14:solidFill>
              <w14:schemeClr w14:val="tx1"/>
            </w14:solidFill>
          </w14:textFill>
        </w:rPr>
        <w:t>；</w:t>
      </w:r>
    </w:p>
    <w:p w14:paraId="15312F25">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）已标价工程量清单</w:t>
      </w:r>
      <w:r>
        <w:rPr>
          <w:rFonts w:hint="eastAsia" w:hAnsi="宋体" w:cs="宋体"/>
          <w:color w:val="000000" w:themeColor="text1"/>
          <w:szCs w:val="21"/>
          <w:highlight w:val="none"/>
          <w:lang w:eastAsia="zh-CN"/>
          <w14:textFill>
            <w14:solidFill>
              <w14:schemeClr w14:val="tx1"/>
            </w14:solidFill>
          </w14:textFill>
        </w:rPr>
        <w:t>；</w:t>
      </w:r>
    </w:p>
    <w:p w14:paraId="5E9058AE">
      <w:pPr>
        <w:autoSpaceDE w:val="0"/>
        <w:autoSpaceDN w:val="0"/>
        <w:adjustRightInd w:val="0"/>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）图纸</w:t>
      </w:r>
      <w:r>
        <w:rPr>
          <w:rFonts w:hint="eastAsia" w:hAnsi="宋体" w:cs="宋体"/>
          <w:color w:val="000000" w:themeColor="text1"/>
          <w:szCs w:val="21"/>
          <w:highlight w:val="none"/>
          <w:lang w:eastAsia="zh-CN"/>
          <w14:textFill>
            <w14:solidFill>
              <w14:schemeClr w14:val="tx1"/>
            </w14:solidFill>
          </w14:textFill>
        </w:rPr>
        <w:t>；</w:t>
      </w:r>
    </w:p>
    <w:p w14:paraId="2B21B1C3">
      <w:pPr>
        <w:autoSpaceDE w:val="0"/>
        <w:autoSpaceDN w:val="0"/>
        <w:adjustRightInd w:val="0"/>
        <w:spacing w:line="360" w:lineRule="auto"/>
        <w:ind w:firstLine="420"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hAnsi="宋体" w:cs="宋体"/>
          <w:color w:val="000000" w:themeColor="text1"/>
          <w:szCs w:val="21"/>
          <w:highlight w:val="none"/>
          <w14:textFill>
            <w14:solidFill>
              <w14:schemeClr w14:val="tx1"/>
            </w14:solidFill>
          </w14:textFill>
        </w:rPr>
        <w:t>）其他合同文件：</w:t>
      </w:r>
    </w:p>
    <w:p w14:paraId="14D0D5A6">
      <w:pPr>
        <w:autoSpaceDE w:val="0"/>
        <w:autoSpaceDN w:val="0"/>
        <w:adjustRightInd w:val="0"/>
        <w:spacing w:line="360" w:lineRule="auto"/>
        <w:ind w:firstLine="420" w:firstLineChars="200"/>
        <w:jc w:val="left"/>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9</w:t>
      </w:r>
      <w:r>
        <w:rPr>
          <w:rFonts w:hint="eastAsia" w:hAnsi="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竞争性磋商文件及响应文件</w:t>
      </w:r>
      <w:r>
        <w:rPr>
          <w:rFonts w:hint="eastAsia" w:hAnsi="宋体" w:cs="宋体"/>
          <w:color w:val="000000" w:themeColor="text1"/>
          <w:szCs w:val="21"/>
          <w:highlight w:val="none"/>
          <w:lang w:eastAsia="zh-CN"/>
          <w14:textFill>
            <w14:solidFill>
              <w14:schemeClr w14:val="tx1"/>
            </w14:solidFill>
          </w14:textFill>
        </w:rPr>
        <w:t>；</w:t>
      </w:r>
    </w:p>
    <w:p w14:paraId="151B4CA9">
      <w:pPr>
        <w:autoSpaceDE w:val="0"/>
        <w:autoSpaceDN w:val="0"/>
        <w:adjustRightInd w:val="0"/>
        <w:spacing w:line="360" w:lineRule="auto"/>
        <w:ind w:firstLine="420" w:firstLineChars="200"/>
        <w:jc w:val="left"/>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上述各项合同文件包括合同当事人就该项合同文件所作出的补充和修改，属于同一类内容的文件，应以最新签署的为准（违反磋商文件</w:t>
      </w:r>
      <w:r>
        <w:rPr>
          <w:rFonts w:hAnsi="宋体" w:cs="宋体"/>
          <w:color w:val="000000" w:themeColor="text1"/>
          <w:highlight w:val="none"/>
          <w14:textFill>
            <w14:solidFill>
              <w14:schemeClr w14:val="tx1"/>
            </w14:solidFill>
          </w14:textFill>
        </w:rPr>
        <w:t>实质性内容的约定除外</w:t>
      </w:r>
      <w:r>
        <w:rPr>
          <w:rFonts w:hint="eastAsia" w:hAnsi="宋体" w:cs="宋体"/>
          <w:color w:val="000000" w:themeColor="text1"/>
          <w:highlight w:val="none"/>
          <w14:textFill>
            <w14:solidFill>
              <w14:schemeClr w14:val="tx1"/>
            </w14:solidFill>
          </w14:textFill>
        </w:rPr>
        <w:t>）。专用合同条款及其附件须经合同当事人签字或盖章。</w:t>
      </w:r>
    </w:p>
    <w:p w14:paraId="49AE9D09">
      <w:pPr>
        <w:autoSpaceDE w:val="0"/>
        <w:autoSpaceDN w:val="0"/>
        <w:adjustRightInd w:val="0"/>
        <w:spacing w:line="360" w:lineRule="auto"/>
        <w:ind w:firstLine="422" w:firstLineChars="200"/>
        <w:jc w:val="left"/>
        <w:outlineLvl w:val="0"/>
        <w:rPr>
          <w:b/>
          <w:bCs/>
          <w:color w:val="000000" w:themeColor="text1"/>
          <w:highlight w:val="none"/>
          <w14:textFill>
            <w14:solidFill>
              <w14:schemeClr w14:val="tx1"/>
            </w14:solidFill>
          </w14:textFill>
        </w:rPr>
      </w:pPr>
      <w:bookmarkStart w:id="219" w:name="_Toc122424026"/>
      <w:bookmarkStart w:id="220" w:name="_Toc122424275"/>
      <w:bookmarkStart w:id="221" w:name="_Toc351203487"/>
      <w:r>
        <w:rPr>
          <w:rFonts w:hint="eastAsia" w:hAnsi="宋体" w:cs="宋体"/>
          <w:b/>
          <w:bCs/>
          <w:color w:val="000000" w:themeColor="text1"/>
          <w:highlight w:val="none"/>
          <w14:textFill>
            <w14:solidFill>
              <w14:schemeClr w14:val="tx1"/>
            </w14:solidFill>
          </w14:textFill>
        </w:rPr>
        <w:t>七、承诺</w:t>
      </w:r>
      <w:bookmarkEnd w:id="219"/>
      <w:bookmarkEnd w:id="220"/>
      <w:bookmarkEnd w:id="221"/>
    </w:p>
    <w:p w14:paraId="04A3EC96">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1. </w:t>
      </w:r>
      <w:r>
        <w:rPr>
          <w:rFonts w:hint="eastAsia" w:hAnsi="宋体" w:cs="宋体"/>
          <w:color w:val="000000" w:themeColor="text1"/>
          <w:highlight w:val="none"/>
          <w14:textFill>
            <w14:solidFill>
              <w14:schemeClr w14:val="tx1"/>
            </w14:solidFill>
          </w14:textFill>
        </w:rPr>
        <w:t>发包人承诺按照法律规定履行项目审批手续、筹集工程建设资金并按照合同约定的期限和方式支付合同价款。</w:t>
      </w:r>
    </w:p>
    <w:p w14:paraId="361A8D84">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2. </w:t>
      </w:r>
      <w:r>
        <w:rPr>
          <w:rFonts w:hint="eastAsia" w:hAnsi="宋体" w:cs="宋体"/>
          <w:color w:val="000000" w:themeColor="text1"/>
          <w:highlight w:val="none"/>
          <w14:textFill>
            <w14:solidFill>
              <w14:schemeClr w14:val="tx1"/>
            </w14:solidFill>
          </w14:textFill>
        </w:rPr>
        <w:t>承包人承诺按照法律规定及合同约定组织完成工程施工，确保工程质量和安全，不进行转包及违法分包，并在缺陷责任期及保修期内承担相应的工程维修责任。</w:t>
      </w:r>
    </w:p>
    <w:p w14:paraId="7F2AEB73">
      <w:pPr>
        <w:spacing w:line="360" w:lineRule="auto"/>
        <w:ind w:firstLine="420" w:firstLineChars="20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 </w:t>
      </w:r>
      <w:r>
        <w:rPr>
          <w:rFonts w:hint="eastAsia" w:hAnsi="宋体" w:cs="宋体"/>
          <w:color w:val="000000" w:themeColor="text1"/>
          <w:highlight w:val="none"/>
          <w14:textFill>
            <w14:solidFill>
              <w14:schemeClr w14:val="tx1"/>
            </w14:solidFill>
          </w14:textFill>
        </w:rPr>
        <w:t>发包人和承包人通过政府采购形式签订合同的，双方理解并承诺不再就同一工程另行签订与合同实质性内容相背离的协议。</w:t>
      </w:r>
      <w:bookmarkStart w:id="222" w:name="_Toc351203488"/>
    </w:p>
    <w:p w14:paraId="364BAF5C">
      <w:pPr>
        <w:spacing w:line="360" w:lineRule="auto"/>
        <w:ind w:firstLine="422" w:firstLineChars="200"/>
        <w:outlineLvl w:val="0"/>
        <w:rPr>
          <w:b/>
          <w:bCs/>
          <w:color w:val="000000" w:themeColor="text1"/>
          <w:highlight w:val="none"/>
          <w14:textFill>
            <w14:solidFill>
              <w14:schemeClr w14:val="tx1"/>
            </w14:solidFill>
          </w14:textFill>
        </w:rPr>
      </w:pPr>
      <w:bookmarkStart w:id="223" w:name="_Toc122424276"/>
      <w:bookmarkStart w:id="224" w:name="_Toc122424027"/>
      <w:r>
        <w:rPr>
          <w:rFonts w:hint="eastAsia" w:hAnsi="宋体" w:cs="宋体"/>
          <w:b/>
          <w:bCs/>
          <w:color w:val="000000" w:themeColor="text1"/>
          <w:highlight w:val="none"/>
          <w14:textFill>
            <w14:solidFill>
              <w14:schemeClr w14:val="tx1"/>
            </w14:solidFill>
          </w14:textFill>
        </w:rPr>
        <w:t>八、词语含义</w:t>
      </w:r>
      <w:bookmarkEnd w:id="222"/>
      <w:bookmarkEnd w:id="223"/>
      <w:bookmarkEnd w:id="224"/>
    </w:p>
    <w:p w14:paraId="34FB7D20">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本协议书中词语含义与第二部分通用合同条款中赋予的含义相同。</w:t>
      </w:r>
    </w:p>
    <w:p w14:paraId="172B87CF">
      <w:pPr>
        <w:spacing w:line="360" w:lineRule="auto"/>
        <w:ind w:firstLine="422" w:firstLineChars="200"/>
        <w:outlineLvl w:val="0"/>
        <w:rPr>
          <w:b/>
          <w:bCs/>
          <w:color w:val="000000" w:themeColor="text1"/>
          <w:highlight w:val="none"/>
          <w14:textFill>
            <w14:solidFill>
              <w14:schemeClr w14:val="tx1"/>
            </w14:solidFill>
          </w14:textFill>
        </w:rPr>
      </w:pPr>
      <w:bookmarkStart w:id="225" w:name="_Toc351203489"/>
      <w:bookmarkStart w:id="226" w:name="_Toc122424028"/>
      <w:bookmarkStart w:id="227" w:name="_Toc122424277"/>
      <w:r>
        <w:rPr>
          <w:rFonts w:hint="eastAsia" w:hAnsi="宋体" w:cs="宋体"/>
          <w:b/>
          <w:bCs/>
          <w:color w:val="000000" w:themeColor="text1"/>
          <w:highlight w:val="none"/>
          <w14:textFill>
            <w14:solidFill>
              <w14:schemeClr w14:val="tx1"/>
            </w14:solidFill>
          </w14:textFill>
        </w:rPr>
        <w:t>九、签订时间</w:t>
      </w:r>
      <w:bookmarkEnd w:id="225"/>
      <w:bookmarkEnd w:id="226"/>
      <w:bookmarkEnd w:id="227"/>
    </w:p>
    <w:p w14:paraId="1324C6DF">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本合同于</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日签订。</w:t>
      </w:r>
    </w:p>
    <w:p w14:paraId="37D2BAA6">
      <w:pPr>
        <w:spacing w:line="360" w:lineRule="auto"/>
        <w:ind w:firstLine="422" w:firstLineChars="200"/>
        <w:outlineLvl w:val="0"/>
        <w:rPr>
          <w:b/>
          <w:bCs/>
          <w:color w:val="000000" w:themeColor="text1"/>
          <w:highlight w:val="none"/>
          <w14:textFill>
            <w14:solidFill>
              <w14:schemeClr w14:val="tx1"/>
            </w14:solidFill>
          </w14:textFill>
        </w:rPr>
      </w:pPr>
      <w:bookmarkStart w:id="228" w:name="_Toc351203490"/>
      <w:bookmarkStart w:id="229" w:name="_Toc122424278"/>
      <w:bookmarkStart w:id="230" w:name="_Toc122424029"/>
      <w:r>
        <w:rPr>
          <w:rFonts w:hint="eastAsia" w:hAnsi="宋体" w:cs="宋体"/>
          <w:b/>
          <w:bCs/>
          <w:color w:val="000000" w:themeColor="text1"/>
          <w:highlight w:val="none"/>
          <w14:textFill>
            <w14:solidFill>
              <w14:schemeClr w14:val="tx1"/>
            </w14:solidFill>
          </w14:textFill>
        </w:rPr>
        <w:t>十、签订地点</w:t>
      </w:r>
      <w:bookmarkEnd w:id="228"/>
      <w:bookmarkEnd w:id="229"/>
      <w:bookmarkEnd w:id="230"/>
    </w:p>
    <w:p w14:paraId="6800D981">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本合同在</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签订。</w:t>
      </w:r>
    </w:p>
    <w:p w14:paraId="0E759340">
      <w:pPr>
        <w:spacing w:line="360" w:lineRule="auto"/>
        <w:ind w:firstLine="422" w:firstLineChars="200"/>
        <w:outlineLvl w:val="0"/>
        <w:rPr>
          <w:b/>
          <w:bCs/>
          <w:color w:val="000000" w:themeColor="text1"/>
          <w:highlight w:val="none"/>
          <w14:textFill>
            <w14:solidFill>
              <w14:schemeClr w14:val="tx1"/>
            </w14:solidFill>
          </w14:textFill>
        </w:rPr>
      </w:pPr>
      <w:bookmarkStart w:id="231" w:name="_Toc122424030"/>
      <w:bookmarkStart w:id="232" w:name="_Toc122424279"/>
      <w:bookmarkStart w:id="233" w:name="_Toc351203491"/>
      <w:r>
        <w:rPr>
          <w:rFonts w:hint="eastAsia" w:hAnsi="宋体" w:cs="宋体"/>
          <w:b/>
          <w:bCs/>
          <w:color w:val="000000" w:themeColor="text1"/>
          <w:highlight w:val="none"/>
          <w14:textFill>
            <w14:solidFill>
              <w14:schemeClr w14:val="tx1"/>
            </w14:solidFill>
          </w14:textFill>
        </w:rPr>
        <w:t>十一、补充协议</w:t>
      </w:r>
      <w:bookmarkEnd w:id="231"/>
      <w:bookmarkEnd w:id="232"/>
      <w:bookmarkEnd w:id="233"/>
    </w:p>
    <w:p w14:paraId="5E8CEC1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合同未尽事宜，合同当事人另行签订补充协议，补充协议是合同的组成部分。</w:t>
      </w:r>
    </w:p>
    <w:p w14:paraId="7B220262">
      <w:pPr>
        <w:spacing w:line="360" w:lineRule="auto"/>
        <w:ind w:firstLine="422" w:firstLineChars="200"/>
        <w:outlineLvl w:val="0"/>
        <w:rPr>
          <w:b/>
          <w:bCs/>
          <w:color w:val="000000" w:themeColor="text1"/>
          <w:highlight w:val="none"/>
          <w14:textFill>
            <w14:solidFill>
              <w14:schemeClr w14:val="tx1"/>
            </w14:solidFill>
          </w14:textFill>
        </w:rPr>
      </w:pPr>
      <w:bookmarkStart w:id="234" w:name="_Toc122424280"/>
      <w:bookmarkStart w:id="235" w:name="_Toc351203492"/>
      <w:bookmarkStart w:id="236" w:name="_Toc122424031"/>
      <w:r>
        <w:rPr>
          <w:rFonts w:hint="eastAsia" w:hAnsi="宋体" w:cs="宋体"/>
          <w:b/>
          <w:bCs/>
          <w:color w:val="000000" w:themeColor="text1"/>
          <w:highlight w:val="none"/>
          <w14:textFill>
            <w14:solidFill>
              <w14:schemeClr w14:val="tx1"/>
            </w14:solidFill>
          </w14:textFill>
        </w:rPr>
        <w:t>十二、合同生效</w:t>
      </w:r>
      <w:bookmarkEnd w:id="234"/>
      <w:bookmarkEnd w:id="235"/>
      <w:bookmarkEnd w:id="236"/>
    </w:p>
    <w:p w14:paraId="5DD7BBEF">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本合同自</w:t>
      </w:r>
      <w:r>
        <w:rPr>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生效。</w:t>
      </w:r>
    </w:p>
    <w:p w14:paraId="36A263E3">
      <w:pPr>
        <w:spacing w:line="360" w:lineRule="auto"/>
        <w:ind w:firstLine="422" w:firstLineChars="200"/>
        <w:outlineLvl w:val="0"/>
        <w:rPr>
          <w:b/>
          <w:bCs/>
          <w:color w:val="000000" w:themeColor="text1"/>
          <w:highlight w:val="none"/>
          <w14:textFill>
            <w14:solidFill>
              <w14:schemeClr w14:val="tx1"/>
            </w14:solidFill>
          </w14:textFill>
        </w:rPr>
      </w:pPr>
      <w:bookmarkStart w:id="237" w:name="_Toc351203493"/>
      <w:bookmarkStart w:id="238" w:name="_Toc122424032"/>
      <w:bookmarkStart w:id="239" w:name="_Toc122424281"/>
      <w:r>
        <w:rPr>
          <w:rFonts w:hint="eastAsia" w:hAnsi="宋体" w:cs="宋体"/>
          <w:b/>
          <w:bCs/>
          <w:color w:val="000000" w:themeColor="text1"/>
          <w:highlight w:val="none"/>
          <w14:textFill>
            <w14:solidFill>
              <w14:schemeClr w14:val="tx1"/>
            </w14:solidFill>
          </w14:textFill>
        </w:rPr>
        <w:t>十三、合同份数</w:t>
      </w:r>
      <w:bookmarkEnd w:id="237"/>
      <w:bookmarkEnd w:id="238"/>
      <w:bookmarkEnd w:id="239"/>
    </w:p>
    <w:p w14:paraId="554F151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本合同一式伍份，均具有同等法律效力，发包人执叁 份，承包人执 贰份。</w:t>
      </w:r>
    </w:p>
    <w:p w14:paraId="65ED422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承包人：</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公章</w:t>
      </w:r>
      <w:r>
        <w:rPr>
          <w:rFonts w:hint="eastAsia" w:cs="宋体"/>
          <w:color w:val="000000" w:themeColor="text1"/>
          <w:highlight w:val="none"/>
          <w14:textFill>
            <w14:solidFill>
              <w14:schemeClr w14:val="tx1"/>
            </w14:solidFill>
          </w14:textFill>
        </w:rPr>
        <w:t>）</w:t>
      </w:r>
    </w:p>
    <w:p w14:paraId="7C8595B4">
      <w:pPr>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55520E2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法定代表人或其委托代理人：</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法定代表人或其委托代理人：</w:t>
      </w:r>
    </w:p>
    <w:p w14:paraId="3734AB4B">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（签字）</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（签字）</w:t>
      </w:r>
    </w:p>
    <w:p w14:paraId="548002FD">
      <w:pPr>
        <w:spacing w:line="360" w:lineRule="auto"/>
        <w:rPr>
          <w:color w:val="000000" w:themeColor="text1"/>
          <w:highlight w:val="none"/>
          <w:u w:val="single"/>
          <w14:textFill>
            <w14:solidFill>
              <w14:schemeClr w14:val="tx1"/>
            </w14:solidFill>
          </w14:textFill>
        </w:rPr>
      </w:pPr>
    </w:p>
    <w:p w14:paraId="7F92A31C">
      <w:pPr>
        <w:tabs>
          <w:tab w:val="left" w:pos="4410"/>
        </w:tabs>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统一社会信用代码：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统一</w:t>
      </w:r>
      <w:r>
        <w:rPr>
          <w:rFonts w:hint="eastAsia" w:hAnsi="宋体" w:cs="宋体"/>
          <w:color w:val="000000" w:themeColor="text1"/>
          <w:highlight w:val="none"/>
          <w14:textFill>
            <w14:solidFill>
              <w14:schemeClr w14:val="tx1"/>
            </w14:solidFill>
          </w14:textFill>
        </w:rPr>
        <w:t>社会信用代码：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14:paraId="00A3CE1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74B51456">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邮政编码：</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1BE2F872">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法定代表人：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4F2EF3E7">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委托代理人：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30F70F21">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话：</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7197C303">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传</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真：</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1E65DAAA">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电子信箱：</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p>
    <w:p w14:paraId="10529C7A">
      <w:pPr>
        <w:spacing w:line="360" w:lineRule="auto"/>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开户银行：</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55D1F562">
      <w:pPr>
        <w:rPr>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账</w:t>
      </w:r>
      <w:r>
        <w:rPr>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号：</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p>
    <w:p w14:paraId="08F0661E">
      <w:pPr>
        <w:pStyle w:val="2"/>
        <w:jc w:val="center"/>
        <w:rPr>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bookmarkStart w:id="240" w:name="_Toc122424033"/>
      <w:bookmarkStart w:id="241" w:name="_Toc78449778"/>
      <w:bookmarkStart w:id="242" w:name="_Toc122424282"/>
      <w:bookmarkStart w:id="243" w:name="_Toc86847323"/>
      <w:bookmarkStart w:id="244" w:name="_Toc407135192"/>
      <w:bookmarkStart w:id="245" w:name="_Toc1714491818"/>
      <w:bookmarkStart w:id="246" w:name="_Toc389065256"/>
      <w:bookmarkStart w:id="247" w:name="_Toc351203632"/>
      <w:bookmarkStart w:id="248" w:name="_Toc373478338"/>
      <w:bookmarkStart w:id="249" w:name="_Toc373227691"/>
      <w:r>
        <w:rPr>
          <w:rFonts w:hint="eastAsia" w:cs="黑体"/>
          <w:color w:val="000000" w:themeColor="text1"/>
          <w:highlight w:val="none"/>
          <w14:textFill>
            <w14:solidFill>
              <w14:schemeClr w14:val="tx1"/>
            </w14:solidFill>
          </w14:textFill>
        </w:rPr>
        <w:t>第二部分</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通用合同条款</w:t>
      </w:r>
      <w:bookmarkEnd w:id="240"/>
      <w:bookmarkEnd w:id="241"/>
      <w:bookmarkEnd w:id="242"/>
      <w:bookmarkEnd w:id="243"/>
      <w:bookmarkEnd w:id="244"/>
      <w:bookmarkEnd w:id="245"/>
      <w:bookmarkEnd w:id="246"/>
    </w:p>
    <w:p w14:paraId="59DEAA16">
      <w:pPr>
        <w:spacing w:line="360" w:lineRule="auto"/>
        <w:ind w:firstLine="420" w:firstLineChars="200"/>
        <w:rPr>
          <w:rFonts w:hAnsi="宋体"/>
          <w:color w:val="000000" w:themeColor="text1"/>
          <w:kern w:val="0"/>
          <w:highlight w:val="none"/>
          <w14:textFill>
            <w14:solidFill>
              <w14:schemeClr w14:val="tx1"/>
            </w14:solidFill>
          </w14:textFill>
        </w:rPr>
      </w:pPr>
    </w:p>
    <w:p w14:paraId="26721A4F">
      <w:pPr>
        <w:spacing w:line="360" w:lineRule="auto"/>
        <w:ind w:firstLine="422" w:firstLineChars="200"/>
        <w:rPr>
          <w:rFonts w:hAnsi="宋体"/>
          <w:b/>
          <w:bCs/>
          <w:color w:val="000000" w:themeColor="text1"/>
          <w:kern w:val="0"/>
          <w:highlight w:val="none"/>
          <w14:textFill>
            <w14:solidFill>
              <w14:schemeClr w14:val="tx1"/>
            </w14:solidFill>
          </w14:textFill>
        </w:rPr>
      </w:pPr>
      <w:r>
        <w:rPr>
          <w:rFonts w:hint="eastAsia" w:hAnsi="宋体" w:cs="宋体"/>
          <w:b/>
          <w:bCs/>
          <w:color w:val="000000" w:themeColor="text1"/>
          <w:kern w:val="0"/>
          <w:highlight w:val="none"/>
          <w14:textFill>
            <w14:solidFill>
              <w14:schemeClr w14:val="tx1"/>
            </w14:solidFill>
          </w14:textFill>
        </w:rPr>
        <w:t>采用《建设工程施工合同（示范文本）》（</w:t>
      </w:r>
      <w:r>
        <w:rPr>
          <w:rFonts w:hAnsi="宋体"/>
          <w:b/>
          <w:bCs/>
          <w:color w:val="000000" w:themeColor="text1"/>
          <w:kern w:val="0"/>
          <w:highlight w:val="none"/>
          <w14:textFill>
            <w14:solidFill>
              <w14:schemeClr w14:val="tx1"/>
            </w14:solidFill>
          </w14:textFill>
        </w:rPr>
        <w:t>GF</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201</w:t>
      </w:r>
      <w:r>
        <w:rPr>
          <w:rFonts w:hint="eastAsia" w:hAnsi="宋体"/>
          <w:b/>
          <w:bCs/>
          <w:color w:val="000000" w:themeColor="text1"/>
          <w:kern w:val="0"/>
          <w:highlight w:val="none"/>
          <w14:textFill>
            <w14:solidFill>
              <w14:schemeClr w14:val="tx1"/>
            </w14:solidFill>
          </w14:textFill>
        </w:rPr>
        <w:t>7</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0201</w:t>
      </w:r>
      <w:r>
        <w:rPr>
          <w:rFonts w:hint="eastAsia" w:hAnsi="宋体" w:cs="宋体"/>
          <w:b/>
          <w:bCs/>
          <w:color w:val="000000" w:themeColor="text1"/>
          <w:kern w:val="0"/>
          <w:highlight w:val="none"/>
          <w14:textFill>
            <w14:solidFill>
              <w14:schemeClr w14:val="tx1"/>
            </w14:solidFill>
          </w14:textFill>
        </w:rPr>
        <w:t>）。</w:t>
      </w:r>
    </w:p>
    <w:p w14:paraId="5C318C21">
      <w:pPr>
        <w:pStyle w:val="2"/>
        <w:keepNext w:val="0"/>
        <w:keepLines w:val="0"/>
        <w:jc w:val="center"/>
        <w:rPr>
          <w:rFonts w:hAnsi="宋体"/>
          <w:color w:val="000000" w:themeColor="text1"/>
          <w:sz w:val="30"/>
          <w:szCs w:val="30"/>
          <w:highlight w:val="none"/>
          <w14:textFill>
            <w14:solidFill>
              <w14:schemeClr w14:val="tx1"/>
            </w14:solidFill>
          </w14:textFill>
        </w:rPr>
      </w:pPr>
      <w:bookmarkStart w:id="250" w:name="_Toc1204138598"/>
      <w:bookmarkStart w:id="251" w:name="_Toc122424283"/>
      <w:bookmarkStart w:id="252" w:name="_Toc78449779"/>
      <w:bookmarkStart w:id="253" w:name="_Toc704444909"/>
      <w:bookmarkStart w:id="254" w:name="_Toc407135193"/>
      <w:bookmarkStart w:id="255" w:name="_Toc389065257"/>
      <w:bookmarkStart w:id="256" w:name="_Toc122424034"/>
      <w:r>
        <w:rPr>
          <w:rFonts w:hint="eastAsia" w:hAnsi="宋体" w:cs="黑体"/>
          <w:color w:val="000000" w:themeColor="text1"/>
          <w:sz w:val="30"/>
          <w:szCs w:val="30"/>
          <w:highlight w:val="none"/>
          <w14:textFill>
            <w14:solidFill>
              <w14:schemeClr w14:val="tx1"/>
            </w14:solidFill>
          </w14:textFill>
        </w:rPr>
        <w:t>第三部分</w:t>
      </w:r>
      <w:r>
        <w:rPr>
          <w:color w:val="000000" w:themeColor="text1"/>
          <w:sz w:val="30"/>
          <w:szCs w:val="30"/>
          <w:highlight w:val="none"/>
          <w14:textFill>
            <w14:solidFill>
              <w14:schemeClr w14:val="tx1"/>
            </w14:solidFill>
          </w14:textFill>
        </w:rPr>
        <w:t xml:space="preserve"> </w:t>
      </w:r>
      <w:r>
        <w:rPr>
          <w:rFonts w:hint="eastAsia" w:hAnsi="宋体" w:cs="黑体"/>
          <w:color w:val="000000" w:themeColor="text1"/>
          <w:sz w:val="30"/>
          <w:szCs w:val="30"/>
          <w:highlight w:val="none"/>
          <w14:textFill>
            <w14:solidFill>
              <w14:schemeClr w14:val="tx1"/>
            </w14:solidFill>
          </w14:textFill>
        </w:rPr>
        <w:t>专用合同条款</w:t>
      </w:r>
      <w:bookmarkEnd w:id="247"/>
      <w:bookmarkEnd w:id="248"/>
      <w:bookmarkEnd w:id="249"/>
      <w:bookmarkEnd w:id="250"/>
      <w:bookmarkEnd w:id="251"/>
      <w:bookmarkEnd w:id="252"/>
      <w:bookmarkEnd w:id="253"/>
      <w:bookmarkEnd w:id="254"/>
      <w:bookmarkEnd w:id="255"/>
      <w:bookmarkEnd w:id="256"/>
    </w:p>
    <w:p w14:paraId="17A360AC">
      <w:pPr>
        <w:keepNext/>
        <w:keepLines/>
        <w:widowControl/>
        <w:spacing w:before="120" w:after="120" w:line="440" w:lineRule="exact"/>
        <w:ind w:firstLine="413" w:firstLineChars="196"/>
        <w:outlineLvl w:val="3"/>
        <w:rPr>
          <w:rFonts w:ascii="宋体" w:hAnsi="宋体" w:eastAsia="黑体"/>
          <w:b/>
          <w:color w:val="000000" w:themeColor="text1"/>
          <w:kern w:val="0"/>
          <w:sz w:val="28"/>
          <w:szCs w:val="21"/>
          <w:highlight w:val="none"/>
          <w14:textFill>
            <w14:solidFill>
              <w14:schemeClr w14:val="tx1"/>
            </w14:solidFill>
          </w14:textFill>
        </w:rPr>
      </w:pPr>
      <w:bookmarkStart w:id="257" w:name="_Toc351203633"/>
      <w:r>
        <w:rPr>
          <w:rFonts w:ascii="宋体" w:hAnsi="宋体"/>
          <w:b/>
          <w:color w:val="000000" w:themeColor="text1"/>
          <w:kern w:val="0"/>
          <w:szCs w:val="21"/>
          <w:highlight w:val="none"/>
          <w14:textFill>
            <w14:solidFill>
              <w14:schemeClr w14:val="tx1"/>
            </w14:solidFill>
          </w14:textFill>
        </w:rPr>
        <w:t>1</w:t>
      </w:r>
      <w:bookmarkStart w:id="258" w:name="_Toc296891196"/>
      <w:bookmarkStart w:id="259" w:name="_Toc292559866"/>
      <w:bookmarkStart w:id="260" w:name="_Toc296346657"/>
      <w:bookmarkStart w:id="261" w:name="_Toc297120456"/>
      <w:bookmarkStart w:id="262" w:name="_Toc296890984"/>
      <w:bookmarkStart w:id="263" w:name="_Toc296944495"/>
      <w:bookmarkStart w:id="264" w:name="_Toc292559361"/>
      <w:bookmarkStart w:id="265" w:name="_Toc296503156"/>
      <w:bookmarkStart w:id="266" w:name="_Toc296347155"/>
      <w:bookmarkStart w:id="267" w:name="_Toc297048342"/>
      <w:r>
        <w:rPr>
          <w:rFonts w:ascii="宋体" w:hAnsi="宋体"/>
          <w:b/>
          <w:color w:val="000000" w:themeColor="text1"/>
          <w:kern w:val="0"/>
          <w:szCs w:val="21"/>
          <w:highlight w:val="none"/>
          <w14:textFill>
            <w14:solidFill>
              <w14:schemeClr w14:val="tx1"/>
            </w14:solidFill>
          </w14:textFill>
        </w:rPr>
        <w:t>. 一般约定</w:t>
      </w:r>
      <w:bookmarkEnd w:id="257"/>
      <w:bookmarkEnd w:id="258"/>
      <w:bookmarkEnd w:id="259"/>
      <w:bookmarkEnd w:id="260"/>
      <w:bookmarkEnd w:id="261"/>
      <w:bookmarkEnd w:id="262"/>
      <w:bookmarkEnd w:id="263"/>
      <w:bookmarkEnd w:id="264"/>
      <w:bookmarkEnd w:id="265"/>
      <w:bookmarkEnd w:id="266"/>
      <w:bookmarkEnd w:id="267"/>
    </w:p>
    <w:p w14:paraId="428B73A1">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 词语定义</w:t>
      </w:r>
    </w:p>
    <w:p w14:paraId="739C0B4C">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1.1.1合同</w:t>
      </w:r>
    </w:p>
    <w:p w14:paraId="51C8EEF3">
      <w:pPr>
        <w:spacing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1.1.1.</w:t>
      </w:r>
      <w:r>
        <w:rPr>
          <w:rFonts w:hint="eastAsia"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其他合同文件包括：</w:t>
      </w:r>
      <w:r>
        <w:rPr>
          <w:rFonts w:hint="eastAsia" w:ascii="宋体" w:hAnsi="宋体"/>
          <w:color w:val="000000" w:themeColor="text1"/>
          <w:kern w:val="0"/>
          <w:szCs w:val="21"/>
          <w:highlight w:val="none"/>
          <w:u w:val="single"/>
          <w14:textFill>
            <w14:solidFill>
              <w14:schemeClr w14:val="tx1"/>
            </w14:solidFill>
          </w14:textFill>
        </w:rPr>
        <w:t>指合同书、成交通知书、竞标函及竞标函附录、专用合同条款、通用合同条款、规范、技术标准和要求、图纸、已标价工程量清单及工程量清单使用说明，以及双方共同确认的其他合同文件(包括但不限于在履行本合同过程中双方书面确认的会议纪要、签证、设计变更等资料)</w:t>
      </w:r>
      <w:r>
        <w:rPr>
          <w:rFonts w:ascii="宋体" w:hAnsi="宋体"/>
          <w:color w:val="000000" w:themeColor="text1"/>
          <w:szCs w:val="21"/>
          <w:highlight w:val="none"/>
          <w:u w:val="single"/>
          <w14:textFill>
            <w14:solidFill>
              <w14:schemeClr w14:val="tx1"/>
            </w14:solidFill>
          </w14:textFill>
        </w:rPr>
        <w:t>。</w:t>
      </w:r>
    </w:p>
    <w:p w14:paraId="1A6B3BE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 合同当事人及其他相关方</w:t>
      </w:r>
    </w:p>
    <w:p w14:paraId="117945D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监理人：</w:t>
      </w:r>
    </w:p>
    <w:p w14:paraId="673D752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w:t>
      </w:r>
    </w:p>
    <w:p w14:paraId="1751243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资质类别和等级：</w:t>
      </w:r>
      <w:r>
        <w:rPr>
          <w:rFonts w:hint="eastAsia" w:ascii="宋体" w:hAnsi="宋体"/>
          <w:color w:val="000000" w:themeColor="text1"/>
          <w:szCs w:val="21"/>
          <w:highlight w:val="none"/>
          <w:lang w:eastAsia="zh-CN"/>
          <w14:textFill>
            <w14:solidFill>
              <w14:schemeClr w14:val="tx1"/>
            </w14:solidFill>
          </w14:textFill>
        </w:rPr>
        <w:t>；</w:t>
      </w:r>
    </w:p>
    <w:p w14:paraId="6C84331D">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648758A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22BCD86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74FDDB3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设计人：</w:t>
      </w:r>
    </w:p>
    <w:p w14:paraId="2BFDDD9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w:t>
      </w:r>
    </w:p>
    <w:p w14:paraId="2BDE60D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资质类别和等级：</w:t>
      </w:r>
      <w:r>
        <w:rPr>
          <w:rFonts w:hint="eastAsia" w:ascii="宋体" w:hAnsi="宋体"/>
          <w:color w:val="000000" w:themeColor="text1"/>
          <w:szCs w:val="21"/>
          <w:highlight w:val="none"/>
          <w:lang w:eastAsia="zh-CN"/>
          <w14:textFill>
            <w14:solidFill>
              <w14:schemeClr w14:val="tx1"/>
            </w14:solidFill>
          </w14:textFill>
        </w:rPr>
        <w:t>；</w:t>
      </w:r>
    </w:p>
    <w:p w14:paraId="25FA933D">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476CF3B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33B10AD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559100F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 工程和设备</w:t>
      </w:r>
    </w:p>
    <w:p w14:paraId="01FA783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1.1.3.</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作为施工现场组成部分的其他场所包括：</w:t>
      </w:r>
      <w:r>
        <w:rPr>
          <w:rFonts w:hint="eastAsia" w:hAnsi="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45ABC66B">
      <w:pPr>
        <w:spacing w:line="400" w:lineRule="exact"/>
        <w:ind w:firstLine="424" w:firstLineChars="202"/>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1.1.3.9  永久占地包括：</w:t>
      </w:r>
      <w:r>
        <w:rPr>
          <w:rFonts w:hint="eastAsia" w:ascii="宋体" w:hAnsi="宋体"/>
          <w:color w:val="000000" w:themeColor="text1"/>
          <w:szCs w:val="21"/>
          <w:highlight w:val="none"/>
          <w:u w:val="single"/>
          <w14:textFill>
            <w14:solidFill>
              <w14:schemeClr w14:val="tx1"/>
            </w14:solidFill>
          </w14:textFill>
        </w:rPr>
        <w:t>实施工程需永久占用的土地</w:t>
      </w:r>
      <w:r>
        <w:rPr>
          <w:rFonts w:hint="eastAsia" w:ascii="宋体" w:hAnsi="宋体"/>
          <w:color w:val="000000" w:themeColor="text1"/>
          <w:kern w:val="0"/>
          <w:szCs w:val="21"/>
          <w:highlight w:val="none"/>
          <w14:textFill>
            <w14:solidFill>
              <w14:schemeClr w14:val="tx1"/>
            </w14:solidFill>
          </w14:textFill>
        </w:rPr>
        <w:t>。</w:t>
      </w:r>
    </w:p>
    <w:p w14:paraId="7F8B6D89">
      <w:pPr>
        <w:spacing w:line="400" w:lineRule="exact"/>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1.1.3.10 临时占地包括：</w:t>
      </w:r>
      <w:r>
        <w:rPr>
          <w:rFonts w:hint="eastAsia" w:ascii="宋体" w:hAnsi="宋体"/>
          <w:color w:val="000000" w:themeColor="text1"/>
          <w:szCs w:val="21"/>
          <w:highlight w:val="none"/>
          <w:u w:val="single"/>
          <w14:textFill>
            <w14:solidFill>
              <w14:schemeClr w14:val="tx1"/>
            </w14:solidFill>
          </w14:textFill>
        </w:rPr>
        <w:t>实施工程需要临时占用的土地</w:t>
      </w:r>
      <w:r>
        <w:rPr>
          <w:rFonts w:hint="eastAsia" w:ascii="宋体" w:hAnsi="宋体"/>
          <w:color w:val="000000" w:themeColor="text1"/>
          <w:kern w:val="0"/>
          <w:szCs w:val="21"/>
          <w:highlight w:val="none"/>
          <w14:textFill>
            <w14:solidFill>
              <w14:schemeClr w14:val="tx1"/>
            </w14:solidFill>
          </w14:textFill>
        </w:rPr>
        <w:t>。</w:t>
      </w:r>
    </w:p>
    <w:p w14:paraId="547B26E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1.3法律 </w:t>
      </w:r>
    </w:p>
    <w:p w14:paraId="34D94FCC">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适用于合同的其他规范性文件：</w:t>
      </w:r>
      <w:r>
        <w:rPr>
          <w:rFonts w:hint="eastAsia" w:ascii="宋体" w:hAnsi="宋体"/>
          <w:color w:val="000000" w:themeColor="text1"/>
          <w:szCs w:val="21"/>
          <w:highlight w:val="none"/>
          <w:u w:val="single"/>
          <w14:textFill>
            <w14:solidFill>
              <w14:schemeClr w14:val="tx1"/>
            </w14:solidFill>
          </w14:textFill>
        </w:rPr>
        <w:t>中华人民共和国现行的法律、行政法规及规章</w:t>
      </w:r>
      <w:r>
        <w:rPr>
          <w:rFonts w:hAnsi="宋体"/>
          <w:color w:val="000000" w:themeColor="text1"/>
          <w:szCs w:val="21"/>
          <w:highlight w:val="none"/>
          <w14:textFill>
            <w14:solidFill>
              <w14:schemeClr w14:val="tx1"/>
            </w14:solidFill>
          </w14:textFill>
        </w:rPr>
        <w:t>。</w:t>
      </w:r>
    </w:p>
    <w:p w14:paraId="2670C57D">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268" w:name="_Toc373227695"/>
      <w:bookmarkStart w:id="269" w:name="_Toc373478342"/>
      <w:bookmarkStart w:id="270" w:name="_Toc465114856"/>
      <w:bookmarkStart w:id="271" w:name="_Toc389065261"/>
      <w:r>
        <w:rPr>
          <w:rFonts w:ascii="宋体" w:hAnsi="宋体"/>
          <w:b/>
          <w:bCs/>
          <w:color w:val="000000" w:themeColor="text1"/>
          <w:kern w:val="0"/>
          <w:sz w:val="24"/>
          <w:szCs w:val="32"/>
          <w:highlight w:val="none"/>
          <w14:textFill>
            <w14:solidFill>
              <w14:schemeClr w14:val="tx1"/>
            </w14:solidFill>
          </w14:textFill>
        </w:rPr>
        <w:t>1.4 标准和规范</w:t>
      </w:r>
      <w:bookmarkEnd w:id="268"/>
      <w:bookmarkEnd w:id="269"/>
      <w:bookmarkEnd w:id="270"/>
      <w:bookmarkEnd w:id="271"/>
    </w:p>
    <w:p w14:paraId="4F620085">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Ansi="宋体"/>
          <w:color w:val="000000" w:themeColor="text1"/>
          <w:szCs w:val="21"/>
          <w:highlight w:val="none"/>
          <w14:textFill>
            <w14:solidFill>
              <w14:schemeClr w14:val="tx1"/>
            </w14:solidFill>
          </w14:textFill>
        </w:rPr>
        <w:t>适用于工程的标准规范包括：</w:t>
      </w:r>
      <w:r>
        <w:rPr>
          <w:rFonts w:hint="eastAsia" w:ascii="宋体" w:hAnsi="宋体"/>
          <w:color w:val="000000" w:themeColor="text1"/>
          <w:szCs w:val="21"/>
          <w:highlight w:val="none"/>
          <w:u w:val="single"/>
          <w14:textFill>
            <w14:solidFill>
              <w14:schemeClr w14:val="tx1"/>
            </w14:solidFill>
          </w14:textFill>
        </w:rPr>
        <w:t>国家现行的行业标准及相关规范。</w:t>
      </w:r>
    </w:p>
    <w:p w14:paraId="5C9856DB">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1.4.2 </w:t>
      </w:r>
      <w:r>
        <w:rPr>
          <w:rFonts w:hAnsi="宋体"/>
          <w:color w:val="000000" w:themeColor="text1"/>
          <w:kern w:val="0"/>
          <w:szCs w:val="21"/>
          <w:highlight w:val="none"/>
          <w14:textFill>
            <w14:solidFill>
              <w14:schemeClr w14:val="tx1"/>
            </w14:solidFill>
          </w14:textFill>
        </w:rPr>
        <w:t>发包人提供国外标准、规范的名称：</w:t>
      </w:r>
      <w:r>
        <w:rPr>
          <w:rFonts w:hAnsi="宋体"/>
          <w:color w:val="000000" w:themeColor="text1"/>
          <w:szCs w:val="21"/>
          <w:highlight w:val="none"/>
          <w:u w:val="single"/>
          <w14:textFill>
            <w14:solidFill>
              <w14:schemeClr w14:val="tx1"/>
            </w14:solidFill>
          </w14:textFill>
        </w:rPr>
        <w:t>无。</w:t>
      </w:r>
    </w:p>
    <w:p w14:paraId="4A3CB6D8">
      <w:pPr>
        <w:spacing w:line="360" w:lineRule="auto"/>
        <w:ind w:firstLine="420" w:firstLineChars="200"/>
        <w:rPr>
          <w:rFonts w:hint="eastAsia" w:eastAsia="宋体"/>
          <w:color w:val="000000" w:themeColor="text1"/>
          <w:kern w:val="0"/>
          <w:szCs w:val="21"/>
          <w:highlight w:val="none"/>
          <w:lang w:eastAsia="zh-CN"/>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发包人提供国外标准、规范的份数：</w:t>
      </w:r>
      <w:r>
        <w:rPr>
          <w:color w:val="000000" w:themeColor="text1"/>
          <w:kern w:val="0"/>
          <w:szCs w:val="21"/>
          <w:highlight w:val="none"/>
          <w:u w:val="single"/>
          <w14:textFill>
            <w14:solidFill>
              <w14:schemeClr w14:val="tx1"/>
            </w14:solidFill>
          </w14:textFill>
        </w:rPr>
        <w:t xml:space="preserve">    无     </w:t>
      </w:r>
      <w:r>
        <w:rPr>
          <w:rFonts w:hint="eastAsia" w:hAnsi="宋体"/>
          <w:color w:val="000000" w:themeColor="text1"/>
          <w:kern w:val="0"/>
          <w:szCs w:val="21"/>
          <w:highlight w:val="none"/>
          <w:lang w:eastAsia="zh-CN"/>
          <w14:textFill>
            <w14:solidFill>
              <w14:schemeClr w14:val="tx1"/>
            </w14:solidFill>
          </w14:textFill>
        </w:rPr>
        <w:t>；</w:t>
      </w:r>
    </w:p>
    <w:p w14:paraId="7CB40707">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发包人提供国外标准、规范的名称：</w:t>
      </w:r>
      <w:r>
        <w:rPr>
          <w:color w:val="000000" w:themeColor="text1"/>
          <w:kern w:val="0"/>
          <w:szCs w:val="21"/>
          <w:highlight w:val="none"/>
          <w:u w:val="single"/>
          <w14:textFill>
            <w14:solidFill>
              <w14:schemeClr w14:val="tx1"/>
            </w14:solidFill>
          </w14:textFill>
        </w:rPr>
        <w:t xml:space="preserve">   无      </w:t>
      </w:r>
      <w:r>
        <w:rPr>
          <w:rFonts w:hAnsi="宋体"/>
          <w:color w:val="000000" w:themeColor="text1"/>
          <w:kern w:val="0"/>
          <w:szCs w:val="21"/>
          <w:highlight w:val="none"/>
          <w14:textFill>
            <w14:solidFill>
              <w14:schemeClr w14:val="tx1"/>
            </w14:solidFill>
          </w14:textFill>
        </w:rPr>
        <w:t>。</w:t>
      </w:r>
    </w:p>
    <w:p w14:paraId="54164497">
      <w:pPr>
        <w:spacing w:line="400" w:lineRule="exact"/>
        <w:ind w:left="479" w:leftChars="228"/>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1.4.3</w:t>
      </w:r>
      <w:r>
        <w:rPr>
          <w:rFonts w:hAnsi="宋体"/>
          <w:color w:val="000000" w:themeColor="text1"/>
          <w:szCs w:val="21"/>
          <w:highlight w:val="none"/>
          <w14:textFill>
            <w14:solidFill>
              <w14:schemeClr w14:val="tx1"/>
            </w14:solidFill>
          </w14:textFill>
        </w:rPr>
        <w:t>发包人对工程的技术标准和功能要求的特殊要求：</w:t>
      </w:r>
      <w:r>
        <w:rPr>
          <w:rFonts w:hint="eastAsia" w:ascii="宋体" w:hAnsi="宋体"/>
          <w:color w:val="000000" w:themeColor="text1"/>
          <w:szCs w:val="21"/>
          <w:highlight w:val="none"/>
          <w:u w:val="single"/>
          <w14:textFill>
            <w14:solidFill>
              <w14:schemeClr w14:val="tx1"/>
            </w14:solidFill>
          </w14:textFill>
        </w:rPr>
        <w:t>按中华人民共和国现行的标准、行业标准或地方标准执行</w:t>
      </w:r>
      <w:r>
        <w:rPr>
          <w:rFonts w:hint="eastAsia" w:ascii="宋体" w:hAnsi="宋体"/>
          <w:color w:val="000000" w:themeColor="text1"/>
          <w:szCs w:val="21"/>
          <w:highlight w:val="none"/>
          <w14:textFill>
            <w14:solidFill>
              <w14:schemeClr w14:val="tx1"/>
            </w14:solidFill>
          </w14:textFill>
        </w:rPr>
        <w:t>。</w:t>
      </w:r>
    </w:p>
    <w:p w14:paraId="5C3F8E8E">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272" w:name="_Toc465114857"/>
      <w:bookmarkStart w:id="273" w:name="_Toc373227696"/>
      <w:bookmarkStart w:id="274" w:name="_Toc389065262"/>
      <w:bookmarkStart w:id="275" w:name="_Toc373478343"/>
      <w:r>
        <w:rPr>
          <w:rFonts w:ascii="宋体" w:hAnsi="宋体"/>
          <w:b/>
          <w:bCs/>
          <w:color w:val="000000" w:themeColor="text1"/>
          <w:kern w:val="0"/>
          <w:sz w:val="24"/>
          <w:szCs w:val="32"/>
          <w:highlight w:val="none"/>
          <w14:textFill>
            <w14:solidFill>
              <w14:schemeClr w14:val="tx1"/>
            </w14:solidFill>
          </w14:textFill>
        </w:rPr>
        <w:t>1.5 合同文件的优先顺序</w:t>
      </w:r>
      <w:bookmarkEnd w:id="272"/>
      <w:bookmarkEnd w:id="273"/>
      <w:bookmarkEnd w:id="274"/>
      <w:bookmarkEnd w:id="275"/>
    </w:p>
    <w:p w14:paraId="08075AA1">
      <w:pPr>
        <w:spacing w:line="360" w:lineRule="auto"/>
        <w:ind w:firstLine="420"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合同文件组成及优先顺序为：</w:t>
      </w:r>
    </w:p>
    <w:p w14:paraId="452FCE4A">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（1）合同协议书</w:t>
      </w:r>
      <w:r>
        <w:rPr>
          <w:rFonts w:hint="eastAsia" w:ascii="宋体" w:hAnsi="宋体"/>
          <w:color w:val="000000" w:themeColor="text1"/>
          <w:szCs w:val="21"/>
          <w:highlight w:val="none"/>
          <w:lang w:eastAsia="zh-CN"/>
          <w14:textFill>
            <w14:solidFill>
              <w14:schemeClr w14:val="tx1"/>
            </w14:solidFill>
          </w14:textFill>
        </w:rPr>
        <w:t>；</w:t>
      </w:r>
    </w:p>
    <w:p w14:paraId="1F3FCDB1">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（2）中标通知书</w:t>
      </w:r>
      <w:r>
        <w:rPr>
          <w:rFonts w:hint="eastAsia" w:ascii="宋体" w:hAnsi="宋体"/>
          <w:color w:val="000000" w:themeColor="text1"/>
          <w:szCs w:val="21"/>
          <w:highlight w:val="none"/>
          <w:lang w:eastAsia="zh-CN"/>
          <w14:textFill>
            <w14:solidFill>
              <w14:schemeClr w14:val="tx1"/>
            </w14:solidFill>
          </w14:textFill>
        </w:rPr>
        <w:t>；</w:t>
      </w:r>
    </w:p>
    <w:p w14:paraId="3CBD9D21">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（3）竞标函及其附录</w:t>
      </w:r>
      <w:r>
        <w:rPr>
          <w:rFonts w:hint="eastAsia" w:ascii="宋体" w:hAnsi="宋体"/>
          <w:color w:val="000000" w:themeColor="text1"/>
          <w:szCs w:val="21"/>
          <w:highlight w:val="none"/>
          <w:lang w:eastAsia="zh-CN"/>
          <w14:textFill>
            <w14:solidFill>
              <w14:schemeClr w14:val="tx1"/>
            </w14:solidFill>
          </w14:textFill>
        </w:rPr>
        <w:t>；</w:t>
      </w:r>
    </w:p>
    <w:p w14:paraId="4723417A">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（4）专用合同条款及其附件</w:t>
      </w:r>
      <w:r>
        <w:rPr>
          <w:rFonts w:hint="eastAsia" w:ascii="宋体" w:hAnsi="宋体"/>
          <w:color w:val="000000" w:themeColor="text1"/>
          <w:szCs w:val="21"/>
          <w:highlight w:val="none"/>
          <w:lang w:eastAsia="zh-CN"/>
          <w14:textFill>
            <w14:solidFill>
              <w14:schemeClr w14:val="tx1"/>
            </w14:solidFill>
          </w14:textFill>
        </w:rPr>
        <w:t>；</w:t>
      </w:r>
    </w:p>
    <w:p w14:paraId="685F8A48">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（5）通用合同条款</w:t>
      </w:r>
      <w:r>
        <w:rPr>
          <w:rFonts w:hint="eastAsia" w:ascii="宋体" w:hAnsi="宋体"/>
          <w:color w:val="000000" w:themeColor="text1"/>
          <w:szCs w:val="21"/>
          <w:highlight w:val="none"/>
          <w:lang w:eastAsia="zh-CN"/>
          <w14:textFill>
            <w14:solidFill>
              <w14:schemeClr w14:val="tx1"/>
            </w14:solidFill>
          </w14:textFill>
        </w:rPr>
        <w:t>；</w:t>
      </w:r>
    </w:p>
    <w:p w14:paraId="0163461D">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（6）技术标准和要求</w:t>
      </w:r>
      <w:r>
        <w:rPr>
          <w:rFonts w:hint="eastAsia" w:ascii="宋体" w:hAnsi="宋体"/>
          <w:color w:val="000000" w:themeColor="text1"/>
          <w:szCs w:val="21"/>
          <w:highlight w:val="none"/>
          <w:lang w:eastAsia="zh-CN"/>
          <w14:textFill>
            <w14:solidFill>
              <w14:schemeClr w14:val="tx1"/>
            </w14:solidFill>
          </w14:textFill>
        </w:rPr>
        <w:t>；</w:t>
      </w:r>
    </w:p>
    <w:p w14:paraId="462706A4">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（7）图纸</w:t>
      </w:r>
      <w:r>
        <w:rPr>
          <w:rFonts w:hint="eastAsia" w:ascii="宋体" w:hAnsi="宋体"/>
          <w:color w:val="000000" w:themeColor="text1"/>
          <w:szCs w:val="21"/>
          <w:highlight w:val="none"/>
          <w:lang w:eastAsia="zh-CN"/>
          <w14:textFill>
            <w14:solidFill>
              <w14:schemeClr w14:val="tx1"/>
            </w14:solidFill>
          </w14:textFill>
        </w:rPr>
        <w:t>；</w:t>
      </w:r>
    </w:p>
    <w:p w14:paraId="463F5B90">
      <w:pPr>
        <w:autoSpaceDE w:val="0"/>
        <w:autoSpaceDN w:val="0"/>
        <w:adjustRightInd w:val="0"/>
        <w:spacing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（8）已标价工程量清单</w:t>
      </w:r>
      <w:r>
        <w:rPr>
          <w:rFonts w:hint="eastAsia" w:ascii="宋体" w:hAnsi="宋体"/>
          <w:color w:val="000000" w:themeColor="text1"/>
          <w:szCs w:val="21"/>
          <w:highlight w:val="none"/>
          <w:lang w:eastAsia="zh-CN"/>
          <w14:textFill>
            <w14:solidFill>
              <w14:schemeClr w14:val="tx1"/>
            </w14:solidFill>
          </w14:textFill>
        </w:rPr>
        <w:t>；</w:t>
      </w:r>
    </w:p>
    <w:p w14:paraId="707A46AE">
      <w:pPr>
        <w:autoSpaceDE w:val="0"/>
        <w:autoSpaceDN w:val="0"/>
        <w:adjustRightIn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r>
        <w:rPr>
          <w:color w:val="000000" w:themeColor="text1"/>
          <w:highlight w:val="none"/>
          <w14:textFill>
            <w14:solidFill>
              <w14:schemeClr w14:val="tx1"/>
            </w14:solidFill>
          </w14:textFill>
        </w:rPr>
        <w:t>竞争性磋商文件及响应文件</w:t>
      </w:r>
      <w:r>
        <w:rPr>
          <w:rFonts w:hint="eastAsia" w:ascii="宋体" w:hAnsi="宋体"/>
          <w:color w:val="000000" w:themeColor="text1"/>
          <w:szCs w:val="21"/>
          <w:highlight w:val="none"/>
          <w:lang w:eastAsia="zh-CN"/>
          <w14:textFill>
            <w14:solidFill>
              <w14:schemeClr w14:val="tx1"/>
            </w14:solidFill>
          </w14:textFill>
        </w:rPr>
        <w:t>；</w:t>
      </w:r>
    </w:p>
    <w:p w14:paraId="4F573C02">
      <w:pPr>
        <w:spacing w:line="360" w:lineRule="auto"/>
        <w:ind w:firstLine="420" w:firstLineChars="200"/>
        <w:rPr>
          <w:rFonts w:hAnsi="宋体"/>
          <w:color w:val="000000" w:themeColor="text1"/>
          <w:kern w:val="0"/>
          <w:szCs w:val="21"/>
          <w:highlight w:val="none"/>
          <w14:textFill>
            <w14:solidFill>
              <w14:schemeClr w14:val="tx1"/>
            </w14:solidFill>
          </w14:textFill>
        </w:rPr>
      </w:pPr>
      <w:r>
        <w:rPr>
          <w:rFonts w:hint="eastAsia" w:hAnsi="宋体"/>
          <w:color w:val="000000" w:themeColor="text1"/>
          <w:kern w:val="0"/>
          <w:szCs w:val="21"/>
          <w:highlight w:val="none"/>
          <w14:textFill>
            <w14:solidFill>
              <w14:schemeClr w14:val="tx1"/>
            </w14:solidFill>
          </w14:textFill>
        </w:rPr>
        <w:t>（10）《</w:t>
      </w:r>
      <w:r>
        <w:rPr>
          <w:rFonts w:hAnsi="宋体"/>
          <w:color w:val="000000" w:themeColor="text1"/>
          <w:kern w:val="0"/>
          <w:szCs w:val="21"/>
          <w:highlight w:val="none"/>
          <w14:textFill>
            <w14:solidFill>
              <w14:schemeClr w14:val="tx1"/>
            </w14:solidFill>
          </w14:textFill>
        </w:rPr>
        <w:t>建设工程工程量清单计价规范（GB5050-2013）</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及《关于建筑业实施营业税改征增值税后广西壮族自治区建设工程计价依据调整的通知》（桂建标〔2016〕17号）、《</w:t>
      </w:r>
      <w:r>
        <w:rPr>
          <w:rFonts w:hAnsi="宋体"/>
          <w:color w:val="000000" w:themeColor="text1"/>
          <w:kern w:val="0"/>
          <w:szCs w:val="21"/>
          <w:highlight w:val="none"/>
          <w14:textFill>
            <w14:solidFill>
              <w14:schemeClr w14:val="tx1"/>
            </w14:solidFill>
          </w14:textFill>
        </w:rPr>
        <w:t>建设工程工程量清单计</w:t>
      </w:r>
      <w:r>
        <w:rPr>
          <w:rFonts w:hint="eastAsia" w:hAnsi="宋体"/>
          <w:color w:val="000000" w:themeColor="text1"/>
          <w:kern w:val="0"/>
          <w:szCs w:val="21"/>
          <w:highlight w:val="none"/>
          <w14:textFill>
            <w14:solidFill>
              <w14:schemeClr w14:val="tx1"/>
            </w14:solidFill>
          </w14:textFill>
        </w:rPr>
        <w:t>算</w:t>
      </w:r>
      <w:r>
        <w:rPr>
          <w:rFonts w:hAnsi="宋体"/>
          <w:color w:val="000000" w:themeColor="text1"/>
          <w:kern w:val="0"/>
          <w:szCs w:val="21"/>
          <w:highlight w:val="none"/>
          <w14:textFill>
            <w14:solidFill>
              <w14:schemeClr w14:val="tx1"/>
            </w14:solidFill>
          </w14:textFill>
        </w:rPr>
        <w:t>规范（GB5</w:t>
      </w:r>
      <w:r>
        <w:rPr>
          <w:rFonts w:hint="eastAsia" w:hAnsi="宋体"/>
          <w:color w:val="000000" w:themeColor="text1"/>
          <w:kern w:val="0"/>
          <w:szCs w:val="21"/>
          <w:highlight w:val="none"/>
          <w14:textFill>
            <w14:solidFill>
              <w14:schemeClr w14:val="tx1"/>
            </w14:solidFill>
          </w14:textFill>
        </w:rPr>
        <w:t>854~50862</w:t>
      </w:r>
      <w:r>
        <w:rPr>
          <w:rFonts w:hAnsi="宋体"/>
          <w:color w:val="000000" w:themeColor="text1"/>
          <w:kern w:val="0"/>
          <w:szCs w:val="21"/>
          <w:highlight w:val="none"/>
          <w14:textFill>
            <w14:solidFill>
              <w14:schemeClr w14:val="tx1"/>
            </w14:solidFill>
          </w14:textFill>
        </w:rPr>
        <w:t>-2013）</w:t>
      </w:r>
      <w:r>
        <w:rPr>
          <w:rFonts w:hint="eastAsia" w:hAnsi="宋体"/>
          <w:color w:val="000000" w:themeColor="text1"/>
          <w:kern w:val="0"/>
          <w:szCs w:val="21"/>
          <w:highlight w:val="none"/>
          <w14:textFill>
            <w14:solidFill>
              <w14:schemeClr w14:val="tx1"/>
            </w14:solidFill>
          </w14:textFill>
        </w:rPr>
        <w:t>》及其</w:t>
      </w:r>
      <w:r>
        <w:rPr>
          <w:rFonts w:hAnsi="宋体"/>
          <w:color w:val="000000" w:themeColor="text1"/>
          <w:kern w:val="0"/>
          <w:szCs w:val="21"/>
          <w:highlight w:val="none"/>
          <w14:textFill>
            <w14:solidFill>
              <w14:schemeClr w14:val="tx1"/>
            </w14:solidFill>
          </w14:textFill>
        </w:rPr>
        <w:t>广西实施细则</w:t>
      </w:r>
      <w:r>
        <w:rPr>
          <w:rFonts w:hint="eastAsia" w:hAnsi="宋体"/>
          <w:color w:val="000000" w:themeColor="text1"/>
          <w:kern w:val="0"/>
          <w:szCs w:val="21"/>
          <w:highlight w:val="none"/>
          <w14:textFill>
            <w14:solidFill>
              <w14:schemeClr w14:val="tx1"/>
            </w14:solidFill>
          </w14:textFill>
        </w:rPr>
        <w:t>（修订本）</w:t>
      </w:r>
      <w:r>
        <w:rPr>
          <w:rFonts w:hAnsi="宋体"/>
          <w:color w:val="000000" w:themeColor="text1"/>
          <w:kern w:val="0"/>
          <w:szCs w:val="21"/>
          <w:highlight w:val="none"/>
          <w14:textFill>
            <w14:solidFill>
              <w14:schemeClr w14:val="tx1"/>
            </w14:solidFill>
          </w14:textFill>
        </w:rPr>
        <w:t>。</w:t>
      </w:r>
    </w:p>
    <w:p w14:paraId="29FED881">
      <w:pPr>
        <w:spacing w:line="400" w:lineRule="exact"/>
        <w:ind w:firstLine="447" w:firstLineChars="213"/>
        <w:rPr>
          <w:rFonts w:ascii="宋体" w:hAnsi="宋体"/>
          <w:color w:val="000000" w:themeColor="text1"/>
          <w:szCs w:val="21"/>
          <w:highlight w:val="none"/>
          <w14:textFill>
            <w14:solidFill>
              <w14:schemeClr w14:val="tx1"/>
            </w14:solidFill>
          </w14:textFill>
        </w:rPr>
      </w:pPr>
      <w:bookmarkStart w:id="276" w:name="_Toc373478344"/>
      <w:bookmarkStart w:id="277" w:name="_Toc389065263"/>
      <w:bookmarkStart w:id="278" w:name="_Toc373227697"/>
      <w:bookmarkStart w:id="279" w:name="_Toc465114858"/>
      <w:r>
        <w:rPr>
          <w:rFonts w:hint="eastAsia" w:ascii="宋体" w:hAnsi="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w:t>
      </w:r>
    </w:p>
    <w:p w14:paraId="2F7AA7C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在合同订立及履行过程中形成的与合同有关的文件均构成合同文件组成部分，并根据其性质确定优先解释顺序。</w:t>
      </w:r>
    </w:p>
    <w:p w14:paraId="7F2F1D7D">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1.6 图纸和承包人文件</w:t>
      </w:r>
      <w:bookmarkEnd w:id="276"/>
      <w:bookmarkEnd w:id="277"/>
      <w:bookmarkEnd w:id="278"/>
      <w:bookmarkEnd w:id="279"/>
      <w:r>
        <w:rPr>
          <w:rFonts w:ascii="宋体" w:hAnsi="宋体"/>
          <w:b/>
          <w:bCs/>
          <w:color w:val="000000" w:themeColor="text1"/>
          <w:kern w:val="0"/>
          <w:sz w:val="24"/>
          <w:szCs w:val="32"/>
          <w:highlight w:val="none"/>
          <w14:textFill>
            <w14:solidFill>
              <w14:schemeClr w14:val="tx1"/>
            </w14:solidFill>
          </w14:textFill>
        </w:rPr>
        <w:tab/>
      </w:r>
    </w:p>
    <w:p w14:paraId="75E754F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 </w:t>
      </w:r>
      <w:r>
        <w:rPr>
          <w:rFonts w:hAnsi="宋体"/>
          <w:color w:val="000000" w:themeColor="text1"/>
          <w:szCs w:val="21"/>
          <w:highlight w:val="none"/>
          <w14:textFill>
            <w14:solidFill>
              <w14:schemeClr w14:val="tx1"/>
            </w14:solidFill>
          </w14:textFill>
        </w:rPr>
        <w:t>图纸的提供</w:t>
      </w:r>
    </w:p>
    <w:p w14:paraId="45E52AE1">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发包人向承包人提供图纸的期限：</w:t>
      </w:r>
      <w:r>
        <w:rPr>
          <w:rFonts w:hAnsi="宋体"/>
          <w:color w:val="000000" w:themeColor="text1"/>
          <w:szCs w:val="21"/>
          <w:highlight w:val="none"/>
          <w:u w:val="single"/>
          <w14:textFill>
            <w14:solidFill>
              <w14:schemeClr w14:val="tx1"/>
            </w14:solidFill>
          </w14:textFill>
        </w:rPr>
        <w:t>签订合同后</w:t>
      </w:r>
      <w:r>
        <w:rPr>
          <w:rFonts w:hint="eastAsia" w:hAnsi="宋体"/>
          <w:color w:val="000000" w:themeColor="text1"/>
          <w:szCs w:val="21"/>
          <w:highlight w:val="none"/>
          <w:u w:val="single"/>
          <w14:textFill>
            <w14:solidFill>
              <w14:schemeClr w14:val="tx1"/>
            </w14:solidFill>
          </w14:textFill>
        </w:rPr>
        <w:t>5</w:t>
      </w:r>
      <w:r>
        <w:rPr>
          <w:rFonts w:hAnsi="宋体"/>
          <w:color w:val="000000" w:themeColor="text1"/>
          <w:szCs w:val="21"/>
          <w:highlight w:val="none"/>
          <w:u w:val="single"/>
          <w14:textFill>
            <w14:solidFill>
              <w14:schemeClr w14:val="tx1"/>
            </w14:solidFill>
          </w14:textFill>
        </w:rPr>
        <w:t>天内。</w:t>
      </w:r>
    </w:p>
    <w:p w14:paraId="112DC3D1">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发包人向承包人提供图纸的数量：</w:t>
      </w:r>
      <w:r>
        <w:rPr>
          <w:rFonts w:hint="eastAsia" w:ascii="宋体" w:hAnsi="宋体"/>
          <w:color w:val="000000" w:themeColor="text1"/>
          <w:szCs w:val="21"/>
          <w:highlight w:val="none"/>
          <w:u w:val="single"/>
          <w14:textFill>
            <w14:solidFill>
              <w14:schemeClr w14:val="tx1"/>
            </w14:solidFill>
          </w14:textFill>
        </w:rPr>
        <w:t>壹套施工图纸（承包人需要更多份数时，应自费复制）</w:t>
      </w:r>
      <w:r>
        <w:rPr>
          <w:rFonts w:hint="eastAsia" w:hAnsi="宋体"/>
          <w:color w:val="000000" w:themeColor="text1"/>
          <w:szCs w:val="21"/>
          <w:highlight w:val="none"/>
          <w:u w:val="single"/>
          <w:lang w:eastAsia="zh-CN"/>
          <w14:textFill>
            <w14:solidFill>
              <w14:schemeClr w14:val="tx1"/>
            </w14:solidFill>
          </w14:textFill>
        </w:rPr>
        <w:t>；</w:t>
      </w:r>
    </w:p>
    <w:p w14:paraId="6B77AE4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发包人向承包人提供图纸的内容：</w:t>
      </w:r>
      <w:r>
        <w:rPr>
          <w:rFonts w:hint="eastAsia" w:ascii="宋体" w:hAnsi="宋体"/>
          <w:color w:val="000000" w:themeColor="text1"/>
          <w:szCs w:val="21"/>
          <w:highlight w:val="none"/>
          <w:u w:val="single"/>
          <w14:textFill>
            <w14:solidFill>
              <w14:schemeClr w14:val="tx1"/>
            </w14:solidFill>
          </w14:textFill>
        </w:rPr>
        <w:t>详见施工图纸(全套)</w:t>
      </w:r>
      <w:r>
        <w:rPr>
          <w:rFonts w:hAnsi="宋体"/>
          <w:color w:val="000000" w:themeColor="text1"/>
          <w:szCs w:val="21"/>
          <w:highlight w:val="none"/>
          <w14:textFill>
            <w14:solidFill>
              <w14:schemeClr w14:val="tx1"/>
            </w14:solidFill>
          </w14:textFill>
        </w:rPr>
        <w:t>。</w:t>
      </w:r>
    </w:p>
    <w:p w14:paraId="181B4DC2">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1.6.4 </w:t>
      </w:r>
      <w:r>
        <w:rPr>
          <w:rFonts w:hAnsi="宋体"/>
          <w:color w:val="000000" w:themeColor="text1"/>
          <w:szCs w:val="21"/>
          <w:highlight w:val="none"/>
          <w14:textFill>
            <w14:solidFill>
              <w14:schemeClr w14:val="tx1"/>
            </w14:solidFill>
          </w14:textFill>
        </w:rPr>
        <w:t>承包人文件</w:t>
      </w:r>
    </w:p>
    <w:p w14:paraId="0501B724">
      <w:pPr>
        <w:spacing w:line="360" w:lineRule="auto"/>
        <w:ind w:firstLine="420" w:firstLineChars="200"/>
        <w:jc w:val="left"/>
        <w:rPr>
          <w:rFonts w:hint="eastAsia" w:eastAsia="宋体"/>
          <w:color w:val="000000" w:themeColor="text1"/>
          <w:szCs w:val="21"/>
          <w:highlight w:val="none"/>
          <w:u w:val="singl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需要由承包人提供的文件，包括：</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263D4EC5">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承包人提供的文件的期限为：</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72CCA751">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承包人提供的文件的数量为：</w:t>
      </w:r>
      <w:r>
        <w:rPr>
          <w:rFonts w:hint="eastAsia" w:hAnsi="宋体"/>
          <w:color w:val="000000" w:themeColor="text1"/>
          <w:szCs w:val="21"/>
          <w:highlight w:val="none"/>
          <w:u w:val="single"/>
          <w14:textFill>
            <w14:solidFill>
              <w14:schemeClr w14:val="tx1"/>
            </w14:solidFill>
          </w14:textFill>
        </w:rPr>
        <w:t>无</w:t>
      </w:r>
      <w:r>
        <w:rPr>
          <w:rFonts w:hint="eastAsia" w:hAnsi="宋体"/>
          <w:color w:val="000000" w:themeColor="text1"/>
          <w:szCs w:val="21"/>
          <w:highlight w:val="none"/>
          <w:lang w:eastAsia="zh-CN"/>
          <w14:textFill>
            <w14:solidFill>
              <w14:schemeClr w14:val="tx1"/>
            </w14:solidFill>
          </w14:textFill>
        </w:rPr>
        <w:t>；</w:t>
      </w:r>
    </w:p>
    <w:p w14:paraId="6665DB9F">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rFonts w:hAnsi="宋体"/>
          <w:color w:val="000000" w:themeColor="text1"/>
          <w:szCs w:val="21"/>
          <w:highlight w:val="none"/>
          <w14:textFill>
            <w14:solidFill>
              <w14:schemeClr w14:val="tx1"/>
            </w14:solidFill>
          </w14:textFill>
        </w:rPr>
        <w:t>承包人提供的文件的形式为：</w:t>
      </w:r>
      <w:r>
        <w:rPr>
          <w:rFonts w:hint="eastAsia" w:hAnsi="宋体"/>
          <w:color w:val="000000" w:themeColor="text1"/>
          <w:szCs w:val="21"/>
          <w:highlight w:val="none"/>
          <w:u w:val="single"/>
          <w14:textFill>
            <w14:solidFill>
              <w14:schemeClr w14:val="tx1"/>
            </w14:solidFill>
          </w14:textFill>
        </w:rPr>
        <w:t>书面文件</w:t>
      </w:r>
      <w:r>
        <w:rPr>
          <w:rFonts w:hint="eastAsia" w:hAnsi="宋体"/>
          <w:color w:val="000000" w:themeColor="text1"/>
          <w:szCs w:val="21"/>
          <w:highlight w:val="none"/>
          <w:lang w:eastAsia="zh-CN"/>
          <w14:textFill>
            <w14:solidFill>
              <w14:schemeClr w14:val="tx1"/>
            </w14:solidFill>
          </w14:textFill>
        </w:rPr>
        <w:t>；</w:t>
      </w:r>
    </w:p>
    <w:p w14:paraId="40D0B6A8">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发包人审批承包人文件的期限：</w:t>
      </w:r>
      <w:r>
        <w:rPr>
          <w:rFonts w:hint="eastAsia" w:hAnsi="宋体"/>
          <w:color w:val="000000" w:themeColor="text1"/>
          <w:szCs w:val="21"/>
          <w:highlight w:val="none"/>
          <w:u w:val="single"/>
          <w14:textFill>
            <w14:solidFill>
              <w14:schemeClr w14:val="tx1"/>
            </w14:solidFill>
          </w14:textFill>
        </w:rPr>
        <w:t xml:space="preserve"> 10个工作日</w:t>
      </w:r>
      <w:r>
        <w:rPr>
          <w:rFonts w:hAnsi="宋体"/>
          <w:color w:val="000000" w:themeColor="text1"/>
          <w:szCs w:val="21"/>
          <w:highlight w:val="none"/>
          <w14:textFill>
            <w14:solidFill>
              <w14:schemeClr w14:val="tx1"/>
            </w14:solidFill>
          </w14:textFill>
        </w:rPr>
        <w:t>。</w:t>
      </w:r>
    </w:p>
    <w:p w14:paraId="5280BAAB">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1.6.5 </w:t>
      </w:r>
      <w:r>
        <w:rPr>
          <w:rFonts w:hAnsi="宋体"/>
          <w:color w:val="000000" w:themeColor="text1"/>
          <w:szCs w:val="21"/>
          <w:highlight w:val="none"/>
          <w14:textFill>
            <w14:solidFill>
              <w14:schemeClr w14:val="tx1"/>
            </w14:solidFill>
          </w14:textFill>
        </w:rPr>
        <w:t>现场图纸准备</w:t>
      </w:r>
    </w:p>
    <w:p w14:paraId="53278723">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关于现场图纸准备的约定：</w:t>
      </w:r>
      <w:r>
        <w:rPr>
          <w:rFonts w:hint="eastAsia" w:ascii="宋体" w:hAnsi="宋体"/>
          <w:color w:val="000000" w:themeColor="text1"/>
          <w:szCs w:val="21"/>
          <w:highlight w:val="none"/>
          <w:u w:val="single"/>
          <w14:textFill>
            <w14:solidFill>
              <w14:schemeClr w14:val="tx1"/>
            </w14:solidFill>
          </w14:textFill>
        </w:rPr>
        <w:t>按《通用合同条款》执行</w:t>
      </w:r>
      <w:r>
        <w:rPr>
          <w:rFonts w:hAnsi="宋体"/>
          <w:color w:val="000000" w:themeColor="text1"/>
          <w:szCs w:val="21"/>
          <w:highlight w:val="none"/>
          <w14:textFill>
            <w14:solidFill>
              <w14:schemeClr w14:val="tx1"/>
            </w14:solidFill>
          </w14:textFill>
        </w:rPr>
        <w:t>。</w:t>
      </w:r>
    </w:p>
    <w:p w14:paraId="195841D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 联络</w:t>
      </w:r>
    </w:p>
    <w:p w14:paraId="6C4842C9">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1.7.1发包人和承包人应当在</w:t>
      </w:r>
      <w:r>
        <w:rPr>
          <w:rFonts w:hint="eastAsia" w:ascii="宋体" w:hAnsi="宋体" w:cs="宋体"/>
          <w:color w:val="000000" w:themeColor="text1"/>
          <w:szCs w:val="21"/>
          <w:highlight w:val="none"/>
          <w:u w:val="singl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Cs w:val="21"/>
          <w:highlight w:val="none"/>
          <w14:textFill>
            <w14:solidFill>
              <w14:schemeClr w14:val="tx1"/>
            </w14:solidFill>
          </w14:textFill>
        </w:rPr>
        <w:t>。</w:t>
      </w:r>
    </w:p>
    <w:p w14:paraId="6E1E6C62">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1.7.2 发包人接收文件的地点：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45CC4230">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发包人指定的接收人为：。</w:t>
      </w:r>
    </w:p>
    <w:p w14:paraId="640F888D">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01913A4E">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承包人指定的接收人为：。</w:t>
      </w:r>
    </w:p>
    <w:p w14:paraId="5D6ABE11">
      <w:pPr>
        <w:spacing w:line="440" w:lineRule="exact"/>
        <w:ind w:firstLine="420" w:firstLineChars="200"/>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监理人接收文件的地点：</w:t>
      </w:r>
      <w:r>
        <w:rPr>
          <w:rFonts w:hint="eastAsia" w:hAnsi="宋体"/>
          <w:color w:val="000000" w:themeColor="text1"/>
          <w:szCs w:val="21"/>
          <w:highlight w:val="none"/>
          <w:u w:val="single"/>
          <w14:textFill>
            <w14:solidFill>
              <w14:schemeClr w14:val="tx1"/>
            </w14:solidFill>
          </w14:textFill>
        </w:rPr>
        <w:t>工程项目部</w:t>
      </w:r>
      <w:r>
        <w:rPr>
          <w:rFonts w:hint="eastAsia" w:ascii="宋体" w:hAnsi="宋体"/>
          <w:color w:val="000000" w:themeColor="text1"/>
          <w:kern w:val="0"/>
          <w:szCs w:val="21"/>
          <w:highlight w:val="none"/>
          <w:lang w:eastAsia="zh-CN"/>
          <w14:textFill>
            <w14:solidFill>
              <w14:schemeClr w14:val="tx1"/>
            </w14:solidFill>
          </w14:textFill>
        </w:rPr>
        <w:t>；</w:t>
      </w:r>
    </w:p>
    <w:p w14:paraId="7AE68D6C">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监理人指定的接收人为：。</w:t>
      </w:r>
    </w:p>
    <w:p w14:paraId="32D593E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 xml:space="preserve"> 交通运输</w:t>
      </w:r>
    </w:p>
    <w:p w14:paraId="41F1B2E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280" w:name="_Toc303539100"/>
      <w:bookmarkStart w:id="281" w:name="_Toc312677986"/>
      <w:bookmarkStart w:id="282" w:name="_Toc318581155"/>
      <w:bookmarkStart w:id="283" w:name="_Toc304295521"/>
      <w:bookmarkStart w:id="284" w:name="_Toc300934943"/>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.1 出入现场的权利</w:t>
      </w:r>
    </w:p>
    <w:p w14:paraId="1AC49A5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关于出入现场的权利的约定：</w:t>
      </w:r>
      <w:r>
        <w:rPr>
          <w:rFonts w:hint="eastAsia" w:ascii="宋体" w:hAnsi="宋体"/>
          <w:bCs/>
          <w:color w:val="000000" w:themeColor="text1"/>
          <w:szCs w:val="21"/>
          <w:highlight w:val="none"/>
          <w:u w:val="single"/>
          <w14:textFill>
            <w14:solidFill>
              <w14:schemeClr w14:val="tx1"/>
            </w14:solidFill>
          </w14:textFill>
        </w:rPr>
        <w:t>发包人应根据施工需要，负责取得出入施工现场所需的批准手续和全部权利，以及取得因施工所需修建道路及其他基础设施的权利，并承担相关手续费用和建设费用。承包人应协助发包人办理修建场内外道路及其他基础设施的手续。</w:t>
      </w:r>
    </w:p>
    <w:bookmarkEnd w:id="280"/>
    <w:bookmarkEnd w:id="281"/>
    <w:bookmarkEnd w:id="282"/>
    <w:bookmarkEnd w:id="283"/>
    <w:bookmarkEnd w:id="284"/>
    <w:p w14:paraId="7B3BE00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285" w:name="_Toc318581156"/>
      <w:bookmarkStart w:id="286" w:name="_Toc312677987"/>
      <w:bookmarkStart w:id="287" w:name="_Toc300934944"/>
      <w:bookmarkStart w:id="288" w:name="_Toc303539101"/>
      <w:bookmarkStart w:id="289" w:name="_Toc304295522"/>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场内交通</w:t>
      </w:r>
    </w:p>
    <w:p w14:paraId="6C500471">
      <w:pPr>
        <w:spacing w:line="400" w:lineRule="exact"/>
        <w:ind w:firstLine="424" w:firstLineChars="202"/>
        <w:jc w:val="left"/>
        <w:rPr>
          <w:rFonts w:ascii="宋体" w:hAnsi="宋体"/>
          <w:bCs/>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关于场外交通和场内交通的边界的约定：</w:t>
      </w:r>
      <w:r>
        <w:rPr>
          <w:rFonts w:hint="eastAsia" w:ascii="宋体" w:hAnsi="宋体"/>
          <w:bCs/>
          <w:color w:val="000000" w:themeColor="text1"/>
          <w:szCs w:val="21"/>
          <w:highlight w:val="none"/>
          <w:u w:val="single"/>
          <w14:textFill>
            <w14:solidFill>
              <w14:schemeClr w14:val="tx1"/>
            </w14:solidFill>
          </w14:textFill>
        </w:rPr>
        <w:t>建筑征地红线范围内的为场内交通，建筑征地红线范围外的为场外交通。</w:t>
      </w:r>
    </w:p>
    <w:p w14:paraId="2EB52F0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bookmarkEnd w:id="285"/>
      <w:bookmarkEnd w:id="286"/>
      <w:bookmarkEnd w:id="287"/>
      <w:bookmarkEnd w:id="288"/>
      <w:bookmarkEnd w:id="289"/>
      <w:bookmarkStart w:id="290" w:name="_Toc318581157"/>
    </w:p>
    <w:p w14:paraId="213F4AC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超大件和超重件的运输</w:t>
      </w:r>
    </w:p>
    <w:p w14:paraId="02B62D9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运输超大件或超重件所需的道路和桥梁临时加固改造费用和其他有关费用由承担。</w:t>
      </w:r>
    </w:p>
    <w:bookmarkEnd w:id="290"/>
    <w:p w14:paraId="60008302">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 xml:space="preserve"> 知识产权</w:t>
      </w:r>
    </w:p>
    <w:p w14:paraId="762EB3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50FFEE1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关于发包人提供的上述文件的使用限制的要求：。</w:t>
      </w:r>
    </w:p>
    <w:p w14:paraId="5D88F9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.2 关于承包人为实施工程所编制文件的著作权的归属：</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3B2D17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关于承包人提供的上述文件的使用限制的要求：</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0BEFB7EF">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.4 承包人在施工过程中所采用的专利、专有技术、技术秘密的使用费的承担方式：</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kern w:val="0"/>
          <w:szCs w:val="21"/>
          <w:highlight w:val="none"/>
          <w14:textFill>
            <w14:solidFill>
              <w14:schemeClr w14:val="tx1"/>
            </w14:solidFill>
          </w14:textFill>
        </w:rPr>
        <w:t>。</w:t>
      </w:r>
    </w:p>
    <w:p w14:paraId="63C3F20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工程量清单错误的修正</w:t>
      </w:r>
    </w:p>
    <w:p w14:paraId="37DE30A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出现工程量清单错误时，是否调整合同价格：</w:t>
      </w:r>
      <w:r>
        <w:rPr>
          <w:rFonts w:hint="eastAsia" w:ascii="宋体" w:hAnsi="宋体"/>
          <w:color w:val="000000" w:themeColor="text1"/>
          <w:szCs w:val="21"/>
          <w:highlight w:val="none"/>
          <w:u w:val="single"/>
          <w14:textFill>
            <w14:solidFill>
              <w14:schemeClr w14:val="tx1"/>
            </w14:solidFill>
          </w14:textFill>
        </w:rPr>
        <w:t xml:space="preserve">  是</w:t>
      </w:r>
      <w:r>
        <w:rPr>
          <w:rFonts w:ascii="宋体" w:hAnsi="宋体"/>
          <w:color w:val="000000" w:themeColor="text1"/>
          <w:kern w:val="0"/>
          <w:szCs w:val="21"/>
          <w:highlight w:val="none"/>
          <w14:textFill>
            <w14:solidFill>
              <w14:schemeClr w14:val="tx1"/>
            </w14:solidFill>
          </w14:textFill>
        </w:rPr>
        <w:t>。</w:t>
      </w:r>
    </w:p>
    <w:p w14:paraId="5FEC70C1">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允许调整合同价格的工程量偏差范围：</w:t>
      </w:r>
      <w:r>
        <w:rPr>
          <w:rFonts w:hint="eastAsia" w:ascii="宋体" w:hAnsi="宋体"/>
          <w:color w:val="000000" w:themeColor="text1"/>
          <w:szCs w:val="21"/>
          <w:highlight w:val="none"/>
          <w14:textFill>
            <w14:solidFill>
              <w14:schemeClr w14:val="tx1"/>
            </w14:solidFill>
          </w14:textFill>
        </w:rPr>
        <w:t>。</w:t>
      </w:r>
    </w:p>
    <w:p w14:paraId="05968309">
      <w:pPr>
        <w:keepNext/>
        <w:keepLines/>
        <w:widowControl/>
        <w:spacing w:before="120" w:after="120" w:line="440" w:lineRule="exact"/>
        <w:ind w:firstLine="281" w:firstLineChars="100"/>
        <w:outlineLvl w:val="3"/>
        <w:rPr>
          <w:rFonts w:ascii="宋体" w:hAnsi="宋体" w:eastAsia="黑体"/>
          <w:b/>
          <w:color w:val="000000" w:themeColor="text1"/>
          <w:kern w:val="0"/>
          <w:sz w:val="28"/>
          <w:szCs w:val="21"/>
          <w:highlight w:val="none"/>
          <w14:textFill>
            <w14:solidFill>
              <w14:schemeClr w14:val="tx1"/>
            </w14:solidFill>
          </w14:textFill>
        </w:rPr>
      </w:pPr>
      <w:bookmarkStart w:id="291" w:name="_Toc351203634"/>
      <w:r>
        <w:rPr>
          <w:rFonts w:ascii="宋体" w:hAnsi="宋体" w:eastAsia="黑体"/>
          <w:b/>
          <w:color w:val="000000" w:themeColor="text1"/>
          <w:kern w:val="0"/>
          <w:sz w:val="28"/>
          <w:szCs w:val="21"/>
          <w:highlight w:val="none"/>
          <w14:textFill>
            <w14:solidFill>
              <w14:schemeClr w14:val="tx1"/>
            </w14:solidFill>
          </w14:textFill>
        </w:rPr>
        <w:t>2</w:t>
      </w:r>
      <w:bookmarkStart w:id="292" w:name="_Toc297120457"/>
      <w:bookmarkStart w:id="293" w:name="_Toc292559867"/>
      <w:bookmarkStart w:id="294" w:name="_Toc292559362"/>
      <w:bookmarkStart w:id="295" w:name="_Toc296347156"/>
      <w:bookmarkStart w:id="296" w:name="_Toc296503157"/>
      <w:bookmarkStart w:id="297" w:name="_Toc296890985"/>
      <w:bookmarkStart w:id="298" w:name="_Toc296891197"/>
      <w:bookmarkStart w:id="299" w:name="_Toc297048343"/>
      <w:bookmarkStart w:id="300" w:name="_Toc296346658"/>
      <w:bookmarkStart w:id="301" w:name="_Toc296944496"/>
      <w:r>
        <w:rPr>
          <w:rFonts w:ascii="宋体" w:hAnsi="宋体" w:eastAsia="黑体"/>
          <w:b/>
          <w:color w:val="000000" w:themeColor="text1"/>
          <w:kern w:val="0"/>
          <w:sz w:val="28"/>
          <w:szCs w:val="21"/>
          <w:highlight w:val="none"/>
          <w14:textFill>
            <w14:solidFill>
              <w14:schemeClr w14:val="tx1"/>
            </w14:solidFill>
          </w14:textFill>
        </w:rPr>
        <w:t>. 发包人</w:t>
      </w:r>
      <w:bookmarkEnd w:id="291"/>
    </w:p>
    <w:bookmarkEnd w:id="292"/>
    <w:bookmarkEnd w:id="293"/>
    <w:bookmarkEnd w:id="294"/>
    <w:bookmarkEnd w:id="295"/>
    <w:bookmarkEnd w:id="296"/>
    <w:bookmarkEnd w:id="297"/>
    <w:bookmarkEnd w:id="298"/>
    <w:bookmarkEnd w:id="299"/>
    <w:bookmarkEnd w:id="300"/>
    <w:bookmarkEnd w:id="301"/>
    <w:p w14:paraId="71EEADAE">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发包人代表</w:t>
      </w:r>
    </w:p>
    <w:p w14:paraId="1F1570B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发包人代表：</w:t>
      </w:r>
    </w:p>
    <w:p w14:paraId="3E7A7B82">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7D519E59">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r>
        <w:rPr>
          <w:rFonts w:hint="eastAsia" w:ascii="宋体" w:hAnsi="宋体"/>
          <w:color w:val="000000" w:themeColor="text1"/>
          <w:szCs w:val="21"/>
          <w:highlight w:val="none"/>
          <w:lang w:eastAsia="zh-CN"/>
          <w14:textFill>
            <w14:solidFill>
              <w14:schemeClr w14:val="tx1"/>
            </w14:solidFill>
          </w14:textFill>
        </w:rPr>
        <w:t>；</w:t>
      </w:r>
    </w:p>
    <w:p w14:paraId="78DA6CA8">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lang w:eastAsia="zh-CN"/>
          <w14:textFill>
            <w14:solidFill>
              <w14:schemeClr w14:val="tx1"/>
            </w14:solidFill>
          </w14:textFill>
        </w:rPr>
        <w:t>；</w:t>
      </w:r>
    </w:p>
    <w:p w14:paraId="47A41E83">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24150878">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7A6049F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p>
    <w:p w14:paraId="56E3213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发包人对发包人代表的授权范围如下：</w:t>
      </w:r>
    </w:p>
    <w:p w14:paraId="30A3BC2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（1）负责工程施工现场的管理</w:t>
      </w:r>
      <w:r>
        <w:rPr>
          <w:rFonts w:hint="eastAsia" w:hAnsi="宋体"/>
          <w:color w:val="000000" w:themeColor="text1"/>
          <w:szCs w:val="21"/>
          <w:highlight w:val="none"/>
          <w:u w:val="single"/>
          <w:lang w:eastAsia="zh-CN"/>
          <w14:textFill>
            <w14:solidFill>
              <w14:schemeClr w14:val="tx1"/>
            </w14:solidFill>
          </w14:textFill>
        </w:rPr>
        <w:t>；</w:t>
      </w:r>
    </w:p>
    <w:p w14:paraId="6C91D8D2">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（2）负责协调与工程项目有关的事项</w:t>
      </w:r>
      <w:r>
        <w:rPr>
          <w:rFonts w:hint="eastAsia" w:hAnsi="宋体"/>
          <w:color w:val="000000" w:themeColor="text1"/>
          <w:szCs w:val="21"/>
          <w:highlight w:val="none"/>
          <w:u w:val="single"/>
          <w:lang w:eastAsia="zh-CN"/>
          <w14:textFill>
            <w14:solidFill>
              <w14:schemeClr w14:val="tx1"/>
            </w14:solidFill>
          </w14:textFill>
        </w:rPr>
        <w:t>；</w:t>
      </w:r>
    </w:p>
    <w:p w14:paraId="6ECE767C">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（3）工程量确认</w:t>
      </w:r>
      <w:r>
        <w:rPr>
          <w:rFonts w:hint="eastAsia" w:hAnsi="宋体"/>
          <w:color w:val="000000" w:themeColor="text1"/>
          <w:szCs w:val="21"/>
          <w:highlight w:val="none"/>
          <w:u w:val="single"/>
          <w:lang w:eastAsia="zh-CN"/>
          <w14:textFill>
            <w14:solidFill>
              <w14:schemeClr w14:val="tx1"/>
            </w14:solidFill>
          </w14:textFill>
        </w:rPr>
        <w:t>；</w:t>
      </w:r>
    </w:p>
    <w:p w14:paraId="243FE647">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（4）同意监理工程师发布开工令、停工令及复工令</w:t>
      </w:r>
      <w:r>
        <w:rPr>
          <w:rFonts w:hint="eastAsia" w:hAnsi="宋体"/>
          <w:color w:val="000000" w:themeColor="text1"/>
          <w:szCs w:val="21"/>
          <w:highlight w:val="none"/>
          <w:u w:val="single"/>
          <w:lang w:eastAsia="zh-CN"/>
          <w14:textFill>
            <w14:solidFill>
              <w14:schemeClr w14:val="tx1"/>
            </w14:solidFill>
          </w14:textFill>
        </w:rPr>
        <w:t>；</w:t>
      </w:r>
    </w:p>
    <w:p w14:paraId="07EE7E3E">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（5）确认或修改承包人的施工组织设计和工程进度计划</w:t>
      </w:r>
      <w:r>
        <w:rPr>
          <w:rFonts w:hint="eastAsia" w:hAnsi="宋体"/>
          <w:color w:val="000000" w:themeColor="text1"/>
          <w:szCs w:val="21"/>
          <w:highlight w:val="none"/>
          <w:u w:val="single"/>
          <w:lang w:eastAsia="zh-CN"/>
          <w14:textFill>
            <w14:solidFill>
              <w14:schemeClr w14:val="tx1"/>
            </w14:solidFill>
          </w14:textFill>
        </w:rPr>
        <w:t>；</w:t>
      </w:r>
    </w:p>
    <w:p w14:paraId="5CD83A73">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（6）对进度的检查、监督和提出改进措施</w:t>
      </w:r>
      <w:r>
        <w:rPr>
          <w:rFonts w:hint="eastAsia" w:hAnsi="宋体"/>
          <w:color w:val="000000" w:themeColor="text1"/>
          <w:szCs w:val="21"/>
          <w:highlight w:val="none"/>
          <w:u w:val="single"/>
          <w:lang w:eastAsia="zh-CN"/>
          <w14:textFill>
            <w14:solidFill>
              <w14:schemeClr w14:val="tx1"/>
            </w14:solidFill>
          </w14:textFill>
        </w:rPr>
        <w:t>；</w:t>
      </w:r>
    </w:p>
    <w:p w14:paraId="2ED4198A">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（7）对承包人延期开工要求进行答复</w:t>
      </w:r>
      <w:r>
        <w:rPr>
          <w:rFonts w:hint="eastAsia" w:hAnsi="宋体"/>
          <w:color w:val="000000" w:themeColor="text1"/>
          <w:szCs w:val="21"/>
          <w:highlight w:val="none"/>
          <w:u w:val="single"/>
          <w:lang w:eastAsia="zh-CN"/>
          <w14:textFill>
            <w14:solidFill>
              <w14:schemeClr w14:val="tx1"/>
            </w14:solidFill>
          </w14:textFill>
        </w:rPr>
        <w:t>；</w:t>
      </w:r>
    </w:p>
    <w:p w14:paraId="31F1E30F">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（8）以通知方式推迟开工日期</w:t>
      </w:r>
      <w:r>
        <w:rPr>
          <w:rFonts w:hint="eastAsia" w:hAnsi="宋体"/>
          <w:color w:val="000000" w:themeColor="text1"/>
          <w:szCs w:val="21"/>
          <w:highlight w:val="none"/>
          <w:u w:val="single"/>
          <w:lang w:eastAsia="zh-CN"/>
          <w14:textFill>
            <w14:solidFill>
              <w14:schemeClr w14:val="tx1"/>
            </w14:solidFill>
          </w14:textFill>
        </w:rPr>
        <w:t>；</w:t>
      </w:r>
    </w:p>
    <w:p w14:paraId="40F029F4">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（9）暂停施工并提出处理意见，对承包人复工要求进行答复</w:t>
      </w:r>
      <w:r>
        <w:rPr>
          <w:rFonts w:hint="eastAsia" w:hAnsi="宋体"/>
          <w:color w:val="000000" w:themeColor="text1"/>
          <w:szCs w:val="21"/>
          <w:highlight w:val="none"/>
          <w:u w:val="single"/>
          <w:lang w:eastAsia="zh-CN"/>
          <w14:textFill>
            <w14:solidFill>
              <w14:schemeClr w14:val="tx1"/>
            </w14:solidFill>
          </w14:textFill>
        </w:rPr>
        <w:t>；</w:t>
      </w:r>
    </w:p>
    <w:p w14:paraId="3C19A73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（10）确认工期顺延</w:t>
      </w:r>
      <w:r>
        <w:rPr>
          <w:rFonts w:hint="eastAsia" w:hAnsi="宋体"/>
          <w:color w:val="000000" w:themeColor="text1"/>
          <w:szCs w:val="21"/>
          <w:highlight w:val="none"/>
          <w:u w:val="single"/>
          <w:lang w:eastAsia="zh-CN"/>
          <w14:textFill>
            <w14:solidFill>
              <w14:schemeClr w14:val="tx1"/>
            </w14:solidFill>
          </w14:textFill>
        </w:rPr>
        <w:t>；</w:t>
      </w:r>
    </w:p>
    <w:p w14:paraId="407FECD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（11）对承包人工程质量检查检验</w:t>
      </w:r>
      <w:r>
        <w:rPr>
          <w:rFonts w:hint="eastAsia" w:hAnsi="宋体"/>
          <w:color w:val="000000" w:themeColor="text1"/>
          <w:szCs w:val="21"/>
          <w:highlight w:val="none"/>
          <w:u w:val="single"/>
          <w:lang w:eastAsia="zh-CN"/>
          <w14:textFill>
            <w14:solidFill>
              <w14:schemeClr w14:val="tx1"/>
            </w14:solidFill>
          </w14:textFill>
        </w:rPr>
        <w:t>；</w:t>
      </w:r>
    </w:p>
    <w:p w14:paraId="035EFCAB">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（12）工程质量达不到约定标准的部分，要求承包人拆除和重新施工。</w:t>
      </w:r>
    </w:p>
    <w:p w14:paraId="73C1E0A7">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（13）隐蔽工程验收</w:t>
      </w:r>
      <w:r>
        <w:rPr>
          <w:rFonts w:hint="eastAsia" w:hAnsi="宋体"/>
          <w:color w:val="000000" w:themeColor="text1"/>
          <w:szCs w:val="21"/>
          <w:highlight w:val="none"/>
          <w:u w:val="single"/>
          <w:lang w:eastAsia="zh-CN"/>
          <w14:textFill>
            <w14:solidFill>
              <w14:schemeClr w14:val="tx1"/>
            </w14:solidFill>
          </w14:textFill>
        </w:rPr>
        <w:t>；</w:t>
      </w:r>
    </w:p>
    <w:p w14:paraId="3F8407EB">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（14）隐蔽工程重新检验</w:t>
      </w:r>
      <w:r>
        <w:rPr>
          <w:rFonts w:hint="eastAsia" w:hAnsi="宋体"/>
          <w:color w:val="000000" w:themeColor="text1"/>
          <w:szCs w:val="21"/>
          <w:highlight w:val="none"/>
          <w:u w:val="single"/>
          <w:lang w:eastAsia="zh-CN"/>
          <w14:textFill>
            <w14:solidFill>
              <w14:schemeClr w14:val="tx1"/>
            </w14:solidFill>
          </w14:textFill>
        </w:rPr>
        <w:t>；</w:t>
      </w:r>
    </w:p>
    <w:p w14:paraId="5CE3C14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（15）根据本款（17）项确认或修改承包人提出的调整金额</w:t>
      </w:r>
      <w:r>
        <w:rPr>
          <w:rFonts w:hint="eastAsia" w:hAnsi="宋体"/>
          <w:color w:val="000000" w:themeColor="text1"/>
          <w:szCs w:val="21"/>
          <w:highlight w:val="none"/>
          <w:u w:val="single"/>
          <w:lang w:eastAsia="zh-CN"/>
          <w14:textFill>
            <w14:solidFill>
              <w14:schemeClr w14:val="tx1"/>
            </w14:solidFill>
          </w14:textFill>
        </w:rPr>
        <w:t>；</w:t>
      </w:r>
    </w:p>
    <w:p w14:paraId="138980A2">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（16）核实承包人已完工程量</w:t>
      </w:r>
      <w:r>
        <w:rPr>
          <w:rFonts w:hint="eastAsia" w:hAnsi="宋体"/>
          <w:color w:val="000000" w:themeColor="text1"/>
          <w:szCs w:val="21"/>
          <w:highlight w:val="none"/>
          <w:u w:val="single"/>
          <w:lang w:eastAsia="zh-CN"/>
          <w14:textFill>
            <w14:solidFill>
              <w14:schemeClr w14:val="tx1"/>
            </w14:solidFill>
          </w14:textFill>
        </w:rPr>
        <w:t>；</w:t>
      </w:r>
    </w:p>
    <w:p w14:paraId="6CD7CFA6">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（17）要求更换承包人采购的不符合要求的材料设备</w:t>
      </w:r>
      <w:r>
        <w:rPr>
          <w:rFonts w:hint="eastAsia" w:hAnsi="宋体"/>
          <w:color w:val="000000" w:themeColor="text1"/>
          <w:szCs w:val="21"/>
          <w:highlight w:val="none"/>
          <w:u w:val="single"/>
          <w:lang w:eastAsia="zh-CN"/>
          <w14:textFill>
            <w14:solidFill>
              <w14:schemeClr w14:val="tx1"/>
            </w14:solidFill>
          </w14:textFill>
        </w:rPr>
        <w:t>；</w:t>
      </w:r>
    </w:p>
    <w:p w14:paraId="44992400">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（18）要求承包人对采购的材料设备在使用前进行检验或试验</w:t>
      </w:r>
      <w:r>
        <w:rPr>
          <w:rFonts w:hint="eastAsia" w:hAnsi="宋体"/>
          <w:color w:val="000000" w:themeColor="text1"/>
          <w:szCs w:val="21"/>
          <w:highlight w:val="none"/>
          <w:u w:val="single"/>
          <w:lang w:eastAsia="zh-CN"/>
          <w14:textFill>
            <w14:solidFill>
              <w14:schemeClr w14:val="tx1"/>
            </w14:solidFill>
          </w14:textFill>
        </w:rPr>
        <w:t>；</w:t>
      </w:r>
    </w:p>
    <w:p w14:paraId="62FA96EF">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（19）批准承包人使用替代材料</w:t>
      </w:r>
      <w:r>
        <w:rPr>
          <w:rFonts w:hint="eastAsia" w:hAnsi="宋体"/>
          <w:color w:val="000000" w:themeColor="text1"/>
          <w:szCs w:val="21"/>
          <w:highlight w:val="none"/>
          <w:u w:val="single"/>
          <w:lang w:eastAsia="zh-CN"/>
          <w14:textFill>
            <w14:solidFill>
              <w14:schemeClr w14:val="tx1"/>
            </w14:solidFill>
          </w14:textFill>
        </w:rPr>
        <w:t>；</w:t>
      </w:r>
    </w:p>
    <w:p w14:paraId="41F462BD">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（20）同意承包人提出的合理化建议</w:t>
      </w:r>
      <w:r>
        <w:rPr>
          <w:rFonts w:hint="eastAsia" w:hAnsi="宋体"/>
          <w:color w:val="000000" w:themeColor="text1"/>
          <w:szCs w:val="21"/>
          <w:highlight w:val="none"/>
          <w:u w:val="single"/>
          <w:lang w:eastAsia="zh-CN"/>
          <w14:textFill>
            <w14:solidFill>
              <w14:schemeClr w14:val="tx1"/>
            </w14:solidFill>
          </w14:textFill>
        </w:rPr>
        <w:t>；</w:t>
      </w:r>
    </w:p>
    <w:p w14:paraId="693BAC15">
      <w:pPr>
        <w:spacing w:line="360" w:lineRule="auto"/>
        <w:ind w:firstLine="420"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（21）确认变更价款</w:t>
      </w:r>
      <w:r>
        <w:rPr>
          <w:rFonts w:hint="eastAsia" w:hAnsi="宋体"/>
          <w:color w:val="000000" w:themeColor="text1"/>
          <w:szCs w:val="21"/>
          <w:highlight w:val="none"/>
          <w:u w:val="single"/>
          <w:lang w:eastAsia="zh-CN"/>
          <w14:textFill>
            <w14:solidFill>
              <w14:schemeClr w14:val="tx1"/>
            </w14:solidFill>
          </w14:textFill>
        </w:rPr>
        <w:t>；</w:t>
      </w:r>
    </w:p>
    <w:p w14:paraId="1BDEEBFE">
      <w:pPr>
        <w:spacing w:line="360" w:lineRule="auto"/>
        <w:ind w:firstLine="420"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（22）答复索赔。</w:t>
      </w:r>
    </w:p>
    <w:p w14:paraId="449247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施工现场、施工条件和基础资料的提供</w:t>
      </w:r>
    </w:p>
    <w:p w14:paraId="6CFCE94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.1 提供施工现场</w:t>
      </w:r>
    </w:p>
    <w:p w14:paraId="3188AC6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关于发包人移交施工现场的期限要求：</w:t>
      </w:r>
      <w:r>
        <w:rPr>
          <w:rFonts w:hint="eastAsia" w:ascii="宋体" w:hAnsi="宋体"/>
          <w:color w:val="000000" w:themeColor="text1"/>
          <w:szCs w:val="21"/>
          <w:highlight w:val="none"/>
          <w:u w:val="single"/>
          <w14:textFill>
            <w14:solidFill>
              <w14:schemeClr w14:val="tx1"/>
            </w14:solidFill>
          </w14:textFill>
        </w:rPr>
        <w:t>计划开工日前3天</w:t>
      </w:r>
      <w:r>
        <w:rPr>
          <w:rFonts w:ascii="宋体" w:hAnsi="宋体"/>
          <w:color w:val="000000" w:themeColor="text1"/>
          <w:szCs w:val="21"/>
          <w:highlight w:val="none"/>
          <w14:textFill>
            <w14:solidFill>
              <w14:schemeClr w14:val="tx1"/>
            </w14:solidFill>
          </w14:textFill>
        </w:rPr>
        <w:t>。</w:t>
      </w:r>
    </w:p>
    <w:p w14:paraId="32BEA28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 提供施工条件</w:t>
      </w:r>
    </w:p>
    <w:p w14:paraId="5A1EEA6D">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关于发包人应负责提供施工</w:t>
      </w:r>
      <w:r>
        <w:rPr>
          <w:rFonts w:hint="eastAsia" w:ascii="宋体" w:hAnsi="宋体"/>
          <w:color w:val="000000" w:themeColor="text1"/>
          <w:szCs w:val="21"/>
          <w:highlight w:val="none"/>
          <w14:textFill>
            <w14:solidFill>
              <w14:schemeClr w14:val="tx1"/>
            </w14:solidFill>
          </w14:textFill>
        </w:rPr>
        <w:t>所需要的条件，</w:t>
      </w:r>
      <w:r>
        <w:rPr>
          <w:rFonts w:ascii="宋体" w:hAnsi="宋体"/>
          <w:color w:val="000000" w:themeColor="text1"/>
          <w:szCs w:val="21"/>
          <w:highlight w:val="none"/>
          <w14:textFill>
            <w14:solidFill>
              <w14:schemeClr w14:val="tx1"/>
            </w14:solidFill>
          </w14:textFill>
        </w:rPr>
        <w:t>包括：。</w:t>
      </w:r>
    </w:p>
    <w:p w14:paraId="558822B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资金来源证明及支付担保</w:t>
      </w:r>
    </w:p>
    <w:p w14:paraId="6E2068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发包人提供资金来源证明的期限要求：</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66AB05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发包人是否提供支付担保：</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p w14:paraId="4649F1C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发包人提供支付担保的形式：</w:t>
      </w:r>
      <w:r>
        <w:rPr>
          <w:rFonts w:hint="eastAsia" w:ascii="宋体" w:hAnsi="宋体" w:cs="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50876FF2">
      <w:pPr>
        <w:keepNext/>
        <w:keepLines/>
        <w:widowControl/>
        <w:spacing w:before="120" w:after="120" w:line="440" w:lineRule="exact"/>
        <w:ind w:firstLine="281" w:firstLineChars="100"/>
        <w:outlineLvl w:val="3"/>
        <w:rPr>
          <w:rFonts w:ascii="宋体" w:hAnsi="宋体" w:eastAsia="黑体"/>
          <w:b/>
          <w:color w:val="000000" w:themeColor="text1"/>
          <w:kern w:val="0"/>
          <w:sz w:val="28"/>
          <w:szCs w:val="21"/>
          <w:highlight w:val="none"/>
          <w14:textFill>
            <w14:solidFill>
              <w14:schemeClr w14:val="tx1"/>
            </w14:solidFill>
          </w14:textFill>
        </w:rPr>
      </w:pPr>
      <w:bookmarkStart w:id="302" w:name="_Toc351203635"/>
      <w:r>
        <w:rPr>
          <w:rFonts w:ascii="宋体" w:hAnsi="宋体" w:eastAsia="黑体"/>
          <w:b/>
          <w:color w:val="000000" w:themeColor="text1"/>
          <w:kern w:val="0"/>
          <w:sz w:val="28"/>
          <w:szCs w:val="21"/>
          <w:highlight w:val="none"/>
          <w14:textFill>
            <w14:solidFill>
              <w14:schemeClr w14:val="tx1"/>
            </w14:solidFill>
          </w14:textFill>
        </w:rPr>
        <w:t>3</w:t>
      </w:r>
      <w:bookmarkStart w:id="303" w:name="_Toc296944497"/>
      <w:bookmarkStart w:id="304" w:name="_Toc292559868"/>
      <w:bookmarkStart w:id="305" w:name="_Toc297120458"/>
      <w:bookmarkStart w:id="306" w:name="_Toc296891198"/>
      <w:bookmarkStart w:id="307" w:name="_Toc296890986"/>
      <w:bookmarkStart w:id="308" w:name="_Toc296347157"/>
      <w:bookmarkStart w:id="309" w:name="_Toc292559363"/>
      <w:bookmarkStart w:id="310" w:name="_Toc296346659"/>
      <w:bookmarkStart w:id="311" w:name="_Toc297048344"/>
      <w:bookmarkStart w:id="312" w:name="_Toc296503158"/>
      <w:r>
        <w:rPr>
          <w:rFonts w:ascii="宋体" w:hAnsi="宋体" w:eastAsia="黑体"/>
          <w:b/>
          <w:color w:val="000000" w:themeColor="text1"/>
          <w:kern w:val="0"/>
          <w:sz w:val="28"/>
          <w:szCs w:val="21"/>
          <w:highlight w:val="none"/>
          <w14:textFill>
            <w14:solidFill>
              <w14:schemeClr w14:val="tx1"/>
            </w14:solidFill>
          </w14:textFill>
        </w:rPr>
        <w:t>. 承包人</w:t>
      </w:r>
      <w:bookmarkEnd w:id="302"/>
    </w:p>
    <w:bookmarkEnd w:id="303"/>
    <w:bookmarkEnd w:id="304"/>
    <w:bookmarkEnd w:id="305"/>
    <w:bookmarkEnd w:id="306"/>
    <w:bookmarkEnd w:id="307"/>
    <w:bookmarkEnd w:id="308"/>
    <w:bookmarkEnd w:id="309"/>
    <w:bookmarkEnd w:id="310"/>
    <w:bookmarkEnd w:id="311"/>
    <w:bookmarkEnd w:id="312"/>
    <w:p w14:paraId="3D6CAAD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 承包人的一般义务</w:t>
      </w:r>
    </w:p>
    <w:p w14:paraId="4494D12B">
      <w:pPr>
        <w:spacing w:line="440" w:lineRule="exact"/>
        <w:ind w:firstLine="315" w:firstLineChars="15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承包人提交的竣工资料的内容：。</w:t>
      </w:r>
    </w:p>
    <w:p w14:paraId="667D8DC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承包人需要提交的竣工资料套数：。</w:t>
      </w:r>
    </w:p>
    <w:p w14:paraId="25D8434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承包人提交的竣工资料的费用承担：。</w:t>
      </w:r>
    </w:p>
    <w:p w14:paraId="10E2C84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承包人提交的竣工资料移交时间：。</w:t>
      </w:r>
    </w:p>
    <w:p w14:paraId="42FF82A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承包人提交的竣工资料形式要求：。</w:t>
      </w:r>
    </w:p>
    <w:p w14:paraId="7108552F">
      <w:pPr>
        <w:spacing w:line="440" w:lineRule="exact"/>
        <w:ind w:firstLine="420" w:firstLineChars="200"/>
        <w:rPr>
          <w:rFonts w:ascii="宋体" w:hAnsi="宋体"/>
          <w:b/>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（6）承包人应履行的其他义务：</w:t>
      </w:r>
      <w:r>
        <w:rPr>
          <w:rFonts w:hint="eastAsia" w:ascii="宋体" w:hAnsi="宋体"/>
          <w:b/>
          <w:color w:val="000000" w:themeColor="text1"/>
          <w:szCs w:val="21"/>
          <w:highlight w:val="none"/>
          <w:u w:val="single"/>
          <w14:textFill>
            <w14:solidFill>
              <w14:schemeClr w14:val="tx1"/>
            </w14:solidFill>
          </w14:textFill>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6F8DA6E">
      <w:pPr>
        <w:spacing w:line="440" w:lineRule="exact"/>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②取土场及弃土场由承包人自行解决，但不得违反相关管理规定，并承担相关费用。</w:t>
      </w:r>
    </w:p>
    <w:p w14:paraId="64617C5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 项目经理</w:t>
      </w:r>
    </w:p>
    <w:p w14:paraId="5C8008D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3.2.1 </w:t>
      </w:r>
      <w:r>
        <w:rPr>
          <w:rFonts w:ascii="宋体" w:hAnsi="宋体"/>
          <w:color w:val="000000" w:themeColor="text1"/>
          <w:szCs w:val="21"/>
          <w:highlight w:val="none"/>
          <w14:textFill>
            <w14:solidFill>
              <w14:schemeClr w14:val="tx1"/>
            </w14:solidFill>
          </w14:textFill>
        </w:rPr>
        <w:t>项目经理：</w:t>
      </w:r>
    </w:p>
    <w:p w14:paraId="1565AD0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6EA386A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r>
        <w:rPr>
          <w:rFonts w:hint="eastAsia" w:ascii="宋体" w:hAnsi="宋体"/>
          <w:color w:val="000000" w:themeColor="text1"/>
          <w:szCs w:val="21"/>
          <w:highlight w:val="none"/>
          <w:lang w:eastAsia="zh-CN"/>
          <w14:textFill>
            <w14:solidFill>
              <w14:schemeClr w14:val="tx1"/>
            </w14:solidFill>
          </w14:textFill>
        </w:rPr>
        <w:t>；</w:t>
      </w:r>
    </w:p>
    <w:p w14:paraId="19C15D05">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建造师执业资格等级：</w:t>
      </w:r>
      <w:r>
        <w:rPr>
          <w:rFonts w:hint="eastAsia" w:ascii="宋体" w:hAnsi="宋体"/>
          <w:color w:val="000000" w:themeColor="text1"/>
          <w:szCs w:val="21"/>
          <w:highlight w:val="none"/>
          <w:lang w:eastAsia="zh-CN"/>
          <w14:textFill>
            <w14:solidFill>
              <w14:schemeClr w14:val="tx1"/>
            </w14:solidFill>
          </w14:textFill>
        </w:rPr>
        <w:t>；</w:t>
      </w:r>
    </w:p>
    <w:p w14:paraId="54487C6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建造师注册证书号：</w:t>
      </w:r>
      <w:r>
        <w:rPr>
          <w:rFonts w:hint="eastAsia" w:ascii="宋体" w:hAnsi="宋体"/>
          <w:color w:val="000000" w:themeColor="text1"/>
          <w:szCs w:val="21"/>
          <w:highlight w:val="none"/>
          <w:lang w:eastAsia="zh-CN"/>
          <w14:textFill>
            <w14:solidFill>
              <w14:schemeClr w14:val="tx1"/>
            </w14:solidFill>
          </w14:textFill>
        </w:rPr>
        <w:t>；</w:t>
      </w:r>
    </w:p>
    <w:p w14:paraId="0C40065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建造师执业印章号：</w:t>
      </w:r>
      <w:r>
        <w:rPr>
          <w:rFonts w:hint="eastAsia" w:ascii="宋体" w:hAnsi="宋体"/>
          <w:color w:val="000000" w:themeColor="text1"/>
          <w:szCs w:val="21"/>
          <w:highlight w:val="none"/>
          <w:lang w:eastAsia="zh-CN"/>
          <w14:textFill>
            <w14:solidFill>
              <w14:schemeClr w14:val="tx1"/>
            </w14:solidFill>
          </w14:textFill>
        </w:rPr>
        <w:t>；</w:t>
      </w:r>
    </w:p>
    <w:p w14:paraId="4AE4BA41">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安全生产考核合格证书号：</w:t>
      </w:r>
      <w:r>
        <w:rPr>
          <w:rFonts w:hint="eastAsia" w:ascii="宋体" w:hAnsi="宋体"/>
          <w:color w:val="000000" w:themeColor="text1"/>
          <w:szCs w:val="21"/>
          <w:highlight w:val="none"/>
          <w:lang w:eastAsia="zh-CN"/>
          <w14:textFill>
            <w14:solidFill>
              <w14:schemeClr w14:val="tx1"/>
            </w14:solidFill>
          </w14:textFill>
        </w:rPr>
        <w:t>；</w:t>
      </w:r>
    </w:p>
    <w:p w14:paraId="6FC8761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12C1262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23874B31">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r>
        <w:rPr>
          <w:rFonts w:hint="eastAsia" w:ascii="宋体" w:hAnsi="宋体"/>
          <w:color w:val="000000" w:themeColor="text1"/>
          <w:szCs w:val="21"/>
          <w:highlight w:val="none"/>
          <w:lang w:eastAsia="zh-CN"/>
          <w14:textFill>
            <w14:solidFill>
              <w14:schemeClr w14:val="tx1"/>
            </w14:solidFill>
          </w14:textFill>
        </w:rPr>
        <w:t>；</w:t>
      </w:r>
    </w:p>
    <w:p w14:paraId="0D875DD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承包人对项目经理的授权范围如下：</w:t>
      </w:r>
      <w:r>
        <w:rPr>
          <w:rFonts w:hint="eastAsia" w:ascii="宋体" w:hAnsi="宋体"/>
          <w:color w:val="000000" w:themeColor="text1"/>
          <w:szCs w:val="21"/>
          <w:highlight w:val="none"/>
          <w:u w:val="single"/>
          <w14:textFill>
            <w14:solidFill>
              <w14:schemeClr w14:val="tx1"/>
            </w14:solidFill>
          </w14:textFill>
        </w:rPr>
        <w:t>负责组织合同工程内容的施工</w:t>
      </w:r>
      <w:r>
        <w:rPr>
          <w:rFonts w:ascii="宋体" w:hAnsi="宋体"/>
          <w:color w:val="000000" w:themeColor="text1"/>
          <w:szCs w:val="21"/>
          <w:highlight w:val="none"/>
          <w14:textFill>
            <w14:solidFill>
              <w14:schemeClr w14:val="tx1"/>
            </w14:solidFill>
          </w14:textFill>
        </w:rPr>
        <w:t>。</w:t>
      </w:r>
    </w:p>
    <w:p w14:paraId="30BAA3A1">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关于项目经理每月在施工现场的时间要求：</w:t>
      </w:r>
      <w:r>
        <w:rPr>
          <w:rFonts w:hint="eastAsia" w:ascii="宋体" w:hAnsi="宋体" w:cs="宋体"/>
          <w:color w:val="000000" w:themeColor="text1"/>
          <w:szCs w:val="21"/>
          <w:highlight w:val="none"/>
          <w:u w:val="single"/>
          <w14:textFill>
            <w14:solidFill>
              <w14:schemeClr w14:val="tx1"/>
            </w14:solidFill>
          </w14:textFill>
        </w:rPr>
        <w:t xml:space="preserve">     不少于5天且符合国家相关规定要求    </w:t>
      </w:r>
      <w:r>
        <w:rPr>
          <w:rFonts w:ascii="宋体" w:hAnsi="宋体"/>
          <w:color w:val="000000" w:themeColor="text1"/>
          <w:szCs w:val="21"/>
          <w:highlight w:val="none"/>
          <w14:textFill>
            <w14:solidFill>
              <w14:schemeClr w14:val="tx1"/>
            </w14:solidFill>
          </w14:textFill>
        </w:rPr>
        <w:t>。</w:t>
      </w:r>
    </w:p>
    <w:p w14:paraId="1B81EF8A">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ascii="宋体" w:hAnsi="宋体"/>
          <w:color w:val="000000" w:themeColor="text1"/>
          <w:kern w:val="0"/>
          <w:szCs w:val="21"/>
          <w:highlight w:val="none"/>
          <w:u w:val="single"/>
          <w14:textFill>
            <w14:solidFill>
              <w14:schemeClr w14:val="tx1"/>
            </w14:solidFill>
          </w14:textFill>
        </w:rPr>
        <w:t>承包人支付违约金10000元，并责令限期提交劳动合同并补缴社会保险。如承包人未在规定期限内提交项目经理劳动合同和缴交社会保险证明材料的，则发包人可致函承包人要求更换项目经理，且承包人按1000元/天标准向发包人支付违约金直至承包人更换新的项目经理。如在更换项目经理期间造成发包人损失的，承包人须另行赔偿发包人损失。</w:t>
      </w:r>
    </w:p>
    <w:p w14:paraId="71E2D8D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项目经理未经批准，擅自离开施工现场的违约责任：</w:t>
      </w:r>
      <w:r>
        <w:rPr>
          <w:rFonts w:hint="eastAsia" w:ascii="宋体" w:hAnsi="宋体"/>
          <w:color w:val="000000" w:themeColor="text1"/>
          <w:kern w:val="0"/>
          <w:szCs w:val="21"/>
          <w:highlight w:val="none"/>
          <w:u w:val="single"/>
          <w14:textFill>
            <w14:solidFill>
              <w14:schemeClr w14:val="tx1"/>
            </w14:solidFill>
          </w14:textFill>
        </w:rPr>
        <w:t>未经发包人同意，项目经理擅自离岗的，视为承包人违约，承包人向发包人支付违约金人民币1000元/人•次</w:t>
      </w:r>
      <w:r>
        <w:rPr>
          <w:rFonts w:ascii="宋体" w:hAnsi="宋体"/>
          <w:color w:val="000000" w:themeColor="text1"/>
          <w:szCs w:val="21"/>
          <w:highlight w:val="none"/>
          <w:u w:val="single"/>
          <w14:textFill>
            <w14:solidFill>
              <w14:schemeClr w14:val="tx1"/>
            </w14:solidFill>
          </w14:textFill>
        </w:rPr>
        <w:t>。</w:t>
      </w:r>
    </w:p>
    <w:p w14:paraId="321E673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承包人擅自更换项目经理的违约责任：</w:t>
      </w:r>
      <w:r>
        <w:rPr>
          <w:rFonts w:hint="eastAsia" w:ascii="宋体" w:hAnsi="宋体"/>
          <w:color w:val="000000" w:themeColor="text1"/>
          <w:szCs w:val="21"/>
          <w:highlight w:val="none"/>
          <w:u w:val="single"/>
          <w14:textFill>
            <w14:solidFill>
              <w14:schemeClr w14:val="tx1"/>
            </w14:solidFill>
          </w14:textFill>
        </w:rPr>
        <w:t>承包人项目经理必须与承包人竞标时所承诺的人员一致，并在项目开工日期前到任。在监理人向承包人颁发（竣工证明材料名称）前，项目经理不得同时兼任其他任何项目的项目经理。未经发包人书面同意，承包人擅自更换项目经理的视为违约，违约金为人民币15000元/人•次。如发现承包人的项目经理同时兼任其他项目的，发包人视承包人违约，违约金为人民币20000元，同时报住建监管部门。</w:t>
      </w:r>
    </w:p>
    <w:p w14:paraId="61E3CB2C">
      <w:pPr>
        <w:spacing w:line="440" w:lineRule="exac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3.2.</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承包人无正当理由拒绝更换项目经理的违约责任：</w:t>
      </w:r>
      <w:r>
        <w:rPr>
          <w:rFonts w:hint="eastAsia" w:ascii="宋体" w:hAnsi="宋体"/>
          <w:color w:val="000000" w:themeColor="text1"/>
          <w:szCs w:val="21"/>
          <w:highlight w:val="none"/>
          <w:u w:val="single"/>
          <w14:textFill>
            <w14:solidFill>
              <w14:schemeClr w14:val="tx1"/>
            </w14:solidFill>
          </w14:textFill>
        </w:rPr>
        <w:t>承包人项目经理因不称职，在收到发包人调换通知后7日内未调换的，视为承包人违约，必须向发包人支付违约金人民币10000元/人•次</w:t>
      </w:r>
      <w:r>
        <w:rPr>
          <w:rFonts w:ascii="宋体" w:hAnsi="宋体"/>
          <w:color w:val="000000" w:themeColor="text1"/>
          <w:szCs w:val="21"/>
          <w:highlight w:val="none"/>
          <w:u w:val="single"/>
          <w14:textFill>
            <w14:solidFill>
              <w14:schemeClr w14:val="tx1"/>
            </w14:solidFill>
          </w14:textFill>
        </w:rPr>
        <w:t>。</w:t>
      </w:r>
    </w:p>
    <w:p w14:paraId="126DA52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 承包人人员</w:t>
      </w:r>
    </w:p>
    <w:p w14:paraId="769D369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3.3.1 承包人提交项目管理机构及施工现场管理人员安排报告的期限：</w:t>
      </w:r>
      <w:r>
        <w:rPr>
          <w:rFonts w:hint="eastAsia" w:ascii="宋体" w:hAnsi="宋体"/>
          <w:color w:val="000000" w:themeColor="text1"/>
          <w:szCs w:val="21"/>
          <w:highlight w:val="none"/>
          <w:u w:val="single"/>
          <w14:textFill>
            <w14:solidFill>
              <w14:schemeClr w14:val="tx1"/>
            </w14:solidFill>
          </w14:textFill>
        </w:rPr>
        <w:t>开工前7天</w:t>
      </w:r>
      <w:r>
        <w:rPr>
          <w:rFonts w:ascii="宋体" w:hAnsi="宋体"/>
          <w:color w:val="000000" w:themeColor="text1"/>
          <w:szCs w:val="21"/>
          <w:highlight w:val="none"/>
          <w14:textFill>
            <w14:solidFill>
              <w14:schemeClr w14:val="tx1"/>
            </w14:solidFill>
          </w14:textFill>
        </w:rPr>
        <w:t>。</w:t>
      </w:r>
    </w:p>
    <w:p w14:paraId="54357BB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承包人无正当理由拒绝撤换主要施工管理人员的违约责任：</w:t>
      </w:r>
      <w:r>
        <w:rPr>
          <w:rFonts w:hint="eastAsia" w:ascii="宋体" w:hAnsi="宋体"/>
          <w:color w:val="000000" w:themeColor="text1"/>
          <w:szCs w:val="21"/>
          <w:highlight w:val="none"/>
          <w:u w:val="single"/>
          <w14:textFill>
            <w14:solidFill>
              <w14:schemeClr w14:val="tx1"/>
            </w14:solidFill>
          </w14:textFill>
        </w:rPr>
        <w:t>承包人主要施工管理人员因不称职，在收到发包人调换通知后7日内未调换的，视为承包人违约，必须向发包人承担违约责任并支付违约金，违约金按：技术负责人人民币10000元/人•次</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专业工程师人民币5000元/人•次进行支付。</w:t>
      </w:r>
    </w:p>
    <w:p w14:paraId="3244D15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承包人主要施工管理人员离开施工现场的批准要求：</w:t>
      </w:r>
      <w:r>
        <w:rPr>
          <w:rFonts w:hint="eastAsia" w:ascii="宋体" w:hAnsi="宋体"/>
          <w:color w:val="000000" w:themeColor="text1"/>
          <w:szCs w:val="21"/>
          <w:highlight w:val="none"/>
          <w:u w:val="single"/>
          <w14:textFill>
            <w14:solidFill>
              <w14:schemeClr w14:val="tx1"/>
            </w14:solidFill>
          </w14:textFill>
        </w:rPr>
        <w:t>须经发包人或监理人书面同意。</w:t>
      </w:r>
    </w:p>
    <w:p w14:paraId="7D335C4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3.3.</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承包人擅自更换主要施工管理人员的违约责任：</w:t>
      </w:r>
      <w:r>
        <w:rPr>
          <w:rFonts w:hint="eastAsia" w:ascii="宋体" w:hAnsi="宋体"/>
          <w:color w:val="000000" w:themeColor="text1"/>
          <w:szCs w:val="21"/>
          <w:highlight w:val="none"/>
          <w:u w:val="single"/>
          <w14:textFill>
            <w14:solidFill>
              <w14:schemeClr w14:val="tx1"/>
            </w14:solidFill>
          </w14:textFill>
        </w:rPr>
        <w:t>技术负责人、专业工程师未经发包人书面同意不准擅自更换，擅自更换技术负责人的按人民币100000元/人•次违约金进行支付</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擅自更换专业工程师（施工员、安全员、资料员）处人民币20000元/人•次违约金。项目管理人员出现身故、重伤、重病、离职及被发包人主动更换五者之一情况而无法履职的，承包人在出具相关证明后变更管理人员的，可免于向发包人支付违约金。如承包人需要调换施工现场管理人员时，需经发包人同意后生效。新调换施工管理人员应与被调换管理人员有相同或更优秀的资历（专业、职称、职业资格），否则，发包人有权拒绝。</w:t>
      </w:r>
    </w:p>
    <w:p w14:paraId="5FD26F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承包人主要施工管理人员擅自离开施工现场的违约责任：</w:t>
      </w:r>
      <w:r>
        <w:rPr>
          <w:rFonts w:hint="eastAsia" w:ascii="宋体" w:hAnsi="宋体"/>
          <w:color w:val="000000" w:themeColor="text1"/>
          <w:szCs w:val="21"/>
          <w:highlight w:val="none"/>
          <w:u w:val="single"/>
          <w14:textFill>
            <w14:solidFill>
              <w14:schemeClr w14:val="tx1"/>
            </w14:solidFill>
          </w14:textFill>
        </w:rPr>
        <w:t>未经发包人同意，技术负责人擅自离岗或者不到位的，视为承包人违约，承包人按人民币1000元/人•次（天）向发包人支付违约金</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未经发包人同意，专业工程师（施工员、安全员、资料员）擅自离岗或者不到位的，视为承包人违约，承包人按人民币500 元/人•次（天）向发包人支付违约金</w:t>
      </w:r>
      <w:r>
        <w:rPr>
          <w:rFonts w:ascii="宋体" w:hAnsi="宋体"/>
          <w:color w:val="000000" w:themeColor="text1"/>
          <w:szCs w:val="21"/>
          <w:highlight w:val="none"/>
          <w:u w:val="single"/>
          <w14:textFill>
            <w14:solidFill>
              <w14:schemeClr w14:val="tx1"/>
            </w14:solidFill>
          </w14:textFill>
        </w:rPr>
        <w:t>。</w:t>
      </w:r>
    </w:p>
    <w:p w14:paraId="656DF5E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bookmarkStart w:id="313" w:name="_Toc303539102"/>
      <w:bookmarkStart w:id="314" w:name="_Toc292559869"/>
      <w:bookmarkStart w:id="315" w:name="_Toc296347158"/>
      <w:bookmarkStart w:id="316" w:name="_Toc296346660"/>
      <w:bookmarkStart w:id="317" w:name="_Toc296891199"/>
      <w:bookmarkStart w:id="318" w:name="_Toc297123492"/>
      <w:bookmarkStart w:id="319" w:name="_Toc296944498"/>
      <w:bookmarkStart w:id="320" w:name="_Toc300934945"/>
      <w:bookmarkStart w:id="321" w:name="_Toc292559364"/>
      <w:bookmarkStart w:id="322" w:name="_Toc297048345"/>
      <w:bookmarkStart w:id="323" w:name="_Toc296890987"/>
      <w:bookmarkStart w:id="324" w:name="_Toc312677988"/>
      <w:bookmarkStart w:id="325" w:name="_Toc304295523"/>
      <w:bookmarkStart w:id="326" w:name="_Toc297216151"/>
      <w:bookmarkStart w:id="327" w:name="_Toc296503159"/>
      <w:bookmarkStart w:id="328" w:name="_Toc297120459"/>
      <w:r>
        <w:rPr>
          <w:rFonts w:ascii="宋体" w:hAnsi="宋体"/>
          <w:color w:val="000000" w:themeColor="text1"/>
          <w:szCs w:val="21"/>
          <w:highlight w:val="none"/>
          <w14:textFill>
            <w14:solidFill>
              <w14:schemeClr w14:val="tx1"/>
            </w14:solidFill>
          </w14:textFill>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3CA0173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bookmarkStart w:id="329" w:name="_Toc297123493"/>
      <w:bookmarkStart w:id="330" w:name="_Toc296891200"/>
      <w:bookmarkStart w:id="331" w:name="_Toc296890988"/>
      <w:bookmarkStart w:id="332" w:name="_Toc300934946"/>
      <w:bookmarkStart w:id="333" w:name="_Toc297048346"/>
      <w:bookmarkStart w:id="334" w:name="_Toc296944499"/>
      <w:bookmarkStart w:id="335" w:name="_Toc296346661"/>
      <w:bookmarkStart w:id="336" w:name="_Toc304295524"/>
      <w:bookmarkStart w:id="337" w:name="_Toc292559365"/>
      <w:bookmarkStart w:id="338" w:name="_Toc296347159"/>
      <w:bookmarkStart w:id="339" w:name="_Toc292559870"/>
      <w:bookmarkStart w:id="340" w:name="_Toc296503160"/>
      <w:bookmarkStart w:id="341" w:name="_Toc297120460"/>
      <w:bookmarkStart w:id="342" w:name="_Toc297216152"/>
      <w:bookmarkStart w:id="343" w:name="_Toc303539103"/>
      <w:bookmarkStart w:id="344" w:name="_Toc312677989"/>
      <w:bookmarkStart w:id="345" w:name="_Toc318581158"/>
      <w:r>
        <w:rPr>
          <w:rFonts w:ascii="宋体" w:hAnsi="宋体"/>
          <w:color w:val="000000" w:themeColor="text1"/>
          <w:szCs w:val="21"/>
          <w:highlight w:val="none"/>
          <w14:textFill>
            <w14:solidFill>
              <w14:schemeClr w14:val="tx1"/>
            </w14:solidFill>
          </w14:textFill>
        </w:rPr>
        <w:t>.5.1 分包的一般约定</w:t>
      </w:r>
    </w:p>
    <w:p w14:paraId="65BDDE7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禁止分包的工程包括：</w:t>
      </w:r>
      <w:r>
        <w:rPr>
          <w:rFonts w:hint="eastAsia" w:ascii="宋体" w:hAnsi="宋体"/>
          <w:color w:val="000000" w:themeColor="text1"/>
          <w:szCs w:val="21"/>
          <w:highlight w:val="none"/>
          <w14:textFill>
            <w14:solidFill>
              <w14:schemeClr w14:val="tx1"/>
            </w14:solidFill>
          </w14:textFill>
        </w:rPr>
        <w:t>本工程禁止分包</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1B2FF0D6">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主体结构、关键性工作的范围：</w:t>
      </w:r>
      <w:r>
        <w:rPr>
          <w:rFonts w:hint="eastAsia" w:ascii="宋体" w:hAnsi="宋体" w:cs="宋体"/>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6" w:name="_Toc304295525"/>
      <w:bookmarkStart w:id="347" w:name="_Toc296503161"/>
      <w:bookmarkStart w:id="348" w:name="_Toc297048347"/>
      <w:bookmarkStart w:id="349" w:name="_Toc296347160"/>
      <w:bookmarkStart w:id="350" w:name="_Toc296944500"/>
      <w:bookmarkStart w:id="351" w:name="_Toc297216153"/>
      <w:bookmarkStart w:id="352" w:name="_Toc300934947"/>
      <w:bookmarkStart w:id="353" w:name="_Toc297120461"/>
      <w:bookmarkStart w:id="354" w:name="_Toc296346662"/>
      <w:bookmarkStart w:id="355" w:name="_Toc297123494"/>
      <w:bookmarkStart w:id="356" w:name="_Toc296890989"/>
      <w:bookmarkStart w:id="357" w:name="_Toc303539104"/>
      <w:bookmarkStart w:id="358" w:name="_Toc296891201"/>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6D642E45">
      <w:pPr>
        <w:spacing w:line="44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3</w:t>
      </w:r>
      <w:bookmarkStart w:id="359" w:name="_Toc318581159"/>
      <w:bookmarkStart w:id="360" w:name="_Toc312677990"/>
      <w:r>
        <w:rPr>
          <w:rFonts w:ascii="宋体" w:hAnsi="宋体"/>
          <w:color w:val="000000" w:themeColor="text1"/>
          <w:szCs w:val="21"/>
          <w:highlight w:val="none"/>
          <w14:textFill>
            <w14:solidFill>
              <w14:schemeClr w14:val="tx1"/>
            </w14:solidFill>
          </w14:textFill>
        </w:rPr>
        <w:t>.5.2分包的确定</w:t>
      </w:r>
    </w:p>
    <w:p w14:paraId="5B48C39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允许分包的专业工程包括</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本工程禁止分包</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14:paraId="21B436E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其他关于分包的约定：。</w:t>
      </w:r>
    </w:p>
    <w:p w14:paraId="37AC627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3.5.</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分包合同价款</w:t>
      </w:r>
    </w:p>
    <w:p w14:paraId="3815570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关于分包合同价款支付的约定：</w:t>
      </w:r>
      <w:r>
        <w:rPr>
          <w:rFonts w:hint="eastAsia" w:ascii="宋体" w:hAnsi="宋体" w:cs="宋体"/>
          <w:color w:val="000000" w:themeColor="text1"/>
          <w:szCs w:val="21"/>
          <w:highlight w:val="none"/>
          <w:u w:val="single"/>
          <w14:textFill>
            <w14:solidFill>
              <w14:schemeClr w14:val="tx1"/>
            </w14:solidFill>
          </w14:textFill>
        </w:rPr>
        <w:t xml:space="preserve">无        </w:t>
      </w:r>
      <w:r>
        <w:rPr>
          <w:rFonts w:ascii="宋体" w:hAnsi="宋体"/>
          <w:color w:val="000000" w:themeColor="text1"/>
          <w:szCs w:val="21"/>
          <w:highlight w:val="none"/>
          <w14:textFill>
            <w14:solidFill>
              <w14:schemeClr w14:val="tx1"/>
            </w14:solidFill>
          </w14:textFill>
        </w:rPr>
        <w:t>。</w:t>
      </w:r>
    </w:p>
    <w:bookmarkEnd w:id="359"/>
    <w:bookmarkEnd w:id="360"/>
    <w:p w14:paraId="2B81416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3.6 工程照管与成品、半成品保护</w:t>
      </w:r>
    </w:p>
    <w:p w14:paraId="2C21BCCC">
      <w:pPr>
        <w:spacing w:before="120" w:after="120" w:line="440" w:lineRule="exact"/>
        <w:ind w:firstLine="420" w:firstLineChars="200"/>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承包人负责照管工程及工程相关的材料、工程设备的起始时间：。</w:t>
      </w:r>
    </w:p>
    <w:p w14:paraId="7E192F7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3.7 履约担保</w:t>
      </w:r>
    </w:p>
    <w:p w14:paraId="48923F1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361" w:name="_Toc351203636"/>
      <w:r>
        <w:rPr>
          <w:rFonts w:hint="eastAsia" w:ascii="宋体" w:hAnsi="宋体"/>
          <w:color w:val="000000" w:themeColor="text1"/>
          <w:szCs w:val="21"/>
          <w:highlight w:val="none"/>
          <w14:textFill>
            <w14:solidFill>
              <w14:schemeClr w14:val="tx1"/>
            </w14:solidFill>
          </w14:textFill>
        </w:rPr>
        <w:t>承包人是否提供履约担保：</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6B0E714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承包人提供履约担保的形式</w:t>
      </w:r>
      <w:r>
        <w:rPr>
          <w:rFonts w:hint="eastAsia" w:ascii="宋体" w:hAnsi="宋体"/>
          <w:color w:val="000000" w:themeColor="text1"/>
          <w:szCs w:val="21"/>
          <w:highlight w:val="none"/>
          <w14:textFill>
            <w14:solidFill>
              <w14:schemeClr w14:val="tx1"/>
            </w14:solidFill>
          </w14:textFill>
        </w:rPr>
        <w:t>、金额及期限的</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3CA73C9D">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4</w:t>
      </w:r>
      <w:bookmarkStart w:id="362" w:name="_Toc292559366"/>
      <w:bookmarkStart w:id="363" w:name="_Toc297120462"/>
      <w:bookmarkStart w:id="364" w:name="_Toc296503162"/>
      <w:bookmarkStart w:id="365" w:name="_Toc296944501"/>
      <w:bookmarkStart w:id="366" w:name="_Toc296890990"/>
      <w:bookmarkStart w:id="367" w:name="_Toc297048348"/>
      <w:bookmarkStart w:id="368" w:name="_Toc267251413"/>
      <w:bookmarkStart w:id="369" w:name="_Toc296347161"/>
      <w:bookmarkStart w:id="370" w:name="_Toc292559871"/>
      <w:bookmarkStart w:id="371" w:name="_Toc296346663"/>
      <w:bookmarkStart w:id="372" w:name="_Toc296891202"/>
      <w:r>
        <w:rPr>
          <w:rFonts w:ascii="宋体" w:hAnsi="宋体" w:eastAsia="黑体"/>
          <w:b/>
          <w:color w:val="000000" w:themeColor="text1"/>
          <w:kern w:val="0"/>
          <w:sz w:val="28"/>
          <w:szCs w:val="21"/>
          <w:highlight w:val="none"/>
          <w14:textFill>
            <w14:solidFill>
              <w14:schemeClr w14:val="tx1"/>
            </w14:solidFill>
          </w14:textFill>
        </w:rPr>
        <w:t>. 监</w:t>
      </w:r>
      <w:bookmarkEnd w:id="362"/>
      <w:bookmarkEnd w:id="363"/>
      <w:bookmarkEnd w:id="364"/>
      <w:bookmarkEnd w:id="365"/>
      <w:bookmarkEnd w:id="366"/>
      <w:bookmarkEnd w:id="367"/>
      <w:bookmarkEnd w:id="368"/>
      <w:bookmarkEnd w:id="369"/>
      <w:bookmarkEnd w:id="370"/>
      <w:bookmarkEnd w:id="371"/>
      <w:bookmarkEnd w:id="372"/>
      <w:r>
        <w:rPr>
          <w:rFonts w:ascii="宋体" w:hAnsi="宋体" w:eastAsia="黑体"/>
          <w:b/>
          <w:color w:val="000000" w:themeColor="text1"/>
          <w:kern w:val="0"/>
          <w:sz w:val="28"/>
          <w:szCs w:val="21"/>
          <w:highlight w:val="none"/>
          <w14:textFill>
            <w14:solidFill>
              <w14:schemeClr w14:val="tx1"/>
            </w14:solidFill>
          </w14:textFill>
        </w:rPr>
        <w:t>理人</w:t>
      </w:r>
      <w:bookmarkEnd w:id="361"/>
    </w:p>
    <w:p w14:paraId="4268DC4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4.1监理人的一般规定</w:t>
      </w:r>
    </w:p>
    <w:p w14:paraId="74A5C84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关于监理人的监理内容：。</w:t>
      </w:r>
    </w:p>
    <w:p w14:paraId="752CC51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关于监理人的监理权限：。 </w:t>
      </w:r>
    </w:p>
    <w:p w14:paraId="1BB2658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关于监理人在施工现场的办公场所、生活场所的提供和费用承担的约定：。</w:t>
      </w:r>
    </w:p>
    <w:p w14:paraId="5189241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 监理人员</w:t>
      </w:r>
    </w:p>
    <w:p w14:paraId="06B18E9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总监理工程师：</w:t>
      </w:r>
    </w:p>
    <w:p w14:paraId="673B81A5">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lang w:eastAsia="zh-CN"/>
          <w14:textFill>
            <w14:solidFill>
              <w14:schemeClr w14:val="tx1"/>
            </w14:solidFill>
          </w14:textFill>
        </w:rPr>
        <w:t>；</w:t>
      </w:r>
    </w:p>
    <w:p w14:paraId="600C10EF">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lang w:eastAsia="zh-CN"/>
          <w14:textFill>
            <w14:solidFill>
              <w14:schemeClr w14:val="tx1"/>
            </w14:solidFill>
          </w14:textFill>
        </w:rPr>
        <w:t>；</w:t>
      </w:r>
    </w:p>
    <w:p w14:paraId="1AC7B9E7">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监理工程师执业资格证书号：</w:t>
      </w:r>
      <w:r>
        <w:rPr>
          <w:rFonts w:hint="eastAsia" w:ascii="宋体" w:hAnsi="宋体"/>
          <w:color w:val="000000" w:themeColor="text1"/>
          <w:szCs w:val="21"/>
          <w:highlight w:val="none"/>
          <w:lang w:eastAsia="zh-CN"/>
          <w14:textFill>
            <w14:solidFill>
              <w14:schemeClr w14:val="tx1"/>
            </w14:solidFill>
          </w14:textFill>
        </w:rPr>
        <w:t>；</w:t>
      </w:r>
    </w:p>
    <w:p w14:paraId="05F82FDB">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eastAsia="zh-CN"/>
          <w14:textFill>
            <w14:solidFill>
              <w14:schemeClr w14:val="tx1"/>
            </w14:solidFill>
          </w14:textFill>
        </w:rPr>
        <w:t>；</w:t>
      </w:r>
    </w:p>
    <w:p w14:paraId="2399C674">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电子信箱：</w:t>
      </w:r>
      <w:r>
        <w:rPr>
          <w:rFonts w:hint="eastAsia" w:ascii="宋体" w:hAnsi="宋体"/>
          <w:color w:val="000000" w:themeColor="text1"/>
          <w:szCs w:val="21"/>
          <w:highlight w:val="none"/>
          <w:lang w:eastAsia="zh-CN"/>
          <w14:textFill>
            <w14:solidFill>
              <w14:schemeClr w14:val="tx1"/>
            </w14:solidFill>
          </w14:textFill>
        </w:rPr>
        <w:t>；</w:t>
      </w:r>
    </w:p>
    <w:p w14:paraId="684AB81A">
      <w:pPr>
        <w:spacing w:line="44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通信地址：</w:t>
      </w:r>
      <w:r>
        <w:rPr>
          <w:rFonts w:hint="eastAsia" w:ascii="宋体" w:hAnsi="宋体"/>
          <w:color w:val="000000" w:themeColor="text1"/>
          <w:szCs w:val="21"/>
          <w:highlight w:val="none"/>
          <w:lang w:eastAsia="zh-CN"/>
          <w14:textFill>
            <w14:solidFill>
              <w14:schemeClr w14:val="tx1"/>
            </w14:solidFill>
          </w14:textFill>
        </w:rPr>
        <w:t>；</w:t>
      </w:r>
    </w:p>
    <w:p w14:paraId="0315B94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关于监理人的其他约定：。</w:t>
      </w:r>
    </w:p>
    <w:p w14:paraId="790CADB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商定或确定</w:t>
      </w:r>
    </w:p>
    <w:p w14:paraId="59361211">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373" w:name="_Toc267251418"/>
      <w:r>
        <w:rPr>
          <w:rFonts w:ascii="宋体" w:hAnsi="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1FD40DC4">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p>
    <w:p w14:paraId="42CF5FF9">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p>
    <w:p w14:paraId="66C82205">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p>
    <w:p w14:paraId="1F95252E">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374" w:name="_Toc351203637"/>
      <w:r>
        <w:rPr>
          <w:rFonts w:ascii="宋体" w:hAnsi="宋体" w:eastAsia="黑体"/>
          <w:b/>
          <w:color w:val="000000" w:themeColor="text1"/>
          <w:kern w:val="0"/>
          <w:sz w:val="28"/>
          <w:szCs w:val="21"/>
          <w:highlight w:val="none"/>
          <w14:textFill>
            <w14:solidFill>
              <w14:schemeClr w14:val="tx1"/>
            </w14:solidFill>
          </w14:textFill>
        </w:rPr>
        <w:t>5</w:t>
      </w:r>
      <w:bookmarkEnd w:id="373"/>
      <w:bookmarkStart w:id="375" w:name="_Toc292559872"/>
      <w:bookmarkStart w:id="376" w:name="_Toc296890991"/>
      <w:bookmarkStart w:id="377" w:name="_Toc296346664"/>
      <w:bookmarkStart w:id="378" w:name="_Toc297048349"/>
      <w:bookmarkStart w:id="379" w:name="_Toc296503163"/>
      <w:bookmarkStart w:id="380" w:name="_Toc296347162"/>
      <w:bookmarkStart w:id="381" w:name="_Toc292559367"/>
      <w:bookmarkStart w:id="382" w:name="_Toc297120463"/>
      <w:bookmarkStart w:id="383" w:name="_Toc296944502"/>
      <w:bookmarkStart w:id="384" w:name="_Toc296891203"/>
      <w:r>
        <w:rPr>
          <w:rFonts w:ascii="宋体" w:hAnsi="宋体" w:eastAsia="黑体"/>
          <w:b/>
          <w:color w:val="000000" w:themeColor="text1"/>
          <w:kern w:val="0"/>
          <w:sz w:val="28"/>
          <w:szCs w:val="21"/>
          <w:highlight w:val="none"/>
          <w14:textFill>
            <w14:solidFill>
              <w14:schemeClr w14:val="tx1"/>
            </w14:solidFill>
          </w14:textFill>
        </w:rPr>
        <w:t>. 工程质量</w:t>
      </w:r>
      <w:bookmarkEnd w:id="374"/>
    </w:p>
    <w:p w14:paraId="23A3114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 质量要求</w:t>
      </w:r>
    </w:p>
    <w:p w14:paraId="0DC58FD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bookmarkStart w:id="385" w:name="_Toc297216155"/>
      <w:bookmarkStart w:id="386" w:name="_Toc297123496"/>
      <w:bookmarkStart w:id="387" w:name="_Toc300934949"/>
      <w:bookmarkStart w:id="388" w:name="_Toc312677997"/>
      <w:bookmarkStart w:id="389" w:name="_Toc303539106"/>
      <w:bookmarkStart w:id="390" w:name="_Toc304295527"/>
      <w:bookmarkStart w:id="391" w:name="_Toc318581164"/>
      <w:r>
        <w:rPr>
          <w:rFonts w:ascii="宋体" w:hAnsi="宋体"/>
          <w:color w:val="000000" w:themeColor="text1"/>
          <w:szCs w:val="21"/>
          <w:highlight w:val="none"/>
          <w14:textFill>
            <w14:solidFill>
              <w14:schemeClr w14:val="tx1"/>
            </w14:solidFill>
          </w14:textFill>
        </w:rPr>
        <w:t>.1.1 特殊质量标准和要求：。</w:t>
      </w:r>
    </w:p>
    <w:p w14:paraId="0E7BF02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关于工程奖项的约定：。</w:t>
      </w:r>
    </w:p>
    <w:p w14:paraId="57A44696">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 隐蔽工程检查</w:t>
      </w:r>
    </w:p>
    <w:p w14:paraId="3CC2CA8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5.3.2承包人提前通知监理人隐蔽工程检查的期限的约定：</w:t>
      </w:r>
      <w:r>
        <w:rPr>
          <w:rFonts w:hint="eastAsia" w:ascii="宋体" w:hAnsi="宋体"/>
          <w:b/>
          <w:bCs/>
          <w:color w:val="000000" w:themeColor="text1"/>
          <w:szCs w:val="21"/>
          <w:highlight w:val="none"/>
          <w:u w:val="single"/>
          <w14:textFill>
            <w14:solidFill>
              <w14:schemeClr w14:val="tx1"/>
            </w14:solidFill>
          </w14:textFill>
        </w:rPr>
        <w:t>工程隐蔽或中间验收前24小时以书面形式通知发包人和监理工程师验收的内容、时间、地点，承包人准备验收记录单（最好是印制的表格）由双方签证。验收合格，承包人可进行隐蔽和继续施工</w:t>
      </w:r>
      <w:r>
        <w:rPr>
          <w:rFonts w:hint="eastAsia" w:ascii="宋体" w:hAnsi="宋体"/>
          <w:b/>
          <w:bCs/>
          <w:color w:val="000000" w:themeColor="text1"/>
          <w:szCs w:val="21"/>
          <w:highlight w:val="none"/>
          <w:u w:val="single"/>
          <w:lang w:eastAsia="zh-CN"/>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验收不合格，双方商订时限内修改后按上述循序重新验收。</w:t>
      </w:r>
    </w:p>
    <w:p w14:paraId="38D88F7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监理人不能按时进行检查时，应提前</w:t>
      </w:r>
      <w:r>
        <w:rPr>
          <w:rFonts w:hint="eastAsia" w:ascii="宋体" w:hAnsi="宋体"/>
          <w:color w:val="000000" w:themeColor="text1"/>
          <w:szCs w:val="21"/>
          <w:highlight w:val="none"/>
          <w14:textFill>
            <w14:solidFill>
              <w14:schemeClr w14:val="tx1"/>
            </w14:solidFill>
          </w14:textFill>
        </w:rPr>
        <w:t>24</w:t>
      </w:r>
      <w:r>
        <w:rPr>
          <w:rFonts w:ascii="宋体" w:hAnsi="宋体"/>
          <w:color w:val="000000" w:themeColor="text1"/>
          <w:szCs w:val="21"/>
          <w:highlight w:val="none"/>
          <w14:textFill>
            <w14:solidFill>
              <w14:schemeClr w14:val="tx1"/>
            </w14:solidFill>
          </w14:textFill>
        </w:rPr>
        <w:t>小时提交书面延期要求。</w:t>
      </w:r>
    </w:p>
    <w:p w14:paraId="481B41D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关于延期最长不得超过：</w:t>
      </w:r>
      <w:r>
        <w:rPr>
          <w:rFonts w:hint="eastAsia" w:ascii="宋体" w:hAnsi="宋体"/>
          <w:color w:val="000000" w:themeColor="text1"/>
          <w:szCs w:val="21"/>
          <w:highlight w:val="none"/>
          <w14:textFill>
            <w14:solidFill>
              <w14:schemeClr w14:val="tx1"/>
            </w14:solidFill>
          </w14:textFill>
        </w:rPr>
        <w:t>12</w:t>
      </w:r>
      <w:r>
        <w:rPr>
          <w:rFonts w:ascii="宋体" w:hAnsi="宋体"/>
          <w:color w:val="000000" w:themeColor="text1"/>
          <w:szCs w:val="21"/>
          <w:highlight w:val="none"/>
          <w14:textFill>
            <w14:solidFill>
              <w14:schemeClr w14:val="tx1"/>
            </w14:solidFill>
          </w14:textFill>
        </w:rPr>
        <w:t>小时。</w:t>
      </w:r>
    </w:p>
    <w:p w14:paraId="47ABC650">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392" w:name="_Toc351203638"/>
      <w:r>
        <w:rPr>
          <w:rFonts w:ascii="宋体" w:hAnsi="宋体" w:eastAsia="黑体"/>
          <w:b/>
          <w:color w:val="000000" w:themeColor="text1"/>
          <w:kern w:val="0"/>
          <w:sz w:val="28"/>
          <w:szCs w:val="21"/>
          <w:highlight w:val="none"/>
          <w14:textFill>
            <w14:solidFill>
              <w14:schemeClr w14:val="tx1"/>
            </w14:solidFill>
          </w14:textFill>
        </w:rPr>
        <w:t>6. 安全文明施工与环境保护</w:t>
      </w:r>
      <w:bookmarkEnd w:id="392"/>
    </w:p>
    <w:p w14:paraId="544D2E7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6.1安全文明施工</w:t>
      </w:r>
    </w:p>
    <w:p w14:paraId="7B8E4C9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6.1.1 项目安全生产的达标目标及相应事项的约定：。</w:t>
      </w:r>
    </w:p>
    <w:p w14:paraId="5CF48B0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关于治安保卫的特别约定：</w:t>
      </w:r>
      <w:r>
        <w:rPr>
          <w:rFonts w:hint="eastAsia" w:ascii="宋体" w:hAnsi="宋体"/>
          <w:b/>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承包人生活设施及施工场应自费配备消防设备，防止火灾发生。</w:t>
      </w:r>
    </w:p>
    <w:p w14:paraId="2D8F59C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关于编制施工场地治安管理计划的约定：</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3A38AF3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6.1.3 文明施工</w:t>
      </w:r>
    </w:p>
    <w:p w14:paraId="65EA0BF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当事人对文明施工的要求：承包人应按住建主管部门有关规定做好工程质量和安全管理、环境保护和文明施工的工作，建立完善的工程质量和安全管理、环境保护和文明施工体系，严格遵照实施，并接受发包人及相关职能部门的监督检查。</w:t>
      </w:r>
    </w:p>
    <w:p w14:paraId="0F58169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关于安全文明施工费支付比例和支付期限的约定：</w:t>
      </w:r>
    </w:p>
    <w:p w14:paraId="4FBE0759">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本合同价款已包含安全文明施工费</w:t>
      </w:r>
    </w:p>
    <w:p w14:paraId="6A6FDA5A">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使用要求：专款专用。具体按《广西壮族自治区建设工程安全文明施工费使用管理细则》（桂建质【2015】16号及其相关规定执行）</w:t>
      </w:r>
      <w:r>
        <w:rPr>
          <w:rFonts w:ascii="宋体" w:hAnsi="宋体"/>
          <w:color w:val="000000" w:themeColor="text1"/>
          <w:szCs w:val="21"/>
          <w:highlight w:val="none"/>
          <w14:textFill>
            <w14:solidFill>
              <w14:schemeClr w14:val="tx1"/>
            </w14:solidFill>
          </w14:textFill>
        </w:rPr>
        <w:t>。</w:t>
      </w:r>
    </w:p>
    <w:p w14:paraId="7828199C">
      <w:pPr>
        <w:numPr>
          <w:ilvl w:val="0"/>
          <w:numId w:val="4"/>
        </w:num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支付约定：限额内专款专用，实报实销。</w:t>
      </w:r>
    </w:p>
    <w:p w14:paraId="661BC763">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6.2环境保护:</w:t>
      </w:r>
      <w:r>
        <w:rPr>
          <w:rFonts w:hint="eastAsia" w:ascii="宋体" w:hAnsi="宋体"/>
          <w:b/>
          <w:color w:val="000000" w:themeColor="text1"/>
          <w:szCs w:val="21"/>
          <w:highlight w:val="none"/>
          <w:u w:val="single"/>
          <w14:textFill>
            <w14:solidFill>
              <w14:schemeClr w14:val="tx1"/>
            </w14:solidFill>
          </w14:textFill>
        </w:rPr>
        <w:t>因施工需要，经发包人批准，由承包人办理有关施工场地交通、环卫和施工噪音管理等手续，费用由承包人负责。经过城市道路的施工车辆，必须按交警、城管、运输等部门相关规定执行。由于施工车辆造成的道路、环境等污染，其责任和费用均由承包人承担。</w:t>
      </w:r>
    </w:p>
    <w:bookmarkEnd w:id="385"/>
    <w:bookmarkEnd w:id="386"/>
    <w:bookmarkEnd w:id="387"/>
    <w:bookmarkEnd w:id="388"/>
    <w:bookmarkEnd w:id="389"/>
    <w:bookmarkEnd w:id="390"/>
    <w:bookmarkEnd w:id="391"/>
    <w:p w14:paraId="74C601D5">
      <w:pPr>
        <w:keepNext/>
        <w:keepLines/>
        <w:widowControl/>
        <w:spacing w:before="120" w:after="120" w:line="440" w:lineRule="exact"/>
        <w:ind w:firstLine="141" w:firstLineChars="50"/>
        <w:outlineLvl w:val="3"/>
        <w:rPr>
          <w:rFonts w:ascii="宋体" w:hAnsi="宋体" w:eastAsia="黑体"/>
          <w:b/>
          <w:color w:val="000000" w:themeColor="text1"/>
          <w:kern w:val="0"/>
          <w:sz w:val="28"/>
          <w:szCs w:val="21"/>
          <w:highlight w:val="none"/>
          <w14:textFill>
            <w14:solidFill>
              <w14:schemeClr w14:val="tx1"/>
            </w14:solidFill>
          </w14:textFill>
        </w:rPr>
      </w:pPr>
      <w:bookmarkStart w:id="393" w:name="_Toc351203639"/>
      <w:r>
        <w:rPr>
          <w:rFonts w:ascii="宋体" w:hAnsi="宋体" w:eastAsia="黑体"/>
          <w:b/>
          <w:color w:val="000000" w:themeColor="text1"/>
          <w:kern w:val="0"/>
          <w:sz w:val="28"/>
          <w:szCs w:val="21"/>
          <w:highlight w:val="none"/>
          <w14:textFill>
            <w14:solidFill>
              <w14:schemeClr w14:val="tx1"/>
            </w14:solidFill>
          </w14:textFill>
        </w:rPr>
        <w:t>7. 工期和进度</w:t>
      </w:r>
      <w:bookmarkEnd w:id="393"/>
    </w:p>
    <w:p w14:paraId="6AEFEFC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 施工组织设计</w:t>
      </w:r>
    </w:p>
    <w:p w14:paraId="03060624">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1 合</w:t>
      </w:r>
      <w:r>
        <w:rPr>
          <w:rFonts w:hint="eastAsia" w:ascii="宋体" w:hAnsi="宋体"/>
          <w:color w:val="000000" w:themeColor="text1"/>
          <w:kern w:val="0"/>
          <w:szCs w:val="21"/>
          <w:highlight w:val="none"/>
          <w14:textFill>
            <w14:solidFill>
              <w14:schemeClr w14:val="tx1"/>
            </w14:solidFill>
          </w14:textFill>
        </w:rPr>
        <w:t>同当事人约定的</w:t>
      </w:r>
      <w:r>
        <w:rPr>
          <w:rFonts w:ascii="宋体" w:hAnsi="宋体"/>
          <w:color w:val="000000" w:themeColor="text1"/>
          <w:kern w:val="0"/>
          <w:szCs w:val="21"/>
          <w:highlight w:val="none"/>
          <w14:textFill>
            <w14:solidFill>
              <w14:schemeClr w14:val="tx1"/>
            </w14:solidFill>
          </w14:textFill>
        </w:rPr>
        <w:t>施工组织设计</w:t>
      </w:r>
      <w:r>
        <w:rPr>
          <w:rFonts w:hint="eastAsia" w:ascii="宋体" w:hAnsi="宋体"/>
          <w:color w:val="000000" w:themeColor="text1"/>
          <w:kern w:val="0"/>
          <w:szCs w:val="21"/>
          <w:highlight w:val="none"/>
          <w14:textFill>
            <w14:solidFill>
              <w14:schemeClr w14:val="tx1"/>
            </w14:solidFill>
          </w14:textFill>
        </w:rPr>
        <w:t>应包括的其他内容</w:t>
      </w:r>
      <w:r>
        <w:rPr>
          <w:rFonts w:ascii="宋体" w:hAnsi="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5A80876">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7.1.2</w:t>
      </w:r>
      <w:r>
        <w:rPr>
          <w:rFonts w:ascii="宋体" w:hAnsi="宋体"/>
          <w:color w:val="000000" w:themeColor="text1"/>
          <w:kern w:val="0"/>
          <w:szCs w:val="21"/>
          <w:highlight w:val="none"/>
          <w14:textFill>
            <w14:solidFill>
              <w14:schemeClr w14:val="tx1"/>
            </w14:solidFill>
          </w14:textFill>
        </w:rPr>
        <w:t>施工组织设计的提交和修改</w:t>
      </w:r>
    </w:p>
    <w:p w14:paraId="29032B81">
      <w:pPr>
        <w:autoSpaceDE w:val="0"/>
        <w:autoSpaceDN w:val="0"/>
        <w:adjustRightInd w:val="0"/>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承包人提交详细施工组织设计的期限的约定：</w:t>
      </w:r>
      <w:r>
        <w:rPr>
          <w:rFonts w:ascii="宋体" w:hAnsi="宋体"/>
          <w:color w:val="000000" w:themeColor="text1"/>
          <w:szCs w:val="21"/>
          <w:highlight w:val="none"/>
          <w14:textFill>
            <w14:solidFill>
              <w14:schemeClr w14:val="tx1"/>
            </w14:solidFill>
          </w14:textFill>
        </w:rPr>
        <w:t>。</w:t>
      </w:r>
    </w:p>
    <w:p w14:paraId="3B38A7A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发包人和监理人在收到</w:t>
      </w:r>
      <w:r>
        <w:rPr>
          <w:rFonts w:hint="eastAsia" w:ascii="宋体" w:hAnsi="宋体"/>
          <w:color w:val="000000" w:themeColor="text1"/>
          <w:szCs w:val="21"/>
          <w:highlight w:val="none"/>
          <w14:textFill>
            <w14:solidFill>
              <w14:schemeClr w14:val="tx1"/>
            </w14:solidFill>
          </w14:textFill>
        </w:rPr>
        <w:t>详细的施工组织设计</w:t>
      </w:r>
      <w:r>
        <w:rPr>
          <w:rFonts w:ascii="宋体" w:hAnsi="宋体"/>
          <w:color w:val="000000" w:themeColor="text1"/>
          <w:szCs w:val="21"/>
          <w:highlight w:val="none"/>
          <w14:textFill>
            <w14:solidFill>
              <w14:schemeClr w14:val="tx1"/>
            </w14:solidFill>
          </w14:textFill>
        </w:rPr>
        <w:t>后确认或提出修改意见的期限：。</w:t>
      </w:r>
    </w:p>
    <w:p w14:paraId="2C833DE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394" w:name="_Toc304295541"/>
      <w:bookmarkStart w:id="395" w:name="_Toc312678005"/>
      <w:bookmarkStart w:id="396" w:name="_Toc312677479"/>
      <w:bookmarkStart w:id="397" w:name="_Toc297216173"/>
      <w:bookmarkStart w:id="398" w:name="_Toc297123514"/>
      <w:bookmarkStart w:id="399" w:name="_Toc300934966"/>
      <w:bookmarkStart w:id="400" w:name="_Toc303539123"/>
      <w:r>
        <w:rPr>
          <w:rFonts w:ascii="宋体" w:hAnsi="宋体"/>
          <w:color w:val="000000" w:themeColor="text1"/>
          <w:szCs w:val="21"/>
          <w:highlight w:val="none"/>
          <w14:textFill>
            <w14:solidFill>
              <w14:schemeClr w14:val="tx1"/>
            </w14:solidFill>
          </w14:textFill>
        </w:rPr>
        <w:t>.2 施工进度计划</w:t>
      </w:r>
    </w:p>
    <w:p w14:paraId="5166FEF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施工进度计划的修订</w:t>
      </w:r>
    </w:p>
    <w:p w14:paraId="7043855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发包人和监理人在收到修订的施工进度计划后确认或提出修改意见的期限：。</w:t>
      </w:r>
    </w:p>
    <w:p w14:paraId="2789EC3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 开工</w:t>
      </w:r>
    </w:p>
    <w:p w14:paraId="7D3C119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7.3.1 开工准备</w:t>
      </w:r>
    </w:p>
    <w:p w14:paraId="42D95EEE">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关于承包人提交</w:t>
      </w:r>
      <w:r>
        <w:rPr>
          <w:rFonts w:ascii="宋体" w:hAnsi="宋体"/>
          <w:color w:val="000000" w:themeColor="text1"/>
          <w:kern w:val="0"/>
          <w:szCs w:val="21"/>
          <w:highlight w:val="none"/>
          <w14:textFill>
            <w14:solidFill>
              <w14:schemeClr w14:val="tx1"/>
            </w14:solidFill>
          </w14:textFill>
        </w:rPr>
        <w:t>工程开工报审表的期限：</w:t>
      </w:r>
      <w:r>
        <w:rPr>
          <w:rFonts w:ascii="宋体" w:hAnsi="宋体"/>
          <w:color w:val="000000" w:themeColor="text1"/>
          <w:szCs w:val="21"/>
          <w:highlight w:val="none"/>
          <w14:textFill>
            <w14:solidFill>
              <w14:schemeClr w14:val="tx1"/>
            </w14:solidFill>
          </w14:textFill>
        </w:rPr>
        <w:t>。</w:t>
      </w:r>
    </w:p>
    <w:p w14:paraId="4A40EDB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关于发包人应完成的其他开工准备工作及期限：。</w:t>
      </w:r>
    </w:p>
    <w:p w14:paraId="2CFA7E9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关于承包人应完成的其他开工准备工作及期限：。</w:t>
      </w:r>
    </w:p>
    <w:p w14:paraId="14EF979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7.3.2开工通知</w:t>
      </w:r>
    </w:p>
    <w:p w14:paraId="2D6BA58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因发包人原因造成监理人未能在计划开工日期之日起天内发出开工通知的，承包人有权提出价格调整要求，或者解除合同。</w:t>
      </w:r>
    </w:p>
    <w:bookmarkEnd w:id="394"/>
    <w:bookmarkEnd w:id="395"/>
    <w:bookmarkEnd w:id="396"/>
    <w:bookmarkEnd w:id="397"/>
    <w:bookmarkEnd w:id="398"/>
    <w:bookmarkEnd w:id="399"/>
    <w:bookmarkEnd w:id="400"/>
    <w:p w14:paraId="445B64F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7.4 测量放线</w:t>
      </w:r>
    </w:p>
    <w:p w14:paraId="366C17C0">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7.4.1发包人通过监理人向承包人提供测量基准点、基准线和水准点及其书面资料的期限：。</w:t>
      </w:r>
    </w:p>
    <w:p w14:paraId="334158B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01" w:name="_Toc312677484"/>
      <w:bookmarkStart w:id="402" w:name="_Toc312678010"/>
      <w:bookmarkStart w:id="403" w:name="_Toc297216175"/>
      <w:bookmarkStart w:id="404" w:name="_Toc303539125"/>
      <w:bookmarkStart w:id="405" w:name="_Toc300934968"/>
      <w:bookmarkStart w:id="406" w:name="_Toc297123516"/>
      <w:bookmarkStart w:id="407" w:name="_Toc304295546"/>
      <w:r>
        <w:rPr>
          <w:rFonts w:ascii="宋体" w:hAnsi="宋体"/>
          <w:color w:val="000000" w:themeColor="text1"/>
          <w:szCs w:val="21"/>
          <w:highlight w:val="none"/>
          <w14:textFill>
            <w14:solidFill>
              <w14:schemeClr w14:val="tx1"/>
            </w14:solidFill>
          </w14:textFill>
        </w:rPr>
        <w:t>.5 工期延误</w:t>
      </w:r>
    </w:p>
    <w:bookmarkEnd w:id="401"/>
    <w:bookmarkEnd w:id="402"/>
    <w:bookmarkEnd w:id="403"/>
    <w:bookmarkEnd w:id="404"/>
    <w:bookmarkEnd w:id="405"/>
    <w:bookmarkEnd w:id="406"/>
    <w:bookmarkEnd w:id="407"/>
    <w:p w14:paraId="712EF3C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7.5.1 因发包人原因导致工期延误</w:t>
      </w:r>
    </w:p>
    <w:p w14:paraId="68DEAA7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（7）因发包人原因导致工期延误的其他情形：。</w:t>
      </w:r>
    </w:p>
    <w:p w14:paraId="6415215D">
      <w:pPr>
        <w:spacing w:line="440" w:lineRule="exact"/>
        <w:ind w:firstLine="422" w:firstLineChars="200"/>
        <w:jc w:val="left"/>
        <w:rPr>
          <w:rFonts w:ascii="宋体" w:hAnsi="宋体"/>
          <w:color w:val="000000" w:themeColor="text1"/>
          <w:szCs w:val="21"/>
          <w:highlight w:val="none"/>
          <w14:textFill>
            <w14:solidFill>
              <w14:schemeClr w14:val="tx1"/>
            </w14:solidFill>
          </w14:textFill>
        </w:rPr>
      </w:pPr>
      <w:r>
        <w:rPr>
          <w:rFonts w:ascii="宋体" w:hAnsi="宋体"/>
          <w:b/>
          <w:bCs/>
          <w:color w:val="000000" w:themeColor="text1"/>
          <w:szCs w:val="21"/>
          <w:highlight w:val="none"/>
          <w:u w:val="single"/>
          <w14:textFill>
            <w14:solidFill>
              <w14:schemeClr w14:val="tx1"/>
            </w14:solidFill>
          </w14:textFill>
        </w:rPr>
        <w:t>因</w:t>
      </w:r>
      <w:r>
        <w:rPr>
          <w:rFonts w:hint="eastAsia" w:ascii="宋体" w:hAnsi="宋体"/>
          <w:b/>
          <w:bCs/>
          <w:color w:val="000000" w:themeColor="text1"/>
          <w:szCs w:val="21"/>
          <w:highlight w:val="none"/>
          <w:u w:val="single"/>
          <w14:textFill>
            <w14:solidFill>
              <w14:schemeClr w14:val="tx1"/>
            </w14:solidFill>
          </w14:textFill>
        </w:rPr>
        <w:t>发</w:t>
      </w:r>
      <w:r>
        <w:rPr>
          <w:rFonts w:ascii="宋体" w:hAnsi="宋体"/>
          <w:b/>
          <w:bCs/>
          <w:color w:val="000000" w:themeColor="text1"/>
          <w:szCs w:val="21"/>
          <w:highlight w:val="none"/>
          <w:u w:val="single"/>
          <w14:textFill>
            <w14:solidFill>
              <w14:schemeClr w14:val="tx1"/>
            </w14:solidFill>
          </w14:textFill>
        </w:rPr>
        <w:t>包人</w:t>
      </w:r>
      <w:r>
        <w:rPr>
          <w:rFonts w:hint="eastAsia" w:ascii="宋体" w:hAnsi="宋体"/>
          <w:b/>
          <w:bCs/>
          <w:color w:val="000000" w:themeColor="text1"/>
          <w:szCs w:val="21"/>
          <w:highlight w:val="none"/>
          <w:u w:val="single"/>
          <w14:textFill>
            <w14:solidFill>
              <w14:schemeClr w14:val="tx1"/>
            </w14:solidFill>
          </w14:textFill>
        </w:rPr>
        <w:t>资金未能及时支付等资金方面的</w:t>
      </w:r>
      <w:r>
        <w:rPr>
          <w:rFonts w:ascii="宋体" w:hAnsi="宋体"/>
          <w:b/>
          <w:bCs/>
          <w:color w:val="000000" w:themeColor="text1"/>
          <w:szCs w:val="21"/>
          <w:highlight w:val="none"/>
          <w:u w:val="single"/>
          <w14:textFill>
            <w14:solidFill>
              <w14:schemeClr w14:val="tx1"/>
            </w14:solidFill>
          </w14:textFill>
        </w:rPr>
        <w:t>原因</w:t>
      </w:r>
      <w:r>
        <w:rPr>
          <w:rFonts w:hint="eastAsia" w:ascii="宋体" w:hAnsi="宋体"/>
          <w:b/>
          <w:bCs/>
          <w:color w:val="000000" w:themeColor="text1"/>
          <w:szCs w:val="21"/>
          <w:highlight w:val="none"/>
          <w:u w:val="single"/>
          <w14:textFill>
            <w14:solidFill>
              <w14:schemeClr w14:val="tx1"/>
            </w14:solidFill>
          </w14:textFill>
        </w:rPr>
        <w:t>，若承包人因此造成的窝工、停工超过两个月的，发包人有权更换承包人。</w:t>
      </w:r>
    </w:p>
    <w:p w14:paraId="1E6EA9A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08" w:name="_Toc312677486"/>
      <w:bookmarkStart w:id="409" w:name="_Toc318581169"/>
      <w:bookmarkStart w:id="410" w:name="_Toc312678012"/>
      <w:bookmarkStart w:id="411" w:name="_Toc304295548"/>
      <w:bookmarkStart w:id="412" w:name="_Toc297123518"/>
      <w:bookmarkStart w:id="413" w:name="_Toc303539127"/>
      <w:bookmarkStart w:id="414" w:name="_Toc297216177"/>
      <w:bookmarkStart w:id="415" w:name="_Toc300934970"/>
      <w:r>
        <w:rPr>
          <w:rFonts w:ascii="宋体" w:hAnsi="宋体"/>
          <w:color w:val="000000" w:themeColor="text1"/>
          <w:szCs w:val="21"/>
          <w:highlight w:val="none"/>
          <w14:textFill>
            <w14:solidFill>
              <w14:schemeClr w14:val="tx1"/>
            </w14:solidFill>
          </w14:textFill>
        </w:rPr>
        <w:t>.5.2 因承包人原因导致工期延误</w:t>
      </w:r>
    </w:p>
    <w:bookmarkEnd w:id="408"/>
    <w:bookmarkEnd w:id="409"/>
    <w:bookmarkEnd w:id="410"/>
    <w:p w14:paraId="0DC38FF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w:t>
      </w:r>
      <w:bookmarkStart w:id="416" w:name="_Toc312677487"/>
      <w:bookmarkStart w:id="417" w:name="_Toc312678013"/>
      <w:bookmarkStart w:id="418" w:name="_Toc318581170"/>
      <w:r>
        <w:rPr>
          <w:rFonts w:ascii="宋体" w:hAnsi="宋体"/>
          <w:color w:val="000000" w:themeColor="text1"/>
          <w:szCs w:val="21"/>
          <w:highlight w:val="none"/>
          <w14:textFill>
            <w14:solidFill>
              <w14:schemeClr w14:val="tx1"/>
            </w14:solidFill>
          </w14:textFill>
        </w:rPr>
        <w:t>承包人原因造成工期延误，逾期竣工违约金的计算方法：</w:t>
      </w:r>
      <w:r>
        <w:rPr>
          <w:rFonts w:hint="eastAsia" w:ascii="宋体" w:hAnsi="宋体"/>
          <w:b/>
          <w:color w:val="000000" w:themeColor="text1"/>
          <w:szCs w:val="21"/>
          <w:highlight w:val="none"/>
          <w:u w:val="single"/>
          <w14:textFill>
            <w14:solidFill>
              <w14:schemeClr w14:val="tx1"/>
            </w14:solidFill>
          </w14:textFill>
        </w:rPr>
        <w:t>非上述原因，承包人不能按合同约定的时间竣工，承包人应承担违约责任。应向发包人支付误期赔偿费（每天赔偿金额为合同价款的万分之一），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宋体" w:hAnsi="宋体"/>
          <w:color w:val="000000" w:themeColor="text1"/>
          <w:szCs w:val="21"/>
          <w:highlight w:val="none"/>
          <w14:textFill>
            <w14:solidFill>
              <w14:schemeClr w14:val="tx1"/>
            </w14:solidFill>
          </w14:textFill>
        </w:rPr>
        <w:t>。</w:t>
      </w:r>
      <w:bookmarkEnd w:id="411"/>
      <w:bookmarkEnd w:id="412"/>
      <w:bookmarkEnd w:id="413"/>
      <w:bookmarkEnd w:id="414"/>
      <w:bookmarkEnd w:id="415"/>
      <w:bookmarkEnd w:id="416"/>
      <w:bookmarkEnd w:id="417"/>
    </w:p>
    <w:bookmarkEnd w:id="418"/>
    <w:p w14:paraId="0512247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因承包人原因造成工期延误，逾</w:t>
      </w:r>
      <w:bookmarkStart w:id="419" w:name="_Toc318581171"/>
      <w:bookmarkStart w:id="420" w:name="_Toc312678014"/>
      <w:r>
        <w:rPr>
          <w:rFonts w:ascii="宋体" w:hAnsi="宋体"/>
          <w:color w:val="000000" w:themeColor="text1"/>
          <w:szCs w:val="21"/>
          <w:highlight w:val="none"/>
          <w14:textFill>
            <w14:solidFill>
              <w14:schemeClr w14:val="tx1"/>
            </w14:solidFill>
          </w14:textFill>
        </w:rPr>
        <w:t>期竣工违约金的上限：</w:t>
      </w:r>
      <w:r>
        <w:rPr>
          <w:rFonts w:hint="eastAsia" w:ascii="宋体" w:hAnsi="宋体"/>
          <w:color w:val="000000" w:themeColor="text1"/>
          <w:szCs w:val="21"/>
          <w:highlight w:val="none"/>
          <w:u w:val="single"/>
          <w14:textFill>
            <w14:solidFill>
              <w14:schemeClr w14:val="tx1"/>
            </w14:solidFill>
          </w14:textFill>
        </w:rPr>
        <w:t>每逾期一天，每天赔偿金额为逾期竣工的单位工程结算造价</w:t>
      </w:r>
      <w:r>
        <w:rPr>
          <w:rFonts w:ascii="宋体" w:hAnsi="宋体"/>
          <w:color w:val="000000" w:themeColor="text1"/>
          <w:szCs w:val="21"/>
          <w:highlight w:val="none"/>
          <w:u w:val="single"/>
          <w14:textFill>
            <w14:solidFill>
              <w14:schemeClr w14:val="tx1"/>
            </w14:solidFill>
          </w14:textFill>
        </w:rPr>
        <w:t>扣</w:t>
      </w:r>
      <w:r>
        <w:rPr>
          <w:rFonts w:hAnsi="宋体"/>
          <w:color w:val="000000" w:themeColor="text1"/>
          <w:szCs w:val="21"/>
          <w:highlight w:val="none"/>
          <w:u w:val="single"/>
          <w14:textFill>
            <w14:solidFill>
              <w14:schemeClr w14:val="tx1"/>
            </w14:solidFill>
          </w14:textFill>
        </w:rPr>
        <w:t>除建安劳保费、发包人材料</w:t>
      </w:r>
      <w:r>
        <w:rPr>
          <w:rFonts w:hint="eastAsia" w:hAnsi="宋体"/>
          <w:color w:val="000000" w:themeColor="text1"/>
          <w:szCs w:val="21"/>
          <w:highlight w:val="none"/>
          <w:u w:val="single"/>
          <w14:textFill>
            <w14:solidFill>
              <w14:schemeClr w14:val="tx1"/>
            </w14:solidFill>
          </w14:textFill>
        </w:rPr>
        <w:t>设备</w:t>
      </w:r>
      <w:r>
        <w:rPr>
          <w:rFonts w:hAnsi="宋体"/>
          <w:color w:val="000000" w:themeColor="text1"/>
          <w:szCs w:val="21"/>
          <w:highlight w:val="none"/>
          <w:u w:val="single"/>
          <w14:textFill>
            <w14:solidFill>
              <w14:schemeClr w14:val="tx1"/>
            </w14:solidFill>
          </w14:textFill>
        </w:rPr>
        <w:t>价款、暂估专业工程、暂列金额后的</w:t>
      </w:r>
      <w:r>
        <w:rPr>
          <w:rFonts w:hint="eastAsia"/>
          <w:color w:val="000000" w:themeColor="text1"/>
          <w:szCs w:val="21"/>
          <w:highlight w:val="none"/>
          <w:u w:val="single"/>
          <w14:textFill>
            <w14:solidFill>
              <w14:schemeClr w14:val="tx1"/>
            </w14:solidFill>
          </w14:textFill>
        </w:rPr>
        <w:t>1</w:t>
      </w:r>
      <w:r>
        <w:rPr>
          <w:color w:val="000000" w:themeColor="text1"/>
          <w:szCs w:val="21"/>
          <w:highlight w:val="none"/>
          <w:u w:val="singl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bookmarkEnd w:id="419"/>
    <w:bookmarkEnd w:id="420"/>
    <w:p w14:paraId="0CA830AF">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21" w:name="_Toc297123519"/>
      <w:bookmarkStart w:id="422" w:name="_Toc304295549"/>
      <w:bookmarkStart w:id="423" w:name="_Toc300934971"/>
      <w:bookmarkStart w:id="424" w:name="_Toc297216178"/>
      <w:bookmarkStart w:id="425" w:name="_Toc312678015"/>
      <w:bookmarkStart w:id="426" w:name="_Toc303539128"/>
      <w:r>
        <w:rPr>
          <w:rFonts w:ascii="宋体" w:hAnsi="宋体"/>
          <w:color w:val="000000" w:themeColor="text1"/>
          <w:szCs w:val="21"/>
          <w:highlight w:val="none"/>
          <w14:textFill>
            <w14:solidFill>
              <w14:schemeClr w14:val="tx1"/>
            </w14:solidFill>
          </w14:textFill>
        </w:rPr>
        <w:t>.6 不</w:t>
      </w:r>
      <w:bookmarkEnd w:id="421"/>
      <w:bookmarkEnd w:id="422"/>
      <w:bookmarkEnd w:id="423"/>
      <w:bookmarkEnd w:id="424"/>
      <w:bookmarkEnd w:id="425"/>
      <w:bookmarkEnd w:id="426"/>
      <w:r>
        <w:rPr>
          <w:rFonts w:ascii="宋体" w:hAnsi="宋体"/>
          <w:color w:val="000000" w:themeColor="text1"/>
          <w:szCs w:val="21"/>
          <w:highlight w:val="none"/>
          <w14:textFill>
            <w14:solidFill>
              <w14:schemeClr w14:val="tx1"/>
            </w14:solidFill>
          </w14:textFill>
        </w:rPr>
        <w:t>利物质条件</w:t>
      </w:r>
    </w:p>
    <w:p w14:paraId="474AB90D">
      <w:pPr>
        <w:spacing w:line="440" w:lineRule="exact"/>
        <w:ind w:firstLine="315" w:firstLineChars="150"/>
        <w:jc w:val="left"/>
        <w:rPr>
          <w:rFonts w:ascii="宋体" w:hAnsi="宋体"/>
          <w:color w:val="000000" w:themeColor="text1"/>
          <w:szCs w:val="21"/>
          <w:highlight w:val="none"/>
          <w14:textFill>
            <w14:solidFill>
              <w14:schemeClr w14:val="tx1"/>
            </w14:solidFill>
          </w14:textFill>
        </w:rPr>
      </w:pPr>
      <w:bookmarkStart w:id="427" w:name="_Toc312678016"/>
      <w:bookmarkStart w:id="428" w:name="_Toc297216179"/>
      <w:bookmarkStart w:id="429" w:name="_Toc318581172"/>
      <w:bookmarkStart w:id="430" w:name="_Toc297123520"/>
      <w:bookmarkStart w:id="431" w:name="_Toc303539129"/>
      <w:bookmarkStart w:id="432" w:name="_Toc304295550"/>
      <w:bookmarkStart w:id="433" w:name="_Toc300934972"/>
      <w:r>
        <w:rPr>
          <w:rFonts w:ascii="宋体" w:hAnsi="宋体"/>
          <w:color w:val="000000" w:themeColor="text1"/>
          <w:szCs w:val="21"/>
          <w:highlight w:val="none"/>
          <w14:textFill>
            <w14:solidFill>
              <w14:schemeClr w14:val="tx1"/>
            </w14:solidFill>
          </w14:textFill>
        </w:rPr>
        <w:t>不利物质条件的其他情形和有关约定：。</w:t>
      </w:r>
    </w:p>
    <w:bookmarkEnd w:id="427"/>
    <w:bookmarkEnd w:id="428"/>
    <w:bookmarkEnd w:id="429"/>
    <w:bookmarkEnd w:id="430"/>
    <w:bookmarkEnd w:id="431"/>
    <w:bookmarkEnd w:id="432"/>
    <w:bookmarkEnd w:id="433"/>
    <w:p w14:paraId="1366BBF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bookmarkStart w:id="434" w:name="_Toc304295551"/>
      <w:bookmarkStart w:id="435" w:name="_Toc297216180"/>
      <w:bookmarkStart w:id="436" w:name="_Toc303539130"/>
      <w:bookmarkStart w:id="437" w:name="_Toc312678017"/>
      <w:bookmarkStart w:id="438" w:name="_Toc297123521"/>
      <w:bookmarkStart w:id="439" w:name="_Toc300934973"/>
      <w:r>
        <w:rPr>
          <w:rFonts w:ascii="宋体" w:hAnsi="宋体"/>
          <w:color w:val="000000" w:themeColor="text1"/>
          <w:szCs w:val="21"/>
          <w:highlight w:val="none"/>
          <w14:textFill>
            <w14:solidFill>
              <w14:schemeClr w14:val="tx1"/>
            </w14:solidFill>
          </w14:textFill>
        </w:rPr>
        <w:t>.7异常恶劣的气候条件</w:t>
      </w:r>
    </w:p>
    <w:bookmarkEnd w:id="434"/>
    <w:bookmarkEnd w:id="435"/>
    <w:bookmarkEnd w:id="436"/>
    <w:bookmarkEnd w:id="437"/>
    <w:bookmarkEnd w:id="438"/>
    <w:bookmarkEnd w:id="439"/>
    <w:p w14:paraId="2678712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发包人和承包人同意以下情形视为异常恶劣的气候条件：</w:t>
      </w:r>
    </w:p>
    <w:p w14:paraId="086F62CB">
      <w:pPr>
        <w:spacing w:line="360" w:lineRule="exact"/>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（1）六级及其以上台风,合同约定的不可抗力除外。</w:t>
      </w:r>
    </w:p>
    <w:p w14:paraId="109C29CB">
      <w:pPr>
        <w:widowControl/>
        <w:snapToGrid w:val="0"/>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（2）异常恶劣的气候条件引起的工程延误，由监理工程师根据承包人提交的证明予以评定，异常气候在每月对工程进度影响的评定，应在整个合同内予以累计。</w:t>
      </w:r>
    </w:p>
    <w:p w14:paraId="3CF7BFCD">
      <w:pPr>
        <w:autoSpaceDE w:val="0"/>
        <w:autoSpaceDN w:val="0"/>
        <w:adjustRightInd w:val="0"/>
        <w:spacing w:line="360" w:lineRule="exact"/>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（3）承包人应采取克服异常恶劣的气候条件的合理措施继续施工，并在发生后48小时内及时通知发包人和监理人。监理人应在接到通知后48小时内报发包人同意后应当及时发出指示，指示构成变更的，按</w:t>
      </w:r>
      <w:r>
        <w:rPr>
          <w:rFonts w:hint="eastAsia" w:ascii="宋体" w:hAnsi="宋体"/>
          <w:snapToGrid w:val="0"/>
          <w:color w:val="000000" w:themeColor="text1"/>
          <w:kern w:val="0"/>
          <w:szCs w:val="21"/>
          <w:highlight w:val="none"/>
          <w:u w:val="single"/>
          <w14:textFill>
            <w14:solidFill>
              <w14:schemeClr w14:val="tx1"/>
            </w14:solidFill>
          </w14:textFill>
        </w:rPr>
        <w:t>专用合同条款</w:t>
      </w:r>
      <w:r>
        <w:rPr>
          <w:rFonts w:hint="eastAsia" w:ascii="宋体" w:hAnsi="宋体"/>
          <w:color w:val="000000" w:themeColor="text1"/>
          <w:szCs w:val="21"/>
          <w:highlight w:val="none"/>
          <w:u w:val="single"/>
          <w14:textFill>
            <w14:solidFill>
              <w14:schemeClr w14:val="tx1"/>
            </w14:solidFill>
          </w14:textFill>
        </w:rPr>
        <w:t>第10条〔变更〕约定办理。承包人因采取合理措施而延误的工期由发包人承担，但发包人不承担增加的费用。</w:t>
      </w:r>
    </w:p>
    <w:p w14:paraId="30D75802">
      <w:pPr>
        <w:spacing w:line="360" w:lineRule="auto"/>
        <w:ind w:firstLine="420" w:firstLineChars="200"/>
        <w:jc w:val="left"/>
        <w:rPr>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 xml:space="preserve"> 提前竣工的奖励</w:t>
      </w:r>
    </w:p>
    <w:p w14:paraId="75247DC7">
      <w:pPr>
        <w:spacing w:line="360" w:lineRule="auto"/>
        <w:ind w:firstLine="420" w:firstLineChars="200"/>
        <w:jc w:val="left"/>
        <w:rPr>
          <w:rFonts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.2提前竣工的奖励：</w:t>
      </w:r>
      <w:r>
        <w:rPr>
          <w:rFonts w:hint="eastAsia"/>
          <w:color w:val="000000" w:themeColor="text1"/>
          <w:szCs w:val="21"/>
          <w:highlight w:val="none"/>
          <w:u w:val="single"/>
          <w14:textFill>
            <w14:solidFill>
              <w14:schemeClr w14:val="tx1"/>
            </w14:solidFill>
          </w14:textFill>
        </w:rPr>
        <w:t>无</w:t>
      </w:r>
      <w:r>
        <w:rPr>
          <w:rFonts w:hAnsi="宋体"/>
          <w:color w:val="000000" w:themeColor="text1"/>
          <w:szCs w:val="21"/>
          <w:highlight w:val="none"/>
          <w14:textFill>
            <w14:solidFill>
              <w14:schemeClr w14:val="tx1"/>
            </w14:solidFill>
          </w14:textFill>
        </w:rPr>
        <w:t>。</w:t>
      </w:r>
    </w:p>
    <w:p w14:paraId="38C0C2E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440" w:name="_Toc351203640"/>
      <w:r>
        <w:rPr>
          <w:rFonts w:ascii="宋体" w:hAnsi="宋体" w:eastAsia="黑体"/>
          <w:b/>
          <w:color w:val="000000" w:themeColor="text1"/>
          <w:kern w:val="0"/>
          <w:sz w:val="28"/>
          <w:szCs w:val="21"/>
          <w:highlight w:val="none"/>
          <w14:textFill>
            <w14:solidFill>
              <w14:schemeClr w14:val="tx1"/>
            </w14:solidFill>
          </w14:textFill>
        </w:rPr>
        <w:t>8. 材料与设备</w:t>
      </w:r>
      <w:bookmarkEnd w:id="440"/>
    </w:p>
    <w:bookmarkEnd w:id="375"/>
    <w:bookmarkEnd w:id="376"/>
    <w:bookmarkEnd w:id="377"/>
    <w:bookmarkEnd w:id="378"/>
    <w:bookmarkEnd w:id="379"/>
    <w:bookmarkEnd w:id="380"/>
    <w:bookmarkEnd w:id="381"/>
    <w:bookmarkEnd w:id="382"/>
    <w:bookmarkEnd w:id="383"/>
    <w:bookmarkEnd w:id="384"/>
    <w:p w14:paraId="7DD8008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bookmarkStart w:id="441" w:name="_Toc296890995"/>
      <w:bookmarkStart w:id="442" w:name="_Toc280868654"/>
      <w:bookmarkStart w:id="443" w:name="_Toc303539136"/>
      <w:bookmarkStart w:id="444" w:name="_Toc296944506"/>
      <w:bookmarkStart w:id="445" w:name="_Toc296503167"/>
      <w:bookmarkStart w:id="446" w:name="_Toc296891207"/>
      <w:bookmarkStart w:id="447" w:name="_Toc297123527"/>
      <w:bookmarkStart w:id="448" w:name="_Toc297048353"/>
      <w:bookmarkStart w:id="449" w:name="_Toc300934979"/>
      <w:bookmarkStart w:id="450" w:name="_Toc296347166"/>
      <w:bookmarkStart w:id="451" w:name="_Toc297120467"/>
      <w:bookmarkStart w:id="452" w:name="_Toc312677493"/>
      <w:bookmarkStart w:id="453" w:name="_Toc292559372"/>
      <w:bookmarkStart w:id="454" w:name="_Toc292559877"/>
      <w:bookmarkStart w:id="455" w:name="_Toc304295556"/>
      <w:bookmarkStart w:id="456" w:name="_Toc312678019"/>
      <w:bookmarkStart w:id="457" w:name="_Toc296346668"/>
      <w:bookmarkStart w:id="458" w:name="_Toc297216186"/>
      <w:bookmarkStart w:id="459" w:name="_Toc280868656"/>
      <w:bookmarkStart w:id="460" w:name="_Toc267251424"/>
      <w:bookmarkStart w:id="461" w:name="_Toc280868655"/>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材料与工程设备的保管与使用</w:t>
      </w:r>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4739093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bookmarkStart w:id="462" w:name="_Toc292559878"/>
      <w:bookmarkStart w:id="463" w:name="_Toc292559373"/>
      <w:bookmarkStart w:id="464" w:name="_Toc296944507"/>
      <w:bookmarkStart w:id="465" w:name="_Toc296503168"/>
      <w:bookmarkStart w:id="466" w:name="_Toc296890996"/>
      <w:bookmarkStart w:id="467" w:name="_Toc296891208"/>
      <w:bookmarkStart w:id="468" w:name="_Toc312678020"/>
      <w:bookmarkStart w:id="469" w:name="_Toc297120468"/>
      <w:bookmarkStart w:id="470" w:name="_Toc303539137"/>
      <w:bookmarkStart w:id="471" w:name="_Toc312677494"/>
      <w:bookmarkStart w:id="472" w:name="_Toc297048354"/>
      <w:bookmarkStart w:id="473" w:name="_Toc297123528"/>
      <w:bookmarkStart w:id="474" w:name="_Toc300934980"/>
      <w:bookmarkStart w:id="475" w:name="_Toc318581173"/>
      <w:bookmarkStart w:id="476" w:name="_Toc297216187"/>
      <w:bookmarkStart w:id="477" w:name="_Toc296346669"/>
      <w:bookmarkStart w:id="478" w:name="_Toc304295557"/>
      <w:bookmarkStart w:id="479" w:name="_Toc296347167"/>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.1发包人供应的材料设备的保管费用的承担：。</w:t>
      </w:r>
      <w:bookmarkEnd w:id="462"/>
      <w:bookmarkEnd w:id="463"/>
    </w:p>
    <w:p w14:paraId="499134CB">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样品</w:t>
      </w:r>
    </w:p>
    <w:p w14:paraId="5EF18835">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8.</w:t>
      </w:r>
      <w:r>
        <w:rPr>
          <w:rFonts w:hint="eastAsia" w:ascii="宋体" w:hAnsi="宋体"/>
          <w:color w:val="000000" w:themeColor="text1"/>
          <w:kern w:val="0"/>
          <w:szCs w:val="21"/>
          <w:highlight w:val="none"/>
          <w14:textFill>
            <w14:solidFill>
              <w14:schemeClr w14:val="tx1"/>
            </w14:solidFill>
          </w14:textFill>
        </w:rPr>
        <w:t>2</w:t>
      </w:r>
      <w:r>
        <w:rPr>
          <w:rFonts w:ascii="宋体" w:hAnsi="宋体"/>
          <w:color w:val="000000" w:themeColor="text1"/>
          <w:kern w:val="0"/>
          <w:szCs w:val="21"/>
          <w:highlight w:val="none"/>
          <w14:textFill>
            <w14:solidFill>
              <w14:schemeClr w14:val="tx1"/>
            </w14:solidFill>
          </w14:textFill>
        </w:rPr>
        <w:t>.1</w:t>
      </w:r>
      <w:r>
        <w:rPr>
          <w:rFonts w:ascii="宋体" w:hAnsi="宋体"/>
          <w:color w:val="000000" w:themeColor="text1"/>
          <w:kern w:val="0"/>
          <w:szCs w:val="21"/>
          <w:highlight w:val="none"/>
          <w14:textFill>
            <w14:solidFill>
              <w14:schemeClr w14:val="tx1"/>
            </w14:solidFill>
          </w14:textFill>
        </w:rPr>
        <w:tab/>
      </w:r>
      <w:r>
        <w:rPr>
          <w:rFonts w:ascii="宋体" w:hAnsi="宋体"/>
          <w:color w:val="000000" w:themeColor="text1"/>
          <w:kern w:val="0"/>
          <w:szCs w:val="21"/>
          <w:highlight w:val="none"/>
          <w14:textFill>
            <w14:solidFill>
              <w14:schemeClr w14:val="tx1"/>
            </w14:solidFill>
          </w14:textFill>
        </w:rPr>
        <w:t>样品的报送</w:t>
      </w:r>
      <w:r>
        <w:rPr>
          <w:rFonts w:hint="eastAsia" w:ascii="宋体" w:hAnsi="宋体"/>
          <w:color w:val="000000" w:themeColor="text1"/>
          <w:kern w:val="0"/>
          <w:szCs w:val="21"/>
          <w:highlight w:val="none"/>
          <w14:textFill>
            <w14:solidFill>
              <w14:schemeClr w14:val="tx1"/>
            </w14:solidFill>
          </w14:textFill>
        </w:rPr>
        <w:t>与封存</w:t>
      </w:r>
    </w:p>
    <w:p w14:paraId="57473674">
      <w:pPr>
        <w:autoSpaceDE w:val="0"/>
        <w:autoSpaceDN w:val="0"/>
        <w:adjustRightInd w:val="0"/>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需要承包人报送样品的材料或工程设备，样品的种类、名称、规格、数量要求：</w:t>
      </w:r>
      <w:r>
        <w:rPr>
          <w:rFonts w:hint="eastAsia" w:ascii="宋体" w:hAnsi="宋体"/>
          <w:color w:val="000000" w:themeColor="text1"/>
          <w:szCs w:val="21"/>
          <w:highlight w:val="none"/>
          <w:u w:val="single"/>
          <w14:textFill>
            <w14:solidFill>
              <w14:schemeClr w14:val="tx1"/>
            </w14:solidFill>
          </w14:textFill>
        </w:rPr>
        <w:t>主要材料涉及品种、款式、颜色等方面内容的，承包人应提交准备合格的材料样品送发包人选定。</w:t>
      </w:r>
    </w:p>
    <w:p w14:paraId="6634AB1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施工设备和临时设施</w:t>
      </w:r>
    </w:p>
    <w:p w14:paraId="07BB3361">
      <w:pPr>
        <w:autoSpaceDE w:val="0"/>
        <w:autoSpaceDN w:val="0"/>
        <w:adjustRightIn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 承包人提供的施工设备和临时设施</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p>
    <w:p w14:paraId="3C6F7A34">
      <w:pPr>
        <w:autoSpaceDE w:val="0"/>
        <w:autoSpaceDN w:val="0"/>
        <w:adjustRightInd w:val="0"/>
        <w:spacing w:line="440" w:lineRule="exact"/>
        <w:ind w:firstLine="420" w:firstLineChars="200"/>
        <w:jc w:val="left"/>
        <w:rPr>
          <w:rFonts w:ascii="宋体" w:hAnsi="宋体"/>
          <w:b/>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关于修建临时设施费用承担的约定：</w:t>
      </w:r>
      <w:r>
        <w:rPr>
          <w:rFonts w:hint="eastAsia" w:ascii="宋体" w:hAnsi="宋体"/>
          <w:b/>
          <w:color w:val="000000" w:themeColor="text1"/>
          <w:szCs w:val="21"/>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①承包人的临时用地（含项目部驻地等）租用费（含拆迁补偿）、临时用地的环保、恢复、临时用地的青苗补偿及地面附着物拆除等费用均由承包人负责，以上费用在竞标报价中综合考虑。</w:t>
      </w:r>
    </w:p>
    <w:p w14:paraId="64B6E247">
      <w:pPr>
        <w:autoSpaceDE w:val="0"/>
        <w:autoSpaceDN w:val="0"/>
        <w:adjustRightInd w:val="0"/>
        <w:spacing w:line="440" w:lineRule="exact"/>
        <w:ind w:firstLine="422" w:firstLineChars="200"/>
        <w:jc w:val="left"/>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6B28A6D4">
      <w:pPr>
        <w:autoSpaceDE w:val="0"/>
        <w:autoSpaceDN w:val="0"/>
        <w:adjustRightInd w:val="0"/>
        <w:spacing w:line="440" w:lineRule="exact"/>
        <w:ind w:firstLine="422"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244A3474">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480" w:name="_Toc351203641"/>
      <w:r>
        <w:rPr>
          <w:rFonts w:ascii="宋体" w:hAnsi="宋体" w:eastAsia="黑体"/>
          <w:b/>
          <w:color w:val="000000" w:themeColor="text1"/>
          <w:kern w:val="0"/>
          <w:sz w:val="28"/>
          <w:szCs w:val="21"/>
          <w:highlight w:val="none"/>
          <w14:textFill>
            <w14:solidFill>
              <w14:schemeClr w14:val="tx1"/>
            </w14:solidFill>
          </w14:textFill>
        </w:rPr>
        <w:t>9</w:t>
      </w:r>
      <w:bookmarkEnd w:id="459"/>
      <w:bookmarkEnd w:id="460"/>
      <w:bookmarkEnd w:id="461"/>
      <w:bookmarkStart w:id="481" w:name="_Toc312678021"/>
      <w:bookmarkStart w:id="482" w:name="_Toc312677495"/>
      <w:bookmarkStart w:id="483" w:name="_Toc303539139"/>
      <w:bookmarkStart w:id="484" w:name="_Toc304295559"/>
      <w:bookmarkStart w:id="485" w:name="_Toc297123533"/>
      <w:bookmarkStart w:id="486" w:name="_Toc300934982"/>
      <w:bookmarkStart w:id="487" w:name="_Toc297216192"/>
      <w:bookmarkStart w:id="488" w:name="_Toc292559378"/>
      <w:bookmarkStart w:id="489" w:name="_Toc296346674"/>
      <w:bookmarkStart w:id="490" w:name="_Toc267251428"/>
      <w:bookmarkStart w:id="491" w:name="_Toc267251427"/>
      <w:bookmarkStart w:id="492" w:name="_Toc296347172"/>
      <w:bookmarkStart w:id="493" w:name="_Toc297048359"/>
      <w:bookmarkStart w:id="494" w:name="_Toc297120473"/>
      <w:bookmarkStart w:id="495" w:name="_Toc296891001"/>
      <w:bookmarkStart w:id="496" w:name="_Toc296944512"/>
      <w:bookmarkStart w:id="497" w:name="_Toc296503173"/>
      <w:bookmarkStart w:id="498" w:name="_Toc296891213"/>
      <w:bookmarkStart w:id="499" w:name="_Toc292559883"/>
      <w:r>
        <w:rPr>
          <w:rFonts w:ascii="宋体" w:hAnsi="宋体" w:eastAsia="黑体"/>
          <w:b/>
          <w:color w:val="000000" w:themeColor="text1"/>
          <w:kern w:val="0"/>
          <w:sz w:val="28"/>
          <w:szCs w:val="21"/>
          <w:highlight w:val="none"/>
          <w14:textFill>
            <w14:solidFill>
              <w14:schemeClr w14:val="tx1"/>
            </w14:solidFill>
          </w14:textFill>
        </w:rPr>
        <w:t>. 试验与检验</w:t>
      </w:r>
      <w:bookmarkEnd w:id="480"/>
    </w:p>
    <w:bookmarkEnd w:id="481"/>
    <w:bookmarkEnd w:id="482"/>
    <w:bookmarkEnd w:id="483"/>
    <w:bookmarkEnd w:id="484"/>
    <w:bookmarkEnd w:id="485"/>
    <w:bookmarkEnd w:id="486"/>
    <w:bookmarkEnd w:id="487"/>
    <w:p w14:paraId="1C646180">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500" w:name="_Toc389065303"/>
      <w:bookmarkStart w:id="501" w:name="_Toc465114896"/>
      <w:bookmarkStart w:id="502" w:name="_Toc373227737"/>
      <w:bookmarkStart w:id="503" w:name="_Toc373478384"/>
      <w:bookmarkStart w:id="504" w:name="_Toc351203642"/>
      <w:r>
        <w:rPr>
          <w:rFonts w:ascii="宋体" w:hAnsi="宋体"/>
          <w:b/>
          <w:bCs/>
          <w:color w:val="000000" w:themeColor="text1"/>
          <w:kern w:val="0"/>
          <w:sz w:val="24"/>
          <w:szCs w:val="32"/>
          <w:highlight w:val="none"/>
          <w14:textFill>
            <w14:solidFill>
              <w14:schemeClr w14:val="tx1"/>
            </w14:solidFill>
          </w14:textFill>
        </w:rPr>
        <w:t>9</w:t>
      </w:r>
      <w:bookmarkStart w:id="505" w:name="_Toc312677496"/>
      <w:bookmarkStart w:id="506" w:name="_Toc303539140"/>
      <w:bookmarkStart w:id="507" w:name="_Toc304295560"/>
      <w:bookmarkStart w:id="508" w:name="_Toc297216193"/>
      <w:bookmarkStart w:id="509" w:name="_Toc312678022"/>
      <w:bookmarkStart w:id="510" w:name="_Toc297123534"/>
      <w:bookmarkStart w:id="511" w:name="_Toc300934983"/>
      <w:r>
        <w:rPr>
          <w:rFonts w:ascii="宋体" w:hAnsi="宋体"/>
          <w:b/>
          <w:bCs/>
          <w:color w:val="000000" w:themeColor="text1"/>
          <w:kern w:val="0"/>
          <w:sz w:val="24"/>
          <w:szCs w:val="32"/>
          <w:highlight w:val="none"/>
          <w14:textFill>
            <w14:solidFill>
              <w14:schemeClr w14:val="tx1"/>
            </w14:solidFill>
          </w14:textFill>
        </w:rPr>
        <w:t>.1 试验设备与试验人员</w:t>
      </w:r>
      <w:bookmarkEnd w:id="500"/>
      <w:bookmarkEnd w:id="501"/>
      <w:bookmarkEnd w:id="502"/>
      <w:bookmarkEnd w:id="503"/>
    </w:p>
    <w:bookmarkEnd w:id="505"/>
    <w:bookmarkEnd w:id="506"/>
    <w:bookmarkEnd w:id="507"/>
    <w:bookmarkEnd w:id="508"/>
    <w:bookmarkEnd w:id="509"/>
    <w:bookmarkEnd w:id="510"/>
    <w:bookmarkEnd w:id="511"/>
    <w:p w14:paraId="1BC78035">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bookmarkStart w:id="512" w:name="_Toc304295561"/>
      <w:bookmarkStart w:id="513" w:name="_Toc312678023"/>
      <w:bookmarkStart w:id="514" w:name="_Toc297123535"/>
      <w:bookmarkStart w:id="515" w:name="_Toc312677497"/>
      <w:bookmarkStart w:id="516" w:name="_Toc297216194"/>
      <w:bookmarkStart w:id="517" w:name="_Toc303539141"/>
      <w:bookmarkStart w:id="518" w:name="_Toc300934984"/>
      <w:bookmarkStart w:id="519" w:name="_Toc318581174"/>
      <w:r>
        <w:rPr>
          <w:color w:val="000000" w:themeColor="text1"/>
          <w:szCs w:val="21"/>
          <w:highlight w:val="none"/>
          <w14:textFill>
            <w14:solidFill>
              <w14:schemeClr w14:val="tx1"/>
            </w14:solidFill>
          </w14:textFill>
        </w:rPr>
        <w:t xml:space="preserve">.1.2 </w:t>
      </w:r>
      <w:r>
        <w:rPr>
          <w:rFonts w:hAnsi="宋体"/>
          <w:color w:val="000000" w:themeColor="text1"/>
          <w:szCs w:val="21"/>
          <w:highlight w:val="none"/>
          <w14:textFill>
            <w14:solidFill>
              <w14:schemeClr w14:val="tx1"/>
            </w14:solidFill>
          </w14:textFill>
        </w:rPr>
        <w:t>试验设备</w:t>
      </w:r>
    </w:p>
    <w:bookmarkEnd w:id="512"/>
    <w:bookmarkEnd w:id="513"/>
    <w:bookmarkEnd w:id="514"/>
    <w:bookmarkEnd w:id="515"/>
    <w:bookmarkEnd w:id="516"/>
    <w:bookmarkEnd w:id="517"/>
    <w:bookmarkEnd w:id="518"/>
    <w:p w14:paraId="7FE676DC">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20" w:name="_Toc373227738"/>
      <w:bookmarkStart w:id="521" w:name="_Toc465114897"/>
      <w:bookmarkStart w:id="522" w:name="_Toc373478385"/>
      <w:bookmarkStart w:id="523" w:name="_Toc389065304"/>
      <w:bookmarkStart w:id="524" w:name="_Toc297216195"/>
      <w:bookmarkStart w:id="525" w:name="_Toc303539142"/>
      <w:bookmarkStart w:id="526" w:name="_Toc304295562"/>
      <w:bookmarkStart w:id="527" w:name="_Toc312678024"/>
      <w:bookmarkStart w:id="528" w:name="_Toc300934985"/>
      <w:bookmarkStart w:id="529" w:name="_Toc312677498"/>
      <w:bookmarkStart w:id="530" w:name="_Toc297123536"/>
      <w:r>
        <w:rPr>
          <w:rFonts w:hint="eastAsia" w:ascii="宋体" w:hAnsi="宋体"/>
          <w:color w:val="000000" w:themeColor="text1"/>
          <w:szCs w:val="21"/>
          <w:highlight w:val="none"/>
          <w14:textFill>
            <w14:solidFill>
              <w14:schemeClr w14:val="tx1"/>
            </w14:solidFill>
          </w14:textFill>
        </w:rPr>
        <w:t>施工现场需要配置的试验场所：</w:t>
      </w:r>
      <w:r>
        <w:rPr>
          <w:rFonts w:hint="eastAsia" w:ascii="宋体" w:hAnsi="宋体"/>
          <w:color w:val="000000" w:themeColor="text1"/>
          <w:szCs w:val="21"/>
          <w:highlight w:val="none"/>
          <w:u w:val="single"/>
          <w14:textFill>
            <w14:solidFill>
              <w14:schemeClr w14:val="tx1"/>
            </w14:solidFill>
          </w14:textFill>
        </w:rPr>
        <w:t xml:space="preserve">  满足自检需要</w:t>
      </w:r>
      <w:r>
        <w:rPr>
          <w:rFonts w:hint="eastAsia" w:ascii="宋体" w:hAnsi="宋体"/>
          <w:color w:val="000000" w:themeColor="text1"/>
          <w:szCs w:val="21"/>
          <w:highlight w:val="none"/>
          <w14:textFill>
            <w14:solidFill>
              <w14:schemeClr w14:val="tx1"/>
            </w14:solidFill>
          </w14:textFill>
        </w:rPr>
        <w:t xml:space="preserve">。 </w:t>
      </w:r>
    </w:p>
    <w:p w14:paraId="7D1860D2">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施工现场需要配备的试验设备：</w:t>
      </w:r>
      <w:r>
        <w:rPr>
          <w:rFonts w:hint="eastAsia" w:ascii="宋体" w:hAnsi="宋体"/>
          <w:color w:val="000000" w:themeColor="text1"/>
          <w:szCs w:val="21"/>
          <w:highlight w:val="none"/>
          <w:u w:val="single"/>
          <w14:textFill>
            <w14:solidFill>
              <w14:schemeClr w14:val="tx1"/>
            </w14:solidFill>
          </w14:textFill>
        </w:rPr>
        <w:t xml:space="preserve">   满足自检需要  </w:t>
      </w:r>
      <w:r>
        <w:rPr>
          <w:rFonts w:hint="eastAsia" w:ascii="宋体" w:hAnsi="宋体"/>
          <w:color w:val="000000" w:themeColor="text1"/>
          <w:szCs w:val="21"/>
          <w:highlight w:val="none"/>
          <w14:textFill>
            <w14:solidFill>
              <w14:schemeClr w14:val="tx1"/>
            </w14:solidFill>
          </w14:textFill>
        </w:rPr>
        <w:t>。</w:t>
      </w:r>
    </w:p>
    <w:p w14:paraId="452FF73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施工现场需要具备的其他试验条件：</w:t>
      </w:r>
      <w:r>
        <w:rPr>
          <w:rFonts w:hint="eastAsia" w:ascii="宋体" w:hAnsi="宋体"/>
          <w:color w:val="000000" w:themeColor="text1"/>
          <w:szCs w:val="21"/>
          <w:highlight w:val="none"/>
          <w:u w:val="single"/>
          <w14:textFill>
            <w14:solidFill>
              <w14:schemeClr w14:val="tx1"/>
            </w14:solidFill>
          </w14:textFill>
        </w:rPr>
        <w:t xml:space="preserve">  满足自检需要  </w:t>
      </w:r>
      <w:r>
        <w:rPr>
          <w:rFonts w:hint="eastAsia" w:ascii="宋体" w:hAnsi="宋体"/>
          <w:color w:val="000000" w:themeColor="text1"/>
          <w:szCs w:val="21"/>
          <w:highlight w:val="none"/>
          <w14:textFill>
            <w14:solidFill>
              <w14:schemeClr w14:val="tx1"/>
            </w14:solidFill>
          </w14:textFill>
        </w:rPr>
        <w:t>。</w:t>
      </w:r>
    </w:p>
    <w:p w14:paraId="50ADA4AE">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9.4 现场工艺试验</w:t>
      </w:r>
      <w:bookmarkEnd w:id="520"/>
      <w:bookmarkEnd w:id="521"/>
      <w:bookmarkEnd w:id="522"/>
      <w:bookmarkEnd w:id="523"/>
    </w:p>
    <w:p w14:paraId="14C9DC41">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31" w:name="_Toc465114898"/>
      <w:bookmarkStart w:id="532" w:name="OLE_LINK1"/>
      <w:r>
        <w:rPr>
          <w:rFonts w:hint="eastAsia" w:ascii="宋体" w:hAnsi="宋体"/>
          <w:color w:val="000000" w:themeColor="text1"/>
          <w:szCs w:val="21"/>
          <w:highlight w:val="none"/>
          <w14:textFill>
            <w14:solidFill>
              <w14:schemeClr w14:val="tx1"/>
            </w14:solidFill>
          </w14:textFill>
        </w:rPr>
        <w:t>现场工艺试验的有关约定：</w:t>
      </w:r>
      <w:r>
        <w:rPr>
          <w:rFonts w:hint="eastAsia" w:ascii="宋体" w:hAnsi="宋体"/>
          <w:color w:val="000000" w:themeColor="text1"/>
          <w:szCs w:val="21"/>
          <w:highlight w:val="none"/>
          <w:u w:val="single"/>
          <w14:textFill>
            <w14:solidFill>
              <w14:schemeClr w14:val="tx1"/>
            </w14:solidFill>
          </w14:textFill>
        </w:rPr>
        <w:t xml:space="preserve">  满足自检需要</w:t>
      </w:r>
      <w:r>
        <w:rPr>
          <w:rFonts w:hint="eastAsia" w:ascii="宋体" w:hAnsi="宋体"/>
          <w:color w:val="000000" w:themeColor="text1"/>
          <w:szCs w:val="21"/>
          <w:highlight w:val="none"/>
          <w14:textFill>
            <w14:solidFill>
              <w14:schemeClr w14:val="tx1"/>
            </w14:solidFill>
          </w14:textFill>
        </w:rPr>
        <w:t>。</w:t>
      </w:r>
    </w:p>
    <w:p w14:paraId="1D048BB3">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r>
        <w:rPr>
          <w:rFonts w:ascii="宋体" w:hAnsi="宋体"/>
          <w:b/>
          <w:bCs/>
          <w:color w:val="000000" w:themeColor="text1"/>
          <w:kern w:val="0"/>
          <w:sz w:val="24"/>
          <w:szCs w:val="32"/>
          <w:highlight w:val="none"/>
          <w14:textFill>
            <w14:solidFill>
              <w14:schemeClr w14:val="tx1"/>
            </w14:solidFill>
          </w14:textFill>
        </w:rPr>
        <w:t>9.5 检验费用</w:t>
      </w:r>
      <w:bookmarkEnd w:id="531"/>
    </w:p>
    <w:p w14:paraId="6DCB9575">
      <w:pPr>
        <w:spacing w:line="360" w:lineRule="auto"/>
        <w:ind w:firstLine="411" w:firstLineChars="196"/>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根据</w:t>
      </w:r>
      <w:r>
        <w:rPr>
          <w:rFonts w:hAnsi="宋体"/>
          <w:bCs/>
          <w:color w:val="000000" w:themeColor="text1"/>
          <w:szCs w:val="21"/>
          <w:highlight w:val="none"/>
          <w14:textFill>
            <w14:solidFill>
              <w14:schemeClr w14:val="tx1"/>
            </w14:solidFill>
          </w14:textFill>
        </w:rPr>
        <w:t>《广西壮族自治区建设工程质量检测管理规定》</w:t>
      </w:r>
      <w:r>
        <w:rPr>
          <w:rFonts w:hint="eastAsia"/>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桂建管</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2013</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11</w:t>
      </w:r>
      <w:r>
        <w:rPr>
          <w:rFonts w:hAnsi="宋体"/>
          <w:bCs/>
          <w:color w:val="000000" w:themeColor="text1"/>
          <w:szCs w:val="21"/>
          <w:highlight w:val="none"/>
          <w14:textFill>
            <w14:solidFill>
              <w14:schemeClr w14:val="tx1"/>
            </w14:solidFill>
          </w14:textFill>
        </w:rPr>
        <w:t>号</w:t>
      </w:r>
      <w:r>
        <w:rPr>
          <w:rFonts w:hint="eastAsia"/>
          <w:bCs/>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规定，工程质量检测业务由</w:t>
      </w:r>
      <w:r>
        <w:rPr>
          <w:rFonts w:hint="eastAsia" w:hAnsi="宋体"/>
          <w:color w:val="000000" w:themeColor="text1"/>
          <w:szCs w:val="21"/>
          <w:highlight w:val="none"/>
          <w14:textFill>
            <w14:solidFill>
              <w14:schemeClr w14:val="tx1"/>
            </w14:solidFill>
          </w14:textFill>
        </w:rPr>
        <w:t>发包人</w:t>
      </w:r>
      <w:r>
        <w:rPr>
          <w:rFonts w:hAnsi="宋体"/>
          <w:color w:val="000000" w:themeColor="text1"/>
          <w:szCs w:val="21"/>
          <w:highlight w:val="none"/>
          <w14:textFill>
            <w14:solidFill>
              <w14:schemeClr w14:val="tx1"/>
            </w14:solidFill>
          </w14:textFill>
        </w:rPr>
        <w:t>委托有相应资质的检测机构检测。费用</w:t>
      </w:r>
      <w:r>
        <w:rPr>
          <w:rFonts w:hint="eastAsia" w:hAnsi="宋体"/>
          <w:color w:val="000000" w:themeColor="text1"/>
          <w:szCs w:val="21"/>
          <w:highlight w:val="none"/>
          <w14:textFill>
            <w14:solidFill>
              <w14:schemeClr w14:val="tx1"/>
            </w14:solidFill>
          </w14:textFill>
        </w:rPr>
        <w:t>由发包人</w:t>
      </w:r>
      <w:r>
        <w:rPr>
          <w:rFonts w:hAnsi="宋体"/>
          <w:color w:val="000000" w:themeColor="text1"/>
          <w:szCs w:val="21"/>
          <w:highlight w:val="none"/>
          <w14:textFill>
            <w14:solidFill>
              <w14:schemeClr w14:val="tx1"/>
            </w14:solidFill>
          </w14:textFill>
        </w:rPr>
        <w:t>直接支付给检测机构，不计入合同价款内。</w:t>
      </w:r>
      <w:r>
        <w:rPr>
          <w:rFonts w:hint="eastAsia" w:hAnsi="宋体"/>
          <w:color w:val="000000" w:themeColor="text1"/>
          <w:szCs w:val="21"/>
          <w:highlight w:val="none"/>
          <w14:textFill>
            <w14:solidFill>
              <w14:schemeClr w14:val="tx1"/>
            </w14:solidFill>
          </w14:textFill>
        </w:rPr>
        <w:t>检验试验配合费按费用定额规定计取，计入本合同价款内。</w:t>
      </w:r>
    </w:p>
    <w:bookmarkEnd w:id="519"/>
    <w:bookmarkEnd w:id="524"/>
    <w:bookmarkEnd w:id="525"/>
    <w:bookmarkEnd w:id="526"/>
    <w:bookmarkEnd w:id="527"/>
    <w:bookmarkEnd w:id="528"/>
    <w:bookmarkEnd w:id="529"/>
    <w:bookmarkEnd w:id="530"/>
    <w:bookmarkEnd w:id="532"/>
    <w:p w14:paraId="5A5DBAE8">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w:t>
      </w:r>
      <w:bookmarkEnd w:id="488"/>
      <w:bookmarkEnd w:id="489"/>
      <w:bookmarkEnd w:id="490"/>
      <w:bookmarkEnd w:id="491"/>
      <w:bookmarkEnd w:id="492"/>
      <w:bookmarkEnd w:id="493"/>
      <w:bookmarkEnd w:id="494"/>
      <w:bookmarkEnd w:id="495"/>
      <w:bookmarkEnd w:id="496"/>
      <w:bookmarkEnd w:id="497"/>
      <w:bookmarkEnd w:id="498"/>
      <w:bookmarkEnd w:id="499"/>
      <w:bookmarkStart w:id="533" w:name="_Toc297120493"/>
      <w:bookmarkStart w:id="534" w:name="_Toc296347192"/>
      <w:bookmarkStart w:id="535" w:name="_Toc297123540"/>
      <w:bookmarkStart w:id="536" w:name="_Toc296891021"/>
      <w:bookmarkStart w:id="537" w:name="_Toc292559398"/>
      <w:bookmarkStart w:id="538" w:name="_Toc304295566"/>
      <w:bookmarkStart w:id="539" w:name="_Toc292559903"/>
      <w:bookmarkStart w:id="540" w:name="_Toc300934989"/>
      <w:bookmarkStart w:id="541" w:name="_Toc296891233"/>
      <w:bookmarkStart w:id="542" w:name="_Toc296944532"/>
      <w:bookmarkStart w:id="543" w:name="_Toc297216199"/>
      <w:bookmarkStart w:id="544" w:name="_Toc297048379"/>
      <w:bookmarkStart w:id="545" w:name="_Toc296503193"/>
      <w:bookmarkStart w:id="546" w:name="_Toc303539146"/>
      <w:bookmarkStart w:id="547" w:name="_Toc296346694"/>
      <w:bookmarkStart w:id="548" w:name="_Toc312678025"/>
      <w:bookmarkStart w:id="549" w:name="_Toc312677499"/>
      <w:bookmarkStart w:id="550" w:name="_Toc267251439"/>
      <w:bookmarkStart w:id="551" w:name="_Toc267251435"/>
      <w:bookmarkStart w:id="552" w:name="_Toc267251433"/>
      <w:bookmarkStart w:id="553" w:name="_Toc267251437"/>
      <w:bookmarkStart w:id="554" w:name="_Toc267251441"/>
      <w:bookmarkStart w:id="555" w:name="_Toc267251440"/>
      <w:bookmarkStart w:id="556" w:name="_Toc267251442"/>
      <w:r>
        <w:rPr>
          <w:rFonts w:ascii="宋体" w:hAnsi="宋体" w:eastAsia="黑体"/>
          <w:b/>
          <w:color w:val="000000" w:themeColor="text1"/>
          <w:kern w:val="0"/>
          <w:sz w:val="28"/>
          <w:szCs w:val="21"/>
          <w:highlight w:val="none"/>
          <w14:textFill>
            <w14:solidFill>
              <w14:schemeClr w14:val="tx1"/>
            </w14:solidFill>
          </w14:textFill>
        </w:rPr>
        <w:t>0. 变更</w:t>
      </w:r>
      <w:bookmarkEnd w:id="504"/>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bookmarkEnd w:id="548"/>
    <w:bookmarkEnd w:id="549"/>
    <w:p w14:paraId="68262A6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557" w:name="_Toc296347193"/>
      <w:bookmarkStart w:id="558" w:name="_Toc296891234"/>
      <w:bookmarkStart w:id="559" w:name="_Toc303539147"/>
      <w:bookmarkStart w:id="560" w:name="_Toc297123541"/>
      <w:bookmarkStart w:id="561" w:name="_Toc296503194"/>
      <w:bookmarkStart w:id="562" w:name="_Toc312677500"/>
      <w:bookmarkStart w:id="563" w:name="_Toc297120494"/>
      <w:bookmarkStart w:id="564" w:name="_Toc304295567"/>
      <w:bookmarkStart w:id="565" w:name="_Toc292559399"/>
      <w:bookmarkStart w:id="566" w:name="_Toc296944533"/>
      <w:bookmarkStart w:id="567" w:name="_Toc297216200"/>
      <w:bookmarkStart w:id="568" w:name="_Toc292559904"/>
      <w:bookmarkStart w:id="569" w:name="_Toc312678026"/>
      <w:bookmarkStart w:id="570" w:name="_Toc296891022"/>
      <w:bookmarkStart w:id="571" w:name="_Toc297048380"/>
      <w:bookmarkStart w:id="572" w:name="_Toc296346695"/>
      <w:bookmarkStart w:id="573" w:name="_Toc300934990"/>
      <w:r>
        <w:rPr>
          <w:rFonts w:ascii="宋体" w:hAnsi="宋体"/>
          <w:color w:val="000000" w:themeColor="text1"/>
          <w:szCs w:val="21"/>
          <w:highlight w:val="none"/>
          <w14:textFill>
            <w14:solidFill>
              <w14:schemeClr w14:val="tx1"/>
            </w14:solidFill>
          </w14:textFill>
        </w:rPr>
        <w:t>0.1变更的范围</w:t>
      </w:r>
    </w:p>
    <w:p w14:paraId="4DD00B4C">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关于变更的范围的约定：</w:t>
      </w:r>
      <w:r>
        <w:rPr>
          <w:rFonts w:hint="eastAsia" w:ascii="宋体" w:hAnsi="宋体"/>
          <w:color w:val="000000" w:themeColor="text1"/>
          <w:szCs w:val="21"/>
          <w:highlight w:val="none"/>
          <w:u w:val="single"/>
          <w14:textFill>
            <w14:solidFill>
              <w14:schemeClr w14:val="tx1"/>
            </w14:solidFill>
          </w14:textFill>
        </w:rPr>
        <w:t>在实施项目过程中，若发生隐蔽工程或工程量发生增减变动，必须经建设单位、监理单位、与施工单位等有关单位现场签字确认方可作为工程结算依据。</w:t>
      </w:r>
    </w:p>
    <w:p w14:paraId="00199EC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在实施项目过程中,若发生单价变动,由建设单位、监理单位、与施工单位共同商定并签字确认。</w:t>
      </w:r>
    </w:p>
    <w:p w14:paraId="4F0B0DF3">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变更估价</w:t>
      </w:r>
    </w:p>
    <w:p w14:paraId="42B979A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10.2.1 变更估价原则</w:t>
      </w:r>
    </w:p>
    <w:p w14:paraId="6E93A6C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关于变更估价的约定:</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因设计变更引起工程项目、工程量变化的，工程量清单报价表中有相同细目的按竞标人竞标时的中标单价进行结算，工程量清单报价表中有类似细目的参考类似成交单价结算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新增项目有定额的套定额计算，其中材料价格有信息的按信息价，无信息的按市场价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新增项目无定额可套的，由发包人、承包人根据市场价格协商决定</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新增项目的单价应经有政府审计中心审定。</w:t>
      </w:r>
    </w:p>
    <w:p w14:paraId="003E4600">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 xml:space="preserve">国家和自治区政策性调整有关费用标准的，按文件规定执行。  </w:t>
      </w:r>
    </w:p>
    <w:p w14:paraId="2CAC2D26">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Start w:id="574" w:name="_Toc296347196"/>
      <w:bookmarkStart w:id="575" w:name="_Toc296891237"/>
      <w:bookmarkStart w:id="576" w:name="_Toc303539150"/>
      <w:bookmarkStart w:id="577" w:name="_Toc292559907"/>
      <w:bookmarkStart w:id="578" w:name="_Toc296944536"/>
      <w:bookmarkStart w:id="579" w:name="_Toc297216203"/>
      <w:bookmarkStart w:id="580" w:name="_Toc296891025"/>
      <w:bookmarkStart w:id="581" w:name="_Toc296503197"/>
      <w:bookmarkStart w:id="582" w:name="_Toc297123544"/>
      <w:bookmarkStart w:id="583" w:name="_Toc292559402"/>
      <w:bookmarkStart w:id="584" w:name="_Toc300934993"/>
      <w:bookmarkStart w:id="585" w:name="_Toc297120497"/>
      <w:bookmarkStart w:id="586" w:name="_Toc296346698"/>
      <w:bookmarkStart w:id="587" w:name="_Toc297048383"/>
      <w:bookmarkStart w:id="588" w:name="_Toc312678029"/>
      <w:bookmarkStart w:id="589" w:name="_Toc312677503"/>
      <w:bookmarkStart w:id="590" w:name="_Toc304295570"/>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承</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Start w:id="591" w:name="_Toc297048389"/>
      <w:bookmarkStart w:id="592" w:name="_Toc296891031"/>
      <w:bookmarkStart w:id="593" w:name="_Toc300934994"/>
      <w:bookmarkStart w:id="594" w:name="_Toc297123545"/>
      <w:bookmarkStart w:id="595" w:name="_Toc292559913"/>
      <w:bookmarkStart w:id="596" w:name="_Toc303539151"/>
      <w:bookmarkStart w:id="597" w:name="_Toc292559408"/>
      <w:bookmarkStart w:id="598" w:name="_Toc297216204"/>
      <w:bookmarkStart w:id="599" w:name="_Toc296503203"/>
      <w:bookmarkStart w:id="600" w:name="_Toc296891243"/>
      <w:bookmarkStart w:id="601" w:name="_Toc296944542"/>
      <w:bookmarkStart w:id="602" w:name="_Toc296347202"/>
      <w:bookmarkStart w:id="603" w:name="_Toc296346704"/>
      <w:bookmarkStart w:id="604" w:name="_Toc297120503"/>
      <w:r>
        <w:rPr>
          <w:rFonts w:ascii="宋体" w:hAnsi="宋体"/>
          <w:color w:val="000000" w:themeColor="text1"/>
          <w:szCs w:val="21"/>
          <w:highlight w:val="none"/>
          <w14:textFill>
            <w14:solidFill>
              <w14:schemeClr w14:val="tx1"/>
            </w14:solidFill>
          </w14:textFill>
        </w:rPr>
        <w:t>包人的合理化建议</w:t>
      </w:r>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7D053FB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监理人审查承包人合理化建议的期限：</w:t>
      </w:r>
      <w:r>
        <w:rPr>
          <w:rFonts w:hint="eastAsia" w:ascii="宋体" w:hAnsi="宋体"/>
          <w:color w:val="000000" w:themeColor="text1"/>
          <w:szCs w:val="21"/>
          <w:highlight w:val="none"/>
          <w:u w:val="single"/>
          <w14:textFill>
            <w14:solidFill>
              <w14:schemeClr w14:val="tx1"/>
            </w14:solidFill>
          </w14:textFill>
        </w:rPr>
        <w:t>在收到承包人提交的合理化建议后 7天内。</w:t>
      </w:r>
    </w:p>
    <w:p w14:paraId="57F10E1B">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发包人审批承包人合理化建议的期限：</w:t>
      </w:r>
      <w:r>
        <w:rPr>
          <w:rFonts w:hint="eastAsia" w:ascii="宋体" w:hAnsi="宋体"/>
          <w:color w:val="000000" w:themeColor="text1"/>
          <w:szCs w:val="21"/>
          <w:highlight w:val="none"/>
          <w:u w:val="single"/>
          <w14:textFill>
            <w14:solidFill>
              <w14:schemeClr w14:val="tx1"/>
            </w14:solidFill>
          </w14:textFill>
        </w:rPr>
        <w:t>在收到监理人报送的合理化建议后 7天内。</w:t>
      </w:r>
    </w:p>
    <w:p w14:paraId="368CAB98">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承</w:t>
      </w:r>
      <w:bookmarkStart w:id="605" w:name="_Toc292559914"/>
      <w:bookmarkStart w:id="606" w:name="_Toc300934995"/>
      <w:bookmarkStart w:id="607" w:name="_Toc297120504"/>
      <w:bookmarkStart w:id="608" w:name="_Toc296346705"/>
      <w:bookmarkStart w:id="609" w:name="_Toc312678030"/>
      <w:bookmarkStart w:id="610" w:name="_Toc312677504"/>
      <w:bookmarkStart w:id="611" w:name="_Toc297123546"/>
      <w:bookmarkStart w:id="612" w:name="_Toc304295571"/>
      <w:bookmarkStart w:id="613" w:name="_Toc296891032"/>
      <w:bookmarkStart w:id="614" w:name="_Toc296503204"/>
      <w:bookmarkStart w:id="615" w:name="_Toc318581175"/>
      <w:bookmarkStart w:id="616" w:name="_Toc292559409"/>
      <w:bookmarkStart w:id="617" w:name="_Toc296891244"/>
      <w:bookmarkStart w:id="618" w:name="_Toc297048390"/>
      <w:bookmarkStart w:id="619" w:name="_Toc297216205"/>
      <w:bookmarkStart w:id="620" w:name="_Toc303539152"/>
      <w:bookmarkStart w:id="621" w:name="_Toc296347203"/>
      <w:bookmarkStart w:id="622" w:name="_Toc296944543"/>
      <w:r>
        <w:rPr>
          <w:rFonts w:ascii="宋体" w:hAnsi="宋体"/>
          <w:color w:val="000000" w:themeColor="text1"/>
          <w:szCs w:val="21"/>
          <w:highlight w:val="none"/>
          <w14:textFill>
            <w14:solidFill>
              <w14:schemeClr w14:val="tx1"/>
            </w14:solidFill>
          </w14:textFill>
        </w:rPr>
        <w:t>包人提出的合理化建议降低了合同价格或者提高了工程经济效益的奖励的方法和金额为：。</w:t>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71ECF86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bookmarkStart w:id="623" w:name="_Toc303539154"/>
      <w:bookmarkStart w:id="624" w:name="_Toc296346700"/>
      <w:bookmarkStart w:id="625" w:name="_Toc300934997"/>
      <w:bookmarkStart w:id="626" w:name="_Toc296347198"/>
      <w:bookmarkStart w:id="627" w:name="_Toc296891027"/>
      <w:bookmarkStart w:id="628" w:name="_Toc292559404"/>
      <w:bookmarkStart w:id="629" w:name="_Toc296891239"/>
      <w:bookmarkStart w:id="630" w:name="_Toc296503199"/>
      <w:bookmarkStart w:id="631" w:name="_Toc312678033"/>
      <w:bookmarkStart w:id="632" w:name="_Toc304295574"/>
      <w:bookmarkStart w:id="633" w:name="_Toc297048385"/>
      <w:bookmarkStart w:id="634" w:name="_Toc297216207"/>
      <w:bookmarkStart w:id="635" w:name="_Toc312677507"/>
      <w:bookmarkStart w:id="636" w:name="_Toc292559909"/>
      <w:bookmarkStart w:id="637" w:name="_Toc297120499"/>
      <w:bookmarkStart w:id="638" w:name="_Toc297123548"/>
      <w:bookmarkStart w:id="639" w:name="_Toc296944538"/>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暂估价</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6F88C09B">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10.4.1 </w:t>
      </w:r>
      <w:r>
        <w:rPr>
          <w:rFonts w:hAnsi="宋体"/>
          <w:color w:val="000000" w:themeColor="text1"/>
          <w:szCs w:val="21"/>
          <w:highlight w:val="none"/>
          <w14:textFill>
            <w14:solidFill>
              <w14:schemeClr w14:val="tx1"/>
            </w14:solidFill>
          </w14:textFill>
        </w:rPr>
        <w:t>变更估价原则</w:t>
      </w:r>
    </w:p>
    <w:p w14:paraId="6BFD4A1C">
      <w:pPr>
        <w:spacing w:line="360" w:lineRule="auto"/>
        <w:ind w:firstLine="420" w:firstLineChars="200"/>
        <w:jc w:val="left"/>
        <w:rPr>
          <w:rFonts w:hAnsi="宋体"/>
          <w:bCs/>
          <w:color w:val="000000" w:themeColor="text1"/>
          <w:szCs w:val="21"/>
          <w:highlight w:val="none"/>
          <w:u w:val="single"/>
          <w14:textFill>
            <w14:solidFill>
              <w14:schemeClr w14:val="tx1"/>
            </w14:solidFill>
          </w14:textFill>
        </w:rPr>
      </w:pPr>
      <w:r>
        <w:rPr>
          <w:rFonts w:hAnsi="宋体"/>
          <w:color w:val="000000" w:themeColor="text1"/>
          <w:szCs w:val="21"/>
          <w:highlight w:val="none"/>
          <w14:textFill>
            <w14:solidFill>
              <w14:schemeClr w14:val="tx1"/>
            </w14:solidFill>
          </w14:textFill>
        </w:rPr>
        <w:t>关于变更估价的约定</w:t>
      </w:r>
      <w:r>
        <w:rPr>
          <w:color w:val="000000" w:themeColor="text1"/>
          <w:szCs w:val="21"/>
          <w:highlight w:val="none"/>
          <w14:textFill>
            <w14:solidFill>
              <w14:schemeClr w14:val="tx1"/>
            </w14:solidFill>
          </w14:textFill>
        </w:rPr>
        <w:t xml:space="preserve">: </w:t>
      </w:r>
      <w:bookmarkStart w:id="640" w:name="_Toc251051742"/>
      <w:r>
        <w:rPr>
          <w:rFonts w:hint="eastAsia" w:hAnsi="宋体"/>
          <w:bCs/>
          <w:color w:val="000000" w:themeColor="text1"/>
          <w:szCs w:val="21"/>
          <w:highlight w:val="none"/>
          <w:u w:val="single"/>
          <w14:textFill>
            <w14:solidFill>
              <w14:schemeClr w14:val="tx1"/>
            </w14:solidFill>
          </w14:textFill>
        </w:rPr>
        <w:t>工程</w:t>
      </w:r>
      <w:r>
        <w:rPr>
          <w:rFonts w:hAnsi="宋体"/>
          <w:bCs/>
          <w:color w:val="000000" w:themeColor="text1"/>
          <w:szCs w:val="21"/>
          <w:highlight w:val="none"/>
          <w:u w:val="single"/>
          <w14:textFill>
            <w14:solidFill>
              <w14:schemeClr w14:val="tx1"/>
            </w14:solidFill>
          </w14:textFill>
        </w:rPr>
        <w:t>变更合同价款按下列方法进行：（</w:t>
      </w:r>
      <w:r>
        <w:rPr>
          <w:bCs/>
          <w:color w:val="000000" w:themeColor="text1"/>
          <w:szCs w:val="21"/>
          <w:highlight w:val="none"/>
          <w:u w:val="single"/>
          <w14:textFill>
            <w14:solidFill>
              <w14:schemeClr w14:val="tx1"/>
            </w14:solidFill>
          </w14:textFill>
        </w:rPr>
        <w:t>1</w:t>
      </w:r>
      <w:r>
        <w:rPr>
          <w:rFonts w:hAnsi="宋体"/>
          <w:bCs/>
          <w:color w:val="000000" w:themeColor="text1"/>
          <w:szCs w:val="21"/>
          <w:highlight w:val="none"/>
          <w:u w:val="single"/>
          <w14:textFill>
            <w14:solidFill>
              <w14:schemeClr w14:val="tx1"/>
            </w14:solidFill>
          </w14:textFill>
        </w:rPr>
        <w:t>）合同中已有相同清单项目的，按合同该清单项目价格进行计算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bCs/>
          <w:color w:val="000000" w:themeColor="text1"/>
          <w:szCs w:val="21"/>
          <w:highlight w:val="none"/>
          <w:u w:val="single"/>
          <w14:textFill>
            <w14:solidFill>
              <w14:schemeClr w14:val="tx1"/>
            </w14:solidFill>
          </w14:textFill>
        </w:rPr>
        <w:t>2</w:t>
      </w:r>
      <w:r>
        <w:rPr>
          <w:rFonts w:hAnsi="宋体"/>
          <w:bCs/>
          <w:color w:val="000000" w:themeColor="text1"/>
          <w:szCs w:val="21"/>
          <w:highlight w:val="none"/>
          <w:u w:val="single"/>
          <w14:textFill>
            <w14:solidFill>
              <w14:schemeClr w14:val="tx1"/>
            </w14:solidFill>
          </w14:textFill>
        </w:rPr>
        <w:t>）合同中只有类似清单项目的，参照该类似清单项目价格进行计算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bCs/>
          <w:color w:val="000000" w:themeColor="text1"/>
          <w:szCs w:val="21"/>
          <w:highlight w:val="none"/>
          <w:u w:val="single"/>
          <w14:textFill>
            <w14:solidFill>
              <w14:schemeClr w14:val="tx1"/>
            </w14:solidFill>
          </w14:textFill>
        </w:rPr>
        <w:t>3</w:t>
      </w:r>
      <w:r>
        <w:rPr>
          <w:rFonts w:hAnsi="宋体"/>
          <w:bCs/>
          <w:color w:val="000000" w:themeColor="text1"/>
          <w:szCs w:val="21"/>
          <w:highlight w:val="none"/>
          <w:u w:val="single"/>
          <w14:textFill>
            <w14:solidFill>
              <w14:schemeClr w14:val="tx1"/>
            </w14:solidFill>
          </w14:textFill>
        </w:rPr>
        <w:t>）合同中没有适用或类似清单项目的价格计算方法：有定额的套定额，并乘以</w:t>
      </w:r>
      <w:r>
        <w:rPr>
          <w:rFonts w:hint="eastAsia" w:hAnsi="宋体"/>
          <w:bCs/>
          <w:color w:val="000000" w:themeColor="text1"/>
          <w:szCs w:val="21"/>
          <w:highlight w:val="none"/>
          <w:u w:val="single"/>
          <w14:textFill>
            <w14:solidFill>
              <w14:schemeClr w14:val="tx1"/>
            </w14:solidFill>
          </w14:textFill>
        </w:rPr>
        <w:t>（竞标价/采购</w:t>
      </w:r>
      <w:r>
        <w:rPr>
          <w:rFonts w:hAnsi="宋体"/>
          <w:bCs/>
          <w:color w:val="000000" w:themeColor="text1"/>
          <w:szCs w:val="21"/>
          <w:highlight w:val="none"/>
          <w:u w:val="single"/>
          <w14:textFill>
            <w14:solidFill>
              <w14:schemeClr w14:val="tx1"/>
            </w14:solidFill>
          </w14:textFill>
        </w:rPr>
        <w:t>控制价</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系数计算，其中材料价格按施工期间的《</w:t>
      </w:r>
      <w:r>
        <w:rPr>
          <w:rFonts w:hint="eastAsia"/>
          <w:bCs/>
          <w:color w:val="000000" w:themeColor="text1"/>
          <w:szCs w:val="21"/>
          <w:highlight w:val="none"/>
          <w:u w:val="single"/>
          <w14:textFill>
            <w14:solidFill>
              <w14:schemeClr w14:val="tx1"/>
            </w14:solidFill>
          </w14:textFill>
        </w:rPr>
        <w:t>钦州</w:t>
      </w:r>
      <w:r>
        <w:rPr>
          <w:rFonts w:hAnsi="宋体"/>
          <w:bCs/>
          <w:color w:val="000000" w:themeColor="text1"/>
          <w:szCs w:val="21"/>
          <w:highlight w:val="none"/>
          <w:u w:val="single"/>
          <w14:textFill>
            <w14:solidFill>
              <w14:schemeClr w14:val="tx1"/>
            </w14:solidFill>
          </w14:textFill>
        </w:rPr>
        <w:t>市建设工程造价信息》相应价格信息进行计算</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w:t>
      </w:r>
      <w:r>
        <w:rPr>
          <w:rFonts w:hint="eastAsia"/>
          <w:bCs/>
          <w:color w:val="000000" w:themeColor="text1"/>
          <w:szCs w:val="21"/>
          <w:highlight w:val="none"/>
          <w:u w:val="single"/>
          <w14:textFill>
            <w14:solidFill>
              <w14:schemeClr w14:val="tx1"/>
            </w14:solidFill>
          </w14:textFill>
        </w:rPr>
        <w:t>钦州</w:t>
      </w:r>
      <w:r>
        <w:rPr>
          <w:rFonts w:hAnsi="宋体"/>
          <w:bCs/>
          <w:color w:val="000000" w:themeColor="text1"/>
          <w:szCs w:val="21"/>
          <w:highlight w:val="none"/>
          <w:u w:val="single"/>
          <w14:textFill>
            <w14:solidFill>
              <w14:schemeClr w14:val="tx1"/>
            </w14:solidFill>
          </w14:textFill>
        </w:rPr>
        <w:t>市建设工程造价信息》没有相应价格信息的</w:t>
      </w:r>
      <w:r>
        <w:rPr>
          <w:rFonts w:hint="eastAsia" w:hAnsi="宋体"/>
          <w:bCs/>
          <w:color w:val="000000" w:themeColor="text1"/>
          <w:szCs w:val="21"/>
          <w:highlight w:val="none"/>
          <w:u w:val="single"/>
          <w14:textFill>
            <w14:solidFill>
              <w14:schemeClr w14:val="tx1"/>
            </w14:solidFill>
          </w14:textFill>
        </w:rPr>
        <w:t>可</w:t>
      </w:r>
      <w:r>
        <w:rPr>
          <w:rFonts w:hAnsi="宋体"/>
          <w:bCs/>
          <w:color w:val="000000" w:themeColor="text1"/>
          <w:szCs w:val="21"/>
          <w:highlight w:val="none"/>
          <w:u w:val="single"/>
          <w14:textFill>
            <w14:solidFill>
              <w14:schemeClr w14:val="tx1"/>
            </w14:solidFill>
          </w14:textFill>
        </w:rPr>
        <w:t>参照</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南宁市</w:t>
      </w:r>
      <w:r>
        <w:rPr>
          <w:rFonts w:hint="eastAsia" w:hAnsi="宋体"/>
          <w:bCs/>
          <w:color w:val="000000" w:themeColor="text1"/>
          <w:szCs w:val="21"/>
          <w:highlight w:val="none"/>
          <w:u w:val="single"/>
          <w14:textFill>
            <w14:solidFill>
              <w14:schemeClr w14:val="tx1"/>
            </w14:solidFill>
          </w14:textFill>
        </w:rPr>
        <w:t>建设工程</w:t>
      </w:r>
      <w:r>
        <w:rPr>
          <w:rFonts w:hAnsi="宋体"/>
          <w:bCs/>
          <w:color w:val="000000" w:themeColor="text1"/>
          <w:szCs w:val="21"/>
          <w:highlight w:val="none"/>
          <w:u w:val="single"/>
          <w14:textFill>
            <w14:solidFill>
              <w14:schemeClr w14:val="tx1"/>
            </w14:solidFill>
          </w14:textFill>
        </w:rPr>
        <w:t>信息价</w:t>
      </w:r>
      <w:r>
        <w:rPr>
          <w:rFonts w:hint="eastAsia" w:hAnsi="宋体"/>
          <w:bCs/>
          <w:color w:val="000000" w:themeColor="text1"/>
          <w:szCs w:val="21"/>
          <w:highlight w:val="none"/>
          <w:u w:val="single"/>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或</w:t>
      </w:r>
      <w:r>
        <w:rPr>
          <w:rFonts w:hint="eastAsia" w:hAnsi="宋体"/>
          <w:bCs/>
          <w:color w:val="000000" w:themeColor="text1"/>
          <w:szCs w:val="21"/>
          <w:highlight w:val="none"/>
          <w:u w:val="single"/>
          <w14:textFill>
            <w14:solidFill>
              <w14:schemeClr w14:val="tx1"/>
            </w14:solidFill>
          </w14:textFill>
        </w:rPr>
        <w:t>广西</w:t>
      </w:r>
      <w:r>
        <w:rPr>
          <w:rFonts w:hAnsi="宋体"/>
          <w:bCs/>
          <w:color w:val="000000" w:themeColor="text1"/>
          <w:szCs w:val="21"/>
          <w:highlight w:val="none"/>
          <w:u w:val="single"/>
          <w14:textFill>
            <w14:solidFill>
              <w14:schemeClr w14:val="tx1"/>
            </w14:solidFill>
          </w14:textFill>
        </w:rPr>
        <w:t>区内其他城市信息价</w:t>
      </w:r>
      <w:r>
        <w:rPr>
          <w:rFonts w:hint="eastAsia" w:hAnsi="宋体"/>
          <w:bCs/>
          <w:color w:val="000000" w:themeColor="text1"/>
          <w:szCs w:val="21"/>
          <w:highlight w:val="none"/>
          <w:u w:val="single"/>
          <w:lang w:eastAsia="zh-CN"/>
          <w14:textFill>
            <w14:solidFill>
              <w14:schemeClr w14:val="tx1"/>
            </w14:solidFill>
          </w14:textFill>
        </w:rPr>
        <w:t>；</w:t>
      </w:r>
      <w:r>
        <w:rPr>
          <w:rFonts w:hAnsi="宋体"/>
          <w:bCs/>
          <w:color w:val="000000" w:themeColor="text1"/>
          <w:szCs w:val="21"/>
          <w:highlight w:val="none"/>
          <w:u w:val="single"/>
          <w14:textFill>
            <w14:solidFill>
              <w14:schemeClr w14:val="tx1"/>
            </w14:solidFill>
          </w14:textFill>
        </w:rPr>
        <w:t>无定额可套的，根据</w:t>
      </w:r>
      <w:r>
        <w:rPr>
          <w:rFonts w:hint="eastAsia" w:hAnsi="宋体"/>
          <w:bCs/>
          <w:color w:val="000000" w:themeColor="text1"/>
          <w:szCs w:val="21"/>
          <w:highlight w:val="none"/>
          <w:u w:val="single"/>
          <w14:textFill>
            <w14:solidFill>
              <w14:schemeClr w14:val="tx1"/>
            </w14:solidFill>
          </w14:textFill>
        </w:rPr>
        <w:t>经</w:t>
      </w:r>
      <w:r>
        <w:rPr>
          <w:rFonts w:hAnsi="宋体"/>
          <w:bCs/>
          <w:color w:val="000000" w:themeColor="text1"/>
          <w:szCs w:val="21"/>
          <w:highlight w:val="none"/>
          <w:u w:val="single"/>
          <w14:textFill>
            <w14:solidFill>
              <w14:schemeClr w14:val="tx1"/>
            </w14:solidFill>
          </w14:textFill>
        </w:rPr>
        <w:t>市场</w:t>
      </w:r>
      <w:r>
        <w:rPr>
          <w:rFonts w:hint="eastAsia" w:hAnsi="宋体"/>
          <w:bCs/>
          <w:color w:val="000000" w:themeColor="text1"/>
          <w:szCs w:val="21"/>
          <w:highlight w:val="none"/>
          <w:u w:val="single"/>
          <w14:textFill>
            <w14:solidFill>
              <w14:schemeClr w14:val="tx1"/>
            </w14:solidFill>
          </w14:textFill>
        </w:rPr>
        <w:t>询价</w:t>
      </w:r>
      <w:r>
        <w:rPr>
          <w:rFonts w:hAnsi="宋体"/>
          <w:bCs/>
          <w:color w:val="000000" w:themeColor="text1"/>
          <w:szCs w:val="21"/>
          <w:highlight w:val="none"/>
          <w:u w:val="single"/>
          <w14:textFill>
            <w14:solidFill>
              <w14:schemeClr w14:val="tx1"/>
            </w14:solidFill>
          </w14:textFill>
        </w:rPr>
        <w:t>协商确定综合价格</w:t>
      </w:r>
      <w:r>
        <w:rPr>
          <w:rFonts w:hint="eastAsia" w:hAnsi="宋体"/>
          <w:bCs/>
          <w:color w:val="000000" w:themeColor="text1"/>
          <w:szCs w:val="21"/>
          <w:highlight w:val="none"/>
          <w:u w:val="single"/>
          <w14:textFill>
            <w14:solidFill>
              <w14:schemeClr w14:val="tx1"/>
            </w14:solidFill>
          </w14:textFill>
        </w:rPr>
        <w:t>或经</w:t>
      </w:r>
      <w:r>
        <w:rPr>
          <w:rFonts w:hAnsi="宋体"/>
          <w:bCs/>
          <w:color w:val="000000" w:themeColor="text1"/>
          <w:szCs w:val="21"/>
          <w:highlight w:val="none"/>
          <w:u w:val="single"/>
          <w14:textFill>
            <w14:solidFill>
              <w14:schemeClr w14:val="tx1"/>
            </w14:solidFill>
          </w14:textFill>
        </w:rPr>
        <w:t>采购</w:t>
      </w:r>
      <w:r>
        <w:rPr>
          <w:rFonts w:hint="eastAsia" w:hAnsi="宋体"/>
          <w:bCs/>
          <w:color w:val="000000" w:themeColor="text1"/>
          <w:szCs w:val="21"/>
          <w:highlight w:val="none"/>
          <w:u w:val="single"/>
          <w14:textFill>
            <w14:solidFill>
              <w14:schemeClr w14:val="tx1"/>
            </w14:solidFill>
          </w14:textFill>
        </w:rPr>
        <w:t>采购</w:t>
      </w:r>
      <w:r>
        <w:rPr>
          <w:rFonts w:hAnsi="宋体"/>
          <w:bCs/>
          <w:color w:val="000000" w:themeColor="text1"/>
          <w:szCs w:val="21"/>
          <w:highlight w:val="none"/>
          <w:u w:val="single"/>
          <w14:textFill>
            <w14:solidFill>
              <w14:schemeClr w14:val="tx1"/>
            </w14:solidFill>
          </w14:textFill>
        </w:rPr>
        <w:t>确定材料</w:t>
      </w:r>
      <w:r>
        <w:rPr>
          <w:rFonts w:hint="eastAsia" w:hAnsi="宋体"/>
          <w:bCs/>
          <w:color w:val="000000" w:themeColor="text1"/>
          <w:szCs w:val="21"/>
          <w:highlight w:val="none"/>
          <w:u w:val="single"/>
          <w14:textFill>
            <w14:solidFill>
              <w14:schemeClr w14:val="tx1"/>
            </w14:solidFill>
          </w14:textFill>
        </w:rPr>
        <w:t>单价</w:t>
      </w:r>
      <w:bookmarkEnd w:id="640"/>
      <w:r>
        <w:rPr>
          <w:rFonts w:hint="eastAsia" w:hAnsi="宋体"/>
          <w:bCs/>
          <w:color w:val="000000" w:themeColor="text1"/>
          <w:szCs w:val="21"/>
          <w:highlight w:val="none"/>
          <w:u w:val="single"/>
          <w14:textFill>
            <w14:solidFill>
              <w14:schemeClr w14:val="tx1"/>
            </w14:solidFill>
          </w14:textFill>
        </w:rPr>
        <w:t>。</w:t>
      </w:r>
    </w:p>
    <w:p w14:paraId="1654A375">
      <w:pPr>
        <w:spacing w:line="360" w:lineRule="auto"/>
        <w:ind w:firstLine="420"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6E7CF14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暂列金额</w:t>
      </w:r>
    </w:p>
    <w:p w14:paraId="4E64C763">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合同当事人关于暂列金额使用的约定：</w:t>
      </w:r>
      <w:r>
        <w:rPr>
          <w:rFonts w:hAnsi="宋体"/>
          <w:color w:val="000000" w:themeColor="text1"/>
          <w:kern w:val="0"/>
          <w:szCs w:val="21"/>
          <w:highlight w:val="none"/>
          <w14:textFill>
            <w14:solidFill>
              <w14:schemeClr w14:val="tx1"/>
            </w14:solidFill>
          </w14:textFill>
        </w:rPr>
        <w:t>暂</w:t>
      </w:r>
      <w:bookmarkStart w:id="641" w:name="_Toc312677508"/>
      <w:bookmarkStart w:id="642" w:name="_Toc318581176"/>
      <w:bookmarkStart w:id="643" w:name="_Toc312678034"/>
      <w:r>
        <w:rPr>
          <w:rFonts w:hAnsi="宋体"/>
          <w:color w:val="000000" w:themeColor="text1"/>
          <w:kern w:val="0"/>
          <w:szCs w:val="21"/>
          <w:highlight w:val="none"/>
          <w14:textFill>
            <w14:solidFill>
              <w14:schemeClr w14:val="tx1"/>
            </w14:solidFill>
          </w14:textFill>
        </w:rPr>
        <w:t>估价材料和工程设备的明细详见</w:t>
      </w:r>
      <w:r>
        <w:rPr>
          <w:rFonts w:hint="eastAsia" w:hAnsi="宋体"/>
          <w:color w:val="000000" w:themeColor="text1"/>
          <w:kern w:val="0"/>
          <w:szCs w:val="21"/>
          <w:highlight w:val="none"/>
          <w14:textFill>
            <w14:solidFill>
              <w14:schemeClr w14:val="tx1"/>
            </w14:solidFill>
          </w14:textFill>
        </w:rPr>
        <w:t>已标价工程量清单《</w:t>
      </w:r>
      <w:r>
        <w:rPr>
          <w:color w:val="000000" w:themeColor="text1"/>
          <w:szCs w:val="21"/>
          <w:highlight w:val="none"/>
          <w14:textFill>
            <w14:solidFill>
              <w14:schemeClr w14:val="tx1"/>
            </w14:solidFill>
          </w14:textFill>
        </w:rPr>
        <w:t>材料（工程设备）暂估价格及调整表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（表12-2）和《</w:t>
      </w:r>
      <w:r>
        <w:rPr>
          <w:color w:val="000000" w:themeColor="text1"/>
          <w:szCs w:val="21"/>
          <w:highlight w:val="none"/>
          <w14:textFill>
            <w14:solidFill>
              <w14:schemeClr w14:val="tx1"/>
            </w14:solidFill>
          </w14:textFill>
        </w:rPr>
        <w:t>专业工程暂估价表</w:t>
      </w:r>
      <w:r>
        <w:rPr>
          <w:rFonts w:hint="eastAsia"/>
          <w:color w:val="000000" w:themeColor="text1"/>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表12-3）</w:t>
      </w:r>
      <w:r>
        <w:rPr>
          <w:rFonts w:hAnsi="宋体"/>
          <w:color w:val="000000" w:themeColor="text1"/>
          <w:kern w:val="0"/>
          <w:szCs w:val="21"/>
          <w:highlight w:val="none"/>
          <w14:textFill>
            <w14:solidFill>
              <w14:schemeClr w14:val="tx1"/>
            </w14:solidFill>
          </w14:textFill>
        </w:rPr>
        <w:t>。</w:t>
      </w:r>
    </w:p>
    <w:p w14:paraId="2C9F5725">
      <w:pPr>
        <w:autoSpaceDE w:val="0"/>
        <w:autoSpaceDN w:val="0"/>
        <w:adjustRightInd w:val="0"/>
        <w:spacing w:line="360" w:lineRule="auto"/>
        <w:ind w:firstLine="420" w:firstLineChars="200"/>
        <w:jc w:val="left"/>
        <w:rPr>
          <w:color w:val="000000" w:themeColor="text1"/>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合同当事人关于暂列金额使用的约定：</w:t>
      </w:r>
      <w:r>
        <w:rPr>
          <w:rFonts w:hint="eastAsia"/>
          <w:color w:val="000000" w:themeColor="text1"/>
          <w:szCs w:val="21"/>
          <w:highlight w:val="none"/>
          <w:u w:val="single"/>
          <w14:textFill>
            <w14:solidFill>
              <w14:schemeClr w14:val="tx1"/>
            </w14:solidFill>
          </w14:textFill>
        </w:rPr>
        <w:t>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w:t>
      </w:r>
    </w:p>
    <w:bookmarkEnd w:id="641"/>
    <w:bookmarkEnd w:id="642"/>
    <w:bookmarkEnd w:id="643"/>
    <w:p w14:paraId="37122D71">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644" w:name="_Toc351203643"/>
      <w:r>
        <w:rPr>
          <w:rFonts w:ascii="宋体" w:hAnsi="宋体" w:eastAsia="黑体"/>
          <w:b/>
          <w:color w:val="000000" w:themeColor="text1"/>
          <w:kern w:val="0"/>
          <w:sz w:val="28"/>
          <w:szCs w:val="21"/>
          <w:highlight w:val="none"/>
          <w14:textFill>
            <w14:solidFill>
              <w14:schemeClr w14:val="tx1"/>
            </w14:solidFill>
          </w14:textFill>
        </w:rPr>
        <w:t>11. 价格调整</w:t>
      </w:r>
      <w:bookmarkEnd w:id="644"/>
    </w:p>
    <w:p w14:paraId="33971637">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645" w:name="_Toc297123550"/>
      <w:bookmarkStart w:id="646" w:name="_Toc296944540"/>
      <w:bookmarkStart w:id="647" w:name="_Toc303539157"/>
      <w:bookmarkStart w:id="648" w:name="_Toc296503201"/>
      <w:bookmarkStart w:id="649" w:name="_Toc297048387"/>
      <w:bookmarkStart w:id="650" w:name="_Toc292559406"/>
      <w:bookmarkStart w:id="651" w:name="_Toc312678039"/>
      <w:bookmarkStart w:id="652" w:name="_Toc300935000"/>
      <w:bookmarkStart w:id="653" w:name="_Toc292559911"/>
      <w:bookmarkStart w:id="654" w:name="_Toc296891029"/>
      <w:bookmarkStart w:id="655" w:name="_Toc304295577"/>
      <w:bookmarkStart w:id="656" w:name="_Toc297120501"/>
      <w:bookmarkStart w:id="657" w:name="_Toc297216209"/>
      <w:bookmarkStart w:id="658" w:name="_Toc296891241"/>
      <w:bookmarkStart w:id="659" w:name="_Toc296347200"/>
      <w:bookmarkStart w:id="660" w:name="_Toc296346702"/>
      <w:r>
        <w:rPr>
          <w:rFonts w:ascii="宋体" w:hAnsi="宋体"/>
          <w:color w:val="000000" w:themeColor="text1"/>
          <w:szCs w:val="21"/>
          <w:highlight w:val="none"/>
          <w14:textFill>
            <w14:solidFill>
              <w14:schemeClr w14:val="tx1"/>
            </w14:solidFill>
          </w14:textFill>
        </w:rPr>
        <w:t>11.1 市场价格波动引起的调整</w:t>
      </w:r>
    </w:p>
    <w:bookmarkEnd w:id="550"/>
    <w:bookmarkEnd w:id="551"/>
    <w:bookmarkEnd w:id="552"/>
    <w:bookmarkEnd w:id="553"/>
    <w:bookmarkEnd w:id="554"/>
    <w:bookmarkEnd w:id="555"/>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14:paraId="76DE97A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661" w:name="_Toc296346706"/>
      <w:bookmarkStart w:id="662" w:name="_Toc296891245"/>
      <w:bookmarkStart w:id="663" w:name="_Toc296891033"/>
      <w:bookmarkStart w:id="664" w:name="_Toc296944544"/>
      <w:bookmarkStart w:id="665" w:name="_Toc297048391"/>
      <w:bookmarkStart w:id="666" w:name="_Toc296503205"/>
      <w:bookmarkStart w:id="667" w:name="_Toc292559410"/>
      <w:bookmarkStart w:id="668" w:name="_Toc292559915"/>
      <w:bookmarkStart w:id="669" w:name="_Toc297120505"/>
      <w:bookmarkStart w:id="670" w:name="_Toc296347204"/>
      <w:bookmarkStart w:id="671" w:name="_Toc351203644"/>
      <w:bookmarkStart w:id="672" w:name="_Toc304295579"/>
      <w:bookmarkStart w:id="673" w:name="_Toc297216211"/>
      <w:bookmarkStart w:id="674" w:name="_Toc303539159"/>
      <w:bookmarkStart w:id="675" w:name="_Toc300935002"/>
      <w:bookmarkStart w:id="676" w:name="_Toc297123552"/>
      <w:bookmarkStart w:id="677" w:name="_Toc312678040"/>
      <w:r>
        <w:rPr>
          <w:rFonts w:hint="eastAsia" w:ascii="宋体" w:hAnsi="宋体"/>
          <w:color w:val="000000" w:themeColor="text1"/>
          <w:szCs w:val="21"/>
          <w:highlight w:val="none"/>
          <w14:textFill>
            <w14:solidFill>
              <w14:schemeClr w14:val="tx1"/>
            </w14:solidFill>
          </w14:textFill>
        </w:rPr>
        <w:t>市场价格波动是否调整合同价格的约定：</w:t>
      </w:r>
      <w:r>
        <w:rPr>
          <w:rFonts w:hint="eastAsia" w:ascii="宋体" w:hAnsi="宋体"/>
          <w:color w:val="000000" w:themeColor="text1"/>
          <w:szCs w:val="21"/>
          <w:highlight w:val="none"/>
          <w:u w:val="single"/>
          <w14:textFill>
            <w14:solidFill>
              <w14:schemeClr w14:val="tx1"/>
            </w14:solidFill>
          </w14:textFill>
        </w:rPr>
        <w:t>可调整</w:t>
      </w:r>
      <w:r>
        <w:rPr>
          <w:rFonts w:hint="eastAsia" w:ascii="宋体" w:hAnsi="宋体"/>
          <w:color w:val="000000" w:themeColor="text1"/>
          <w:szCs w:val="21"/>
          <w:highlight w:val="none"/>
          <w14:textFill>
            <w14:solidFill>
              <w14:schemeClr w14:val="tx1"/>
            </w14:solidFill>
          </w14:textFill>
        </w:rPr>
        <w:t>。</w:t>
      </w:r>
    </w:p>
    <w:p w14:paraId="52D8F1A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因市场价格波动调整合同价格，采用以下第</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种方式对合同价格进行调整：</w:t>
      </w:r>
    </w:p>
    <w:p w14:paraId="1972A66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种方式：采用价格指数进行价格调整。</w:t>
      </w:r>
    </w:p>
    <w:p w14:paraId="1EA42ED4">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Cs w:val="21"/>
          <w:highlight w:val="none"/>
          <w:lang w:eastAsia="zh-CN"/>
          <w14:textFill>
            <w14:solidFill>
              <w14:schemeClr w14:val="tx1"/>
            </w14:solidFill>
          </w14:textFill>
        </w:rPr>
        <w:t>；</w:t>
      </w:r>
    </w:p>
    <w:p w14:paraId="4E97A7F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第2种方式：根据《关于加强建筑材料价格风险控制的指导意见》（钦州市住房和城乡建设委员会2010年9月21日文件）规定采用造价信息按算术平均差价进行价格调整。</w:t>
      </w:r>
    </w:p>
    <w:p w14:paraId="6651523A">
      <w:pPr>
        <w:spacing w:line="40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（2）关于基准价格的约定：</w:t>
      </w:r>
      <w:r>
        <w:rPr>
          <w:rFonts w:hint="eastAsia" w:ascii="宋体" w:hAnsi="宋体"/>
          <w:color w:val="000000" w:themeColor="text1"/>
          <w:szCs w:val="21"/>
          <w:highlight w:val="none"/>
          <w:u w:val="single"/>
          <w14:textFill>
            <w14:solidFill>
              <w14:schemeClr w14:val="tx1"/>
            </w14:solidFill>
          </w14:textFill>
        </w:rPr>
        <w:t>1、采购发包的工程，材料基准价格为采购当期《钦州市建设工程造价信息》发布的材料信息价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采购当期《钦州市建设工程造价信息》没有发布信息价的材料，其基准价为经评审的采购控制价中的材料价格</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2、直接发包的工程，主要材料按签订合同当期的《钦州市建设工程造价信息》发布的材料价格为基准价格。签订合同当期没有发布信息价的材料，其基准价为经评审的工程预算书中的材料价格。  </w:t>
      </w:r>
    </w:p>
    <w:p w14:paraId="2C38B88D">
      <w:pPr>
        <w:spacing w:line="40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合同履行期间经审核材料单价涨跌幅以基准单价为基础，超过±5%时，其超过±5 %部分据实调整（具体调整办法按钦州市住房和城乡建设委员会文件《关于加强建筑材料价格风险控制的指导意见》[2010年9月21日]的规定执行）。</w:t>
      </w:r>
    </w:p>
    <w:p w14:paraId="5837509E">
      <w:pPr>
        <w:spacing w:line="360" w:lineRule="auto"/>
        <w:ind w:firstLine="525" w:firstLineChars="25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第3种方式：其他价格调整方式：</w:t>
      </w:r>
      <w:r>
        <w:rPr>
          <w:rFonts w:hint="eastAsia" w:ascii="宋体" w:hAnsi="宋体"/>
          <w:color w:val="000000" w:themeColor="text1"/>
          <w:szCs w:val="21"/>
          <w:highlight w:val="none"/>
          <w:u w:val="single"/>
          <w14:textFill>
            <w14:solidFill>
              <w14:schemeClr w14:val="tx1"/>
            </w14:solidFill>
          </w14:textFill>
        </w:rPr>
        <w:t xml:space="preserve">  无  </w:t>
      </w:r>
      <w:r>
        <w:rPr>
          <w:rFonts w:hint="eastAsia" w:ascii="宋体" w:hAnsi="宋体"/>
          <w:color w:val="000000" w:themeColor="text1"/>
          <w:szCs w:val="21"/>
          <w:highlight w:val="none"/>
          <w14:textFill>
            <w14:solidFill>
              <w14:schemeClr w14:val="tx1"/>
            </w14:solidFill>
          </w14:textFill>
        </w:rPr>
        <w:t>。</w:t>
      </w:r>
    </w:p>
    <w:p w14:paraId="00F29E46">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u w:val="single"/>
          <w14:textFill>
            <w14:solidFill>
              <w14:schemeClr w14:val="tx1"/>
            </w14:solidFill>
          </w14:textFill>
        </w:rPr>
        <w:t>合同履行期间，除专用合同条款第11.3 款约定的增减以外，其他条件引起的综合单价变动均不调整。</w:t>
      </w:r>
    </w:p>
    <w:p w14:paraId="7E036EE8">
      <w:pPr>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综合单价调整：</w:t>
      </w:r>
    </w:p>
    <w:p w14:paraId="05AA1E45">
      <w:pPr>
        <w:spacing w:line="360" w:lineRule="auto"/>
        <w:ind w:firstLine="48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（1）由于工程量清单项目漏项（指图纸有而清单无的漏项清单项目），其综合单价，依据2013年《</w:t>
      </w:r>
      <w:r>
        <w:rPr>
          <w:rFonts w:hint="eastAsia"/>
          <w:color w:val="000000" w:themeColor="text1"/>
          <w:highlight w:val="none"/>
          <w:u w:val="single"/>
          <w14:textFill>
            <w14:solidFill>
              <w14:schemeClr w14:val="tx1"/>
            </w14:solidFill>
          </w14:textFill>
        </w:rPr>
        <w:t>广西壮族自治区建筑装饰工程消耗量定额</w:t>
      </w:r>
      <w:r>
        <w:rPr>
          <w:rFonts w:hint="eastAsia" w:ascii="宋体" w:hAnsi="宋体"/>
          <w:color w:val="000000" w:themeColor="text1"/>
          <w:szCs w:val="21"/>
          <w:highlight w:val="none"/>
          <w:u w:val="single"/>
          <w14:textFill>
            <w14:solidFill>
              <w14:schemeClr w14:val="tx1"/>
            </w14:solidFill>
          </w14:textFill>
        </w:rPr>
        <w:t>》、2014版《广西壮族自治区市政工程消耗量定额》</w:t>
      </w:r>
      <w:r>
        <w:rPr>
          <w:rFonts w:hint="eastAsia"/>
          <w:color w:val="000000" w:themeColor="text1"/>
          <w:szCs w:val="21"/>
          <w:highlight w:val="none"/>
          <w:u w:val="single"/>
          <w14:textFill>
            <w14:solidFill>
              <w14:schemeClr w14:val="tx1"/>
            </w14:solidFill>
          </w14:textFill>
        </w:rPr>
        <w:t>、</w:t>
      </w:r>
      <w:r>
        <w:rPr>
          <w:color w:val="000000" w:themeColor="text1"/>
          <w:highlight w:val="none"/>
          <w:u w:val="single"/>
          <w14:textFill>
            <w14:solidFill>
              <w14:schemeClr w14:val="tx1"/>
            </w14:solidFill>
          </w14:textFill>
        </w:rPr>
        <w:t>2015</w:t>
      </w:r>
      <w:r>
        <w:rPr>
          <w:rFonts w:hint="eastAsia"/>
          <w:color w:val="000000" w:themeColor="text1"/>
          <w:highlight w:val="none"/>
          <w:u w:val="single"/>
          <w14:textFill>
            <w14:solidFill>
              <w14:schemeClr w14:val="tx1"/>
            </w14:solidFill>
          </w14:textFill>
        </w:rPr>
        <w:t>版《广西壮族自治区安装工程消耗量定额》、</w:t>
      </w:r>
      <w:r>
        <w:rPr>
          <w:rFonts w:hint="eastAsia"/>
          <w:color w:val="000000" w:themeColor="text1"/>
          <w:szCs w:val="21"/>
          <w:highlight w:val="none"/>
          <w:u w:val="single"/>
          <w14:textFill>
            <w14:solidFill>
              <w14:schemeClr w14:val="tx1"/>
            </w14:solidFill>
          </w14:textFill>
        </w:rPr>
        <w:t>2016年《广西壮族自治区建设工程费用定额》</w:t>
      </w:r>
      <w:r>
        <w:rPr>
          <w:rFonts w:hint="eastAsia" w:ascii="宋体" w:hAnsi="宋体"/>
          <w:color w:val="000000" w:themeColor="text1"/>
          <w:szCs w:val="21"/>
          <w:highlight w:val="none"/>
          <w:u w:val="single"/>
          <w14:textFill>
            <w14:solidFill>
              <w14:schemeClr w14:val="tx1"/>
            </w14:solidFill>
          </w14:textFill>
        </w:rPr>
        <w:t>及承包人的竞标材料单价（新增材料按施工期间的钦州市信息中钦州价格或经发包人、承包人、监理及有关监督部门共同认可的实际购买价）计算出综合单价后，乘以承包人的中标价与工程采购控制价比较得出的系数，确定新的综合单价。</w:t>
      </w:r>
    </w:p>
    <w:p w14:paraId="573EB363">
      <w:pPr>
        <w:widowControl/>
        <w:adjustRightInd w:val="0"/>
        <w:snapToGrid w:val="0"/>
        <w:spacing w:line="360" w:lineRule="auto"/>
        <w:ind w:firstLine="420" w:firstLineChars="200"/>
        <w:outlineLvl w:val="2"/>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 由于设计变更或工程量清单数量有误引起的工程量增减（指原有清单项目），执行原有的综合单价。</w:t>
      </w:r>
    </w:p>
    <w:p w14:paraId="46CEAB33">
      <w:pPr>
        <w:widowControl/>
        <w:adjustRightInd w:val="0"/>
        <w:snapToGrid w:val="0"/>
        <w:spacing w:line="360" w:lineRule="auto"/>
        <w:ind w:firstLine="420" w:firstLineChars="200"/>
        <w:outlineLvl w:val="2"/>
        <w:rPr>
          <w:rFonts w:hint="eastAsia"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(3) 材料价格调整：按专用合同条款第11.1项的规定执行。</w:t>
      </w:r>
    </w:p>
    <w:p w14:paraId="00FBED7B">
      <w:pPr>
        <w:widowControl/>
        <w:adjustRightInd w:val="0"/>
        <w:snapToGrid w:val="0"/>
        <w:spacing w:line="360" w:lineRule="auto"/>
        <w:ind w:left="420" w:leftChars="200" w:firstLine="0" w:firstLineChars="0"/>
        <w:outlineLvl w:val="2"/>
        <w:rPr>
          <w:rFonts w:hint="eastAsia"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(4) 由于设计变更引起新的工程量清单项目，按本款第（1）项的办法，确定新的综合单价。    (5) 工程量清单中已有的项目，材料的品种（含颜色、规格等）因发包人的原因发生变更的，只调整该种材料的差价部分及相应税金（发包人采购控制价中的材料价格与经认可的实际购买价差），其他费用不变。</w:t>
      </w:r>
    </w:p>
    <w:p w14:paraId="67677F2D">
      <w:pPr>
        <w:widowControl/>
        <w:adjustRightInd w:val="0"/>
        <w:snapToGrid w:val="0"/>
        <w:spacing w:line="360" w:lineRule="auto"/>
        <w:ind w:left="420" w:leftChars="200" w:firstLine="0" w:firstLineChars="0"/>
        <w:outlineLvl w:val="2"/>
        <w:rPr>
          <w:rFonts w:hint="eastAsia"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(6) 工程量清单中只有类似于变更工程的综合单价，可以参照类似的综合单价变更合同价款。即其他项目特征、施工方法不变，仅是设计配合化的变更，材料色彩的变更，材料出产地的变更，材料等级的变更，材料规格的变更等，只调整设计配合比及材料的差价部分及相应税金，其他费用不变。</w:t>
      </w:r>
    </w:p>
    <w:p w14:paraId="02F16A39">
      <w:pPr>
        <w:widowControl/>
        <w:adjustRightInd w:val="0"/>
        <w:snapToGrid w:val="0"/>
        <w:spacing w:line="360" w:lineRule="auto"/>
        <w:ind w:left="420" w:leftChars="200" w:firstLine="0" w:firstLineChars="0"/>
        <w:outlineLvl w:val="2"/>
        <w:rPr>
          <w:rFonts w:ascii="宋体" w:hAnsi="宋体"/>
          <w:bCs/>
          <w:color w:val="000000" w:themeColor="text1"/>
          <w:szCs w:val="28"/>
          <w:highlight w:val="none"/>
          <w:u w:val="single"/>
          <w14:textFill>
            <w14:solidFill>
              <w14:schemeClr w14:val="tx1"/>
            </w14:solidFill>
          </w14:textFill>
        </w:rPr>
      </w:pPr>
      <w:r>
        <w:rPr>
          <w:rFonts w:hint="eastAsia" w:ascii="宋体" w:hAnsi="宋体"/>
          <w:bCs/>
          <w:color w:val="000000" w:themeColor="text1"/>
          <w:szCs w:val="28"/>
          <w:highlight w:val="none"/>
          <w:u w:val="single"/>
          <w14:textFill>
            <w14:solidFill>
              <w14:schemeClr w14:val="tx1"/>
            </w14:solidFill>
          </w14:textFill>
        </w:rPr>
        <w:t>（7）按桂建标[2015]5号、桂建标[2016]16号、桂建标[2016]17号文件规定进行调整，如专用合同条款合同履行期间计价依据有调整的，按调整文件规定执行。</w:t>
      </w:r>
    </w:p>
    <w:p w14:paraId="16ECA382">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color w:val="000000" w:themeColor="text1"/>
          <w:kern w:val="0"/>
          <w:sz w:val="28"/>
          <w:szCs w:val="21"/>
          <w:highlight w:val="none"/>
          <w14:textFill>
            <w14:solidFill>
              <w14:schemeClr w14:val="tx1"/>
            </w14:solidFill>
          </w14:textFill>
        </w:rPr>
        <w:t>1</w:t>
      </w:r>
      <w:r>
        <w:rPr>
          <w:rFonts w:ascii="宋体" w:hAnsi="宋体" w:eastAsia="黑体"/>
          <w:b/>
          <w:color w:val="000000" w:themeColor="text1"/>
          <w:kern w:val="0"/>
          <w:sz w:val="28"/>
          <w:szCs w:val="21"/>
          <w:highlight w:val="none"/>
          <w14:textFill>
            <w14:solidFill>
              <w14:schemeClr w14:val="tx1"/>
            </w14:solidFill>
          </w14:textFill>
        </w:rPr>
        <w:t xml:space="preserve">2. </w:t>
      </w:r>
      <w:bookmarkEnd w:id="661"/>
      <w:bookmarkEnd w:id="662"/>
      <w:bookmarkEnd w:id="663"/>
      <w:bookmarkEnd w:id="664"/>
      <w:bookmarkEnd w:id="665"/>
      <w:bookmarkEnd w:id="666"/>
      <w:bookmarkEnd w:id="667"/>
      <w:bookmarkEnd w:id="668"/>
      <w:bookmarkEnd w:id="669"/>
      <w:bookmarkEnd w:id="670"/>
      <w:r>
        <w:rPr>
          <w:rFonts w:ascii="宋体" w:hAnsi="宋体" w:eastAsia="黑体"/>
          <w:b/>
          <w:color w:val="000000" w:themeColor="text1"/>
          <w:kern w:val="0"/>
          <w:sz w:val="28"/>
          <w:szCs w:val="21"/>
          <w:highlight w:val="none"/>
          <w14:textFill>
            <w14:solidFill>
              <w14:schemeClr w14:val="tx1"/>
            </w14:solidFill>
          </w14:textFill>
        </w:rPr>
        <w:t>合同价格、计量与支付</w:t>
      </w:r>
      <w:bookmarkEnd w:id="671"/>
    </w:p>
    <w:bookmarkEnd w:id="672"/>
    <w:bookmarkEnd w:id="673"/>
    <w:bookmarkEnd w:id="674"/>
    <w:bookmarkEnd w:id="675"/>
    <w:bookmarkEnd w:id="676"/>
    <w:bookmarkEnd w:id="677"/>
    <w:p w14:paraId="26C07981">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678" w:name="_Toc292559411"/>
      <w:bookmarkStart w:id="679" w:name="_Toc292559916"/>
      <w:bookmarkStart w:id="680" w:name="_Toc267251461"/>
      <w:bookmarkStart w:id="681" w:name="_Toc296891034"/>
      <w:bookmarkStart w:id="682" w:name="_Toc296347205"/>
      <w:bookmarkStart w:id="683" w:name="_Toc296346707"/>
      <w:bookmarkStart w:id="684" w:name="_Toc296891246"/>
      <w:bookmarkStart w:id="685" w:name="_Toc297120506"/>
      <w:bookmarkStart w:id="686" w:name="_Toc297048392"/>
      <w:bookmarkStart w:id="687" w:name="_Toc296944545"/>
      <w:bookmarkStart w:id="688" w:name="_Toc296503206"/>
      <w:bookmarkStart w:id="689" w:name="_Toc300935003"/>
      <w:bookmarkStart w:id="690" w:name="_Toc297123553"/>
      <w:bookmarkStart w:id="691" w:name="_Toc297216212"/>
      <w:bookmarkStart w:id="692" w:name="_Toc304295580"/>
      <w:bookmarkStart w:id="693" w:name="_Toc312678041"/>
      <w:bookmarkStart w:id="694" w:name="_Toc303539160"/>
      <w:r>
        <w:rPr>
          <w:rFonts w:ascii="宋体" w:hAnsi="宋体"/>
          <w:color w:val="000000" w:themeColor="text1"/>
          <w:szCs w:val="21"/>
          <w:highlight w:val="none"/>
          <w14:textFill>
            <w14:solidFill>
              <w14:schemeClr w14:val="tx1"/>
            </w14:solidFill>
          </w14:textFill>
        </w:rPr>
        <w:t>12.1 合</w:t>
      </w:r>
      <w:bookmarkEnd w:id="678"/>
      <w:bookmarkEnd w:id="679"/>
      <w:bookmarkEnd w:id="680"/>
      <w:r>
        <w:rPr>
          <w:rFonts w:ascii="宋体" w:hAnsi="宋体"/>
          <w:color w:val="000000" w:themeColor="text1"/>
          <w:szCs w:val="21"/>
          <w:highlight w:val="none"/>
          <w14:textFill>
            <w14:solidFill>
              <w14:schemeClr w14:val="tx1"/>
            </w14:solidFill>
          </w14:textFill>
        </w:rPr>
        <w:t>同价</w:t>
      </w:r>
      <w:bookmarkEnd w:id="681"/>
      <w:bookmarkEnd w:id="682"/>
      <w:bookmarkEnd w:id="683"/>
      <w:bookmarkEnd w:id="684"/>
      <w:bookmarkEnd w:id="685"/>
      <w:bookmarkEnd w:id="686"/>
      <w:bookmarkEnd w:id="687"/>
      <w:bookmarkEnd w:id="688"/>
      <w:r>
        <w:rPr>
          <w:rFonts w:ascii="宋体" w:hAnsi="宋体"/>
          <w:color w:val="000000" w:themeColor="text1"/>
          <w:szCs w:val="21"/>
          <w:highlight w:val="none"/>
          <w14:textFill>
            <w14:solidFill>
              <w14:schemeClr w14:val="tx1"/>
            </w14:solidFill>
          </w14:textFill>
        </w:rPr>
        <w:t>格形式</w:t>
      </w:r>
    </w:p>
    <w:bookmarkEnd w:id="689"/>
    <w:bookmarkEnd w:id="690"/>
    <w:bookmarkEnd w:id="691"/>
    <w:bookmarkEnd w:id="692"/>
    <w:bookmarkEnd w:id="693"/>
    <w:bookmarkEnd w:id="694"/>
    <w:p w14:paraId="0EB09C7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单价合同。</w:t>
      </w:r>
    </w:p>
    <w:p w14:paraId="7D920E46">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综合单价包含的风险范围：。</w:t>
      </w:r>
    </w:p>
    <w:p w14:paraId="1AA43FB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风险费用的计算方法：。</w:t>
      </w:r>
    </w:p>
    <w:p w14:paraId="752C5F0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风险范围以外合同价格的调整方法：</w:t>
      </w:r>
    </w:p>
    <w:p w14:paraId="549D60F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u w:val="single"/>
          <w14:textFill>
            <w14:solidFill>
              <w14:schemeClr w14:val="tx1"/>
            </w14:solidFill>
          </w14:textFill>
        </w:rPr>
        <w:t>因设计变更引起工程项目、工程量变化的，工程量清单报价表中有相同细目的按竞标人竞标时的中标单价进行结算，工程量清单报价表中有类似细目的参考类似成交单价结算</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新增项目有定额的套定额计算，其中材料价格有信息的按信息价，无信息的按市场价</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新增项目无定额可套的，由发包人、承包人根据市场价格协商决定</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新增项目的单价应经有政府审计中心审定。</w:t>
      </w:r>
    </w:p>
    <w:p w14:paraId="36227F32">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u w:val="single"/>
          <w14:textFill>
            <w14:solidFill>
              <w14:schemeClr w14:val="tx1"/>
            </w14:solidFill>
          </w14:textFill>
        </w:rPr>
        <w:t>国家和自治区政策性调整有关费用标准的，按文件规定执行。</w:t>
      </w:r>
    </w:p>
    <w:p w14:paraId="376DC4D6">
      <w:pPr>
        <w:spacing w:after="120" w:line="440" w:lineRule="exact"/>
        <w:ind w:firstLine="420" w:firstLineChars="200"/>
        <w:rPr>
          <w:rFonts w:ascii="宋体" w:hAnsi="宋体"/>
          <w:color w:val="000000" w:themeColor="text1"/>
          <w:szCs w:val="21"/>
          <w:highlight w:val="none"/>
          <w14:textFill>
            <w14:solidFill>
              <w14:schemeClr w14:val="tx1"/>
            </w14:solidFill>
          </w14:textFill>
        </w:rPr>
      </w:pPr>
      <w:bookmarkStart w:id="695" w:name="_Toc296346708"/>
      <w:bookmarkStart w:id="696" w:name="_Toc297120507"/>
      <w:bookmarkStart w:id="697" w:name="_Toc292559412"/>
      <w:bookmarkStart w:id="698" w:name="_Toc297123554"/>
      <w:bookmarkStart w:id="699" w:name="_Toc300935004"/>
      <w:bookmarkStart w:id="700" w:name="_Toc292559917"/>
      <w:bookmarkStart w:id="701" w:name="_Toc296944546"/>
      <w:bookmarkStart w:id="702" w:name="_Toc312678042"/>
      <w:bookmarkStart w:id="703" w:name="_Toc296347206"/>
      <w:bookmarkStart w:id="704" w:name="_Toc304295581"/>
      <w:bookmarkStart w:id="705" w:name="_Toc303539161"/>
      <w:bookmarkStart w:id="706" w:name="_Toc296891035"/>
      <w:bookmarkStart w:id="707" w:name="_Toc297048393"/>
      <w:bookmarkStart w:id="708" w:name="_Toc297216213"/>
      <w:bookmarkStart w:id="709" w:name="_Toc296503207"/>
      <w:bookmarkStart w:id="710" w:name="_Toc296891247"/>
      <w:r>
        <w:rPr>
          <w:rFonts w:ascii="宋体" w:hAnsi="宋体"/>
          <w:color w:val="000000" w:themeColor="text1"/>
          <w:szCs w:val="21"/>
          <w:highlight w:val="none"/>
          <w14:textFill>
            <w14:solidFill>
              <w14:schemeClr w14:val="tx1"/>
            </w14:solidFill>
          </w14:textFill>
        </w:rPr>
        <w:t>12.2 预付款</w:t>
      </w:r>
    </w:p>
    <w:bookmarkEnd w:id="556"/>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14:paraId="0744E6B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bookmarkStart w:id="711" w:name="_Toc351203646"/>
      <w:bookmarkStart w:id="712" w:name="_Toc267251476"/>
      <w:bookmarkStart w:id="713" w:name="_Toc267251473"/>
      <w:bookmarkStart w:id="714" w:name="_Toc267251475"/>
      <w:bookmarkStart w:id="715" w:name="_Toc267251471"/>
      <w:bookmarkStart w:id="716" w:name="_Toc267251470"/>
      <w:bookmarkStart w:id="717" w:name="_Toc267251472"/>
      <w:bookmarkStart w:id="718" w:name="_Toc280868709"/>
      <w:bookmarkStart w:id="719" w:name="_Toc267251474"/>
      <w:r>
        <w:rPr>
          <w:rFonts w:ascii="宋体" w:hAnsi="宋体"/>
          <w:color w:val="000000" w:themeColor="text1"/>
          <w:szCs w:val="21"/>
          <w:highlight w:val="none"/>
          <w14:textFill>
            <w14:solidFill>
              <w14:schemeClr w14:val="tx1"/>
            </w14:solidFill>
          </w14:textFill>
        </w:rPr>
        <w:t>12.2.1 预付款的支付</w:t>
      </w:r>
    </w:p>
    <w:p w14:paraId="2DCDDAA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预付款支付比例或金额：</w:t>
      </w:r>
      <w:r>
        <w:rPr>
          <w:rFonts w:hint="eastAsia" w:ascii="宋体" w:hAnsi="宋体"/>
          <w:color w:val="000000" w:themeColor="text1"/>
          <w:szCs w:val="21"/>
          <w:highlight w:val="none"/>
          <w:u w:val="single"/>
          <w:lang w:val="en-US" w:eastAsia="zh-CN"/>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22AB332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预付款支付期限：</w:t>
      </w:r>
      <w:r>
        <w:rPr>
          <w:rFonts w:hint="eastAsia" w:ascii="宋体" w:hAnsi="宋体"/>
          <w:color w:val="000000" w:themeColor="text1"/>
          <w:szCs w:val="21"/>
          <w:highlight w:val="none"/>
          <w:u w:val="single"/>
          <w:lang w:val="en-US" w:eastAsia="zh-CN"/>
          <w14:textFill>
            <w14:solidFill>
              <w14:schemeClr w14:val="tx1"/>
            </w14:solidFill>
          </w14:textFill>
        </w:rPr>
        <w:t xml:space="preserve">   / </w:t>
      </w:r>
      <w:r>
        <w:rPr>
          <w:rFonts w:ascii="宋体" w:hAnsi="宋体"/>
          <w:color w:val="000000" w:themeColor="text1"/>
          <w:szCs w:val="21"/>
          <w:highlight w:val="none"/>
          <w14:textFill>
            <w14:solidFill>
              <w14:schemeClr w14:val="tx1"/>
            </w14:solidFill>
          </w14:textFill>
        </w:rPr>
        <w:t>。</w:t>
      </w:r>
    </w:p>
    <w:p w14:paraId="13EEB054">
      <w:pPr>
        <w:spacing w:line="360" w:lineRule="auto"/>
        <w:ind w:firstLine="420" w:firstLineChars="200"/>
        <w:jc w:val="left"/>
        <w:rPr>
          <w:rFonts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预付款扣回的方式：</w:t>
      </w:r>
      <w:r>
        <w:rPr>
          <w:rFonts w:hint="eastAsia"/>
          <w:color w:val="000000" w:themeColor="text1"/>
          <w:szCs w:val="21"/>
          <w:highlight w:val="none"/>
          <w:u w:val="single"/>
          <w:lang w:val="en-US" w:eastAsia="zh-CN"/>
          <w14:textFill>
            <w14:solidFill>
              <w14:schemeClr w14:val="tx1"/>
            </w14:solidFill>
          </w14:textFill>
        </w:rPr>
        <w:t>/</w:t>
      </w:r>
      <w:r>
        <w:rPr>
          <w:rFonts w:hAnsi="宋体"/>
          <w:color w:val="000000" w:themeColor="text1"/>
          <w:szCs w:val="21"/>
          <w:highlight w:val="none"/>
          <w:u w:val="single"/>
          <w14:textFill>
            <w14:solidFill>
              <w14:schemeClr w14:val="tx1"/>
            </w14:solidFill>
          </w14:textFill>
        </w:rPr>
        <w:t>。</w:t>
      </w:r>
    </w:p>
    <w:p w14:paraId="43C3DB2B">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12.2.2 预付款担保</w:t>
      </w:r>
    </w:p>
    <w:p w14:paraId="278A216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承包人提交预付款担保的期限：</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754B053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预付款担保的形式为：</w:t>
      </w:r>
      <w:r>
        <w:rPr>
          <w:rFonts w:hint="eastAsia" w:ascii="宋体" w:hAnsi="宋体"/>
          <w:color w:val="000000" w:themeColor="text1"/>
          <w:szCs w:val="21"/>
          <w:highlight w:val="none"/>
          <w:u w:val="single"/>
          <w14:textFill>
            <w14:solidFill>
              <w14:schemeClr w14:val="tx1"/>
            </w14:solidFill>
          </w14:textFill>
        </w:rPr>
        <w:t>无</w:t>
      </w:r>
      <w:r>
        <w:rPr>
          <w:rFonts w:ascii="宋体" w:hAnsi="宋体"/>
          <w:color w:val="000000" w:themeColor="text1"/>
          <w:szCs w:val="21"/>
          <w:highlight w:val="none"/>
          <w14:textFill>
            <w14:solidFill>
              <w14:schemeClr w14:val="tx1"/>
            </w14:solidFill>
          </w14:textFill>
        </w:rPr>
        <w:t>。</w:t>
      </w:r>
    </w:p>
    <w:p w14:paraId="177CA81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 计量</w:t>
      </w:r>
    </w:p>
    <w:p w14:paraId="475F940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12.3.1 计量原则</w:t>
      </w:r>
    </w:p>
    <w:p w14:paraId="40A36B5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工程量计算规则：</w:t>
      </w:r>
      <w:r>
        <w:rPr>
          <w:b/>
          <w:color w:val="000000" w:themeColor="text1"/>
          <w:szCs w:val="21"/>
          <w:highlight w:val="none"/>
          <w:u w:val="single"/>
          <w14:textFill>
            <w14:solidFill>
              <w14:schemeClr w14:val="tx1"/>
            </w14:solidFill>
          </w14:textFill>
        </w:rPr>
        <w:t>工程的计量均以国家标准《建设工程工程量</w:t>
      </w:r>
      <w:r>
        <w:rPr>
          <w:rFonts w:hint="eastAsia"/>
          <w:b/>
          <w:color w:val="000000" w:themeColor="text1"/>
          <w:szCs w:val="21"/>
          <w:highlight w:val="none"/>
          <w:u w:val="single"/>
          <w14:textFill>
            <w14:solidFill>
              <w14:schemeClr w14:val="tx1"/>
            </w14:solidFill>
          </w14:textFill>
        </w:rPr>
        <w:t>计算</w:t>
      </w:r>
      <w:r>
        <w:rPr>
          <w:b/>
          <w:color w:val="000000" w:themeColor="text1"/>
          <w:szCs w:val="21"/>
          <w:highlight w:val="none"/>
          <w:u w:val="single"/>
          <w14:textFill>
            <w14:solidFill>
              <w14:schemeClr w14:val="tx1"/>
            </w14:solidFill>
          </w14:textFill>
        </w:rPr>
        <w:t>规范》（GB50</w:t>
      </w:r>
      <w:r>
        <w:rPr>
          <w:rFonts w:hint="eastAsia"/>
          <w:b/>
          <w:color w:val="000000" w:themeColor="text1"/>
          <w:szCs w:val="21"/>
          <w:highlight w:val="none"/>
          <w:u w:val="single"/>
          <w14:textFill>
            <w14:solidFill>
              <w14:schemeClr w14:val="tx1"/>
            </w14:solidFill>
          </w14:textFill>
        </w:rPr>
        <w:t>854～50862</w:t>
      </w:r>
      <w:r>
        <w:rPr>
          <w:b/>
          <w:color w:val="000000" w:themeColor="text1"/>
          <w:szCs w:val="21"/>
          <w:highlight w:val="none"/>
          <w:u w:val="single"/>
          <w14:textFill>
            <w14:solidFill>
              <w14:schemeClr w14:val="tx1"/>
            </w14:solidFill>
          </w14:textFill>
        </w:rPr>
        <w:t>－20</w:t>
      </w:r>
      <w:r>
        <w:rPr>
          <w:rFonts w:hint="eastAsia"/>
          <w:b/>
          <w:color w:val="000000" w:themeColor="text1"/>
          <w:szCs w:val="21"/>
          <w:highlight w:val="none"/>
          <w:u w:val="single"/>
          <w14:textFill>
            <w14:solidFill>
              <w14:schemeClr w14:val="tx1"/>
            </w14:solidFill>
          </w14:textFill>
        </w:rPr>
        <w:t>13</w:t>
      </w:r>
      <w:r>
        <w:rPr>
          <w:b/>
          <w:color w:val="000000" w:themeColor="text1"/>
          <w:szCs w:val="21"/>
          <w:highlight w:val="none"/>
          <w:u w:val="single"/>
          <w14:textFill>
            <w14:solidFill>
              <w14:schemeClr w14:val="tx1"/>
            </w14:solidFill>
          </w14:textFill>
        </w:rPr>
        <w:t>）和</w:t>
      </w:r>
      <w:r>
        <w:rPr>
          <w:rFonts w:hint="eastAsia"/>
          <w:b/>
          <w:color w:val="000000" w:themeColor="text1"/>
          <w:szCs w:val="21"/>
          <w:highlight w:val="none"/>
          <w:u w:val="single"/>
          <w14:textFill>
            <w14:solidFill>
              <w14:schemeClr w14:val="tx1"/>
            </w14:solidFill>
          </w14:textFill>
        </w:rPr>
        <w:t>《建设工程工程量计算规范（GB50854～50862-2013）广西壮族自治区实施细则》</w:t>
      </w:r>
      <w:r>
        <w:rPr>
          <w:b/>
          <w:color w:val="000000" w:themeColor="text1"/>
          <w:szCs w:val="21"/>
          <w:highlight w:val="none"/>
          <w:u w:val="single"/>
          <w14:textFill>
            <w14:solidFill>
              <w14:schemeClr w14:val="tx1"/>
            </w14:solidFill>
          </w14:textFill>
        </w:rPr>
        <w:t>计算的净值为准，如有不明之处，应以监理工程师或造价管理部门指定的计量方法为准</w:t>
      </w:r>
      <w:r>
        <w:rPr>
          <w:rFonts w:ascii="宋体" w:hAnsi="宋体"/>
          <w:color w:val="000000" w:themeColor="text1"/>
          <w:szCs w:val="21"/>
          <w:highlight w:val="none"/>
          <w14:textFill>
            <w14:solidFill>
              <w14:schemeClr w14:val="tx1"/>
            </w14:solidFill>
          </w14:textFill>
        </w:rPr>
        <w:t>。</w:t>
      </w:r>
    </w:p>
    <w:p w14:paraId="0F991DD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12.3.2 计量周期</w:t>
      </w:r>
    </w:p>
    <w:p w14:paraId="052B732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关于计量周期的约定：</w:t>
      </w:r>
      <w:r>
        <w:rPr>
          <w:rFonts w:hint="eastAsia" w:ascii="宋体" w:hAnsi="宋体"/>
          <w:b/>
          <w:color w:val="000000" w:themeColor="text1"/>
          <w:szCs w:val="21"/>
          <w:highlight w:val="none"/>
          <w:u w:val="single"/>
          <w14:textFill>
            <w14:solidFill>
              <w14:schemeClr w14:val="tx1"/>
            </w14:solidFill>
          </w14:textFill>
        </w:rPr>
        <w:t>按实际完成工程量计量</w:t>
      </w:r>
      <w:r>
        <w:rPr>
          <w:rFonts w:ascii="宋体" w:hAnsi="宋体"/>
          <w:color w:val="000000" w:themeColor="text1"/>
          <w:szCs w:val="21"/>
          <w:highlight w:val="none"/>
          <w14:textFill>
            <w14:solidFill>
              <w14:schemeClr w14:val="tx1"/>
            </w14:solidFill>
          </w14:textFill>
        </w:rPr>
        <w:t>。</w:t>
      </w:r>
    </w:p>
    <w:p w14:paraId="6764D9D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12.3.3 单价合同的计量</w:t>
      </w:r>
    </w:p>
    <w:p w14:paraId="35AE5FE6">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关于单价合同计量的约定：</w:t>
      </w:r>
      <w:r>
        <w:rPr>
          <w:rFonts w:hint="eastAsia" w:ascii="宋体" w:hAnsi="宋体"/>
          <w:b/>
          <w:color w:val="000000" w:themeColor="text1"/>
          <w:szCs w:val="21"/>
          <w:highlight w:val="none"/>
          <w:u w:val="single"/>
          <w14:textFill>
            <w14:solidFill>
              <w14:schemeClr w14:val="tx1"/>
            </w14:solidFill>
          </w14:textFill>
        </w:rPr>
        <w:t xml:space="preserve">(1) </w:t>
      </w:r>
      <w:r>
        <w:rPr>
          <w:rFonts w:ascii="宋体" w:hAnsi="宋体"/>
          <w:b/>
          <w:color w:val="000000" w:themeColor="text1"/>
          <w:szCs w:val="21"/>
          <w:highlight w:val="none"/>
          <w:u w:val="single"/>
          <w14:textFill>
            <w14:solidFill>
              <w14:schemeClr w14:val="tx1"/>
            </w14:solidFill>
          </w14:textFill>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b/>
          <w:color w:val="000000" w:themeColor="text1"/>
          <w:szCs w:val="21"/>
          <w:highlight w:val="none"/>
          <w:u w:val="single"/>
          <w14:textFill>
            <w14:solidFill>
              <w14:schemeClr w14:val="tx1"/>
            </w14:solidFill>
          </w14:textFill>
        </w:rPr>
        <w:t>(2)</w:t>
      </w:r>
      <w:r>
        <w:rPr>
          <w:rFonts w:ascii="宋体" w:hAnsi="宋体"/>
          <w:b/>
          <w:color w:val="000000" w:themeColor="text1"/>
          <w:szCs w:val="21"/>
          <w:highlight w:val="none"/>
          <w:u w:val="single"/>
          <w14:textFill>
            <w14:solidFill>
              <w14:schemeClr w14:val="tx1"/>
            </w14:solidFill>
          </w14:textFill>
        </w:rPr>
        <w:t xml:space="preserve"> 除另有规定外，工程师应按照合同通过计量来核实确定已完成的工程量和价值，承包人应得到该价值扣除保留金后的价款。当工程师要对已完工的工程量进行计量时，应适时地通知承包人参加。</w:t>
      </w:r>
    </w:p>
    <w:p w14:paraId="55CFB712">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12.3.4 总价合同的计量</w:t>
      </w:r>
    </w:p>
    <w:p w14:paraId="0E8BC5E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关于总价合同计量的约定：。</w:t>
      </w:r>
    </w:p>
    <w:p w14:paraId="41674A3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12.3.5总价合同采用支付分解表计量支付的，是否适用第</w:t>
      </w:r>
      <w:r>
        <w:rPr>
          <w:rFonts w:ascii="宋体" w:hAnsi="宋体"/>
          <w:color w:val="000000" w:themeColor="text1"/>
          <w:kern w:val="0"/>
          <w:szCs w:val="21"/>
          <w:highlight w:val="none"/>
          <w14:textFill>
            <w14:solidFill>
              <w14:schemeClr w14:val="tx1"/>
            </w14:solidFill>
          </w14:textFill>
        </w:rPr>
        <w:t xml:space="preserve">12.3.4 </w:t>
      </w:r>
      <w:r>
        <w:rPr>
          <w:rFonts w:ascii="宋体" w:hAnsi="宋体"/>
          <w:color w:val="000000" w:themeColor="text1"/>
          <w:szCs w:val="21"/>
          <w:highlight w:val="none"/>
          <w14:textFill>
            <w14:solidFill>
              <w14:schemeClr w14:val="tx1"/>
            </w14:solidFill>
          </w14:textFill>
        </w:rPr>
        <w:t>项</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总价合同的计量</w:t>
      </w: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进行计量：</w:t>
      </w:r>
      <w:r>
        <w:rPr>
          <w:rFonts w:ascii="宋体" w:hAnsi="宋体"/>
          <w:color w:val="000000" w:themeColor="text1"/>
          <w:szCs w:val="21"/>
          <w:highlight w:val="none"/>
          <w14:textFill>
            <w14:solidFill>
              <w14:schemeClr w14:val="tx1"/>
            </w14:solidFill>
          </w14:textFill>
        </w:rPr>
        <w:t>。</w:t>
      </w:r>
    </w:p>
    <w:p w14:paraId="207DFF51">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12.3.6 其他价格形式合同的计量</w:t>
      </w:r>
    </w:p>
    <w:p w14:paraId="13DC473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其他价格形式的计量方式和程序：。</w:t>
      </w:r>
    </w:p>
    <w:p w14:paraId="53BDF66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12.4 工程进度款支付</w:t>
      </w:r>
    </w:p>
    <w:p w14:paraId="16C7C1FF">
      <w:pPr>
        <w:spacing w:line="360" w:lineRule="auto"/>
        <w:ind w:firstLine="420" w:firstLineChars="200"/>
        <w:jc w:val="left"/>
        <w:rPr>
          <w:rFonts w:hint="eastAsia" w:hAnsi="宋体"/>
          <w:bCs/>
          <w:color w:val="000000" w:themeColor="text1"/>
          <w:szCs w:val="21"/>
          <w:highlight w:val="none"/>
          <w:u w:val="none"/>
          <w14:textFill>
            <w14:solidFill>
              <w14:schemeClr w14:val="tx1"/>
            </w14:solidFill>
          </w14:textFill>
        </w:rPr>
      </w:pPr>
      <w:bookmarkStart w:id="720" w:name="_Toc296891251"/>
      <w:bookmarkStart w:id="721" w:name="_Toc300935006"/>
      <w:bookmarkStart w:id="722" w:name="_Toc292559416"/>
      <w:bookmarkStart w:id="723" w:name="_Toc292559921"/>
      <w:bookmarkStart w:id="724" w:name="_Toc297048397"/>
      <w:bookmarkStart w:id="725" w:name="_Toc303539163"/>
      <w:bookmarkStart w:id="726" w:name="_Toc296944550"/>
      <w:bookmarkStart w:id="727" w:name="_Toc297216215"/>
      <w:bookmarkStart w:id="728" w:name="_Toc296503211"/>
      <w:bookmarkStart w:id="729" w:name="_Toc296347210"/>
      <w:bookmarkStart w:id="730" w:name="_Toc296891039"/>
      <w:bookmarkStart w:id="731" w:name="_Toc296346712"/>
      <w:bookmarkStart w:id="732" w:name="_Toc297120511"/>
      <w:bookmarkStart w:id="733" w:name="_Toc297123556"/>
      <w:r>
        <w:rPr>
          <w:rFonts w:ascii="宋体" w:hAnsi="宋体"/>
          <w:color w:val="000000" w:themeColor="text1"/>
          <w:szCs w:val="21"/>
          <w:highlight w:val="none"/>
          <w14:textFill>
            <w14:solidFill>
              <w14:schemeClr w14:val="tx1"/>
            </w14:solidFill>
          </w14:textFill>
        </w:rPr>
        <w:t>12.4.1</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Pr>
          <w:rFonts w:hint="eastAsia" w:ascii="宋体" w:hAnsi="宋体"/>
          <w:b/>
          <w:color w:val="000000" w:themeColor="text1"/>
          <w:szCs w:val="21"/>
          <w:highlight w:val="none"/>
          <w14:textFill>
            <w14:solidFill>
              <w14:schemeClr w14:val="tx1"/>
            </w14:solidFill>
          </w14:textFill>
        </w:rPr>
        <w:t>双方约定工程款的支付方式和时间</w:t>
      </w:r>
      <w:r>
        <w:rPr>
          <w:rFonts w:hint="eastAsia" w:ascii="宋体" w:hAnsi="宋体"/>
          <w:color w:val="000000" w:themeColor="text1"/>
          <w:szCs w:val="21"/>
          <w:highlight w:val="none"/>
          <w14:textFill>
            <w14:solidFill>
              <w14:schemeClr w14:val="tx1"/>
            </w14:solidFill>
          </w14:textFill>
        </w:rPr>
        <w:t>：</w:t>
      </w:r>
      <w:bookmarkStart w:id="734" w:name="_Toc351203645"/>
      <w:bookmarkStart w:id="735" w:name="_Toc297048405"/>
      <w:bookmarkStart w:id="736" w:name="_Toc303539172"/>
      <w:bookmarkStart w:id="737" w:name="_Toc296503219"/>
      <w:bookmarkStart w:id="738" w:name="_Toc297123564"/>
      <w:bookmarkStart w:id="739" w:name="_Toc296944558"/>
      <w:bookmarkStart w:id="740" w:name="_Toc292559424"/>
      <w:bookmarkStart w:id="741" w:name="_Toc296346720"/>
      <w:bookmarkStart w:id="742" w:name="_Toc300935015"/>
      <w:bookmarkStart w:id="743" w:name="_Toc297120519"/>
      <w:bookmarkStart w:id="744" w:name="_Toc296347218"/>
      <w:bookmarkStart w:id="745" w:name="_Toc297216223"/>
      <w:bookmarkStart w:id="746" w:name="_Toc296891047"/>
      <w:bookmarkStart w:id="747" w:name="_Toc296891259"/>
      <w:bookmarkStart w:id="748" w:name="_Toc312678053"/>
      <w:bookmarkStart w:id="749" w:name="_Toc292559929"/>
      <w:bookmarkStart w:id="750" w:name="_Toc304295593"/>
      <w:r>
        <w:rPr>
          <w:rFonts w:hint="eastAsia" w:ascii="宋体" w:hAnsi="宋体" w:eastAsia="宋体" w:cs="Times New Roman"/>
          <w:color w:val="auto"/>
          <w:sz w:val="21"/>
          <w:szCs w:val="21"/>
          <w:highlight w:val="none"/>
          <w:lang w:val="en-US" w:eastAsia="zh-CN"/>
        </w:rPr>
        <w:t>合同签订后，</w:t>
      </w:r>
      <w:r>
        <w:rPr>
          <w:rFonts w:hint="eastAsia" w:ascii="宋体" w:hAnsi="宋体" w:eastAsia="宋体" w:cs="Times New Roman"/>
          <w:color w:val="auto"/>
          <w:sz w:val="21"/>
          <w:szCs w:val="21"/>
          <w:highlight w:val="none"/>
        </w:rPr>
        <w:t>完成工程量的</w:t>
      </w:r>
      <w:r>
        <w:rPr>
          <w:rFonts w:hint="eastAsia" w:ascii="宋体" w:hAnsi="宋体" w:eastAsia="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rPr>
        <w:t>%支付至合同总价款的</w:t>
      </w:r>
      <w:r>
        <w:rPr>
          <w:rFonts w:hint="eastAsia" w:ascii="宋体" w:hAnsi="宋体" w:eastAsia="宋体" w:cs="Times New Roman"/>
          <w:color w:val="auto"/>
          <w:sz w:val="21"/>
          <w:szCs w:val="21"/>
          <w:highlight w:val="none"/>
          <w:lang w:val="en-US" w:eastAsia="zh-CN"/>
        </w:rPr>
        <w:t>30</w:t>
      </w:r>
      <w:r>
        <w:rPr>
          <w:rFonts w:hint="eastAsia" w:ascii="宋体" w:hAnsi="宋体" w:eastAsia="宋体" w:cs="Times New Roman"/>
          <w:color w:val="auto"/>
          <w:sz w:val="21"/>
          <w:szCs w:val="21"/>
          <w:highlight w:val="none"/>
        </w:rPr>
        <w:t>%；工程</w:t>
      </w:r>
      <w:r>
        <w:rPr>
          <w:rFonts w:hint="eastAsia" w:ascii="宋体" w:hAnsi="宋体" w:eastAsia="宋体" w:cs="Times New Roman"/>
          <w:color w:val="auto"/>
          <w:sz w:val="21"/>
          <w:szCs w:val="21"/>
          <w:highlight w:val="none"/>
          <w:lang w:val="en-US" w:eastAsia="zh-CN"/>
        </w:rPr>
        <w:t>全部</w:t>
      </w:r>
      <w:r>
        <w:rPr>
          <w:rFonts w:hint="eastAsia" w:ascii="宋体" w:hAnsi="宋体" w:eastAsia="宋体" w:cs="Times New Roman"/>
          <w:color w:val="auto"/>
          <w:sz w:val="21"/>
          <w:szCs w:val="21"/>
          <w:highlight w:val="none"/>
        </w:rPr>
        <w:t>竣工</w:t>
      </w:r>
      <w:r>
        <w:rPr>
          <w:rFonts w:hint="eastAsia" w:ascii="宋体" w:hAnsi="宋体" w:eastAsia="宋体" w:cs="Times New Roman"/>
          <w:color w:val="auto"/>
          <w:sz w:val="21"/>
          <w:szCs w:val="21"/>
          <w:highlight w:val="none"/>
          <w:lang w:val="en-US" w:eastAsia="zh-CN"/>
        </w:rPr>
        <w:t>完成并</w:t>
      </w:r>
      <w:r>
        <w:rPr>
          <w:rFonts w:hint="eastAsia" w:ascii="宋体" w:hAnsi="宋体" w:eastAsia="宋体" w:cs="Times New Roman"/>
          <w:color w:val="auto"/>
          <w:sz w:val="21"/>
          <w:szCs w:val="21"/>
          <w:highlight w:val="none"/>
        </w:rPr>
        <w:t>验收合格后30个工作日内，工程进度款支付至完成合同总价款的80%；竣工结算经审计部门审计后，工程款支付至项目审定结算价款的97%，预留结算总价的3%作为质量保证金，待工程缺陷责任期满后由成交供应商申请退还，采购人一次性无息返还。采购人每次付款前，成交供应商应向采购人开具同等金额的增值税专用发票，否则，采购人有权顺延付款。供应商应知晓本项目使用财政性资金，合同价款的支付前提为采购人支付合同价款流程已审批完成且对应本项目的财政资金已拨付给采购人。供应商知晓上述风险，如由于财政拨付的原因导致采购人无法按合同约定支付价款的，成交供应商承诺不因进度款延迟支付而停工，自愿放弃追究采购人延迟支付进度款的违约责任的权利</w:t>
      </w:r>
      <w:r>
        <w:rPr>
          <w:rFonts w:hint="eastAsia" w:hAnsi="宋体"/>
          <w:bCs/>
          <w:color w:val="000000" w:themeColor="text1"/>
          <w:szCs w:val="21"/>
          <w:highlight w:val="none"/>
          <w:u w:val="none"/>
          <w14:textFill>
            <w14:solidFill>
              <w14:schemeClr w14:val="tx1"/>
            </w14:solidFill>
          </w14:textFill>
        </w:rPr>
        <w:t>。</w:t>
      </w:r>
    </w:p>
    <w:p w14:paraId="340E2439">
      <w:pPr>
        <w:spacing w:line="440" w:lineRule="exact"/>
        <w:ind w:firstLine="422" w:firstLineChars="200"/>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13.验收和工程试车</w:t>
      </w:r>
      <w:bookmarkEnd w:id="734"/>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14:paraId="6CC8C9BC">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 分部分项工程验收</w:t>
      </w:r>
    </w:p>
    <w:p w14:paraId="1B2D117A">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13.1.2监理人不能按时进行验收时，应提前小时提交书面延期要求。</w:t>
      </w:r>
    </w:p>
    <w:p w14:paraId="58CBC622">
      <w:pPr>
        <w:spacing w:line="400" w:lineRule="exact"/>
        <w:ind w:firstLine="420" w:firstLineChars="200"/>
        <w:jc w:val="left"/>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关于延期最长不得超过：小时。</w:t>
      </w:r>
    </w:p>
    <w:p w14:paraId="29864919">
      <w:pPr>
        <w:spacing w:after="120" w:line="400" w:lineRule="exact"/>
        <w:ind w:firstLine="420" w:firstLineChars="200"/>
        <w:rPr>
          <w:rFonts w:ascii="宋体" w:hAnsi="宋体"/>
          <w:color w:val="000000" w:themeColor="text1"/>
          <w:szCs w:val="21"/>
          <w:highlight w:val="none"/>
          <w14:textFill>
            <w14:solidFill>
              <w14:schemeClr w14:val="tx1"/>
            </w14:solidFill>
          </w14:textFill>
        </w:rPr>
      </w:pPr>
      <w:bookmarkStart w:id="751" w:name="_Toc300935016"/>
      <w:bookmarkStart w:id="752" w:name="_Toc296944562"/>
      <w:bookmarkStart w:id="753" w:name="_Toc292559933"/>
      <w:bookmarkStart w:id="754" w:name="_Toc296347222"/>
      <w:bookmarkStart w:id="755" w:name="_Toc296891051"/>
      <w:bookmarkStart w:id="756" w:name="_Toc296503223"/>
      <w:bookmarkStart w:id="757" w:name="_Toc297120523"/>
      <w:bookmarkStart w:id="758" w:name="_Toc312678056"/>
      <w:bookmarkStart w:id="759" w:name="_Toc296346724"/>
      <w:bookmarkStart w:id="760" w:name="_Toc304295596"/>
      <w:bookmarkStart w:id="761" w:name="_Toc296891263"/>
      <w:bookmarkStart w:id="762" w:name="_Toc303539173"/>
      <w:bookmarkStart w:id="763" w:name="_Toc297123565"/>
      <w:bookmarkStart w:id="764" w:name="_Toc297048409"/>
      <w:bookmarkStart w:id="765" w:name="_Toc292559428"/>
      <w:bookmarkStart w:id="766" w:name="_Toc297216224"/>
      <w:r>
        <w:rPr>
          <w:rFonts w:ascii="宋体" w:hAnsi="宋体"/>
          <w:color w:val="000000" w:themeColor="text1"/>
          <w:szCs w:val="21"/>
          <w:highlight w:val="none"/>
          <w14:textFill>
            <w14:solidFill>
              <w14:schemeClr w14:val="tx1"/>
            </w14:solidFill>
          </w14:textFill>
        </w:rPr>
        <w:t>13.2 竣工验收</w:t>
      </w:r>
    </w:p>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14:paraId="3C765445">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767" w:name="_Toc280868704"/>
      <w:bookmarkStart w:id="768" w:name="_Toc280868705"/>
      <w:bookmarkStart w:id="769" w:name="_Toc280868706"/>
      <w:bookmarkStart w:id="770" w:name="_Toc280868707"/>
      <w:bookmarkStart w:id="771" w:name="_Toc280868708"/>
      <w:r>
        <w:rPr>
          <w:rFonts w:ascii="宋体" w:hAnsi="宋体"/>
          <w:color w:val="000000" w:themeColor="text1"/>
          <w:szCs w:val="21"/>
          <w:highlight w:val="none"/>
          <w14:textFill>
            <w14:solidFill>
              <w14:schemeClr w14:val="tx1"/>
            </w14:solidFill>
          </w14:textFill>
        </w:rPr>
        <w:t>13.2.</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竣工验收程序</w:t>
      </w:r>
    </w:p>
    <w:bookmarkEnd w:id="767"/>
    <w:p w14:paraId="7E7EBB76">
      <w:pPr>
        <w:spacing w:line="400" w:lineRule="exact"/>
        <w:ind w:left="4376" w:leftChars="284" w:hanging="3780" w:hangingChars="18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关于竣工验收程序的约定：</w:t>
      </w:r>
      <w:r>
        <w:rPr>
          <w:rFonts w:hint="eastAsia" w:ascii="宋体" w:hAnsi="宋体"/>
          <w:color w:val="000000" w:themeColor="text1"/>
          <w:kern w:val="0"/>
          <w:szCs w:val="21"/>
          <w:highlight w:val="none"/>
          <w:u w:val="single"/>
          <w14:textFill>
            <w14:solidFill>
              <w14:schemeClr w14:val="tx1"/>
            </w14:solidFill>
          </w14:textFill>
        </w:rPr>
        <w:t>按《通用合同条款》执行</w:t>
      </w:r>
      <w:r>
        <w:rPr>
          <w:rFonts w:ascii="宋体" w:hAnsi="宋体"/>
          <w:color w:val="000000" w:themeColor="text1"/>
          <w:szCs w:val="21"/>
          <w:highlight w:val="none"/>
          <w14:textFill>
            <w14:solidFill>
              <w14:schemeClr w14:val="tx1"/>
            </w14:solidFill>
          </w14:textFill>
        </w:rPr>
        <w:t>。</w:t>
      </w:r>
    </w:p>
    <w:p w14:paraId="69B2C5BC">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发包人不按照本项约定组织竣工验收、颁发工程接收证书的违约金的计算方法：</w:t>
      </w:r>
      <w:r>
        <w:rPr>
          <w:rFonts w:ascii="宋体" w:hAnsi="宋体"/>
          <w:color w:val="000000" w:themeColor="text1"/>
          <w:szCs w:val="21"/>
          <w:highlight w:val="none"/>
          <w14:textFill>
            <w14:solidFill>
              <w14:schemeClr w14:val="tx1"/>
            </w14:solidFill>
          </w14:textFill>
        </w:rPr>
        <w:t>。</w:t>
      </w:r>
    </w:p>
    <w:bookmarkEnd w:id="768"/>
    <w:p w14:paraId="071BA47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13.2.</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移交、接收全部与部分工程</w:t>
      </w:r>
    </w:p>
    <w:bookmarkEnd w:id="769"/>
    <w:p w14:paraId="05F85522">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承包人向发包人移交工程的期限：</w:t>
      </w:r>
      <w:r>
        <w:rPr>
          <w:rFonts w:hint="eastAsia" w:ascii="宋体" w:hAnsi="宋体"/>
          <w:color w:val="000000" w:themeColor="text1"/>
          <w:kern w:val="0"/>
          <w:szCs w:val="21"/>
          <w:highlight w:val="none"/>
          <w:u w:val="single"/>
          <w14:textFill>
            <w14:solidFill>
              <w14:schemeClr w14:val="tx1"/>
            </w14:solidFill>
          </w14:textFill>
        </w:rPr>
        <w:t>按《通用合同条款》执行</w:t>
      </w:r>
      <w:r>
        <w:rPr>
          <w:rFonts w:hint="eastAsia" w:ascii="宋体" w:hAnsi="宋体"/>
          <w:color w:val="000000" w:themeColor="text1"/>
          <w:szCs w:val="21"/>
          <w:highlight w:val="none"/>
          <w14:textFill>
            <w14:solidFill>
              <w14:schemeClr w14:val="tx1"/>
            </w14:solidFill>
          </w14:textFill>
        </w:rPr>
        <w:t>。</w:t>
      </w:r>
    </w:p>
    <w:p w14:paraId="3E6A6D3B">
      <w:pPr>
        <w:spacing w:line="360" w:lineRule="auto"/>
        <w:ind w:firstLine="420" w:firstLineChars="200"/>
        <w:jc w:val="left"/>
        <w:rPr>
          <w:color w:val="000000" w:themeColor="text1"/>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发包人未按本合同约定接收全部或部分工程的，违约金的计算方法为：</w:t>
      </w:r>
      <w:r>
        <w:rPr>
          <w:rFonts w:hint="eastAsia"/>
          <w:color w:val="000000" w:themeColor="text1"/>
          <w:szCs w:val="21"/>
          <w:highlight w:val="none"/>
          <w:u w:val="single"/>
          <w14:textFill>
            <w14:solidFill>
              <w14:schemeClr w14:val="tx1"/>
            </w14:solidFill>
          </w14:textFill>
        </w:rPr>
        <w:t>承担承包人</w:t>
      </w:r>
      <w:r>
        <w:rPr>
          <w:color w:val="000000" w:themeColor="text1"/>
          <w:szCs w:val="21"/>
          <w:highlight w:val="none"/>
          <w:u w:val="single"/>
          <w14:textFill>
            <w14:solidFill>
              <w14:schemeClr w14:val="tx1"/>
            </w14:solidFill>
          </w14:textFill>
        </w:rPr>
        <w:t>未能</w:t>
      </w:r>
      <w:r>
        <w:rPr>
          <w:rFonts w:hint="eastAsia"/>
          <w:color w:val="000000" w:themeColor="text1"/>
          <w:szCs w:val="21"/>
          <w:highlight w:val="none"/>
          <w:u w:val="single"/>
          <w14:textFill>
            <w14:solidFill>
              <w14:schemeClr w14:val="tx1"/>
            </w14:solidFill>
          </w14:textFill>
        </w:rPr>
        <w:t>按约定</w:t>
      </w:r>
      <w:r>
        <w:rPr>
          <w:color w:val="000000" w:themeColor="text1"/>
          <w:szCs w:val="21"/>
          <w:highlight w:val="none"/>
          <w:u w:val="single"/>
          <w14:textFill>
            <w14:solidFill>
              <w14:schemeClr w14:val="tx1"/>
            </w14:solidFill>
          </w14:textFill>
        </w:rPr>
        <w:t>退场造成</w:t>
      </w:r>
      <w:r>
        <w:rPr>
          <w:rFonts w:hint="eastAsia"/>
          <w:color w:val="000000" w:themeColor="text1"/>
          <w:szCs w:val="21"/>
          <w:highlight w:val="none"/>
          <w:u w:val="single"/>
          <w14:textFill>
            <w14:solidFill>
              <w14:schemeClr w14:val="tx1"/>
            </w14:solidFill>
          </w14:textFill>
        </w:rPr>
        <w:t>的</w:t>
      </w:r>
      <w:r>
        <w:rPr>
          <w:color w:val="000000" w:themeColor="text1"/>
          <w:szCs w:val="21"/>
          <w:highlight w:val="none"/>
          <w:u w:val="single"/>
          <w14:textFill>
            <w14:solidFill>
              <w14:schemeClr w14:val="tx1"/>
            </w14:solidFill>
          </w14:textFill>
        </w:rPr>
        <w:t xml:space="preserve">全部损失  </w:t>
      </w:r>
      <w:r>
        <w:rPr>
          <w:rFonts w:ascii="宋体" w:hAnsi="宋体"/>
          <w:color w:val="000000" w:themeColor="text1"/>
          <w:szCs w:val="21"/>
          <w:highlight w:val="none"/>
          <w14:textFill>
            <w14:solidFill>
              <w14:schemeClr w14:val="tx1"/>
            </w14:solidFill>
          </w14:textFill>
        </w:rPr>
        <w:t>。</w:t>
      </w:r>
    </w:p>
    <w:bookmarkEnd w:id="770"/>
    <w:p w14:paraId="0BD29AA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承包人未按时移交工程的，违约金的计算方法为：</w:t>
      </w:r>
      <w:r>
        <w:rPr>
          <w:rFonts w:hint="eastAsia" w:ascii="宋体" w:hAnsi="宋体"/>
          <w:color w:val="000000" w:themeColor="text1"/>
          <w:szCs w:val="21"/>
          <w:highlight w:val="none"/>
          <w:u w:val="single"/>
          <w14:textFill>
            <w14:solidFill>
              <w14:schemeClr w14:val="tx1"/>
            </w14:solidFill>
          </w14:textFill>
        </w:rPr>
        <w:t>承担发包人不能按接收期投入使用所造成全部的损失。</w:t>
      </w:r>
    </w:p>
    <w:p w14:paraId="2F906E68">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13.3 工程试车</w:t>
      </w:r>
    </w:p>
    <w:bookmarkEnd w:id="771"/>
    <w:p w14:paraId="1F18F5F5">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13.3.1 试车程序</w:t>
      </w:r>
    </w:p>
    <w:p w14:paraId="095CB2BA">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工程试车内容：</w:t>
      </w:r>
      <w:r>
        <w:rPr>
          <w:rFonts w:hint="eastAsia" w:ascii="宋体" w:hAnsi="宋体"/>
          <w:color w:val="000000" w:themeColor="text1"/>
          <w:szCs w:val="21"/>
          <w:highlight w:val="none"/>
          <w:u w:val="single"/>
          <w14:textFill>
            <w14:solidFill>
              <w14:schemeClr w14:val="tx1"/>
            </w14:solidFill>
          </w14:textFill>
        </w:rPr>
        <w:t>按《通用合同条款》执行</w:t>
      </w:r>
      <w:r>
        <w:rPr>
          <w:rFonts w:ascii="宋体" w:hAnsi="宋体"/>
          <w:color w:val="000000" w:themeColor="text1"/>
          <w:szCs w:val="21"/>
          <w:highlight w:val="none"/>
          <w14:textFill>
            <w14:solidFill>
              <w14:schemeClr w14:val="tx1"/>
            </w14:solidFill>
          </w14:textFill>
        </w:rPr>
        <w:t>。</w:t>
      </w:r>
    </w:p>
    <w:p w14:paraId="2B1B3462">
      <w:pPr>
        <w:spacing w:line="40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（1）单机无负荷试车费用由</w:t>
      </w:r>
      <w:r>
        <w:rPr>
          <w:rFonts w:hint="eastAsia"/>
          <w:color w:val="000000" w:themeColor="text1"/>
          <w:szCs w:val="21"/>
          <w:highlight w:val="none"/>
          <w:u w:val="single"/>
          <w14:textFill>
            <w14:solidFill>
              <w14:schemeClr w14:val="tx1"/>
            </w14:solidFill>
          </w14:textFill>
        </w:rPr>
        <w:t>承包人</w:t>
      </w:r>
      <w:r>
        <w:rPr>
          <w:rFonts w:ascii="宋体" w:hAnsi="宋体"/>
          <w:color w:val="000000" w:themeColor="text1"/>
          <w:kern w:val="0"/>
          <w:szCs w:val="21"/>
          <w:highlight w:val="none"/>
          <w14:textFill>
            <w14:solidFill>
              <w14:schemeClr w14:val="tx1"/>
            </w14:solidFill>
          </w14:textFill>
        </w:rPr>
        <w:t>承担</w:t>
      </w:r>
      <w:r>
        <w:rPr>
          <w:rFonts w:hint="eastAsia" w:ascii="宋体" w:hAnsi="宋体"/>
          <w:color w:val="000000" w:themeColor="text1"/>
          <w:kern w:val="0"/>
          <w:szCs w:val="21"/>
          <w:highlight w:val="none"/>
          <w:lang w:eastAsia="zh-CN"/>
          <w14:textFill>
            <w14:solidFill>
              <w14:schemeClr w14:val="tx1"/>
            </w14:solidFill>
          </w14:textFill>
        </w:rPr>
        <w:t>；</w:t>
      </w:r>
    </w:p>
    <w:p w14:paraId="66914F5A">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（2）无负荷联动试车费用由</w:t>
      </w:r>
      <w:r>
        <w:rPr>
          <w:rFonts w:hint="eastAsia"/>
          <w:color w:val="000000" w:themeColor="text1"/>
          <w:szCs w:val="21"/>
          <w:highlight w:val="none"/>
          <w:u w:val="single"/>
          <w14:textFill>
            <w14:solidFill>
              <w14:schemeClr w14:val="tx1"/>
            </w14:solidFill>
          </w14:textFill>
        </w:rPr>
        <w:t>承包人</w:t>
      </w:r>
      <w:r>
        <w:rPr>
          <w:rFonts w:ascii="宋体" w:hAnsi="宋体"/>
          <w:color w:val="000000" w:themeColor="text1"/>
          <w:kern w:val="0"/>
          <w:szCs w:val="21"/>
          <w:highlight w:val="none"/>
          <w14:textFill>
            <w14:solidFill>
              <w14:schemeClr w14:val="tx1"/>
            </w14:solidFill>
          </w14:textFill>
        </w:rPr>
        <w:t>承担。</w:t>
      </w:r>
    </w:p>
    <w:p w14:paraId="6918C298">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13.3.</w:t>
      </w: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 xml:space="preserve"> 投料试车</w:t>
      </w:r>
    </w:p>
    <w:p w14:paraId="490AE103">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关于投料试车相关事项的约定：</w:t>
      </w:r>
      <w:r>
        <w:rPr>
          <w:rFonts w:ascii="宋体" w:hAnsi="宋体"/>
          <w:color w:val="000000" w:themeColor="text1"/>
          <w:szCs w:val="21"/>
          <w:highlight w:val="none"/>
          <w14:textFill>
            <w14:solidFill>
              <w14:schemeClr w14:val="tx1"/>
            </w14:solidFill>
          </w14:textFill>
        </w:rPr>
        <w:t>。</w:t>
      </w:r>
    </w:p>
    <w:p w14:paraId="38537B44">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13.</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竣工退场</w:t>
      </w:r>
    </w:p>
    <w:p w14:paraId="0F12BD63">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13.</w:t>
      </w:r>
      <w:r>
        <w:rPr>
          <w:rFonts w:hint="eastAsia" w:ascii="宋体" w:hAnsi="宋体"/>
          <w:color w:val="000000" w:themeColor="text1"/>
          <w:kern w:val="0"/>
          <w:szCs w:val="21"/>
          <w:highlight w:val="none"/>
          <w14:textFill>
            <w14:solidFill>
              <w14:schemeClr w14:val="tx1"/>
            </w14:solidFill>
          </w14:textFill>
        </w:rPr>
        <w:t>4</w:t>
      </w:r>
      <w:r>
        <w:rPr>
          <w:rFonts w:ascii="宋体" w:hAnsi="宋体"/>
          <w:color w:val="000000" w:themeColor="text1"/>
          <w:kern w:val="0"/>
          <w:szCs w:val="21"/>
          <w:highlight w:val="none"/>
          <w14:textFill>
            <w14:solidFill>
              <w14:schemeClr w14:val="tx1"/>
            </w14:solidFill>
          </w14:textFill>
        </w:rPr>
        <w:t>.1 竣工退场</w:t>
      </w:r>
    </w:p>
    <w:p w14:paraId="59E34B4C">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承包人完成竣工退场的期限：</w:t>
      </w:r>
      <w:r>
        <w:rPr>
          <w:rFonts w:hint="eastAsia" w:ascii="宋体" w:hAnsi="宋体"/>
          <w:color w:val="000000" w:themeColor="text1"/>
          <w:szCs w:val="21"/>
          <w:highlight w:val="none"/>
          <w:u w:val="single"/>
          <w14:textFill>
            <w14:solidFill>
              <w14:schemeClr w14:val="tx1"/>
            </w14:solidFill>
          </w14:textFill>
        </w:rPr>
        <w:t xml:space="preserve"> 20天  </w:t>
      </w:r>
      <w:r>
        <w:rPr>
          <w:rFonts w:ascii="宋体" w:hAnsi="宋体"/>
          <w:color w:val="000000" w:themeColor="text1"/>
          <w:kern w:val="0"/>
          <w:szCs w:val="21"/>
          <w:highlight w:val="none"/>
          <w14:textFill>
            <w14:solidFill>
              <w14:schemeClr w14:val="tx1"/>
            </w14:solidFill>
          </w14:textFill>
        </w:rPr>
        <w:t>。</w:t>
      </w:r>
    </w:p>
    <w:p w14:paraId="2884350D">
      <w:pPr>
        <w:keepNext/>
        <w:keepLines/>
        <w:widowControl/>
        <w:spacing w:before="120" w:after="120" w:line="40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14. 竣工结算</w:t>
      </w:r>
      <w:bookmarkEnd w:id="711"/>
    </w:p>
    <w:p w14:paraId="16CD669A">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14.1 竣工付款申请</w:t>
      </w:r>
    </w:p>
    <w:p w14:paraId="20C597D1">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承包人提交竣工付款申请单的期限：</w:t>
      </w:r>
      <w:r>
        <w:rPr>
          <w:rFonts w:hint="eastAsia" w:ascii="宋体" w:hAnsi="宋体"/>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给造价咨询审核结算部门审核，由此产生的责任由承包人自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除此之外，承包人还应就延迟提交工程竣工结算资料向发包人支付违约金。</w:t>
      </w:r>
    </w:p>
    <w:p w14:paraId="535EFCF5">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竣工付款申请单应包括的内容：</w:t>
      </w:r>
      <w:r>
        <w:rPr>
          <w:rFonts w:hint="eastAsia" w:ascii="宋体" w:hAnsi="宋体"/>
          <w:color w:val="000000" w:themeColor="text1"/>
          <w:szCs w:val="21"/>
          <w:highlight w:val="none"/>
          <w:u w:val="single"/>
          <w14:textFill>
            <w14:solidFill>
              <w14:schemeClr w14:val="tx1"/>
            </w14:solidFill>
          </w14:textFill>
        </w:rPr>
        <w:t>竣工结算合同价格、发包人已支付承包人的工程价款、应扣留的质量保证金、应支付的竣工付款金额</w:t>
      </w:r>
      <w:r>
        <w:rPr>
          <w:rFonts w:ascii="宋体" w:hAnsi="宋体"/>
          <w:color w:val="000000" w:themeColor="text1"/>
          <w:szCs w:val="21"/>
          <w:highlight w:val="none"/>
          <w14:textFill>
            <w14:solidFill>
              <w14:schemeClr w14:val="tx1"/>
            </w14:solidFill>
          </w14:textFill>
        </w:rPr>
        <w:t xml:space="preserve"> 。</w:t>
      </w:r>
    </w:p>
    <w:p w14:paraId="083F96D1">
      <w:pPr>
        <w:spacing w:after="120"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14.2 竣工结算审核</w:t>
      </w:r>
    </w:p>
    <w:p w14:paraId="5896DC70">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w:t>
      </w:r>
      <w:r>
        <w:rPr>
          <w:rFonts w:hint="eastAsia" w:ascii="宋体" w:hAnsi="宋体"/>
          <w:color w:val="000000" w:themeColor="text1"/>
          <w:szCs w:val="21"/>
          <w:highlight w:val="none"/>
          <w14:textFill>
            <w14:solidFill>
              <w14:schemeClr w14:val="tx1"/>
            </w14:solidFill>
          </w14:textFill>
        </w:rPr>
        <w:t>审批</w:t>
      </w:r>
      <w:r>
        <w:rPr>
          <w:rFonts w:ascii="宋体" w:hAnsi="宋体"/>
          <w:color w:val="000000" w:themeColor="text1"/>
          <w:szCs w:val="21"/>
          <w:highlight w:val="none"/>
          <w14:textFill>
            <w14:solidFill>
              <w14:schemeClr w14:val="tx1"/>
            </w14:solidFill>
          </w14:textFill>
        </w:rPr>
        <w:t>竣工付款申请单的期限：</w:t>
      </w:r>
      <w:r>
        <w:rPr>
          <w:rFonts w:hint="eastAsia" w:ascii="宋体" w:hAnsi="宋体"/>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审计部门或第三方有资质的审计机构出具审核报告后，由此产生的责任由承包人自负</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除此之外，承包人还应就延迟提交工程竣工结算资料向发包人支付违约金。</w:t>
      </w:r>
    </w:p>
    <w:p w14:paraId="6BEE4CE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发包人完成竣工付款的期限：</w:t>
      </w:r>
      <w:r>
        <w:rPr>
          <w:rFonts w:ascii="宋体" w:hAnsi="宋体" w:cs="楷体_GB2312"/>
          <w:color w:val="000000" w:themeColor="text1"/>
          <w:szCs w:val="21"/>
          <w:highlight w:val="none"/>
          <w:u w:val="single"/>
          <w14:textFill>
            <w14:solidFill>
              <w14:schemeClr w14:val="tx1"/>
            </w14:solidFill>
          </w14:textFill>
        </w:rPr>
        <w:t>56</w:t>
      </w:r>
      <w:r>
        <w:rPr>
          <w:rFonts w:hint="eastAsia" w:ascii="宋体" w:hAnsi="宋体" w:cs="楷体_GB2312"/>
          <w:color w:val="000000" w:themeColor="text1"/>
          <w:szCs w:val="21"/>
          <w:highlight w:val="none"/>
          <w:u w:val="single"/>
          <w14:textFill>
            <w14:solidFill>
              <w14:schemeClr w14:val="tx1"/>
            </w14:solidFill>
          </w14:textFill>
        </w:rPr>
        <w:t>天（超过</w:t>
      </w:r>
      <w:r>
        <w:rPr>
          <w:rFonts w:ascii="宋体" w:hAnsi="宋体" w:cs="楷体_GB2312"/>
          <w:color w:val="000000" w:themeColor="text1"/>
          <w:szCs w:val="21"/>
          <w:highlight w:val="none"/>
          <w:u w:val="single"/>
          <w14:textFill>
            <w14:solidFill>
              <w14:schemeClr w14:val="tx1"/>
            </w14:solidFill>
          </w14:textFill>
        </w:rPr>
        <w:t>56天</w:t>
      </w:r>
      <w:r>
        <w:rPr>
          <w:rFonts w:hint="eastAsia" w:ascii="宋体" w:hAnsi="宋体" w:cs="楷体_GB2312"/>
          <w:color w:val="000000" w:themeColor="text1"/>
          <w:szCs w:val="21"/>
          <w:highlight w:val="none"/>
          <w:u w:val="single"/>
          <w14:textFill>
            <w14:solidFill>
              <w14:schemeClr w14:val="tx1"/>
            </w14:solidFill>
          </w14:textFill>
        </w:rPr>
        <w:t>以上按中国人民银行同期贷款基准利率计算）</w:t>
      </w:r>
      <w:r>
        <w:rPr>
          <w:rFonts w:hint="eastAsia" w:hAnsi="宋体"/>
          <w:color w:val="000000" w:themeColor="text1"/>
          <w:szCs w:val="21"/>
          <w:highlight w:val="none"/>
          <w14:textFill>
            <w14:solidFill>
              <w14:schemeClr w14:val="tx1"/>
            </w14:solidFill>
          </w14:textFill>
        </w:rPr>
        <w:t>。</w:t>
      </w:r>
    </w:p>
    <w:p w14:paraId="2DF4F97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关于竣工付款证书异议部分复核的方式和程序：</w:t>
      </w:r>
      <w:r>
        <w:rPr>
          <w:rFonts w:hint="eastAsia" w:ascii="宋体" w:hAnsi="宋体"/>
          <w:color w:val="000000" w:themeColor="text1"/>
          <w:szCs w:val="21"/>
          <w:highlight w:val="none"/>
          <w:u w:val="single"/>
          <w14:textFill>
            <w14:solidFill>
              <w14:schemeClr w14:val="tx1"/>
            </w14:solidFill>
          </w14:textFill>
        </w:rPr>
        <w:t>按《通用合同条款》</w:t>
      </w:r>
      <w:r>
        <w:rPr>
          <w:rFonts w:ascii="宋体" w:hAnsi="宋体"/>
          <w:color w:val="000000" w:themeColor="text1"/>
          <w:szCs w:val="21"/>
          <w:highlight w:val="none"/>
          <w14:textFill>
            <w14:solidFill>
              <w14:schemeClr w14:val="tx1"/>
            </w14:solidFill>
          </w14:textFill>
        </w:rPr>
        <w:t>。</w:t>
      </w:r>
    </w:p>
    <w:p w14:paraId="121F135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最终结清</w:t>
      </w:r>
    </w:p>
    <w:p w14:paraId="6192CC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 最终结清申请单</w:t>
      </w:r>
    </w:p>
    <w:p w14:paraId="12B6D56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承包人提交最终结清申请单的份数：</w:t>
      </w:r>
      <w:r>
        <w:rPr>
          <w:rFonts w:hint="eastAsia" w:ascii="宋体" w:hAnsi="宋体"/>
          <w:color w:val="000000" w:themeColor="text1"/>
          <w:szCs w:val="21"/>
          <w:highlight w:val="none"/>
          <w:u w:val="single"/>
          <w14:textFill>
            <w14:solidFill>
              <w14:schemeClr w14:val="tx1"/>
            </w14:solidFill>
          </w14:textFill>
        </w:rPr>
        <w:t>提交最终结清申请书一式五份</w:t>
      </w:r>
      <w:r>
        <w:rPr>
          <w:rFonts w:ascii="宋体" w:hAnsi="宋体"/>
          <w:color w:val="000000" w:themeColor="text1"/>
          <w:szCs w:val="21"/>
          <w:highlight w:val="none"/>
          <w14:textFill>
            <w14:solidFill>
              <w14:schemeClr w14:val="tx1"/>
            </w14:solidFill>
          </w14:textFill>
        </w:rPr>
        <w:t>。</w:t>
      </w:r>
    </w:p>
    <w:p w14:paraId="663B087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承包人提交最终结算申请单的期限：</w:t>
      </w:r>
      <w:r>
        <w:rPr>
          <w:rFonts w:hint="eastAsia" w:ascii="宋体" w:hAnsi="宋体"/>
          <w:color w:val="000000" w:themeColor="text1"/>
          <w:szCs w:val="21"/>
          <w:highlight w:val="none"/>
          <w:u w:val="single"/>
          <w14:textFill>
            <w14:solidFill>
              <w14:schemeClr w14:val="tx1"/>
            </w14:solidFill>
          </w14:textFill>
        </w:rPr>
        <w:t>缺陷责任期终止证书签发后56天</w:t>
      </w:r>
      <w:r>
        <w:rPr>
          <w:rFonts w:ascii="宋体" w:hAnsi="宋体"/>
          <w:color w:val="000000" w:themeColor="text1"/>
          <w:szCs w:val="21"/>
          <w:highlight w:val="none"/>
          <w:u w:val="single"/>
          <w14:textFill>
            <w14:solidFill>
              <w14:schemeClr w14:val="tx1"/>
            </w14:solidFill>
          </w14:textFill>
        </w:rPr>
        <w:t>内</w:t>
      </w:r>
      <w:r>
        <w:rPr>
          <w:rFonts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 </w:t>
      </w:r>
    </w:p>
    <w:p w14:paraId="251CE8B8">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 最终结清证书和支付</w:t>
      </w:r>
    </w:p>
    <w:p w14:paraId="3078C2D4">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（1）发包人完成最终结清申请单的</w:t>
      </w:r>
      <w:r>
        <w:rPr>
          <w:rFonts w:hint="eastAsia" w:ascii="宋体" w:hAnsi="宋体"/>
          <w:color w:val="000000" w:themeColor="text1"/>
          <w:szCs w:val="21"/>
          <w:highlight w:val="none"/>
          <w14:textFill>
            <w14:solidFill>
              <w14:schemeClr w14:val="tx1"/>
            </w14:solidFill>
          </w14:textFill>
        </w:rPr>
        <w:t>审批</w:t>
      </w:r>
      <w:r>
        <w:rPr>
          <w:rFonts w:ascii="宋体" w:hAnsi="宋体"/>
          <w:color w:val="000000" w:themeColor="text1"/>
          <w:szCs w:val="21"/>
          <w:highlight w:val="none"/>
          <w14:textFill>
            <w14:solidFill>
              <w14:schemeClr w14:val="tx1"/>
            </w14:solidFill>
          </w14:textFill>
        </w:rPr>
        <w:t>并颁发最终结清证书的期限：</w:t>
      </w:r>
      <w:r>
        <w:rPr>
          <w:color w:val="000000" w:themeColor="text1"/>
          <w:szCs w:val="21"/>
          <w:highlight w:val="none"/>
          <w:u w:val="single"/>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天</w:t>
      </w:r>
      <w:r>
        <w:rPr>
          <w:rFonts w:ascii="宋体" w:hAnsi="宋体"/>
          <w:color w:val="000000" w:themeColor="text1"/>
          <w:szCs w:val="21"/>
          <w:highlight w:val="none"/>
          <w14:textFill>
            <w14:solidFill>
              <w14:schemeClr w14:val="tx1"/>
            </w14:solidFill>
          </w14:textFill>
        </w:rPr>
        <w:t xml:space="preserve"> 。</w:t>
      </w:r>
    </w:p>
    <w:p w14:paraId="770F162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（2）发包人完成支付的期限：</w:t>
      </w:r>
      <w:r>
        <w:rPr>
          <w:color w:val="000000" w:themeColor="text1"/>
          <w:szCs w:val="21"/>
          <w:highlight w:val="none"/>
          <w:u w:val="single"/>
          <w14:textFill>
            <w14:solidFill>
              <w14:schemeClr w14:val="tx1"/>
            </w14:solidFill>
          </w14:textFill>
        </w:rPr>
        <w:t>28</w:t>
      </w:r>
      <w:r>
        <w:rPr>
          <w:rFonts w:hint="eastAsia"/>
          <w:color w:val="000000" w:themeColor="text1"/>
          <w:szCs w:val="21"/>
          <w:highlight w:val="none"/>
          <w:u w:val="single"/>
          <w14:textFill>
            <w14:solidFill>
              <w14:schemeClr w14:val="tx1"/>
            </w14:solidFill>
          </w14:textFill>
        </w:rPr>
        <w:t>天</w:t>
      </w:r>
      <w:r>
        <w:rPr>
          <w:rFonts w:hint="eastAsia" w:hAnsi="宋体"/>
          <w:color w:val="000000" w:themeColor="text1"/>
          <w:szCs w:val="21"/>
          <w:highlight w:val="none"/>
          <w14:textFill>
            <w14:solidFill>
              <w14:schemeClr w14:val="tx1"/>
            </w14:solidFill>
          </w14:textFill>
        </w:rPr>
        <w:t>。</w:t>
      </w:r>
    </w:p>
    <w:bookmarkEnd w:id="712"/>
    <w:bookmarkEnd w:id="713"/>
    <w:bookmarkEnd w:id="714"/>
    <w:bookmarkEnd w:id="715"/>
    <w:bookmarkEnd w:id="716"/>
    <w:bookmarkEnd w:id="717"/>
    <w:bookmarkEnd w:id="718"/>
    <w:bookmarkEnd w:id="719"/>
    <w:p w14:paraId="2C89E29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772" w:name="_Toc351203647"/>
      <w:bookmarkStart w:id="773" w:name="_Toc267251483"/>
      <w:bookmarkStart w:id="774" w:name="_Toc267251484"/>
      <w:bookmarkStart w:id="775" w:name="_Toc267251482"/>
      <w:bookmarkStart w:id="776" w:name="_Toc267251485"/>
      <w:bookmarkStart w:id="777" w:name="_Toc267251490"/>
      <w:bookmarkStart w:id="778" w:name="_Toc267251489"/>
      <w:bookmarkStart w:id="779" w:name="_Toc267251488"/>
      <w:bookmarkStart w:id="780" w:name="_Toc267251486"/>
      <w:bookmarkStart w:id="781" w:name="_Toc267251491"/>
      <w:bookmarkStart w:id="782" w:name="_Toc267251498"/>
      <w:bookmarkStart w:id="783" w:name="_Toc267251493"/>
      <w:bookmarkStart w:id="784" w:name="_Toc267251497"/>
      <w:bookmarkStart w:id="785" w:name="_Toc267251494"/>
      <w:bookmarkStart w:id="786" w:name="_Toc267251503"/>
      <w:bookmarkStart w:id="787" w:name="_Toc267251499"/>
      <w:bookmarkStart w:id="788" w:name="_Toc267251501"/>
      <w:bookmarkStart w:id="789" w:name="_Toc267251492"/>
      <w:bookmarkStart w:id="790" w:name="_Toc267251496"/>
      <w:bookmarkStart w:id="791" w:name="_Toc267251495"/>
      <w:bookmarkStart w:id="792" w:name="_Toc267251502"/>
      <w:bookmarkStart w:id="793" w:name="_Toc267251506"/>
      <w:bookmarkStart w:id="794" w:name="_Toc267251504"/>
      <w:bookmarkStart w:id="795" w:name="_Toc267251507"/>
      <w:bookmarkStart w:id="796" w:name="_Toc267251508"/>
      <w:bookmarkStart w:id="797" w:name="_Toc267251509"/>
      <w:bookmarkStart w:id="798" w:name="_Toc267251511"/>
      <w:bookmarkStart w:id="799" w:name="_Toc267251510"/>
      <w:bookmarkStart w:id="800" w:name="_Toc267251513"/>
      <w:bookmarkStart w:id="801" w:name="_Toc267251514"/>
      <w:bookmarkStart w:id="802" w:name="_Toc267251515"/>
      <w:r>
        <w:rPr>
          <w:rFonts w:ascii="宋体" w:hAnsi="宋体" w:eastAsia="黑体"/>
          <w:b/>
          <w:color w:val="000000" w:themeColor="text1"/>
          <w:kern w:val="0"/>
          <w:sz w:val="28"/>
          <w:szCs w:val="21"/>
          <w:highlight w:val="none"/>
          <w14:textFill>
            <w14:solidFill>
              <w14:schemeClr w14:val="tx1"/>
            </w14:solidFill>
          </w14:textFill>
        </w:rPr>
        <w:t>15. 缺陷责任期与保修</w:t>
      </w:r>
      <w:bookmarkEnd w:id="772"/>
    </w:p>
    <w:p w14:paraId="104D5F6E">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缺陷责任期</w:t>
      </w:r>
      <w:bookmarkEnd w:id="773"/>
    </w:p>
    <w:p w14:paraId="26536D7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缺陷责任期的具体期限：</w:t>
      </w:r>
      <w:r>
        <w:rPr>
          <w:rFonts w:hint="eastAsia" w:ascii="宋体" w:hAnsi="宋体"/>
          <w:color w:val="000000" w:themeColor="text1"/>
          <w:szCs w:val="21"/>
          <w:highlight w:val="none"/>
          <w14:textFill>
            <w14:solidFill>
              <w14:schemeClr w14:val="tx1"/>
            </w14:solidFill>
          </w14:textFill>
        </w:rPr>
        <w:t>12个月</w:t>
      </w:r>
      <w:r>
        <w:rPr>
          <w:rFonts w:ascii="宋体" w:hAnsi="宋体"/>
          <w:color w:val="000000" w:themeColor="text1"/>
          <w:szCs w:val="21"/>
          <w:highlight w:val="none"/>
          <w14:textFill>
            <w14:solidFill>
              <w14:schemeClr w14:val="tx1"/>
            </w14:solidFill>
          </w14:textFill>
        </w:rPr>
        <w:t>。</w:t>
      </w:r>
    </w:p>
    <w:p w14:paraId="306F71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质量保证金</w:t>
      </w:r>
    </w:p>
    <w:p w14:paraId="05B7EB1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关于质量保证金的约定：</w:t>
      </w:r>
      <w:r>
        <w:rPr>
          <w:rFonts w:hint="eastAsia" w:ascii="宋体" w:hAnsi="宋体"/>
          <w:color w:val="000000" w:themeColor="text1"/>
          <w:szCs w:val="21"/>
          <w:highlight w:val="none"/>
          <w:u w:val="single"/>
          <w14:textFill>
            <w14:solidFill>
              <w14:schemeClr w14:val="tx1"/>
            </w14:solidFill>
          </w14:textFill>
        </w:rPr>
        <w:t xml:space="preserve">预留结算总价的3%作为质量保证金 </w:t>
      </w:r>
      <w:r>
        <w:rPr>
          <w:rFonts w:ascii="宋体" w:hAnsi="宋体"/>
          <w:color w:val="000000" w:themeColor="text1"/>
          <w:szCs w:val="21"/>
          <w:highlight w:val="none"/>
          <w14:textFill>
            <w14:solidFill>
              <w14:schemeClr w14:val="tx1"/>
            </w14:solidFill>
          </w14:textFill>
        </w:rPr>
        <w:t>。</w:t>
      </w:r>
    </w:p>
    <w:p w14:paraId="0A9A22C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承包人提供</w:t>
      </w:r>
      <w:r>
        <w:rPr>
          <w:rFonts w:ascii="宋体" w:hAnsi="宋体"/>
          <w:color w:val="000000" w:themeColor="text1"/>
          <w:szCs w:val="21"/>
          <w:highlight w:val="none"/>
          <w14:textFill>
            <w14:solidFill>
              <w14:schemeClr w14:val="tx1"/>
            </w14:solidFill>
          </w14:textFill>
        </w:rPr>
        <w:t>质量保证金的</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式</w:t>
      </w:r>
    </w:p>
    <w:p w14:paraId="1845BD3F">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质量保证金采用以下第</w:t>
      </w:r>
      <w:r>
        <w:rPr>
          <w:rFonts w:hint="eastAsia" w:ascii="宋体" w:hAnsi="宋体"/>
          <w:color w:val="000000" w:themeColor="text1"/>
          <w:szCs w:val="21"/>
          <w:highlight w:val="none"/>
          <w:u w:val="singl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种方式：</w:t>
      </w:r>
    </w:p>
    <w:p w14:paraId="0CDBE05D">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（1）质量保证金保函，保证金额为： </w:t>
      </w:r>
    </w:p>
    <w:p w14:paraId="0F15BA96">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hint="eastAsia" w:ascii="宋体" w:hAnsi="宋体"/>
          <w:color w:val="000000" w:themeColor="text1"/>
          <w:kern w:val="0"/>
          <w:szCs w:val="21"/>
          <w:highlight w:val="none"/>
          <w:lang w:eastAsia="zh-CN"/>
          <w14:textFill>
            <w14:solidFill>
              <w14:schemeClr w14:val="tx1"/>
            </w14:solidFill>
          </w14:textFill>
        </w:rPr>
        <w:t>；</w:t>
      </w:r>
    </w:p>
    <w:p w14:paraId="0772EABF">
      <w:pPr>
        <w:autoSpaceDE w:val="0"/>
        <w:autoSpaceDN w:val="0"/>
        <w:adjustRightInd w:val="0"/>
        <w:spacing w:line="440" w:lineRule="exact"/>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w:t>
      </w:r>
      <w:r>
        <w:rPr>
          <w:rFonts w:ascii="宋体" w:hAnsi="宋体"/>
          <w:color w:val="000000" w:themeColor="text1"/>
          <w:kern w:val="0"/>
          <w:szCs w:val="21"/>
          <w:highlight w:val="none"/>
          <w14:textFill>
            <w14:solidFill>
              <w14:schemeClr w14:val="tx1"/>
            </w14:solidFill>
          </w14:textFill>
        </w:rPr>
        <w:t>其他</w:t>
      </w:r>
      <w:r>
        <w:rPr>
          <w:rFonts w:hint="eastAsia" w:ascii="宋体" w:hAnsi="宋体"/>
          <w:color w:val="000000" w:themeColor="text1"/>
          <w:kern w:val="0"/>
          <w:szCs w:val="21"/>
          <w:highlight w:val="none"/>
          <w14:textFill>
            <w14:solidFill>
              <w14:schemeClr w14:val="tx1"/>
            </w14:solidFill>
          </w14:textFill>
        </w:rPr>
        <w:t>方</w:t>
      </w:r>
      <w:r>
        <w:rPr>
          <w:rFonts w:ascii="宋体" w:hAnsi="宋体"/>
          <w:color w:val="000000" w:themeColor="text1"/>
          <w:kern w:val="0"/>
          <w:szCs w:val="21"/>
          <w:highlight w:val="none"/>
          <w14:textFill>
            <w14:solidFill>
              <w14:schemeClr w14:val="tx1"/>
            </w14:solidFill>
          </w14:textFill>
        </w:rPr>
        <w:t>式:</w:t>
      </w:r>
      <w:r>
        <w:rPr>
          <w:rFonts w:hint="eastAsia" w:ascii="宋体" w:hAnsi="宋体"/>
          <w:bCs/>
          <w:color w:val="000000" w:themeColor="text1"/>
          <w:kern w:val="0"/>
          <w:szCs w:val="21"/>
          <w:highlight w:val="none"/>
          <w:u w:val="single"/>
          <w14:textFill>
            <w14:solidFill>
              <w14:schemeClr w14:val="tx1"/>
            </w14:solidFill>
          </w14:textFill>
        </w:rPr>
        <w:t>待工程质量</w:t>
      </w:r>
      <w:r>
        <w:rPr>
          <w:rFonts w:ascii="宋体" w:hAnsi="宋体"/>
          <w:color w:val="000000" w:themeColor="text1"/>
          <w:szCs w:val="21"/>
          <w:highlight w:val="none"/>
          <w:u w:val="single"/>
          <w14:textFill>
            <w14:solidFill>
              <w14:schemeClr w14:val="tx1"/>
            </w14:solidFill>
          </w14:textFill>
        </w:rPr>
        <w:t>缺陷责任期</w:t>
      </w:r>
      <w:r>
        <w:rPr>
          <w:rFonts w:hint="eastAsia" w:ascii="宋体" w:hAnsi="宋体"/>
          <w:bCs/>
          <w:color w:val="000000" w:themeColor="text1"/>
          <w:kern w:val="0"/>
          <w:szCs w:val="21"/>
          <w:highlight w:val="none"/>
          <w:u w:val="single"/>
          <w14:textFill>
            <w14:solidFill>
              <w14:schemeClr w14:val="tx1"/>
            </w14:solidFill>
          </w14:textFill>
        </w:rPr>
        <w:t>满后返还。</w:t>
      </w:r>
    </w:p>
    <w:p w14:paraId="2C12D01D">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.2 质量保证金的扣留 </w:t>
      </w:r>
    </w:p>
    <w:p w14:paraId="5597CBCA">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质量保证金的扣留采取以下第</w:t>
      </w:r>
      <w:r>
        <w:rPr>
          <w:rFonts w:hint="eastAsia" w:ascii="宋体" w:hAnsi="宋体"/>
          <w:color w:val="000000" w:themeColor="text1"/>
          <w:szCs w:val="21"/>
          <w:highlight w:val="none"/>
          <w:u w:val="single"/>
          <w14:textFill>
            <w14:solidFill>
              <w14:schemeClr w14:val="tx1"/>
            </w14:solidFill>
          </w14:textFill>
        </w:rPr>
        <w:t xml:space="preserve"> 2</w:t>
      </w:r>
      <w:r>
        <w:rPr>
          <w:rFonts w:ascii="宋体" w:hAnsi="宋体"/>
          <w:color w:val="000000" w:themeColor="text1"/>
          <w:szCs w:val="21"/>
          <w:highlight w:val="none"/>
          <w14:textFill>
            <w14:solidFill>
              <w14:schemeClr w14:val="tx1"/>
            </w14:solidFill>
          </w14:textFill>
        </w:rPr>
        <w:t>种方式：</w:t>
      </w:r>
    </w:p>
    <w:p w14:paraId="5651ACC5">
      <w:pPr>
        <w:autoSpaceDE w:val="0"/>
        <w:autoSpaceDN w:val="0"/>
        <w:adjustRightInd w:val="0"/>
        <w:spacing w:line="440" w:lineRule="exact"/>
        <w:ind w:firstLine="420" w:firstLineChars="200"/>
        <w:jc w:val="left"/>
        <w:rPr>
          <w:rFonts w:hint="eastAsia" w:ascii="宋体" w:hAnsi="宋体" w:eastAsia="宋体"/>
          <w:color w:val="000000" w:themeColor="text1"/>
          <w:kern w:val="0"/>
          <w:szCs w:val="21"/>
          <w:highlight w:val="none"/>
          <w:lang w:eastAsia="zh-CN"/>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（1）在支付工程进度款时逐次扣留，在此情形下，质量保证金的计算基数不包括预付款的支付、扣回以及价格调整的金额</w:t>
      </w:r>
      <w:r>
        <w:rPr>
          <w:rFonts w:hint="eastAsia" w:ascii="宋体" w:hAnsi="宋体"/>
          <w:color w:val="000000" w:themeColor="text1"/>
          <w:kern w:val="0"/>
          <w:szCs w:val="21"/>
          <w:highlight w:val="none"/>
          <w:lang w:eastAsia="zh-CN"/>
          <w14:textFill>
            <w14:solidFill>
              <w14:schemeClr w14:val="tx1"/>
            </w14:solidFill>
          </w14:textFill>
        </w:rPr>
        <w:t>；</w:t>
      </w:r>
    </w:p>
    <w:p w14:paraId="0749F74F">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hAnsi="宋体"/>
          <w:bCs/>
          <w:color w:val="000000" w:themeColor="text1"/>
          <w:szCs w:val="21"/>
          <w:highlight w:val="none"/>
          <w14:textFill>
            <w14:solidFill>
              <w14:schemeClr w14:val="tx1"/>
            </w14:solidFill>
          </w14:textFill>
        </w:rPr>
        <w:t>预留</w:t>
      </w:r>
      <w:r>
        <w:rPr>
          <w:rFonts w:hAnsi="宋体"/>
          <w:bCs/>
          <w:color w:val="000000" w:themeColor="text1"/>
          <w:szCs w:val="21"/>
          <w:highlight w:val="none"/>
          <w14:textFill>
            <w14:solidFill>
              <w14:schemeClr w14:val="tx1"/>
            </w14:solidFill>
          </w14:textFill>
        </w:rPr>
        <w:t>结算总价</w:t>
      </w:r>
      <w:r>
        <w:rPr>
          <w:rFonts w:hint="eastAsia" w:hAnsi="宋体"/>
          <w:bCs/>
          <w:color w:val="000000" w:themeColor="text1"/>
          <w:szCs w:val="21"/>
          <w:highlight w:val="none"/>
          <w14:textFill>
            <w14:solidFill>
              <w14:schemeClr w14:val="tx1"/>
            </w14:solidFill>
          </w14:textFill>
        </w:rPr>
        <w:t>的</w:t>
      </w:r>
      <w:r>
        <w:rPr>
          <w:rFonts w:hint="eastAsia"/>
          <w:bCs/>
          <w:color w:val="000000" w:themeColor="text1"/>
          <w:szCs w:val="21"/>
          <w:highlight w:val="none"/>
          <w14:textFill>
            <w14:solidFill>
              <w14:schemeClr w14:val="tx1"/>
            </w14:solidFill>
          </w14:textFill>
        </w:rPr>
        <w:t>3%作为质量</w:t>
      </w:r>
      <w:r>
        <w:rPr>
          <w:rFonts w:hint="eastAsia" w:hAnsi="宋体"/>
          <w:bCs/>
          <w:color w:val="000000" w:themeColor="text1"/>
          <w:szCs w:val="21"/>
          <w:highlight w:val="none"/>
          <w14:textFill>
            <w14:solidFill>
              <w14:schemeClr w14:val="tx1"/>
            </w14:solidFill>
          </w14:textFill>
        </w:rPr>
        <w:t>保证金</w:t>
      </w:r>
      <w:r>
        <w:rPr>
          <w:rFonts w:hint="eastAsia" w:ascii="宋体" w:hAnsi="宋体"/>
          <w:color w:val="000000" w:themeColor="text1"/>
          <w:kern w:val="0"/>
          <w:szCs w:val="21"/>
          <w:highlight w:val="none"/>
          <w14:textFill>
            <w14:solidFill>
              <w14:schemeClr w14:val="tx1"/>
            </w14:solidFill>
          </w14:textFill>
        </w:rPr>
        <w:t>。</w:t>
      </w:r>
    </w:p>
    <w:p w14:paraId="22D6B60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关于质量保证金的补充约定：</w:t>
      </w:r>
      <w:r>
        <w:rPr>
          <w:rFonts w:ascii="宋体" w:hAnsi="宋体"/>
          <w:color w:val="000000" w:themeColor="text1"/>
          <w:kern w:val="0"/>
          <w:szCs w:val="21"/>
          <w:highlight w:val="none"/>
          <w14:textFill>
            <w14:solidFill>
              <w14:schemeClr w14:val="tx1"/>
            </w14:solidFill>
          </w14:textFill>
        </w:rPr>
        <w:t>。</w:t>
      </w:r>
    </w:p>
    <w:bookmarkEnd w:id="774"/>
    <w:bookmarkEnd w:id="775"/>
    <w:p w14:paraId="4C1E7B6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保修</w:t>
      </w:r>
    </w:p>
    <w:bookmarkEnd w:id="776"/>
    <w:p w14:paraId="77A08AB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质量保修期从工程实际竣工之日算起。分单项竣工验收的工程，按单项工程分别计算质量保修期。</w:t>
      </w:r>
    </w:p>
    <w:p w14:paraId="284CF3E4">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双方根据国家有关规定，结合具体工程约定质量保修期如下：</w:t>
      </w:r>
    </w:p>
    <w:p w14:paraId="10B5CE5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(1)地基基础工程、主体结构工程为设计文件规定的合理使用年限;</w:t>
      </w:r>
    </w:p>
    <w:p w14:paraId="58BD025C">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(2)屋面防水工程、有防水要求的卫生间、房间和外墙面的防渗漏：</w:t>
      </w:r>
      <w:r>
        <w:rPr>
          <w:rFonts w:hint="eastAsia" w:ascii="宋体" w:hAnsi="宋体"/>
          <w:color w:val="000000" w:themeColor="text1"/>
          <w:szCs w:val="21"/>
          <w:highlight w:val="none"/>
          <w:u w:val="singl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p>
    <w:p w14:paraId="7859EFDA">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(3)供热及供冷系统为 </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个采暖期及供冷期</w:t>
      </w:r>
      <w:r>
        <w:rPr>
          <w:rFonts w:hint="eastAsia" w:ascii="宋体" w:hAnsi="宋体"/>
          <w:color w:val="000000" w:themeColor="text1"/>
          <w:szCs w:val="21"/>
          <w:highlight w:val="none"/>
          <w:lang w:eastAsia="zh-CN"/>
          <w14:textFill>
            <w14:solidFill>
              <w14:schemeClr w14:val="tx1"/>
            </w14:solidFill>
          </w14:textFill>
        </w:rPr>
        <w:t>；</w:t>
      </w:r>
    </w:p>
    <w:p w14:paraId="73ADAE44">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(4)电气管线、给排水管道、设备安装为</w:t>
      </w:r>
      <w:r>
        <w:rPr>
          <w:rFonts w:hint="eastAsia" w:ascii="宋体" w:hAnsi="宋体"/>
          <w:color w:val="000000" w:themeColor="text1"/>
          <w:szCs w:val="21"/>
          <w:highlight w:val="none"/>
          <w:u w:val="singl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 xml:space="preserve"> 年</w:t>
      </w:r>
      <w:r>
        <w:rPr>
          <w:rFonts w:hint="eastAsia" w:ascii="宋体" w:hAnsi="宋体"/>
          <w:color w:val="000000" w:themeColor="text1"/>
          <w:szCs w:val="21"/>
          <w:highlight w:val="none"/>
          <w:lang w:eastAsia="zh-CN"/>
          <w14:textFill>
            <w14:solidFill>
              <w14:schemeClr w14:val="tx1"/>
            </w14:solidFill>
          </w14:textFill>
        </w:rPr>
        <w:t>；</w:t>
      </w:r>
    </w:p>
    <w:p w14:paraId="2781DF27">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(5)装修工程为 </w:t>
      </w:r>
      <w:r>
        <w:rPr>
          <w:rFonts w:hint="eastAsia" w:ascii="宋体" w:hAnsi="宋体"/>
          <w:color w:val="000000" w:themeColor="text1"/>
          <w:szCs w:val="21"/>
          <w:highlight w:val="none"/>
          <w:u w:val="singl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eastAsia="zh-CN"/>
          <w14:textFill>
            <w14:solidFill>
              <w14:schemeClr w14:val="tx1"/>
            </w14:solidFill>
          </w14:textFill>
        </w:rPr>
        <w:t>；</w:t>
      </w:r>
    </w:p>
    <w:p w14:paraId="0BD99C16">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(6)室外的上下水和小区道路等市政公用工程为 </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 xml:space="preserve"> 年</w:t>
      </w:r>
      <w:r>
        <w:rPr>
          <w:rFonts w:hint="eastAsia" w:ascii="宋体" w:hAnsi="宋体"/>
          <w:color w:val="000000" w:themeColor="text1"/>
          <w:szCs w:val="21"/>
          <w:highlight w:val="none"/>
          <w:lang w:eastAsia="zh-CN"/>
          <w14:textFill>
            <w14:solidFill>
              <w14:schemeClr w14:val="tx1"/>
            </w14:solidFill>
          </w14:textFill>
        </w:rPr>
        <w:t>；</w:t>
      </w:r>
    </w:p>
    <w:p w14:paraId="63789B4B">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(7)在没有明文规定下，参照建设工程质量保修条例，双方协商为设计文件规定的该工程的合理使用年限内保修</w:t>
      </w:r>
      <w:r>
        <w:rPr>
          <w:rFonts w:hint="eastAsia" w:ascii="宋体" w:hAnsi="宋体"/>
          <w:color w:val="000000" w:themeColor="text1"/>
          <w:szCs w:val="21"/>
          <w:highlight w:val="none"/>
          <w:lang w:eastAsia="zh-CN"/>
          <w14:textFill>
            <w14:solidFill>
              <w14:schemeClr w14:val="tx1"/>
            </w14:solidFill>
          </w14:textFill>
        </w:rPr>
        <w:t>；</w:t>
      </w:r>
    </w:p>
    <w:p w14:paraId="2EEF38F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w:t>
      </w:r>
    </w:p>
    <w:bookmarkEnd w:id="777"/>
    <w:bookmarkEnd w:id="778"/>
    <w:bookmarkEnd w:id="779"/>
    <w:bookmarkEnd w:id="780"/>
    <w:p w14:paraId="1CCC8208">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03" w:name="_Toc351203648"/>
      <w:bookmarkStart w:id="804" w:name="_Toc280868717"/>
      <w:bookmarkStart w:id="805" w:name="_Toc280868718"/>
      <w:r>
        <w:rPr>
          <w:rFonts w:ascii="宋体" w:hAnsi="宋体" w:eastAsia="黑体"/>
          <w:b/>
          <w:color w:val="000000" w:themeColor="text1"/>
          <w:kern w:val="0"/>
          <w:sz w:val="28"/>
          <w:szCs w:val="21"/>
          <w:highlight w:val="none"/>
          <w14:textFill>
            <w14:solidFill>
              <w14:schemeClr w14:val="tx1"/>
            </w14:solidFill>
          </w14:textFill>
        </w:rPr>
        <w:t>16. 违约</w:t>
      </w:r>
      <w:bookmarkEnd w:id="803"/>
    </w:p>
    <w:p w14:paraId="25539E59">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16.1 发包人违约</w:t>
      </w:r>
    </w:p>
    <w:p w14:paraId="546D1A5C">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806" w:name="_Toc373227767"/>
      <w:bookmarkStart w:id="807" w:name="_Toc373478414"/>
      <w:bookmarkStart w:id="808" w:name="_Toc465114927"/>
      <w:bookmarkStart w:id="809" w:name="_Toc389065332"/>
      <w:bookmarkStart w:id="810" w:name="_Toc351203649"/>
      <w:r>
        <w:rPr>
          <w:rFonts w:ascii="宋体" w:hAnsi="宋体"/>
          <w:b/>
          <w:bCs/>
          <w:color w:val="000000" w:themeColor="text1"/>
          <w:kern w:val="0"/>
          <w:sz w:val="24"/>
          <w:szCs w:val="32"/>
          <w:highlight w:val="none"/>
          <w14:textFill>
            <w14:solidFill>
              <w14:schemeClr w14:val="tx1"/>
            </w14:solidFill>
          </w14:textFill>
        </w:rPr>
        <w:t>16.1 发包人违约</w:t>
      </w:r>
      <w:bookmarkEnd w:id="806"/>
      <w:bookmarkEnd w:id="807"/>
      <w:bookmarkEnd w:id="808"/>
      <w:bookmarkEnd w:id="809"/>
    </w:p>
    <w:p w14:paraId="6C9E3A98">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16.1.1</w:t>
      </w:r>
      <w:r>
        <w:rPr>
          <w:rFonts w:hAnsi="宋体"/>
          <w:color w:val="000000" w:themeColor="text1"/>
          <w:szCs w:val="21"/>
          <w:highlight w:val="none"/>
          <w14:textFill>
            <w14:solidFill>
              <w14:schemeClr w14:val="tx1"/>
            </w14:solidFill>
          </w14:textFill>
        </w:rPr>
        <w:t>发包人违约的情形</w:t>
      </w:r>
    </w:p>
    <w:p w14:paraId="43EB5B3A">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发包人违约的其他情形：</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20877FE8">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16.1.2 </w:t>
      </w:r>
      <w:r>
        <w:rPr>
          <w:rFonts w:hAnsi="宋体"/>
          <w:color w:val="000000" w:themeColor="text1"/>
          <w:kern w:val="0"/>
          <w:szCs w:val="21"/>
          <w:highlight w:val="none"/>
          <w14:textFill>
            <w14:solidFill>
              <w14:schemeClr w14:val="tx1"/>
            </w14:solidFill>
          </w14:textFill>
        </w:rPr>
        <w:t>发包人违约的责任</w:t>
      </w:r>
    </w:p>
    <w:p w14:paraId="4B2AB31C">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发包人违约责任的承担方式和计算方法：</w:t>
      </w:r>
    </w:p>
    <w:p w14:paraId="06C0DCF2">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）因发包人原因未能在计划开工日期前</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天内下达开工通知的违约责任：</w:t>
      </w:r>
      <w:r>
        <w:rPr>
          <w:rFonts w:hint="eastAsia" w:ascii="宋体" w:hAnsi="宋体"/>
          <w:color w:val="000000" w:themeColor="text1"/>
          <w:kern w:val="0"/>
          <w:szCs w:val="21"/>
          <w:highlight w:val="none"/>
          <w14:textFill>
            <w14:solidFill>
              <w14:schemeClr w14:val="tx1"/>
            </w14:solidFill>
          </w14:textFill>
        </w:rPr>
        <w:t>开工时间相应顺延 。</w:t>
      </w:r>
    </w:p>
    <w:p w14:paraId="6E3C0F2E">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）因发包人原因未能按合同约定支付合同价款的违约责任：</w:t>
      </w:r>
      <w:r>
        <w:rPr>
          <w:rFonts w:hint="eastAsia" w:ascii="宋体" w:hAnsi="宋体"/>
          <w:color w:val="000000" w:themeColor="text1"/>
          <w:kern w:val="0"/>
          <w:szCs w:val="21"/>
          <w:highlight w:val="none"/>
          <w14:textFill>
            <w14:solidFill>
              <w14:schemeClr w14:val="tx1"/>
            </w14:solidFill>
          </w14:textFill>
        </w:rPr>
        <w:t>每逾期一天，发包人应以逾期付款额为基数，按中国人民银行发布的同期同类贷款基准利率支付违约金</w:t>
      </w:r>
      <w:r>
        <w:rPr>
          <w:rFonts w:hAnsi="宋体"/>
          <w:color w:val="000000" w:themeColor="text1"/>
          <w:kern w:val="0"/>
          <w:szCs w:val="21"/>
          <w:highlight w:val="none"/>
          <w14:textFill>
            <w14:solidFill>
              <w14:schemeClr w14:val="tx1"/>
            </w14:solidFill>
          </w14:textFill>
        </w:rPr>
        <w:t>。</w:t>
      </w:r>
    </w:p>
    <w:p w14:paraId="0FE72E13">
      <w:pPr>
        <w:spacing w:line="360" w:lineRule="auto"/>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）发包人违反第</w:t>
      </w:r>
      <w:r>
        <w:rPr>
          <w:color w:val="000000" w:themeColor="text1"/>
          <w:kern w:val="0"/>
          <w:szCs w:val="21"/>
          <w:highlight w:val="none"/>
          <w14:textFill>
            <w14:solidFill>
              <w14:schemeClr w14:val="tx1"/>
            </w14:solidFill>
          </w14:textFill>
        </w:rPr>
        <w:t>10.1</w:t>
      </w:r>
      <w:r>
        <w:rPr>
          <w:rFonts w:hAnsi="宋体"/>
          <w:color w:val="000000" w:themeColor="text1"/>
          <w:kern w:val="0"/>
          <w:szCs w:val="21"/>
          <w:highlight w:val="none"/>
          <w14:textFill>
            <w14:solidFill>
              <w14:schemeClr w14:val="tx1"/>
            </w14:solidFill>
          </w14:textFill>
        </w:rPr>
        <w:t>款〔变更的范围〕第（</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）项约定，自行实施被取消的工作或转由他人实施的违约责任：</w:t>
      </w:r>
      <w:r>
        <w:rPr>
          <w:rFonts w:hint="eastAsia"/>
          <w:color w:val="000000" w:themeColor="text1"/>
          <w:kern w:val="0"/>
          <w:szCs w:val="21"/>
          <w:highlight w:val="none"/>
          <w14:textFill>
            <w14:solidFill>
              <w14:schemeClr w14:val="tx1"/>
            </w14:solidFill>
          </w14:textFill>
        </w:rPr>
        <w:t>双</w:t>
      </w:r>
      <w:r>
        <w:rPr>
          <w:rFonts w:hint="eastAsia" w:ascii="宋体" w:hAnsi="宋体"/>
          <w:color w:val="000000" w:themeColor="text1"/>
          <w:kern w:val="0"/>
          <w:szCs w:val="21"/>
          <w:highlight w:val="none"/>
          <w14:textFill>
            <w14:solidFill>
              <w14:schemeClr w14:val="tx1"/>
            </w14:solidFill>
          </w14:textFill>
        </w:rPr>
        <w:t>方另行商定，如承包人不同意实施的除外。</w:t>
      </w:r>
    </w:p>
    <w:p w14:paraId="08A0E278">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szCs w:val="21"/>
          <w:highlight w:val="none"/>
          <w14:textFill>
            <w14:solidFill>
              <w14:schemeClr w14:val="tx1"/>
            </w14:solidFill>
          </w14:textFill>
        </w:rPr>
        <w:t>发包人提供的材料、工程设备的规格、数量或质量不符合合同约定，如影响工期的，工期相应顺延由发包人负责</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如造成承包人返工的，发包人应负责承担返工费用。</w:t>
      </w:r>
    </w:p>
    <w:p w14:paraId="2A02D984">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）因发包人违反合同约定造成暂停施工的违约责任：</w:t>
      </w:r>
      <w:r>
        <w:rPr>
          <w:rFonts w:hint="eastAsia"/>
          <w:color w:val="000000" w:themeColor="text1"/>
          <w:kern w:val="0"/>
          <w:szCs w:val="21"/>
          <w:highlight w:val="non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07AC95AA">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）发包人无正当理由没有在约定期限内发出复工指示，导致承包人无法复工的违约责任：</w:t>
      </w:r>
      <w:r>
        <w:rPr>
          <w:rFonts w:hint="eastAsia"/>
          <w:color w:val="000000" w:themeColor="text1"/>
          <w:kern w:val="0"/>
          <w:szCs w:val="21"/>
          <w:highlight w:val="none"/>
          <w:u w:val="single"/>
          <w14:textFill>
            <w14:solidFill>
              <w14:schemeClr w14:val="tx1"/>
            </w14:solidFill>
          </w14:textFill>
        </w:rPr>
        <w:t>工期顺延</w:t>
      </w:r>
      <w:r>
        <w:rPr>
          <w:rFonts w:hAnsi="宋体"/>
          <w:color w:val="000000" w:themeColor="text1"/>
          <w:kern w:val="0"/>
          <w:szCs w:val="21"/>
          <w:highlight w:val="none"/>
          <w14:textFill>
            <w14:solidFill>
              <w14:schemeClr w14:val="tx1"/>
            </w14:solidFill>
          </w14:textFill>
        </w:rPr>
        <w:t>。</w:t>
      </w:r>
    </w:p>
    <w:p w14:paraId="40F5368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Ansi="宋体"/>
          <w:color w:val="000000" w:themeColor="text1"/>
          <w:kern w:val="0"/>
          <w:szCs w:val="21"/>
          <w:highlight w:val="none"/>
          <w14:textFill>
            <w14:solidFill>
              <w14:schemeClr w14:val="tx1"/>
            </w14:solidFill>
          </w14:textFill>
        </w:rPr>
        <w:t>）其他：</w:t>
      </w:r>
      <w:r>
        <w:rPr>
          <w:rFonts w:hint="eastAsia"/>
          <w:color w:val="000000" w:themeColor="text1"/>
          <w:kern w:val="0"/>
          <w:szCs w:val="21"/>
          <w:highlight w:val="none"/>
          <w:u w:val="single"/>
          <w14:textFill>
            <w14:solidFill>
              <w14:schemeClr w14:val="tx1"/>
            </w14:solidFill>
          </w14:textFill>
        </w:rPr>
        <w:t>无</w:t>
      </w:r>
      <w:r>
        <w:rPr>
          <w:rFonts w:hAnsi="宋体"/>
          <w:color w:val="000000" w:themeColor="text1"/>
          <w:kern w:val="0"/>
          <w:szCs w:val="21"/>
          <w:highlight w:val="none"/>
          <w14:textFill>
            <w14:solidFill>
              <w14:schemeClr w14:val="tx1"/>
            </w14:solidFill>
          </w14:textFill>
        </w:rPr>
        <w:t>。</w:t>
      </w:r>
    </w:p>
    <w:p w14:paraId="43D954C7">
      <w:pPr>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16.1.3 </w:t>
      </w:r>
      <w:r>
        <w:rPr>
          <w:rFonts w:hAnsi="宋体"/>
          <w:color w:val="000000" w:themeColor="text1"/>
          <w:szCs w:val="21"/>
          <w:highlight w:val="none"/>
          <w14:textFill>
            <w14:solidFill>
              <w14:schemeClr w14:val="tx1"/>
            </w14:solidFill>
          </w14:textFill>
        </w:rPr>
        <w:t>因发包人违约解除合同</w:t>
      </w:r>
    </w:p>
    <w:p w14:paraId="046CF84A">
      <w:pPr>
        <w:autoSpaceDE w:val="0"/>
        <w:autoSpaceDN w:val="0"/>
        <w:adjustRightInd w:val="0"/>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承包人按</w:t>
      </w:r>
      <w:r>
        <w:rPr>
          <w:color w:val="000000" w:themeColor="text1"/>
          <w:kern w:val="0"/>
          <w:szCs w:val="21"/>
          <w:highlight w:val="none"/>
          <w14:textFill>
            <w14:solidFill>
              <w14:schemeClr w14:val="tx1"/>
            </w14:solidFill>
          </w14:textFill>
        </w:rPr>
        <w:t>16.1.1</w:t>
      </w:r>
      <w:r>
        <w:rPr>
          <w:rFonts w:hAnsi="宋体"/>
          <w:color w:val="000000" w:themeColor="text1"/>
          <w:kern w:val="0"/>
          <w:szCs w:val="21"/>
          <w:highlight w:val="none"/>
          <w14:textFill>
            <w14:solidFill>
              <w14:schemeClr w14:val="tx1"/>
            </w14:solidFill>
          </w14:textFill>
        </w:rPr>
        <w:t>项〔发包人违约的情形〕约定暂停施工满</w:t>
      </w:r>
      <w:r>
        <w:rPr>
          <w:color w:val="000000" w:themeColor="text1"/>
          <w:kern w:val="0"/>
          <w:szCs w:val="21"/>
          <w:highlight w:val="none"/>
          <w:u w:val="single"/>
          <w14:textFill>
            <w14:solidFill>
              <w14:schemeClr w14:val="tx1"/>
            </w14:solidFill>
          </w14:textFill>
        </w:rPr>
        <w:t xml:space="preserve"> 90 </w:t>
      </w:r>
      <w:r>
        <w:rPr>
          <w:rFonts w:hAnsi="宋体"/>
          <w:color w:val="000000" w:themeColor="text1"/>
          <w:kern w:val="0"/>
          <w:szCs w:val="21"/>
          <w:highlight w:val="none"/>
          <w14:textFill>
            <w14:solidFill>
              <w14:schemeClr w14:val="tx1"/>
            </w14:solidFill>
          </w14:textFill>
        </w:rPr>
        <w:t>天后发包人仍不纠正其违约行为并致使合同目的不能实现的，承包人有权解除合同。</w:t>
      </w:r>
    </w:p>
    <w:p w14:paraId="2B2A0DC0">
      <w:pPr>
        <w:keepNext/>
        <w:keepLines/>
        <w:spacing w:before="260" w:after="260" w:line="24" w:lineRule="auto"/>
        <w:outlineLvl w:val="2"/>
        <w:rPr>
          <w:rFonts w:ascii="宋体" w:hAnsi="宋体"/>
          <w:b/>
          <w:bCs/>
          <w:color w:val="000000" w:themeColor="text1"/>
          <w:kern w:val="0"/>
          <w:sz w:val="24"/>
          <w:szCs w:val="32"/>
          <w:highlight w:val="none"/>
          <w14:textFill>
            <w14:solidFill>
              <w14:schemeClr w14:val="tx1"/>
            </w14:solidFill>
          </w14:textFill>
        </w:rPr>
      </w:pPr>
      <w:bookmarkStart w:id="811" w:name="_Toc373478415"/>
      <w:bookmarkStart w:id="812" w:name="_Toc373227768"/>
      <w:bookmarkStart w:id="813" w:name="_Toc465114928"/>
      <w:bookmarkStart w:id="814" w:name="_Toc389065333"/>
      <w:r>
        <w:rPr>
          <w:rFonts w:ascii="宋体" w:hAnsi="宋体"/>
          <w:b/>
          <w:bCs/>
          <w:color w:val="000000" w:themeColor="text1"/>
          <w:kern w:val="0"/>
          <w:sz w:val="24"/>
          <w:szCs w:val="32"/>
          <w:highlight w:val="none"/>
          <w14:textFill>
            <w14:solidFill>
              <w14:schemeClr w14:val="tx1"/>
            </w14:solidFill>
          </w14:textFill>
        </w:rPr>
        <w:t>16.2 承包人违约</w:t>
      </w:r>
      <w:bookmarkEnd w:id="811"/>
      <w:bookmarkEnd w:id="812"/>
      <w:bookmarkEnd w:id="813"/>
      <w:bookmarkEnd w:id="814"/>
    </w:p>
    <w:p w14:paraId="7E7EDB01">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16.2.1 </w:t>
      </w:r>
      <w:r>
        <w:rPr>
          <w:rFonts w:hAnsi="宋体"/>
          <w:color w:val="000000" w:themeColor="text1"/>
          <w:kern w:val="0"/>
          <w:szCs w:val="21"/>
          <w:highlight w:val="none"/>
          <w14:textFill>
            <w14:solidFill>
              <w14:schemeClr w14:val="tx1"/>
            </w14:solidFill>
          </w14:textFill>
        </w:rPr>
        <w:t>承包人违约的情形</w:t>
      </w:r>
    </w:p>
    <w:p w14:paraId="3EF4B18D">
      <w:pPr>
        <w:spacing w:line="360" w:lineRule="auto"/>
        <w:ind w:firstLine="420" w:firstLineChars="200"/>
        <w:jc w:val="left"/>
        <w:rPr>
          <w:color w:val="000000" w:themeColor="text1"/>
          <w:kern w:val="0"/>
          <w:szCs w:val="21"/>
          <w:highlight w:val="none"/>
          <w:u w:val="singl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承包人违约的其他情形：</w:t>
      </w:r>
      <w:r>
        <w:rPr>
          <w:rFonts w:hint="eastAsia"/>
          <w:color w:val="000000" w:themeColor="text1"/>
          <w:kern w:val="0"/>
          <w:szCs w:val="21"/>
          <w:highlight w:val="none"/>
          <w:u w:val="single"/>
          <w14:textFill>
            <w14:solidFill>
              <w14:schemeClr w14:val="tx1"/>
            </w14:solidFill>
          </w14:textFill>
        </w:rPr>
        <w:t>承包人未在约定的时间内提供完整的工程竣工结算资料，经发包人书面催促后28天内仍未提交。</w:t>
      </w:r>
    </w:p>
    <w:p w14:paraId="023B02CF">
      <w:pPr>
        <w:spacing w:line="360"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16.2.2</w:t>
      </w:r>
      <w:r>
        <w:rPr>
          <w:rFonts w:hAnsi="宋体"/>
          <w:color w:val="000000" w:themeColor="text1"/>
          <w:kern w:val="0"/>
          <w:szCs w:val="21"/>
          <w:highlight w:val="none"/>
          <w14:textFill>
            <w14:solidFill>
              <w14:schemeClr w14:val="tx1"/>
            </w14:solidFill>
          </w14:textFill>
        </w:rPr>
        <w:t>承包人违约的责任</w:t>
      </w:r>
    </w:p>
    <w:p w14:paraId="3612580D">
      <w:pPr>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承包人违约责任的承担方式和计算方法：</w:t>
      </w:r>
    </w:p>
    <w:p w14:paraId="12970CC0">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）承包人未按本合同通用条款第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）条内容完成的，承包人无条件返工处理，修复至工程质量要求并承担相关费用，并在发包人规定的时间内完成返工，否则发包人有权扣罚该分项工程</w:t>
      </w:r>
      <w:r>
        <w:rPr>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的工程款作为处罚。</w:t>
      </w:r>
    </w:p>
    <w:p w14:paraId="1221546C">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）承包人有本合同通用条款第</w:t>
      </w:r>
      <w:r>
        <w:rPr>
          <w:color w:val="000000" w:themeColor="text1"/>
          <w:kern w:val="0"/>
          <w:szCs w:val="21"/>
          <w:highlight w:val="none"/>
          <w14:textFill>
            <w14:solidFill>
              <w14:schemeClr w14:val="tx1"/>
            </w14:solidFill>
          </w14:textFill>
        </w:rPr>
        <w:t>16.2.1</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）条情形的，或经监理人检验认为修复质量不合格而承包人拒绝再进行修补的，发包人将扣除承包人全部质量保修金。</w:t>
      </w:r>
    </w:p>
    <w:p w14:paraId="5BA6A7CD">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）承包人有本专用合同条款</w:t>
      </w:r>
      <w:r>
        <w:rPr>
          <w:color w:val="000000" w:themeColor="text1"/>
          <w:kern w:val="0"/>
          <w:szCs w:val="21"/>
          <w:highlight w:val="none"/>
          <w14:textFill>
            <w14:solidFill>
              <w14:schemeClr w14:val="tx1"/>
            </w14:solidFill>
          </w14:textFill>
        </w:rPr>
        <w:t>3.2</w:t>
      </w:r>
      <w:r>
        <w:rPr>
          <w:rFonts w:hAnsi="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3.3</w:t>
      </w:r>
      <w:r>
        <w:rPr>
          <w:rFonts w:hAnsi="宋体"/>
          <w:color w:val="000000" w:themeColor="text1"/>
          <w:kern w:val="0"/>
          <w:szCs w:val="21"/>
          <w:highlight w:val="none"/>
          <w14:textFill>
            <w14:solidFill>
              <w14:schemeClr w14:val="tx1"/>
            </w14:solidFill>
          </w14:textFill>
        </w:rPr>
        <w:t>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2B16A39">
      <w:pPr>
        <w:spacing w:line="360" w:lineRule="auto"/>
        <w:ind w:firstLine="420"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16.2.3 </w:t>
      </w:r>
      <w:r>
        <w:rPr>
          <w:rFonts w:hAnsi="宋体"/>
          <w:color w:val="000000" w:themeColor="text1"/>
          <w:szCs w:val="21"/>
          <w:highlight w:val="none"/>
          <w14:textFill>
            <w14:solidFill>
              <w14:schemeClr w14:val="tx1"/>
            </w14:solidFill>
          </w14:textFill>
        </w:rPr>
        <w:t>因承包人违约解除合同</w:t>
      </w:r>
    </w:p>
    <w:p w14:paraId="398FB611">
      <w:pPr>
        <w:spacing w:line="360" w:lineRule="auto"/>
        <w:ind w:firstLine="420" w:firstLineChars="200"/>
        <w:jc w:val="left"/>
        <w:rPr>
          <w:rFonts w:hAnsi="宋体"/>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关于承包人违约解除合同的特别约定：</w:t>
      </w:r>
      <w:r>
        <w:rPr>
          <w:rFonts w:hAnsi="宋体"/>
          <w:color w:val="000000" w:themeColor="text1"/>
          <w:kern w:val="0"/>
          <w:szCs w:val="21"/>
          <w:highlight w:val="none"/>
          <w:u w:val="single"/>
          <w14:textFill>
            <w14:solidFill>
              <w14:schemeClr w14:val="tx1"/>
            </w14:solidFill>
          </w14:textFill>
        </w:rPr>
        <w:t>承包人有违反以下情况之一的，发包人有权解除合同</w:t>
      </w:r>
      <w:r>
        <w:rPr>
          <w:rFonts w:hAnsi="宋体"/>
          <w:color w:val="000000" w:themeColor="text1"/>
          <w:kern w:val="0"/>
          <w:szCs w:val="21"/>
          <w:highlight w:val="none"/>
          <w14:textFill>
            <w14:solidFill>
              <w14:schemeClr w14:val="tx1"/>
            </w14:solidFill>
          </w14:textFill>
        </w:rPr>
        <w:t>。</w:t>
      </w:r>
    </w:p>
    <w:p w14:paraId="69197C89">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(1)</w:t>
      </w:r>
      <w:r>
        <w:rPr>
          <w:rFonts w:hAnsi="宋体"/>
          <w:color w:val="000000" w:themeColor="text1"/>
          <w:kern w:val="0"/>
          <w:szCs w:val="21"/>
          <w:highlight w:val="none"/>
          <w14:textFill>
            <w14:solidFill>
              <w14:schemeClr w14:val="tx1"/>
            </w14:solidFill>
          </w14:textFill>
        </w:rPr>
        <w:t>承包人无正当理由不按开工通知的要求及时进场组织施工和不按签订协议书时商</w:t>
      </w:r>
      <w:r>
        <w:rPr>
          <w:rFonts w:hint="eastAsia" w:hAnsi="宋体"/>
          <w:color w:val="000000" w:themeColor="text1"/>
          <w:kern w:val="0"/>
          <w:szCs w:val="21"/>
          <w:highlight w:val="none"/>
          <w14:textFill>
            <w14:solidFill>
              <w14:schemeClr w14:val="tx1"/>
            </w14:solidFill>
          </w14:textFill>
        </w:rPr>
        <w:t>定</w:t>
      </w:r>
      <w:r>
        <w:rPr>
          <w:rFonts w:hAnsi="宋体"/>
          <w:color w:val="000000" w:themeColor="text1"/>
          <w:kern w:val="0"/>
          <w:szCs w:val="21"/>
          <w:highlight w:val="none"/>
          <w14:textFill>
            <w14:solidFill>
              <w14:schemeClr w14:val="tx1"/>
            </w14:solidFill>
          </w14:textFill>
        </w:rPr>
        <w:t>的进度计划有效地开展施工准备，造成工期延误的</w:t>
      </w:r>
      <w:r>
        <w:rPr>
          <w:rFonts w:hint="eastAsia" w:hAnsi="宋体"/>
          <w:color w:val="000000" w:themeColor="text1"/>
          <w:kern w:val="0"/>
          <w:szCs w:val="21"/>
          <w:highlight w:val="none"/>
          <w:lang w:eastAsia="zh-CN"/>
          <w14:textFill>
            <w14:solidFill>
              <w14:schemeClr w14:val="tx1"/>
            </w14:solidFill>
          </w14:textFill>
        </w:rPr>
        <w:t>；</w:t>
      </w:r>
    </w:p>
    <w:p w14:paraId="38F04102">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(2)</w:t>
      </w:r>
      <w:r>
        <w:rPr>
          <w:rFonts w:hAnsi="宋体"/>
          <w:color w:val="000000" w:themeColor="text1"/>
          <w:kern w:val="0"/>
          <w:szCs w:val="21"/>
          <w:highlight w:val="none"/>
          <w14:textFill>
            <w14:solidFill>
              <w14:schemeClr w14:val="tx1"/>
            </w14:solidFill>
          </w14:textFill>
        </w:rPr>
        <w:t>承包人违反本合同通用条款第</w:t>
      </w:r>
      <w:r>
        <w:rPr>
          <w:color w:val="000000" w:themeColor="text1"/>
          <w:kern w:val="0"/>
          <w:szCs w:val="21"/>
          <w:highlight w:val="none"/>
          <w14:textFill>
            <w14:solidFill>
              <w14:schemeClr w14:val="tx1"/>
            </w14:solidFill>
          </w14:textFill>
        </w:rPr>
        <w:t>3.5</w:t>
      </w:r>
      <w:r>
        <w:rPr>
          <w:rFonts w:hAnsi="宋体"/>
          <w:color w:val="000000" w:themeColor="text1"/>
          <w:kern w:val="0"/>
          <w:szCs w:val="21"/>
          <w:highlight w:val="none"/>
          <w14:textFill>
            <w14:solidFill>
              <w14:schemeClr w14:val="tx1"/>
            </w14:solidFill>
          </w14:textFill>
        </w:rPr>
        <w:t>条规定私自将合同或合同的任何部分或任何权利转让给其他人，或私自将工程或工程的一部分分包出去的</w:t>
      </w:r>
      <w:r>
        <w:rPr>
          <w:rFonts w:hint="eastAsia" w:hAnsi="宋体"/>
          <w:color w:val="000000" w:themeColor="text1"/>
          <w:kern w:val="0"/>
          <w:szCs w:val="21"/>
          <w:highlight w:val="none"/>
          <w:lang w:eastAsia="zh-CN"/>
          <w14:textFill>
            <w14:solidFill>
              <w14:schemeClr w14:val="tx1"/>
            </w14:solidFill>
          </w14:textFill>
        </w:rPr>
        <w:t>；</w:t>
      </w:r>
    </w:p>
    <w:p w14:paraId="13EE9B81">
      <w:pPr>
        <w:spacing w:line="360" w:lineRule="auto"/>
        <w:ind w:firstLine="420" w:firstLineChars="200"/>
        <w:jc w:val="left"/>
        <w:rPr>
          <w:rFonts w:hint="eastAsia" w:hAnsi="宋体"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(3)</w:t>
      </w:r>
      <w:r>
        <w:rPr>
          <w:rFonts w:hAnsi="宋体"/>
          <w:color w:val="000000" w:themeColor="text1"/>
          <w:kern w:val="0"/>
          <w:szCs w:val="21"/>
          <w:highlight w:val="none"/>
          <w14:textFill>
            <w14:solidFill>
              <w14:schemeClr w14:val="tx1"/>
            </w14:solidFill>
          </w14:textFill>
        </w:rPr>
        <w:t>未经监理人批准，承包人私自将已按</w:t>
      </w:r>
      <w:r>
        <w:rPr>
          <w:rFonts w:hint="eastAsia" w:hAnsi="宋体"/>
          <w:color w:val="000000" w:themeColor="text1"/>
          <w:kern w:val="0"/>
          <w:szCs w:val="21"/>
          <w:highlight w:val="none"/>
          <w14:textFill>
            <w14:solidFill>
              <w14:schemeClr w14:val="tx1"/>
            </w14:solidFill>
          </w14:textFill>
        </w:rPr>
        <w:t>竞标</w:t>
      </w:r>
      <w:r>
        <w:rPr>
          <w:rFonts w:hAnsi="宋体"/>
          <w:color w:val="000000" w:themeColor="text1"/>
          <w:kern w:val="0"/>
          <w:szCs w:val="21"/>
          <w:highlight w:val="none"/>
          <w14:textFill>
            <w14:solidFill>
              <w14:schemeClr w14:val="tx1"/>
            </w14:solidFill>
          </w14:textFill>
        </w:rPr>
        <w:t>文件承诺进入工地的工程设备、施工设备、临时工程或材料撤离工地的</w:t>
      </w:r>
      <w:r>
        <w:rPr>
          <w:rFonts w:hint="eastAsia" w:hAnsi="宋体"/>
          <w:color w:val="000000" w:themeColor="text1"/>
          <w:kern w:val="0"/>
          <w:szCs w:val="21"/>
          <w:highlight w:val="none"/>
          <w:lang w:eastAsia="zh-CN"/>
          <w14:textFill>
            <w14:solidFill>
              <w14:schemeClr w14:val="tx1"/>
            </w14:solidFill>
          </w14:textFill>
        </w:rPr>
        <w:t>；</w:t>
      </w:r>
    </w:p>
    <w:p w14:paraId="1AA8A600">
      <w:pPr>
        <w:spacing w:line="360"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(4)</w:t>
      </w:r>
      <w:r>
        <w:rPr>
          <w:rFonts w:hAnsi="宋体"/>
          <w:color w:val="000000" w:themeColor="text1"/>
          <w:kern w:val="0"/>
          <w:szCs w:val="21"/>
          <w:highlight w:val="none"/>
          <w14:textFill>
            <w14:solidFill>
              <w14:schemeClr w14:val="tx1"/>
            </w14:solidFill>
          </w14:textFill>
        </w:rPr>
        <w:t>由于承包人原因拒绝按合同进度计划及时完成合同规定的工程，而又未采取有效措施赶上进度，造成工期</w:t>
      </w:r>
      <w:r>
        <w:rPr>
          <w:rFonts w:hint="eastAsia" w:hAnsi="宋体"/>
          <w:color w:val="000000" w:themeColor="text1"/>
          <w:kern w:val="0"/>
          <w:szCs w:val="21"/>
          <w:highlight w:val="none"/>
          <w14:textFill>
            <w14:solidFill>
              <w14:schemeClr w14:val="tx1"/>
            </w14:solidFill>
          </w14:textFill>
        </w:rPr>
        <w:t>严重</w:t>
      </w:r>
      <w:r>
        <w:rPr>
          <w:rFonts w:hAnsi="宋体"/>
          <w:color w:val="000000" w:themeColor="text1"/>
          <w:kern w:val="0"/>
          <w:szCs w:val="21"/>
          <w:highlight w:val="none"/>
          <w14:textFill>
            <w14:solidFill>
              <w14:schemeClr w14:val="tx1"/>
            </w14:solidFill>
          </w14:textFill>
        </w:rPr>
        <w:t>延误的</w:t>
      </w:r>
      <w:r>
        <w:rPr>
          <w:rFonts w:hint="eastAsia" w:hAnsi="宋体"/>
          <w:color w:val="000000" w:themeColor="text1"/>
          <w:kern w:val="0"/>
          <w:szCs w:val="21"/>
          <w:highlight w:val="none"/>
          <w:lang w:eastAsia="zh-CN"/>
          <w14:textFill>
            <w14:solidFill>
              <w14:schemeClr w14:val="tx1"/>
            </w14:solidFill>
          </w14:textFill>
        </w:rPr>
        <w:t>；</w:t>
      </w:r>
    </w:p>
    <w:p w14:paraId="51623B16">
      <w:pPr>
        <w:spacing w:line="360" w:lineRule="auto"/>
        <w:ind w:firstLine="420" w:firstLineChars="200"/>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(5)</w:t>
      </w:r>
      <w:r>
        <w:rPr>
          <w:rFonts w:hAnsi="宋体"/>
          <w:color w:val="000000" w:themeColor="text1"/>
          <w:kern w:val="0"/>
          <w:szCs w:val="21"/>
          <w:highlight w:val="none"/>
          <w14:textFill>
            <w14:solidFill>
              <w14:schemeClr w14:val="tx1"/>
            </w14:solidFill>
          </w14:textFill>
        </w:rPr>
        <w:t>承包人否认合同有效或拒绝履行合同规定的承包人义务，或由于法律、财务等原因导致承包人无法继续履行或实质上已停止履行合同的义务的</w:t>
      </w:r>
      <w:r>
        <w:rPr>
          <w:rFonts w:hint="eastAsia" w:hAnsi="宋体"/>
          <w:color w:val="000000" w:themeColor="text1"/>
          <w:kern w:val="0"/>
          <w:szCs w:val="21"/>
          <w:highlight w:val="none"/>
          <w:lang w:eastAsia="zh-CN"/>
          <w14:textFill>
            <w14:solidFill>
              <w14:schemeClr w14:val="tx1"/>
            </w14:solidFill>
          </w14:textFill>
        </w:rPr>
        <w:t>；</w:t>
      </w:r>
    </w:p>
    <w:p w14:paraId="152C6552">
      <w:pPr>
        <w:spacing w:line="360" w:lineRule="auto"/>
        <w:ind w:firstLine="420"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w:t>
      </w:r>
      <w:r>
        <w:rPr>
          <w:rFonts w:hAnsi="宋体"/>
          <w:color w:val="000000" w:themeColor="text1"/>
          <w:kern w:val="0"/>
          <w:szCs w:val="21"/>
          <w:highlight w:val="none"/>
          <w14:textFill>
            <w14:solidFill>
              <w14:schemeClr w14:val="tx1"/>
            </w14:solidFill>
          </w14:textFill>
        </w:rPr>
        <w:t>合同签订之日起十五日内，承包人无法按合同规定及</w:t>
      </w:r>
      <w:r>
        <w:rPr>
          <w:rFonts w:hint="eastAsia" w:hAnsi="宋体"/>
          <w:color w:val="000000" w:themeColor="text1"/>
          <w:kern w:val="0"/>
          <w:szCs w:val="21"/>
          <w:highlight w:val="none"/>
          <w14:textFill>
            <w14:solidFill>
              <w14:schemeClr w14:val="tx1"/>
            </w14:solidFill>
          </w14:textFill>
        </w:rPr>
        <w:t>竞标</w:t>
      </w:r>
      <w:r>
        <w:rPr>
          <w:rFonts w:hAnsi="宋体"/>
          <w:color w:val="000000" w:themeColor="text1"/>
          <w:kern w:val="0"/>
          <w:szCs w:val="21"/>
          <w:highlight w:val="none"/>
          <w14:textFill>
            <w14:solidFill>
              <w14:schemeClr w14:val="tx1"/>
            </w14:solidFill>
          </w14:textFill>
        </w:rPr>
        <w:t>文件的承诺进场经监理工程师认可的全部人员和机械的。</w:t>
      </w:r>
    </w:p>
    <w:p w14:paraId="6B36DDC8">
      <w:pPr>
        <w:spacing w:line="360" w:lineRule="auto"/>
        <w:ind w:firstLine="420" w:firstLineChars="200"/>
        <w:rPr>
          <w:color w:val="000000" w:themeColor="text1"/>
          <w:kern w:val="0"/>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color w:val="000000" w:themeColor="text1"/>
          <w:kern w:val="0"/>
          <w:szCs w:val="21"/>
          <w:highlight w:val="none"/>
          <w14:textFill>
            <w14:solidFill>
              <w14:schemeClr w14:val="tx1"/>
            </w14:solidFill>
          </w14:textFill>
        </w:rPr>
        <w:t>发包人应支付相应的费用</w:t>
      </w:r>
      <w:r>
        <w:rPr>
          <w:rFonts w:hAnsi="宋体"/>
          <w:color w:val="000000" w:themeColor="text1"/>
          <w:kern w:val="0"/>
          <w:szCs w:val="21"/>
          <w:highlight w:val="none"/>
          <w14:textFill>
            <w14:solidFill>
              <w14:schemeClr w14:val="tx1"/>
            </w14:solidFill>
          </w14:textFill>
        </w:rPr>
        <w:t>。</w:t>
      </w:r>
    </w:p>
    <w:p w14:paraId="7F442207">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ascii="宋体" w:hAnsi="宋体" w:eastAsia="黑体"/>
          <w:b/>
          <w:color w:val="000000" w:themeColor="text1"/>
          <w:kern w:val="0"/>
          <w:sz w:val="28"/>
          <w:szCs w:val="21"/>
          <w:highlight w:val="none"/>
          <w14:textFill>
            <w14:solidFill>
              <w14:schemeClr w14:val="tx1"/>
            </w14:solidFill>
          </w14:textFill>
        </w:rPr>
        <w:t>17. 不可抗力</w:t>
      </w:r>
      <w:bookmarkEnd w:id="804"/>
      <w:bookmarkEnd w:id="810"/>
    </w:p>
    <w:p w14:paraId="4FA16A75">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17.1 不可抗力的确认</w:t>
      </w:r>
    </w:p>
    <w:p w14:paraId="7D7608F0">
      <w:pPr>
        <w:spacing w:line="440" w:lineRule="exact"/>
        <w:ind w:firstLine="420" w:firstLineChars="200"/>
        <w:jc w:val="left"/>
        <w:rPr>
          <w:rFonts w:ascii="宋体" w:hAnsi="宋体"/>
          <w:color w:val="000000" w:themeColor="text1"/>
          <w:kern w:val="0"/>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除通用合同条款约定的不可抗力事件之外，视为不可抗力的其他情形： </w:t>
      </w:r>
      <w:r>
        <w:rPr>
          <w:rFonts w:ascii="宋体" w:hAnsi="宋体"/>
          <w:color w:val="000000" w:themeColor="text1"/>
          <w:kern w:val="0"/>
          <w:szCs w:val="21"/>
          <w:highlight w:val="none"/>
          <w14:textFill>
            <w14:solidFill>
              <w14:schemeClr w14:val="tx1"/>
            </w14:solidFill>
          </w14:textFill>
        </w:rPr>
        <w:t>。</w:t>
      </w:r>
    </w:p>
    <w:p w14:paraId="5042F1C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17.</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因不可抗力解除合同</w:t>
      </w:r>
    </w:p>
    <w:p w14:paraId="492D603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合同解除后，发包人应在商定或确定发包人应支付款项后天内完成款项的支付。</w:t>
      </w:r>
    </w:p>
    <w:p w14:paraId="4C9E8622">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15" w:name="_Toc351203650"/>
      <w:r>
        <w:rPr>
          <w:rFonts w:ascii="宋体" w:hAnsi="宋体" w:eastAsia="黑体"/>
          <w:b/>
          <w:color w:val="000000" w:themeColor="text1"/>
          <w:kern w:val="0"/>
          <w:sz w:val="28"/>
          <w:szCs w:val="21"/>
          <w:highlight w:val="none"/>
          <w14:textFill>
            <w14:solidFill>
              <w14:schemeClr w14:val="tx1"/>
            </w14:solidFill>
          </w14:textFill>
        </w:rPr>
        <w:t>18. 保险</w:t>
      </w:r>
      <w:bookmarkEnd w:id="815"/>
    </w:p>
    <w:bookmarkEnd w:id="805"/>
    <w:p w14:paraId="15468E2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18.1 工程保险</w:t>
      </w:r>
    </w:p>
    <w:p w14:paraId="29CBCC12">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关于其他保险的约定：</w:t>
      </w:r>
      <w:r>
        <w:rPr>
          <w:rFonts w:ascii="宋体" w:hAnsi="宋体"/>
          <w:b/>
          <w:bCs/>
          <w:color w:val="000000" w:themeColor="text1"/>
          <w:szCs w:val="21"/>
          <w:highlight w:val="none"/>
          <w:u w:val="single"/>
          <w14:textFill>
            <w14:solidFill>
              <w14:schemeClr w14:val="tx1"/>
            </w14:solidFill>
          </w14:textFill>
        </w:rPr>
        <w:t>承包人必须为施工现场从事施工的所有作业人员和管理人员办理意外伤害保险，</w:t>
      </w:r>
      <w:r>
        <w:rPr>
          <w:rFonts w:hint="eastAsia" w:ascii="宋体" w:hAnsi="宋体"/>
          <w:b/>
          <w:bCs/>
          <w:color w:val="000000" w:themeColor="text1"/>
          <w:szCs w:val="21"/>
          <w:highlight w:val="none"/>
          <w:u w:val="single"/>
          <w14:textFill>
            <w14:solidFill>
              <w14:schemeClr w14:val="tx1"/>
            </w14:solidFill>
          </w14:textFill>
        </w:rPr>
        <w:t>并</w:t>
      </w:r>
      <w:r>
        <w:rPr>
          <w:rFonts w:ascii="宋体" w:hAnsi="宋体"/>
          <w:b/>
          <w:bCs/>
          <w:color w:val="000000" w:themeColor="text1"/>
          <w:szCs w:val="21"/>
          <w:highlight w:val="none"/>
          <w:u w:val="single"/>
          <w14:textFill>
            <w14:solidFill>
              <w14:schemeClr w14:val="tx1"/>
            </w14:solidFill>
          </w14:textFill>
        </w:rPr>
        <w:t>支付保险费。</w:t>
      </w:r>
    </w:p>
    <w:p w14:paraId="4F98661A">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其他保险</w:t>
      </w:r>
    </w:p>
    <w:p w14:paraId="72B31FA1">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关于其他保险的约定：</w:t>
      </w:r>
      <w:r>
        <w:rPr>
          <w:rFonts w:ascii="宋体" w:hAnsi="宋体"/>
          <w:color w:val="000000" w:themeColor="text1"/>
          <w:kern w:val="0"/>
          <w:szCs w:val="21"/>
          <w:highlight w:val="none"/>
          <w14:textFill>
            <w14:solidFill>
              <w14:schemeClr w14:val="tx1"/>
            </w14:solidFill>
          </w14:textFill>
        </w:rPr>
        <w:t>。</w:t>
      </w:r>
    </w:p>
    <w:p w14:paraId="67871434">
      <w:pPr>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承包人是否应为其施工设备等办理财产保险：。</w:t>
      </w:r>
    </w:p>
    <w:p w14:paraId="180D8B31">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 xml:space="preserve"> 通知义务</w:t>
      </w:r>
    </w:p>
    <w:p w14:paraId="6B97A0F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关于变更保险合同时的通知义务的约定：</w:t>
      </w:r>
      <w:r>
        <w:rPr>
          <w:rFonts w:ascii="宋体" w:hAnsi="宋体"/>
          <w:color w:val="000000" w:themeColor="text1"/>
          <w:szCs w:val="21"/>
          <w:highlight w:val="none"/>
          <w14:textFill>
            <w14:solidFill>
              <w14:schemeClr w14:val="tx1"/>
            </w14:solidFill>
          </w14:textFill>
        </w:rPr>
        <w:t>。</w:t>
      </w:r>
    </w:p>
    <w:bookmarkEnd w:id="781"/>
    <w:bookmarkEnd w:id="782"/>
    <w:bookmarkEnd w:id="783"/>
    <w:bookmarkEnd w:id="784"/>
    <w:bookmarkEnd w:id="785"/>
    <w:bookmarkEnd w:id="786"/>
    <w:bookmarkEnd w:id="787"/>
    <w:bookmarkEnd w:id="788"/>
    <w:bookmarkEnd w:id="789"/>
    <w:bookmarkEnd w:id="790"/>
    <w:bookmarkEnd w:id="791"/>
    <w:bookmarkEnd w:id="792"/>
    <w:p w14:paraId="227529A4">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bookmarkStart w:id="816" w:name="_Toc351203651"/>
      <w:r>
        <w:rPr>
          <w:rFonts w:hint="eastAsia" w:ascii="宋体" w:hAnsi="宋体" w:eastAsia="黑体"/>
          <w:b/>
          <w:color w:val="000000" w:themeColor="text1"/>
          <w:kern w:val="0"/>
          <w:sz w:val="28"/>
          <w:szCs w:val="21"/>
          <w:highlight w:val="none"/>
          <w14:textFill>
            <w14:solidFill>
              <w14:schemeClr w14:val="tx1"/>
            </w14:solidFill>
          </w14:textFill>
        </w:rPr>
        <w:t>19</w:t>
      </w:r>
      <w:r>
        <w:rPr>
          <w:rFonts w:ascii="宋体" w:hAnsi="宋体" w:eastAsia="黑体"/>
          <w:b/>
          <w:color w:val="000000" w:themeColor="text1"/>
          <w:kern w:val="0"/>
          <w:sz w:val="28"/>
          <w:szCs w:val="21"/>
          <w:highlight w:val="none"/>
          <w14:textFill>
            <w14:solidFill>
              <w14:schemeClr w14:val="tx1"/>
            </w14:solidFill>
          </w14:textFill>
        </w:rPr>
        <w:t>. 争议解决</w:t>
      </w:r>
      <w:bookmarkEnd w:id="816"/>
    </w:p>
    <w:bookmarkEnd w:id="793"/>
    <w:bookmarkEnd w:id="794"/>
    <w:p w14:paraId="0F88354C">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w:t>
      </w:r>
      <w:r>
        <w:rPr>
          <w:rFonts w:ascii="宋体" w:hAnsi="宋体"/>
          <w:color w:val="000000" w:themeColor="text1"/>
          <w:szCs w:val="21"/>
          <w:highlight w:val="none"/>
          <w14:textFill>
            <w14:solidFill>
              <w14:schemeClr w14:val="tx1"/>
            </w14:solidFill>
          </w14:textFill>
        </w:rPr>
        <w:t xml:space="preserve"> 争</w:t>
      </w:r>
      <w:bookmarkEnd w:id="795"/>
      <w:r>
        <w:rPr>
          <w:rFonts w:ascii="宋体" w:hAnsi="宋体"/>
          <w:color w:val="000000" w:themeColor="text1"/>
          <w:szCs w:val="21"/>
          <w:highlight w:val="none"/>
          <w14:textFill>
            <w14:solidFill>
              <w14:schemeClr w14:val="tx1"/>
            </w14:solidFill>
          </w14:textFill>
        </w:rPr>
        <w:t>议评审</w:t>
      </w:r>
    </w:p>
    <w:p w14:paraId="42C3EEC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合同当事人是否同意将工程争议提交争议评审小组决</w:t>
      </w:r>
      <w:r>
        <w:rPr>
          <w:rFonts w:hint="eastAsia" w:ascii="宋体" w:hAnsi="宋体"/>
          <w:color w:val="000000" w:themeColor="text1"/>
          <w:szCs w:val="21"/>
          <w:highlight w:val="none"/>
          <w14:textFill>
            <w14:solidFill>
              <w14:schemeClr w14:val="tx1"/>
            </w14:solidFill>
          </w14:textFill>
        </w:rPr>
        <w:t xml:space="preserve">定：。  </w:t>
      </w:r>
    </w:p>
    <w:p w14:paraId="3C3810D7">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19.1.1</w:t>
      </w:r>
      <w:r>
        <w:rPr>
          <w:rFonts w:ascii="宋体" w:hAnsi="宋体"/>
          <w:color w:val="000000" w:themeColor="text1"/>
          <w:szCs w:val="21"/>
          <w:highlight w:val="none"/>
          <w14:textFill>
            <w14:solidFill>
              <w14:schemeClr w14:val="tx1"/>
            </w14:solidFill>
          </w14:textFill>
        </w:rPr>
        <w:t xml:space="preserve"> 争议评审小组的确定</w:t>
      </w:r>
    </w:p>
    <w:p w14:paraId="18B53402">
      <w:pPr>
        <w:spacing w:line="44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争议评审小组成员的确定：。</w:t>
      </w:r>
    </w:p>
    <w:p w14:paraId="5F5BD76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选定争议评审员的期限：。</w:t>
      </w:r>
    </w:p>
    <w:p w14:paraId="6B8A4033">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争议评审小组成员的报酬承担方式：。</w:t>
      </w:r>
    </w:p>
    <w:p w14:paraId="340189DE">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其他事项的约定：。</w:t>
      </w:r>
    </w:p>
    <w:p w14:paraId="62EEC45F">
      <w:pPr>
        <w:autoSpaceDE w:val="0"/>
        <w:autoSpaceDN w:val="0"/>
        <w:adjustRightInd w:val="0"/>
        <w:spacing w:line="440" w:lineRule="exact"/>
        <w:ind w:firstLine="420" w:firstLineChars="20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19.1.2</w:t>
      </w:r>
      <w:r>
        <w:rPr>
          <w:rFonts w:ascii="宋体" w:hAnsi="宋体"/>
          <w:color w:val="000000" w:themeColor="text1"/>
          <w:kern w:val="0"/>
          <w:szCs w:val="21"/>
          <w:highlight w:val="none"/>
          <w14:textFill>
            <w14:solidFill>
              <w14:schemeClr w14:val="tx1"/>
            </w14:solidFill>
          </w14:textFill>
        </w:rPr>
        <w:t xml:space="preserve"> 争议评审小组的决定</w:t>
      </w:r>
    </w:p>
    <w:p w14:paraId="6DA9D1F5">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合同当事人关于本项的约定：。</w:t>
      </w:r>
    </w:p>
    <w:p w14:paraId="73A03A07">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仲裁或诉讼</w:t>
      </w:r>
      <w:bookmarkEnd w:id="796"/>
    </w:p>
    <w:p w14:paraId="6463319D">
      <w:pPr>
        <w:spacing w:after="120"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因合同及合同有关事项发生的争议，按下列第</w:t>
      </w:r>
      <w:r>
        <w:rPr>
          <w:rFonts w:hint="eastAsia" w:ascii="宋体" w:hAnsi="宋体"/>
          <w:color w:val="000000" w:themeColor="text1"/>
          <w:szCs w:val="21"/>
          <w:highlight w:val="none"/>
          <w:u w:val="singl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种方式</w:t>
      </w:r>
      <w:r>
        <w:rPr>
          <w:rFonts w:hint="eastAsia" w:ascii="宋体" w:hAnsi="宋体"/>
          <w:color w:val="000000" w:themeColor="text1"/>
          <w:szCs w:val="21"/>
          <w:highlight w:val="none"/>
          <w14:textFill>
            <w14:solidFill>
              <w14:schemeClr w14:val="tx1"/>
            </w14:solidFill>
          </w14:textFill>
        </w:rPr>
        <w:t>解</w:t>
      </w:r>
      <w:r>
        <w:rPr>
          <w:rFonts w:ascii="宋体" w:hAnsi="宋体"/>
          <w:color w:val="000000" w:themeColor="text1"/>
          <w:szCs w:val="21"/>
          <w:highlight w:val="none"/>
          <w14:textFill>
            <w14:solidFill>
              <w14:schemeClr w14:val="tx1"/>
            </w14:solidFill>
          </w14:textFill>
        </w:rPr>
        <w:t>决：</w:t>
      </w:r>
    </w:p>
    <w:p w14:paraId="2B21638F">
      <w:pPr>
        <w:spacing w:line="44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广西钦州市</w:t>
      </w:r>
      <w:r>
        <w:rPr>
          <w:rFonts w:ascii="宋体" w:hAnsi="宋体"/>
          <w:color w:val="000000" w:themeColor="text1"/>
          <w:szCs w:val="21"/>
          <w:highlight w:val="none"/>
          <w14:textFill>
            <w14:solidFill>
              <w14:schemeClr w14:val="tx1"/>
            </w14:solidFill>
          </w14:textFill>
        </w:rPr>
        <w:t>仲裁委员会申请仲裁</w:t>
      </w:r>
      <w:r>
        <w:rPr>
          <w:rFonts w:hint="eastAsia" w:ascii="宋体" w:hAnsi="宋体"/>
          <w:color w:val="000000" w:themeColor="text1"/>
          <w:szCs w:val="21"/>
          <w:highlight w:val="none"/>
          <w:lang w:eastAsia="zh-CN"/>
          <w14:textFill>
            <w14:solidFill>
              <w14:schemeClr w14:val="tx1"/>
            </w14:solidFill>
          </w14:textFill>
        </w:rPr>
        <w:t>；</w:t>
      </w:r>
    </w:p>
    <w:p w14:paraId="44125E90">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bookmarkEnd w:id="797"/>
      <w:bookmarkEnd w:id="798"/>
      <w:bookmarkEnd w:id="799"/>
      <w:bookmarkEnd w:id="800"/>
      <w:bookmarkEnd w:id="801"/>
      <w:bookmarkEnd w:id="802"/>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工程所在地钦州市钦北区</w:t>
      </w:r>
      <w:r>
        <w:rPr>
          <w:rFonts w:ascii="宋体" w:hAnsi="宋体"/>
          <w:color w:val="000000" w:themeColor="text1"/>
          <w:szCs w:val="21"/>
          <w:highlight w:val="none"/>
          <w14:textFill>
            <w14:solidFill>
              <w14:schemeClr w14:val="tx1"/>
            </w14:solidFill>
          </w14:textFill>
        </w:rPr>
        <w:t>人民法院起诉。</w:t>
      </w:r>
    </w:p>
    <w:p w14:paraId="2222934C">
      <w:pPr>
        <w:keepNext/>
        <w:keepLines/>
        <w:widowControl/>
        <w:spacing w:before="120" w:after="120" w:line="440" w:lineRule="exact"/>
        <w:outlineLvl w:val="3"/>
        <w:rPr>
          <w:rFonts w:ascii="宋体" w:hAnsi="宋体" w:eastAsia="黑体"/>
          <w:b/>
          <w:color w:val="000000" w:themeColor="text1"/>
          <w:kern w:val="0"/>
          <w:sz w:val="28"/>
          <w:szCs w:val="21"/>
          <w:highlight w:val="none"/>
          <w14:textFill>
            <w14:solidFill>
              <w14:schemeClr w14:val="tx1"/>
            </w14:solidFill>
          </w14:textFill>
        </w:rPr>
      </w:pPr>
      <w:r>
        <w:rPr>
          <w:rFonts w:hint="eastAsia" w:ascii="宋体" w:hAnsi="宋体" w:eastAsia="黑体"/>
          <w:b/>
          <w:color w:val="000000" w:themeColor="text1"/>
          <w:kern w:val="0"/>
          <w:sz w:val="28"/>
          <w:szCs w:val="21"/>
          <w:highlight w:val="none"/>
          <w14:textFill>
            <w14:solidFill>
              <w14:schemeClr w14:val="tx1"/>
            </w14:solidFill>
          </w14:textFill>
        </w:rPr>
        <w:t>20</w:t>
      </w:r>
      <w:r>
        <w:rPr>
          <w:rFonts w:ascii="宋体" w:hAnsi="宋体" w:eastAsia="黑体"/>
          <w:b/>
          <w:color w:val="000000" w:themeColor="text1"/>
          <w:kern w:val="0"/>
          <w:sz w:val="28"/>
          <w:szCs w:val="21"/>
          <w:highlight w:val="none"/>
          <w14:textFill>
            <w14:solidFill>
              <w14:schemeClr w14:val="tx1"/>
            </w14:solidFill>
          </w14:textFill>
        </w:rPr>
        <w:t>.</w:t>
      </w:r>
      <w:r>
        <w:rPr>
          <w:rFonts w:hint="eastAsia" w:ascii="宋体" w:hAnsi="宋体" w:eastAsia="黑体"/>
          <w:b/>
          <w:color w:val="000000" w:themeColor="text1"/>
          <w:kern w:val="0"/>
          <w:sz w:val="28"/>
          <w:szCs w:val="21"/>
          <w:highlight w:val="none"/>
          <w14:textFill>
            <w14:solidFill>
              <w14:schemeClr w14:val="tx1"/>
            </w14:solidFill>
          </w14:textFill>
        </w:rPr>
        <w:t>补充条款</w:t>
      </w:r>
    </w:p>
    <w:p w14:paraId="640C4C8F">
      <w:pPr>
        <w:keepNext/>
        <w:keepLines/>
        <w:widowControl/>
        <w:spacing w:before="260" w:after="260" w:line="360" w:lineRule="auto"/>
        <w:jc w:val="center"/>
        <w:outlineLvl w:val="1"/>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20.1实行农民工工资保障制度，承包人应按《不拖欠农民工工资保障金承诺书》履行，承包人向发包人保证不拖欠农民工工资。并按有关规定交纳农民工工资保证金，否则发包人有权解除合同。</w:t>
      </w:r>
    </w:p>
    <w:p w14:paraId="71A8375C">
      <w:pPr>
        <w:keepNext/>
        <w:keepLines/>
        <w:widowControl/>
        <w:spacing w:before="260" w:after="260" w:line="360" w:lineRule="auto"/>
        <w:jc w:val="left"/>
        <w:outlineLvl w:val="1"/>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20.2承包人应根据钦州市建管规定【2017】49号文以及《钦州市建设领域农民工工资支付监管暂行办法》等相关规定，设立农民工工资支付专用账户，并遵照规定做好农民工工资支付管理及劳动用工管理工资，并接受监理工程师、发包人及相关职能部门的监督检查。发包人在支付工程进度款时，将工人工资从进度款中单独分开拨付到承包人开设的农民工工资专用账户，其中拨付的工程进度款中工人工资所占的比例为工程进度款应付金额的20%。承包人必须通过农民工工资支付账户，已发按时足额将农民工工资支付明细报发包人和当地劳动保障检查部门备案。</w:t>
      </w:r>
    </w:p>
    <w:p w14:paraId="7C321DB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承包人应据实编制工程项目结算资料，承包人报送工程结算价超过发包人送钦州市公共投资审计中心或委托有资质的造价咨询机构最终审定的结果正负11%的，构成承包人违约，承包人应向发包人支付违约金。违约金按本工程结算审核委托造价咨询机构产生的审核费用（包括发包人直接委托或审计部门委托产生的费用）全部由承包人承担，并由发包人在支付承包人的工程款中代扣支付给造价咨询机构。</w:t>
      </w:r>
    </w:p>
    <w:p w14:paraId="5326E14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4</w:t>
      </w:r>
      <w:r>
        <w:rPr>
          <w:rFonts w:hAnsi="宋体"/>
          <w:color w:val="000000" w:themeColor="text1"/>
          <w:szCs w:val="21"/>
          <w:highlight w:val="none"/>
          <w14:textFill>
            <w14:solidFill>
              <w14:schemeClr w14:val="tx1"/>
            </w14:solidFill>
          </w14:textFill>
        </w:rPr>
        <w:t>凡进入本工程工作的妇女应持有计生证、否则不准安排工作，禁止使用童工。</w:t>
      </w:r>
    </w:p>
    <w:p w14:paraId="4C3D4D5D">
      <w:pPr>
        <w:widowControl/>
        <w:jc w:val="left"/>
        <w:rPr>
          <w:rFonts w:hAnsi="宋体" w:cs="宋体"/>
          <w:color w:val="000000" w:themeColor="text1"/>
          <w:sz w:val="30"/>
          <w:szCs w:val="30"/>
          <w:highlight w:val="none"/>
          <w14:textFill>
            <w14:solidFill>
              <w14:schemeClr w14:val="tx1"/>
            </w14:solidFill>
          </w14:textFill>
        </w:rPr>
      </w:pPr>
      <w:r>
        <w:rPr>
          <w:rFonts w:hAnsi="宋体" w:cs="宋体"/>
          <w:color w:val="000000" w:themeColor="text1"/>
          <w:sz w:val="30"/>
          <w:szCs w:val="30"/>
          <w:highlight w:val="none"/>
          <w14:textFill>
            <w14:solidFill>
              <w14:schemeClr w14:val="tx1"/>
            </w14:solidFill>
          </w14:textFill>
        </w:rPr>
        <w:br w:type="page"/>
      </w:r>
    </w:p>
    <w:p w14:paraId="0A51399C">
      <w:pPr>
        <w:spacing w:line="440" w:lineRule="exact"/>
        <w:rPr>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附件1：</w:t>
      </w:r>
    </w:p>
    <w:p w14:paraId="0ECD033D">
      <w:pPr>
        <w:spacing w:beforeLines="50" w:afterLines="50" w:line="440" w:lineRule="exact"/>
        <w:jc w:val="center"/>
        <w:rPr>
          <w:rFonts w:ascii="黑体" w:eastAsia="黑体"/>
          <w:color w:val="000000" w:themeColor="text1"/>
          <w:sz w:val="32"/>
          <w:szCs w:val="32"/>
          <w:highlight w:val="none"/>
          <w14:textFill>
            <w14:solidFill>
              <w14:schemeClr w14:val="tx1"/>
            </w14:solidFill>
          </w14:textFill>
        </w:rPr>
      </w:pPr>
      <w:r>
        <w:rPr>
          <w:rFonts w:hint="eastAsia" w:ascii="黑体" w:hAnsi="宋体" w:eastAsia="黑体" w:cs="黑体"/>
          <w:color w:val="000000" w:themeColor="text1"/>
          <w:sz w:val="32"/>
          <w:szCs w:val="32"/>
          <w:highlight w:val="none"/>
          <w14:textFill>
            <w14:solidFill>
              <w14:schemeClr w14:val="tx1"/>
            </w14:solidFill>
          </w14:textFill>
        </w:rPr>
        <w:t>工程质量保修书（房屋建筑工程）</w:t>
      </w:r>
    </w:p>
    <w:p w14:paraId="1D999848">
      <w:pPr>
        <w:spacing w:line="440" w:lineRule="exact"/>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发包人（全称）：</w:t>
      </w:r>
    </w:p>
    <w:p w14:paraId="0DC772F1">
      <w:pPr>
        <w:spacing w:line="440" w:lineRule="exact"/>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承包人（全称）：</w:t>
      </w:r>
    </w:p>
    <w:p w14:paraId="3A557029">
      <w:pPr>
        <w:spacing w:line="440" w:lineRule="exact"/>
        <w:rPr>
          <w:color w:val="000000" w:themeColor="text1"/>
          <w:highlight w:val="none"/>
          <w14:textFill>
            <w14:solidFill>
              <w14:schemeClr w14:val="tx1"/>
            </w14:solidFill>
          </w14:textFill>
        </w:rPr>
      </w:pPr>
    </w:p>
    <w:p w14:paraId="50AB107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发包人和承包人根据《中华人民共和国建筑法》和《建设工程质量管理条例》，经协商一致就（工程全称）签订工程质量保修书。</w:t>
      </w:r>
    </w:p>
    <w:p w14:paraId="120F28E3">
      <w:pPr>
        <w:spacing w:line="360" w:lineRule="auto"/>
        <w:ind w:firstLine="420" w:firstLineChars="20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一、工程质量保修范围和内容</w:t>
      </w:r>
    </w:p>
    <w:p w14:paraId="0460F445">
      <w:pPr>
        <w:spacing w:line="360" w:lineRule="auto"/>
        <w:ind w:firstLine="420" w:firstLineChars="20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承包人在质量保修期内，按照有关法律规定和合同约定，承担工程质量保修责任。</w:t>
      </w:r>
    </w:p>
    <w:p w14:paraId="57288F46">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5409A75">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二、质量保修期</w:t>
      </w:r>
    </w:p>
    <w:p w14:paraId="00505135">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根据《建设工程质量管理条例》及有关规定，工程的质量保修期如下：</w:t>
      </w:r>
    </w:p>
    <w:p w14:paraId="6C0268E5">
      <w:pPr>
        <w:wordWrap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保修期限约定如下：</w:t>
      </w:r>
      <w:r>
        <w:rPr>
          <w:rFonts w:hint="eastAsia" w:ascii="宋体" w:hAnsi="宋体" w:cs="宋体"/>
          <w:color w:val="000000" w:themeColor="text1"/>
          <w:szCs w:val="21"/>
          <w:highlight w:val="none"/>
          <w:u w:val="single"/>
          <w14:textFill>
            <w14:solidFill>
              <w14:schemeClr w14:val="tx1"/>
            </w14:solidFill>
          </w14:textFill>
        </w:rPr>
        <w:t>2年。</w:t>
      </w:r>
    </w:p>
    <w:p w14:paraId="6EC2C59E">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质量保修期自工程竣工验收合格之日起计算。</w:t>
      </w:r>
    </w:p>
    <w:p w14:paraId="2F12C29E">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三、缺陷责任期</w:t>
      </w:r>
    </w:p>
    <w:p w14:paraId="354271CB">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工程缺陷责任期为</w:t>
      </w:r>
      <w:r>
        <w:rPr>
          <w:rFonts w:hint="eastAsia" w:hAnsi="宋体" w:cs="宋体"/>
          <w:color w:val="000000" w:themeColor="text1"/>
          <w:highlight w:val="none"/>
          <w:lang w:val="en-US" w:eastAsia="zh-CN"/>
          <w14:textFill>
            <w14:solidFill>
              <w14:schemeClr w14:val="tx1"/>
            </w14:solidFill>
          </w14:textFill>
        </w:rPr>
        <w:t>24</w:t>
      </w:r>
      <w:r>
        <w:rPr>
          <w:rFonts w:hint="eastAsia" w:hAnsi="宋体" w:cs="宋体"/>
          <w:color w:val="000000" w:themeColor="text1"/>
          <w:highlight w:val="none"/>
          <w14:textFill>
            <w14:solidFill>
              <w14:schemeClr w14:val="tx1"/>
            </w14:solidFill>
          </w14:textFill>
        </w:rPr>
        <w:t>个月（最长不超过</w:t>
      </w:r>
      <w:r>
        <w:rPr>
          <w:rFonts w:hAnsi="宋体"/>
          <w:color w:val="000000" w:themeColor="text1"/>
          <w:highlight w:val="none"/>
          <w14:textFill>
            <w14:solidFill>
              <w14:schemeClr w14:val="tx1"/>
            </w14:solidFill>
          </w14:textFill>
        </w:rPr>
        <w:t>24</w:t>
      </w:r>
      <w:r>
        <w:rPr>
          <w:rFonts w:hint="eastAsia" w:hAnsi="宋体" w:cs="宋体"/>
          <w:color w:val="000000" w:themeColor="text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08EE51EA">
      <w:pPr>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缺陷责任期</w:t>
      </w:r>
      <w:r>
        <w:rPr>
          <w:rFonts w:hint="eastAsia" w:hAnsi="宋体" w:cs="宋体"/>
          <w:color w:val="000000" w:themeColor="text1"/>
          <w:highlight w:val="none"/>
          <w:u w:val="single"/>
          <w14:textFill>
            <w14:solidFill>
              <w14:schemeClr w14:val="tx1"/>
            </w14:solidFill>
          </w14:textFill>
        </w:rPr>
        <w:t>满</w:t>
      </w:r>
      <w:r>
        <w:rPr>
          <w:rFonts w:hint="eastAsia" w:ascii="仿宋_GB2312" w:hAnsi="宋体"/>
          <w:color w:val="000000" w:themeColor="text1"/>
          <w:highlight w:val="none"/>
          <w14:textFill>
            <w14:solidFill>
              <w14:schemeClr w14:val="tx1"/>
            </w14:solidFill>
          </w14:textFill>
        </w:rPr>
        <w:t>之日起天</w:t>
      </w:r>
      <w:r>
        <w:rPr>
          <w:rFonts w:hint="eastAsia" w:hAnsi="宋体" w:cs="宋体"/>
          <w:color w:val="000000" w:themeColor="text1"/>
          <w:highlight w:val="none"/>
          <w:u w:val="single"/>
          <w14:textFill>
            <w14:solidFill>
              <w14:schemeClr w14:val="tx1"/>
            </w14:solidFill>
          </w14:textFill>
        </w:rPr>
        <w:t>（按</w:t>
      </w:r>
      <w:r>
        <w:rPr>
          <w:rFonts w:hAnsi="宋体" w:cs="宋体"/>
          <w:color w:val="000000" w:themeColor="text1"/>
          <w:highlight w:val="none"/>
          <w:u w:val="single"/>
          <w14:textFill>
            <w14:solidFill>
              <w14:schemeClr w14:val="tx1"/>
            </w14:solidFill>
          </w14:textFill>
        </w:rPr>
        <w:t>合同约定期限）</w:t>
      </w:r>
      <w:r>
        <w:rPr>
          <w:rFonts w:hint="eastAsia" w:hAnsi="宋体" w:cs="宋体"/>
          <w:color w:val="000000" w:themeColor="text1"/>
          <w:highlight w:val="none"/>
          <w:u w:val="single"/>
          <w14:textFill>
            <w14:solidFill>
              <w14:schemeClr w14:val="tx1"/>
            </w14:solidFill>
          </w14:textFill>
        </w:rPr>
        <w:t>，</w:t>
      </w:r>
      <w:r>
        <w:rPr>
          <w:rFonts w:hint="eastAsia" w:hAnsi="宋体" w:cs="宋体"/>
          <w:color w:val="000000" w:themeColor="text1"/>
          <w:highlight w:val="none"/>
          <w14:textFill>
            <w14:solidFill>
              <w14:schemeClr w14:val="tx1"/>
            </w14:solidFill>
          </w14:textFill>
        </w:rPr>
        <w:t>发包人应退还剩余的质量保证金。</w:t>
      </w:r>
    </w:p>
    <w:p w14:paraId="477E9B00">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四、质量保修责任</w:t>
      </w:r>
    </w:p>
    <w:p w14:paraId="0223B26A">
      <w:pPr>
        <w:spacing w:line="360" w:lineRule="auto"/>
        <w:ind w:left="105" w:leftChars="50" w:firstLine="430" w:firstLineChars="205"/>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hAnsi="宋体" w:cs="宋体"/>
          <w:color w:val="000000" w:themeColor="text1"/>
          <w:highlight w:val="none"/>
          <w14:textFill>
            <w14:solidFill>
              <w14:schemeClr w14:val="tx1"/>
            </w14:solidFill>
          </w14:textFill>
        </w:rPr>
        <w:t>．属于保修范围、内容的项目，承包人应当在接到保修通知之日起</w:t>
      </w:r>
      <w:r>
        <w:rPr>
          <w:rFonts w:hint="eastAsia"/>
          <w:color w:val="000000" w:themeColor="text1"/>
          <w:highlight w:val="none"/>
          <w:u w:val="single"/>
          <w14:textFill>
            <w14:solidFill>
              <w14:schemeClr w14:val="tx1"/>
            </w14:solidFill>
          </w14:textFill>
        </w:rPr>
        <w:t>5</w:t>
      </w:r>
      <w:r>
        <w:rPr>
          <w:rFonts w:hint="eastAsia" w:hAnsi="宋体" w:cs="宋体"/>
          <w:color w:val="000000" w:themeColor="text1"/>
          <w:highlight w:val="none"/>
          <w14:textFill>
            <w14:solidFill>
              <w14:schemeClr w14:val="tx1"/>
            </w14:solidFill>
          </w14:textFill>
        </w:rPr>
        <w:t>天内派人保修。承包人不在约定期限内派人保修的，发包人可以委托他人修理，修理费用从质量保证金内扣除。</w:t>
      </w:r>
    </w:p>
    <w:p w14:paraId="1CEA8483">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hAnsi="宋体" w:cs="宋体"/>
          <w:color w:val="000000" w:themeColor="text1"/>
          <w:highlight w:val="none"/>
          <w14:textFill>
            <w14:solidFill>
              <w14:schemeClr w14:val="tx1"/>
            </w14:solidFill>
          </w14:textFill>
        </w:rPr>
        <w:t>．发生紧急事故需抢修的，承包人在接到事故通知后，应当立即到达事故现场抢修。</w:t>
      </w:r>
    </w:p>
    <w:p w14:paraId="29070DEB">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hAnsi="宋体" w:cs="宋体"/>
          <w:color w:val="000000" w:themeColor="text1"/>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127E359">
      <w:pPr>
        <w:spacing w:line="360" w:lineRule="auto"/>
        <w:ind w:firstLine="420"/>
        <w:rPr>
          <w:rFonts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hAnsi="宋体" w:cs="宋体"/>
          <w:color w:val="000000" w:themeColor="text1"/>
          <w:highlight w:val="none"/>
          <w14:textFill>
            <w14:solidFill>
              <w14:schemeClr w14:val="tx1"/>
            </w14:solidFill>
          </w14:textFill>
        </w:rPr>
        <w:t>．质量保修完成后，由发包人组织验收。</w:t>
      </w:r>
    </w:p>
    <w:p w14:paraId="75403E05">
      <w:pPr>
        <w:spacing w:line="360" w:lineRule="auto"/>
        <w:ind w:firstLine="420"/>
        <w:rPr>
          <w:rFonts w:ascii="黑体" w:hAnsi="宋体" w:eastAsia="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五、保修费用</w:t>
      </w:r>
    </w:p>
    <w:p w14:paraId="5C628A36">
      <w:pPr>
        <w:tabs>
          <w:tab w:val="left" w:pos="7380"/>
        </w:tabs>
        <w:spacing w:line="360" w:lineRule="auto"/>
        <w:ind w:firstLine="420"/>
        <w:rPr>
          <w:rFonts w:hAns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保修费用由造成质量缺陷的责任方承担。</w:t>
      </w:r>
    </w:p>
    <w:p w14:paraId="5607FECA">
      <w:pPr>
        <w:spacing w:line="360" w:lineRule="auto"/>
        <w:ind w:firstLine="420"/>
        <w:rPr>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六、双方约定的其他工程质量保修事项：</w:t>
      </w:r>
      <w:r>
        <w:rPr>
          <w:rFonts w:hint="eastAsia" w:hAnsi="宋体" w:cs="宋体"/>
          <w:color w:val="000000" w:themeColor="text1"/>
          <w:highlight w:val="none"/>
          <w14:textFill>
            <w14:solidFill>
              <w14:schemeClr w14:val="tx1"/>
            </w14:solidFill>
          </w14:textFill>
        </w:rPr>
        <w:t>。</w:t>
      </w:r>
    </w:p>
    <w:p w14:paraId="4E79D735">
      <w:pPr>
        <w:spacing w:line="360" w:lineRule="auto"/>
        <w:ind w:firstLine="399" w:firstLineChars="19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工程质量保修书由发包人、承包人在工程竣工验收前共同签署，作为施工合同附件，其有效期限至保修期满。</w:t>
      </w:r>
    </w:p>
    <w:p w14:paraId="309B07D4">
      <w:pPr>
        <w:spacing w:line="360" w:lineRule="auto"/>
        <w:ind w:firstLine="420"/>
        <w:rPr>
          <w:color w:val="000000" w:themeColor="text1"/>
          <w:highlight w:val="none"/>
          <w14:textFill>
            <w14:solidFill>
              <w14:schemeClr w14:val="tx1"/>
            </w14:solidFill>
          </w14:textFill>
        </w:rPr>
      </w:pPr>
    </w:p>
    <w:p w14:paraId="198D5E38">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发包人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公章</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承包人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公章</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p>
    <w:p w14:paraId="575DC66C">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地址：</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地址：</w:t>
      </w:r>
      <w:r>
        <w:rPr>
          <w:rFonts w:ascii="宋体" w:hAnsi="宋体"/>
          <w:color w:val="000000" w:themeColor="text1"/>
          <w:highlight w:val="none"/>
          <w:u w:val="single"/>
          <w14:textFill>
            <w14:solidFill>
              <w14:schemeClr w14:val="tx1"/>
            </w14:solidFill>
          </w14:textFill>
        </w:rPr>
        <w:t></w:t>
      </w:r>
    </w:p>
    <w:p w14:paraId="05F78D37">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p>
    <w:p w14:paraId="0DC60333">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委托代理人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委托代理人</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签字</w:t>
      </w:r>
      <w:r>
        <w:rPr>
          <w:rFonts w:hint="eastAsia"/>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w:t>
      </w:r>
    </w:p>
    <w:p w14:paraId="173A3688">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电话：</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电话：</w:t>
      </w:r>
      <w:r>
        <w:rPr>
          <w:rFonts w:ascii="宋体" w:hAnsi="宋体"/>
          <w:color w:val="000000" w:themeColor="text1"/>
          <w:highlight w:val="none"/>
          <w:u w:val="single"/>
          <w14:textFill>
            <w14:solidFill>
              <w14:schemeClr w14:val="tx1"/>
            </w14:solidFill>
          </w14:textFill>
        </w:rPr>
        <w:t></w:t>
      </w:r>
    </w:p>
    <w:p w14:paraId="515038F5">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传真：</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传真：</w:t>
      </w:r>
      <w:r>
        <w:rPr>
          <w:rFonts w:ascii="宋体" w:hAnsi="宋体"/>
          <w:color w:val="000000" w:themeColor="text1"/>
          <w:highlight w:val="none"/>
          <w:u w:val="single"/>
          <w14:textFill>
            <w14:solidFill>
              <w14:schemeClr w14:val="tx1"/>
            </w14:solidFill>
          </w14:textFill>
        </w:rPr>
        <w:t></w:t>
      </w:r>
    </w:p>
    <w:p w14:paraId="06E09CA1">
      <w:pPr>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开户银行：</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开户银行：</w:t>
      </w:r>
      <w:r>
        <w:rPr>
          <w:rFonts w:ascii="宋体" w:hAnsi="宋体"/>
          <w:color w:val="000000" w:themeColor="text1"/>
          <w:highlight w:val="none"/>
          <w:u w:val="single"/>
          <w14:textFill>
            <w14:solidFill>
              <w14:schemeClr w14:val="tx1"/>
            </w14:solidFill>
          </w14:textFill>
        </w:rPr>
        <w:t></w:t>
      </w:r>
    </w:p>
    <w:p w14:paraId="5E3E16D2">
      <w:pPr>
        <w:tabs>
          <w:tab w:val="left" w:pos="2880"/>
          <w:tab w:val="left" w:pos="3060"/>
          <w:tab w:val="left" w:pos="4500"/>
        </w:tabs>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账号：</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账号：</w:t>
      </w:r>
      <w:r>
        <w:rPr>
          <w:rFonts w:ascii="宋体" w:hAnsi="宋体"/>
          <w:color w:val="000000" w:themeColor="text1"/>
          <w:highlight w:val="none"/>
          <w:u w:val="single"/>
          <w14:textFill>
            <w14:solidFill>
              <w14:schemeClr w14:val="tx1"/>
            </w14:solidFill>
          </w14:textFill>
        </w:rPr>
        <w:t></w:t>
      </w:r>
    </w:p>
    <w:p w14:paraId="69D60F3F">
      <w:pPr>
        <w:tabs>
          <w:tab w:val="left" w:pos="7200"/>
          <w:tab w:val="left" w:pos="7380"/>
          <w:tab w:val="left" w:pos="7560"/>
        </w:tabs>
        <w:spacing w:line="360" w:lineRule="auto"/>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邮政编码：</w:t>
      </w:r>
      <w:r>
        <w:rPr>
          <w:rFonts w:ascii="宋体" w:hAnsi="宋体"/>
          <w:color w:val="000000" w:themeColor="text1"/>
          <w:highlight w:val="none"/>
          <w:u w:val="single"/>
          <w14:textFill>
            <w14:solidFill>
              <w14:schemeClr w14:val="tx1"/>
            </w14:solidFill>
          </w14:textFill>
        </w:rPr>
        <w:t></w:t>
      </w:r>
      <w:r>
        <w:rPr>
          <w:rFonts w:hAnsi="宋体"/>
          <w:color w:val="000000" w:themeColor="text1"/>
          <w:highlight w:val="none"/>
          <w14:textFill>
            <w14:solidFill>
              <w14:schemeClr w14:val="tx1"/>
            </w14:solidFill>
          </w14:textFill>
        </w:rPr>
        <w:t>邮政编码：</w:t>
      </w:r>
      <w:r>
        <w:rPr>
          <w:rFonts w:ascii="宋体" w:hAnsi="宋体"/>
          <w:color w:val="000000" w:themeColor="text1"/>
          <w:highlight w:val="none"/>
          <w:u w:val="single"/>
          <w14:textFill>
            <w14:solidFill>
              <w14:schemeClr w14:val="tx1"/>
            </w14:solidFill>
          </w14:textFill>
        </w:rPr>
        <w:t></w:t>
      </w:r>
    </w:p>
    <w:p w14:paraId="2BE36A33">
      <w:pPr>
        <w:spacing w:beforeLines="50" w:afterLines="50" w:line="440" w:lineRule="exact"/>
        <w:jc w:val="center"/>
        <w:rPr>
          <w:rFonts w:ascii="黑体" w:hAnsi="宋体" w:eastAsia="黑体"/>
          <w:color w:val="000000" w:themeColor="text1"/>
          <w:sz w:val="32"/>
          <w:szCs w:val="32"/>
          <w:highlight w:val="none"/>
          <w14:textFill>
            <w14:solidFill>
              <w14:schemeClr w14:val="tx1"/>
            </w14:solidFill>
          </w14:textFill>
        </w:rPr>
      </w:pPr>
    </w:p>
    <w:p w14:paraId="5F58751D">
      <w:pPr>
        <w:spacing w:beforeLines="50" w:afterLines="50" w:line="440" w:lineRule="exact"/>
        <w:jc w:val="center"/>
        <w:rPr>
          <w:rFonts w:ascii="黑体" w:hAnsi="宋体" w:eastAsia="黑体"/>
          <w:color w:val="000000" w:themeColor="text1"/>
          <w:sz w:val="32"/>
          <w:szCs w:val="32"/>
          <w:highlight w:val="none"/>
          <w14:textFill>
            <w14:solidFill>
              <w14:schemeClr w14:val="tx1"/>
            </w14:solidFill>
          </w14:textFill>
        </w:rPr>
      </w:pPr>
      <w:r>
        <w:rPr>
          <w:rFonts w:ascii="黑体" w:hAnsi="宋体" w:eastAsia="黑体"/>
          <w:color w:val="000000" w:themeColor="text1"/>
          <w:sz w:val="32"/>
          <w:szCs w:val="32"/>
          <w:highlight w:val="none"/>
          <w14:textFill>
            <w14:solidFill>
              <w14:schemeClr w14:val="tx1"/>
            </w14:solidFill>
          </w14:textFill>
        </w:rPr>
        <w:br w:type="page"/>
      </w:r>
    </w:p>
    <w:p w14:paraId="738D641B">
      <w:pPr>
        <w:widowControl/>
        <w:jc w:val="left"/>
        <w:rPr>
          <w:rFonts w:hAnsi="宋体" w:cs="宋体"/>
          <w:color w:val="000000" w:themeColor="text1"/>
          <w:sz w:val="30"/>
          <w:szCs w:val="30"/>
          <w:highlight w:val="none"/>
          <w14:textFill>
            <w14:solidFill>
              <w14:schemeClr w14:val="tx1"/>
            </w14:solidFill>
          </w14:textFill>
        </w:rPr>
      </w:pPr>
      <w:r>
        <w:rPr>
          <w:rFonts w:hint="eastAsia" w:hAnsi="宋体" w:cs="宋体"/>
          <w:color w:val="000000" w:themeColor="text1"/>
          <w:sz w:val="30"/>
          <w:szCs w:val="30"/>
          <w:highlight w:val="none"/>
          <w14:textFill>
            <w14:solidFill>
              <w14:schemeClr w14:val="tx1"/>
            </w14:solidFill>
          </w14:textFill>
        </w:rPr>
        <w:t>附件2：</w:t>
      </w:r>
    </w:p>
    <w:p w14:paraId="3EC7E695">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履约保函示范文本</w:t>
      </w:r>
    </w:p>
    <w:p w14:paraId="526420C0">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（独立保函）</w:t>
      </w:r>
    </w:p>
    <w:p w14:paraId="1FA1D53A">
      <w:pPr>
        <w:wordWrap w:val="0"/>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21D5A2B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申请人：</w:t>
      </w:r>
    </w:p>
    <w:p w14:paraId="77119E3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0244408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w:t>
      </w:r>
    </w:p>
    <w:p w14:paraId="39C06C3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442FFFA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开立人：</w:t>
      </w:r>
    </w:p>
    <w:p w14:paraId="2DAED6E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p>
    <w:p w14:paraId="1FFEC457">
      <w:pPr>
        <w:spacing w:line="360" w:lineRule="auto"/>
        <w:rPr>
          <w:rFonts w:ascii="宋体" w:hAnsi="宋体"/>
          <w:color w:val="000000" w:themeColor="text1"/>
          <w:sz w:val="24"/>
          <w:highlight w:val="none"/>
          <w14:textFill>
            <w14:solidFill>
              <w14:schemeClr w14:val="tx1"/>
            </w14:solidFill>
          </w14:textFill>
        </w:rPr>
      </w:pPr>
    </w:p>
    <w:p w14:paraId="5758A73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（受益人名称）： </w:t>
      </w:r>
    </w:p>
    <w:p w14:paraId="6F819CA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鉴于（以下简称“受益人”）与（以下简称“申请人”）于年月日就工程（以下简称“本工程”）施工和有关事项协商一致共同签订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5E30A78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0B667B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二、本保函担保金额最高不超过人民币（大写）元（¥）。 </w:t>
      </w:r>
    </w:p>
    <w:p w14:paraId="35C9C84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三、本保函有效期自开立之日起至基础合同约定的缺陷责任期后日止，最迟不超过年月日。 </w:t>
      </w:r>
    </w:p>
    <w:p w14:paraId="5997E9E6">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四、我方承诺，在收到受益人发来的书面付款通知后的日内无条件支付，前述书面付款通知即为付款要求之单据，且应满足以下要求：</w:t>
      </w:r>
    </w:p>
    <w:p w14:paraId="7C3073F3">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（1）付款通知到达的日期在本保函的有效期内</w:t>
      </w:r>
      <w:r>
        <w:rPr>
          <w:rFonts w:hint="eastAsia" w:ascii="宋体" w:hAnsi="宋体"/>
          <w:color w:val="000000" w:themeColor="text1"/>
          <w:sz w:val="24"/>
          <w:highlight w:val="none"/>
          <w:lang w:eastAsia="zh-CN"/>
          <w14:textFill>
            <w14:solidFill>
              <w14:schemeClr w14:val="tx1"/>
            </w14:solidFill>
          </w14:textFill>
        </w:rPr>
        <w:t>；</w:t>
      </w:r>
    </w:p>
    <w:p w14:paraId="65921F86">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（2）载明要求支付的金额</w:t>
      </w:r>
      <w:r>
        <w:rPr>
          <w:rFonts w:hint="eastAsia" w:ascii="宋体" w:hAnsi="宋体"/>
          <w:color w:val="000000" w:themeColor="text1"/>
          <w:sz w:val="24"/>
          <w:highlight w:val="none"/>
          <w:lang w:eastAsia="zh-CN"/>
          <w14:textFill>
            <w14:solidFill>
              <w14:schemeClr w14:val="tx1"/>
            </w14:solidFill>
          </w14:textFill>
        </w:rPr>
        <w:t>；</w:t>
      </w:r>
    </w:p>
    <w:p w14:paraId="760DB4E8">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（3）载明申请人违反合同义务的条款和内容</w:t>
      </w:r>
      <w:r>
        <w:rPr>
          <w:rFonts w:hint="eastAsia" w:ascii="宋体" w:hAnsi="宋体"/>
          <w:color w:val="000000" w:themeColor="text1"/>
          <w:sz w:val="24"/>
          <w:highlight w:val="none"/>
          <w:lang w:eastAsia="zh-CN"/>
          <w14:textFill>
            <w14:solidFill>
              <w14:schemeClr w14:val="tx1"/>
            </w14:solidFill>
          </w14:textFill>
        </w:rPr>
        <w:t>；</w:t>
      </w:r>
    </w:p>
    <w:p w14:paraId="20DD50F0">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（4）声明不存在合同文件约定或我国法律规定免除申请人或开立人支付责任的情形</w:t>
      </w:r>
      <w:r>
        <w:rPr>
          <w:rFonts w:hint="eastAsia" w:ascii="宋体" w:hAnsi="宋体"/>
          <w:color w:val="000000" w:themeColor="text1"/>
          <w:sz w:val="24"/>
          <w:highlight w:val="none"/>
          <w:lang w:eastAsia="zh-CN"/>
          <w14:textFill>
            <w14:solidFill>
              <w14:schemeClr w14:val="tx1"/>
            </w14:solidFill>
          </w14:textFill>
        </w:rPr>
        <w:t>；</w:t>
      </w:r>
    </w:p>
    <w:p w14:paraId="6F21A37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（5）付款通知应在本保函有效期内到达的地址是：。</w:t>
      </w:r>
    </w:p>
    <w:p w14:paraId="312BA59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受益人发出的书面付款通知应由其为鉴明受益人法定代表人（负责人）或授权代理人签字并加盖公章。</w:t>
      </w:r>
    </w:p>
    <w:p w14:paraId="337A936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54965B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六、与本保函有关的基础合同不成立、不生效、无效、被撤销、被解除，不影响本保函的独立有效。 </w:t>
      </w:r>
    </w:p>
    <w:p w14:paraId="09EB4A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508A82F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八、本保函适用的法律为中华人民共和国法律，争议裁判管辖地为中华人民共和国。 </w:t>
      </w:r>
    </w:p>
    <w:p w14:paraId="7CE7A2A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九、本保函自我方法定代表人或授权代表签字并加盖公章之日起生效。 </w:t>
      </w:r>
    </w:p>
    <w:p w14:paraId="153BEB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 立 人：                              （公章） </w:t>
      </w:r>
    </w:p>
    <w:p w14:paraId="4DAB5BD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7975FC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20654E9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208757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57663FF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0CB8C462">
      <w:pPr>
        <w:spacing w:line="360" w:lineRule="auto"/>
        <w:ind w:firstLine="480" w:firstLineChars="200"/>
        <w:rPr>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开立时间：      年      月    </w:t>
      </w:r>
    </w:p>
    <w:p w14:paraId="412DA924">
      <w:pPr>
        <w:spacing w:line="360" w:lineRule="auto"/>
        <w:jc w:val="left"/>
        <w:rPr>
          <w:rFonts w:eastAsia="仿宋_GB2312"/>
          <w:color w:val="000000" w:themeColor="text1"/>
          <w:sz w:val="30"/>
          <w:szCs w:val="30"/>
          <w:highlight w:val="none"/>
          <w14:textFill>
            <w14:solidFill>
              <w14:schemeClr w14:val="tx1"/>
            </w14:solidFill>
          </w14:textFill>
        </w:rPr>
      </w:pPr>
    </w:p>
    <w:p w14:paraId="2B94535E">
      <w:pPr>
        <w:spacing w:line="360" w:lineRule="auto"/>
        <w:rPr>
          <w:rFonts w:ascii="宋体" w:hAnsi="宋体"/>
          <w:b/>
          <w:bCs/>
          <w:color w:val="000000" w:themeColor="text1"/>
          <w:sz w:val="32"/>
          <w:szCs w:val="32"/>
          <w:highlight w:val="none"/>
          <w14:textFill>
            <w14:solidFill>
              <w14:schemeClr w14:val="tx1"/>
            </w14:solidFill>
          </w14:textFill>
        </w:rPr>
      </w:pPr>
    </w:p>
    <w:p w14:paraId="22C466C8">
      <w:pPr>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履约保函示范文本</w:t>
      </w:r>
    </w:p>
    <w:p w14:paraId="421F64E2">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（非独立保函）</w:t>
      </w:r>
    </w:p>
    <w:p w14:paraId="38768A65">
      <w:pPr>
        <w:spacing w:line="360" w:lineRule="auto"/>
        <w:jc w:val="center"/>
        <w:rPr>
          <w:rFonts w:ascii="宋体" w:hAnsi="宋体"/>
          <w:b/>
          <w:bCs/>
          <w:color w:val="000000" w:themeColor="text1"/>
          <w:sz w:val="32"/>
          <w:szCs w:val="32"/>
          <w:highlight w:val="none"/>
          <w14:textFill>
            <w14:solidFill>
              <w14:schemeClr w14:val="tx1"/>
            </w14:solidFill>
          </w14:textFill>
        </w:rPr>
      </w:pPr>
    </w:p>
    <w:p w14:paraId="47AA7BF7">
      <w:pPr>
        <w:wordWrap w:val="0"/>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编号：           </w:t>
      </w:r>
    </w:p>
    <w:p w14:paraId="09ABAD1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w:t>
      </w:r>
    </w:p>
    <w:p w14:paraId="00D4038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4FC219F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担保权人/发包人： </w:t>
      </w:r>
    </w:p>
    <w:p w14:paraId="48AF7C2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12D7150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保证人：</w:t>
      </w:r>
    </w:p>
    <w:p w14:paraId="51E5471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14:paraId="37652E8A">
      <w:pPr>
        <w:spacing w:line="360" w:lineRule="auto"/>
        <w:rPr>
          <w:rFonts w:ascii="宋体" w:hAnsi="宋体"/>
          <w:color w:val="000000" w:themeColor="text1"/>
          <w:sz w:val="24"/>
          <w:highlight w:val="none"/>
          <w14:textFill>
            <w14:solidFill>
              <w14:schemeClr w14:val="tx1"/>
            </w14:solidFill>
          </w14:textFill>
        </w:rPr>
      </w:pPr>
    </w:p>
    <w:p w14:paraId="3B7EF4E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（发包人名称）： </w:t>
      </w:r>
    </w:p>
    <w:p w14:paraId="1D6C8C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鉴于（以下简称“发包人”）与（以下简称“承包人”）于年月日就工程（以下简称“本工程”）施工和有关事项协商一致共同签订</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59F95BC6">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一、保证担保的范围及保证担保金额</w:t>
      </w:r>
    </w:p>
    <w:p w14:paraId="1A4664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1B15728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2.保证担保金额最高不超过人民币（大写）元（¥）。 </w:t>
      </w:r>
    </w:p>
    <w:p w14:paraId="27BE27B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二、保证担保的方式及保证期间 </w:t>
      </w:r>
    </w:p>
    <w:p w14:paraId="147DD47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1.保证担保方式：连带责任保证。</w:t>
      </w:r>
    </w:p>
    <w:p w14:paraId="126F1A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2.保证期间：自出具之日起至主合同约定的缺陷责任期后日止，最迟不超过年月日。 </w:t>
      </w:r>
    </w:p>
    <w:p w14:paraId="6197A931">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三、承担保证担保责任的形式</w:t>
      </w:r>
    </w:p>
    <w:p w14:paraId="57752F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我方按照贵方的要求以下列方式之一承担保证担保责任： </w:t>
      </w:r>
    </w:p>
    <w:p w14:paraId="771643F2">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1.向承包人资金、设备或者技术援助，使其能继续履行合同义务</w:t>
      </w:r>
      <w:r>
        <w:rPr>
          <w:rFonts w:hint="eastAsia" w:ascii="宋体" w:hAnsi="宋体"/>
          <w:color w:val="000000" w:themeColor="text1"/>
          <w:sz w:val="24"/>
          <w:highlight w:val="none"/>
          <w:lang w:eastAsia="zh-CN"/>
          <w14:textFill>
            <w14:solidFill>
              <w14:schemeClr w14:val="tx1"/>
            </w14:solidFill>
          </w14:textFill>
        </w:rPr>
        <w:t>；</w:t>
      </w:r>
    </w:p>
    <w:p w14:paraId="097A4069">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2.直接接管该项工程或者委托经贵方同意的其他承包商，继续履行合同义务</w:t>
      </w:r>
      <w:r>
        <w:rPr>
          <w:rFonts w:hint="eastAsia" w:ascii="宋体" w:hAnsi="宋体"/>
          <w:color w:val="000000" w:themeColor="text1"/>
          <w:sz w:val="24"/>
          <w:highlight w:val="none"/>
          <w:lang w:eastAsia="zh-CN"/>
          <w14:textFill>
            <w14:solidFill>
              <w14:schemeClr w14:val="tx1"/>
            </w14:solidFill>
          </w14:textFill>
        </w:rPr>
        <w:t>；</w:t>
      </w:r>
    </w:p>
    <w:p w14:paraId="2D31338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14:paraId="4B5828E2">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四、代偿的安排 </w:t>
      </w:r>
    </w:p>
    <w:p w14:paraId="4CB4DC9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3EC2863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4F50D97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3.我方收到贵方的书面索赔通知及相应证明材料后，在工作日内进行核定后按照本保函的承诺承担保证责任。</w:t>
      </w:r>
    </w:p>
    <w:p w14:paraId="6C3365A7">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五、保证担保责任的解除 </w:t>
      </w:r>
    </w:p>
    <w:p w14:paraId="141575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1.保证期间届满贵方未向我方书面主张保证责任的，自保证期间届满次日起，我方解除保证责任。 </w:t>
      </w:r>
    </w:p>
    <w:p w14:paraId="4113187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2392B4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3.按照法律法规的规定应解除我方保证担保责任的其它情形的，我方在本保证担保项下的保证担保责任亦解除。 </w:t>
      </w:r>
    </w:p>
    <w:p w14:paraId="108722E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022F4EE">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六、免责条款 </w:t>
      </w:r>
    </w:p>
    <w:p w14:paraId="14CDC06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1.因贵方原因致使承包人未按照主合同约定履行义务的，我方不承担保证担保责任。 </w:t>
      </w:r>
    </w:p>
    <w:p w14:paraId="5EEBE41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2.依照法律规定或贵方与发包人的另行约定，免除承包人部分或全部义务的，我方亦免除其相应的保证担保责任。 </w:t>
      </w:r>
    </w:p>
    <w:p w14:paraId="50F7A24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3.因不可抗力造成承包人未按照主合同约定履行义务的，我方不承担保证担保责任。</w:t>
      </w:r>
    </w:p>
    <w:p w14:paraId="60424563">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七、其他</w:t>
      </w:r>
    </w:p>
    <w:p w14:paraId="4D20CBD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6DCAF5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2.本保证担保适用的法律为中华人民共和国法律，争议裁判管辖地为中华人民共和国。 </w:t>
      </w:r>
    </w:p>
    <w:p w14:paraId="1330DA9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3.本保证担保自我方法定代表人或授权代表签字并加盖公章之日起生效。 </w:t>
      </w:r>
    </w:p>
    <w:p w14:paraId="211DA93D">
      <w:pPr>
        <w:spacing w:line="360" w:lineRule="auto"/>
        <w:ind w:firstLine="480" w:firstLineChars="200"/>
        <w:rPr>
          <w:rFonts w:ascii="宋体" w:hAnsi="宋体"/>
          <w:color w:val="000000" w:themeColor="text1"/>
          <w:sz w:val="24"/>
          <w:highlight w:val="none"/>
          <w14:textFill>
            <w14:solidFill>
              <w14:schemeClr w14:val="tx1"/>
            </w14:solidFill>
          </w14:textFill>
        </w:rPr>
      </w:pPr>
    </w:p>
    <w:p w14:paraId="3F98719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保 证 人：                              （公章） </w:t>
      </w:r>
    </w:p>
    <w:p w14:paraId="716E40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法定代表人（或授权代表）：               （签字） </w:t>
      </w:r>
    </w:p>
    <w:p w14:paraId="18FB78F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p>
    <w:p w14:paraId="3FB7C41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p>
    <w:p w14:paraId="1CB3BC9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p>
    <w:p w14:paraId="415B2B2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传    真：                 </w:t>
      </w:r>
    </w:p>
    <w:p w14:paraId="21146AC4">
      <w:pPr>
        <w:widowControl/>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      年      月        日</w:t>
      </w:r>
    </w:p>
    <w:p w14:paraId="393937B5">
      <w:pPr>
        <w:spacing w:line="360" w:lineRule="auto"/>
        <w:ind w:left="2940" w:leftChars="1400"/>
        <w:rPr>
          <w:rFonts w:ascii="宋体" w:hAnsi="宋体" w:cs="宋体"/>
          <w:color w:val="000000" w:themeColor="text1"/>
          <w:sz w:val="24"/>
          <w:highlight w:val="none"/>
          <w14:textFill>
            <w14:solidFill>
              <w14:schemeClr w14:val="tx1"/>
            </w14:solidFill>
          </w14:textFill>
        </w:rPr>
      </w:pPr>
    </w:p>
    <w:p w14:paraId="4221DCC5">
      <w:pPr>
        <w:rPr>
          <w:color w:val="000000" w:themeColor="text1"/>
          <w:highlight w:val="none"/>
          <w14:textFill>
            <w14:solidFill>
              <w14:schemeClr w14:val="tx1"/>
            </w14:solidFill>
          </w14:textFill>
        </w:rPr>
      </w:pPr>
    </w:p>
    <w:p w14:paraId="1A1AC223">
      <w:pPr>
        <w:rPr>
          <w:color w:val="000000" w:themeColor="text1"/>
          <w:highlight w:val="none"/>
          <w14:textFill>
            <w14:solidFill>
              <w14:schemeClr w14:val="tx1"/>
            </w14:solidFill>
          </w14:textFill>
        </w:rPr>
      </w:pPr>
    </w:p>
    <w:p w14:paraId="12D64825">
      <w:pPr>
        <w:rPr>
          <w:color w:val="000000" w:themeColor="text1"/>
          <w:highlight w:val="none"/>
          <w14:textFill>
            <w14:solidFill>
              <w14:schemeClr w14:val="tx1"/>
            </w14:solidFill>
          </w14:textFill>
        </w:rPr>
      </w:pPr>
    </w:p>
    <w:p w14:paraId="5D857EDF">
      <w:pPr>
        <w:rPr>
          <w:color w:val="000000" w:themeColor="text1"/>
          <w:highlight w:val="none"/>
          <w14:textFill>
            <w14:solidFill>
              <w14:schemeClr w14:val="tx1"/>
            </w14:solidFill>
          </w14:textFill>
        </w:rPr>
      </w:pPr>
    </w:p>
    <w:p w14:paraId="33114ABC">
      <w:pPr>
        <w:rPr>
          <w:color w:val="000000" w:themeColor="text1"/>
          <w:highlight w:val="none"/>
          <w14:textFill>
            <w14:solidFill>
              <w14:schemeClr w14:val="tx1"/>
            </w14:solidFill>
          </w14:textFill>
        </w:rPr>
      </w:pPr>
    </w:p>
    <w:p w14:paraId="5CFEF111">
      <w:pPr>
        <w:rPr>
          <w:color w:val="000000" w:themeColor="text1"/>
          <w:highlight w:val="none"/>
          <w14:textFill>
            <w14:solidFill>
              <w14:schemeClr w14:val="tx1"/>
            </w14:solidFill>
          </w14:textFill>
        </w:rPr>
      </w:pPr>
    </w:p>
    <w:p w14:paraId="74E98436">
      <w:pPr>
        <w:rPr>
          <w:color w:val="000000" w:themeColor="text1"/>
          <w:highlight w:val="none"/>
          <w14:textFill>
            <w14:solidFill>
              <w14:schemeClr w14:val="tx1"/>
            </w14:solidFill>
          </w14:textFill>
        </w:rPr>
      </w:pPr>
    </w:p>
    <w:p w14:paraId="3614E117">
      <w:pPr>
        <w:rPr>
          <w:color w:val="000000" w:themeColor="text1"/>
          <w:highlight w:val="none"/>
          <w14:textFill>
            <w14:solidFill>
              <w14:schemeClr w14:val="tx1"/>
            </w14:solidFill>
          </w14:textFill>
        </w:rPr>
      </w:pPr>
    </w:p>
    <w:p w14:paraId="7EA2697C">
      <w:pPr>
        <w:rPr>
          <w:color w:val="000000" w:themeColor="text1"/>
          <w:highlight w:val="none"/>
          <w14:textFill>
            <w14:solidFill>
              <w14:schemeClr w14:val="tx1"/>
            </w14:solidFill>
          </w14:textFill>
        </w:rPr>
      </w:pPr>
    </w:p>
    <w:p w14:paraId="7E9A2BCC">
      <w:pPr>
        <w:rPr>
          <w:color w:val="000000" w:themeColor="text1"/>
          <w:highlight w:val="none"/>
          <w14:textFill>
            <w14:solidFill>
              <w14:schemeClr w14:val="tx1"/>
            </w14:solidFill>
          </w14:textFill>
        </w:rPr>
      </w:pPr>
    </w:p>
    <w:p w14:paraId="1B8CC914">
      <w:pPr>
        <w:rPr>
          <w:color w:val="000000" w:themeColor="text1"/>
          <w:highlight w:val="none"/>
          <w14:textFill>
            <w14:solidFill>
              <w14:schemeClr w14:val="tx1"/>
            </w14:solidFill>
          </w14:textFill>
        </w:rPr>
      </w:pPr>
    </w:p>
    <w:p w14:paraId="10AD82C1">
      <w:pPr>
        <w:rPr>
          <w:color w:val="000000" w:themeColor="text1"/>
          <w:highlight w:val="none"/>
          <w14:textFill>
            <w14:solidFill>
              <w14:schemeClr w14:val="tx1"/>
            </w14:solidFill>
          </w14:textFill>
        </w:rPr>
      </w:pPr>
    </w:p>
    <w:p w14:paraId="4BCCC233">
      <w:pPr>
        <w:rPr>
          <w:color w:val="000000" w:themeColor="text1"/>
          <w:highlight w:val="none"/>
          <w14:textFill>
            <w14:solidFill>
              <w14:schemeClr w14:val="tx1"/>
            </w14:solidFill>
          </w14:textFill>
        </w:rPr>
      </w:pPr>
    </w:p>
    <w:p w14:paraId="2A02ACEC">
      <w:pPr>
        <w:rPr>
          <w:color w:val="000000" w:themeColor="text1"/>
          <w:highlight w:val="none"/>
          <w14:textFill>
            <w14:solidFill>
              <w14:schemeClr w14:val="tx1"/>
            </w14:solidFill>
          </w14:textFill>
        </w:rPr>
      </w:pPr>
    </w:p>
    <w:p w14:paraId="28E7982D">
      <w:pPr>
        <w:rPr>
          <w:color w:val="000000" w:themeColor="text1"/>
          <w:highlight w:val="none"/>
          <w14:textFill>
            <w14:solidFill>
              <w14:schemeClr w14:val="tx1"/>
            </w14:solidFill>
          </w14:textFill>
        </w:rPr>
      </w:pPr>
    </w:p>
    <w:p w14:paraId="50DFE31A">
      <w:pPr>
        <w:rPr>
          <w:color w:val="000000" w:themeColor="text1"/>
          <w:highlight w:val="none"/>
          <w14:textFill>
            <w14:solidFill>
              <w14:schemeClr w14:val="tx1"/>
            </w14:solidFill>
          </w14:textFill>
        </w:rPr>
      </w:pPr>
    </w:p>
    <w:p w14:paraId="68EFADFA">
      <w:pPr>
        <w:rPr>
          <w:color w:val="000000" w:themeColor="text1"/>
          <w:highlight w:val="none"/>
          <w14:textFill>
            <w14:solidFill>
              <w14:schemeClr w14:val="tx1"/>
            </w14:solidFill>
          </w14:textFill>
        </w:rPr>
      </w:pPr>
    </w:p>
    <w:p w14:paraId="55EB0B51">
      <w:pPr>
        <w:rPr>
          <w:color w:val="000000" w:themeColor="text1"/>
          <w:highlight w:val="none"/>
          <w14:textFill>
            <w14:solidFill>
              <w14:schemeClr w14:val="tx1"/>
            </w14:solidFill>
          </w14:textFill>
        </w:rPr>
      </w:pPr>
    </w:p>
    <w:p w14:paraId="4194344D">
      <w:pPr>
        <w:rPr>
          <w:color w:val="000000" w:themeColor="text1"/>
          <w:highlight w:val="none"/>
          <w14:textFill>
            <w14:solidFill>
              <w14:schemeClr w14:val="tx1"/>
            </w14:solidFill>
          </w14:textFill>
        </w:rPr>
      </w:pPr>
    </w:p>
    <w:p w14:paraId="11BA4EDB">
      <w:pPr>
        <w:rPr>
          <w:color w:val="000000" w:themeColor="text1"/>
          <w:highlight w:val="none"/>
          <w14:textFill>
            <w14:solidFill>
              <w14:schemeClr w14:val="tx1"/>
            </w14:solidFill>
          </w14:textFill>
        </w:rPr>
      </w:pPr>
    </w:p>
    <w:p w14:paraId="4C1A3407">
      <w:pPr>
        <w:rPr>
          <w:color w:val="000000" w:themeColor="text1"/>
          <w:highlight w:val="none"/>
          <w14:textFill>
            <w14:solidFill>
              <w14:schemeClr w14:val="tx1"/>
            </w14:solidFill>
          </w14:textFill>
        </w:rPr>
      </w:pPr>
    </w:p>
    <w:p w14:paraId="410B1683">
      <w:pPr>
        <w:rPr>
          <w:color w:val="000000" w:themeColor="text1"/>
          <w:highlight w:val="none"/>
          <w14:textFill>
            <w14:solidFill>
              <w14:schemeClr w14:val="tx1"/>
            </w14:solidFill>
          </w14:textFill>
        </w:rPr>
      </w:pPr>
    </w:p>
    <w:p w14:paraId="79B742F6">
      <w:pPr>
        <w:rPr>
          <w:color w:val="000000" w:themeColor="text1"/>
          <w:highlight w:val="none"/>
          <w14:textFill>
            <w14:solidFill>
              <w14:schemeClr w14:val="tx1"/>
            </w14:solidFill>
          </w14:textFill>
        </w:rPr>
      </w:pPr>
    </w:p>
    <w:p w14:paraId="0617879E">
      <w:pPr>
        <w:rPr>
          <w:color w:val="000000" w:themeColor="text1"/>
          <w:highlight w:val="none"/>
          <w14:textFill>
            <w14:solidFill>
              <w14:schemeClr w14:val="tx1"/>
            </w14:solidFill>
          </w14:textFill>
        </w:rPr>
      </w:pPr>
    </w:p>
    <w:sectPr>
      <w:footerReference r:id="rId9" w:type="first"/>
      <w:headerReference r:id="rId7" w:type="default"/>
      <w:footerReference r:id="rId8"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B0D1">
    <w:pPr>
      <w:pStyle w:val="3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34CB41">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xfas8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VPF9qzwEAAKoDAAAOAAAAAAAAAAEAIAAAAB4BAABkcnMv&#10;ZTJvRG9jLnhtbFBLBQYAAAAABgAGAFkBAABfBQAAAAA=&#10;">
              <v:fill on="f" focussize="0,0"/>
              <v:stroke on="f"/>
              <v:imagedata o:title=""/>
              <o:lock v:ext="edit" aspectratio="f"/>
              <v:textbox inset="0mm,0mm,0mm,0mm" style="mso-fit-shape-to-text:t;">
                <w:txbxContent>
                  <w:p w14:paraId="1734CB4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E63F59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5F65">
    <w:pPr>
      <w:pStyle w:val="3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B6AA14"/>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ai988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pqL3zwEAAKoDAAAOAAAAAAAAAAEAIAAAAB4BAABkcnMv&#10;ZTJvRG9jLnhtbFBLBQYAAAAABgAGAFkBAABfBQAAAAA=&#10;">
              <v:fill on="f" focussize="0,0"/>
              <v:stroke on="f"/>
              <v:imagedata o:title=""/>
              <o:lock v:ext="edit" aspectratio="f"/>
              <v:textbox inset="0mm,0mm,0mm,0mm" style="mso-fit-shape-to-text:t;">
                <w:txbxContent>
                  <w:p w14:paraId="2CB6AA1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49A8">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C697B3">
                          <w:pPr>
                            <w:pStyle w:val="30"/>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pqSs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vl&#10;apkU6gNWVPgQqDQOd35I1VMcKZiIDy3Y9CVKjPKk7/mqrxoik+nSerVel5SSlJsdwikerwfA+FZ5&#10;y5JRc6AHzLqK03uMY+lckro5f6+NobiojPsrQJhjROUtmG4nJuPEyYrDfpho7H1zJnY9bULNHS0+&#10;Z+adI6HT0swGzMZ+No4B9KHLW5W6Y7g9RhopT5o6jLDEMDn0hJnrtG5pR/70c9XjL7b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cWmpKzwEAAKoDAAAOAAAAAAAAAAEAIAAAAB4BAABkcnMv&#10;ZTJvRG9jLnhtbFBLBQYAAAAABgAGAFkBAABfBQAAAAA=&#10;">
              <v:fill on="f" focussize="0,0"/>
              <v:stroke on="f"/>
              <v:imagedata o:title=""/>
              <o:lock v:ext="edit" aspectratio="f"/>
              <v:textbox inset="0mm,0mm,0mm,0mm" style="mso-fit-shape-to-text:t;">
                <w:txbxContent>
                  <w:p w14:paraId="41C697B3">
                    <w:pPr>
                      <w:pStyle w:val="30"/>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10324C8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27D3">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582AFD">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z9l8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xDP2XzwEAAKoDAAAOAAAAAAAAAAEAIAAAAB4BAABkcnMv&#10;ZTJvRG9jLnhtbFBLBQYAAAAABgAGAFkBAABfBQAAAAA=&#10;">
              <v:fill on="f" focussize="0,0"/>
              <v:stroke on="f"/>
              <v:imagedata o:title=""/>
              <o:lock v:ext="edit" aspectratio="f"/>
              <v:textbox inset="0mm,0mm,0mm,0mm" style="mso-fit-shape-to-text:t;">
                <w:txbxContent>
                  <w:p w14:paraId="31582AF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B6D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38E6">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F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CB6D4"/>
    <w:multiLevelType w:val="singleLevel"/>
    <w:tmpl w:val="BB7CB6D4"/>
    <w:lvl w:ilvl="0" w:tentative="0">
      <w:start w:val="2"/>
      <w:numFmt w:val="chineseCounting"/>
      <w:suff w:val="nothing"/>
      <w:lvlText w:val="%1、"/>
      <w:lvlJc w:val="left"/>
      <w:rPr>
        <w:rFonts w:hint="eastAsia"/>
      </w:rPr>
    </w:lvl>
  </w:abstractNum>
  <w:abstractNum w:abstractNumId="1">
    <w:nsid w:val="DFFF592E"/>
    <w:multiLevelType w:val="singleLevel"/>
    <w:tmpl w:val="DFFF592E"/>
    <w:lvl w:ilvl="0" w:tentative="0">
      <w:start w:val="1"/>
      <w:numFmt w:val="decimal"/>
      <w:suff w:val="nothing"/>
      <w:lvlText w:val="%1）"/>
      <w:lvlJc w:val="left"/>
    </w:lvl>
  </w:abstractNum>
  <w:abstractNum w:abstractNumId="2">
    <w:nsid w:val="3B1B6F0F"/>
    <w:multiLevelType w:val="singleLevel"/>
    <w:tmpl w:val="3B1B6F0F"/>
    <w:lvl w:ilvl="0" w:tentative="0">
      <w:start w:val="1"/>
      <w:numFmt w:val="decimal"/>
      <w:lvlText w:val="%1."/>
      <w:lvlJc w:val="left"/>
      <w:pPr>
        <w:tabs>
          <w:tab w:val="left" w:pos="312"/>
        </w:tabs>
      </w:pPr>
    </w:lvl>
  </w:abstractNum>
  <w:abstractNum w:abstractNumId="3">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CC0"/>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5111"/>
    <w:rsid w:val="00015B63"/>
    <w:rsid w:val="0001657F"/>
    <w:rsid w:val="00016ABC"/>
    <w:rsid w:val="000177DB"/>
    <w:rsid w:val="000179C9"/>
    <w:rsid w:val="00017CCC"/>
    <w:rsid w:val="00020227"/>
    <w:rsid w:val="00020263"/>
    <w:rsid w:val="00020455"/>
    <w:rsid w:val="00020813"/>
    <w:rsid w:val="00020E11"/>
    <w:rsid w:val="000215D0"/>
    <w:rsid w:val="00021F52"/>
    <w:rsid w:val="00021FCF"/>
    <w:rsid w:val="000220B2"/>
    <w:rsid w:val="0002264C"/>
    <w:rsid w:val="00022731"/>
    <w:rsid w:val="00022792"/>
    <w:rsid w:val="00023287"/>
    <w:rsid w:val="00024061"/>
    <w:rsid w:val="00024463"/>
    <w:rsid w:val="00025461"/>
    <w:rsid w:val="00025636"/>
    <w:rsid w:val="00025E36"/>
    <w:rsid w:val="000260F7"/>
    <w:rsid w:val="00026855"/>
    <w:rsid w:val="00026886"/>
    <w:rsid w:val="0002754F"/>
    <w:rsid w:val="0002785D"/>
    <w:rsid w:val="000307BE"/>
    <w:rsid w:val="00031DD0"/>
    <w:rsid w:val="00032633"/>
    <w:rsid w:val="000326A2"/>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57F"/>
    <w:rsid w:val="00046B5E"/>
    <w:rsid w:val="000470CB"/>
    <w:rsid w:val="000506DE"/>
    <w:rsid w:val="000509D9"/>
    <w:rsid w:val="00051006"/>
    <w:rsid w:val="00051165"/>
    <w:rsid w:val="000512AF"/>
    <w:rsid w:val="00051ACB"/>
    <w:rsid w:val="000533E7"/>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88D"/>
    <w:rsid w:val="000929EF"/>
    <w:rsid w:val="00092C26"/>
    <w:rsid w:val="000933BE"/>
    <w:rsid w:val="00094428"/>
    <w:rsid w:val="000944FC"/>
    <w:rsid w:val="0009560F"/>
    <w:rsid w:val="0009588E"/>
    <w:rsid w:val="000959EE"/>
    <w:rsid w:val="00096C2E"/>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09A4"/>
    <w:rsid w:val="000C144E"/>
    <w:rsid w:val="000C1679"/>
    <w:rsid w:val="000C190E"/>
    <w:rsid w:val="000C1953"/>
    <w:rsid w:val="000C1BFE"/>
    <w:rsid w:val="000C1EE3"/>
    <w:rsid w:val="000C3AE7"/>
    <w:rsid w:val="000C3CC9"/>
    <w:rsid w:val="000C3DBC"/>
    <w:rsid w:val="000C5823"/>
    <w:rsid w:val="000C59C6"/>
    <w:rsid w:val="000C6DE4"/>
    <w:rsid w:val="000C7202"/>
    <w:rsid w:val="000C7432"/>
    <w:rsid w:val="000C7926"/>
    <w:rsid w:val="000D0A89"/>
    <w:rsid w:val="000D10F1"/>
    <w:rsid w:val="000D1389"/>
    <w:rsid w:val="000D1798"/>
    <w:rsid w:val="000D2626"/>
    <w:rsid w:val="000D264F"/>
    <w:rsid w:val="000D2BEF"/>
    <w:rsid w:val="000D2CD3"/>
    <w:rsid w:val="000D4016"/>
    <w:rsid w:val="000D411D"/>
    <w:rsid w:val="000D4589"/>
    <w:rsid w:val="000D4809"/>
    <w:rsid w:val="000D4FB6"/>
    <w:rsid w:val="000D5C29"/>
    <w:rsid w:val="000D6F6B"/>
    <w:rsid w:val="000D73DD"/>
    <w:rsid w:val="000E02E8"/>
    <w:rsid w:val="000E1C38"/>
    <w:rsid w:val="000E1C51"/>
    <w:rsid w:val="000E1D3E"/>
    <w:rsid w:val="000E28AB"/>
    <w:rsid w:val="000E2E3E"/>
    <w:rsid w:val="000E3583"/>
    <w:rsid w:val="000E3AF0"/>
    <w:rsid w:val="000E43EC"/>
    <w:rsid w:val="000E4DC7"/>
    <w:rsid w:val="000E4E04"/>
    <w:rsid w:val="000E592E"/>
    <w:rsid w:val="000E693B"/>
    <w:rsid w:val="000E6D5C"/>
    <w:rsid w:val="000E6EC9"/>
    <w:rsid w:val="000E6FB6"/>
    <w:rsid w:val="000E70B4"/>
    <w:rsid w:val="000E7B62"/>
    <w:rsid w:val="000E7EDC"/>
    <w:rsid w:val="000F085D"/>
    <w:rsid w:val="000F0E1E"/>
    <w:rsid w:val="000F1129"/>
    <w:rsid w:val="000F1A1B"/>
    <w:rsid w:val="000F2A95"/>
    <w:rsid w:val="000F2BB7"/>
    <w:rsid w:val="000F3281"/>
    <w:rsid w:val="000F32FD"/>
    <w:rsid w:val="000F3733"/>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30217"/>
    <w:rsid w:val="00130641"/>
    <w:rsid w:val="00130783"/>
    <w:rsid w:val="00130A47"/>
    <w:rsid w:val="00130FB0"/>
    <w:rsid w:val="001315BE"/>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B9B"/>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25AA"/>
    <w:rsid w:val="00152A87"/>
    <w:rsid w:val="00152AC1"/>
    <w:rsid w:val="00153A84"/>
    <w:rsid w:val="00153BB5"/>
    <w:rsid w:val="00154518"/>
    <w:rsid w:val="00154D26"/>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4E2"/>
    <w:rsid w:val="00181813"/>
    <w:rsid w:val="00181EAD"/>
    <w:rsid w:val="00182862"/>
    <w:rsid w:val="00182FBD"/>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6F35"/>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308A"/>
    <w:rsid w:val="001E38EC"/>
    <w:rsid w:val="001E3B63"/>
    <w:rsid w:val="001E57B2"/>
    <w:rsid w:val="001E5A94"/>
    <w:rsid w:val="001E5CBB"/>
    <w:rsid w:val="001E5CDC"/>
    <w:rsid w:val="001E6CE9"/>
    <w:rsid w:val="001E7416"/>
    <w:rsid w:val="001F13FD"/>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4DB"/>
    <w:rsid w:val="0020150B"/>
    <w:rsid w:val="00201E12"/>
    <w:rsid w:val="00202295"/>
    <w:rsid w:val="00202977"/>
    <w:rsid w:val="002033B5"/>
    <w:rsid w:val="0020382C"/>
    <w:rsid w:val="002042E9"/>
    <w:rsid w:val="0020437A"/>
    <w:rsid w:val="0020454C"/>
    <w:rsid w:val="00204740"/>
    <w:rsid w:val="00205129"/>
    <w:rsid w:val="0020521F"/>
    <w:rsid w:val="0020532C"/>
    <w:rsid w:val="00206AE8"/>
    <w:rsid w:val="002114C7"/>
    <w:rsid w:val="00211A7B"/>
    <w:rsid w:val="0021302C"/>
    <w:rsid w:val="002139F1"/>
    <w:rsid w:val="00213B1C"/>
    <w:rsid w:val="00213F1E"/>
    <w:rsid w:val="00214202"/>
    <w:rsid w:val="002148E3"/>
    <w:rsid w:val="00214C1A"/>
    <w:rsid w:val="0021552D"/>
    <w:rsid w:val="002156AE"/>
    <w:rsid w:val="0021577B"/>
    <w:rsid w:val="00215DC7"/>
    <w:rsid w:val="00215E99"/>
    <w:rsid w:val="00217B07"/>
    <w:rsid w:val="00217C26"/>
    <w:rsid w:val="00220043"/>
    <w:rsid w:val="0022054D"/>
    <w:rsid w:val="0022107B"/>
    <w:rsid w:val="00221805"/>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34A"/>
    <w:rsid w:val="0022755B"/>
    <w:rsid w:val="00227C56"/>
    <w:rsid w:val="00227F2D"/>
    <w:rsid w:val="00227F52"/>
    <w:rsid w:val="00231851"/>
    <w:rsid w:val="002319FB"/>
    <w:rsid w:val="00231B89"/>
    <w:rsid w:val="00231F11"/>
    <w:rsid w:val="00231F5E"/>
    <w:rsid w:val="00233395"/>
    <w:rsid w:val="002346B4"/>
    <w:rsid w:val="00234F6E"/>
    <w:rsid w:val="002351FA"/>
    <w:rsid w:val="002355BE"/>
    <w:rsid w:val="002358EA"/>
    <w:rsid w:val="0023609B"/>
    <w:rsid w:val="00236578"/>
    <w:rsid w:val="00236A10"/>
    <w:rsid w:val="00236DE9"/>
    <w:rsid w:val="00237342"/>
    <w:rsid w:val="002373D4"/>
    <w:rsid w:val="00237D5A"/>
    <w:rsid w:val="00237E0F"/>
    <w:rsid w:val="002407BA"/>
    <w:rsid w:val="00240922"/>
    <w:rsid w:val="00240D75"/>
    <w:rsid w:val="00240F92"/>
    <w:rsid w:val="00241288"/>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D37"/>
    <w:rsid w:val="00245F2B"/>
    <w:rsid w:val="002460E2"/>
    <w:rsid w:val="002466CD"/>
    <w:rsid w:val="0024729B"/>
    <w:rsid w:val="00247F3A"/>
    <w:rsid w:val="00250122"/>
    <w:rsid w:val="0025024D"/>
    <w:rsid w:val="00250755"/>
    <w:rsid w:val="00251043"/>
    <w:rsid w:val="002518A8"/>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6A28"/>
    <w:rsid w:val="00286FB5"/>
    <w:rsid w:val="00287763"/>
    <w:rsid w:val="00290606"/>
    <w:rsid w:val="002908D0"/>
    <w:rsid w:val="002909B2"/>
    <w:rsid w:val="00291D6D"/>
    <w:rsid w:val="00291FF1"/>
    <w:rsid w:val="00292AA2"/>
    <w:rsid w:val="00293361"/>
    <w:rsid w:val="00293B4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03E"/>
    <w:rsid w:val="002A23B7"/>
    <w:rsid w:val="002A3950"/>
    <w:rsid w:val="002A3A57"/>
    <w:rsid w:val="002A4320"/>
    <w:rsid w:val="002A4B4F"/>
    <w:rsid w:val="002A57A8"/>
    <w:rsid w:val="002A5D75"/>
    <w:rsid w:val="002A6DEF"/>
    <w:rsid w:val="002A739E"/>
    <w:rsid w:val="002A770B"/>
    <w:rsid w:val="002B013E"/>
    <w:rsid w:val="002B058D"/>
    <w:rsid w:val="002B0C16"/>
    <w:rsid w:val="002B1BA5"/>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6AB"/>
    <w:rsid w:val="002D4AC6"/>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FD0"/>
    <w:rsid w:val="002F16DD"/>
    <w:rsid w:val="002F199D"/>
    <w:rsid w:val="002F213C"/>
    <w:rsid w:val="002F2453"/>
    <w:rsid w:val="002F2607"/>
    <w:rsid w:val="002F30BD"/>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23E"/>
    <w:rsid w:val="00315569"/>
    <w:rsid w:val="00315A65"/>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42D"/>
    <w:rsid w:val="0033364C"/>
    <w:rsid w:val="00334415"/>
    <w:rsid w:val="0033469E"/>
    <w:rsid w:val="0033481F"/>
    <w:rsid w:val="00335EA1"/>
    <w:rsid w:val="0033691E"/>
    <w:rsid w:val="00336A6A"/>
    <w:rsid w:val="00336CCB"/>
    <w:rsid w:val="003411D1"/>
    <w:rsid w:val="003416BA"/>
    <w:rsid w:val="00342148"/>
    <w:rsid w:val="00342658"/>
    <w:rsid w:val="003427BE"/>
    <w:rsid w:val="003429F5"/>
    <w:rsid w:val="00342F99"/>
    <w:rsid w:val="00343AEA"/>
    <w:rsid w:val="00344D99"/>
    <w:rsid w:val="0034575A"/>
    <w:rsid w:val="00345F1D"/>
    <w:rsid w:val="00345F57"/>
    <w:rsid w:val="0034698A"/>
    <w:rsid w:val="00350458"/>
    <w:rsid w:val="00350E6C"/>
    <w:rsid w:val="0035153C"/>
    <w:rsid w:val="003518A6"/>
    <w:rsid w:val="00351E7F"/>
    <w:rsid w:val="00352953"/>
    <w:rsid w:val="00353D91"/>
    <w:rsid w:val="00354062"/>
    <w:rsid w:val="0035459E"/>
    <w:rsid w:val="00354AE9"/>
    <w:rsid w:val="00355527"/>
    <w:rsid w:val="00355C0D"/>
    <w:rsid w:val="003560A6"/>
    <w:rsid w:val="0035657D"/>
    <w:rsid w:val="003566A9"/>
    <w:rsid w:val="00356988"/>
    <w:rsid w:val="003569D3"/>
    <w:rsid w:val="00356CE9"/>
    <w:rsid w:val="00356D82"/>
    <w:rsid w:val="003570BB"/>
    <w:rsid w:val="00357128"/>
    <w:rsid w:val="0035755E"/>
    <w:rsid w:val="00357A80"/>
    <w:rsid w:val="00360116"/>
    <w:rsid w:val="00361441"/>
    <w:rsid w:val="00361B8B"/>
    <w:rsid w:val="00363F39"/>
    <w:rsid w:val="003640FC"/>
    <w:rsid w:val="0036445C"/>
    <w:rsid w:val="00364627"/>
    <w:rsid w:val="00364AB0"/>
    <w:rsid w:val="00364D71"/>
    <w:rsid w:val="0036601A"/>
    <w:rsid w:val="003667B0"/>
    <w:rsid w:val="003667DD"/>
    <w:rsid w:val="00366B48"/>
    <w:rsid w:val="00366D71"/>
    <w:rsid w:val="003674FB"/>
    <w:rsid w:val="00367721"/>
    <w:rsid w:val="00367764"/>
    <w:rsid w:val="00370316"/>
    <w:rsid w:val="00370DC7"/>
    <w:rsid w:val="003713D7"/>
    <w:rsid w:val="003714AC"/>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936"/>
    <w:rsid w:val="003A1A94"/>
    <w:rsid w:val="003A1FF5"/>
    <w:rsid w:val="003A204E"/>
    <w:rsid w:val="003A2B19"/>
    <w:rsid w:val="003A2D25"/>
    <w:rsid w:val="003A2DB1"/>
    <w:rsid w:val="003A5101"/>
    <w:rsid w:val="003A51BE"/>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68A3"/>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14B"/>
    <w:rsid w:val="003D2D1B"/>
    <w:rsid w:val="003D3558"/>
    <w:rsid w:val="003D36C0"/>
    <w:rsid w:val="003D40E5"/>
    <w:rsid w:val="003D48C7"/>
    <w:rsid w:val="003D4C27"/>
    <w:rsid w:val="003D7109"/>
    <w:rsid w:val="003D7CE8"/>
    <w:rsid w:val="003E0514"/>
    <w:rsid w:val="003E0BAA"/>
    <w:rsid w:val="003E1032"/>
    <w:rsid w:val="003E1904"/>
    <w:rsid w:val="003E285E"/>
    <w:rsid w:val="003E2BD8"/>
    <w:rsid w:val="003E3124"/>
    <w:rsid w:val="003E3300"/>
    <w:rsid w:val="003E3BC7"/>
    <w:rsid w:val="003E43D3"/>
    <w:rsid w:val="003E4511"/>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5F5B"/>
    <w:rsid w:val="00416112"/>
    <w:rsid w:val="004167AD"/>
    <w:rsid w:val="0041716A"/>
    <w:rsid w:val="00417A18"/>
    <w:rsid w:val="00417AE0"/>
    <w:rsid w:val="00417BAA"/>
    <w:rsid w:val="0042042B"/>
    <w:rsid w:val="00420B45"/>
    <w:rsid w:val="00420D7A"/>
    <w:rsid w:val="00421257"/>
    <w:rsid w:val="00422193"/>
    <w:rsid w:val="004223DE"/>
    <w:rsid w:val="00422645"/>
    <w:rsid w:val="00422A10"/>
    <w:rsid w:val="00424D17"/>
    <w:rsid w:val="004259FC"/>
    <w:rsid w:val="00425DFD"/>
    <w:rsid w:val="00425EA9"/>
    <w:rsid w:val="004263A3"/>
    <w:rsid w:val="0042711B"/>
    <w:rsid w:val="00427713"/>
    <w:rsid w:val="00427B57"/>
    <w:rsid w:val="00427C77"/>
    <w:rsid w:val="00427CCC"/>
    <w:rsid w:val="0043013A"/>
    <w:rsid w:val="004302BE"/>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68C9"/>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735"/>
    <w:rsid w:val="00461FC2"/>
    <w:rsid w:val="004632B9"/>
    <w:rsid w:val="00464AB7"/>
    <w:rsid w:val="00465DE5"/>
    <w:rsid w:val="00466103"/>
    <w:rsid w:val="00467A83"/>
    <w:rsid w:val="00467EF8"/>
    <w:rsid w:val="00470006"/>
    <w:rsid w:val="00470611"/>
    <w:rsid w:val="00470848"/>
    <w:rsid w:val="00471AC3"/>
    <w:rsid w:val="00472429"/>
    <w:rsid w:val="0047253E"/>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D4"/>
    <w:rsid w:val="00486D60"/>
    <w:rsid w:val="00486DBC"/>
    <w:rsid w:val="004915FA"/>
    <w:rsid w:val="00491FA1"/>
    <w:rsid w:val="00492A25"/>
    <w:rsid w:val="004938A3"/>
    <w:rsid w:val="004950A6"/>
    <w:rsid w:val="0049558B"/>
    <w:rsid w:val="00496254"/>
    <w:rsid w:val="00496350"/>
    <w:rsid w:val="004974A4"/>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E54"/>
    <w:rsid w:val="004B722E"/>
    <w:rsid w:val="004B72E8"/>
    <w:rsid w:val="004B771A"/>
    <w:rsid w:val="004C01A5"/>
    <w:rsid w:val="004C0412"/>
    <w:rsid w:val="004C0882"/>
    <w:rsid w:val="004C0D7C"/>
    <w:rsid w:val="004C2138"/>
    <w:rsid w:val="004C2B69"/>
    <w:rsid w:val="004C302E"/>
    <w:rsid w:val="004C3093"/>
    <w:rsid w:val="004C3940"/>
    <w:rsid w:val="004C51FD"/>
    <w:rsid w:val="004C5ED7"/>
    <w:rsid w:val="004C65A8"/>
    <w:rsid w:val="004C6689"/>
    <w:rsid w:val="004C6BF3"/>
    <w:rsid w:val="004C7408"/>
    <w:rsid w:val="004C7850"/>
    <w:rsid w:val="004D107E"/>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B54"/>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6D3"/>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38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338"/>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8AB"/>
    <w:rsid w:val="00534668"/>
    <w:rsid w:val="005348CA"/>
    <w:rsid w:val="00534DDD"/>
    <w:rsid w:val="00535291"/>
    <w:rsid w:val="00535A94"/>
    <w:rsid w:val="0053686A"/>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C43"/>
    <w:rsid w:val="00554F78"/>
    <w:rsid w:val="00555C46"/>
    <w:rsid w:val="00555DA1"/>
    <w:rsid w:val="005562FB"/>
    <w:rsid w:val="00556731"/>
    <w:rsid w:val="00556BF7"/>
    <w:rsid w:val="00556E53"/>
    <w:rsid w:val="00557F60"/>
    <w:rsid w:val="00560D81"/>
    <w:rsid w:val="00561730"/>
    <w:rsid w:val="00561B97"/>
    <w:rsid w:val="00562149"/>
    <w:rsid w:val="0056248C"/>
    <w:rsid w:val="0056362D"/>
    <w:rsid w:val="005640EB"/>
    <w:rsid w:val="00565559"/>
    <w:rsid w:val="005666A4"/>
    <w:rsid w:val="00567B5D"/>
    <w:rsid w:val="00570593"/>
    <w:rsid w:val="00570757"/>
    <w:rsid w:val="0057257D"/>
    <w:rsid w:val="00573293"/>
    <w:rsid w:val="00573733"/>
    <w:rsid w:val="00573E08"/>
    <w:rsid w:val="00573F8B"/>
    <w:rsid w:val="005743E0"/>
    <w:rsid w:val="00574554"/>
    <w:rsid w:val="00574862"/>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E"/>
    <w:rsid w:val="00595D90"/>
    <w:rsid w:val="00596A6F"/>
    <w:rsid w:val="00596D11"/>
    <w:rsid w:val="00596FCE"/>
    <w:rsid w:val="005A0300"/>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20"/>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66"/>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C77D5"/>
    <w:rsid w:val="005D02E3"/>
    <w:rsid w:val="005D1F34"/>
    <w:rsid w:val="005D2C1F"/>
    <w:rsid w:val="005D34B2"/>
    <w:rsid w:val="005D3587"/>
    <w:rsid w:val="005D3B54"/>
    <w:rsid w:val="005D3E28"/>
    <w:rsid w:val="005D40CD"/>
    <w:rsid w:val="005D4C6F"/>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1F58"/>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2"/>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5E8A"/>
    <w:rsid w:val="006364D7"/>
    <w:rsid w:val="00636554"/>
    <w:rsid w:val="006365AE"/>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7A8"/>
    <w:rsid w:val="00672CA5"/>
    <w:rsid w:val="006735A2"/>
    <w:rsid w:val="00673711"/>
    <w:rsid w:val="00673CDA"/>
    <w:rsid w:val="00673F82"/>
    <w:rsid w:val="00674F74"/>
    <w:rsid w:val="0067508F"/>
    <w:rsid w:val="00676B25"/>
    <w:rsid w:val="00677576"/>
    <w:rsid w:val="0068051E"/>
    <w:rsid w:val="00680B9D"/>
    <w:rsid w:val="00680DF1"/>
    <w:rsid w:val="00681F13"/>
    <w:rsid w:val="0068231C"/>
    <w:rsid w:val="00682344"/>
    <w:rsid w:val="00682772"/>
    <w:rsid w:val="00682C87"/>
    <w:rsid w:val="00682F28"/>
    <w:rsid w:val="00683515"/>
    <w:rsid w:val="00683CA4"/>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AE0"/>
    <w:rsid w:val="006C71A2"/>
    <w:rsid w:val="006C73EC"/>
    <w:rsid w:val="006D0997"/>
    <w:rsid w:val="006D0C1D"/>
    <w:rsid w:val="006D1BB1"/>
    <w:rsid w:val="006D28F3"/>
    <w:rsid w:val="006D2E9D"/>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B0A"/>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126"/>
    <w:rsid w:val="006F3231"/>
    <w:rsid w:val="006F3BEF"/>
    <w:rsid w:val="006F3DE3"/>
    <w:rsid w:val="006F4787"/>
    <w:rsid w:val="006F57E6"/>
    <w:rsid w:val="006F61D8"/>
    <w:rsid w:val="006F62B7"/>
    <w:rsid w:val="006F63E7"/>
    <w:rsid w:val="006F70BC"/>
    <w:rsid w:val="006F726C"/>
    <w:rsid w:val="006F7A22"/>
    <w:rsid w:val="006F7E7C"/>
    <w:rsid w:val="00700FF4"/>
    <w:rsid w:val="0070174E"/>
    <w:rsid w:val="007018DB"/>
    <w:rsid w:val="00701DE6"/>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B1B"/>
    <w:rsid w:val="00721062"/>
    <w:rsid w:val="00721D3D"/>
    <w:rsid w:val="00721E5D"/>
    <w:rsid w:val="007229D4"/>
    <w:rsid w:val="00722E35"/>
    <w:rsid w:val="007230F8"/>
    <w:rsid w:val="007233F4"/>
    <w:rsid w:val="007235E3"/>
    <w:rsid w:val="0072381D"/>
    <w:rsid w:val="00723A10"/>
    <w:rsid w:val="00724044"/>
    <w:rsid w:val="00724120"/>
    <w:rsid w:val="007243F2"/>
    <w:rsid w:val="007248D3"/>
    <w:rsid w:val="00724DF8"/>
    <w:rsid w:val="00725137"/>
    <w:rsid w:val="00725378"/>
    <w:rsid w:val="00725C31"/>
    <w:rsid w:val="00727408"/>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5DC1"/>
    <w:rsid w:val="007362CC"/>
    <w:rsid w:val="0073792F"/>
    <w:rsid w:val="00740C81"/>
    <w:rsid w:val="00740DA6"/>
    <w:rsid w:val="0074197B"/>
    <w:rsid w:val="00741B4B"/>
    <w:rsid w:val="00741D1E"/>
    <w:rsid w:val="00741DD6"/>
    <w:rsid w:val="00741EE2"/>
    <w:rsid w:val="0074207F"/>
    <w:rsid w:val="00742118"/>
    <w:rsid w:val="00742367"/>
    <w:rsid w:val="00742EAA"/>
    <w:rsid w:val="00742F80"/>
    <w:rsid w:val="00743360"/>
    <w:rsid w:val="00743818"/>
    <w:rsid w:val="00743857"/>
    <w:rsid w:val="0074411D"/>
    <w:rsid w:val="00744187"/>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6FA"/>
    <w:rsid w:val="007648AD"/>
    <w:rsid w:val="0076504E"/>
    <w:rsid w:val="0076721D"/>
    <w:rsid w:val="0076767E"/>
    <w:rsid w:val="00767BFD"/>
    <w:rsid w:val="00767EA0"/>
    <w:rsid w:val="0077068F"/>
    <w:rsid w:val="00771EDF"/>
    <w:rsid w:val="00772530"/>
    <w:rsid w:val="00772A90"/>
    <w:rsid w:val="00772F8D"/>
    <w:rsid w:val="0077301A"/>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811"/>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57E7"/>
    <w:rsid w:val="00796C05"/>
    <w:rsid w:val="00796F65"/>
    <w:rsid w:val="007A11C2"/>
    <w:rsid w:val="007A1781"/>
    <w:rsid w:val="007A18BB"/>
    <w:rsid w:val="007A2489"/>
    <w:rsid w:val="007A27DD"/>
    <w:rsid w:val="007A41BF"/>
    <w:rsid w:val="007A490A"/>
    <w:rsid w:val="007A5820"/>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9A5"/>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4DB"/>
    <w:rsid w:val="007E194F"/>
    <w:rsid w:val="007E201B"/>
    <w:rsid w:val="007E250B"/>
    <w:rsid w:val="007E2EE9"/>
    <w:rsid w:val="007E32A3"/>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6075"/>
    <w:rsid w:val="00836417"/>
    <w:rsid w:val="0083698A"/>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47DBB"/>
    <w:rsid w:val="00850272"/>
    <w:rsid w:val="008506B9"/>
    <w:rsid w:val="0085086F"/>
    <w:rsid w:val="00850B42"/>
    <w:rsid w:val="00851822"/>
    <w:rsid w:val="00851C16"/>
    <w:rsid w:val="008532BF"/>
    <w:rsid w:val="008539B2"/>
    <w:rsid w:val="00853BF4"/>
    <w:rsid w:val="00854294"/>
    <w:rsid w:val="00854295"/>
    <w:rsid w:val="008545CE"/>
    <w:rsid w:val="0085572E"/>
    <w:rsid w:val="00857295"/>
    <w:rsid w:val="0085788B"/>
    <w:rsid w:val="00857A9E"/>
    <w:rsid w:val="00857D1F"/>
    <w:rsid w:val="00857DE2"/>
    <w:rsid w:val="0086003D"/>
    <w:rsid w:val="00860F07"/>
    <w:rsid w:val="00860F11"/>
    <w:rsid w:val="00861D63"/>
    <w:rsid w:val="0086358C"/>
    <w:rsid w:val="0086359A"/>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678E3"/>
    <w:rsid w:val="0087110C"/>
    <w:rsid w:val="0087121C"/>
    <w:rsid w:val="00871FD2"/>
    <w:rsid w:val="00872084"/>
    <w:rsid w:val="00872827"/>
    <w:rsid w:val="00872A32"/>
    <w:rsid w:val="00873653"/>
    <w:rsid w:val="00874911"/>
    <w:rsid w:val="008754E4"/>
    <w:rsid w:val="00875ECC"/>
    <w:rsid w:val="00876EAE"/>
    <w:rsid w:val="00877305"/>
    <w:rsid w:val="00877983"/>
    <w:rsid w:val="00880106"/>
    <w:rsid w:val="00880F95"/>
    <w:rsid w:val="00881EC0"/>
    <w:rsid w:val="00881EE2"/>
    <w:rsid w:val="00882910"/>
    <w:rsid w:val="00882B44"/>
    <w:rsid w:val="008838AD"/>
    <w:rsid w:val="00885381"/>
    <w:rsid w:val="0088572B"/>
    <w:rsid w:val="00885BC9"/>
    <w:rsid w:val="008864B3"/>
    <w:rsid w:val="008865E5"/>
    <w:rsid w:val="0088682F"/>
    <w:rsid w:val="00886900"/>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4AF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7C8"/>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623"/>
    <w:rsid w:val="00902A67"/>
    <w:rsid w:val="00902C5E"/>
    <w:rsid w:val="0090303D"/>
    <w:rsid w:val="00904BE4"/>
    <w:rsid w:val="0090504A"/>
    <w:rsid w:val="009051F5"/>
    <w:rsid w:val="00905221"/>
    <w:rsid w:val="0090530B"/>
    <w:rsid w:val="00905664"/>
    <w:rsid w:val="00905A7C"/>
    <w:rsid w:val="00905D7E"/>
    <w:rsid w:val="00907037"/>
    <w:rsid w:val="00907259"/>
    <w:rsid w:val="00907929"/>
    <w:rsid w:val="00910577"/>
    <w:rsid w:val="00910C5D"/>
    <w:rsid w:val="0091112C"/>
    <w:rsid w:val="009113F2"/>
    <w:rsid w:val="0091160A"/>
    <w:rsid w:val="00911945"/>
    <w:rsid w:val="009128A9"/>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A4"/>
    <w:rsid w:val="00921792"/>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6BA"/>
    <w:rsid w:val="0094286B"/>
    <w:rsid w:val="009432E2"/>
    <w:rsid w:val="00944668"/>
    <w:rsid w:val="00944DC6"/>
    <w:rsid w:val="00945829"/>
    <w:rsid w:val="009458B0"/>
    <w:rsid w:val="00945B52"/>
    <w:rsid w:val="00945B7A"/>
    <w:rsid w:val="00945F05"/>
    <w:rsid w:val="00945FE0"/>
    <w:rsid w:val="00946348"/>
    <w:rsid w:val="00946B10"/>
    <w:rsid w:val="00947070"/>
    <w:rsid w:val="00947224"/>
    <w:rsid w:val="00947797"/>
    <w:rsid w:val="009478A2"/>
    <w:rsid w:val="00947942"/>
    <w:rsid w:val="00950181"/>
    <w:rsid w:val="00950865"/>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24C9"/>
    <w:rsid w:val="00973772"/>
    <w:rsid w:val="0097560A"/>
    <w:rsid w:val="009759A3"/>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5150"/>
    <w:rsid w:val="00995D67"/>
    <w:rsid w:val="00997613"/>
    <w:rsid w:val="009A013B"/>
    <w:rsid w:val="009A02F4"/>
    <w:rsid w:val="009A06BF"/>
    <w:rsid w:val="009A0D17"/>
    <w:rsid w:val="009A2494"/>
    <w:rsid w:val="009A32B1"/>
    <w:rsid w:val="009A33A3"/>
    <w:rsid w:val="009A36F2"/>
    <w:rsid w:val="009A3942"/>
    <w:rsid w:val="009A4073"/>
    <w:rsid w:val="009A40C3"/>
    <w:rsid w:val="009A40D5"/>
    <w:rsid w:val="009A5268"/>
    <w:rsid w:val="009A5621"/>
    <w:rsid w:val="009A57D0"/>
    <w:rsid w:val="009A6559"/>
    <w:rsid w:val="009A68FC"/>
    <w:rsid w:val="009A6CE4"/>
    <w:rsid w:val="009A7514"/>
    <w:rsid w:val="009A7665"/>
    <w:rsid w:val="009A7E7A"/>
    <w:rsid w:val="009B0925"/>
    <w:rsid w:val="009B1584"/>
    <w:rsid w:val="009B18F0"/>
    <w:rsid w:val="009B1F4C"/>
    <w:rsid w:val="009B2203"/>
    <w:rsid w:val="009B2471"/>
    <w:rsid w:val="009B314F"/>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3EE6"/>
    <w:rsid w:val="009C5314"/>
    <w:rsid w:val="009C5AFE"/>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B1E"/>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223"/>
    <w:rsid w:val="00A03842"/>
    <w:rsid w:val="00A04394"/>
    <w:rsid w:val="00A0464C"/>
    <w:rsid w:val="00A050BB"/>
    <w:rsid w:val="00A05128"/>
    <w:rsid w:val="00A0521B"/>
    <w:rsid w:val="00A054E0"/>
    <w:rsid w:val="00A05D91"/>
    <w:rsid w:val="00A0740B"/>
    <w:rsid w:val="00A07ED3"/>
    <w:rsid w:val="00A10162"/>
    <w:rsid w:val="00A10A81"/>
    <w:rsid w:val="00A10CA8"/>
    <w:rsid w:val="00A10D5A"/>
    <w:rsid w:val="00A11042"/>
    <w:rsid w:val="00A12579"/>
    <w:rsid w:val="00A12CDC"/>
    <w:rsid w:val="00A12E1D"/>
    <w:rsid w:val="00A133D8"/>
    <w:rsid w:val="00A13553"/>
    <w:rsid w:val="00A13F58"/>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6D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9D8"/>
    <w:rsid w:val="00A575B8"/>
    <w:rsid w:val="00A6020A"/>
    <w:rsid w:val="00A60CE7"/>
    <w:rsid w:val="00A60CF8"/>
    <w:rsid w:val="00A619BB"/>
    <w:rsid w:val="00A61C60"/>
    <w:rsid w:val="00A61ECB"/>
    <w:rsid w:val="00A63FE9"/>
    <w:rsid w:val="00A6410C"/>
    <w:rsid w:val="00A647B1"/>
    <w:rsid w:val="00A64DEF"/>
    <w:rsid w:val="00A65311"/>
    <w:rsid w:val="00A654D2"/>
    <w:rsid w:val="00A665DF"/>
    <w:rsid w:val="00A671B4"/>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CBC"/>
    <w:rsid w:val="00A75EF9"/>
    <w:rsid w:val="00A7642C"/>
    <w:rsid w:val="00A7657C"/>
    <w:rsid w:val="00A76B5E"/>
    <w:rsid w:val="00A76E4E"/>
    <w:rsid w:val="00A80A5D"/>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5A5"/>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147"/>
    <w:rsid w:val="00AB38CB"/>
    <w:rsid w:val="00AB3BEC"/>
    <w:rsid w:val="00AB4080"/>
    <w:rsid w:val="00AB44E4"/>
    <w:rsid w:val="00AB4AEB"/>
    <w:rsid w:val="00AB4E5F"/>
    <w:rsid w:val="00AB5352"/>
    <w:rsid w:val="00AB56AE"/>
    <w:rsid w:val="00AB62D5"/>
    <w:rsid w:val="00AB65B5"/>
    <w:rsid w:val="00AB6DCD"/>
    <w:rsid w:val="00AB6EE0"/>
    <w:rsid w:val="00AB71D6"/>
    <w:rsid w:val="00AB7D43"/>
    <w:rsid w:val="00AB7F2C"/>
    <w:rsid w:val="00AC022E"/>
    <w:rsid w:val="00AC17A2"/>
    <w:rsid w:val="00AC18C7"/>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0D57"/>
    <w:rsid w:val="00AD1119"/>
    <w:rsid w:val="00AD1315"/>
    <w:rsid w:val="00AD23EF"/>
    <w:rsid w:val="00AD2662"/>
    <w:rsid w:val="00AD307B"/>
    <w:rsid w:val="00AD36D2"/>
    <w:rsid w:val="00AD3992"/>
    <w:rsid w:val="00AD4014"/>
    <w:rsid w:val="00AD41B3"/>
    <w:rsid w:val="00AD5721"/>
    <w:rsid w:val="00AD69F0"/>
    <w:rsid w:val="00AD7127"/>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9C1"/>
    <w:rsid w:val="00AE4A3E"/>
    <w:rsid w:val="00AE4CCE"/>
    <w:rsid w:val="00AE5C6A"/>
    <w:rsid w:val="00AE7058"/>
    <w:rsid w:val="00AE7280"/>
    <w:rsid w:val="00AE7B5F"/>
    <w:rsid w:val="00AF01FA"/>
    <w:rsid w:val="00AF033A"/>
    <w:rsid w:val="00AF0516"/>
    <w:rsid w:val="00AF118E"/>
    <w:rsid w:val="00AF1658"/>
    <w:rsid w:val="00AF1699"/>
    <w:rsid w:val="00AF18D1"/>
    <w:rsid w:val="00AF1BA4"/>
    <w:rsid w:val="00AF1FD3"/>
    <w:rsid w:val="00AF2775"/>
    <w:rsid w:val="00AF2910"/>
    <w:rsid w:val="00AF34B8"/>
    <w:rsid w:val="00AF3896"/>
    <w:rsid w:val="00AF39C9"/>
    <w:rsid w:val="00AF3F97"/>
    <w:rsid w:val="00AF3FC2"/>
    <w:rsid w:val="00AF4DEC"/>
    <w:rsid w:val="00AF6B57"/>
    <w:rsid w:val="00B003FF"/>
    <w:rsid w:val="00B0098A"/>
    <w:rsid w:val="00B00A5F"/>
    <w:rsid w:val="00B00F37"/>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02D6"/>
    <w:rsid w:val="00B11AE5"/>
    <w:rsid w:val="00B120F3"/>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531"/>
    <w:rsid w:val="00B419EA"/>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5646"/>
    <w:rsid w:val="00B662FF"/>
    <w:rsid w:val="00B665B8"/>
    <w:rsid w:val="00B665F6"/>
    <w:rsid w:val="00B66679"/>
    <w:rsid w:val="00B70145"/>
    <w:rsid w:val="00B701C9"/>
    <w:rsid w:val="00B710AD"/>
    <w:rsid w:val="00B71288"/>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B9C"/>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575"/>
    <w:rsid w:val="00B902A5"/>
    <w:rsid w:val="00B90420"/>
    <w:rsid w:val="00B90848"/>
    <w:rsid w:val="00B90BC1"/>
    <w:rsid w:val="00B91146"/>
    <w:rsid w:val="00B913E4"/>
    <w:rsid w:val="00B91DB9"/>
    <w:rsid w:val="00B91FF3"/>
    <w:rsid w:val="00B925F8"/>
    <w:rsid w:val="00B9330A"/>
    <w:rsid w:val="00B93EFE"/>
    <w:rsid w:val="00B944B9"/>
    <w:rsid w:val="00B94956"/>
    <w:rsid w:val="00B94C7F"/>
    <w:rsid w:val="00B94E93"/>
    <w:rsid w:val="00B956B5"/>
    <w:rsid w:val="00B95956"/>
    <w:rsid w:val="00B95ABC"/>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577D"/>
    <w:rsid w:val="00BC588C"/>
    <w:rsid w:val="00BC6E73"/>
    <w:rsid w:val="00BC74D3"/>
    <w:rsid w:val="00BC7AC5"/>
    <w:rsid w:val="00BD0014"/>
    <w:rsid w:val="00BD01D8"/>
    <w:rsid w:val="00BD255F"/>
    <w:rsid w:val="00BD2895"/>
    <w:rsid w:val="00BD3194"/>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6A9E"/>
    <w:rsid w:val="00BF7695"/>
    <w:rsid w:val="00BF775D"/>
    <w:rsid w:val="00BF79B4"/>
    <w:rsid w:val="00BF7C61"/>
    <w:rsid w:val="00C00366"/>
    <w:rsid w:val="00C01427"/>
    <w:rsid w:val="00C014C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3E0"/>
    <w:rsid w:val="00C215CF"/>
    <w:rsid w:val="00C219C3"/>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7027"/>
    <w:rsid w:val="00C373BF"/>
    <w:rsid w:val="00C37B15"/>
    <w:rsid w:val="00C37B19"/>
    <w:rsid w:val="00C41349"/>
    <w:rsid w:val="00C413CB"/>
    <w:rsid w:val="00C41558"/>
    <w:rsid w:val="00C42752"/>
    <w:rsid w:val="00C42973"/>
    <w:rsid w:val="00C43426"/>
    <w:rsid w:val="00C4443A"/>
    <w:rsid w:val="00C4554E"/>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2FF7"/>
    <w:rsid w:val="00C74035"/>
    <w:rsid w:val="00C748EA"/>
    <w:rsid w:val="00C76FB0"/>
    <w:rsid w:val="00C77818"/>
    <w:rsid w:val="00C8063F"/>
    <w:rsid w:val="00C81282"/>
    <w:rsid w:val="00C8155F"/>
    <w:rsid w:val="00C8198D"/>
    <w:rsid w:val="00C82167"/>
    <w:rsid w:val="00C827B4"/>
    <w:rsid w:val="00C831FE"/>
    <w:rsid w:val="00C83214"/>
    <w:rsid w:val="00C8329F"/>
    <w:rsid w:val="00C84E65"/>
    <w:rsid w:val="00C84F8A"/>
    <w:rsid w:val="00C85BA4"/>
    <w:rsid w:val="00C8618F"/>
    <w:rsid w:val="00C8625D"/>
    <w:rsid w:val="00C865AD"/>
    <w:rsid w:val="00C86612"/>
    <w:rsid w:val="00C87402"/>
    <w:rsid w:val="00C90372"/>
    <w:rsid w:val="00C9041F"/>
    <w:rsid w:val="00C915CA"/>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CA7"/>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A3D"/>
    <w:rsid w:val="00CC2FF0"/>
    <w:rsid w:val="00CC313F"/>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6666"/>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81A"/>
    <w:rsid w:val="00CE7B08"/>
    <w:rsid w:val="00CE7B7A"/>
    <w:rsid w:val="00CE7D52"/>
    <w:rsid w:val="00CF0AAA"/>
    <w:rsid w:val="00CF0AB7"/>
    <w:rsid w:val="00CF1D74"/>
    <w:rsid w:val="00CF26A3"/>
    <w:rsid w:val="00CF2BE2"/>
    <w:rsid w:val="00CF371A"/>
    <w:rsid w:val="00CF3791"/>
    <w:rsid w:val="00CF37C2"/>
    <w:rsid w:val="00CF3DE4"/>
    <w:rsid w:val="00CF3DEB"/>
    <w:rsid w:val="00CF55F9"/>
    <w:rsid w:val="00CF578D"/>
    <w:rsid w:val="00CF7074"/>
    <w:rsid w:val="00CF7495"/>
    <w:rsid w:val="00CF76D6"/>
    <w:rsid w:val="00D01CF9"/>
    <w:rsid w:val="00D021E8"/>
    <w:rsid w:val="00D0334D"/>
    <w:rsid w:val="00D0374D"/>
    <w:rsid w:val="00D06312"/>
    <w:rsid w:val="00D06D7B"/>
    <w:rsid w:val="00D06DA5"/>
    <w:rsid w:val="00D07191"/>
    <w:rsid w:val="00D07319"/>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08F"/>
    <w:rsid w:val="00D2015B"/>
    <w:rsid w:val="00D207E7"/>
    <w:rsid w:val="00D20B44"/>
    <w:rsid w:val="00D21168"/>
    <w:rsid w:val="00D21C3A"/>
    <w:rsid w:val="00D2224A"/>
    <w:rsid w:val="00D2385D"/>
    <w:rsid w:val="00D23FF4"/>
    <w:rsid w:val="00D2438C"/>
    <w:rsid w:val="00D2585A"/>
    <w:rsid w:val="00D25920"/>
    <w:rsid w:val="00D259B0"/>
    <w:rsid w:val="00D259C2"/>
    <w:rsid w:val="00D26C3F"/>
    <w:rsid w:val="00D27185"/>
    <w:rsid w:val="00D3028A"/>
    <w:rsid w:val="00D30E98"/>
    <w:rsid w:val="00D3125C"/>
    <w:rsid w:val="00D31ACD"/>
    <w:rsid w:val="00D32436"/>
    <w:rsid w:val="00D33488"/>
    <w:rsid w:val="00D33AB3"/>
    <w:rsid w:val="00D33F24"/>
    <w:rsid w:val="00D34160"/>
    <w:rsid w:val="00D346B8"/>
    <w:rsid w:val="00D34DCA"/>
    <w:rsid w:val="00D35AC8"/>
    <w:rsid w:val="00D360A7"/>
    <w:rsid w:val="00D36F87"/>
    <w:rsid w:val="00D37DF9"/>
    <w:rsid w:val="00D37E4E"/>
    <w:rsid w:val="00D40275"/>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1191"/>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51B"/>
    <w:rsid w:val="00D81AFA"/>
    <w:rsid w:val="00D81EAA"/>
    <w:rsid w:val="00D81FE2"/>
    <w:rsid w:val="00D8259F"/>
    <w:rsid w:val="00D825F2"/>
    <w:rsid w:val="00D8285C"/>
    <w:rsid w:val="00D828B1"/>
    <w:rsid w:val="00D82A55"/>
    <w:rsid w:val="00D8305B"/>
    <w:rsid w:val="00D830F8"/>
    <w:rsid w:val="00D83D49"/>
    <w:rsid w:val="00D84181"/>
    <w:rsid w:val="00D846AD"/>
    <w:rsid w:val="00D84754"/>
    <w:rsid w:val="00D84F27"/>
    <w:rsid w:val="00D8534C"/>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B0C"/>
    <w:rsid w:val="00D94CA4"/>
    <w:rsid w:val="00D95E99"/>
    <w:rsid w:val="00D965D5"/>
    <w:rsid w:val="00D96F7C"/>
    <w:rsid w:val="00D9714B"/>
    <w:rsid w:val="00D97DA2"/>
    <w:rsid w:val="00DA0485"/>
    <w:rsid w:val="00DA19AA"/>
    <w:rsid w:val="00DA1A3A"/>
    <w:rsid w:val="00DA1FC3"/>
    <w:rsid w:val="00DA2351"/>
    <w:rsid w:val="00DA249E"/>
    <w:rsid w:val="00DA2D3D"/>
    <w:rsid w:val="00DA35D9"/>
    <w:rsid w:val="00DA3855"/>
    <w:rsid w:val="00DA39BA"/>
    <w:rsid w:val="00DA4C30"/>
    <w:rsid w:val="00DA538E"/>
    <w:rsid w:val="00DA5FB3"/>
    <w:rsid w:val="00DA6980"/>
    <w:rsid w:val="00DA6A44"/>
    <w:rsid w:val="00DA7A3C"/>
    <w:rsid w:val="00DB145E"/>
    <w:rsid w:val="00DB1A94"/>
    <w:rsid w:val="00DB1BE8"/>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D7F43"/>
    <w:rsid w:val="00DE0784"/>
    <w:rsid w:val="00DE0A1D"/>
    <w:rsid w:val="00DE15B2"/>
    <w:rsid w:val="00DE1A9A"/>
    <w:rsid w:val="00DE22F5"/>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4582"/>
    <w:rsid w:val="00DF5267"/>
    <w:rsid w:val="00DF53F0"/>
    <w:rsid w:val="00DF5700"/>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B9A"/>
    <w:rsid w:val="00E01C9C"/>
    <w:rsid w:val="00E01FF4"/>
    <w:rsid w:val="00E0219D"/>
    <w:rsid w:val="00E032D9"/>
    <w:rsid w:val="00E04482"/>
    <w:rsid w:val="00E04C0F"/>
    <w:rsid w:val="00E05510"/>
    <w:rsid w:val="00E0570B"/>
    <w:rsid w:val="00E05B1D"/>
    <w:rsid w:val="00E05B91"/>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2F39"/>
    <w:rsid w:val="00E24071"/>
    <w:rsid w:val="00E24142"/>
    <w:rsid w:val="00E24DCA"/>
    <w:rsid w:val="00E24EBC"/>
    <w:rsid w:val="00E2522C"/>
    <w:rsid w:val="00E2552F"/>
    <w:rsid w:val="00E2599B"/>
    <w:rsid w:val="00E2710C"/>
    <w:rsid w:val="00E272BD"/>
    <w:rsid w:val="00E27428"/>
    <w:rsid w:val="00E27E58"/>
    <w:rsid w:val="00E305B4"/>
    <w:rsid w:val="00E314CB"/>
    <w:rsid w:val="00E31AFA"/>
    <w:rsid w:val="00E31CB7"/>
    <w:rsid w:val="00E324EE"/>
    <w:rsid w:val="00E3367B"/>
    <w:rsid w:val="00E34DB1"/>
    <w:rsid w:val="00E35339"/>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6F5F"/>
    <w:rsid w:val="00E67BFA"/>
    <w:rsid w:val="00E7004F"/>
    <w:rsid w:val="00E70615"/>
    <w:rsid w:val="00E7159E"/>
    <w:rsid w:val="00E7161E"/>
    <w:rsid w:val="00E71AAB"/>
    <w:rsid w:val="00E71BE3"/>
    <w:rsid w:val="00E72004"/>
    <w:rsid w:val="00E7207B"/>
    <w:rsid w:val="00E722CF"/>
    <w:rsid w:val="00E72880"/>
    <w:rsid w:val="00E7347A"/>
    <w:rsid w:val="00E75A47"/>
    <w:rsid w:val="00E75BB6"/>
    <w:rsid w:val="00E75D8C"/>
    <w:rsid w:val="00E76E93"/>
    <w:rsid w:val="00E7719C"/>
    <w:rsid w:val="00E7757E"/>
    <w:rsid w:val="00E777F2"/>
    <w:rsid w:val="00E802C9"/>
    <w:rsid w:val="00E80BFB"/>
    <w:rsid w:val="00E80EC2"/>
    <w:rsid w:val="00E80F0A"/>
    <w:rsid w:val="00E81291"/>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900DA"/>
    <w:rsid w:val="00E90496"/>
    <w:rsid w:val="00E91044"/>
    <w:rsid w:val="00E910D3"/>
    <w:rsid w:val="00E91CBA"/>
    <w:rsid w:val="00E92097"/>
    <w:rsid w:val="00E92154"/>
    <w:rsid w:val="00E923CF"/>
    <w:rsid w:val="00E93685"/>
    <w:rsid w:val="00E93B65"/>
    <w:rsid w:val="00E93C8C"/>
    <w:rsid w:val="00E95111"/>
    <w:rsid w:val="00E95FDF"/>
    <w:rsid w:val="00E960AD"/>
    <w:rsid w:val="00E9677F"/>
    <w:rsid w:val="00E96898"/>
    <w:rsid w:val="00E97043"/>
    <w:rsid w:val="00EA0185"/>
    <w:rsid w:val="00EA05B6"/>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2AF"/>
    <w:rsid w:val="00EB05D0"/>
    <w:rsid w:val="00EB1151"/>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C60"/>
    <w:rsid w:val="00ED2EB9"/>
    <w:rsid w:val="00ED3722"/>
    <w:rsid w:val="00ED3A31"/>
    <w:rsid w:val="00ED3AEF"/>
    <w:rsid w:val="00ED4469"/>
    <w:rsid w:val="00ED5424"/>
    <w:rsid w:val="00ED5F23"/>
    <w:rsid w:val="00ED6DC0"/>
    <w:rsid w:val="00ED7272"/>
    <w:rsid w:val="00ED7A7A"/>
    <w:rsid w:val="00EE0327"/>
    <w:rsid w:val="00EE038C"/>
    <w:rsid w:val="00EE064D"/>
    <w:rsid w:val="00EE105A"/>
    <w:rsid w:val="00EE1D00"/>
    <w:rsid w:val="00EE259E"/>
    <w:rsid w:val="00EE25C8"/>
    <w:rsid w:val="00EE28C5"/>
    <w:rsid w:val="00EE2F09"/>
    <w:rsid w:val="00EE47C5"/>
    <w:rsid w:val="00EE490C"/>
    <w:rsid w:val="00EE4E57"/>
    <w:rsid w:val="00EE5738"/>
    <w:rsid w:val="00EE58BD"/>
    <w:rsid w:val="00EE5DDB"/>
    <w:rsid w:val="00EE5E59"/>
    <w:rsid w:val="00EE5FA9"/>
    <w:rsid w:val="00EE73D0"/>
    <w:rsid w:val="00EE7CB0"/>
    <w:rsid w:val="00EE7CD1"/>
    <w:rsid w:val="00EF08A8"/>
    <w:rsid w:val="00EF167B"/>
    <w:rsid w:val="00EF1C90"/>
    <w:rsid w:val="00EF2496"/>
    <w:rsid w:val="00EF3BFF"/>
    <w:rsid w:val="00EF41A8"/>
    <w:rsid w:val="00EF44FB"/>
    <w:rsid w:val="00EF5122"/>
    <w:rsid w:val="00EF5554"/>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8EB"/>
    <w:rsid w:val="00F31EDF"/>
    <w:rsid w:val="00F32507"/>
    <w:rsid w:val="00F32CDE"/>
    <w:rsid w:val="00F32D4C"/>
    <w:rsid w:val="00F3327E"/>
    <w:rsid w:val="00F338C3"/>
    <w:rsid w:val="00F34B14"/>
    <w:rsid w:val="00F34CF1"/>
    <w:rsid w:val="00F34E35"/>
    <w:rsid w:val="00F34F58"/>
    <w:rsid w:val="00F3572F"/>
    <w:rsid w:val="00F35DA7"/>
    <w:rsid w:val="00F361BD"/>
    <w:rsid w:val="00F36A6A"/>
    <w:rsid w:val="00F40101"/>
    <w:rsid w:val="00F404F7"/>
    <w:rsid w:val="00F40CCA"/>
    <w:rsid w:val="00F41E02"/>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B43"/>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9DE"/>
    <w:rsid w:val="00F81B2A"/>
    <w:rsid w:val="00F81C12"/>
    <w:rsid w:val="00F82053"/>
    <w:rsid w:val="00F825C4"/>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7F3"/>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E96"/>
    <w:rsid w:val="00FA5A92"/>
    <w:rsid w:val="00FA681F"/>
    <w:rsid w:val="00FB0261"/>
    <w:rsid w:val="00FB0CBF"/>
    <w:rsid w:val="00FB18F6"/>
    <w:rsid w:val="00FB2A52"/>
    <w:rsid w:val="00FB3961"/>
    <w:rsid w:val="00FB39E0"/>
    <w:rsid w:val="00FB3F92"/>
    <w:rsid w:val="00FB52C7"/>
    <w:rsid w:val="00FB57DC"/>
    <w:rsid w:val="00FB5915"/>
    <w:rsid w:val="00FB6E19"/>
    <w:rsid w:val="00FB71F6"/>
    <w:rsid w:val="00FB74F1"/>
    <w:rsid w:val="00FC056A"/>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3EA"/>
    <w:rsid w:val="00FD374D"/>
    <w:rsid w:val="00FD4D2A"/>
    <w:rsid w:val="00FD6071"/>
    <w:rsid w:val="00FD633B"/>
    <w:rsid w:val="00FD66ED"/>
    <w:rsid w:val="00FD6ABA"/>
    <w:rsid w:val="00FE0794"/>
    <w:rsid w:val="00FE1041"/>
    <w:rsid w:val="00FE1614"/>
    <w:rsid w:val="00FE24CB"/>
    <w:rsid w:val="00FE25B1"/>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149"/>
    <w:rsid w:val="00FF78E5"/>
    <w:rsid w:val="012C5FAF"/>
    <w:rsid w:val="01AF3D99"/>
    <w:rsid w:val="02353A89"/>
    <w:rsid w:val="02511F9D"/>
    <w:rsid w:val="03A314B8"/>
    <w:rsid w:val="03AC2ED8"/>
    <w:rsid w:val="03D82B98"/>
    <w:rsid w:val="03F83E8B"/>
    <w:rsid w:val="042B5143"/>
    <w:rsid w:val="04FE20AB"/>
    <w:rsid w:val="05B74B23"/>
    <w:rsid w:val="05C56868"/>
    <w:rsid w:val="06002436"/>
    <w:rsid w:val="06B00DD3"/>
    <w:rsid w:val="07A539BD"/>
    <w:rsid w:val="07B72767"/>
    <w:rsid w:val="08077E72"/>
    <w:rsid w:val="08717FF6"/>
    <w:rsid w:val="08882DD0"/>
    <w:rsid w:val="091D4D2D"/>
    <w:rsid w:val="09CC2AAC"/>
    <w:rsid w:val="0A652D3E"/>
    <w:rsid w:val="0A6B6219"/>
    <w:rsid w:val="0B326F2A"/>
    <w:rsid w:val="0BA7CADB"/>
    <w:rsid w:val="0BEB51B8"/>
    <w:rsid w:val="0C1E2888"/>
    <w:rsid w:val="0C6A432F"/>
    <w:rsid w:val="0C92213C"/>
    <w:rsid w:val="0CC2027E"/>
    <w:rsid w:val="0D215336"/>
    <w:rsid w:val="0D84032B"/>
    <w:rsid w:val="0F2A74C4"/>
    <w:rsid w:val="0FDA55C7"/>
    <w:rsid w:val="10A27F31"/>
    <w:rsid w:val="10F96715"/>
    <w:rsid w:val="11927058"/>
    <w:rsid w:val="120E171E"/>
    <w:rsid w:val="13AF4F03"/>
    <w:rsid w:val="13EE47DE"/>
    <w:rsid w:val="14736E66"/>
    <w:rsid w:val="147F458F"/>
    <w:rsid w:val="1534169A"/>
    <w:rsid w:val="153D4CD7"/>
    <w:rsid w:val="15C03E03"/>
    <w:rsid w:val="162A25EB"/>
    <w:rsid w:val="16735895"/>
    <w:rsid w:val="16FD2A55"/>
    <w:rsid w:val="17067C1A"/>
    <w:rsid w:val="17366761"/>
    <w:rsid w:val="177C01F0"/>
    <w:rsid w:val="179E3EFA"/>
    <w:rsid w:val="17CE6630"/>
    <w:rsid w:val="188E6525"/>
    <w:rsid w:val="1AE6663D"/>
    <w:rsid w:val="1AFF0AFE"/>
    <w:rsid w:val="1B4F19F8"/>
    <w:rsid w:val="1B682381"/>
    <w:rsid w:val="1BAA4D27"/>
    <w:rsid w:val="1CB02FB2"/>
    <w:rsid w:val="1D063C00"/>
    <w:rsid w:val="1D5C1A72"/>
    <w:rsid w:val="1ECC44FA"/>
    <w:rsid w:val="1F063325"/>
    <w:rsid w:val="1FBC5DF5"/>
    <w:rsid w:val="1FC658C9"/>
    <w:rsid w:val="1FF90588"/>
    <w:rsid w:val="208F07C2"/>
    <w:rsid w:val="20C3623F"/>
    <w:rsid w:val="21781212"/>
    <w:rsid w:val="21B83F86"/>
    <w:rsid w:val="21FC059F"/>
    <w:rsid w:val="221178A8"/>
    <w:rsid w:val="221213CF"/>
    <w:rsid w:val="22327A92"/>
    <w:rsid w:val="231D53A2"/>
    <w:rsid w:val="236D5383"/>
    <w:rsid w:val="23B7504C"/>
    <w:rsid w:val="24571307"/>
    <w:rsid w:val="25110A2A"/>
    <w:rsid w:val="256C0944"/>
    <w:rsid w:val="26446DE3"/>
    <w:rsid w:val="26877DFE"/>
    <w:rsid w:val="269669E7"/>
    <w:rsid w:val="26A270C1"/>
    <w:rsid w:val="26D7699F"/>
    <w:rsid w:val="27A03B7F"/>
    <w:rsid w:val="28C25934"/>
    <w:rsid w:val="28C36E49"/>
    <w:rsid w:val="29D75F7F"/>
    <w:rsid w:val="29FB0865"/>
    <w:rsid w:val="2B724B56"/>
    <w:rsid w:val="2B774624"/>
    <w:rsid w:val="2C571C81"/>
    <w:rsid w:val="2C7A72BE"/>
    <w:rsid w:val="2C7D5743"/>
    <w:rsid w:val="2C9A7D75"/>
    <w:rsid w:val="2CC17412"/>
    <w:rsid w:val="2D0175AF"/>
    <w:rsid w:val="2D7C1E99"/>
    <w:rsid w:val="2D962D7E"/>
    <w:rsid w:val="2DEF4571"/>
    <w:rsid w:val="2E9976CE"/>
    <w:rsid w:val="2EF01DEE"/>
    <w:rsid w:val="2EF901D3"/>
    <w:rsid w:val="2F401D3C"/>
    <w:rsid w:val="2F5B24E1"/>
    <w:rsid w:val="2F5D7E64"/>
    <w:rsid w:val="2FA95C88"/>
    <w:rsid w:val="301B17A7"/>
    <w:rsid w:val="3041370F"/>
    <w:rsid w:val="308D45AF"/>
    <w:rsid w:val="30B87FED"/>
    <w:rsid w:val="312B50A3"/>
    <w:rsid w:val="31894FD2"/>
    <w:rsid w:val="318E2676"/>
    <w:rsid w:val="322C3CB1"/>
    <w:rsid w:val="32453A27"/>
    <w:rsid w:val="3263064A"/>
    <w:rsid w:val="32A43132"/>
    <w:rsid w:val="32AC0C06"/>
    <w:rsid w:val="33344EF5"/>
    <w:rsid w:val="33FFB707"/>
    <w:rsid w:val="34843C36"/>
    <w:rsid w:val="3537750C"/>
    <w:rsid w:val="3537798C"/>
    <w:rsid w:val="35C13FC9"/>
    <w:rsid w:val="36372B05"/>
    <w:rsid w:val="364257B6"/>
    <w:rsid w:val="369D517D"/>
    <w:rsid w:val="377FC262"/>
    <w:rsid w:val="37EA5922"/>
    <w:rsid w:val="38276B93"/>
    <w:rsid w:val="382E58B8"/>
    <w:rsid w:val="38AC3431"/>
    <w:rsid w:val="392F2E16"/>
    <w:rsid w:val="39B27192"/>
    <w:rsid w:val="39D39968"/>
    <w:rsid w:val="39E00529"/>
    <w:rsid w:val="3A0B64A7"/>
    <w:rsid w:val="3A257964"/>
    <w:rsid w:val="3A574DDA"/>
    <w:rsid w:val="3AD3075A"/>
    <w:rsid w:val="3AF74C02"/>
    <w:rsid w:val="3BC57EFE"/>
    <w:rsid w:val="3BFAD838"/>
    <w:rsid w:val="3C0059A5"/>
    <w:rsid w:val="3C134E78"/>
    <w:rsid w:val="3C44609B"/>
    <w:rsid w:val="3D332398"/>
    <w:rsid w:val="3D67DC54"/>
    <w:rsid w:val="3DF6345D"/>
    <w:rsid w:val="3E0B5F6C"/>
    <w:rsid w:val="3E2B5515"/>
    <w:rsid w:val="3E4D4F28"/>
    <w:rsid w:val="3E7A617F"/>
    <w:rsid w:val="3ED92EC4"/>
    <w:rsid w:val="3EE13701"/>
    <w:rsid w:val="3EFFA070"/>
    <w:rsid w:val="3F1A4BB3"/>
    <w:rsid w:val="3FE42388"/>
    <w:rsid w:val="400D1059"/>
    <w:rsid w:val="40192BA6"/>
    <w:rsid w:val="41766EA9"/>
    <w:rsid w:val="42550A18"/>
    <w:rsid w:val="429D496A"/>
    <w:rsid w:val="42F473A1"/>
    <w:rsid w:val="432D137D"/>
    <w:rsid w:val="437217EA"/>
    <w:rsid w:val="43925BE2"/>
    <w:rsid w:val="43AB7156"/>
    <w:rsid w:val="441009D8"/>
    <w:rsid w:val="441E62C0"/>
    <w:rsid w:val="45325D14"/>
    <w:rsid w:val="45811C7C"/>
    <w:rsid w:val="45906116"/>
    <w:rsid w:val="45931B8C"/>
    <w:rsid w:val="45EF2552"/>
    <w:rsid w:val="4668104A"/>
    <w:rsid w:val="468B3EFB"/>
    <w:rsid w:val="470A6193"/>
    <w:rsid w:val="47385210"/>
    <w:rsid w:val="475510F8"/>
    <w:rsid w:val="4784411F"/>
    <w:rsid w:val="47DC4F5C"/>
    <w:rsid w:val="487970CD"/>
    <w:rsid w:val="488322E7"/>
    <w:rsid w:val="48B40671"/>
    <w:rsid w:val="48E01E61"/>
    <w:rsid w:val="499B5738"/>
    <w:rsid w:val="499F244D"/>
    <w:rsid w:val="4A973F3F"/>
    <w:rsid w:val="4AEB2504"/>
    <w:rsid w:val="4AF96BC7"/>
    <w:rsid w:val="4B862A85"/>
    <w:rsid w:val="4BC845F3"/>
    <w:rsid w:val="4C496236"/>
    <w:rsid w:val="4C531753"/>
    <w:rsid w:val="4CE0771A"/>
    <w:rsid w:val="4CEF36E2"/>
    <w:rsid w:val="4CEF4DC5"/>
    <w:rsid w:val="4DCFB903"/>
    <w:rsid w:val="4E257655"/>
    <w:rsid w:val="4E836795"/>
    <w:rsid w:val="4F1E5CCF"/>
    <w:rsid w:val="4F372380"/>
    <w:rsid w:val="4F372FFB"/>
    <w:rsid w:val="4FF6A7A1"/>
    <w:rsid w:val="5025116D"/>
    <w:rsid w:val="52395ECD"/>
    <w:rsid w:val="524B066C"/>
    <w:rsid w:val="52817D5B"/>
    <w:rsid w:val="52C10D75"/>
    <w:rsid w:val="52F26CA4"/>
    <w:rsid w:val="53C27FF8"/>
    <w:rsid w:val="543F566E"/>
    <w:rsid w:val="546936AC"/>
    <w:rsid w:val="54806794"/>
    <w:rsid w:val="549E1A80"/>
    <w:rsid w:val="54C658F4"/>
    <w:rsid w:val="550C4BD7"/>
    <w:rsid w:val="554C1D56"/>
    <w:rsid w:val="55572986"/>
    <w:rsid w:val="557A2A35"/>
    <w:rsid w:val="565340FA"/>
    <w:rsid w:val="56AD5F59"/>
    <w:rsid w:val="56C60774"/>
    <w:rsid w:val="57AF0AE8"/>
    <w:rsid w:val="57B12A52"/>
    <w:rsid w:val="57EF62EE"/>
    <w:rsid w:val="59E309EE"/>
    <w:rsid w:val="5A105AE3"/>
    <w:rsid w:val="5A2F2CC8"/>
    <w:rsid w:val="5B48305A"/>
    <w:rsid w:val="5B6E36A9"/>
    <w:rsid w:val="5B8D079B"/>
    <w:rsid w:val="5C10702D"/>
    <w:rsid w:val="5C152601"/>
    <w:rsid w:val="5C591F03"/>
    <w:rsid w:val="5C8A1B2F"/>
    <w:rsid w:val="5CDE240E"/>
    <w:rsid w:val="5D1A1C92"/>
    <w:rsid w:val="5D245401"/>
    <w:rsid w:val="5EB4444B"/>
    <w:rsid w:val="5EB92810"/>
    <w:rsid w:val="5F561B72"/>
    <w:rsid w:val="5FAA6092"/>
    <w:rsid w:val="5FB524FA"/>
    <w:rsid w:val="606007BB"/>
    <w:rsid w:val="60AC7F66"/>
    <w:rsid w:val="613D2E46"/>
    <w:rsid w:val="615F005D"/>
    <w:rsid w:val="61BF10D9"/>
    <w:rsid w:val="62AC22DC"/>
    <w:rsid w:val="630E6937"/>
    <w:rsid w:val="63A22BFD"/>
    <w:rsid w:val="642B10E5"/>
    <w:rsid w:val="64860269"/>
    <w:rsid w:val="64E45EF7"/>
    <w:rsid w:val="65384140"/>
    <w:rsid w:val="6691014E"/>
    <w:rsid w:val="66C87CCE"/>
    <w:rsid w:val="677435B2"/>
    <w:rsid w:val="67B13EAA"/>
    <w:rsid w:val="67EF75F1"/>
    <w:rsid w:val="680074AC"/>
    <w:rsid w:val="684F4F11"/>
    <w:rsid w:val="69124F16"/>
    <w:rsid w:val="69863E30"/>
    <w:rsid w:val="69CD5C14"/>
    <w:rsid w:val="69CF0D33"/>
    <w:rsid w:val="6A2904FB"/>
    <w:rsid w:val="6AAF0C61"/>
    <w:rsid w:val="6B9946B3"/>
    <w:rsid w:val="6BE518DA"/>
    <w:rsid w:val="6BF07522"/>
    <w:rsid w:val="6C276CBC"/>
    <w:rsid w:val="6C276F3A"/>
    <w:rsid w:val="6C3C4515"/>
    <w:rsid w:val="6C7007C7"/>
    <w:rsid w:val="6CE56829"/>
    <w:rsid w:val="6D6668C3"/>
    <w:rsid w:val="6DE76850"/>
    <w:rsid w:val="6F2F0361"/>
    <w:rsid w:val="6FB20BD4"/>
    <w:rsid w:val="6FBA59BE"/>
    <w:rsid w:val="6FF92664"/>
    <w:rsid w:val="70296B3E"/>
    <w:rsid w:val="70611204"/>
    <w:rsid w:val="7165620F"/>
    <w:rsid w:val="717039F8"/>
    <w:rsid w:val="721D4AB2"/>
    <w:rsid w:val="72297D6C"/>
    <w:rsid w:val="73FB30D7"/>
    <w:rsid w:val="74827185"/>
    <w:rsid w:val="74D13AD5"/>
    <w:rsid w:val="74FA2C30"/>
    <w:rsid w:val="754D5C4B"/>
    <w:rsid w:val="75CD18B9"/>
    <w:rsid w:val="76C240A7"/>
    <w:rsid w:val="76DA416A"/>
    <w:rsid w:val="770B4BAE"/>
    <w:rsid w:val="7722255A"/>
    <w:rsid w:val="772569B9"/>
    <w:rsid w:val="772C33D8"/>
    <w:rsid w:val="775246B7"/>
    <w:rsid w:val="77EDFF5E"/>
    <w:rsid w:val="77F5559F"/>
    <w:rsid w:val="781E69D1"/>
    <w:rsid w:val="7901747F"/>
    <w:rsid w:val="79D60454"/>
    <w:rsid w:val="79E6392E"/>
    <w:rsid w:val="79FA0CEA"/>
    <w:rsid w:val="7A263B6B"/>
    <w:rsid w:val="7A5D0D05"/>
    <w:rsid w:val="7A8C2B0C"/>
    <w:rsid w:val="7AF46346"/>
    <w:rsid w:val="7B0F5EBF"/>
    <w:rsid w:val="7B130FB9"/>
    <w:rsid w:val="7B892BA7"/>
    <w:rsid w:val="7BAB6FC2"/>
    <w:rsid w:val="7BD71E38"/>
    <w:rsid w:val="7BE7CA11"/>
    <w:rsid w:val="7BF64EDE"/>
    <w:rsid w:val="7C400C1E"/>
    <w:rsid w:val="7CCE5A9F"/>
    <w:rsid w:val="7D9E4DFA"/>
    <w:rsid w:val="7DD11708"/>
    <w:rsid w:val="7DEE4A4F"/>
    <w:rsid w:val="7E27546D"/>
    <w:rsid w:val="7E6CC026"/>
    <w:rsid w:val="7EAE6230"/>
    <w:rsid w:val="7EBD579E"/>
    <w:rsid w:val="7EC167BD"/>
    <w:rsid w:val="7EC50900"/>
    <w:rsid w:val="7EDF3D6D"/>
    <w:rsid w:val="7F272D9E"/>
    <w:rsid w:val="7F941220"/>
    <w:rsid w:val="7FB323F0"/>
    <w:rsid w:val="7FDD5EA7"/>
    <w:rsid w:val="7FEFA4DC"/>
    <w:rsid w:val="7FFB979B"/>
    <w:rsid w:val="7FFCA31B"/>
    <w:rsid w:val="7FFF0876"/>
    <w:rsid w:val="8EFD79C1"/>
    <w:rsid w:val="9FB7CA06"/>
    <w:rsid w:val="9FBFFE11"/>
    <w:rsid w:val="9FFAD1AB"/>
    <w:rsid w:val="9FFE1324"/>
    <w:rsid w:val="A5DEFF5F"/>
    <w:rsid w:val="B72E4223"/>
    <w:rsid w:val="B7F76A68"/>
    <w:rsid w:val="BE6AD4EE"/>
    <w:rsid w:val="BFCF1353"/>
    <w:rsid w:val="D7FF002A"/>
    <w:rsid w:val="DB9FBBF2"/>
    <w:rsid w:val="DCDEA9D1"/>
    <w:rsid w:val="DECD774A"/>
    <w:rsid w:val="DFE78CE6"/>
    <w:rsid w:val="DFFEA74D"/>
    <w:rsid w:val="E7FF040B"/>
    <w:rsid w:val="EFFFD02D"/>
    <w:rsid w:val="F4E72BD6"/>
    <w:rsid w:val="F7AFF7D6"/>
    <w:rsid w:val="F7EBCFDB"/>
    <w:rsid w:val="F7FFB488"/>
    <w:rsid w:val="F9FD6FD7"/>
    <w:rsid w:val="FBFF6719"/>
    <w:rsid w:val="FC6F6696"/>
    <w:rsid w:val="FCDECDCD"/>
    <w:rsid w:val="FDD77343"/>
    <w:rsid w:val="FDFBCE36"/>
    <w:rsid w:val="FFCBF484"/>
    <w:rsid w:val="FFEA1F7A"/>
    <w:rsid w:val="FFF2AF88"/>
    <w:rsid w:val="FFFA0C59"/>
    <w:rsid w:val="FFFD4BFE"/>
    <w:rsid w:val="FFFFA95B"/>
    <w:rsid w:val="FFFFE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9"/>
    <w:pPr>
      <w:keepNext/>
      <w:keepLines/>
      <w:spacing w:line="360" w:lineRule="auto"/>
      <w:outlineLvl w:val="3"/>
    </w:pPr>
    <w:rPr>
      <w:rFonts w:ascii="Arial" w:hAnsi="Arial"/>
      <w:b/>
      <w:bCs/>
      <w:sz w:val="28"/>
      <w:szCs w:val="28"/>
    </w:rPr>
  </w:style>
  <w:style w:type="paragraph" w:styleId="6">
    <w:name w:val="heading 5"/>
    <w:basedOn w:val="1"/>
    <w:next w:val="7"/>
    <w:link w:val="58"/>
    <w:qFormat/>
    <w:uiPriority w:val="99"/>
    <w:pPr>
      <w:keepNext/>
      <w:keepLines/>
      <w:spacing w:before="280" w:after="290" w:line="376" w:lineRule="auto"/>
      <w:outlineLvl w:val="4"/>
    </w:pPr>
    <w:rPr>
      <w:b/>
      <w:bCs/>
      <w:sz w:val="28"/>
      <w:szCs w:val="28"/>
    </w:rPr>
  </w:style>
  <w:style w:type="paragraph" w:styleId="8">
    <w:name w:val="heading 6"/>
    <w:basedOn w:val="1"/>
    <w:next w:val="1"/>
    <w:link w:val="60"/>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61"/>
    <w:qFormat/>
    <w:uiPriority w:val="0"/>
    <w:pPr>
      <w:keepNext/>
      <w:keepLines/>
      <w:spacing w:before="240" w:after="64" w:line="317" w:lineRule="auto"/>
      <w:outlineLvl w:val="6"/>
    </w:pPr>
    <w:rPr>
      <w:b/>
      <w:bCs/>
      <w:kern w:val="0"/>
      <w:sz w:val="24"/>
    </w:rPr>
  </w:style>
  <w:style w:type="paragraph" w:styleId="10">
    <w:name w:val="heading 8"/>
    <w:basedOn w:val="1"/>
    <w:next w:val="1"/>
    <w:link w:val="62"/>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3"/>
    <w:qFormat/>
    <w:uiPriority w:val="0"/>
    <w:pPr>
      <w:keepNext/>
      <w:keepLines/>
      <w:spacing w:before="240" w:after="64" w:line="317" w:lineRule="auto"/>
      <w:outlineLvl w:val="8"/>
    </w:pPr>
    <w:rPr>
      <w:rFonts w:ascii="Cambria" w:hAnsi="Cambria"/>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qFormat/>
    <w:uiPriority w:val="99"/>
    <w:pPr>
      <w:ind w:firstLine="420"/>
    </w:pPr>
    <w:rPr>
      <w:szCs w:val="20"/>
    </w:rPr>
  </w:style>
  <w:style w:type="paragraph" w:styleId="12">
    <w:name w:val="toc 7"/>
    <w:basedOn w:val="1"/>
    <w:next w:val="1"/>
    <w:qFormat/>
    <w:uiPriority w:val="39"/>
    <w:pPr>
      <w:ind w:left="2520" w:leftChars="1200"/>
    </w:pPr>
    <w:rPr>
      <w:rFonts w:ascii="Calibri" w:hAnsi="Calibri" w:cs="Calibri"/>
      <w:szCs w:val="21"/>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64"/>
    <w:qFormat/>
    <w:uiPriority w:val="0"/>
    <w:pPr>
      <w:shd w:val="clear" w:color="auto" w:fill="000080"/>
    </w:pPr>
    <w:rPr>
      <w:sz w:val="24"/>
      <w:shd w:val="clear" w:color="auto" w:fill="000080"/>
    </w:rPr>
  </w:style>
  <w:style w:type="paragraph" w:styleId="17">
    <w:name w:val="annotation text"/>
    <w:basedOn w:val="1"/>
    <w:link w:val="65"/>
    <w:qFormat/>
    <w:uiPriority w:val="99"/>
    <w:pPr>
      <w:jc w:val="left"/>
    </w:pPr>
  </w:style>
  <w:style w:type="paragraph" w:styleId="18">
    <w:name w:val="Body Text 3"/>
    <w:basedOn w:val="1"/>
    <w:link w:val="66"/>
    <w:unhideWhenUsed/>
    <w:qFormat/>
    <w:uiPriority w:val="99"/>
    <w:pPr>
      <w:spacing w:after="120"/>
    </w:pPr>
    <w:rPr>
      <w:sz w:val="16"/>
      <w:szCs w:val="16"/>
    </w:rPr>
  </w:style>
  <w:style w:type="paragraph" w:styleId="19">
    <w:name w:val="Body Text"/>
    <w:basedOn w:val="1"/>
    <w:link w:val="67"/>
    <w:unhideWhenUsed/>
    <w:qFormat/>
    <w:uiPriority w:val="99"/>
    <w:pPr>
      <w:spacing w:after="120"/>
    </w:pPr>
  </w:style>
  <w:style w:type="paragraph" w:styleId="20">
    <w:name w:val="Body Text Indent"/>
    <w:basedOn w:val="1"/>
    <w:link w:val="68"/>
    <w:qFormat/>
    <w:uiPriority w:val="99"/>
    <w:pPr>
      <w:ind w:firstLine="830" w:firstLineChars="352"/>
    </w:pPr>
    <w:rPr>
      <w:rFonts w:ascii="仿宋_GB2312" w:eastAsia="仿宋_GB2312"/>
      <w:kern w:val="0"/>
      <w:sz w:val="32"/>
      <w:szCs w:val="20"/>
    </w:rPr>
  </w:style>
  <w:style w:type="paragraph" w:styleId="21">
    <w:name w:val="List 2"/>
    <w:basedOn w:val="1"/>
    <w:unhideWhenUsed/>
    <w:qFormat/>
    <w:uiPriority w:val="99"/>
    <w:pPr>
      <w:ind w:left="100" w:leftChars="200" w:hanging="200" w:hangingChars="200"/>
      <w:contextualSpacing/>
    </w:pPr>
  </w:style>
  <w:style w:type="paragraph" w:styleId="22">
    <w:name w:val="index 4"/>
    <w:basedOn w:val="1"/>
    <w:next w:val="1"/>
    <w:semiHidden/>
    <w:qFormat/>
    <w:uiPriority w:val="99"/>
    <w:pPr>
      <w:ind w:left="600" w:leftChars="600"/>
    </w:pPr>
    <w:rPr>
      <w:szCs w:val="21"/>
    </w:rPr>
  </w:style>
  <w:style w:type="paragraph" w:styleId="23">
    <w:name w:val="toc 5"/>
    <w:basedOn w:val="1"/>
    <w:next w:val="1"/>
    <w:qFormat/>
    <w:uiPriority w:val="39"/>
    <w:pPr>
      <w:ind w:left="1680" w:leftChars="800"/>
    </w:pPr>
    <w:rPr>
      <w:rFonts w:ascii="Calibri" w:hAnsi="Calibri" w:cs="Calibri"/>
      <w:szCs w:val="21"/>
    </w:rPr>
  </w:style>
  <w:style w:type="paragraph" w:styleId="24">
    <w:name w:val="toc 3"/>
    <w:basedOn w:val="1"/>
    <w:next w:val="1"/>
    <w:qFormat/>
    <w:uiPriority w:val="39"/>
    <w:pPr>
      <w:ind w:left="840" w:leftChars="400"/>
    </w:pPr>
    <w:rPr>
      <w:szCs w:val="21"/>
    </w:rPr>
  </w:style>
  <w:style w:type="paragraph" w:styleId="25">
    <w:name w:val="Plain Text"/>
    <w:basedOn w:val="1"/>
    <w:next w:val="1"/>
    <w:link w:val="69"/>
    <w:qFormat/>
    <w:uiPriority w:val="99"/>
    <w:rPr>
      <w:rFonts w:ascii="宋体" w:hAnsi="Courier New"/>
      <w:kern w:val="0"/>
      <w:sz w:val="20"/>
      <w:szCs w:val="21"/>
    </w:rPr>
  </w:style>
  <w:style w:type="paragraph" w:styleId="26">
    <w:name w:val="toc 8"/>
    <w:basedOn w:val="1"/>
    <w:next w:val="1"/>
    <w:qFormat/>
    <w:uiPriority w:val="39"/>
    <w:pPr>
      <w:ind w:left="2940" w:leftChars="1400"/>
    </w:pPr>
    <w:rPr>
      <w:rFonts w:ascii="Calibri" w:hAnsi="Calibri" w:cs="Calibri"/>
      <w:szCs w:val="21"/>
    </w:rPr>
  </w:style>
  <w:style w:type="paragraph" w:styleId="27">
    <w:name w:val="Date"/>
    <w:basedOn w:val="1"/>
    <w:next w:val="1"/>
    <w:link w:val="70"/>
    <w:unhideWhenUsed/>
    <w:qFormat/>
    <w:uiPriority w:val="99"/>
    <w:pPr>
      <w:ind w:left="100" w:leftChars="2500"/>
    </w:pPr>
  </w:style>
  <w:style w:type="paragraph" w:styleId="28">
    <w:name w:val="Body Text Indent 2"/>
    <w:basedOn w:val="1"/>
    <w:link w:val="71"/>
    <w:qFormat/>
    <w:uiPriority w:val="99"/>
    <w:pPr>
      <w:spacing w:after="120" w:line="480" w:lineRule="auto"/>
      <w:ind w:left="420" w:leftChars="200"/>
    </w:pPr>
    <w:rPr>
      <w:sz w:val="24"/>
    </w:rPr>
  </w:style>
  <w:style w:type="paragraph" w:styleId="29">
    <w:name w:val="Balloon Text"/>
    <w:basedOn w:val="1"/>
    <w:link w:val="72"/>
    <w:qFormat/>
    <w:uiPriority w:val="0"/>
    <w:rPr>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leftChars="600"/>
    </w:pPr>
    <w:rPr>
      <w:rFonts w:ascii="Calibri" w:hAnsi="Calibri" w:cs="Calibri"/>
      <w:szCs w:val="21"/>
    </w:rPr>
  </w:style>
  <w:style w:type="paragraph" w:styleId="34">
    <w:name w:val="Subtitle"/>
    <w:basedOn w:val="1"/>
    <w:next w:val="1"/>
    <w:link w:val="75"/>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76"/>
    <w:qFormat/>
    <w:uiPriority w:val="0"/>
    <w:pPr>
      <w:adjustRightInd w:val="0"/>
      <w:spacing w:line="312" w:lineRule="atLeast"/>
      <w:jc w:val="left"/>
      <w:textAlignment w:val="baseline"/>
    </w:pPr>
    <w:rPr>
      <w:kern w:val="0"/>
      <w:sz w:val="18"/>
      <w:szCs w:val="18"/>
    </w:rPr>
  </w:style>
  <w:style w:type="paragraph" w:styleId="36">
    <w:name w:val="toc 6"/>
    <w:basedOn w:val="1"/>
    <w:next w:val="1"/>
    <w:qFormat/>
    <w:uiPriority w:val="39"/>
    <w:pPr>
      <w:ind w:left="2100" w:leftChars="1000"/>
    </w:pPr>
    <w:rPr>
      <w:rFonts w:ascii="Calibri" w:hAnsi="Calibri" w:cs="Calibri"/>
      <w:szCs w:val="21"/>
    </w:rPr>
  </w:style>
  <w:style w:type="paragraph" w:styleId="37">
    <w:name w:val="toc 2"/>
    <w:basedOn w:val="1"/>
    <w:next w:val="1"/>
    <w:unhideWhenUsed/>
    <w:qFormat/>
    <w:uiPriority w:val="39"/>
    <w:pPr>
      <w:tabs>
        <w:tab w:val="right" w:leader="dot" w:pos="8296"/>
      </w:tabs>
      <w:ind w:left="420" w:leftChars="200"/>
    </w:pPr>
  </w:style>
  <w:style w:type="paragraph" w:styleId="38">
    <w:name w:val="toc 9"/>
    <w:basedOn w:val="1"/>
    <w:next w:val="1"/>
    <w:qFormat/>
    <w:uiPriority w:val="39"/>
    <w:pPr>
      <w:ind w:left="3360" w:leftChars="1600"/>
    </w:pPr>
    <w:rPr>
      <w:rFonts w:ascii="Calibri" w:hAnsi="Calibri" w:cs="Calibri"/>
      <w:szCs w:val="21"/>
    </w:rPr>
  </w:style>
  <w:style w:type="paragraph" w:styleId="39">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0"/>
    <w:rPr>
      <w:rFonts w:ascii="Calibri" w:hAnsi="Calibri"/>
      <w:kern w:val="0"/>
      <w:sz w:val="24"/>
    </w:rPr>
  </w:style>
  <w:style w:type="paragraph" w:styleId="41">
    <w:name w:val="Title"/>
    <w:basedOn w:val="1"/>
    <w:next w:val="1"/>
    <w:link w:val="78"/>
    <w:qFormat/>
    <w:uiPriority w:val="0"/>
    <w:pPr>
      <w:spacing w:before="240" w:after="60"/>
      <w:jc w:val="center"/>
      <w:outlineLvl w:val="0"/>
    </w:pPr>
    <w:rPr>
      <w:rFonts w:ascii="Cambria" w:hAnsi="Cambria"/>
      <w:b/>
      <w:bCs/>
      <w:sz w:val="32"/>
      <w:szCs w:val="32"/>
    </w:rPr>
  </w:style>
  <w:style w:type="paragraph" w:styleId="42">
    <w:name w:val="annotation subject"/>
    <w:basedOn w:val="17"/>
    <w:next w:val="17"/>
    <w:link w:val="79"/>
    <w:qFormat/>
    <w:uiPriority w:val="0"/>
    <w:rPr>
      <w:b/>
      <w:bCs/>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endnote reference"/>
    <w:unhideWhenUsed/>
    <w:qFormat/>
    <w:uiPriority w:val="99"/>
    <w:rPr>
      <w:vertAlign w:val="superscript"/>
    </w:rPr>
  </w:style>
  <w:style w:type="character" w:styleId="48">
    <w:name w:val="page number"/>
    <w:qFormat/>
    <w:uiPriority w:val="99"/>
  </w:style>
  <w:style w:type="character" w:styleId="49">
    <w:name w:val="FollowedHyperlink"/>
    <w:qFormat/>
    <w:uiPriority w:val="99"/>
    <w:rPr>
      <w:color w:val="800080"/>
      <w:u w:val="single"/>
    </w:rPr>
  </w:style>
  <w:style w:type="character" w:styleId="50">
    <w:name w:val="Emphasis"/>
    <w:qFormat/>
    <w:uiPriority w:val="99"/>
    <w:rPr>
      <w:i/>
      <w:iCs/>
    </w:rPr>
  </w:style>
  <w:style w:type="character" w:styleId="51">
    <w:name w:val="Hyperlink"/>
    <w:unhideWhenUsed/>
    <w:qFormat/>
    <w:uiPriority w:val="99"/>
    <w:rPr>
      <w:color w:val="0000FF"/>
      <w:u w:val="single"/>
    </w:rPr>
  </w:style>
  <w:style w:type="character" w:styleId="52">
    <w:name w:val="annotation reference"/>
    <w:qFormat/>
    <w:uiPriority w:val="0"/>
    <w:rPr>
      <w:sz w:val="21"/>
      <w:szCs w:val="21"/>
    </w:rPr>
  </w:style>
  <w:style w:type="character" w:styleId="53">
    <w:name w:val="footnote reference"/>
    <w:unhideWhenUsed/>
    <w:qFormat/>
    <w:uiPriority w:val="0"/>
    <w:rPr>
      <w:vertAlign w:val="superscript"/>
    </w:rPr>
  </w:style>
  <w:style w:type="character" w:customStyle="1" w:styleId="54">
    <w:name w:val="标题 1 Char"/>
    <w:link w:val="2"/>
    <w:qFormat/>
    <w:uiPriority w:val="0"/>
    <w:rPr>
      <w:b/>
      <w:bCs/>
      <w:kern w:val="44"/>
      <w:sz w:val="44"/>
      <w:szCs w:val="44"/>
    </w:rPr>
  </w:style>
  <w:style w:type="character" w:customStyle="1" w:styleId="55">
    <w:name w:val="标题 2 Char1"/>
    <w:link w:val="3"/>
    <w:qFormat/>
    <w:uiPriority w:val="9"/>
    <w:rPr>
      <w:rFonts w:ascii="Cambria" w:hAnsi="Cambria" w:eastAsia="宋体" w:cs="Times New Roman"/>
      <w:b/>
      <w:bCs/>
      <w:kern w:val="2"/>
      <w:sz w:val="32"/>
      <w:szCs w:val="32"/>
    </w:rPr>
  </w:style>
  <w:style w:type="character" w:customStyle="1" w:styleId="56">
    <w:name w:val="标题 3 Char"/>
    <w:link w:val="4"/>
    <w:qFormat/>
    <w:uiPriority w:val="0"/>
    <w:rPr>
      <w:b/>
      <w:bCs/>
      <w:kern w:val="2"/>
      <w:sz w:val="32"/>
      <w:szCs w:val="32"/>
    </w:rPr>
  </w:style>
  <w:style w:type="character" w:customStyle="1" w:styleId="57">
    <w:name w:val="标题 4 Char"/>
    <w:link w:val="5"/>
    <w:qFormat/>
    <w:uiPriority w:val="9"/>
    <w:rPr>
      <w:rFonts w:ascii="Arial" w:hAnsi="Arial"/>
      <w:b/>
      <w:bCs/>
      <w:kern w:val="2"/>
      <w:sz w:val="28"/>
      <w:szCs w:val="28"/>
    </w:rPr>
  </w:style>
  <w:style w:type="character" w:customStyle="1" w:styleId="58">
    <w:name w:val="标题 5 Char"/>
    <w:link w:val="6"/>
    <w:qFormat/>
    <w:uiPriority w:val="99"/>
    <w:rPr>
      <w:rFonts w:ascii="Times New Roman" w:hAnsi="Times New Roman"/>
      <w:b/>
      <w:bCs/>
      <w:kern w:val="2"/>
      <w:sz w:val="28"/>
      <w:szCs w:val="28"/>
    </w:rPr>
  </w:style>
  <w:style w:type="character" w:customStyle="1" w:styleId="59">
    <w:name w:val="正文缩进 Char"/>
    <w:link w:val="7"/>
    <w:qFormat/>
    <w:uiPriority w:val="99"/>
    <w:rPr>
      <w:kern w:val="2"/>
      <w:sz w:val="21"/>
    </w:rPr>
  </w:style>
  <w:style w:type="character" w:customStyle="1" w:styleId="60">
    <w:name w:val="标题 6 Char"/>
    <w:link w:val="8"/>
    <w:qFormat/>
    <w:uiPriority w:val="9"/>
    <w:rPr>
      <w:rFonts w:ascii="Cambria" w:hAnsi="Cambria"/>
      <w:b/>
      <w:bCs/>
      <w:sz w:val="24"/>
      <w:szCs w:val="24"/>
    </w:rPr>
  </w:style>
  <w:style w:type="character" w:customStyle="1" w:styleId="61">
    <w:name w:val="标题 7 Char"/>
    <w:link w:val="9"/>
    <w:qFormat/>
    <w:uiPriority w:val="0"/>
    <w:rPr>
      <w:b/>
      <w:bCs/>
      <w:sz w:val="24"/>
      <w:szCs w:val="24"/>
    </w:rPr>
  </w:style>
  <w:style w:type="character" w:customStyle="1" w:styleId="62">
    <w:name w:val="标题 8 Char1"/>
    <w:link w:val="10"/>
    <w:semiHidden/>
    <w:qFormat/>
    <w:uiPriority w:val="9"/>
    <w:rPr>
      <w:rFonts w:ascii="等线 Light" w:hAnsi="等线 Light" w:eastAsia="等线 Light" w:cs="Times New Roman"/>
      <w:kern w:val="2"/>
      <w:sz w:val="24"/>
      <w:szCs w:val="24"/>
    </w:rPr>
  </w:style>
  <w:style w:type="character" w:customStyle="1" w:styleId="63">
    <w:name w:val="标题 9 Char"/>
    <w:link w:val="11"/>
    <w:qFormat/>
    <w:uiPriority w:val="0"/>
    <w:rPr>
      <w:rFonts w:ascii="Cambria" w:hAnsi="Cambria"/>
      <w:szCs w:val="21"/>
    </w:rPr>
  </w:style>
  <w:style w:type="character" w:customStyle="1" w:styleId="64">
    <w:name w:val="文档结构图 Char"/>
    <w:link w:val="16"/>
    <w:qFormat/>
    <w:uiPriority w:val="0"/>
    <w:rPr>
      <w:kern w:val="2"/>
      <w:sz w:val="24"/>
      <w:szCs w:val="24"/>
      <w:shd w:val="clear" w:color="auto" w:fill="000080"/>
    </w:rPr>
  </w:style>
  <w:style w:type="character" w:customStyle="1" w:styleId="65">
    <w:name w:val="批注文字 Char1"/>
    <w:link w:val="17"/>
    <w:qFormat/>
    <w:uiPriority w:val="99"/>
    <w:rPr>
      <w:rFonts w:ascii="Times New Roman" w:hAnsi="Times New Roman"/>
      <w:kern w:val="2"/>
      <w:sz w:val="21"/>
      <w:szCs w:val="24"/>
    </w:rPr>
  </w:style>
  <w:style w:type="character" w:customStyle="1" w:styleId="66">
    <w:name w:val="正文文本 3 Char"/>
    <w:link w:val="18"/>
    <w:semiHidden/>
    <w:qFormat/>
    <w:uiPriority w:val="99"/>
    <w:rPr>
      <w:kern w:val="2"/>
      <w:sz w:val="16"/>
      <w:szCs w:val="16"/>
    </w:rPr>
  </w:style>
  <w:style w:type="character" w:customStyle="1" w:styleId="67">
    <w:name w:val="正文文本 Char1"/>
    <w:link w:val="19"/>
    <w:qFormat/>
    <w:uiPriority w:val="99"/>
    <w:rPr>
      <w:rFonts w:ascii="Times New Roman" w:hAnsi="Times New Roman"/>
      <w:kern w:val="2"/>
      <w:sz w:val="21"/>
      <w:szCs w:val="24"/>
    </w:rPr>
  </w:style>
  <w:style w:type="character" w:customStyle="1" w:styleId="68">
    <w:name w:val="正文文本缩进 Char"/>
    <w:link w:val="20"/>
    <w:qFormat/>
    <w:uiPriority w:val="99"/>
    <w:rPr>
      <w:rFonts w:ascii="仿宋_GB2312" w:hAnsi="Times New Roman" w:eastAsia="仿宋_GB2312" w:cs="Times New Roman"/>
      <w:sz w:val="32"/>
      <w:szCs w:val="20"/>
    </w:rPr>
  </w:style>
  <w:style w:type="character" w:customStyle="1" w:styleId="69">
    <w:name w:val="纯文本 Char1"/>
    <w:link w:val="25"/>
    <w:qFormat/>
    <w:uiPriority w:val="99"/>
    <w:rPr>
      <w:rFonts w:ascii="宋体" w:hAnsi="Courier New" w:eastAsia="宋体" w:cs="Courier New"/>
      <w:szCs w:val="21"/>
    </w:rPr>
  </w:style>
  <w:style w:type="character" w:customStyle="1" w:styleId="70">
    <w:name w:val="日期 Char"/>
    <w:link w:val="27"/>
    <w:qFormat/>
    <w:uiPriority w:val="99"/>
    <w:rPr>
      <w:rFonts w:ascii="Times New Roman" w:hAnsi="Times New Roman"/>
      <w:kern w:val="2"/>
      <w:sz w:val="21"/>
      <w:szCs w:val="24"/>
    </w:rPr>
  </w:style>
  <w:style w:type="character" w:customStyle="1" w:styleId="71">
    <w:name w:val="正文文本缩进 2 Char"/>
    <w:link w:val="28"/>
    <w:qFormat/>
    <w:uiPriority w:val="99"/>
    <w:rPr>
      <w:kern w:val="2"/>
      <w:sz w:val="24"/>
      <w:szCs w:val="24"/>
    </w:rPr>
  </w:style>
  <w:style w:type="character" w:customStyle="1" w:styleId="72">
    <w:name w:val="批注框文本 Char"/>
    <w:link w:val="29"/>
    <w:qFormat/>
    <w:locked/>
    <w:uiPriority w:val="0"/>
    <w:rPr>
      <w:kern w:val="2"/>
      <w:sz w:val="18"/>
      <w:szCs w:val="18"/>
    </w:rPr>
  </w:style>
  <w:style w:type="character" w:customStyle="1" w:styleId="73">
    <w:name w:val="页脚 Char"/>
    <w:link w:val="30"/>
    <w:qFormat/>
    <w:uiPriority w:val="99"/>
    <w:rPr>
      <w:sz w:val="18"/>
      <w:szCs w:val="18"/>
    </w:rPr>
  </w:style>
  <w:style w:type="character" w:customStyle="1" w:styleId="74">
    <w:name w:val="页眉 Char"/>
    <w:link w:val="31"/>
    <w:qFormat/>
    <w:uiPriority w:val="0"/>
    <w:rPr>
      <w:sz w:val="18"/>
      <w:szCs w:val="18"/>
    </w:rPr>
  </w:style>
  <w:style w:type="character" w:customStyle="1" w:styleId="75">
    <w:name w:val="副标题 Char"/>
    <w:link w:val="34"/>
    <w:qFormat/>
    <w:uiPriority w:val="11"/>
    <w:rPr>
      <w:rFonts w:ascii="Cambria" w:hAnsi="Cambria"/>
      <w:b/>
      <w:bCs/>
      <w:kern w:val="28"/>
      <w:sz w:val="32"/>
      <w:szCs w:val="32"/>
    </w:rPr>
  </w:style>
  <w:style w:type="character" w:customStyle="1" w:styleId="76">
    <w:name w:val="脚注文本 Char"/>
    <w:link w:val="35"/>
    <w:semiHidden/>
    <w:qFormat/>
    <w:uiPriority w:val="0"/>
    <w:rPr>
      <w:sz w:val="18"/>
      <w:szCs w:val="18"/>
    </w:rPr>
  </w:style>
  <w:style w:type="character" w:customStyle="1" w:styleId="77">
    <w:name w:val="HTML 预设格式 Char"/>
    <w:link w:val="39"/>
    <w:qFormat/>
    <w:uiPriority w:val="99"/>
    <w:rPr>
      <w:rFonts w:ascii="宋体" w:hAnsi="宋体"/>
      <w:sz w:val="24"/>
      <w:szCs w:val="24"/>
    </w:rPr>
  </w:style>
  <w:style w:type="character" w:customStyle="1" w:styleId="78">
    <w:name w:val="标题 Char"/>
    <w:link w:val="41"/>
    <w:qFormat/>
    <w:uiPriority w:val="0"/>
    <w:rPr>
      <w:rFonts w:ascii="Cambria" w:hAnsi="Cambria"/>
      <w:b/>
      <w:bCs/>
      <w:kern w:val="2"/>
      <w:sz w:val="32"/>
      <w:szCs w:val="32"/>
    </w:rPr>
  </w:style>
  <w:style w:type="character" w:customStyle="1" w:styleId="79">
    <w:name w:val="批注主题 Char"/>
    <w:link w:val="42"/>
    <w:qFormat/>
    <w:uiPriority w:val="0"/>
    <w:rPr>
      <w:rFonts w:ascii="Times New Roman" w:hAnsi="Times New Roman"/>
      <w:b/>
      <w:bCs/>
      <w:kern w:val="2"/>
      <w:sz w:val="21"/>
      <w:szCs w:val="24"/>
    </w:rPr>
  </w:style>
  <w:style w:type="character" w:customStyle="1" w:styleId="80">
    <w:name w:val="标题 1 字符1"/>
    <w:qFormat/>
    <w:uiPriority w:val="0"/>
    <w:rPr>
      <w:b/>
      <w:bCs/>
      <w:kern w:val="44"/>
      <w:sz w:val="44"/>
      <w:szCs w:val="44"/>
    </w:rPr>
  </w:style>
  <w:style w:type="character" w:customStyle="1" w:styleId="81">
    <w:name w:val="textcontents"/>
    <w:qFormat/>
    <w:uiPriority w:val="99"/>
  </w:style>
  <w:style w:type="character" w:customStyle="1" w:styleId="82">
    <w:name w:val="批注文字 Char"/>
    <w:qFormat/>
    <w:uiPriority w:val="0"/>
    <w:rPr>
      <w:rFonts w:ascii="Times New Roman" w:hAnsi="Times New Roman"/>
      <w:kern w:val="2"/>
      <w:sz w:val="21"/>
      <w:szCs w:val="24"/>
    </w:rPr>
  </w:style>
  <w:style w:type="character" w:customStyle="1" w:styleId="83">
    <w:name w:val="纯文本 字符"/>
    <w:qFormat/>
    <w:uiPriority w:val="0"/>
    <w:rPr>
      <w:rFonts w:ascii="宋体" w:hAnsi="Courier New" w:eastAsia="宋体" w:cs="Courier New"/>
      <w:szCs w:val="21"/>
    </w:rPr>
  </w:style>
  <w:style w:type="character" w:customStyle="1" w:styleId="84">
    <w:name w:val="纯文本 Char"/>
    <w:qFormat/>
    <w:uiPriority w:val="0"/>
    <w:rPr>
      <w:rFonts w:ascii="宋体" w:hAnsi="Courier New" w:eastAsia="宋体" w:cs="Courier New"/>
      <w:szCs w:val="21"/>
    </w:rPr>
  </w:style>
  <w:style w:type="character" w:customStyle="1" w:styleId="85">
    <w:name w:val="纯文本 字符2"/>
    <w:qFormat/>
    <w:uiPriority w:val="0"/>
    <w:rPr>
      <w:rFonts w:ascii="宋体" w:hAnsi="Courier New" w:eastAsia="宋体" w:cs="Courier New"/>
      <w:szCs w:val="21"/>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纯文本 字符1"/>
    <w:qFormat/>
    <w:uiPriority w:val="0"/>
    <w:rPr>
      <w:rFonts w:ascii="宋体" w:hAnsi="Courier New"/>
    </w:rPr>
  </w:style>
  <w:style w:type="character" w:customStyle="1" w:styleId="89">
    <w:name w:val="正文文本 Char"/>
    <w:qFormat/>
    <w:uiPriority w:val="0"/>
    <w:rPr>
      <w:rFonts w:ascii="Times New Roman" w:hAnsi="Times New Roman"/>
      <w:kern w:val="2"/>
      <w:sz w:val="21"/>
      <w:szCs w:val="24"/>
    </w:rPr>
  </w:style>
  <w:style w:type="character" w:customStyle="1" w:styleId="90">
    <w:name w:val="批注文字 字符"/>
    <w:qFormat/>
    <w:uiPriority w:val="0"/>
    <w:rPr>
      <w:rFonts w:ascii="Times New Roman" w:hAnsi="Times New Roman"/>
      <w:kern w:val="2"/>
      <w:sz w:val="21"/>
      <w:szCs w:val="24"/>
    </w:rPr>
  </w:style>
  <w:style w:type="character" w:customStyle="1" w:styleId="91">
    <w:name w:val="标题 2 Char"/>
    <w:qFormat/>
    <w:uiPriority w:val="0"/>
    <w:rPr>
      <w:rFonts w:ascii="Cambria" w:hAnsi="Cambria" w:eastAsia="宋体" w:cs="Times New Roman"/>
      <w:b/>
      <w:bCs/>
      <w:kern w:val="2"/>
      <w:sz w:val="32"/>
      <w:szCs w:val="32"/>
    </w:rPr>
  </w:style>
  <w:style w:type="character" w:customStyle="1" w:styleId="92">
    <w:name w:val="标题 8 Char"/>
    <w:qFormat/>
    <w:uiPriority w:val="9"/>
    <w:rPr>
      <w:rFonts w:ascii="Arial" w:hAnsi="Arial" w:eastAsia="黑体"/>
      <w:kern w:val="2"/>
      <w:sz w:val="24"/>
      <w:szCs w:val="24"/>
    </w:rPr>
  </w:style>
  <w:style w:type="character" w:customStyle="1" w:styleId="93">
    <w:name w:val="apple-style-span"/>
    <w:qFormat/>
    <w:uiPriority w:val="0"/>
  </w:style>
  <w:style w:type="paragraph" w:customStyle="1" w:styleId="94">
    <w:name w:val="默认段落字体 Para Char Char Char Char Char Char Char Char Char1 Char Char Char Char"/>
    <w:basedOn w:val="1"/>
    <w:qFormat/>
    <w:uiPriority w:val="0"/>
    <w:rPr>
      <w:rFonts w:ascii="Tahoma" w:hAnsi="Tahoma"/>
      <w:sz w:val="24"/>
      <w:szCs w:val="20"/>
    </w:rPr>
  </w:style>
  <w:style w:type="paragraph" w:customStyle="1" w:styleId="9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96">
    <w:name w:val="List Paragraph"/>
    <w:basedOn w:val="1"/>
    <w:qFormat/>
    <w:uiPriority w:val="99"/>
    <w:pPr>
      <w:ind w:firstLine="420" w:firstLineChars="200"/>
    </w:pPr>
  </w:style>
  <w:style w:type="paragraph" w:customStyle="1" w:styleId="97">
    <w:name w:val="Table Paragraph"/>
    <w:basedOn w:val="1"/>
    <w:qFormat/>
    <w:uiPriority w:val="1"/>
    <w:pPr>
      <w:jc w:val="left"/>
    </w:pPr>
    <w:rPr>
      <w:rFonts w:ascii="Calibri" w:hAnsi="Calibri"/>
      <w:kern w:val="0"/>
      <w:sz w:val="22"/>
      <w:szCs w:val="22"/>
      <w:lang w:eastAsia="en-US"/>
    </w:rPr>
  </w:style>
  <w:style w:type="character" w:customStyle="1" w:styleId="98">
    <w:name w:val="正文文本 字符"/>
    <w:qFormat/>
    <w:uiPriority w:val="0"/>
    <w:rPr>
      <w:rFonts w:ascii="Times New Roman" w:hAnsi="Times New Roman"/>
      <w:kern w:val="2"/>
      <w:sz w:val="21"/>
      <w:szCs w:val="24"/>
    </w:rPr>
  </w:style>
  <w:style w:type="character" w:customStyle="1" w:styleId="99">
    <w:name w:val="批注文字 Char2"/>
    <w:qFormat/>
    <w:uiPriority w:val="0"/>
    <w:rPr>
      <w:rFonts w:ascii="Times New Roman" w:hAnsi="Times New Roman"/>
      <w:kern w:val="2"/>
      <w:sz w:val="21"/>
      <w:szCs w:val="24"/>
    </w:rPr>
  </w:style>
  <w:style w:type="character" w:customStyle="1" w:styleId="100">
    <w:name w:val="正文2 Char Char"/>
    <w:link w:val="101"/>
    <w:qFormat/>
    <w:uiPriority w:val="0"/>
    <w:rPr>
      <w:kern w:val="2"/>
      <w:sz w:val="24"/>
    </w:rPr>
  </w:style>
  <w:style w:type="paragraph" w:customStyle="1" w:styleId="101">
    <w:name w:val="正文2"/>
    <w:basedOn w:val="1"/>
    <w:link w:val="100"/>
    <w:qFormat/>
    <w:uiPriority w:val="0"/>
    <w:pPr>
      <w:adjustRightInd w:val="0"/>
      <w:spacing w:before="156" w:line="360" w:lineRule="auto"/>
      <w:ind w:firstLine="510" w:firstLineChars="200"/>
    </w:pPr>
    <w:rPr>
      <w:sz w:val="24"/>
      <w:szCs w:val="20"/>
    </w:rPr>
  </w:style>
  <w:style w:type="character" w:customStyle="1" w:styleId="102">
    <w:name w:val="批注文字 Char Char"/>
    <w:qFormat/>
    <w:uiPriority w:val="99"/>
    <w:rPr>
      <w:rFonts w:ascii="宋体" w:hAnsi="Times New Roman" w:eastAsia="宋体" w:cs="宋体"/>
      <w:sz w:val="20"/>
      <w:szCs w:val="20"/>
    </w:rPr>
  </w:style>
  <w:style w:type="character" w:customStyle="1" w:styleId="103">
    <w:name w:val="Heading 3 Char"/>
    <w:qFormat/>
    <w:uiPriority w:val="99"/>
    <w:rPr>
      <w:b/>
      <w:bCs/>
      <w:kern w:val="2"/>
      <w:sz w:val="32"/>
      <w:szCs w:val="32"/>
    </w:rPr>
  </w:style>
  <w:style w:type="character" w:customStyle="1" w:styleId="104">
    <w:name w:val="Heading 2 Char"/>
    <w:qFormat/>
    <w:uiPriority w:val="99"/>
    <w:rPr>
      <w:rFonts w:ascii="Arial" w:hAnsi="Arial" w:eastAsia="黑体" w:cs="Arial"/>
      <w:b/>
      <w:bCs/>
      <w:kern w:val="2"/>
      <w:sz w:val="32"/>
      <w:szCs w:val="32"/>
      <w:lang w:val="en-US" w:eastAsia="zh-CN"/>
    </w:rPr>
  </w:style>
  <w:style w:type="character" w:customStyle="1" w:styleId="105">
    <w:name w:val="Balloon Text Char"/>
    <w:qFormat/>
    <w:uiPriority w:val="99"/>
    <w:rPr>
      <w:sz w:val="18"/>
      <w:szCs w:val="18"/>
    </w:rPr>
  </w:style>
  <w:style w:type="character" w:customStyle="1" w:styleId="106">
    <w:name w:val="文档结构图 Char1"/>
    <w:qFormat/>
    <w:uiPriority w:val="99"/>
    <w:rPr>
      <w:rFonts w:ascii="宋体" w:hAnsi="Times New Roman" w:eastAsia="宋体" w:cs="宋体"/>
      <w:sz w:val="18"/>
      <w:szCs w:val="18"/>
    </w:rPr>
  </w:style>
  <w:style w:type="character" w:customStyle="1" w:styleId="107">
    <w:name w:val="Footnote Text Char"/>
    <w:qFormat/>
    <w:uiPriority w:val="99"/>
    <w:rPr>
      <w:rFonts w:eastAsia="宋体"/>
      <w:sz w:val="18"/>
      <w:szCs w:val="18"/>
      <w:lang w:val="en-US" w:eastAsia="zh-CN"/>
    </w:rPr>
  </w:style>
  <w:style w:type="character" w:customStyle="1" w:styleId="108">
    <w:name w:val="Char Char21"/>
    <w:qFormat/>
    <w:uiPriority w:val="99"/>
    <w:rPr>
      <w:rFonts w:ascii="Arial" w:hAnsi="Arial" w:eastAsia="黑体" w:cs="Arial"/>
      <w:b/>
      <w:bCs/>
      <w:sz w:val="32"/>
      <w:szCs w:val="32"/>
    </w:rPr>
  </w:style>
  <w:style w:type="character" w:customStyle="1" w:styleId="109">
    <w:name w:val="Body Text Indent Char"/>
    <w:qFormat/>
    <w:uiPriority w:val="99"/>
    <w:rPr>
      <w:rFonts w:ascii="宋体" w:hAnsi="宋体" w:eastAsia="宋体" w:cs="宋体"/>
      <w:kern w:val="2"/>
      <w:sz w:val="21"/>
      <w:szCs w:val="21"/>
      <w:lang w:val="en-US" w:eastAsia="zh-CN"/>
    </w:rPr>
  </w:style>
  <w:style w:type="character" w:customStyle="1" w:styleId="110">
    <w:name w:val="不明显参考1"/>
    <w:qFormat/>
    <w:uiPriority w:val="99"/>
    <w:rPr>
      <w:smallCaps/>
      <w:color w:val="auto"/>
      <w:u w:val="single"/>
    </w:rPr>
  </w:style>
  <w:style w:type="character" w:customStyle="1" w:styleId="111">
    <w:name w:val="Heading 4 Char"/>
    <w:qFormat/>
    <w:uiPriority w:val="99"/>
    <w:rPr>
      <w:rFonts w:ascii="Arial" w:hAnsi="Arial" w:eastAsia="宋体" w:cs="Arial"/>
      <w:b/>
      <w:bCs/>
      <w:kern w:val="2"/>
      <w:sz w:val="28"/>
      <w:szCs w:val="28"/>
      <w:lang w:val="en-US" w:eastAsia="zh-CN"/>
    </w:rPr>
  </w:style>
  <w:style w:type="character" w:customStyle="1" w:styleId="112">
    <w:name w:val="Char Char20"/>
    <w:qFormat/>
    <w:uiPriority w:val="99"/>
    <w:rPr>
      <w:rFonts w:ascii="Times New Roman" w:hAnsi="Times New Roman" w:eastAsia="宋体" w:cs="Times New Roman"/>
      <w:b/>
      <w:bCs/>
      <w:sz w:val="32"/>
      <w:szCs w:val="32"/>
    </w:rPr>
  </w:style>
  <w:style w:type="character" w:customStyle="1" w:styleId="113">
    <w:name w:val="Comment Subject Char"/>
    <w:qFormat/>
    <w:uiPriority w:val="99"/>
    <w:rPr>
      <w:b/>
      <w:bCs/>
      <w:sz w:val="24"/>
      <w:szCs w:val="24"/>
    </w:rPr>
  </w:style>
  <w:style w:type="character" w:customStyle="1" w:styleId="114">
    <w:name w:val="Heading 1 Char"/>
    <w:qFormat/>
    <w:uiPriority w:val="99"/>
    <w:rPr>
      <w:rFonts w:eastAsia="宋体"/>
      <w:b/>
      <w:bCs/>
      <w:kern w:val="44"/>
      <w:sz w:val="44"/>
      <w:szCs w:val="44"/>
      <w:lang w:val="en-US" w:eastAsia="zh-CN"/>
    </w:rPr>
  </w:style>
  <w:style w:type="character" w:customStyle="1" w:styleId="115">
    <w:name w:val="批注框文本 Char1"/>
    <w:qFormat/>
    <w:uiPriority w:val="99"/>
    <w:rPr>
      <w:rFonts w:ascii="Times New Roman" w:hAnsi="Times New Roman" w:eastAsia="宋体" w:cs="Times New Roman"/>
      <w:sz w:val="18"/>
      <w:szCs w:val="18"/>
    </w:rPr>
  </w:style>
  <w:style w:type="character" w:customStyle="1" w:styleId="116">
    <w:name w:val="Char Char6"/>
    <w:qFormat/>
    <w:uiPriority w:val="99"/>
    <w:rPr>
      <w:rFonts w:eastAsia="宋体"/>
      <w:b/>
      <w:bCs/>
      <w:kern w:val="44"/>
      <w:sz w:val="44"/>
      <w:szCs w:val="44"/>
      <w:lang w:val="en-US" w:eastAsia="zh-CN"/>
    </w:rPr>
  </w:style>
  <w:style w:type="character" w:customStyle="1" w:styleId="117">
    <w:name w:val="Char Char18"/>
    <w:qFormat/>
    <w:uiPriority w:val="99"/>
    <w:rPr>
      <w:rFonts w:ascii="Times New Roman" w:hAnsi="Times New Roman" w:eastAsia="宋体" w:cs="Times New Roman"/>
      <w:b/>
      <w:bCs/>
      <w:sz w:val="28"/>
      <w:szCs w:val="28"/>
    </w:rPr>
  </w:style>
  <w:style w:type="character" w:customStyle="1" w:styleId="118">
    <w:name w:val="Body Text Indent 2 Char"/>
    <w:qFormat/>
    <w:uiPriority w:val="99"/>
    <w:rPr>
      <w:rFonts w:eastAsia="宋体"/>
      <w:kern w:val="2"/>
      <w:sz w:val="24"/>
      <w:szCs w:val="24"/>
      <w:lang w:val="en-US" w:eastAsia="zh-CN"/>
    </w:rPr>
  </w:style>
  <w:style w:type="character" w:customStyle="1" w:styleId="119">
    <w:name w:val="Comment Text Char1"/>
    <w:qFormat/>
    <w:uiPriority w:val="99"/>
    <w:rPr>
      <w:sz w:val="24"/>
      <w:szCs w:val="24"/>
    </w:rPr>
  </w:style>
  <w:style w:type="character" w:customStyle="1" w:styleId="120">
    <w:name w:val="标题5 Char Char"/>
    <w:link w:val="121"/>
    <w:qFormat/>
    <w:locked/>
    <w:uiPriority w:val="99"/>
    <w:rPr>
      <w:rFonts w:ascii="Arial" w:hAnsi="Arial" w:cs="Arial"/>
      <w:b/>
      <w:bCs/>
      <w:sz w:val="32"/>
      <w:szCs w:val="32"/>
    </w:rPr>
  </w:style>
  <w:style w:type="paragraph" w:customStyle="1" w:styleId="121">
    <w:name w:val="标题5"/>
    <w:basedOn w:val="4"/>
    <w:link w:val="120"/>
    <w:qFormat/>
    <w:uiPriority w:val="99"/>
    <w:pPr>
      <w:spacing w:line="413" w:lineRule="auto"/>
    </w:pPr>
    <w:rPr>
      <w:rFonts w:ascii="Arial" w:hAnsi="Arial"/>
      <w:kern w:val="0"/>
    </w:rPr>
  </w:style>
  <w:style w:type="character" w:customStyle="1" w:styleId="122">
    <w:name w:val="批注主题 Char1"/>
    <w:qFormat/>
    <w:uiPriority w:val="99"/>
    <w:rPr>
      <w:rFonts w:ascii="Times New Roman" w:hAnsi="Times New Roman" w:eastAsia="宋体" w:cs="Times New Roman"/>
      <w:b/>
      <w:bCs/>
      <w:sz w:val="24"/>
      <w:szCs w:val="24"/>
    </w:rPr>
  </w:style>
  <w:style w:type="character" w:customStyle="1" w:styleId="123">
    <w:name w:val="Char Char24"/>
    <w:qFormat/>
    <w:uiPriority w:val="99"/>
    <w:rPr>
      <w:rFonts w:eastAsia="宋体"/>
      <w:b/>
      <w:bCs/>
      <w:kern w:val="44"/>
      <w:sz w:val="44"/>
      <w:szCs w:val="44"/>
      <w:lang w:val="en-US" w:eastAsia="zh-CN"/>
    </w:rPr>
  </w:style>
  <w:style w:type="character" w:customStyle="1" w:styleId="124">
    <w:name w:val="Footer Char"/>
    <w:qFormat/>
    <w:uiPriority w:val="99"/>
    <w:rPr>
      <w:rFonts w:eastAsia="宋体"/>
      <w:kern w:val="2"/>
      <w:sz w:val="18"/>
      <w:szCs w:val="18"/>
      <w:lang w:val="en-US" w:eastAsia="zh-CN"/>
    </w:rPr>
  </w:style>
  <w:style w:type="character" w:customStyle="1" w:styleId="125">
    <w:name w:val="Char Char9"/>
    <w:qFormat/>
    <w:uiPriority w:val="99"/>
    <w:rPr>
      <w:rFonts w:eastAsia="宋体"/>
      <w:b/>
      <w:bCs/>
      <w:kern w:val="44"/>
      <w:sz w:val="44"/>
      <w:szCs w:val="44"/>
      <w:lang w:val="en-US" w:eastAsia="zh-CN"/>
    </w:rPr>
  </w:style>
  <w:style w:type="character" w:customStyle="1" w:styleId="126">
    <w:name w:val="Heading 3 Char1"/>
    <w:qFormat/>
    <w:uiPriority w:val="99"/>
    <w:rPr>
      <w:rFonts w:eastAsia="宋体"/>
      <w:b/>
      <w:bCs/>
      <w:kern w:val="2"/>
      <w:sz w:val="32"/>
      <w:szCs w:val="32"/>
      <w:lang w:val="en-US" w:eastAsia="zh-CN"/>
    </w:rPr>
  </w:style>
  <w:style w:type="character" w:customStyle="1" w:styleId="127">
    <w:name w:val="Document Map Char"/>
    <w:qFormat/>
    <w:uiPriority w:val="99"/>
    <w:rPr>
      <w:rFonts w:eastAsia="宋体"/>
      <w:kern w:val="2"/>
      <w:sz w:val="24"/>
      <w:szCs w:val="24"/>
      <w:lang w:val="en-US" w:eastAsia="zh-CN"/>
    </w:rPr>
  </w:style>
  <w:style w:type="character" w:customStyle="1" w:styleId="128">
    <w:name w:val="标题 Char1"/>
    <w:qFormat/>
    <w:uiPriority w:val="99"/>
    <w:rPr>
      <w:rFonts w:ascii="Cambria" w:hAnsi="Cambria" w:eastAsia="宋体" w:cs="Cambria"/>
      <w:b/>
      <w:bCs/>
      <w:sz w:val="32"/>
      <w:szCs w:val="32"/>
    </w:rPr>
  </w:style>
  <w:style w:type="character" w:customStyle="1" w:styleId="129">
    <w:name w:val="Char Char22"/>
    <w:qFormat/>
    <w:uiPriority w:val="99"/>
    <w:rPr>
      <w:rFonts w:ascii="Times New Roman" w:hAnsi="Times New Roman" w:eastAsia="宋体" w:cs="Times New Roman"/>
      <w:b/>
      <w:bCs/>
      <w:kern w:val="44"/>
      <w:sz w:val="44"/>
      <w:szCs w:val="44"/>
    </w:rPr>
  </w:style>
  <w:style w:type="character" w:customStyle="1" w:styleId="130">
    <w:name w:val="明显引用 Char"/>
    <w:link w:val="131"/>
    <w:qFormat/>
    <w:locked/>
    <w:uiPriority w:val="99"/>
    <w:rPr>
      <w:b/>
      <w:bCs/>
      <w:i/>
      <w:iCs/>
      <w:color w:val="4F81BD"/>
    </w:rPr>
  </w:style>
  <w:style w:type="paragraph" w:customStyle="1" w:styleId="131">
    <w:name w:val="明显引用1"/>
    <w:basedOn w:val="1"/>
    <w:next w:val="1"/>
    <w:link w:val="13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2">
    <w:name w:val="标题4 Char Char"/>
    <w:link w:val="133"/>
    <w:qFormat/>
    <w:locked/>
    <w:uiPriority w:val="99"/>
    <w:rPr>
      <w:rFonts w:ascii="Arial" w:hAnsi="Arial" w:cs="Arial"/>
      <w:b/>
      <w:bCs/>
      <w:sz w:val="32"/>
      <w:szCs w:val="32"/>
    </w:rPr>
  </w:style>
  <w:style w:type="paragraph" w:customStyle="1" w:styleId="133">
    <w:name w:val="标题4"/>
    <w:basedOn w:val="3"/>
    <w:next w:val="22"/>
    <w:link w:val="132"/>
    <w:qFormat/>
    <w:uiPriority w:val="99"/>
    <w:pPr>
      <w:spacing w:before="60" w:after="60" w:line="413" w:lineRule="auto"/>
    </w:pPr>
    <w:rPr>
      <w:rFonts w:ascii="Arial" w:hAnsi="Arial"/>
      <w:kern w:val="0"/>
    </w:rPr>
  </w:style>
  <w:style w:type="character" w:customStyle="1" w:styleId="134">
    <w:name w:val="Header Char"/>
    <w:qFormat/>
    <w:uiPriority w:val="99"/>
    <w:rPr>
      <w:rFonts w:eastAsia="宋体"/>
      <w:kern w:val="2"/>
      <w:sz w:val="18"/>
      <w:szCs w:val="18"/>
      <w:lang w:val="en-US" w:eastAsia="zh-CN"/>
    </w:rPr>
  </w:style>
  <w:style w:type="character" w:customStyle="1" w:styleId="135">
    <w:name w:val="明显引用 Char1"/>
    <w:qFormat/>
    <w:uiPriority w:val="99"/>
    <w:rPr>
      <w:rFonts w:ascii="Times New Roman" w:hAnsi="Times New Roman" w:eastAsia="宋体" w:cs="Times New Roman"/>
      <w:b/>
      <w:bCs/>
      <w:i/>
      <w:iCs/>
      <w:color w:val="4F81BD"/>
      <w:sz w:val="24"/>
      <w:szCs w:val="24"/>
    </w:rPr>
  </w:style>
  <w:style w:type="character" w:customStyle="1" w:styleId="136">
    <w:name w:val="Comment Text Char"/>
    <w:qFormat/>
    <w:uiPriority w:val="99"/>
    <w:rPr>
      <w:sz w:val="24"/>
      <w:szCs w:val="24"/>
    </w:rPr>
  </w:style>
  <w:style w:type="character" w:customStyle="1" w:styleId="137">
    <w:name w:val="明显参考1"/>
    <w:qFormat/>
    <w:uiPriority w:val="99"/>
    <w:rPr>
      <w:b/>
      <w:bCs/>
      <w:smallCaps/>
      <w:color w:val="auto"/>
      <w:spacing w:val="5"/>
      <w:u w:val="single"/>
    </w:rPr>
  </w:style>
  <w:style w:type="character" w:customStyle="1" w:styleId="138">
    <w:name w:val="明显强调1"/>
    <w:qFormat/>
    <w:uiPriority w:val="99"/>
    <w:rPr>
      <w:b/>
      <w:bCs/>
      <w:i/>
      <w:iCs/>
      <w:color w:val="4F81BD"/>
    </w:rPr>
  </w:style>
  <w:style w:type="character" w:customStyle="1" w:styleId="139">
    <w:name w:val="引用 Char1"/>
    <w:qFormat/>
    <w:uiPriority w:val="99"/>
    <w:rPr>
      <w:rFonts w:ascii="Times New Roman" w:hAnsi="Times New Roman" w:eastAsia="宋体" w:cs="Times New Roman"/>
      <w:i/>
      <w:iCs/>
      <w:color w:val="000000"/>
      <w:sz w:val="24"/>
      <w:szCs w:val="24"/>
    </w:rPr>
  </w:style>
  <w:style w:type="character" w:customStyle="1" w:styleId="140">
    <w:name w:val="引用 Char"/>
    <w:link w:val="141"/>
    <w:qFormat/>
    <w:locked/>
    <w:uiPriority w:val="99"/>
    <w:rPr>
      <w:i/>
      <w:iCs/>
      <w:color w:val="000000"/>
    </w:rPr>
  </w:style>
  <w:style w:type="paragraph" w:customStyle="1" w:styleId="141">
    <w:name w:val="引用1"/>
    <w:basedOn w:val="1"/>
    <w:next w:val="1"/>
    <w:link w:val="140"/>
    <w:qFormat/>
    <w:uiPriority w:val="99"/>
    <w:rPr>
      <w:i/>
      <w:iCs/>
      <w:color w:val="000000"/>
      <w:kern w:val="0"/>
      <w:sz w:val="20"/>
      <w:szCs w:val="20"/>
    </w:rPr>
  </w:style>
  <w:style w:type="character" w:customStyle="1" w:styleId="142">
    <w:name w:val="标题 Char2"/>
    <w:qFormat/>
    <w:uiPriority w:val="99"/>
    <w:rPr>
      <w:rFonts w:ascii="Cambria" w:hAnsi="Cambria" w:eastAsia="宋体" w:cs="Cambria"/>
      <w:b/>
      <w:bCs/>
      <w:sz w:val="32"/>
      <w:szCs w:val="32"/>
    </w:rPr>
  </w:style>
  <w:style w:type="character" w:customStyle="1" w:styleId="143">
    <w:name w:val="Char Char23"/>
    <w:qFormat/>
    <w:uiPriority w:val="99"/>
    <w:rPr>
      <w:rFonts w:eastAsia="宋体"/>
      <w:b/>
      <w:bCs/>
      <w:kern w:val="44"/>
      <w:sz w:val="44"/>
      <w:szCs w:val="44"/>
      <w:lang w:val="en-US" w:eastAsia="zh-CN"/>
    </w:rPr>
  </w:style>
  <w:style w:type="character" w:customStyle="1" w:styleId="144">
    <w:name w:val="Plain Text Char"/>
    <w:qFormat/>
    <w:uiPriority w:val="99"/>
    <w:rPr>
      <w:rFonts w:ascii="宋体" w:hAnsi="Courier New" w:eastAsia="宋体" w:cs="宋体"/>
      <w:sz w:val="24"/>
      <w:szCs w:val="24"/>
    </w:rPr>
  </w:style>
  <w:style w:type="character" w:customStyle="1" w:styleId="145">
    <w:name w:val="Char Char91"/>
    <w:qFormat/>
    <w:uiPriority w:val="99"/>
    <w:rPr>
      <w:rFonts w:eastAsia="宋体"/>
      <w:b/>
      <w:bCs/>
      <w:kern w:val="44"/>
      <w:sz w:val="44"/>
      <w:szCs w:val="44"/>
      <w:lang w:val="en-US" w:eastAsia="zh-CN"/>
    </w:rPr>
  </w:style>
  <w:style w:type="character" w:customStyle="1" w:styleId="146">
    <w:name w:val="Char Char181"/>
    <w:qFormat/>
    <w:uiPriority w:val="99"/>
    <w:rPr>
      <w:b/>
      <w:bCs/>
      <w:kern w:val="44"/>
      <w:sz w:val="44"/>
      <w:szCs w:val="44"/>
    </w:rPr>
  </w:style>
  <w:style w:type="character" w:customStyle="1" w:styleId="147">
    <w:name w:val="Heading 5 Char"/>
    <w:qFormat/>
    <w:uiPriority w:val="99"/>
    <w:rPr>
      <w:rFonts w:eastAsia="宋体"/>
      <w:b/>
      <w:bCs/>
      <w:kern w:val="2"/>
      <w:sz w:val="28"/>
      <w:szCs w:val="28"/>
      <w:lang w:val="en-US" w:eastAsia="zh-CN"/>
    </w:rPr>
  </w:style>
  <w:style w:type="character" w:customStyle="1" w:styleId="148">
    <w:name w:val="Char Char19"/>
    <w:qFormat/>
    <w:uiPriority w:val="99"/>
    <w:rPr>
      <w:rFonts w:ascii="Arial" w:hAnsi="Arial" w:eastAsia="宋体" w:cs="Arial"/>
      <w:b/>
      <w:bCs/>
      <w:sz w:val="28"/>
      <w:szCs w:val="28"/>
    </w:rPr>
  </w:style>
  <w:style w:type="character" w:customStyle="1" w:styleId="149">
    <w:name w:val="日期 Char1"/>
    <w:qFormat/>
    <w:uiPriority w:val="99"/>
    <w:rPr>
      <w:rFonts w:ascii="Times New Roman" w:hAnsi="Times New Roman" w:eastAsia="宋体" w:cs="Times New Roman"/>
      <w:sz w:val="24"/>
      <w:szCs w:val="24"/>
    </w:rPr>
  </w:style>
  <w:style w:type="character" w:customStyle="1" w:styleId="150">
    <w:name w:val="Date Char"/>
    <w:qFormat/>
    <w:uiPriority w:val="99"/>
    <w:rPr>
      <w:rFonts w:eastAsia="宋体"/>
      <w:kern w:val="2"/>
      <w:sz w:val="24"/>
      <w:szCs w:val="24"/>
      <w:lang w:val="en-US" w:eastAsia="zh-CN"/>
    </w:rPr>
  </w:style>
  <w:style w:type="character" w:customStyle="1" w:styleId="151">
    <w:name w:val="Title Char"/>
    <w:qFormat/>
    <w:uiPriority w:val="99"/>
    <w:rPr>
      <w:rFonts w:ascii="Cambria" w:hAnsi="Cambria" w:cs="Cambria"/>
      <w:b/>
      <w:bCs/>
      <w:sz w:val="32"/>
      <w:szCs w:val="32"/>
    </w:rPr>
  </w:style>
  <w:style w:type="character" w:customStyle="1" w:styleId="152">
    <w:name w:val="书籍标题1"/>
    <w:qFormat/>
    <w:uiPriority w:val="99"/>
    <w:rPr>
      <w:b/>
      <w:bCs/>
      <w:smallCaps/>
      <w:spacing w:val="5"/>
    </w:rPr>
  </w:style>
  <w:style w:type="character" w:customStyle="1" w:styleId="153">
    <w:name w:val="不明显强调1"/>
    <w:qFormat/>
    <w:uiPriority w:val="99"/>
    <w:rPr>
      <w:i/>
      <w:iCs/>
      <w:color w:val="808080"/>
    </w:rPr>
  </w:style>
  <w:style w:type="paragraph" w:customStyle="1" w:styleId="154">
    <w:name w:val="样式1"/>
    <w:basedOn w:val="1"/>
    <w:next w:val="5"/>
    <w:qFormat/>
    <w:uiPriority w:val="99"/>
    <w:pPr>
      <w:spacing w:line="360" w:lineRule="auto"/>
      <w:ind w:firstLine="420" w:firstLineChars="200"/>
    </w:pPr>
    <w:rPr>
      <w:rFonts w:ascii="宋体" w:hAnsi="宋体" w:cs="宋体"/>
      <w:szCs w:val="21"/>
    </w:rPr>
  </w:style>
  <w:style w:type="paragraph" w:customStyle="1" w:styleId="155">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56">
    <w:name w:val="Char Char Char Char Char Char Char"/>
    <w:basedOn w:val="1"/>
    <w:qFormat/>
    <w:uiPriority w:val="99"/>
    <w:pPr>
      <w:widowControl/>
      <w:spacing w:after="160" w:line="240" w:lineRule="exact"/>
      <w:jc w:val="left"/>
    </w:pPr>
    <w:rPr>
      <w:szCs w:val="21"/>
    </w:rPr>
  </w:style>
  <w:style w:type="paragraph" w:customStyle="1" w:styleId="15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TOC 标题1"/>
    <w:basedOn w:val="2"/>
    <w:next w:val="1"/>
    <w:qFormat/>
    <w:uiPriority w:val="99"/>
    <w:pPr>
      <w:spacing w:line="576" w:lineRule="auto"/>
      <w:outlineLvl w:val="9"/>
    </w:pPr>
    <w:rPr>
      <w:rFonts w:ascii="Calibri" w:hAnsi="Calibri" w:eastAsia="黑体" w:cs="Calibri"/>
      <w:lang w:val="zh-CN"/>
    </w:rPr>
  </w:style>
  <w:style w:type="paragraph" w:customStyle="1" w:styleId="16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1">
    <w:name w:val="p0"/>
    <w:basedOn w:val="1"/>
    <w:qFormat/>
    <w:uiPriority w:val="0"/>
    <w:pPr>
      <w:widowControl/>
    </w:pPr>
    <w:rPr>
      <w:rFonts w:ascii="Calibri" w:hAnsi="Calibri" w:cs="Calibri"/>
      <w:kern w:val="0"/>
      <w:szCs w:val="21"/>
    </w:rPr>
  </w:style>
  <w:style w:type="paragraph" w:customStyle="1" w:styleId="162">
    <w:name w:val="Char"/>
    <w:basedOn w:val="1"/>
    <w:qFormat/>
    <w:uiPriority w:val="99"/>
    <w:pPr>
      <w:widowControl/>
      <w:spacing w:after="160" w:line="240" w:lineRule="exact"/>
      <w:jc w:val="left"/>
    </w:pPr>
    <w:rPr>
      <w:szCs w:val="21"/>
    </w:rPr>
  </w:style>
  <w:style w:type="paragraph" w:customStyle="1" w:styleId="163">
    <w:name w:val="1"/>
    <w:basedOn w:val="1"/>
    <w:next w:val="1"/>
    <w:qFormat/>
    <w:uiPriority w:val="99"/>
    <w:rPr>
      <w:szCs w:val="21"/>
    </w:rPr>
  </w:style>
  <w:style w:type="paragraph" w:customStyle="1" w:styleId="164">
    <w:name w:val="列出段落2"/>
    <w:basedOn w:val="1"/>
    <w:qFormat/>
    <w:uiPriority w:val="99"/>
    <w:pPr>
      <w:ind w:firstLine="420" w:firstLineChars="200"/>
    </w:pPr>
    <w:rPr>
      <w:rFonts w:ascii="Calibri" w:hAnsi="Calibri" w:cs="Calibri"/>
      <w:szCs w:val="21"/>
    </w:rPr>
  </w:style>
  <w:style w:type="paragraph" w:customStyle="1" w:styleId="165">
    <w:name w:val="_Style 163"/>
    <w:qFormat/>
    <w:uiPriority w:val="99"/>
    <w:rPr>
      <w:rFonts w:ascii="Times New Roman" w:hAnsi="Times New Roman" w:eastAsia="宋体" w:cs="Times New Roman"/>
      <w:kern w:val="2"/>
      <w:sz w:val="21"/>
      <w:szCs w:val="21"/>
      <w:lang w:val="en-US" w:eastAsia="zh-CN" w:bidi="ar-SA"/>
    </w:rPr>
  </w:style>
  <w:style w:type="paragraph" w:customStyle="1" w:styleId="16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7">
    <w:name w:val="修订1"/>
    <w:qFormat/>
    <w:uiPriority w:val="99"/>
    <w:rPr>
      <w:rFonts w:ascii="Times New Roman" w:hAnsi="Times New Roman" w:eastAsia="宋体" w:cs="Times New Roman"/>
      <w:kern w:val="2"/>
      <w:sz w:val="21"/>
      <w:szCs w:val="21"/>
      <w:lang w:val="en-US" w:eastAsia="zh-CN" w:bidi="ar-SA"/>
    </w:rPr>
  </w:style>
  <w:style w:type="paragraph" w:customStyle="1" w:styleId="168">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69">
    <w:name w:val="2-2ji"/>
    <w:basedOn w:val="3"/>
    <w:qFormat/>
    <w:uiPriority w:val="99"/>
    <w:pPr>
      <w:spacing w:before="0" w:after="0" w:line="360" w:lineRule="auto"/>
      <w:jc w:val="center"/>
    </w:pPr>
    <w:rPr>
      <w:rFonts w:ascii="宋体" w:hAnsi="宋体" w:cs="宋体"/>
      <w:sz w:val="36"/>
      <w:szCs w:val="36"/>
      <w:lang w:val="zh-CN"/>
    </w:rPr>
  </w:style>
  <w:style w:type="paragraph" w:customStyle="1" w:styleId="170">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72">
    <w:name w:val="列出段落1"/>
    <w:basedOn w:val="1"/>
    <w:qFormat/>
    <w:uiPriority w:val="99"/>
    <w:pPr>
      <w:ind w:firstLine="420" w:firstLineChars="200"/>
    </w:pPr>
    <w:rPr>
      <w:rFonts w:ascii="Calibri" w:hAnsi="Calibri" w:cs="Calibri"/>
      <w:szCs w:val="21"/>
    </w:rPr>
  </w:style>
  <w:style w:type="paragraph" w:customStyle="1" w:styleId="17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4">
    <w:name w:val="Char1"/>
    <w:basedOn w:val="1"/>
    <w:qFormat/>
    <w:uiPriority w:val="99"/>
    <w:pPr>
      <w:widowControl/>
      <w:spacing w:after="160" w:line="240" w:lineRule="exact"/>
      <w:jc w:val="left"/>
    </w:pPr>
    <w:rPr>
      <w:szCs w:val="21"/>
    </w:rPr>
  </w:style>
  <w:style w:type="paragraph" w:customStyle="1" w:styleId="175">
    <w:name w:val="_Style 37"/>
    <w:basedOn w:val="1"/>
    <w:next w:val="1"/>
    <w:qFormat/>
    <w:uiPriority w:val="99"/>
    <w:rPr>
      <w:szCs w:val="21"/>
    </w:rPr>
  </w:style>
  <w:style w:type="paragraph" w:customStyle="1" w:styleId="176">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styleId="17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Body text|1"/>
    <w:basedOn w:val="1"/>
    <w:link w:val="179"/>
    <w:qFormat/>
    <w:uiPriority w:val="0"/>
    <w:pPr>
      <w:spacing w:line="360" w:lineRule="auto"/>
      <w:ind w:firstLine="400"/>
    </w:pPr>
    <w:rPr>
      <w:rFonts w:ascii="宋体" w:hAnsi="宋体" w:cs="宋体"/>
      <w:szCs w:val="20"/>
      <w:lang w:val="zh-CN" w:bidi="zh-CN"/>
    </w:rPr>
  </w:style>
  <w:style w:type="character" w:customStyle="1" w:styleId="179">
    <w:name w:val="Body text|1_"/>
    <w:link w:val="178"/>
    <w:qFormat/>
    <w:uiPriority w:val="0"/>
    <w:rPr>
      <w:rFonts w:ascii="宋体" w:hAnsi="宋体" w:cs="宋体"/>
      <w:kern w:val="2"/>
      <w:sz w:val="21"/>
      <w:lang w:val="zh-CN" w:bidi="zh-CN"/>
    </w:rPr>
  </w:style>
  <w:style w:type="character" w:customStyle="1" w:styleId="180">
    <w:name w:val="Body text|3_"/>
    <w:link w:val="181"/>
    <w:qFormat/>
    <w:uiPriority w:val="0"/>
    <w:rPr>
      <w:rFonts w:ascii="宋体" w:hAnsi="宋体" w:cs="宋体"/>
      <w:lang w:val="zh-CN" w:bidi="zh-CN"/>
    </w:rPr>
  </w:style>
  <w:style w:type="paragraph" w:customStyle="1" w:styleId="181">
    <w:name w:val="Body text|3"/>
    <w:basedOn w:val="1"/>
    <w:link w:val="180"/>
    <w:qFormat/>
    <w:uiPriority w:val="0"/>
    <w:pPr>
      <w:spacing w:after="340"/>
      <w:jc w:val="left"/>
    </w:pPr>
    <w:rPr>
      <w:rFonts w:ascii="宋体" w:hAnsi="宋体" w:cs="宋体"/>
      <w:kern w:val="0"/>
      <w:sz w:val="20"/>
      <w:szCs w:val="20"/>
      <w:lang w:val="zh-CN" w:bidi="zh-CN"/>
    </w:rPr>
  </w:style>
  <w:style w:type="character" w:customStyle="1" w:styleId="182">
    <w:name w:val="Other|1_"/>
    <w:link w:val="183"/>
    <w:qFormat/>
    <w:uiPriority w:val="0"/>
    <w:rPr>
      <w:rFonts w:ascii="宋体" w:hAnsi="宋体" w:cs="宋体"/>
      <w:lang w:val="zh-CN" w:bidi="zh-CN"/>
    </w:rPr>
  </w:style>
  <w:style w:type="paragraph" w:customStyle="1" w:styleId="183">
    <w:name w:val="Other|1"/>
    <w:basedOn w:val="1"/>
    <w:link w:val="182"/>
    <w:qFormat/>
    <w:uiPriority w:val="0"/>
    <w:pPr>
      <w:spacing w:line="360" w:lineRule="auto"/>
      <w:ind w:firstLine="400"/>
      <w:jc w:val="left"/>
    </w:pPr>
    <w:rPr>
      <w:rFonts w:ascii="宋体" w:hAnsi="宋体" w:cs="宋体"/>
      <w:kern w:val="0"/>
      <w:sz w:val="20"/>
      <w:szCs w:val="20"/>
      <w:lang w:val="zh-CN" w:bidi="zh-CN"/>
    </w:rPr>
  </w:style>
  <w:style w:type="character" w:customStyle="1" w:styleId="184">
    <w:name w:val="Table of contents|1_"/>
    <w:link w:val="185"/>
    <w:qFormat/>
    <w:uiPriority w:val="0"/>
    <w:rPr>
      <w:rFonts w:ascii="宋体" w:hAnsi="宋体" w:cs="宋体"/>
      <w:lang w:val="zh-CN" w:bidi="zh-CN"/>
    </w:rPr>
  </w:style>
  <w:style w:type="paragraph" w:customStyle="1" w:styleId="185">
    <w:name w:val="Table of contents|1"/>
    <w:basedOn w:val="1"/>
    <w:link w:val="184"/>
    <w:qFormat/>
    <w:uiPriority w:val="0"/>
    <w:pPr>
      <w:spacing w:after="100"/>
      <w:ind w:firstLine="600"/>
      <w:jc w:val="left"/>
    </w:pPr>
    <w:rPr>
      <w:rFonts w:ascii="宋体" w:hAnsi="宋体" w:cs="宋体"/>
      <w:kern w:val="0"/>
      <w:sz w:val="20"/>
      <w:szCs w:val="20"/>
      <w:lang w:val="zh-CN" w:bidi="zh-CN"/>
    </w:rPr>
  </w:style>
  <w:style w:type="character" w:customStyle="1" w:styleId="186">
    <w:name w:val="Header or footer|1_"/>
    <w:link w:val="187"/>
    <w:qFormat/>
    <w:uiPriority w:val="0"/>
    <w:rPr>
      <w:sz w:val="17"/>
      <w:szCs w:val="17"/>
      <w:lang w:val="zh-CN" w:bidi="zh-CN"/>
    </w:rPr>
  </w:style>
  <w:style w:type="paragraph" w:customStyle="1" w:styleId="187">
    <w:name w:val="Header or footer|1"/>
    <w:basedOn w:val="1"/>
    <w:link w:val="186"/>
    <w:qFormat/>
    <w:uiPriority w:val="0"/>
    <w:pPr>
      <w:jc w:val="center"/>
    </w:pPr>
    <w:rPr>
      <w:kern w:val="0"/>
      <w:sz w:val="17"/>
      <w:szCs w:val="17"/>
      <w:lang w:val="zh-CN" w:bidi="zh-CN"/>
    </w:rPr>
  </w:style>
  <w:style w:type="character" w:customStyle="1" w:styleId="188">
    <w:name w:val="Heading #3|1_"/>
    <w:link w:val="189"/>
    <w:qFormat/>
    <w:uiPriority w:val="0"/>
    <w:rPr>
      <w:rFonts w:ascii="宋体" w:hAnsi="宋体" w:cs="宋体"/>
      <w:sz w:val="28"/>
      <w:szCs w:val="28"/>
      <w:lang w:val="zh-CN" w:bidi="zh-CN"/>
    </w:rPr>
  </w:style>
  <w:style w:type="paragraph" w:customStyle="1" w:styleId="189">
    <w:name w:val="Heading #3|1"/>
    <w:basedOn w:val="1"/>
    <w:link w:val="188"/>
    <w:qFormat/>
    <w:uiPriority w:val="0"/>
    <w:pPr>
      <w:spacing w:after="570"/>
      <w:jc w:val="center"/>
      <w:outlineLvl w:val="2"/>
    </w:pPr>
    <w:rPr>
      <w:rFonts w:ascii="宋体" w:hAnsi="宋体" w:cs="宋体"/>
      <w:kern w:val="0"/>
      <w:sz w:val="28"/>
      <w:szCs w:val="28"/>
      <w:lang w:val="zh-CN" w:bidi="zh-CN"/>
    </w:rPr>
  </w:style>
  <w:style w:type="character" w:customStyle="1" w:styleId="190">
    <w:name w:val="Body text|7_"/>
    <w:link w:val="191"/>
    <w:qFormat/>
    <w:uiPriority w:val="0"/>
    <w:rPr>
      <w:rFonts w:ascii="Courier New" w:hAnsi="Courier New" w:eastAsia="Courier New" w:cs="Courier New"/>
      <w:b/>
      <w:bCs/>
      <w:sz w:val="8"/>
      <w:szCs w:val="8"/>
      <w:lang w:val="zh-CN"/>
    </w:rPr>
  </w:style>
  <w:style w:type="paragraph" w:customStyle="1" w:styleId="191">
    <w:name w:val="Body text|7"/>
    <w:basedOn w:val="1"/>
    <w:link w:val="190"/>
    <w:qFormat/>
    <w:uiPriority w:val="0"/>
    <w:pPr>
      <w:ind w:hanging="1760"/>
      <w:jc w:val="left"/>
    </w:pPr>
    <w:rPr>
      <w:rFonts w:ascii="Courier New" w:hAnsi="Courier New" w:eastAsia="Courier New"/>
      <w:b/>
      <w:bCs/>
      <w:kern w:val="0"/>
      <w:sz w:val="8"/>
      <w:szCs w:val="8"/>
      <w:lang w:val="zh-CN"/>
    </w:rPr>
  </w:style>
  <w:style w:type="character" w:customStyle="1" w:styleId="192">
    <w:name w:val="Body text|4_"/>
    <w:link w:val="193"/>
    <w:qFormat/>
    <w:uiPriority w:val="0"/>
    <w:rPr>
      <w:rFonts w:ascii="宋体" w:hAnsi="宋体" w:cs="宋体"/>
      <w:b/>
      <w:bCs/>
      <w:sz w:val="17"/>
      <w:szCs w:val="17"/>
      <w:lang w:val="zh-CN" w:bidi="zh-CN"/>
    </w:rPr>
  </w:style>
  <w:style w:type="paragraph" w:customStyle="1" w:styleId="193">
    <w:name w:val="Body text|4"/>
    <w:basedOn w:val="1"/>
    <w:link w:val="192"/>
    <w:qFormat/>
    <w:uiPriority w:val="0"/>
    <w:pPr>
      <w:spacing w:line="281" w:lineRule="exact"/>
      <w:jc w:val="center"/>
    </w:pPr>
    <w:rPr>
      <w:rFonts w:ascii="宋体" w:hAnsi="宋体" w:cs="宋体"/>
      <w:b/>
      <w:bCs/>
      <w:kern w:val="0"/>
      <w:sz w:val="17"/>
      <w:szCs w:val="17"/>
      <w:lang w:val="zh-CN" w:bidi="zh-CN"/>
    </w:rPr>
  </w:style>
  <w:style w:type="character" w:customStyle="1" w:styleId="194">
    <w:name w:val="Heading #4|1_"/>
    <w:link w:val="195"/>
    <w:qFormat/>
    <w:uiPriority w:val="0"/>
    <w:rPr>
      <w:rFonts w:ascii="宋体" w:hAnsi="宋体" w:cs="宋体"/>
      <w:lang w:val="zh-CN" w:bidi="zh-CN"/>
    </w:rPr>
  </w:style>
  <w:style w:type="paragraph" w:customStyle="1" w:styleId="195">
    <w:name w:val="Heading #4|1"/>
    <w:basedOn w:val="1"/>
    <w:link w:val="194"/>
    <w:qFormat/>
    <w:uiPriority w:val="0"/>
    <w:pPr>
      <w:spacing w:after="120"/>
      <w:jc w:val="left"/>
      <w:outlineLvl w:val="3"/>
    </w:pPr>
    <w:rPr>
      <w:rFonts w:ascii="宋体" w:hAnsi="宋体" w:cs="宋体"/>
      <w:kern w:val="0"/>
      <w:sz w:val="20"/>
      <w:szCs w:val="20"/>
      <w:lang w:val="zh-CN" w:bidi="zh-CN"/>
    </w:rPr>
  </w:style>
  <w:style w:type="character" w:customStyle="1" w:styleId="196">
    <w:name w:val="Body text|5_"/>
    <w:link w:val="197"/>
    <w:qFormat/>
    <w:uiPriority w:val="0"/>
    <w:rPr>
      <w:rFonts w:ascii="宋体" w:hAnsi="宋体" w:cs="宋体"/>
      <w:sz w:val="52"/>
      <w:szCs w:val="52"/>
      <w:lang w:val="zh-CN" w:bidi="zh-CN"/>
    </w:rPr>
  </w:style>
  <w:style w:type="paragraph" w:customStyle="1" w:styleId="197">
    <w:name w:val="Body text|5"/>
    <w:basedOn w:val="1"/>
    <w:link w:val="196"/>
    <w:qFormat/>
    <w:uiPriority w:val="0"/>
    <w:pPr>
      <w:jc w:val="center"/>
    </w:pPr>
    <w:rPr>
      <w:rFonts w:ascii="宋体" w:hAnsi="宋体" w:cs="宋体"/>
      <w:kern w:val="0"/>
      <w:sz w:val="52"/>
      <w:szCs w:val="52"/>
      <w:lang w:val="zh-CN" w:bidi="zh-CN"/>
    </w:rPr>
  </w:style>
  <w:style w:type="character" w:customStyle="1" w:styleId="198">
    <w:name w:val="Header or footer|2_"/>
    <w:link w:val="199"/>
    <w:qFormat/>
    <w:uiPriority w:val="0"/>
    <w:rPr>
      <w:lang w:val="zh-CN" w:bidi="zh-CN"/>
    </w:rPr>
  </w:style>
  <w:style w:type="paragraph" w:customStyle="1" w:styleId="199">
    <w:name w:val="Header or footer|2"/>
    <w:basedOn w:val="1"/>
    <w:link w:val="198"/>
    <w:qFormat/>
    <w:uiPriority w:val="0"/>
    <w:pPr>
      <w:jc w:val="left"/>
    </w:pPr>
    <w:rPr>
      <w:kern w:val="0"/>
      <w:sz w:val="20"/>
      <w:szCs w:val="20"/>
      <w:lang w:val="zh-CN" w:bidi="zh-CN"/>
    </w:rPr>
  </w:style>
  <w:style w:type="character" w:customStyle="1" w:styleId="200">
    <w:name w:val="Heading #2|1_"/>
    <w:link w:val="201"/>
    <w:qFormat/>
    <w:uiPriority w:val="0"/>
    <w:rPr>
      <w:rFonts w:ascii="宋体" w:hAnsi="宋体" w:cs="宋体"/>
      <w:sz w:val="34"/>
      <w:szCs w:val="34"/>
      <w:lang w:val="zh-CN" w:bidi="zh-CN"/>
    </w:rPr>
  </w:style>
  <w:style w:type="paragraph" w:customStyle="1" w:styleId="201">
    <w:name w:val="Heading #2|1"/>
    <w:basedOn w:val="1"/>
    <w:link w:val="200"/>
    <w:qFormat/>
    <w:uiPriority w:val="0"/>
    <w:pPr>
      <w:spacing w:after="900"/>
      <w:jc w:val="center"/>
      <w:outlineLvl w:val="1"/>
    </w:pPr>
    <w:rPr>
      <w:rFonts w:ascii="宋体" w:hAnsi="宋体" w:cs="宋体"/>
      <w:kern w:val="0"/>
      <w:sz w:val="34"/>
      <w:szCs w:val="34"/>
      <w:lang w:val="zh-CN" w:bidi="zh-CN"/>
    </w:rPr>
  </w:style>
  <w:style w:type="character" w:customStyle="1" w:styleId="202">
    <w:name w:val="Table caption|1_"/>
    <w:link w:val="203"/>
    <w:qFormat/>
    <w:uiPriority w:val="0"/>
    <w:rPr>
      <w:rFonts w:ascii="宋体" w:hAnsi="宋体" w:cs="宋体"/>
      <w:lang w:val="zh-CN" w:bidi="zh-CN"/>
    </w:rPr>
  </w:style>
  <w:style w:type="paragraph" w:customStyle="1" w:styleId="203">
    <w:name w:val="Table caption|1"/>
    <w:basedOn w:val="1"/>
    <w:link w:val="202"/>
    <w:qFormat/>
    <w:uiPriority w:val="0"/>
    <w:pPr>
      <w:jc w:val="left"/>
    </w:pPr>
    <w:rPr>
      <w:rFonts w:ascii="宋体" w:hAnsi="宋体" w:cs="宋体"/>
      <w:kern w:val="0"/>
      <w:sz w:val="20"/>
      <w:szCs w:val="20"/>
      <w:lang w:val="zh-CN" w:bidi="zh-CN"/>
    </w:rPr>
  </w:style>
  <w:style w:type="character" w:customStyle="1" w:styleId="204">
    <w:name w:val="Body text|6_"/>
    <w:link w:val="205"/>
    <w:qFormat/>
    <w:uiPriority w:val="0"/>
    <w:rPr>
      <w:rFonts w:ascii="Arial" w:hAnsi="Arial" w:eastAsia="Arial" w:cs="Arial"/>
      <w:lang w:val="zh-CN"/>
    </w:rPr>
  </w:style>
  <w:style w:type="paragraph" w:customStyle="1" w:styleId="205">
    <w:name w:val="Body text|6"/>
    <w:basedOn w:val="1"/>
    <w:link w:val="204"/>
    <w:qFormat/>
    <w:uiPriority w:val="0"/>
    <w:pPr>
      <w:ind w:hanging="2220"/>
      <w:jc w:val="left"/>
    </w:pPr>
    <w:rPr>
      <w:rFonts w:ascii="Arial" w:hAnsi="Arial" w:eastAsia="Arial"/>
      <w:kern w:val="0"/>
      <w:sz w:val="20"/>
      <w:szCs w:val="20"/>
      <w:lang w:val="zh-CN"/>
    </w:rPr>
  </w:style>
  <w:style w:type="character" w:customStyle="1" w:styleId="206">
    <w:name w:val="Heading #1|1_"/>
    <w:link w:val="207"/>
    <w:qFormat/>
    <w:uiPriority w:val="0"/>
    <w:rPr>
      <w:rFonts w:ascii="宋体" w:hAnsi="宋体" w:cs="宋体"/>
      <w:sz w:val="38"/>
      <w:szCs w:val="38"/>
      <w:lang w:val="zh-CN" w:bidi="zh-CN"/>
    </w:rPr>
  </w:style>
  <w:style w:type="paragraph" w:customStyle="1" w:styleId="207">
    <w:name w:val="Heading #1|1"/>
    <w:basedOn w:val="1"/>
    <w:link w:val="206"/>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208">
    <w:name w:val="Body text|2_"/>
    <w:link w:val="209"/>
    <w:qFormat/>
    <w:uiPriority w:val="0"/>
    <w:rPr>
      <w:sz w:val="21"/>
    </w:rPr>
  </w:style>
  <w:style w:type="paragraph" w:customStyle="1" w:styleId="209">
    <w:name w:val="Body text|2"/>
    <w:basedOn w:val="1"/>
    <w:link w:val="208"/>
    <w:qFormat/>
    <w:uiPriority w:val="0"/>
    <w:pPr>
      <w:spacing w:after="30"/>
      <w:ind w:firstLine="420"/>
      <w:jc w:val="left"/>
    </w:pPr>
    <w:rPr>
      <w:kern w:val="0"/>
      <w:szCs w:val="20"/>
    </w:rPr>
  </w:style>
  <w:style w:type="character" w:styleId="210">
    <w:name w:val="Placeholder Text"/>
    <w:unhideWhenUsed/>
    <w:qFormat/>
    <w:uiPriority w:val="99"/>
    <w:rPr>
      <w:color w:val="808080"/>
    </w:rPr>
  </w:style>
  <w:style w:type="paragraph" w:customStyle="1" w:styleId="211">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12">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3">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20158</Words>
  <Characters>21422</Characters>
  <Lines>509</Lines>
  <Paragraphs>143</Paragraphs>
  <TotalTime>8</TotalTime>
  <ScaleCrop>false</ScaleCrop>
  <LinksUpToDate>false</LinksUpToDate>
  <CharactersWithSpaces>21718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2025-07-10T08:06:00Z</dcterms:created>
  <dc:creator>唐冰</dc:creator>
  <cp:lastModifiedBy>刘</cp:lastModifiedBy>
  <cp:lastPrinted>2020-04-03T16:20:00Z</cp:lastPrinted>
  <dcterms:modified xsi:type="dcterms:W3CDTF">2026-01-15T09:06:13Z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F821352A755F42858BEE51EB6723F4AD_13</vt:lpwstr>
  </property>
  <property fmtid="{D5CDD505-2E9C-101B-9397-08002B2CF9AE}" pid="4" name="KSOTemplateDocerSaveRecord">
    <vt:lpwstr>eyJoZGlkIjoiNzliMzUzM2FhZmExMzVhNGYwZDRkM2I3ZGVmYTYwZDMiLCJ1c2VySWQiOiI5NDUyOTE3MDYifQ==</vt:lpwstr>
  </property>
</Properties>
</file>