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15C31">
      <w:pPr>
        <w:widowControl/>
        <w:spacing w:line="360" w:lineRule="auto"/>
        <w:jc w:val="both"/>
        <w:rPr>
          <w:rFonts w:ascii="宋体" w:hAnsi="宋体"/>
          <w:b/>
          <w:color w:val="auto"/>
          <w:kern w:val="0"/>
          <w:sz w:val="44"/>
          <w:szCs w:val="44"/>
          <w:highlight w:val="none"/>
        </w:rPr>
      </w:pPr>
      <w:bookmarkStart w:id="0" w:name="OLE_LINK92"/>
      <w:bookmarkStart w:id="1" w:name="OLE_LINK91"/>
    </w:p>
    <w:p w14:paraId="49E9A5F8">
      <w:pPr>
        <w:pStyle w:val="7"/>
        <w:jc w:val="both"/>
        <w:rPr>
          <w:rFonts w:hint="eastAsia" w:ascii="仿宋_GB2312" w:hAnsi="宋体" w:eastAsia="仿宋_GB2312"/>
          <w:color w:val="auto"/>
          <w:highlight w:val="none"/>
          <w:lang w:eastAsia="zh-CN"/>
        </w:rPr>
        <w:sectPr>
          <w:footerReference r:id="rId5" w:type="first"/>
          <w:headerReference r:id="rId3" w:type="default"/>
          <w:footerReference r:id="rId4" w:type="default"/>
          <w:pgSz w:w="11906" w:h="16838"/>
          <w:pgMar w:top="1134" w:right="1247" w:bottom="1134" w:left="1247" w:header="737" w:footer="680" w:gutter="113"/>
          <w:pgNumType w:fmt="decimal" w:start="1"/>
          <w:cols w:space="720" w:num="1"/>
          <w:titlePg/>
          <w:docGrid w:linePitch="312" w:charSpace="0"/>
        </w:sectPr>
      </w:pPr>
      <w:bookmarkStart w:id="206" w:name="_GoBack"/>
      <w:r>
        <w:rPr>
          <w:rFonts w:hint="eastAsia" w:ascii="仿宋_GB2312" w:hAnsi="宋体" w:eastAsia="仿宋_GB2312"/>
          <w:color w:val="auto"/>
          <w:highlight w:val="none"/>
          <w:lang w:eastAsia="zh-CN"/>
        </w:rPr>
        <w:drawing>
          <wp:inline distT="0" distB="0" distL="114300" distR="114300">
            <wp:extent cx="5941695" cy="8402320"/>
            <wp:effectExtent l="0" t="0" r="1905" b="10160"/>
            <wp:docPr id="6" name="图片 6" descr="doc07302720251209100455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oc07302720251209100455_001"/>
                    <pic:cNvPicPr>
                      <a:picLocks noChangeAspect="1"/>
                    </pic:cNvPicPr>
                  </pic:nvPicPr>
                  <pic:blipFill>
                    <a:blip r:embed="rId11"/>
                    <a:stretch>
                      <a:fillRect/>
                    </a:stretch>
                  </pic:blipFill>
                  <pic:spPr>
                    <a:xfrm>
                      <a:off x="0" y="0"/>
                      <a:ext cx="5941695" cy="8402320"/>
                    </a:xfrm>
                    <a:prstGeom prst="rect">
                      <a:avLst/>
                    </a:prstGeom>
                  </pic:spPr>
                </pic:pic>
              </a:graphicData>
            </a:graphic>
          </wp:inline>
        </w:drawing>
      </w:r>
      <w:bookmarkEnd w:id="206"/>
    </w:p>
    <w:p w14:paraId="552A6F4C">
      <w:pPr>
        <w:pStyle w:val="7"/>
        <w:jc w:val="both"/>
        <w:rPr>
          <w:rFonts w:ascii="仿宋_GB2312" w:hAnsi="宋体" w:eastAsia="仿宋_GB2312"/>
          <w:color w:val="auto"/>
          <w:highlight w:val="none"/>
        </w:rPr>
      </w:pPr>
    </w:p>
    <w:p w14:paraId="5B45FF7E">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目录</w:t>
      </w:r>
    </w:p>
    <w:p w14:paraId="309DE075">
      <w:pPr>
        <w:pStyle w:val="9"/>
        <w:rPr>
          <w:rFonts w:hint="eastAsia"/>
          <w:color w:val="auto"/>
          <w:highlight w:val="none"/>
        </w:rPr>
      </w:pPr>
    </w:p>
    <w:p w14:paraId="10045A63">
      <w:pPr>
        <w:rPr>
          <w:color w:val="auto"/>
          <w:highlight w:val="none"/>
        </w:rPr>
      </w:pPr>
    </w:p>
    <w:p w14:paraId="19D33600">
      <w:pPr>
        <w:pStyle w:val="14"/>
        <w:tabs>
          <w:tab w:val="right" w:leader="dot" w:pos="9299"/>
          <w:tab w:val="clear" w:pos="8398"/>
        </w:tabs>
        <w:rPr>
          <w:color w:val="auto"/>
          <w:highlight w:val="none"/>
        </w:rPr>
      </w:pPr>
      <w:r>
        <w:rPr>
          <w:rFonts w:ascii="仿宋_GB2312" w:eastAsia="仿宋_GB2312"/>
          <w:bCs w:val="0"/>
          <w:caps w:val="0"/>
          <w:color w:val="auto"/>
          <w:highlight w:val="none"/>
        </w:rPr>
        <w:fldChar w:fldCharType="begin"/>
      </w:r>
      <w:r>
        <w:rPr>
          <w:rFonts w:ascii="仿宋_GB2312" w:eastAsia="仿宋_GB2312"/>
          <w:bCs w:val="0"/>
          <w:caps w:val="0"/>
          <w:color w:val="auto"/>
          <w:highlight w:val="none"/>
        </w:rPr>
        <w:instrText xml:space="preserve"> TOC \o "1-2" \h \z \u </w:instrText>
      </w:r>
      <w:r>
        <w:rPr>
          <w:rFonts w:ascii="仿宋_GB2312" w:eastAsia="仿宋_GB2312"/>
          <w:bCs w:val="0"/>
          <w:caps w:val="0"/>
          <w:color w:val="auto"/>
          <w:highlight w:val="none"/>
        </w:rPr>
        <w:fldChar w:fldCharType="separate"/>
      </w:r>
      <w:r>
        <w:rPr>
          <w:rFonts w:ascii="仿宋_GB2312" w:hAnsi="宋体" w:eastAsia="仿宋_GB2312"/>
          <w:bCs/>
          <w:caps/>
          <w:color w:val="auto"/>
          <w:highlight w:val="none"/>
        </w:rPr>
        <w:fldChar w:fldCharType="begin"/>
      </w:r>
      <w:r>
        <w:rPr>
          <w:rFonts w:ascii="仿宋_GB2312" w:hAnsi="宋体" w:eastAsia="仿宋_GB2312"/>
          <w:bCs/>
          <w:caps/>
          <w:color w:val="auto"/>
          <w:highlight w:val="none"/>
        </w:rPr>
        <w:instrText xml:space="preserve"> HYPERLINK \l _Toc26767 </w:instrText>
      </w:r>
      <w:r>
        <w:rPr>
          <w:rFonts w:ascii="仿宋_GB2312" w:hAnsi="宋体" w:eastAsia="仿宋_GB2312"/>
          <w:bCs/>
          <w:caps/>
          <w:color w:val="auto"/>
          <w:highlight w:val="none"/>
        </w:rPr>
        <w:fldChar w:fldCharType="separate"/>
      </w:r>
      <w:r>
        <w:rPr>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_Toc26767 \h </w:instrText>
      </w:r>
      <w:r>
        <w:rPr>
          <w:color w:val="auto"/>
          <w:highlight w:val="none"/>
        </w:rPr>
        <w:fldChar w:fldCharType="separate"/>
      </w:r>
      <w:r>
        <w:rPr>
          <w:color w:val="auto"/>
          <w:highlight w:val="none"/>
        </w:rPr>
        <w:t>2</w:t>
      </w:r>
      <w:r>
        <w:rPr>
          <w:color w:val="auto"/>
          <w:highlight w:val="none"/>
        </w:rPr>
        <w:fldChar w:fldCharType="end"/>
      </w:r>
      <w:r>
        <w:rPr>
          <w:rFonts w:ascii="仿宋_GB2312" w:hAnsi="宋体" w:eastAsia="仿宋_GB2312"/>
          <w:bCs/>
          <w:caps/>
          <w:color w:val="auto"/>
          <w:highlight w:val="none"/>
        </w:rPr>
        <w:fldChar w:fldCharType="end"/>
      </w:r>
    </w:p>
    <w:p w14:paraId="6A6326E9">
      <w:pPr>
        <w:pStyle w:val="14"/>
        <w:tabs>
          <w:tab w:val="right" w:leader="dot" w:pos="9299"/>
          <w:tab w:val="clear" w:pos="8398"/>
        </w:tabs>
        <w:rPr>
          <w:color w:val="auto"/>
          <w:highlight w:val="none"/>
        </w:rPr>
      </w:pPr>
      <w:r>
        <w:rPr>
          <w:rFonts w:ascii="仿宋_GB2312" w:hAnsi="宋体" w:eastAsia="仿宋_GB2312"/>
          <w:bCs/>
          <w:caps/>
          <w:color w:val="auto"/>
          <w:highlight w:val="none"/>
        </w:rPr>
        <w:fldChar w:fldCharType="begin"/>
      </w:r>
      <w:r>
        <w:rPr>
          <w:rFonts w:ascii="仿宋_GB2312" w:hAnsi="宋体" w:eastAsia="仿宋_GB2312"/>
          <w:bCs/>
          <w:caps/>
          <w:color w:val="auto"/>
          <w:highlight w:val="none"/>
        </w:rPr>
        <w:instrText xml:space="preserve"> HYPERLINK \l _Toc15022 </w:instrText>
      </w:r>
      <w:r>
        <w:rPr>
          <w:rFonts w:ascii="仿宋_GB2312" w:hAnsi="宋体" w:eastAsia="仿宋_GB2312"/>
          <w:bCs/>
          <w:caps/>
          <w:color w:val="auto"/>
          <w:highlight w:val="none"/>
        </w:rPr>
        <w:fldChar w:fldCharType="separate"/>
      </w:r>
      <w:r>
        <w:rPr>
          <w:rFonts w:hint="eastAsia"/>
          <w:color w:val="auto"/>
          <w:highlight w:val="none"/>
        </w:rPr>
        <w:t>第二章 项目采购需求</w:t>
      </w:r>
      <w:r>
        <w:rPr>
          <w:color w:val="auto"/>
          <w:highlight w:val="none"/>
        </w:rPr>
        <w:tab/>
      </w:r>
      <w:r>
        <w:rPr>
          <w:rFonts w:hint="eastAsia"/>
          <w:color w:val="auto"/>
          <w:highlight w:val="none"/>
          <w:lang w:val="en-US" w:eastAsia="zh-CN"/>
        </w:rPr>
        <w:t>5</w:t>
      </w:r>
      <w:r>
        <w:rPr>
          <w:rFonts w:ascii="仿宋_GB2312" w:hAnsi="宋体" w:eastAsia="仿宋_GB2312"/>
          <w:bCs/>
          <w:caps/>
          <w:color w:val="auto"/>
          <w:highlight w:val="none"/>
        </w:rPr>
        <w:fldChar w:fldCharType="end"/>
      </w:r>
    </w:p>
    <w:p w14:paraId="7238E022">
      <w:pPr>
        <w:pStyle w:val="14"/>
        <w:tabs>
          <w:tab w:val="right" w:leader="dot" w:pos="9299"/>
          <w:tab w:val="clear" w:pos="8398"/>
        </w:tabs>
        <w:rPr>
          <w:color w:val="auto"/>
          <w:highlight w:val="none"/>
        </w:rPr>
      </w:pPr>
      <w:r>
        <w:rPr>
          <w:rFonts w:ascii="仿宋_GB2312" w:hAnsi="宋体" w:eastAsia="仿宋_GB2312"/>
          <w:bCs/>
          <w:caps/>
          <w:color w:val="auto"/>
          <w:highlight w:val="none"/>
        </w:rPr>
        <w:fldChar w:fldCharType="begin"/>
      </w:r>
      <w:r>
        <w:rPr>
          <w:rFonts w:ascii="仿宋_GB2312" w:hAnsi="宋体" w:eastAsia="仿宋_GB2312"/>
          <w:bCs/>
          <w:caps/>
          <w:color w:val="auto"/>
          <w:highlight w:val="none"/>
        </w:rPr>
        <w:instrText xml:space="preserve"> HYPERLINK \l _Toc32601 </w:instrText>
      </w:r>
      <w:r>
        <w:rPr>
          <w:rFonts w:ascii="仿宋_GB2312" w:hAnsi="宋体" w:eastAsia="仿宋_GB2312"/>
          <w:bCs/>
          <w:caps/>
          <w:color w:val="auto"/>
          <w:highlight w:val="none"/>
        </w:rPr>
        <w:fldChar w:fldCharType="separate"/>
      </w:r>
      <w:r>
        <w:rPr>
          <w:rFonts w:hint="eastAsia"/>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_Toc32601 \h </w:instrText>
      </w:r>
      <w:r>
        <w:rPr>
          <w:color w:val="auto"/>
          <w:highlight w:val="none"/>
        </w:rPr>
        <w:fldChar w:fldCharType="separate"/>
      </w:r>
      <w:r>
        <w:rPr>
          <w:color w:val="auto"/>
          <w:highlight w:val="none"/>
        </w:rPr>
        <w:t>34</w:t>
      </w:r>
      <w:r>
        <w:rPr>
          <w:color w:val="auto"/>
          <w:highlight w:val="none"/>
        </w:rPr>
        <w:fldChar w:fldCharType="end"/>
      </w:r>
      <w:r>
        <w:rPr>
          <w:rFonts w:ascii="仿宋_GB2312" w:hAnsi="宋体" w:eastAsia="仿宋_GB2312"/>
          <w:bCs/>
          <w:caps/>
          <w:color w:val="auto"/>
          <w:highlight w:val="none"/>
        </w:rPr>
        <w:fldChar w:fldCharType="end"/>
      </w:r>
    </w:p>
    <w:p w14:paraId="40E7199C">
      <w:pPr>
        <w:pStyle w:val="14"/>
        <w:tabs>
          <w:tab w:val="right" w:leader="dot" w:pos="9299"/>
          <w:tab w:val="clear" w:pos="8398"/>
        </w:tabs>
        <w:rPr>
          <w:color w:val="auto"/>
          <w:highlight w:val="none"/>
        </w:rPr>
      </w:pPr>
      <w:r>
        <w:rPr>
          <w:rFonts w:ascii="仿宋_GB2312" w:hAnsi="宋体" w:eastAsia="仿宋_GB2312"/>
          <w:bCs/>
          <w:caps/>
          <w:color w:val="auto"/>
          <w:highlight w:val="none"/>
        </w:rPr>
        <w:fldChar w:fldCharType="begin"/>
      </w:r>
      <w:r>
        <w:rPr>
          <w:rFonts w:ascii="仿宋_GB2312" w:hAnsi="宋体" w:eastAsia="仿宋_GB2312"/>
          <w:bCs/>
          <w:caps/>
          <w:color w:val="auto"/>
          <w:highlight w:val="none"/>
        </w:rPr>
        <w:instrText xml:space="preserve"> HYPERLINK \l _Toc21844 </w:instrText>
      </w:r>
      <w:r>
        <w:rPr>
          <w:rFonts w:ascii="仿宋_GB2312" w:hAnsi="宋体" w:eastAsia="仿宋_GB2312"/>
          <w:bCs/>
          <w:caps/>
          <w:color w:val="auto"/>
          <w:highlight w:val="none"/>
        </w:rPr>
        <w:fldChar w:fldCharType="separate"/>
      </w:r>
      <w:r>
        <w:rPr>
          <w:rFonts w:hint="eastAsia"/>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_Toc21844 \h </w:instrText>
      </w:r>
      <w:r>
        <w:rPr>
          <w:color w:val="auto"/>
          <w:highlight w:val="none"/>
        </w:rPr>
        <w:fldChar w:fldCharType="separate"/>
      </w:r>
      <w:r>
        <w:rPr>
          <w:color w:val="auto"/>
          <w:highlight w:val="none"/>
        </w:rPr>
        <w:t>56</w:t>
      </w:r>
      <w:r>
        <w:rPr>
          <w:color w:val="auto"/>
          <w:highlight w:val="none"/>
        </w:rPr>
        <w:fldChar w:fldCharType="end"/>
      </w:r>
      <w:r>
        <w:rPr>
          <w:rFonts w:ascii="仿宋_GB2312" w:hAnsi="宋体" w:eastAsia="仿宋_GB2312"/>
          <w:bCs/>
          <w:caps/>
          <w:color w:val="auto"/>
          <w:highlight w:val="none"/>
        </w:rPr>
        <w:fldChar w:fldCharType="end"/>
      </w:r>
    </w:p>
    <w:p w14:paraId="57C9EDAE">
      <w:pPr>
        <w:pStyle w:val="14"/>
        <w:tabs>
          <w:tab w:val="right" w:leader="dot" w:pos="9299"/>
          <w:tab w:val="clear" w:pos="8398"/>
        </w:tabs>
        <w:rPr>
          <w:color w:val="auto"/>
          <w:highlight w:val="none"/>
        </w:rPr>
      </w:pPr>
      <w:r>
        <w:rPr>
          <w:rFonts w:ascii="仿宋_GB2312" w:hAnsi="宋体" w:eastAsia="仿宋_GB2312"/>
          <w:bCs/>
          <w:caps/>
          <w:color w:val="auto"/>
          <w:highlight w:val="none"/>
        </w:rPr>
        <w:fldChar w:fldCharType="begin"/>
      </w:r>
      <w:r>
        <w:rPr>
          <w:rFonts w:ascii="仿宋_GB2312" w:hAnsi="宋体" w:eastAsia="仿宋_GB2312"/>
          <w:bCs/>
          <w:caps/>
          <w:color w:val="auto"/>
          <w:highlight w:val="none"/>
        </w:rPr>
        <w:instrText xml:space="preserve"> HYPERLINK \l _Toc159 </w:instrText>
      </w:r>
      <w:r>
        <w:rPr>
          <w:rFonts w:ascii="仿宋_GB2312" w:hAnsi="宋体" w:eastAsia="仿宋_GB2312"/>
          <w:bCs/>
          <w:caps/>
          <w:color w:val="auto"/>
          <w:highlight w:val="none"/>
        </w:rPr>
        <w:fldChar w:fldCharType="separate"/>
      </w:r>
      <w:r>
        <w:rPr>
          <w:rFonts w:hint="eastAsia"/>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_Toc159 \h </w:instrText>
      </w:r>
      <w:r>
        <w:rPr>
          <w:color w:val="auto"/>
          <w:highlight w:val="none"/>
        </w:rPr>
        <w:fldChar w:fldCharType="separate"/>
      </w:r>
      <w:r>
        <w:rPr>
          <w:color w:val="auto"/>
          <w:highlight w:val="none"/>
        </w:rPr>
        <w:t>75</w:t>
      </w:r>
      <w:r>
        <w:rPr>
          <w:color w:val="auto"/>
          <w:highlight w:val="none"/>
        </w:rPr>
        <w:fldChar w:fldCharType="end"/>
      </w:r>
      <w:r>
        <w:rPr>
          <w:rFonts w:ascii="仿宋_GB2312" w:hAnsi="宋体" w:eastAsia="仿宋_GB2312"/>
          <w:bCs/>
          <w:caps/>
          <w:color w:val="auto"/>
          <w:highlight w:val="none"/>
        </w:rPr>
        <w:fldChar w:fldCharType="end"/>
      </w:r>
    </w:p>
    <w:p w14:paraId="24491E1E">
      <w:pPr>
        <w:pStyle w:val="14"/>
        <w:tabs>
          <w:tab w:val="right" w:leader="dot" w:pos="9299"/>
          <w:tab w:val="clear" w:pos="8398"/>
        </w:tabs>
        <w:rPr>
          <w:color w:val="auto"/>
          <w:highlight w:val="none"/>
        </w:rPr>
      </w:pPr>
      <w:r>
        <w:rPr>
          <w:rFonts w:ascii="仿宋_GB2312" w:hAnsi="宋体" w:eastAsia="仿宋_GB2312"/>
          <w:bCs/>
          <w:caps/>
          <w:color w:val="auto"/>
          <w:highlight w:val="none"/>
        </w:rPr>
        <w:fldChar w:fldCharType="begin"/>
      </w:r>
      <w:r>
        <w:rPr>
          <w:rFonts w:ascii="仿宋_GB2312" w:hAnsi="宋体" w:eastAsia="仿宋_GB2312"/>
          <w:bCs/>
          <w:caps/>
          <w:color w:val="auto"/>
          <w:highlight w:val="none"/>
        </w:rPr>
        <w:instrText xml:space="preserve"> HYPERLINK \l _Toc5919 </w:instrText>
      </w:r>
      <w:r>
        <w:rPr>
          <w:rFonts w:ascii="仿宋_GB2312" w:hAnsi="宋体" w:eastAsia="仿宋_GB2312"/>
          <w:bCs/>
          <w:caps/>
          <w:color w:val="auto"/>
          <w:highlight w:val="none"/>
        </w:rPr>
        <w:fldChar w:fldCharType="separate"/>
      </w:r>
      <w:r>
        <w:rPr>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_Toc5919 \h </w:instrText>
      </w:r>
      <w:r>
        <w:rPr>
          <w:color w:val="auto"/>
          <w:highlight w:val="none"/>
        </w:rPr>
        <w:fldChar w:fldCharType="separate"/>
      </w:r>
      <w:r>
        <w:rPr>
          <w:color w:val="auto"/>
          <w:highlight w:val="none"/>
        </w:rPr>
        <w:t>92</w:t>
      </w:r>
      <w:r>
        <w:rPr>
          <w:color w:val="auto"/>
          <w:highlight w:val="none"/>
        </w:rPr>
        <w:fldChar w:fldCharType="end"/>
      </w:r>
      <w:r>
        <w:rPr>
          <w:rFonts w:ascii="仿宋_GB2312" w:hAnsi="宋体" w:eastAsia="仿宋_GB2312"/>
          <w:bCs/>
          <w:caps/>
          <w:color w:val="auto"/>
          <w:highlight w:val="none"/>
        </w:rPr>
        <w:fldChar w:fldCharType="end"/>
      </w:r>
    </w:p>
    <w:p w14:paraId="52C2EFFD">
      <w:pPr>
        <w:pStyle w:val="14"/>
        <w:tabs>
          <w:tab w:val="right" w:leader="dot" w:pos="9299"/>
          <w:tab w:val="clear" w:pos="8398"/>
        </w:tabs>
        <w:rPr>
          <w:color w:val="auto"/>
          <w:highlight w:val="none"/>
        </w:rPr>
      </w:pPr>
      <w:r>
        <w:rPr>
          <w:rFonts w:ascii="仿宋_GB2312" w:hAnsi="宋体" w:eastAsia="仿宋_GB2312"/>
          <w:bCs/>
          <w:caps/>
          <w:color w:val="auto"/>
          <w:highlight w:val="none"/>
        </w:rPr>
        <w:fldChar w:fldCharType="begin"/>
      </w:r>
      <w:r>
        <w:rPr>
          <w:rFonts w:ascii="仿宋_GB2312" w:hAnsi="宋体" w:eastAsia="仿宋_GB2312"/>
          <w:bCs/>
          <w:caps/>
          <w:color w:val="auto"/>
          <w:highlight w:val="none"/>
        </w:rPr>
        <w:instrText xml:space="preserve"> HYPERLINK \l _Toc16858 </w:instrText>
      </w:r>
      <w:r>
        <w:rPr>
          <w:rFonts w:ascii="仿宋_GB2312" w:hAnsi="宋体" w:eastAsia="仿宋_GB2312"/>
          <w:bCs/>
          <w:caps/>
          <w:color w:val="auto"/>
          <w:highlight w:val="none"/>
        </w:rPr>
        <w:fldChar w:fldCharType="separate"/>
      </w:r>
      <w:r>
        <w:rPr>
          <w:rFonts w:hint="eastAsia"/>
          <w:color w:val="auto"/>
          <w:kern w:val="0"/>
          <w:szCs w:val="20"/>
          <w:highlight w:val="none"/>
        </w:rPr>
        <w:t>第七章</w:t>
      </w:r>
      <w:r>
        <w:rPr>
          <w:color w:val="auto"/>
          <w:kern w:val="0"/>
          <w:szCs w:val="20"/>
          <w:highlight w:val="none"/>
        </w:rPr>
        <w:t xml:space="preserve"> </w:t>
      </w:r>
      <w:r>
        <w:rPr>
          <w:rFonts w:hint="eastAsia"/>
          <w:color w:val="auto"/>
          <w:kern w:val="0"/>
          <w:szCs w:val="20"/>
          <w:highlight w:val="none"/>
        </w:rPr>
        <w:t>质疑、投诉证明材料格式</w:t>
      </w:r>
      <w:r>
        <w:rPr>
          <w:color w:val="auto"/>
          <w:highlight w:val="none"/>
        </w:rPr>
        <w:tab/>
      </w:r>
      <w:r>
        <w:rPr>
          <w:color w:val="auto"/>
          <w:highlight w:val="none"/>
        </w:rPr>
        <w:fldChar w:fldCharType="begin"/>
      </w:r>
      <w:r>
        <w:rPr>
          <w:color w:val="auto"/>
          <w:highlight w:val="none"/>
        </w:rPr>
        <w:instrText xml:space="preserve"> PAGEREF _Toc16858 \h </w:instrText>
      </w:r>
      <w:r>
        <w:rPr>
          <w:color w:val="auto"/>
          <w:highlight w:val="none"/>
        </w:rPr>
        <w:fldChar w:fldCharType="separate"/>
      </w:r>
      <w:r>
        <w:rPr>
          <w:color w:val="auto"/>
          <w:highlight w:val="none"/>
        </w:rPr>
        <w:t>128</w:t>
      </w:r>
      <w:r>
        <w:rPr>
          <w:color w:val="auto"/>
          <w:highlight w:val="none"/>
        </w:rPr>
        <w:fldChar w:fldCharType="end"/>
      </w:r>
      <w:r>
        <w:rPr>
          <w:rFonts w:ascii="仿宋_GB2312" w:hAnsi="宋体" w:eastAsia="仿宋_GB2312"/>
          <w:bCs/>
          <w:caps/>
          <w:color w:val="auto"/>
          <w:highlight w:val="none"/>
        </w:rPr>
        <w:fldChar w:fldCharType="end"/>
      </w:r>
    </w:p>
    <w:p w14:paraId="75F7269A">
      <w:pPr>
        <w:pStyle w:val="14"/>
        <w:tabs>
          <w:tab w:val="right" w:leader="dot" w:pos="9299"/>
          <w:tab w:val="clear" w:pos="8398"/>
        </w:tabs>
        <w:rPr>
          <w:color w:val="auto"/>
          <w:highlight w:val="none"/>
        </w:rPr>
      </w:pPr>
    </w:p>
    <w:p w14:paraId="466A3C7A">
      <w:pPr>
        <w:spacing w:before="120" w:beforeLines="50" w:line="480" w:lineRule="exact"/>
        <w:rPr>
          <w:rFonts w:ascii="仿宋_GB2312" w:hAnsi="宋体" w:eastAsia="仿宋_GB2312"/>
          <w:color w:val="auto"/>
          <w:sz w:val="24"/>
          <w:highlight w:val="none"/>
        </w:rPr>
      </w:pPr>
      <w:r>
        <w:rPr>
          <w:rFonts w:ascii="仿宋_GB2312" w:hAnsi="宋体" w:eastAsia="仿宋_GB2312"/>
          <w:bCs/>
          <w:caps/>
          <w:color w:val="auto"/>
          <w:sz w:val="30"/>
          <w:highlight w:val="none"/>
        </w:rPr>
        <w:fldChar w:fldCharType="end"/>
      </w:r>
    </w:p>
    <w:p w14:paraId="31F0BB82">
      <w:pPr>
        <w:spacing w:before="120" w:beforeLines="50" w:line="480" w:lineRule="exact"/>
        <w:rPr>
          <w:rFonts w:ascii="仿宋_GB2312" w:hAnsi="宋体" w:eastAsia="仿宋_GB2312"/>
          <w:color w:val="auto"/>
          <w:sz w:val="30"/>
          <w:highlight w:val="none"/>
        </w:rPr>
      </w:pPr>
    </w:p>
    <w:p w14:paraId="5F018A6F">
      <w:pPr>
        <w:rPr>
          <w:color w:val="auto"/>
          <w:highlight w:val="none"/>
        </w:rPr>
      </w:pPr>
    </w:p>
    <w:p w14:paraId="0DC84C21">
      <w:pPr>
        <w:spacing w:before="120" w:beforeLines="50" w:line="480" w:lineRule="exact"/>
        <w:rPr>
          <w:rFonts w:ascii="仿宋_GB2312" w:hAnsi="宋体" w:eastAsia="仿宋_GB2312"/>
          <w:color w:val="auto"/>
          <w:sz w:val="30"/>
          <w:highlight w:val="none"/>
        </w:rPr>
      </w:pPr>
    </w:p>
    <w:p w14:paraId="0343D08C">
      <w:pPr>
        <w:spacing w:before="120" w:beforeLines="50" w:line="480" w:lineRule="exact"/>
        <w:rPr>
          <w:rFonts w:ascii="仿宋_GB2312" w:hAnsi="宋体" w:eastAsia="仿宋_GB2312"/>
          <w:color w:val="auto"/>
          <w:sz w:val="30"/>
          <w:highlight w:val="none"/>
        </w:rPr>
      </w:pPr>
    </w:p>
    <w:p w14:paraId="1943FBE0">
      <w:pPr>
        <w:pStyle w:val="7"/>
        <w:rPr>
          <w:rFonts w:ascii="宋体" w:hAnsi="宋体" w:cs="宋体"/>
          <w:b/>
          <w:bCs/>
          <w:color w:val="auto"/>
          <w:highlight w:val="none"/>
        </w:rPr>
      </w:pPr>
      <w:bookmarkStart w:id="2" w:name="_Toc254970489"/>
      <w:bookmarkStart w:id="3" w:name="_Toc254970630"/>
    </w:p>
    <w:p w14:paraId="7DD54E32">
      <w:pPr>
        <w:pStyle w:val="2"/>
        <w:keepNext w:val="0"/>
        <w:keepLines w:val="0"/>
        <w:tabs>
          <w:tab w:val="left" w:pos="0"/>
          <w:tab w:val="left" w:pos="3165"/>
          <w:tab w:val="center" w:pos="4153"/>
        </w:tabs>
        <w:autoSpaceDE w:val="0"/>
        <w:autoSpaceDN w:val="0"/>
        <w:adjustRightInd w:val="0"/>
        <w:spacing w:before="0" w:after="0" w:line="360" w:lineRule="auto"/>
        <w:outlineLvl w:val="9"/>
        <w:rPr>
          <w:color w:val="auto"/>
          <w:highlight w:val="none"/>
        </w:rPr>
        <w:sectPr>
          <w:pgSz w:w="11906" w:h="16838"/>
          <w:pgMar w:top="1134" w:right="1247" w:bottom="1134" w:left="1247" w:header="737" w:footer="680" w:gutter="113"/>
          <w:pgNumType w:fmt="decimal" w:start="1"/>
          <w:cols w:space="720" w:num="1"/>
          <w:titlePg/>
          <w:docGrid w:linePitch="312" w:charSpace="0"/>
        </w:sectPr>
      </w:pPr>
    </w:p>
    <w:p w14:paraId="6FB60B1D">
      <w:pPr>
        <w:pStyle w:val="2"/>
        <w:keepNext w:val="0"/>
        <w:keepLines w:val="0"/>
        <w:tabs>
          <w:tab w:val="left" w:pos="0"/>
          <w:tab w:val="left" w:pos="3165"/>
          <w:tab w:val="center" w:pos="4153"/>
        </w:tabs>
        <w:autoSpaceDE w:val="0"/>
        <w:autoSpaceDN w:val="0"/>
        <w:adjustRightInd w:val="0"/>
        <w:spacing w:before="0" w:after="0" w:line="360" w:lineRule="auto"/>
        <w:rPr>
          <w:rFonts w:ascii="宋体" w:hAnsi="宋体"/>
          <w:color w:val="auto"/>
          <w:szCs w:val="21"/>
          <w:highlight w:val="none"/>
        </w:rPr>
      </w:pPr>
      <w:bookmarkStart w:id="4" w:name="_Toc26767"/>
      <w:bookmarkStart w:id="5" w:name="_Toc105771718"/>
      <w:r>
        <w:rPr>
          <w:rFonts w:hint="eastAsia"/>
          <w:color w:val="auto"/>
          <w:highlight w:val="none"/>
        </w:rPr>
        <w:t>第一章</w:t>
      </w:r>
      <w:bookmarkEnd w:id="2"/>
      <w:bookmarkEnd w:id="3"/>
      <w:bookmarkStart w:id="6" w:name="_Toc28359001"/>
      <w:bookmarkStart w:id="7" w:name="_Toc35393789"/>
      <w:r>
        <w:rPr>
          <w:rFonts w:hint="eastAsia"/>
          <w:color w:val="auto"/>
          <w:highlight w:val="none"/>
        </w:rPr>
        <w:t xml:space="preserve"> </w:t>
      </w:r>
      <w:bookmarkStart w:id="8" w:name="OLE_LINK98"/>
      <w:bookmarkStart w:id="9" w:name="OLE_LINK97"/>
      <w:r>
        <w:rPr>
          <w:rFonts w:hint="eastAsia"/>
          <w:color w:val="auto"/>
          <w:highlight w:val="none"/>
        </w:rPr>
        <w:t>招标公告</w:t>
      </w:r>
      <w:bookmarkEnd w:id="4"/>
      <w:bookmarkEnd w:id="5"/>
      <w:bookmarkEnd w:id="6"/>
      <w:bookmarkEnd w:id="7"/>
      <w:bookmarkEnd w:id="8"/>
      <w:bookmarkEnd w:id="9"/>
      <w:bookmarkStart w:id="10" w:name="OLE_LINK95"/>
      <w:bookmarkStart w:id="11" w:name="OLE_LINK96"/>
    </w:p>
    <w:p w14:paraId="643F4110">
      <w:pPr>
        <w:pBdr>
          <w:top w:val="single" w:color="auto" w:sz="4" w:space="1"/>
          <w:left w:val="single" w:color="auto" w:sz="4" w:space="4"/>
          <w:bottom w:val="single" w:color="auto" w:sz="4" w:space="1"/>
          <w:right w:val="single" w:color="auto" w:sz="4" w:space="0"/>
        </w:pBdr>
        <w:spacing w:line="380" w:lineRule="exact"/>
        <w:rPr>
          <w:rFonts w:ascii="宋体" w:hAnsi="宋体"/>
          <w:b/>
          <w:color w:val="auto"/>
          <w:szCs w:val="21"/>
          <w:highlight w:val="none"/>
        </w:rPr>
      </w:pPr>
      <w:r>
        <w:rPr>
          <w:rFonts w:hint="eastAsia" w:ascii="宋体" w:hAnsi="宋体"/>
          <w:b/>
          <w:color w:val="auto"/>
          <w:szCs w:val="21"/>
          <w:highlight w:val="none"/>
        </w:rPr>
        <w:t>项目概况:</w:t>
      </w:r>
    </w:p>
    <w:p w14:paraId="18CA51A6">
      <w:pPr>
        <w:pBdr>
          <w:top w:val="single" w:color="auto" w:sz="4" w:space="1"/>
          <w:left w:val="single" w:color="auto" w:sz="4" w:space="4"/>
          <w:bottom w:val="single" w:color="auto" w:sz="4" w:space="1"/>
          <w:right w:val="single" w:color="auto" w:sz="4" w:space="0"/>
        </w:pBdr>
        <w:spacing w:line="38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lang w:eastAsia="zh-CN"/>
        </w:rPr>
        <w:t xml:space="preserve">309项目 </w:t>
      </w:r>
      <w:r>
        <w:rPr>
          <w:rFonts w:hint="eastAsia" w:ascii="宋体" w:hAnsi="宋体"/>
          <w:color w:val="auto"/>
          <w:szCs w:val="21"/>
          <w:highlight w:val="none"/>
        </w:rPr>
        <w:t>的潜在投标人应在</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广西政府采购</w:t>
      </w:r>
      <w:r>
        <w:rPr>
          <w:rFonts w:hint="eastAsia" w:ascii="宋体" w:hAnsi="宋体"/>
          <w:color w:val="auto"/>
          <w:szCs w:val="21"/>
          <w:highlight w:val="none"/>
          <w:u w:val="single"/>
        </w:rPr>
        <w:t>云”平台</w:t>
      </w:r>
      <w:r>
        <w:rPr>
          <w:rFonts w:hint="eastAsia" w:ascii="宋体" w:hAnsi="宋体"/>
          <w:color w:val="auto"/>
          <w:szCs w:val="21"/>
          <w:highlight w:val="none"/>
        </w:rPr>
        <w:t>https://www.gcy.zfcg.gxzf.gov.cn</w:t>
      </w:r>
      <w:r>
        <w:rPr>
          <w:rFonts w:hint="eastAsia" w:ascii="宋体" w:hAnsi="宋体"/>
          <w:color w:val="auto"/>
          <w:szCs w:val="21"/>
          <w:highlight w:val="none"/>
          <w:u w:val="single"/>
        </w:rPr>
        <w:t>）自行下载获</w:t>
      </w:r>
      <w:r>
        <w:rPr>
          <w:rFonts w:hint="eastAsia" w:ascii="宋体" w:hAnsi="宋体"/>
          <w:color w:val="auto"/>
          <w:szCs w:val="21"/>
          <w:highlight w:val="none"/>
        </w:rPr>
        <w:t>取招标文件，并于</w:t>
      </w:r>
      <w:bookmarkStart w:id="12" w:name="OLE_LINK77"/>
      <w:bookmarkStart w:id="13" w:name="OLE_LINK76"/>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 xml:space="preserve">12 </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31</w:t>
      </w:r>
      <w:r>
        <w:rPr>
          <w:rFonts w:hint="eastAsia" w:ascii="宋体" w:hAnsi="宋体"/>
          <w:bCs/>
          <w:color w:val="auto"/>
          <w:szCs w:val="21"/>
          <w:highlight w:val="none"/>
          <w:u w:val="single"/>
        </w:rPr>
        <w:t>日</w:t>
      </w:r>
      <w:r>
        <w:rPr>
          <w:rFonts w:hint="eastAsia" w:ascii="宋体" w:hAnsi="宋体"/>
          <w:color w:val="auto"/>
          <w:szCs w:val="21"/>
          <w:highlight w:val="none"/>
          <w:u w:val="single"/>
        </w:rPr>
        <w:t>09：30</w:t>
      </w:r>
      <w:bookmarkEnd w:id="12"/>
      <w:bookmarkEnd w:id="13"/>
      <w:r>
        <w:rPr>
          <w:rFonts w:ascii="宋体" w:hAnsi="宋体"/>
          <w:color w:val="auto"/>
          <w:szCs w:val="21"/>
          <w:highlight w:val="none"/>
          <w:u w:val="single"/>
        </w:rPr>
        <w:t>（北京时间）</w:t>
      </w:r>
      <w:r>
        <w:rPr>
          <w:rFonts w:hint="eastAsia" w:ascii="宋体" w:hAnsi="宋体"/>
          <w:bCs/>
          <w:color w:val="auto"/>
          <w:szCs w:val="21"/>
          <w:highlight w:val="none"/>
        </w:rPr>
        <w:t>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64F524A3">
      <w:pPr>
        <w:spacing w:line="400" w:lineRule="exact"/>
        <w:outlineLvl w:val="1"/>
        <w:rPr>
          <w:rFonts w:ascii="宋体" w:hAnsi="宋体"/>
          <w:b/>
          <w:bCs/>
          <w:color w:val="auto"/>
          <w:szCs w:val="21"/>
          <w:highlight w:val="none"/>
        </w:rPr>
      </w:pPr>
      <w:bookmarkStart w:id="14" w:name="_Toc32155"/>
      <w:bookmarkStart w:id="15" w:name="_Toc35393790"/>
      <w:bookmarkStart w:id="16" w:name="_Toc35393621"/>
      <w:bookmarkStart w:id="17" w:name="_Toc28359079"/>
      <w:bookmarkStart w:id="18" w:name="_Toc28359002"/>
      <w:bookmarkStart w:id="19" w:name="_Hlk24379207"/>
      <w:r>
        <w:rPr>
          <w:rFonts w:hint="eastAsia" w:ascii="宋体" w:hAnsi="宋体"/>
          <w:b/>
          <w:bCs/>
          <w:color w:val="auto"/>
          <w:szCs w:val="21"/>
          <w:highlight w:val="none"/>
        </w:rPr>
        <w:t>一、项目基本情况</w:t>
      </w:r>
      <w:bookmarkEnd w:id="14"/>
      <w:bookmarkEnd w:id="15"/>
      <w:bookmarkEnd w:id="16"/>
      <w:bookmarkEnd w:id="17"/>
      <w:bookmarkEnd w:id="18"/>
    </w:p>
    <w:bookmarkEnd w:id="19"/>
    <w:p w14:paraId="04F4642A">
      <w:pPr>
        <w:spacing w:line="400" w:lineRule="exact"/>
        <w:ind w:firstLine="420" w:firstLineChars="200"/>
        <w:rPr>
          <w:rFonts w:hint="eastAsia" w:ascii="宋体" w:hAnsi="宋体"/>
          <w:color w:val="auto"/>
          <w:szCs w:val="21"/>
          <w:highlight w:val="none"/>
        </w:rPr>
      </w:pPr>
      <w:bookmarkStart w:id="20" w:name="_Toc28359080"/>
      <w:bookmarkStart w:id="21" w:name="_Toc28359003"/>
      <w:bookmarkStart w:id="22" w:name="_Toc35393791"/>
      <w:bookmarkStart w:id="23" w:name="_Toc35393622"/>
      <w:r>
        <w:rPr>
          <w:rFonts w:hint="eastAsia" w:ascii="宋体" w:hAnsi="宋体"/>
          <w:color w:val="auto"/>
          <w:szCs w:val="21"/>
          <w:highlight w:val="none"/>
        </w:rPr>
        <w:t>项目编号：GXZC2025-G3-003790-GXXZ</w:t>
      </w:r>
    </w:p>
    <w:p w14:paraId="1F77D3C6">
      <w:pPr>
        <w:spacing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 xml:space="preserve">309项目 </w:t>
      </w:r>
    </w:p>
    <w:p w14:paraId="163266CA">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olor w:val="auto"/>
          <w:szCs w:val="21"/>
          <w:highlight w:val="none"/>
        </w:rPr>
        <w:t>预算金额（人民币）：</w:t>
      </w:r>
      <w:r>
        <w:rPr>
          <w:rFonts w:hint="eastAsia" w:ascii="宋体" w:hAnsi="宋体" w:cs="宋体"/>
          <w:iCs w:val="0"/>
          <w:color w:val="auto"/>
          <w:sz w:val="21"/>
          <w:szCs w:val="21"/>
          <w:highlight w:val="none"/>
          <w:u w:val="none"/>
          <w:lang w:val="en-US" w:eastAsia="zh-CN"/>
        </w:rPr>
        <w:t>3962.23</w:t>
      </w:r>
      <w:r>
        <w:rPr>
          <w:rFonts w:hint="eastAsia" w:ascii="宋体" w:hAnsi="宋体" w:cs="宋体"/>
          <w:color w:val="auto"/>
          <w:szCs w:val="21"/>
          <w:highlight w:val="none"/>
        </w:rPr>
        <w:t>万元</w:t>
      </w:r>
      <w:r>
        <w:rPr>
          <w:rFonts w:hint="eastAsia" w:ascii="宋体" w:hAnsi="宋体" w:cs="宋体"/>
          <w:color w:val="auto"/>
          <w:szCs w:val="21"/>
          <w:highlight w:val="none"/>
          <w:lang w:eastAsia="zh-CN"/>
        </w:rPr>
        <w:t>，其中</w:t>
      </w:r>
      <w:r>
        <w:rPr>
          <w:rFonts w:hint="eastAsia" w:ascii="宋体" w:hAnsi="宋体" w:cs="宋体"/>
          <w:color w:val="auto"/>
          <w:szCs w:val="21"/>
          <w:highlight w:val="none"/>
          <w:lang w:val="en-US" w:eastAsia="zh-CN"/>
        </w:rPr>
        <w:t>1分标：</w:t>
      </w:r>
      <w:r>
        <w:rPr>
          <w:rFonts w:hint="eastAsia" w:ascii="宋体" w:hAnsi="宋体" w:cs="宋体"/>
          <w:color w:val="auto"/>
          <w:szCs w:val="21"/>
          <w:highlight w:val="none"/>
          <w:u w:val="none"/>
          <w:lang w:val="en-US" w:eastAsia="zh-CN"/>
        </w:rPr>
        <w:t>3579.2</w:t>
      </w:r>
      <w:r>
        <w:rPr>
          <w:rFonts w:hint="eastAsia" w:ascii="宋体" w:hAnsi="宋体" w:cs="宋体"/>
          <w:color w:val="auto"/>
          <w:szCs w:val="21"/>
          <w:highlight w:val="none"/>
          <w:lang w:val="en-US" w:eastAsia="zh-CN"/>
        </w:rPr>
        <w:t>万元；2分标：</w:t>
      </w:r>
      <w:r>
        <w:rPr>
          <w:rFonts w:hint="eastAsia" w:ascii="宋体" w:hAnsi="宋体" w:cs="宋体"/>
          <w:color w:val="auto"/>
          <w:szCs w:val="21"/>
          <w:highlight w:val="none"/>
          <w:u w:val="none"/>
          <w:lang w:val="en-US" w:eastAsia="zh-CN"/>
        </w:rPr>
        <w:t>383.03</w:t>
      </w:r>
      <w:r>
        <w:rPr>
          <w:rFonts w:hint="eastAsia" w:ascii="宋体" w:hAnsi="宋体" w:cs="宋体"/>
          <w:color w:val="auto"/>
          <w:szCs w:val="21"/>
          <w:highlight w:val="none"/>
          <w:lang w:val="en-US" w:eastAsia="zh-CN"/>
        </w:rPr>
        <w:t>万元</w:t>
      </w:r>
    </w:p>
    <w:p w14:paraId="6BFF91E7">
      <w:pPr>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2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2"/>
        <w:gridCol w:w="804"/>
        <w:gridCol w:w="2930"/>
        <w:gridCol w:w="1341"/>
        <w:gridCol w:w="3394"/>
      </w:tblGrid>
      <w:tr w14:paraId="0B91C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447" w:type="pct"/>
            <w:vAlign w:val="center"/>
          </w:tcPr>
          <w:p w14:paraId="628B37D9">
            <w:pPr>
              <w:keepNext w:val="0"/>
              <w:keepLines w:val="0"/>
              <w:pageBreakBefore w:val="0"/>
              <w:widowControl w:val="0"/>
              <w:kinsoku/>
              <w:wordWrap/>
              <w:overflowPunct/>
              <w:topLinePunct w:val="0"/>
              <w:autoSpaceDE/>
              <w:autoSpaceDN/>
              <w:bidi w:val="0"/>
              <w:adjustRightInd/>
              <w:snapToGrid/>
              <w:spacing w:before="68"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分</w:t>
            </w:r>
            <w:r>
              <w:rPr>
                <w:rFonts w:hint="eastAsia" w:ascii="宋体" w:hAnsi="宋体" w:eastAsia="宋体" w:cs="宋体"/>
                <w:color w:val="auto"/>
                <w:spacing w:val="-2"/>
                <w:sz w:val="21"/>
                <w:szCs w:val="21"/>
                <w:highlight w:val="none"/>
              </w:rPr>
              <w:t>标</w:t>
            </w:r>
          </w:p>
        </w:tc>
        <w:tc>
          <w:tcPr>
            <w:tcW w:w="432" w:type="pct"/>
            <w:vAlign w:val="center"/>
          </w:tcPr>
          <w:p w14:paraId="6692A47E">
            <w:pPr>
              <w:keepNext w:val="0"/>
              <w:keepLines w:val="0"/>
              <w:pageBreakBefore w:val="0"/>
              <w:widowControl w:val="0"/>
              <w:kinsoku/>
              <w:wordWrap/>
              <w:overflowPunct/>
              <w:topLinePunct w:val="0"/>
              <w:autoSpaceDE/>
              <w:autoSpaceDN/>
              <w:bidi w:val="0"/>
              <w:adjustRightInd/>
              <w:snapToGrid/>
              <w:spacing w:before="68"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w:t>
            </w:r>
            <w:r>
              <w:rPr>
                <w:rFonts w:hint="eastAsia" w:ascii="宋体" w:hAnsi="宋体" w:eastAsia="宋体" w:cs="宋体"/>
                <w:color w:val="auto"/>
                <w:spacing w:val="-1"/>
                <w:sz w:val="21"/>
                <w:szCs w:val="21"/>
                <w:highlight w:val="none"/>
              </w:rPr>
              <w:t>号</w:t>
            </w:r>
          </w:p>
        </w:tc>
        <w:tc>
          <w:tcPr>
            <w:tcW w:w="1575" w:type="pct"/>
            <w:vAlign w:val="center"/>
          </w:tcPr>
          <w:p w14:paraId="7373220E">
            <w:pPr>
              <w:keepNext w:val="0"/>
              <w:keepLines w:val="0"/>
              <w:pageBreakBefore w:val="0"/>
              <w:widowControl w:val="0"/>
              <w:kinsoku/>
              <w:wordWrap/>
              <w:overflowPunct/>
              <w:topLinePunct w:val="0"/>
              <w:autoSpaceDE/>
              <w:autoSpaceDN/>
              <w:bidi w:val="0"/>
              <w:adjustRightInd/>
              <w:snapToGrid/>
              <w:spacing w:before="68"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标的</w:t>
            </w:r>
            <w:r>
              <w:rPr>
                <w:rFonts w:hint="eastAsia" w:ascii="宋体" w:hAnsi="宋体" w:eastAsia="宋体" w:cs="宋体"/>
                <w:color w:val="auto"/>
                <w:spacing w:val="-1"/>
                <w:sz w:val="21"/>
                <w:szCs w:val="21"/>
                <w:highlight w:val="none"/>
              </w:rPr>
              <w:t>名称</w:t>
            </w:r>
          </w:p>
        </w:tc>
        <w:tc>
          <w:tcPr>
            <w:tcW w:w="721" w:type="pct"/>
            <w:vAlign w:val="center"/>
          </w:tcPr>
          <w:p w14:paraId="3776C318">
            <w:pPr>
              <w:keepNext w:val="0"/>
              <w:keepLines w:val="0"/>
              <w:pageBreakBefore w:val="0"/>
              <w:widowControl w:val="0"/>
              <w:kinsoku/>
              <w:wordWrap/>
              <w:overflowPunct/>
              <w:topLinePunct w:val="0"/>
              <w:autoSpaceDE/>
              <w:autoSpaceDN/>
              <w:bidi w:val="0"/>
              <w:adjustRightInd/>
              <w:snapToGrid/>
              <w:spacing w:before="142" w:line="400" w:lineRule="exact"/>
              <w:ind w:left="119"/>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pacing w:val="-2"/>
                <w:sz w:val="21"/>
                <w:szCs w:val="21"/>
                <w:highlight w:val="none"/>
                <w:lang w:val="en-US" w:eastAsia="zh-CN"/>
              </w:rPr>
              <w:t>数量及单位</w:t>
            </w:r>
          </w:p>
        </w:tc>
        <w:tc>
          <w:tcPr>
            <w:tcW w:w="1822" w:type="pct"/>
            <w:vAlign w:val="center"/>
          </w:tcPr>
          <w:p w14:paraId="27CC433F">
            <w:pPr>
              <w:keepNext w:val="0"/>
              <w:keepLines w:val="0"/>
              <w:pageBreakBefore w:val="0"/>
              <w:widowControl w:val="0"/>
              <w:kinsoku/>
              <w:wordWrap/>
              <w:overflowPunct/>
              <w:topLinePunct w:val="0"/>
              <w:autoSpaceDE/>
              <w:autoSpaceDN/>
              <w:bidi w:val="0"/>
              <w:adjustRightInd/>
              <w:snapToGrid/>
              <w:spacing w:before="69"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简要技术需求或者服</w:t>
            </w:r>
            <w:r>
              <w:rPr>
                <w:rFonts w:hint="eastAsia" w:ascii="宋体" w:hAnsi="宋体" w:eastAsia="宋体" w:cs="宋体"/>
                <w:color w:val="auto"/>
                <w:sz w:val="21"/>
                <w:szCs w:val="21"/>
                <w:highlight w:val="none"/>
              </w:rPr>
              <w:t>务要求</w:t>
            </w:r>
          </w:p>
        </w:tc>
      </w:tr>
      <w:tr w14:paraId="422F7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447" w:type="pct"/>
            <w:vMerge w:val="restart"/>
            <w:tcBorders>
              <w:bottom w:val="nil"/>
            </w:tcBorders>
            <w:vAlign w:val="center"/>
          </w:tcPr>
          <w:p w14:paraId="18C17AAE">
            <w:pPr>
              <w:keepNext w:val="0"/>
              <w:keepLines w:val="0"/>
              <w:pageBreakBefore w:val="0"/>
              <w:widowControl w:val="0"/>
              <w:kinsoku/>
              <w:wordWrap/>
              <w:overflowPunct/>
              <w:topLinePunct w:val="0"/>
              <w:autoSpaceDE/>
              <w:autoSpaceDN/>
              <w:bidi w:val="0"/>
              <w:adjustRightInd/>
              <w:snapToGrid/>
              <w:spacing w:before="69"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分标1</w:t>
            </w:r>
          </w:p>
        </w:tc>
        <w:tc>
          <w:tcPr>
            <w:tcW w:w="432" w:type="pct"/>
            <w:vAlign w:val="center"/>
          </w:tcPr>
          <w:p w14:paraId="6C9973FC">
            <w:pPr>
              <w:keepNext w:val="0"/>
              <w:keepLines w:val="0"/>
              <w:pageBreakBefore w:val="0"/>
              <w:widowControl w:val="0"/>
              <w:kinsoku/>
              <w:wordWrap/>
              <w:overflowPunct/>
              <w:topLinePunct w:val="0"/>
              <w:autoSpaceDE/>
              <w:autoSpaceDN/>
              <w:bidi w:val="0"/>
              <w:adjustRightInd/>
              <w:snapToGrid/>
              <w:spacing w:before="68"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75" w:type="pct"/>
            <w:vAlign w:val="center"/>
          </w:tcPr>
          <w:p w14:paraId="6469E6F7">
            <w:pPr>
              <w:keepNext w:val="0"/>
              <w:keepLines w:val="0"/>
              <w:pageBreakBefore w:val="0"/>
              <w:widowControl w:val="0"/>
              <w:kinsoku/>
              <w:wordWrap/>
              <w:overflowPunct/>
              <w:topLinePunct w:val="0"/>
              <w:autoSpaceDE/>
              <w:autoSpaceDN/>
              <w:bidi w:val="0"/>
              <w:adjustRightInd/>
              <w:snapToGrid/>
              <w:spacing w:before="68" w:line="400" w:lineRule="exact"/>
              <w:ind w:right="135"/>
              <w:jc w:val="center"/>
              <w:textAlignment w:val="auto"/>
              <w:rPr>
                <w:rFonts w:hint="eastAsia" w:ascii="宋体" w:hAnsi="宋体" w:eastAsia="宋体" w:cs="宋体"/>
                <w:color w:val="auto"/>
                <w:sz w:val="21"/>
                <w:szCs w:val="21"/>
                <w:highlight w:val="none"/>
              </w:rPr>
            </w:pPr>
            <w:r>
              <w:rPr>
                <w:rFonts w:hint="eastAsia" w:ascii="宋体" w:hAnsi="宋体" w:cs="Times New Roman"/>
                <w:bCs w:val="0"/>
                <w:color w:val="auto"/>
                <w:kern w:val="2"/>
                <w:szCs w:val="21"/>
                <w:highlight w:val="none"/>
                <w:lang w:val="en-US" w:eastAsia="zh-CN"/>
              </w:rPr>
              <w:t>309项目（A部分）</w:t>
            </w:r>
          </w:p>
        </w:tc>
        <w:tc>
          <w:tcPr>
            <w:tcW w:w="721" w:type="pct"/>
            <w:vAlign w:val="center"/>
          </w:tcPr>
          <w:p w14:paraId="2C5E0DDD">
            <w:pPr>
              <w:keepNext w:val="0"/>
              <w:keepLines w:val="0"/>
              <w:pageBreakBefore w:val="0"/>
              <w:widowControl w:val="0"/>
              <w:kinsoku/>
              <w:wordWrap/>
              <w:overflowPunct/>
              <w:topLinePunct w:val="0"/>
              <w:autoSpaceDE/>
              <w:autoSpaceDN/>
              <w:bidi w:val="0"/>
              <w:adjustRightInd/>
              <w:snapToGrid/>
              <w:spacing w:before="69" w:line="400" w:lineRule="exact"/>
              <w:ind w:left="196"/>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项</w:t>
            </w:r>
          </w:p>
        </w:tc>
        <w:tc>
          <w:tcPr>
            <w:tcW w:w="1822" w:type="pct"/>
            <w:vAlign w:val="center"/>
          </w:tcPr>
          <w:p w14:paraId="766827B7">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详见招标文件采购需求</w:t>
            </w:r>
          </w:p>
        </w:tc>
      </w:tr>
      <w:tr w14:paraId="181CE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47" w:type="pct"/>
            <w:vMerge w:val="continue"/>
            <w:tcBorders>
              <w:top w:val="nil"/>
              <w:bottom w:val="nil"/>
            </w:tcBorders>
            <w:vAlign w:val="top"/>
          </w:tcPr>
          <w:p w14:paraId="67FEB5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4552" w:type="pct"/>
            <w:gridSpan w:val="4"/>
            <w:vAlign w:val="center"/>
          </w:tcPr>
          <w:p w14:paraId="69E46E20">
            <w:pPr>
              <w:keepNext w:val="0"/>
              <w:keepLines w:val="0"/>
              <w:pageBreakBefore w:val="0"/>
              <w:widowControl w:val="0"/>
              <w:kinsoku/>
              <w:wordWrap/>
              <w:overflowPunct/>
              <w:topLinePunct w:val="0"/>
              <w:autoSpaceDE/>
              <w:autoSpaceDN/>
              <w:bidi w:val="0"/>
              <w:adjustRightInd/>
              <w:snapToGrid/>
              <w:spacing w:before="142" w:line="400" w:lineRule="exact"/>
              <w:ind w:left="11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rPr>
              <w:t>预算金额</w:t>
            </w:r>
            <w:r>
              <w:rPr>
                <w:rFonts w:hint="eastAsia" w:ascii="宋体" w:hAnsi="宋体" w:eastAsia="宋体" w:cs="宋体"/>
                <w:color w:val="auto"/>
                <w:sz w:val="21"/>
                <w:szCs w:val="21"/>
                <w:highlight w:val="none"/>
              </w:rPr>
              <w:t>：</w:t>
            </w:r>
            <w:r>
              <w:rPr>
                <w:rFonts w:hint="default" w:ascii="宋体" w:hAnsi="宋体" w:cs="宋体"/>
                <w:color w:val="auto"/>
                <w:szCs w:val="21"/>
                <w:highlight w:val="none"/>
                <w:u w:val="none"/>
              </w:rPr>
              <w:t>3579.2</w:t>
            </w:r>
            <w:r>
              <w:rPr>
                <w:rFonts w:hint="eastAsia" w:ascii="宋体" w:hAnsi="宋体" w:cs="宋体"/>
                <w:color w:val="auto"/>
                <w:sz w:val="21"/>
                <w:szCs w:val="21"/>
                <w:highlight w:val="none"/>
                <w:lang w:val="en-US" w:eastAsia="zh-CN"/>
              </w:rPr>
              <w:t>万元</w:t>
            </w:r>
          </w:p>
        </w:tc>
      </w:tr>
      <w:tr w14:paraId="7C648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447" w:type="pct"/>
            <w:vMerge w:val="continue"/>
            <w:tcBorders>
              <w:top w:val="nil"/>
            </w:tcBorders>
            <w:vAlign w:val="top"/>
          </w:tcPr>
          <w:p w14:paraId="0EFAFC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4552" w:type="pct"/>
            <w:gridSpan w:val="4"/>
            <w:vAlign w:val="center"/>
          </w:tcPr>
          <w:p w14:paraId="5703D8E0">
            <w:pPr>
              <w:keepNext w:val="0"/>
              <w:keepLines w:val="0"/>
              <w:pageBreakBefore w:val="0"/>
              <w:widowControl w:val="0"/>
              <w:kinsoku/>
              <w:wordWrap/>
              <w:overflowPunct/>
              <w:topLinePunct w:val="0"/>
              <w:autoSpaceDE/>
              <w:autoSpaceDN/>
              <w:bidi w:val="0"/>
              <w:adjustRightInd/>
              <w:snapToGrid/>
              <w:spacing w:before="142" w:line="400" w:lineRule="exact"/>
              <w:ind w:left="112"/>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rPr>
              <w:t>合同履行期</w:t>
            </w:r>
            <w:r>
              <w:rPr>
                <w:rFonts w:hint="eastAsia" w:ascii="宋体" w:hAnsi="宋体" w:eastAsia="宋体" w:cs="宋体"/>
                <w:color w:val="auto"/>
                <w:spacing w:val="-9"/>
                <w:sz w:val="21"/>
                <w:szCs w:val="21"/>
                <w:highlight w:val="none"/>
              </w:rPr>
              <w:t>限</w:t>
            </w:r>
            <w:r>
              <w:rPr>
                <w:rFonts w:hint="eastAsia" w:ascii="宋体" w:hAnsi="宋体" w:eastAsia="宋体" w:cs="宋体"/>
                <w:color w:val="auto"/>
                <w:spacing w:val="-5"/>
                <w:sz w:val="21"/>
                <w:szCs w:val="21"/>
                <w:highlight w:val="none"/>
              </w:rPr>
              <w:t>：</w:t>
            </w:r>
            <w:r>
              <w:rPr>
                <w:rFonts w:hint="eastAsia" w:ascii="宋体" w:hAnsi="宋体" w:eastAsia="宋体" w:cs="宋体"/>
                <w:color w:val="auto"/>
                <w:kern w:val="0"/>
                <w:szCs w:val="21"/>
                <w:highlight w:val="none"/>
                <w:lang w:bidi="ar"/>
              </w:rPr>
              <w:t>自签订合同之日起180天内完成系统开发、部署上线并完成初步验收；项目竣工后，进入维保服务期间，维保期一年。</w:t>
            </w:r>
          </w:p>
        </w:tc>
      </w:tr>
      <w:tr w14:paraId="0A729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447" w:type="pct"/>
            <w:vAlign w:val="center"/>
          </w:tcPr>
          <w:p w14:paraId="04D86479">
            <w:pPr>
              <w:keepNext w:val="0"/>
              <w:keepLines w:val="0"/>
              <w:pageBreakBefore w:val="0"/>
              <w:widowControl w:val="0"/>
              <w:kinsoku/>
              <w:wordWrap/>
              <w:overflowPunct/>
              <w:topLinePunct w:val="0"/>
              <w:autoSpaceDE/>
              <w:autoSpaceDN/>
              <w:bidi w:val="0"/>
              <w:adjustRightInd/>
              <w:snapToGrid/>
              <w:spacing w:before="68"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分</w:t>
            </w:r>
            <w:r>
              <w:rPr>
                <w:rFonts w:hint="eastAsia" w:ascii="宋体" w:hAnsi="宋体" w:eastAsia="宋体" w:cs="宋体"/>
                <w:color w:val="auto"/>
                <w:spacing w:val="-2"/>
                <w:sz w:val="21"/>
                <w:szCs w:val="21"/>
                <w:highlight w:val="none"/>
              </w:rPr>
              <w:t>标</w:t>
            </w:r>
          </w:p>
        </w:tc>
        <w:tc>
          <w:tcPr>
            <w:tcW w:w="432" w:type="pct"/>
            <w:vAlign w:val="center"/>
          </w:tcPr>
          <w:p w14:paraId="11A5BFA3">
            <w:pPr>
              <w:keepNext w:val="0"/>
              <w:keepLines w:val="0"/>
              <w:pageBreakBefore w:val="0"/>
              <w:widowControl w:val="0"/>
              <w:kinsoku/>
              <w:wordWrap/>
              <w:overflowPunct/>
              <w:topLinePunct w:val="0"/>
              <w:autoSpaceDE/>
              <w:autoSpaceDN/>
              <w:bidi w:val="0"/>
              <w:adjustRightInd/>
              <w:snapToGrid/>
              <w:spacing w:before="68"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序</w:t>
            </w:r>
            <w:r>
              <w:rPr>
                <w:rFonts w:hint="eastAsia" w:ascii="宋体" w:hAnsi="宋体" w:eastAsia="宋体" w:cs="宋体"/>
                <w:color w:val="auto"/>
                <w:spacing w:val="-1"/>
                <w:sz w:val="21"/>
                <w:szCs w:val="21"/>
                <w:highlight w:val="none"/>
              </w:rPr>
              <w:t>号</w:t>
            </w:r>
          </w:p>
        </w:tc>
        <w:tc>
          <w:tcPr>
            <w:tcW w:w="1575" w:type="pct"/>
            <w:vAlign w:val="center"/>
          </w:tcPr>
          <w:p w14:paraId="38694DA6">
            <w:pPr>
              <w:keepNext w:val="0"/>
              <w:keepLines w:val="0"/>
              <w:pageBreakBefore w:val="0"/>
              <w:widowControl w:val="0"/>
              <w:kinsoku/>
              <w:wordWrap/>
              <w:overflowPunct/>
              <w:topLinePunct w:val="0"/>
              <w:autoSpaceDE/>
              <w:autoSpaceDN/>
              <w:bidi w:val="0"/>
              <w:adjustRightInd/>
              <w:snapToGrid/>
              <w:spacing w:before="68"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标的</w:t>
            </w:r>
            <w:r>
              <w:rPr>
                <w:rFonts w:hint="eastAsia" w:ascii="宋体" w:hAnsi="宋体" w:eastAsia="宋体" w:cs="宋体"/>
                <w:color w:val="auto"/>
                <w:spacing w:val="-1"/>
                <w:sz w:val="21"/>
                <w:szCs w:val="21"/>
                <w:highlight w:val="none"/>
              </w:rPr>
              <w:t>名称</w:t>
            </w:r>
          </w:p>
        </w:tc>
        <w:tc>
          <w:tcPr>
            <w:tcW w:w="721" w:type="pct"/>
            <w:vAlign w:val="center"/>
          </w:tcPr>
          <w:p w14:paraId="256560A5">
            <w:pPr>
              <w:keepNext w:val="0"/>
              <w:keepLines w:val="0"/>
              <w:pageBreakBefore w:val="0"/>
              <w:widowControl w:val="0"/>
              <w:kinsoku/>
              <w:wordWrap/>
              <w:overflowPunct/>
              <w:topLinePunct w:val="0"/>
              <w:autoSpaceDE/>
              <w:autoSpaceDN/>
              <w:bidi w:val="0"/>
              <w:adjustRightInd/>
              <w:snapToGrid/>
              <w:spacing w:before="142"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数量及单位</w:t>
            </w:r>
          </w:p>
        </w:tc>
        <w:tc>
          <w:tcPr>
            <w:tcW w:w="1822" w:type="pct"/>
            <w:vAlign w:val="center"/>
          </w:tcPr>
          <w:p w14:paraId="19D430C2">
            <w:pPr>
              <w:keepNext w:val="0"/>
              <w:keepLines w:val="0"/>
              <w:pageBreakBefore w:val="0"/>
              <w:widowControl w:val="0"/>
              <w:kinsoku/>
              <w:wordWrap/>
              <w:overflowPunct/>
              <w:topLinePunct w:val="0"/>
              <w:autoSpaceDE/>
              <w:autoSpaceDN/>
              <w:bidi w:val="0"/>
              <w:adjustRightInd/>
              <w:snapToGrid/>
              <w:spacing w:before="69"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简要技术需求或者服</w:t>
            </w:r>
            <w:r>
              <w:rPr>
                <w:rFonts w:hint="eastAsia" w:ascii="宋体" w:hAnsi="宋体" w:eastAsia="宋体" w:cs="宋体"/>
                <w:color w:val="auto"/>
                <w:sz w:val="21"/>
                <w:szCs w:val="21"/>
                <w:highlight w:val="none"/>
              </w:rPr>
              <w:t>务要求</w:t>
            </w:r>
          </w:p>
        </w:tc>
      </w:tr>
      <w:tr w14:paraId="6A6C1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47" w:type="pct"/>
            <w:vMerge w:val="restart"/>
            <w:tcBorders>
              <w:bottom w:val="nil"/>
            </w:tcBorders>
            <w:vAlign w:val="center"/>
          </w:tcPr>
          <w:p w14:paraId="772CE135">
            <w:pPr>
              <w:keepNext w:val="0"/>
              <w:keepLines w:val="0"/>
              <w:pageBreakBefore w:val="0"/>
              <w:widowControl w:val="0"/>
              <w:kinsoku/>
              <w:wordWrap/>
              <w:overflowPunct/>
              <w:topLinePunct w:val="0"/>
              <w:autoSpaceDE/>
              <w:autoSpaceDN/>
              <w:bidi w:val="0"/>
              <w:adjustRightInd/>
              <w:snapToGrid/>
              <w:spacing w:before="69"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pacing w:val="-2"/>
                <w:sz w:val="21"/>
                <w:szCs w:val="21"/>
                <w:highlight w:val="none"/>
                <w:lang w:eastAsia="zh-CN"/>
              </w:rPr>
              <w:t>分</w:t>
            </w:r>
            <w:r>
              <w:rPr>
                <w:rFonts w:hint="eastAsia" w:ascii="宋体" w:hAnsi="宋体" w:eastAsia="宋体" w:cs="宋体"/>
                <w:color w:val="auto"/>
                <w:spacing w:val="-2"/>
                <w:sz w:val="21"/>
                <w:szCs w:val="21"/>
                <w:highlight w:val="none"/>
              </w:rPr>
              <w:t>标</w:t>
            </w:r>
            <w:r>
              <w:rPr>
                <w:rFonts w:hint="eastAsia" w:ascii="宋体" w:hAnsi="宋体" w:eastAsia="宋体" w:cs="宋体"/>
                <w:color w:val="auto"/>
                <w:spacing w:val="-2"/>
                <w:sz w:val="21"/>
                <w:szCs w:val="21"/>
                <w:highlight w:val="none"/>
                <w:lang w:val="en-US" w:eastAsia="zh-CN"/>
              </w:rPr>
              <w:t>2</w:t>
            </w:r>
          </w:p>
          <w:p w14:paraId="7AC5022C">
            <w:pPr>
              <w:keepNext w:val="0"/>
              <w:keepLines w:val="0"/>
              <w:pageBreakBefore w:val="0"/>
              <w:widowControl w:val="0"/>
              <w:kinsoku/>
              <w:wordWrap/>
              <w:overflowPunct/>
              <w:topLinePunct w:val="0"/>
              <w:autoSpaceDE/>
              <w:autoSpaceDN/>
              <w:bidi w:val="0"/>
              <w:adjustRightInd/>
              <w:snapToGrid/>
              <w:spacing w:before="228" w:line="400" w:lineRule="exact"/>
              <w:ind w:left="258"/>
              <w:jc w:val="center"/>
              <w:textAlignment w:val="auto"/>
              <w:rPr>
                <w:rFonts w:hint="eastAsia" w:ascii="宋体" w:hAnsi="宋体" w:eastAsia="宋体" w:cs="宋体"/>
                <w:color w:val="auto"/>
                <w:sz w:val="21"/>
                <w:szCs w:val="21"/>
                <w:highlight w:val="none"/>
              </w:rPr>
            </w:pPr>
          </w:p>
        </w:tc>
        <w:tc>
          <w:tcPr>
            <w:tcW w:w="432" w:type="pct"/>
            <w:vAlign w:val="center"/>
          </w:tcPr>
          <w:p w14:paraId="426578BA">
            <w:pPr>
              <w:keepNext w:val="0"/>
              <w:keepLines w:val="0"/>
              <w:pageBreakBefore w:val="0"/>
              <w:widowControl w:val="0"/>
              <w:kinsoku/>
              <w:wordWrap/>
              <w:overflowPunct/>
              <w:topLinePunct w:val="0"/>
              <w:autoSpaceDE/>
              <w:autoSpaceDN/>
              <w:bidi w:val="0"/>
              <w:adjustRightInd/>
              <w:snapToGrid/>
              <w:spacing w:before="68"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575" w:type="pct"/>
            <w:vAlign w:val="center"/>
          </w:tcPr>
          <w:p w14:paraId="11124327">
            <w:pPr>
              <w:keepNext w:val="0"/>
              <w:keepLines w:val="0"/>
              <w:pageBreakBefore w:val="0"/>
              <w:widowControl w:val="0"/>
              <w:kinsoku/>
              <w:wordWrap/>
              <w:overflowPunct/>
              <w:topLinePunct w:val="0"/>
              <w:autoSpaceDE/>
              <w:autoSpaceDN/>
              <w:bidi w:val="0"/>
              <w:adjustRightInd/>
              <w:snapToGrid/>
              <w:spacing w:before="68" w:line="400" w:lineRule="exact"/>
              <w:ind w:left="433" w:right="135" w:hanging="287"/>
              <w:jc w:val="center"/>
              <w:textAlignment w:val="auto"/>
              <w:rPr>
                <w:rFonts w:hint="eastAsia" w:ascii="宋体" w:hAnsi="宋体" w:eastAsia="宋体" w:cs="宋体"/>
                <w:color w:val="auto"/>
                <w:sz w:val="21"/>
                <w:szCs w:val="21"/>
                <w:highlight w:val="none"/>
              </w:rPr>
            </w:pPr>
            <w:r>
              <w:rPr>
                <w:rFonts w:hint="eastAsia" w:ascii="宋体" w:hAnsi="宋体" w:cs="Times New Roman"/>
                <w:bCs w:val="0"/>
                <w:color w:val="auto"/>
                <w:kern w:val="2"/>
                <w:szCs w:val="21"/>
                <w:highlight w:val="none"/>
                <w:lang w:val="en-US" w:eastAsia="zh-CN"/>
              </w:rPr>
              <w:t>309项目（B部分）</w:t>
            </w:r>
          </w:p>
        </w:tc>
        <w:tc>
          <w:tcPr>
            <w:tcW w:w="721" w:type="pct"/>
            <w:vAlign w:val="center"/>
          </w:tcPr>
          <w:p w14:paraId="7B176F5C">
            <w:pPr>
              <w:keepNext w:val="0"/>
              <w:keepLines w:val="0"/>
              <w:pageBreakBefore w:val="0"/>
              <w:widowControl w:val="0"/>
              <w:kinsoku/>
              <w:wordWrap/>
              <w:overflowPunct/>
              <w:topLinePunct w:val="0"/>
              <w:autoSpaceDE/>
              <w:autoSpaceDN/>
              <w:bidi w:val="0"/>
              <w:adjustRightInd/>
              <w:snapToGrid/>
              <w:spacing w:before="69" w:line="400" w:lineRule="exact"/>
              <w:ind w:left="196"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1项</w:t>
            </w:r>
          </w:p>
        </w:tc>
        <w:tc>
          <w:tcPr>
            <w:tcW w:w="1822" w:type="pct"/>
            <w:vAlign w:val="center"/>
          </w:tcPr>
          <w:p w14:paraId="3BEE9D33">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详见招标文件采购需求</w:t>
            </w:r>
          </w:p>
        </w:tc>
      </w:tr>
      <w:tr w14:paraId="06376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47" w:type="pct"/>
            <w:vMerge w:val="continue"/>
            <w:tcBorders>
              <w:top w:val="nil"/>
              <w:bottom w:val="nil"/>
            </w:tcBorders>
            <w:vAlign w:val="top"/>
          </w:tcPr>
          <w:p w14:paraId="2588B1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4552" w:type="pct"/>
            <w:gridSpan w:val="4"/>
            <w:vAlign w:val="top"/>
          </w:tcPr>
          <w:p w14:paraId="5DAFCAD8">
            <w:pPr>
              <w:keepNext w:val="0"/>
              <w:keepLines w:val="0"/>
              <w:pageBreakBefore w:val="0"/>
              <w:widowControl w:val="0"/>
              <w:kinsoku/>
              <w:wordWrap/>
              <w:overflowPunct/>
              <w:topLinePunct w:val="0"/>
              <w:autoSpaceDE/>
              <w:autoSpaceDN/>
              <w:bidi w:val="0"/>
              <w:adjustRightInd/>
              <w:snapToGrid/>
              <w:spacing w:before="142" w:line="400" w:lineRule="exact"/>
              <w:ind w:left="11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rPr>
              <w:t xml:space="preserve">预算金额 </w:t>
            </w:r>
            <w:r>
              <w:rPr>
                <w:rFonts w:hint="eastAsia" w:ascii="宋体" w:hAnsi="宋体" w:eastAsia="宋体" w:cs="宋体"/>
                <w:color w:val="auto"/>
                <w:sz w:val="21"/>
                <w:szCs w:val="21"/>
                <w:highlight w:val="none"/>
              </w:rPr>
              <w:t>：</w:t>
            </w:r>
            <w:r>
              <w:rPr>
                <w:rFonts w:hint="eastAsia" w:ascii="宋体" w:hAnsi="宋体" w:cs="宋体"/>
                <w:color w:val="auto"/>
                <w:szCs w:val="21"/>
                <w:highlight w:val="none"/>
                <w:u w:val="none"/>
                <w:lang w:val="en-US" w:eastAsia="zh-CN"/>
              </w:rPr>
              <w:t>383.03</w:t>
            </w:r>
            <w:r>
              <w:rPr>
                <w:rFonts w:hint="eastAsia" w:ascii="宋体" w:hAnsi="宋体" w:cs="宋体"/>
                <w:color w:val="auto"/>
                <w:sz w:val="21"/>
                <w:szCs w:val="21"/>
                <w:highlight w:val="none"/>
                <w:lang w:val="en-US" w:eastAsia="zh-CN"/>
              </w:rPr>
              <w:t>万元</w:t>
            </w:r>
          </w:p>
        </w:tc>
      </w:tr>
      <w:tr w14:paraId="77A75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47" w:type="pct"/>
            <w:vMerge w:val="continue"/>
            <w:tcBorders>
              <w:top w:val="nil"/>
            </w:tcBorders>
            <w:vAlign w:val="top"/>
          </w:tcPr>
          <w:p w14:paraId="2DCDF1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4552" w:type="pct"/>
            <w:gridSpan w:val="4"/>
            <w:vAlign w:val="top"/>
          </w:tcPr>
          <w:p w14:paraId="758C9D43">
            <w:pPr>
              <w:spacing w:line="360" w:lineRule="auto"/>
              <w:ind w:firstLine="38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rPr>
              <w:t>合同履行期</w:t>
            </w:r>
            <w:r>
              <w:rPr>
                <w:rFonts w:hint="eastAsia" w:ascii="宋体" w:hAnsi="宋体" w:eastAsia="宋体" w:cs="宋体"/>
                <w:color w:val="auto"/>
                <w:spacing w:val="-9"/>
                <w:sz w:val="21"/>
                <w:szCs w:val="21"/>
                <w:highlight w:val="none"/>
              </w:rPr>
              <w:t>限</w:t>
            </w:r>
            <w:r>
              <w:rPr>
                <w:rFonts w:hint="eastAsia" w:ascii="宋体" w:hAnsi="宋体" w:eastAsia="宋体" w:cs="宋体"/>
                <w:color w:val="auto"/>
                <w:spacing w:val="-5"/>
                <w:sz w:val="21"/>
                <w:szCs w:val="21"/>
                <w:highlight w:val="none"/>
              </w:rPr>
              <w:t>：</w:t>
            </w:r>
            <w:r>
              <w:rPr>
                <w:rFonts w:hint="eastAsia" w:ascii="宋体" w:hAnsi="宋体" w:eastAsia="宋体" w:cs="宋体"/>
                <w:color w:val="auto"/>
                <w:kern w:val="0"/>
                <w:szCs w:val="21"/>
                <w:highlight w:val="none"/>
                <w:lang w:eastAsia="zh-CN" w:bidi="ar"/>
              </w:rPr>
              <w:t>自签订合同之日起</w:t>
            </w:r>
            <w:r>
              <w:rPr>
                <w:rFonts w:hint="eastAsia" w:ascii="宋体" w:hAnsi="宋体" w:eastAsia="宋体" w:cs="宋体"/>
                <w:color w:val="auto"/>
                <w:kern w:val="0"/>
                <w:szCs w:val="21"/>
                <w:highlight w:val="none"/>
                <w:lang w:val="en-US" w:eastAsia="zh-CN" w:bidi="ar"/>
              </w:rPr>
              <w:t>6</w:t>
            </w:r>
            <w:r>
              <w:rPr>
                <w:rFonts w:hint="eastAsia" w:ascii="宋体" w:hAnsi="宋体" w:eastAsia="宋体" w:cs="宋体"/>
                <w:color w:val="auto"/>
                <w:kern w:val="0"/>
                <w:szCs w:val="21"/>
                <w:highlight w:val="none"/>
                <w:lang w:eastAsia="zh-CN" w:bidi="ar"/>
              </w:rPr>
              <w:t>个月内，安装调试完毕并交付使用；项目竣工后，进入维保服务期间，维保期三年。</w:t>
            </w:r>
          </w:p>
        </w:tc>
      </w:tr>
    </w:tbl>
    <w:p w14:paraId="5CD3AF7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本项目是否接受联合体投标：</w:t>
      </w:r>
      <w:r>
        <w:rPr>
          <w:rFonts w:hint="eastAsia" w:ascii="宋体" w:hAnsi="宋体"/>
          <w:color w:val="auto"/>
          <w:szCs w:val="21"/>
          <w:highlight w:val="none"/>
        </w:rPr>
        <w:sym w:font="Wingdings" w:char="00A8"/>
      </w:r>
      <w:r>
        <w:rPr>
          <w:rFonts w:hint="eastAsia" w:ascii="宋体" w:hAnsi="宋体"/>
          <w:color w:val="auto"/>
          <w:szCs w:val="21"/>
          <w:highlight w:val="none"/>
        </w:rPr>
        <w:t>是，</w:t>
      </w:r>
      <w:r>
        <w:rPr>
          <w:rFonts w:hint="eastAsia" w:ascii="MS Gothic" w:hAnsi="MS Gothic" w:eastAsia="MS Gothic" w:cs="MS Gothic"/>
          <w:color w:val="auto"/>
          <w:szCs w:val="21"/>
          <w:highlight w:val="none"/>
        </w:rPr>
        <w:t>☑</w:t>
      </w:r>
      <w:r>
        <w:rPr>
          <w:rFonts w:hint="eastAsia" w:ascii="宋体" w:hAnsi="宋体"/>
          <w:color w:val="auto"/>
          <w:szCs w:val="21"/>
          <w:highlight w:val="none"/>
        </w:rPr>
        <w:t>否。</w:t>
      </w:r>
    </w:p>
    <w:p w14:paraId="53A79299">
      <w:pPr>
        <w:spacing w:line="400" w:lineRule="exact"/>
        <w:jc w:val="left"/>
        <w:outlineLvl w:val="1"/>
        <w:rPr>
          <w:rFonts w:ascii="宋体" w:hAnsi="宋体"/>
          <w:b/>
          <w:bCs/>
          <w:color w:val="auto"/>
          <w:szCs w:val="21"/>
          <w:highlight w:val="none"/>
        </w:rPr>
      </w:pPr>
      <w:bookmarkStart w:id="24" w:name="_Toc173"/>
      <w:r>
        <w:rPr>
          <w:rFonts w:hint="eastAsia" w:ascii="宋体" w:hAnsi="宋体"/>
          <w:b/>
          <w:bCs/>
          <w:color w:val="auto"/>
          <w:szCs w:val="21"/>
          <w:highlight w:val="none"/>
        </w:rPr>
        <w:t>二、申请人的资格要求：</w:t>
      </w:r>
      <w:bookmarkEnd w:id="20"/>
      <w:bookmarkEnd w:id="21"/>
      <w:bookmarkEnd w:id="22"/>
      <w:bookmarkEnd w:id="23"/>
      <w:bookmarkEnd w:id="24"/>
    </w:p>
    <w:p w14:paraId="13C297FD">
      <w:pPr>
        <w:spacing w:line="360" w:lineRule="auto"/>
        <w:ind w:firstLine="420" w:firstLineChars="200"/>
        <w:outlineLvl w:val="2"/>
        <w:rPr>
          <w:rFonts w:hint="eastAsia" w:ascii="宋体" w:hAnsi="宋体" w:cs="宋体"/>
          <w:bCs/>
          <w:color w:val="auto"/>
          <w:kern w:val="0"/>
          <w:szCs w:val="21"/>
          <w:highlight w:val="none"/>
        </w:rPr>
      </w:pPr>
      <w:bookmarkStart w:id="25" w:name="_Hlk51746371"/>
      <w:bookmarkStart w:id="26" w:name="_Toc35393623"/>
      <w:bookmarkStart w:id="27" w:name="_Toc35393792"/>
      <w:bookmarkStart w:id="28" w:name="_Toc28359081"/>
      <w:bookmarkStart w:id="29" w:name="_Toc28359004"/>
      <w:r>
        <w:rPr>
          <w:rFonts w:hint="eastAsia" w:ascii="宋体" w:hAnsi="宋体" w:cs="宋体"/>
          <w:bCs/>
          <w:color w:val="auto"/>
          <w:kern w:val="0"/>
          <w:szCs w:val="21"/>
          <w:highlight w:val="none"/>
        </w:rPr>
        <w:t>1、满足《中华人民共和国政府采购法》第二十二条规定；</w:t>
      </w:r>
    </w:p>
    <w:p w14:paraId="38F9B2DB">
      <w:pPr>
        <w:spacing w:line="360" w:lineRule="auto"/>
        <w:ind w:firstLine="420" w:firstLineChars="200"/>
        <w:outlineLvl w:val="2"/>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2、落实政府采购政策需满足的资格要求：非专门面向中小企业采购的项目</w:t>
      </w:r>
    </w:p>
    <w:p w14:paraId="1F3E8FD1">
      <w:pPr>
        <w:spacing w:line="360" w:lineRule="auto"/>
        <w:ind w:firstLine="420" w:firstLineChars="200"/>
        <w:outlineLvl w:val="2"/>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3.本项目的特定资格要求：无。</w:t>
      </w:r>
    </w:p>
    <w:bookmarkEnd w:id="25"/>
    <w:p w14:paraId="1812EA78">
      <w:pPr>
        <w:spacing w:line="400" w:lineRule="exact"/>
        <w:outlineLvl w:val="1"/>
        <w:rPr>
          <w:rFonts w:ascii="宋体" w:hAnsi="宋体"/>
          <w:b/>
          <w:bCs/>
          <w:color w:val="auto"/>
          <w:szCs w:val="21"/>
          <w:highlight w:val="none"/>
        </w:rPr>
      </w:pPr>
      <w:bookmarkStart w:id="30" w:name="_Toc22982"/>
      <w:r>
        <w:rPr>
          <w:rFonts w:hint="eastAsia" w:ascii="宋体" w:hAnsi="宋体"/>
          <w:b/>
          <w:bCs/>
          <w:color w:val="auto"/>
          <w:szCs w:val="21"/>
          <w:highlight w:val="none"/>
        </w:rPr>
        <w:t>三、获取招标文件</w:t>
      </w:r>
      <w:bookmarkEnd w:id="26"/>
      <w:bookmarkEnd w:id="27"/>
      <w:bookmarkEnd w:id="28"/>
      <w:bookmarkEnd w:id="29"/>
      <w:bookmarkEnd w:id="30"/>
    </w:p>
    <w:p w14:paraId="07BB1969">
      <w:pPr>
        <w:spacing w:line="360" w:lineRule="auto"/>
        <w:ind w:firstLine="420" w:firstLineChars="200"/>
        <w:rPr>
          <w:rFonts w:hint="eastAsia" w:ascii="宋体" w:hAnsi="宋体" w:cs="宋体"/>
          <w:bCs/>
          <w:color w:val="auto"/>
          <w:kern w:val="0"/>
          <w:szCs w:val="21"/>
          <w:highlight w:val="none"/>
        </w:rPr>
      </w:pPr>
      <w:bookmarkStart w:id="31" w:name="_Toc28359005"/>
      <w:bookmarkStart w:id="32" w:name="_Toc28359082"/>
      <w:bookmarkStart w:id="33" w:name="_Toc35393624"/>
      <w:bookmarkStart w:id="34" w:name="_Toc35393793"/>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时间：</w:t>
      </w:r>
      <w:r>
        <w:rPr>
          <w:rFonts w:hint="eastAsia" w:ascii="宋体" w:hAnsi="宋体" w:cs="Arial"/>
          <w:color w:val="auto"/>
          <w:highlight w:val="none"/>
        </w:rPr>
        <w:t>202</w:t>
      </w:r>
      <w:r>
        <w:rPr>
          <w:rFonts w:hint="eastAsia" w:ascii="宋体" w:hAnsi="宋体" w:cs="Arial"/>
          <w:color w:val="auto"/>
          <w:highlight w:val="none"/>
          <w:lang w:val="en-US" w:eastAsia="zh-CN"/>
        </w:rPr>
        <w:t>5</w:t>
      </w:r>
      <w:r>
        <w:rPr>
          <w:rFonts w:hint="eastAsia" w:ascii="宋体" w:hAnsi="宋体" w:cs="Arial"/>
          <w:color w:val="auto"/>
          <w:highlight w:val="none"/>
        </w:rPr>
        <w:t>年</w:t>
      </w:r>
      <w:r>
        <w:rPr>
          <w:rFonts w:hint="eastAsia" w:ascii="宋体" w:hAnsi="宋体" w:cs="Arial"/>
          <w:color w:val="auto"/>
          <w:highlight w:val="none"/>
          <w:lang w:val="en-US" w:eastAsia="zh-CN"/>
        </w:rPr>
        <w:t xml:space="preserve">12 </w:t>
      </w:r>
      <w:r>
        <w:rPr>
          <w:rFonts w:hint="eastAsia" w:ascii="宋体" w:hAnsi="宋体" w:cs="Arial"/>
          <w:color w:val="auto"/>
          <w:highlight w:val="none"/>
        </w:rPr>
        <w:t>月</w:t>
      </w:r>
      <w:r>
        <w:rPr>
          <w:rFonts w:hint="eastAsia" w:ascii="宋体" w:hAnsi="宋体" w:cs="Arial"/>
          <w:color w:val="auto"/>
          <w:highlight w:val="none"/>
          <w:lang w:val="en-US" w:eastAsia="zh-CN"/>
        </w:rPr>
        <w:t xml:space="preserve"> 9 </w:t>
      </w:r>
      <w:r>
        <w:rPr>
          <w:rFonts w:hint="eastAsia" w:ascii="宋体" w:hAnsi="宋体" w:cs="Arial"/>
          <w:color w:val="auto"/>
          <w:highlight w:val="none"/>
        </w:rPr>
        <w:t>日</w:t>
      </w:r>
      <w:r>
        <w:rPr>
          <w:rFonts w:hint="eastAsia" w:ascii="宋体" w:hAnsi="宋体" w:cs="Arial"/>
          <w:color w:val="auto"/>
          <w:szCs w:val="21"/>
          <w:highlight w:val="none"/>
        </w:rPr>
        <w:t>至</w:t>
      </w:r>
      <w:r>
        <w:rPr>
          <w:rFonts w:hint="eastAsia" w:ascii="宋体" w:hAnsi="宋体" w:cs="Arial"/>
          <w:color w:val="auto"/>
          <w:highlight w:val="none"/>
        </w:rPr>
        <w:t>202</w:t>
      </w:r>
      <w:r>
        <w:rPr>
          <w:rFonts w:hint="eastAsia" w:ascii="宋体" w:hAnsi="宋体" w:cs="Arial"/>
          <w:color w:val="auto"/>
          <w:highlight w:val="none"/>
          <w:lang w:val="en-US" w:eastAsia="zh-CN"/>
        </w:rPr>
        <w:t>5</w:t>
      </w:r>
      <w:r>
        <w:rPr>
          <w:rFonts w:hint="eastAsia" w:ascii="宋体" w:hAnsi="宋体" w:cs="Arial"/>
          <w:color w:val="auto"/>
          <w:highlight w:val="none"/>
        </w:rPr>
        <w:t>年</w:t>
      </w:r>
      <w:r>
        <w:rPr>
          <w:rFonts w:hint="eastAsia" w:ascii="宋体" w:hAnsi="宋体" w:cs="Arial"/>
          <w:color w:val="auto"/>
          <w:highlight w:val="none"/>
          <w:lang w:val="en-US" w:eastAsia="zh-CN"/>
        </w:rPr>
        <w:t>12</w:t>
      </w:r>
      <w:r>
        <w:rPr>
          <w:rFonts w:hint="eastAsia" w:ascii="宋体" w:hAnsi="宋体" w:cs="Arial"/>
          <w:color w:val="auto"/>
          <w:highlight w:val="none"/>
        </w:rPr>
        <w:t>月</w:t>
      </w:r>
      <w:r>
        <w:rPr>
          <w:rFonts w:hint="eastAsia" w:ascii="宋体" w:hAnsi="宋体" w:cs="Arial"/>
          <w:color w:val="auto"/>
          <w:highlight w:val="none"/>
          <w:lang w:val="en-US" w:eastAsia="zh-CN"/>
        </w:rPr>
        <w:t xml:space="preserve">17 </w:t>
      </w:r>
      <w:r>
        <w:rPr>
          <w:rFonts w:hint="eastAsia" w:ascii="宋体" w:hAnsi="宋体" w:cs="Arial"/>
          <w:color w:val="auto"/>
          <w:highlight w:val="none"/>
        </w:rPr>
        <w:t>日</w:t>
      </w:r>
      <w:r>
        <w:rPr>
          <w:rFonts w:hint="eastAsia" w:ascii="宋体" w:hAnsi="宋体" w:cs="Arial"/>
          <w:color w:val="auto"/>
          <w:szCs w:val="21"/>
          <w:highlight w:val="none"/>
        </w:rPr>
        <w:t>，每天上午00:00至1</w:t>
      </w:r>
      <w:r>
        <w:rPr>
          <w:rFonts w:ascii="宋体" w:hAnsi="宋体" w:cs="Arial"/>
          <w:color w:val="auto"/>
          <w:szCs w:val="21"/>
          <w:highlight w:val="none"/>
        </w:rPr>
        <w:t>2</w:t>
      </w:r>
      <w:r>
        <w:rPr>
          <w:rFonts w:hint="eastAsia" w:ascii="宋体" w:hAnsi="宋体" w:cs="Arial"/>
          <w:color w:val="auto"/>
          <w:szCs w:val="21"/>
          <w:highlight w:val="none"/>
        </w:rPr>
        <w:t>:</w:t>
      </w:r>
      <w:r>
        <w:rPr>
          <w:rFonts w:ascii="宋体" w:hAnsi="宋体" w:cs="Arial"/>
          <w:color w:val="auto"/>
          <w:szCs w:val="21"/>
          <w:highlight w:val="none"/>
        </w:rPr>
        <w:t>00</w:t>
      </w:r>
      <w:r>
        <w:rPr>
          <w:rFonts w:hint="eastAsia" w:ascii="宋体" w:hAnsi="宋体" w:cs="Arial"/>
          <w:color w:val="auto"/>
          <w:szCs w:val="21"/>
          <w:highlight w:val="none"/>
        </w:rPr>
        <w:t>；下午12:00至23:59（北京时间，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42530C92">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地点：</w:t>
      </w:r>
      <w:r>
        <w:rPr>
          <w:rFonts w:hint="eastAsia" w:ascii="宋体" w:hAnsi="宋体" w:cs="宋体"/>
          <w:bCs/>
          <w:color w:val="auto"/>
          <w:kern w:val="0"/>
          <w:szCs w:val="21"/>
          <w:highlight w:val="none"/>
          <w:lang w:eastAsia="zh-CN"/>
        </w:rPr>
        <w:t>广西政府采购云平台（https://www.gcy.zfcg.gxzf.gov.cn/）</w:t>
      </w:r>
      <w:r>
        <w:rPr>
          <w:rFonts w:hint="eastAsia" w:ascii="宋体" w:hAnsi="宋体" w:cs="宋体"/>
          <w:bCs/>
          <w:color w:val="auto"/>
          <w:kern w:val="0"/>
          <w:szCs w:val="21"/>
          <w:highlight w:val="none"/>
        </w:rPr>
        <w:t>。</w:t>
      </w:r>
    </w:p>
    <w:p w14:paraId="427BE8C1">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方式：网上下载。本项目不发放纸质文件，</w:t>
      </w:r>
      <w:r>
        <w:rPr>
          <w:rFonts w:hint="eastAsia" w:ascii="宋体" w:hAnsi="宋体" w:cs="宋体"/>
          <w:bCs/>
          <w:color w:val="auto"/>
          <w:kern w:val="0"/>
          <w:szCs w:val="21"/>
          <w:highlight w:val="none"/>
          <w:lang w:eastAsia="zh-CN"/>
        </w:rPr>
        <w:t>投标人</w:t>
      </w:r>
      <w:r>
        <w:rPr>
          <w:rFonts w:hint="eastAsia" w:ascii="宋体" w:hAnsi="宋体" w:cs="宋体"/>
          <w:bCs/>
          <w:color w:val="auto"/>
          <w:kern w:val="0"/>
          <w:szCs w:val="21"/>
          <w:highlight w:val="none"/>
        </w:rPr>
        <w:t>应自行在</w:t>
      </w:r>
      <w:r>
        <w:rPr>
          <w:rFonts w:hint="eastAsia" w:ascii="宋体" w:hAnsi="宋体" w:cs="宋体"/>
          <w:bCs/>
          <w:color w:val="auto"/>
          <w:kern w:val="0"/>
          <w:szCs w:val="21"/>
          <w:highlight w:val="none"/>
        </w:rPr>
        <w:fldChar w:fldCharType="begin"/>
      </w:r>
      <w:r>
        <w:rPr>
          <w:rFonts w:hint="eastAsia" w:ascii="宋体" w:hAnsi="宋体" w:cs="宋体"/>
          <w:bCs/>
          <w:color w:val="auto"/>
          <w:kern w:val="0"/>
          <w:szCs w:val="21"/>
          <w:highlight w:val="none"/>
        </w:rPr>
        <w:instrText xml:space="preserve"> HYPERLINK "" </w:instrText>
      </w:r>
      <w:r>
        <w:rPr>
          <w:rFonts w:hint="eastAsia" w:ascii="宋体" w:hAnsi="宋体" w:cs="宋体"/>
          <w:bCs/>
          <w:color w:val="auto"/>
          <w:kern w:val="0"/>
          <w:szCs w:val="21"/>
          <w:highlight w:val="none"/>
        </w:rPr>
        <w:fldChar w:fldCharType="separate"/>
      </w:r>
      <w:r>
        <w:rPr>
          <w:rFonts w:hint="eastAsia" w:ascii="宋体" w:hAnsi="宋体" w:cs="宋体"/>
          <w:bCs/>
          <w:color w:val="auto"/>
          <w:kern w:val="0"/>
          <w:szCs w:val="21"/>
          <w:highlight w:val="none"/>
        </w:rPr>
        <w:fldChar w:fldCharType="end"/>
      </w:r>
      <w:r>
        <w:rPr>
          <w:rFonts w:hint="eastAsia" w:ascii="宋体" w:hAnsi="宋体" w:cs="宋体"/>
          <w:bCs/>
          <w:color w:val="auto"/>
          <w:kern w:val="0"/>
          <w:szCs w:val="21"/>
          <w:highlight w:val="none"/>
          <w:lang w:eastAsia="zh-CN"/>
        </w:rPr>
        <w:t>广西政府采购云平台（https://www.gcy.zfcg.gxzf.gov.cn/）</w:t>
      </w:r>
      <w:r>
        <w:rPr>
          <w:rFonts w:hint="eastAsia" w:ascii="宋体" w:hAnsi="宋体" w:cs="宋体"/>
          <w:bCs/>
          <w:color w:val="auto"/>
          <w:kern w:val="0"/>
          <w:szCs w:val="21"/>
          <w:highlight w:val="none"/>
        </w:rPr>
        <w:t>下载招标文件（操作路径：登录广西政府采购云平台-项目采购-获取采购文件-找到本项目-点击“申请获取采购文件”），电子投标文件制作需要基于广西政府采购云平台获取的招标文件编制。</w:t>
      </w:r>
    </w:p>
    <w:p w14:paraId="7D9D37B1">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售价：0元。</w:t>
      </w:r>
    </w:p>
    <w:p w14:paraId="42594F0D">
      <w:pPr>
        <w:spacing w:line="400" w:lineRule="exact"/>
        <w:ind w:firstLine="200"/>
        <w:outlineLvl w:val="1"/>
        <w:rPr>
          <w:rFonts w:ascii="宋体" w:hAnsi="宋体"/>
          <w:b/>
          <w:bCs/>
          <w:color w:val="auto"/>
          <w:szCs w:val="21"/>
          <w:highlight w:val="none"/>
        </w:rPr>
      </w:pPr>
      <w:bookmarkStart w:id="35" w:name="_Toc27838"/>
      <w:r>
        <w:rPr>
          <w:rFonts w:hint="eastAsia" w:ascii="宋体" w:hAnsi="宋体"/>
          <w:b/>
          <w:bCs/>
          <w:color w:val="auto"/>
          <w:szCs w:val="21"/>
          <w:highlight w:val="none"/>
        </w:rPr>
        <w:t>四、提交投标文件</w:t>
      </w:r>
      <w:bookmarkEnd w:id="31"/>
      <w:bookmarkEnd w:id="32"/>
      <w:r>
        <w:rPr>
          <w:rFonts w:hint="eastAsia" w:ascii="宋体" w:hAnsi="宋体"/>
          <w:b/>
          <w:bCs/>
          <w:color w:val="auto"/>
          <w:szCs w:val="21"/>
          <w:highlight w:val="none"/>
        </w:rPr>
        <w:t>截止时间、开标时间和地点</w:t>
      </w:r>
      <w:bookmarkEnd w:id="33"/>
      <w:bookmarkEnd w:id="34"/>
      <w:bookmarkEnd w:id="35"/>
    </w:p>
    <w:p w14:paraId="328F0D8D">
      <w:pPr>
        <w:spacing w:line="400" w:lineRule="exact"/>
        <w:ind w:firstLine="420" w:firstLineChars="200"/>
        <w:jc w:val="left"/>
        <w:rPr>
          <w:rFonts w:hint="eastAsia" w:ascii="宋体" w:hAnsi="宋体" w:eastAsia="宋体" w:cs="Times New Roman"/>
          <w:bCs/>
          <w:color w:val="auto"/>
          <w:szCs w:val="21"/>
          <w:highlight w:val="none"/>
          <w:shd w:val="clear" w:color="auto" w:fill="FFFFFF"/>
        </w:rPr>
      </w:pPr>
      <w:bookmarkStart w:id="36" w:name="_Toc35393625"/>
      <w:bookmarkStart w:id="37" w:name="_Toc28359084"/>
      <w:bookmarkStart w:id="38" w:name="_Toc35393794"/>
      <w:bookmarkStart w:id="39" w:name="_Toc28359007"/>
      <w:r>
        <w:rPr>
          <w:rFonts w:hint="eastAsia" w:ascii="宋体" w:hAnsi="宋体" w:eastAsia="宋体" w:cs="Times New Roman"/>
          <w:bCs/>
          <w:color w:val="auto"/>
          <w:szCs w:val="21"/>
          <w:highlight w:val="none"/>
          <w:shd w:val="clear" w:color="auto" w:fill="FFFFFF"/>
        </w:rPr>
        <w:t>提交投标文件截止时间：202</w:t>
      </w:r>
      <w:r>
        <w:rPr>
          <w:rFonts w:hint="eastAsia" w:ascii="宋体" w:hAnsi="宋体" w:eastAsia="宋体" w:cs="Times New Roman"/>
          <w:bCs/>
          <w:color w:val="auto"/>
          <w:szCs w:val="21"/>
          <w:highlight w:val="none"/>
          <w:shd w:val="clear" w:color="auto" w:fill="FFFFFF"/>
          <w:lang w:val="en-US" w:eastAsia="zh-CN"/>
        </w:rPr>
        <w:t>5</w:t>
      </w:r>
      <w:r>
        <w:rPr>
          <w:rFonts w:hint="eastAsia" w:ascii="宋体" w:hAnsi="宋体" w:eastAsia="宋体" w:cs="Times New Roman"/>
          <w:bCs/>
          <w:color w:val="auto"/>
          <w:szCs w:val="21"/>
          <w:highlight w:val="none"/>
          <w:shd w:val="clear" w:color="auto" w:fill="FFFFFF"/>
        </w:rPr>
        <w:t>年</w:t>
      </w:r>
      <w:r>
        <w:rPr>
          <w:rFonts w:hint="eastAsia" w:ascii="宋体" w:hAnsi="宋体" w:cs="Times New Roman"/>
          <w:bCs/>
          <w:color w:val="auto"/>
          <w:szCs w:val="21"/>
          <w:highlight w:val="none"/>
          <w:shd w:val="clear" w:color="auto" w:fill="FFFFFF"/>
          <w:lang w:val="en-US" w:eastAsia="zh-CN"/>
        </w:rPr>
        <w:t>12</w:t>
      </w:r>
      <w:r>
        <w:rPr>
          <w:rFonts w:hint="eastAsia" w:ascii="宋体" w:hAnsi="宋体" w:eastAsia="宋体" w:cs="Times New Roman"/>
          <w:bCs/>
          <w:color w:val="auto"/>
          <w:szCs w:val="21"/>
          <w:highlight w:val="none"/>
          <w:shd w:val="clear" w:color="auto" w:fill="FFFFFF"/>
          <w:lang w:val="en-US" w:eastAsia="zh-CN"/>
        </w:rPr>
        <w:t xml:space="preserve"> </w:t>
      </w:r>
      <w:r>
        <w:rPr>
          <w:rFonts w:hint="eastAsia" w:ascii="宋体" w:hAnsi="宋体" w:eastAsia="宋体" w:cs="Times New Roman"/>
          <w:bCs/>
          <w:color w:val="auto"/>
          <w:szCs w:val="21"/>
          <w:highlight w:val="none"/>
          <w:shd w:val="clear" w:color="auto" w:fill="FFFFFF"/>
        </w:rPr>
        <w:t>月</w:t>
      </w:r>
      <w:r>
        <w:rPr>
          <w:rFonts w:hint="eastAsia" w:ascii="宋体" w:hAnsi="宋体" w:cs="Times New Roman"/>
          <w:bCs/>
          <w:color w:val="auto"/>
          <w:szCs w:val="21"/>
          <w:highlight w:val="none"/>
          <w:shd w:val="clear" w:color="auto" w:fill="FFFFFF"/>
          <w:lang w:val="en-US" w:eastAsia="zh-CN"/>
        </w:rPr>
        <w:t>31</w:t>
      </w:r>
      <w:r>
        <w:rPr>
          <w:rFonts w:hint="eastAsia" w:ascii="宋体" w:hAnsi="宋体" w:eastAsia="宋体" w:cs="Times New Roman"/>
          <w:bCs/>
          <w:color w:val="auto"/>
          <w:szCs w:val="21"/>
          <w:highlight w:val="none"/>
          <w:shd w:val="clear" w:color="auto" w:fill="FFFFFF"/>
          <w:lang w:val="en-US" w:eastAsia="zh-CN"/>
        </w:rPr>
        <w:t xml:space="preserve"> </w:t>
      </w:r>
      <w:r>
        <w:rPr>
          <w:rFonts w:hint="eastAsia" w:ascii="宋体" w:hAnsi="宋体" w:eastAsia="宋体" w:cs="Times New Roman"/>
          <w:bCs/>
          <w:color w:val="auto"/>
          <w:szCs w:val="21"/>
          <w:highlight w:val="none"/>
          <w:shd w:val="clear" w:color="auto" w:fill="FFFFFF"/>
        </w:rPr>
        <w:t>日09：30（北京时间）</w:t>
      </w:r>
    </w:p>
    <w:p w14:paraId="6E309052">
      <w:pPr>
        <w:spacing w:line="400" w:lineRule="exact"/>
        <w:ind w:firstLine="420" w:firstLineChars="200"/>
        <w:jc w:val="left"/>
        <w:rPr>
          <w:rFonts w:hint="eastAsia" w:ascii="宋体" w:hAnsi="宋体" w:eastAsia="宋体" w:cs="Times New Roman"/>
          <w:bCs/>
          <w:color w:val="auto"/>
          <w:szCs w:val="21"/>
          <w:highlight w:val="none"/>
          <w:shd w:val="clear" w:color="auto" w:fill="FFFFFF"/>
        </w:rPr>
      </w:pPr>
      <w:r>
        <w:rPr>
          <w:rFonts w:hint="eastAsia" w:ascii="宋体" w:hAnsi="宋体" w:eastAsia="宋体" w:cs="Times New Roman"/>
          <w:bCs/>
          <w:color w:val="auto"/>
          <w:szCs w:val="21"/>
          <w:highlight w:val="none"/>
          <w:shd w:val="clear" w:color="auto" w:fill="FFFFFF"/>
        </w:rPr>
        <w:t>投标地点：</w:t>
      </w:r>
      <w:r>
        <w:rPr>
          <w:rFonts w:hint="eastAsia" w:ascii="宋体" w:hAnsi="宋体" w:eastAsia="宋体" w:cs="Times New Roman"/>
          <w:bCs/>
          <w:color w:val="auto"/>
          <w:szCs w:val="21"/>
          <w:highlight w:val="none"/>
          <w:shd w:val="clear" w:color="auto" w:fill="FFFFFF"/>
          <w:lang w:eastAsia="zh-CN"/>
        </w:rPr>
        <w:t>广西政府采购云平台（https://www.gcy.zfcg.gxzf.gov.cn/）</w:t>
      </w:r>
      <w:r>
        <w:rPr>
          <w:rFonts w:hint="eastAsia" w:ascii="宋体" w:hAnsi="宋体" w:eastAsia="宋体" w:cs="Times New Roman"/>
          <w:bCs/>
          <w:color w:val="auto"/>
          <w:szCs w:val="21"/>
          <w:highlight w:val="none"/>
          <w:shd w:val="clear" w:color="auto" w:fill="FFFFFF"/>
        </w:rPr>
        <w:t>。 </w:t>
      </w:r>
    </w:p>
    <w:p w14:paraId="54AACBC4">
      <w:pPr>
        <w:spacing w:line="400" w:lineRule="exact"/>
        <w:ind w:firstLine="420" w:firstLineChars="200"/>
        <w:jc w:val="left"/>
        <w:rPr>
          <w:rFonts w:hint="eastAsia" w:ascii="宋体" w:hAnsi="宋体" w:eastAsia="宋体" w:cs="Times New Roman"/>
          <w:bCs/>
          <w:color w:val="auto"/>
          <w:szCs w:val="21"/>
          <w:highlight w:val="none"/>
          <w:shd w:val="clear" w:color="auto" w:fill="FFFFFF"/>
        </w:rPr>
      </w:pPr>
      <w:r>
        <w:rPr>
          <w:rFonts w:hint="eastAsia" w:ascii="宋体" w:hAnsi="宋体" w:eastAsia="宋体" w:cs="Times New Roman"/>
          <w:bCs/>
          <w:color w:val="auto"/>
          <w:szCs w:val="21"/>
          <w:highlight w:val="none"/>
          <w:shd w:val="clear" w:color="auto" w:fill="FFFFFF"/>
        </w:rPr>
        <w:t>开标时间：202</w:t>
      </w:r>
      <w:r>
        <w:rPr>
          <w:rFonts w:hint="eastAsia" w:ascii="宋体" w:hAnsi="宋体" w:eastAsia="宋体" w:cs="Times New Roman"/>
          <w:bCs/>
          <w:color w:val="auto"/>
          <w:szCs w:val="21"/>
          <w:highlight w:val="none"/>
          <w:shd w:val="clear" w:color="auto" w:fill="FFFFFF"/>
          <w:lang w:val="en-US" w:eastAsia="zh-CN"/>
        </w:rPr>
        <w:t>5</w:t>
      </w:r>
      <w:r>
        <w:rPr>
          <w:rFonts w:hint="eastAsia" w:ascii="宋体" w:hAnsi="宋体" w:eastAsia="宋体" w:cs="Times New Roman"/>
          <w:bCs/>
          <w:color w:val="auto"/>
          <w:szCs w:val="21"/>
          <w:highlight w:val="none"/>
          <w:shd w:val="clear" w:color="auto" w:fill="FFFFFF"/>
        </w:rPr>
        <w:t>年</w:t>
      </w:r>
      <w:r>
        <w:rPr>
          <w:rFonts w:hint="eastAsia" w:ascii="宋体" w:hAnsi="宋体" w:cs="Times New Roman"/>
          <w:bCs/>
          <w:color w:val="auto"/>
          <w:szCs w:val="21"/>
          <w:highlight w:val="none"/>
          <w:shd w:val="clear" w:color="auto" w:fill="FFFFFF"/>
          <w:lang w:val="en-US" w:eastAsia="zh-CN"/>
        </w:rPr>
        <w:t>12</w:t>
      </w:r>
      <w:r>
        <w:rPr>
          <w:rFonts w:hint="eastAsia" w:ascii="宋体" w:hAnsi="宋体" w:eastAsia="宋体" w:cs="Times New Roman"/>
          <w:bCs/>
          <w:color w:val="auto"/>
          <w:szCs w:val="21"/>
          <w:highlight w:val="none"/>
          <w:shd w:val="clear" w:color="auto" w:fill="FFFFFF"/>
        </w:rPr>
        <w:t>月</w:t>
      </w:r>
      <w:r>
        <w:rPr>
          <w:rFonts w:hint="eastAsia" w:ascii="宋体" w:hAnsi="宋体" w:cs="Times New Roman"/>
          <w:bCs/>
          <w:color w:val="auto"/>
          <w:szCs w:val="21"/>
          <w:highlight w:val="none"/>
          <w:shd w:val="clear" w:color="auto" w:fill="FFFFFF"/>
          <w:lang w:val="en-US" w:eastAsia="zh-CN"/>
        </w:rPr>
        <w:t>31</w:t>
      </w:r>
      <w:r>
        <w:rPr>
          <w:rFonts w:hint="eastAsia" w:ascii="宋体" w:hAnsi="宋体" w:eastAsia="宋体" w:cs="Times New Roman"/>
          <w:bCs/>
          <w:color w:val="auto"/>
          <w:szCs w:val="21"/>
          <w:highlight w:val="none"/>
          <w:shd w:val="clear" w:color="auto" w:fill="FFFFFF"/>
        </w:rPr>
        <w:t>日09：30（北京时间）</w:t>
      </w:r>
    </w:p>
    <w:p w14:paraId="1098914D">
      <w:pPr>
        <w:spacing w:line="400" w:lineRule="exact"/>
        <w:ind w:firstLine="420" w:firstLineChars="200"/>
        <w:jc w:val="left"/>
        <w:rPr>
          <w:rFonts w:hint="eastAsia" w:ascii="宋体" w:hAnsi="宋体" w:eastAsia="宋体" w:cs="Times New Roman"/>
          <w:bCs/>
          <w:color w:val="auto"/>
          <w:szCs w:val="21"/>
          <w:highlight w:val="none"/>
          <w:shd w:val="clear" w:color="auto" w:fill="FFFFFF"/>
        </w:rPr>
      </w:pPr>
      <w:r>
        <w:rPr>
          <w:rFonts w:hint="eastAsia" w:ascii="宋体" w:hAnsi="宋体" w:eastAsia="宋体" w:cs="Times New Roman"/>
          <w:bCs/>
          <w:color w:val="auto"/>
          <w:szCs w:val="21"/>
          <w:highlight w:val="none"/>
          <w:shd w:val="clear" w:color="auto" w:fill="FFFFFF"/>
        </w:rPr>
        <w:t>开标地点：本项目将在广西政府采购云平台电子开标大厅解密、开启。 </w:t>
      </w:r>
    </w:p>
    <w:p w14:paraId="2CB2BA23">
      <w:pPr>
        <w:spacing w:line="400" w:lineRule="exact"/>
        <w:outlineLvl w:val="1"/>
        <w:rPr>
          <w:rFonts w:ascii="宋体" w:hAnsi="宋体" w:cs="宋体"/>
          <w:color w:val="auto"/>
          <w:kern w:val="0"/>
          <w:szCs w:val="21"/>
          <w:highlight w:val="none"/>
        </w:rPr>
      </w:pPr>
      <w:bookmarkStart w:id="40" w:name="_Toc18818"/>
      <w:r>
        <w:rPr>
          <w:rFonts w:hint="eastAsia" w:ascii="宋体" w:hAnsi="宋体"/>
          <w:b/>
          <w:bCs/>
          <w:color w:val="auto"/>
          <w:szCs w:val="21"/>
          <w:highlight w:val="none"/>
        </w:rPr>
        <w:t>五、公告期限</w:t>
      </w:r>
      <w:bookmarkEnd w:id="36"/>
      <w:bookmarkEnd w:id="37"/>
      <w:bookmarkEnd w:id="38"/>
      <w:bookmarkEnd w:id="39"/>
      <w:r>
        <w:rPr>
          <w:rFonts w:hint="eastAsia" w:ascii="宋体" w:hAnsi="宋体"/>
          <w:b/>
          <w:bCs/>
          <w:color w:val="auto"/>
          <w:szCs w:val="21"/>
          <w:highlight w:val="none"/>
        </w:rPr>
        <w:t>：</w:t>
      </w:r>
      <w:r>
        <w:rPr>
          <w:rFonts w:hint="eastAsia" w:ascii="宋体" w:hAnsi="宋体" w:cs="宋体"/>
          <w:color w:val="auto"/>
          <w:kern w:val="0"/>
          <w:szCs w:val="21"/>
          <w:highlight w:val="none"/>
        </w:rPr>
        <w:t>自本公告发布之日起5个工作日。</w:t>
      </w:r>
      <w:bookmarkEnd w:id="40"/>
    </w:p>
    <w:p w14:paraId="72ABA621">
      <w:pPr>
        <w:spacing w:line="400" w:lineRule="exact"/>
        <w:ind w:firstLine="200"/>
        <w:outlineLvl w:val="1"/>
        <w:rPr>
          <w:rFonts w:ascii="宋体" w:hAnsi="宋体"/>
          <w:b/>
          <w:bCs/>
          <w:color w:val="auto"/>
          <w:szCs w:val="21"/>
          <w:highlight w:val="none"/>
        </w:rPr>
      </w:pPr>
      <w:bookmarkStart w:id="41" w:name="_Toc35393795"/>
      <w:bookmarkStart w:id="42" w:name="_Toc24800"/>
      <w:bookmarkStart w:id="43" w:name="_Toc35393626"/>
      <w:r>
        <w:rPr>
          <w:rFonts w:hint="eastAsia" w:ascii="宋体" w:hAnsi="宋体"/>
          <w:b/>
          <w:bCs/>
          <w:color w:val="auto"/>
          <w:szCs w:val="21"/>
          <w:highlight w:val="none"/>
        </w:rPr>
        <w:t>六、其他补充事宜</w:t>
      </w:r>
      <w:bookmarkEnd w:id="41"/>
      <w:bookmarkEnd w:id="42"/>
      <w:bookmarkEnd w:id="43"/>
    </w:p>
    <w:p w14:paraId="64185858">
      <w:pPr>
        <w:spacing w:line="360" w:lineRule="auto"/>
        <w:ind w:firstLine="420" w:firstLineChars="200"/>
        <w:rPr>
          <w:rFonts w:hint="eastAsia" w:ascii="宋体" w:hAnsi="宋体" w:eastAsia="宋体" w:cs="宋体"/>
          <w:color w:val="auto"/>
          <w:kern w:val="0"/>
          <w:szCs w:val="21"/>
          <w:highlight w:val="none"/>
        </w:rPr>
      </w:pPr>
      <w:bookmarkStart w:id="44" w:name="_Hlk37429595"/>
      <w:bookmarkStart w:id="45" w:name="_Hlk37429585"/>
      <w:bookmarkStart w:id="46" w:name="OLE_LINK82"/>
      <w:bookmarkStart w:id="47" w:name="OLE_LINK83"/>
      <w:r>
        <w:rPr>
          <w:rFonts w:hint="eastAsia" w:ascii="宋体" w:hAnsi="宋体" w:eastAsia="宋体" w:cs="宋体"/>
          <w:color w:val="auto"/>
          <w:kern w:val="0"/>
          <w:szCs w:val="21"/>
          <w:highlight w:val="none"/>
        </w:rPr>
        <w:t>1.投标保证金（须足额交纳）：</w:t>
      </w:r>
      <w:r>
        <w:rPr>
          <w:rFonts w:hint="eastAsia" w:ascii="宋体" w:hAnsi="宋体" w:eastAsia="宋体" w:cs="宋体"/>
          <w:color w:val="auto"/>
          <w:kern w:val="0"/>
          <w:szCs w:val="21"/>
          <w:highlight w:val="none"/>
          <w:lang w:val="en-US" w:eastAsia="zh-CN"/>
        </w:rPr>
        <w:t>无</w:t>
      </w:r>
      <w:r>
        <w:rPr>
          <w:rFonts w:hint="eastAsia" w:ascii="宋体" w:hAnsi="宋体" w:eastAsia="宋体" w:cs="宋体"/>
          <w:color w:val="auto"/>
          <w:kern w:val="0"/>
          <w:szCs w:val="21"/>
          <w:highlight w:val="none"/>
        </w:rPr>
        <w:t>。</w:t>
      </w:r>
    </w:p>
    <w:p w14:paraId="0228A97F">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2.</w:t>
      </w:r>
      <w:bookmarkEnd w:id="44"/>
      <w:bookmarkEnd w:id="45"/>
      <w:r>
        <w:rPr>
          <w:rFonts w:hint="eastAsia" w:ascii="宋体" w:hAnsi="宋体" w:eastAsia="宋体" w:cs="宋体"/>
          <w:color w:val="auto"/>
          <w:kern w:val="0"/>
          <w:szCs w:val="21"/>
          <w:highlight w:val="none"/>
        </w:rPr>
        <w:t>采购意向公开链接：http://www.ccgp-guangxi.gov.cn/site/detail?categoryCode=ZcyAnnouncement&amp;parentId=66485&amp;articleId=+6IFIf3rFCDyQJ/YnK1VgA==</w:t>
      </w:r>
    </w:p>
    <w:p w14:paraId="264BC86B">
      <w:pPr>
        <w:spacing w:line="360" w:lineRule="auto"/>
        <w:ind w:firstLine="420" w:firstLineChars="200"/>
        <w:rPr>
          <w:rFonts w:hint="eastAsia" w:ascii="宋体" w:hAnsi="宋体" w:eastAsia="宋体" w:cs="宋体"/>
          <w:color w:val="auto"/>
          <w:kern w:val="0"/>
          <w:szCs w:val="21"/>
          <w:highlight w:val="none"/>
        </w:rPr>
      </w:pPr>
      <w:bookmarkStart w:id="48" w:name="_Hlk37429674"/>
      <w:r>
        <w:rPr>
          <w:rFonts w:hint="eastAsia" w:ascii="宋体" w:hAnsi="宋体" w:eastAsia="宋体" w:cs="宋体"/>
          <w:color w:val="auto"/>
          <w:kern w:val="0"/>
          <w:szCs w:val="21"/>
          <w:highlight w:val="none"/>
        </w:rPr>
        <w:t>3.单位负责人为同一人或者存在直接控股、管理关系的不同</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，不得参加同一合同项下的政府采购活动。为本项目提供过整体设计、规范编制或者项目管理、监理、检测等服务的</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，不得再参加本项目上述服务以外的其他采购活动。</w:t>
      </w:r>
    </w:p>
    <w:bookmarkEnd w:id="46"/>
    <w:bookmarkEnd w:id="47"/>
    <w:bookmarkEnd w:id="48"/>
    <w:p w14:paraId="50CF8F94">
      <w:pPr>
        <w:spacing w:line="360" w:lineRule="auto"/>
        <w:ind w:firstLine="420" w:firstLineChars="200"/>
        <w:rPr>
          <w:rFonts w:hint="eastAsia" w:ascii="宋体" w:hAnsi="宋体" w:cs="宋体"/>
          <w:color w:val="auto"/>
          <w:kern w:val="0"/>
          <w:szCs w:val="21"/>
          <w:highlight w:val="none"/>
        </w:rPr>
      </w:pPr>
      <w:bookmarkStart w:id="49" w:name="_Toc28359085"/>
      <w:bookmarkStart w:id="50" w:name="_Toc35393627"/>
      <w:bookmarkStart w:id="51" w:name="_Toc28359008"/>
      <w:bookmarkStart w:id="52" w:name="_Toc35393796"/>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w:t>
      </w:r>
      <w:r>
        <w:rPr>
          <w:rFonts w:hint="eastAsia" w:ascii="宋体" w:hAnsi="宋体" w:cs="宋体"/>
          <w:color w:val="auto"/>
          <w:kern w:val="0"/>
          <w:szCs w:val="21"/>
          <w:highlight w:val="none"/>
          <w:lang w:eastAsia="zh-CN"/>
        </w:rPr>
        <w:t>投标人</w:t>
      </w:r>
      <w:r>
        <w:rPr>
          <w:rFonts w:hint="eastAsia" w:ascii="宋体" w:hAnsi="宋体" w:cs="宋体"/>
          <w:color w:val="auto"/>
          <w:kern w:val="0"/>
          <w:szCs w:val="21"/>
          <w:highlight w:val="none"/>
        </w:rPr>
        <w:t>，不得参与政府采购活动。</w:t>
      </w:r>
    </w:p>
    <w:p w14:paraId="5D046C6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、网上查询地址：中国政府采购网（www.ccgp.gov.cn）、广西政府采购网（zfcg.gxzf.gov.cn）</w:t>
      </w:r>
      <w:r>
        <w:rPr>
          <w:rFonts w:hint="eastAsia" w:ascii="宋体" w:hAnsi="宋体" w:cs="宋体"/>
          <w:color w:val="auto"/>
          <w:kern w:val="0"/>
          <w:szCs w:val="21"/>
          <w:highlight w:val="none"/>
          <w:lang w:eastAsia="zh-CN"/>
        </w:rPr>
        <w:t>、</w:t>
      </w:r>
      <w:r>
        <w:rPr>
          <w:rFonts w:hint="eastAsia" w:ascii="宋体" w:hAnsi="宋体" w:eastAsia="宋体" w:cs="宋体"/>
          <w:i w:val="0"/>
          <w:iCs w:val="0"/>
          <w:caps w:val="0"/>
          <w:color w:val="auto"/>
          <w:spacing w:val="0"/>
          <w:kern w:val="0"/>
          <w:sz w:val="21"/>
          <w:szCs w:val="21"/>
          <w:highlight w:val="none"/>
          <w:shd w:val="clear" w:fill="auto"/>
        </w:rPr>
        <w:t>广西壮族自治区公共资源交易中心（</w:t>
      </w:r>
      <w:r>
        <w:rPr>
          <w:rFonts w:hint="eastAsia" w:ascii="宋体" w:hAnsi="宋体" w:eastAsia="宋体" w:cs="宋体"/>
          <w:i w:val="0"/>
          <w:iCs w:val="0"/>
          <w:caps w:val="0"/>
          <w:color w:val="auto"/>
          <w:spacing w:val="0"/>
          <w:kern w:val="0"/>
          <w:sz w:val="21"/>
          <w:szCs w:val="21"/>
          <w:highlight w:val="none"/>
          <w:u w:val="none"/>
          <w:shd w:val="clear" w:fill="auto"/>
        </w:rPr>
        <w:fldChar w:fldCharType="begin"/>
      </w:r>
      <w:r>
        <w:rPr>
          <w:rFonts w:hint="eastAsia" w:ascii="宋体" w:hAnsi="宋体" w:eastAsia="宋体" w:cs="宋体"/>
          <w:i w:val="0"/>
          <w:iCs w:val="0"/>
          <w:caps w:val="0"/>
          <w:color w:val="auto"/>
          <w:spacing w:val="0"/>
          <w:kern w:val="0"/>
          <w:sz w:val="21"/>
          <w:szCs w:val="21"/>
          <w:highlight w:val="none"/>
          <w:u w:val="none"/>
          <w:shd w:val="clear" w:fill="auto"/>
        </w:rPr>
        <w:instrText xml:space="preserve"> HYPERLINK "http://gxggzy.gxzf.gov.cn/" </w:instrText>
      </w:r>
      <w:r>
        <w:rPr>
          <w:rFonts w:hint="eastAsia" w:ascii="宋体" w:hAnsi="宋体" w:eastAsia="宋体" w:cs="宋体"/>
          <w:i w:val="0"/>
          <w:iCs w:val="0"/>
          <w:caps w:val="0"/>
          <w:color w:val="auto"/>
          <w:spacing w:val="0"/>
          <w:kern w:val="0"/>
          <w:sz w:val="21"/>
          <w:szCs w:val="21"/>
          <w:highlight w:val="none"/>
          <w:u w:val="none"/>
          <w:shd w:val="clear" w:fill="auto"/>
        </w:rPr>
        <w:fldChar w:fldCharType="separate"/>
      </w:r>
      <w:r>
        <w:rPr>
          <w:rStyle w:val="19"/>
          <w:rFonts w:hint="eastAsia" w:ascii="宋体" w:hAnsi="宋体" w:eastAsia="宋体" w:cs="宋体"/>
          <w:i w:val="0"/>
          <w:iCs w:val="0"/>
          <w:caps w:val="0"/>
          <w:color w:val="auto"/>
          <w:spacing w:val="0"/>
          <w:kern w:val="0"/>
          <w:sz w:val="21"/>
          <w:szCs w:val="21"/>
          <w:highlight w:val="none"/>
          <w:u w:val="none"/>
          <w:shd w:val="clear"/>
        </w:rPr>
        <w:t>http://gxggzy.gxzf.gov.cn/</w:t>
      </w:r>
      <w:r>
        <w:rPr>
          <w:rFonts w:hint="eastAsia" w:ascii="宋体" w:hAnsi="宋体" w:eastAsia="宋体" w:cs="宋体"/>
          <w:i w:val="0"/>
          <w:iCs w:val="0"/>
          <w:caps w:val="0"/>
          <w:color w:val="auto"/>
          <w:spacing w:val="0"/>
          <w:kern w:val="0"/>
          <w:sz w:val="21"/>
          <w:szCs w:val="21"/>
          <w:highlight w:val="none"/>
          <w:u w:val="none"/>
          <w:shd w:val="clear" w:fill="auto"/>
        </w:rPr>
        <w:fldChar w:fldCharType="end"/>
      </w:r>
      <w:r>
        <w:rPr>
          <w:rFonts w:hint="eastAsia" w:ascii="宋体" w:hAnsi="宋体" w:eastAsia="宋体" w:cs="宋体"/>
          <w:i w:val="0"/>
          <w:iCs w:val="0"/>
          <w:caps w:val="0"/>
          <w:color w:val="auto"/>
          <w:spacing w:val="0"/>
          <w:kern w:val="0"/>
          <w:sz w:val="21"/>
          <w:szCs w:val="21"/>
          <w:highlight w:val="none"/>
          <w:shd w:val="clear" w:fill="auto"/>
        </w:rPr>
        <w:t>）</w:t>
      </w:r>
      <w:r>
        <w:rPr>
          <w:rFonts w:hint="eastAsia" w:ascii="宋体" w:hAnsi="宋体" w:cs="宋体"/>
          <w:color w:val="auto"/>
          <w:kern w:val="0"/>
          <w:szCs w:val="21"/>
          <w:highlight w:val="none"/>
        </w:rPr>
        <w:t>。</w:t>
      </w:r>
    </w:p>
    <w:p w14:paraId="04CD575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、本项目需要落实的政府采购政策：</w:t>
      </w:r>
    </w:p>
    <w:p w14:paraId="0031564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EC57D3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2EA59DF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007D09B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2C23F9E3">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FD50E1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（6）扶持不发达地区和少数民族地区政策。</w:t>
      </w:r>
    </w:p>
    <w:p w14:paraId="72F81876">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7</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CN" w:bidi="ar"/>
        </w:rPr>
        <w:t>投标人投标</w:t>
      </w:r>
      <w:r>
        <w:rPr>
          <w:rFonts w:hint="eastAsia" w:ascii="宋体" w:hAnsi="宋体" w:cs="宋体"/>
          <w:color w:val="auto"/>
          <w:szCs w:val="21"/>
          <w:highlight w:val="none"/>
          <w:lang w:bidi="ar"/>
        </w:rPr>
        <w:t>注意事项：</w:t>
      </w:r>
    </w:p>
    <w:p w14:paraId="5C3F58A2">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lang w:bidi="ar"/>
        </w:rPr>
        <w:t>（1）本项目为全流程电子化政府采购项目，通过广西政府采购云平台（https://www.gcy.zfcg.gxzf.gov.cn/）实行在线电子</w:t>
      </w:r>
      <w:r>
        <w:rPr>
          <w:rFonts w:hint="eastAsia" w:ascii="宋体" w:hAnsi="宋体" w:cs="宋体"/>
          <w:color w:val="auto"/>
          <w:szCs w:val="21"/>
          <w:highlight w:val="none"/>
          <w:lang w:eastAsia="zh-CN" w:bidi="ar"/>
        </w:rPr>
        <w:t>招标</w:t>
      </w:r>
      <w:r>
        <w:rPr>
          <w:rFonts w:hint="eastAsia" w:ascii="宋体" w:hAnsi="宋体" w:cs="宋体"/>
          <w:color w:val="auto"/>
          <w:szCs w:val="21"/>
          <w:highlight w:val="none"/>
          <w:lang w:bidi="ar"/>
        </w:rPr>
        <w:t>采购，</w:t>
      </w:r>
      <w:r>
        <w:rPr>
          <w:rFonts w:hint="eastAsia" w:ascii="宋体" w:hAnsi="宋体" w:cs="宋体"/>
          <w:color w:val="auto"/>
          <w:szCs w:val="21"/>
          <w:highlight w:val="none"/>
          <w:lang w:eastAsia="zh-CN" w:bidi="ar"/>
        </w:rPr>
        <w:t>投标人</w:t>
      </w:r>
      <w:r>
        <w:rPr>
          <w:rFonts w:hint="eastAsia" w:ascii="宋体" w:hAnsi="宋体" w:cs="宋体"/>
          <w:color w:val="auto"/>
          <w:szCs w:val="21"/>
          <w:highlight w:val="none"/>
          <w:lang w:bidi="ar"/>
        </w:rPr>
        <w:t>应先安装“政采云电子交易客户端”（请自行前往广西政府采购云平台进行下载），并按照本项目</w:t>
      </w:r>
      <w:r>
        <w:rPr>
          <w:rFonts w:hint="eastAsia" w:ascii="宋体" w:hAnsi="宋体" w:cs="宋体"/>
          <w:color w:val="auto"/>
          <w:szCs w:val="21"/>
          <w:highlight w:val="none"/>
          <w:lang w:eastAsia="zh-CN" w:bidi="ar"/>
        </w:rPr>
        <w:t>招标</w:t>
      </w:r>
      <w:r>
        <w:rPr>
          <w:rFonts w:hint="eastAsia" w:ascii="宋体" w:hAnsi="宋体" w:cs="宋体"/>
          <w:color w:val="auto"/>
          <w:szCs w:val="21"/>
          <w:highlight w:val="none"/>
          <w:lang w:bidi="ar"/>
        </w:rPr>
        <w:t>文件和广西政府采购云平台的要求编制、加密后在</w:t>
      </w:r>
      <w:r>
        <w:rPr>
          <w:rFonts w:hint="eastAsia" w:ascii="宋体" w:hAnsi="宋体" w:cs="宋体"/>
          <w:color w:val="auto"/>
          <w:szCs w:val="21"/>
          <w:highlight w:val="none"/>
        </w:rPr>
        <w:t>首次</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提交截止时间</w:t>
      </w:r>
      <w:r>
        <w:rPr>
          <w:rFonts w:hint="eastAsia" w:ascii="宋体" w:hAnsi="宋体" w:cs="宋体"/>
          <w:color w:val="auto"/>
          <w:szCs w:val="21"/>
          <w:highlight w:val="none"/>
          <w:lang w:bidi="ar"/>
        </w:rPr>
        <w:t>前通过网络上传至广西政府采购云平台，</w:t>
      </w:r>
      <w:r>
        <w:rPr>
          <w:rFonts w:hint="eastAsia" w:ascii="宋体" w:hAnsi="宋体" w:cs="宋体"/>
          <w:b/>
          <w:color w:val="auto"/>
          <w:szCs w:val="21"/>
          <w:highlight w:val="none"/>
          <w:lang w:eastAsia="zh-CN" w:bidi="ar"/>
        </w:rPr>
        <w:t>投标人</w:t>
      </w:r>
      <w:r>
        <w:rPr>
          <w:rFonts w:hint="eastAsia" w:ascii="宋体" w:hAnsi="宋体" w:cs="宋体"/>
          <w:b/>
          <w:color w:val="auto"/>
          <w:szCs w:val="21"/>
          <w:highlight w:val="none"/>
          <w:lang w:bidi="ar"/>
        </w:rPr>
        <w:t>在广西政府采购云平台提交电子版</w:t>
      </w:r>
      <w:r>
        <w:rPr>
          <w:rFonts w:hint="eastAsia" w:ascii="宋体" w:hAnsi="宋体" w:cs="宋体"/>
          <w:b/>
          <w:color w:val="auto"/>
          <w:szCs w:val="21"/>
          <w:highlight w:val="none"/>
          <w:lang w:eastAsia="zh-CN" w:bidi="ar"/>
        </w:rPr>
        <w:t>投标文件</w:t>
      </w:r>
      <w:r>
        <w:rPr>
          <w:rFonts w:hint="eastAsia" w:ascii="宋体" w:hAnsi="宋体" w:cs="宋体"/>
          <w:b/>
          <w:color w:val="auto"/>
          <w:szCs w:val="21"/>
          <w:highlight w:val="none"/>
          <w:lang w:bidi="ar"/>
        </w:rPr>
        <w:t>时，请填写参加远程开标活动经办人联系方式。</w:t>
      </w:r>
    </w:p>
    <w:p w14:paraId="6B10B730">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w:t>
      </w:r>
      <w:r>
        <w:rPr>
          <w:rFonts w:hint="eastAsia" w:ascii="宋体" w:hAnsi="宋体" w:cs="宋体"/>
          <w:color w:val="auto"/>
          <w:szCs w:val="21"/>
          <w:highlight w:val="none"/>
          <w:lang w:eastAsia="zh-CN" w:bidi="ar"/>
        </w:rPr>
        <w:t>投标人</w:t>
      </w:r>
      <w:r>
        <w:rPr>
          <w:rFonts w:ascii="宋体" w:hAnsi="宋体" w:cs="宋体"/>
          <w:color w:val="auto"/>
          <w:szCs w:val="21"/>
          <w:highlight w:val="none"/>
          <w:lang w:bidi="ar"/>
        </w:rPr>
        <w:t>应及时熟悉掌握电子</w:t>
      </w:r>
      <w:r>
        <w:rPr>
          <w:rFonts w:hint="eastAsia" w:ascii="宋体" w:hAnsi="宋体" w:cs="宋体"/>
          <w:color w:val="auto"/>
          <w:szCs w:val="21"/>
          <w:highlight w:val="none"/>
          <w:lang w:bidi="ar"/>
        </w:rPr>
        <w:t>竞</w:t>
      </w:r>
      <w:r>
        <w:rPr>
          <w:rFonts w:ascii="宋体" w:hAnsi="宋体" w:cs="宋体"/>
          <w:color w:val="auto"/>
          <w:szCs w:val="21"/>
          <w:highlight w:val="none"/>
          <w:lang w:bidi="ar"/>
        </w:rPr>
        <w:t>标系统操作指南（见政采云电子卖场首页右上角—服务中心—帮助文档—项目采购）：</w:t>
      </w:r>
      <w:r>
        <w:rPr>
          <w:color w:val="auto"/>
          <w:highlight w:val="none"/>
        </w:rPr>
        <w:fldChar w:fldCharType="begin"/>
      </w:r>
      <w:r>
        <w:rPr>
          <w:color w:val="auto"/>
          <w:highlight w:val="none"/>
        </w:rPr>
        <w:instrText xml:space="preserve"> HYPERLINK "https://service.zcygov.cn/#/knowledges/tree?tag=AG1DtGwBFdiHxlNdhY0r" </w:instrText>
      </w:r>
      <w:r>
        <w:rPr>
          <w:color w:val="auto"/>
          <w:highlight w:val="none"/>
        </w:rPr>
        <w:fldChar w:fldCharType="separate"/>
      </w:r>
      <w:r>
        <w:rPr>
          <w:color w:val="auto"/>
          <w:highlight w:val="none"/>
          <w:lang w:bidi="ar"/>
        </w:rPr>
        <w:t>https://service.zcygov.cn/#/knowledges/tree?tag=AG1DtGwBFdiHxlNdhY0r</w:t>
      </w:r>
      <w:r>
        <w:rPr>
          <w:color w:val="auto"/>
          <w:highlight w:val="none"/>
          <w:lang w:bidi="ar"/>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及时完成CA申领和绑定（见广西壮族自治区政府采购网—办事服务—下载专区-政采云CA证书办理操作指南）。</w:t>
      </w:r>
    </w:p>
    <w:p w14:paraId="320CED8D">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w:t>
      </w:r>
      <w:r>
        <w:rPr>
          <w:rFonts w:hint="eastAsia" w:ascii="宋体" w:hAnsi="宋体" w:cs="宋体"/>
          <w:color w:val="auto"/>
          <w:szCs w:val="21"/>
          <w:highlight w:val="none"/>
          <w:lang w:eastAsia="zh-CN" w:bidi="ar"/>
        </w:rPr>
        <w:t>投标人</w:t>
      </w:r>
      <w:r>
        <w:rPr>
          <w:rFonts w:hint="eastAsia" w:ascii="宋体" w:hAnsi="宋体" w:cs="宋体"/>
          <w:color w:val="auto"/>
          <w:szCs w:val="21"/>
          <w:highlight w:val="none"/>
          <w:lang w:bidi="ar"/>
        </w:rPr>
        <w:t>将无法参与本项目政府采购活动，潜在</w:t>
      </w:r>
      <w:r>
        <w:rPr>
          <w:rFonts w:hint="eastAsia" w:ascii="宋体" w:hAnsi="宋体" w:cs="宋体"/>
          <w:color w:val="auto"/>
          <w:szCs w:val="21"/>
          <w:highlight w:val="none"/>
          <w:lang w:eastAsia="zh-CN" w:bidi="ar"/>
        </w:rPr>
        <w:t>投标人</w:t>
      </w:r>
      <w:r>
        <w:rPr>
          <w:rFonts w:hint="eastAsia" w:ascii="宋体" w:hAnsi="宋体" w:cs="宋体"/>
          <w:color w:val="auto"/>
          <w:szCs w:val="21"/>
          <w:highlight w:val="none"/>
          <w:lang w:bidi="ar"/>
        </w:rPr>
        <w:t>应当在</w:t>
      </w:r>
      <w:r>
        <w:rPr>
          <w:rFonts w:hint="eastAsia" w:ascii="宋体" w:hAnsi="宋体" w:cs="宋体"/>
          <w:color w:val="auto"/>
          <w:szCs w:val="21"/>
          <w:highlight w:val="none"/>
        </w:rPr>
        <w:t>首次</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提交截止时间</w:t>
      </w:r>
      <w:r>
        <w:rPr>
          <w:rFonts w:hint="eastAsia" w:ascii="宋体" w:hAnsi="宋体" w:cs="宋体"/>
          <w:color w:val="auto"/>
          <w:szCs w:val="21"/>
          <w:highlight w:val="none"/>
          <w:lang w:bidi="ar"/>
        </w:rPr>
        <w:t>前，完成电子交易平台上的CA数字证书办理及</w:t>
      </w:r>
      <w:r>
        <w:rPr>
          <w:rFonts w:hint="eastAsia" w:ascii="宋体" w:hAnsi="宋体" w:cs="宋体"/>
          <w:color w:val="auto"/>
          <w:szCs w:val="21"/>
          <w:highlight w:val="none"/>
          <w:lang w:eastAsia="zh-CN" w:bidi="ar"/>
        </w:rPr>
        <w:t>投标文件</w:t>
      </w:r>
      <w:r>
        <w:rPr>
          <w:rFonts w:hint="eastAsia" w:ascii="宋体" w:hAnsi="宋体" w:cs="宋体"/>
          <w:color w:val="auto"/>
          <w:szCs w:val="21"/>
          <w:highlight w:val="none"/>
          <w:lang w:bidi="ar"/>
        </w:rPr>
        <w:t>的提交。完成CA数字证书办理预计7日左右，</w:t>
      </w:r>
      <w:r>
        <w:rPr>
          <w:rFonts w:hint="eastAsia" w:ascii="宋体" w:hAnsi="宋体" w:cs="宋体"/>
          <w:color w:val="auto"/>
          <w:szCs w:val="21"/>
          <w:highlight w:val="none"/>
          <w:lang w:eastAsia="zh-CN" w:bidi="ar"/>
        </w:rPr>
        <w:t>投标人</w:t>
      </w:r>
      <w:r>
        <w:rPr>
          <w:rFonts w:hint="eastAsia" w:ascii="宋体" w:hAnsi="宋体" w:cs="宋体"/>
          <w:color w:val="auto"/>
          <w:szCs w:val="21"/>
          <w:highlight w:val="none"/>
          <w:lang w:bidi="ar"/>
        </w:rPr>
        <w:t>只需办理其中一家CA数字证书及签章，建议各</w:t>
      </w:r>
      <w:r>
        <w:rPr>
          <w:rFonts w:hint="eastAsia" w:ascii="宋体" w:hAnsi="宋体" w:cs="宋体"/>
          <w:color w:val="auto"/>
          <w:szCs w:val="21"/>
          <w:highlight w:val="none"/>
          <w:lang w:eastAsia="zh-CN" w:bidi="ar"/>
        </w:rPr>
        <w:t>投标人</w:t>
      </w:r>
      <w:r>
        <w:rPr>
          <w:rFonts w:hint="eastAsia" w:ascii="宋体" w:hAnsi="宋体" w:cs="宋体"/>
          <w:color w:val="auto"/>
          <w:szCs w:val="21"/>
          <w:highlight w:val="none"/>
          <w:lang w:bidi="ar"/>
        </w:rPr>
        <w:t>抓紧时间办理。</w:t>
      </w:r>
    </w:p>
    <w:p w14:paraId="026D3A6B">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（4）为确保网上操作合法、有效和安全，请</w:t>
      </w:r>
      <w:r>
        <w:rPr>
          <w:rFonts w:hint="eastAsia" w:ascii="宋体" w:hAnsi="宋体" w:cs="宋体"/>
          <w:color w:val="auto"/>
          <w:szCs w:val="21"/>
          <w:highlight w:val="none"/>
          <w:lang w:eastAsia="zh-CN" w:bidi="ar"/>
        </w:rPr>
        <w:t>投标人</w:t>
      </w:r>
      <w:r>
        <w:rPr>
          <w:rFonts w:hint="eastAsia" w:ascii="宋体" w:hAnsi="宋体" w:cs="宋体"/>
          <w:color w:val="auto"/>
          <w:szCs w:val="21"/>
          <w:highlight w:val="none"/>
          <w:lang w:bidi="ar"/>
        </w:rPr>
        <w:t>确保在电子竞标过程中能够对相关数据电文进行加密和使用电子签章，妥善保管CA数字证书并使用有效的CA数字证书参与整个采购活动。</w:t>
      </w:r>
    </w:p>
    <w:p w14:paraId="2A947FAC">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注：</w:t>
      </w:r>
      <w:r>
        <w:rPr>
          <w:rFonts w:hint="eastAsia" w:ascii="宋体" w:hAnsi="宋体" w:cs="宋体"/>
          <w:b/>
          <w:bCs/>
          <w:color w:val="auto"/>
          <w:szCs w:val="21"/>
          <w:highlight w:val="none"/>
          <w:lang w:eastAsia="zh-CN" w:bidi="ar"/>
        </w:rPr>
        <w:t>投标人</w:t>
      </w:r>
      <w:r>
        <w:rPr>
          <w:rFonts w:hint="eastAsia" w:ascii="宋体" w:hAnsi="宋体" w:cs="宋体"/>
          <w:b/>
          <w:bCs/>
          <w:color w:val="auto"/>
          <w:szCs w:val="21"/>
          <w:highlight w:val="none"/>
          <w:lang w:bidi="ar"/>
        </w:rPr>
        <w:t>应当在首次</w:t>
      </w:r>
      <w:r>
        <w:rPr>
          <w:rFonts w:hint="eastAsia" w:ascii="宋体" w:hAnsi="宋体" w:cs="宋体"/>
          <w:b/>
          <w:bCs/>
          <w:color w:val="auto"/>
          <w:szCs w:val="21"/>
          <w:highlight w:val="none"/>
          <w:lang w:eastAsia="zh-CN" w:bidi="ar"/>
        </w:rPr>
        <w:t>投标</w:t>
      </w:r>
      <w:r>
        <w:rPr>
          <w:rFonts w:hint="eastAsia" w:ascii="宋体" w:hAnsi="宋体" w:cs="宋体"/>
          <w:b/>
          <w:bCs/>
          <w:color w:val="auto"/>
          <w:szCs w:val="21"/>
          <w:highlight w:val="none"/>
          <w:lang w:bidi="ar"/>
        </w:rPr>
        <w:t>文件提交截止时间前完成电子</w:t>
      </w:r>
      <w:r>
        <w:rPr>
          <w:rFonts w:hint="eastAsia" w:ascii="宋体" w:hAnsi="宋体" w:cs="宋体"/>
          <w:b/>
          <w:bCs/>
          <w:color w:val="auto"/>
          <w:szCs w:val="21"/>
          <w:highlight w:val="none"/>
          <w:lang w:eastAsia="zh-CN" w:bidi="ar"/>
        </w:rPr>
        <w:t>投标文件</w:t>
      </w:r>
      <w:r>
        <w:rPr>
          <w:rFonts w:hint="eastAsia" w:ascii="宋体" w:hAnsi="宋体" w:cs="宋体"/>
          <w:b/>
          <w:bCs/>
          <w:color w:val="auto"/>
          <w:szCs w:val="21"/>
          <w:highlight w:val="none"/>
          <w:lang w:bidi="ar"/>
        </w:rPr>
        <w:t>的上传、递交，</w:t>
      </w:r>
      <w:r>
        <w:rPr>
          <w:rFonts w:hint="eastAsia" w:ascii="宋体" w:hAnsi="宋体" w:cs="宋体"/>
          <w:b/>
          <w:color w:val="auto"/>
          <w:szCs w:val="21"/>
          <w:highlight w:val="none"/>
        </w:rPr>
        <w:t>首次</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提交截止时间</w:t>
      </w:r>
      <w:r>
        <w:rPr>
          <w:rFonts w:hint="eastAsia" w:ascii="宋体" w:hAnsi="宋体" w:cs="宋体"/>
          <w:b/>
          <w:bCs/>
          <w:color w:val="auto"/>
          <w:szCs w:val="21"/>
          <w:highlight w:val="none"/>
          <w:lang w:bidi="ar"/>
        </w:rPr>
        <w:t>前可以补充、修改或者撤回</w:t>
      </w:r>
      <w:r>
        <w:rPr>
          <w:rFonts w:hint="eastAsia" w:ascii="宋体" w:hAnsi="宋体" w:cs="宋体"/>
          <w:b/>
          <w:bCs/>
          <w:color w:val="auto"/>
          <w:szCs w:val="21"/>
          <w:highlight w:val="none"/>
          <w:lang w:eastAsia="zh-CN" w:bidi="ar"/>
        </w:rPr>
        <w:t>投标文件</w:t>
      </w:r>
      <w:r>
        <w:rPr>
          <w:rFonts w:hint="eastAsia" w:ascii="宋体" w:hAnsi="宋体" w:cs="宋体"/>
          <w:b/>
          <w:bCs/>
          <w:color w:val="auto"/>
          <w:szCs w:val="21"/>
          <w:highlight w:val="none"/>
          <w:lang w:bidi="ar"/>
        </w:rPr>
        <w:t>。补充或者修改</w:t>
      </w:r>
      <w:r>
        <w:rPr>
          <w:rFonts w:hint="eastAsia" w:ascii="宋体" w:hAnsi="宋体" w:cs="宋体"/>
          <w:b/>
          <w:bCs/>
          <w:color w:val="auto"/>
          <w:szCs w:val="21"/>
          <w:highlight w:val="none"/>
          <w:lang w:eastAsia="zh-CN" w:bidi="ar"/>
        </w:rPr>
        <w:t>投标文件</w:t>
      </w:r>
      <w:r>
        <w:rPr>
          <w:rFonts w:hint="eastAsia" w:ascii="宋体" w:hAnsi="宋体" w:cs="宋体"/>
          <w:b/>
          <w:bCs/>
          <w:color w:val="auto"/>
          <w:szCs w:val="21"/>
          <w:highlight w:val="none"/>
          <w:lang w:bidi="ar"/>
        </w:rPr>
        <w:t>的，应当先行撤回原文件，补充、修改后重新上传、递交。</w:t>
      </w:r>
      <w:r>
        <w:rPr>
          <w:rFonts w:hint="eastAsia" w:ascii="宋体" w:hAnsi="宋体" w:cs="宋体"/>
          <w:b/>
          <w:color w:val="auto"/>
          <w:szCs w:val="21"/>
          <w:highlight w:val="none"/>
        </w:rPr>
        <w:t>首次</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提交截止时间</w:t>
      </w:r>
      <w:r>
        <w:rPr>
          <w:rFonts w:hint="eastAsia" w:ascii="宋体" w:hAnsi="宋体" w:cs="宋体"/>
          <w:b/>
          <w:bCs/>
          <w:color w:val="auto"/>
          <w:szCs w:val="21"/>
          <w:highlight w:val="none"/>
          <w:lang w:bidi="ar"/>
        </w:rPr>
        <w:t>前未完成上传、递交的，视为撤回</w:t>
      </w:r>
      <w:r>
        <w:rPr>
          <w:rFonts w:hint="eastAsia" w:ascii="宋体" w:hAnsi="宋体" w:cs="宋体"/>
          <w:b/>
          <w:bCs/>
          <w:color w:val="auto"/>
          <w:szCs w:val="21"/>
          <w:highlight w:val="none"/>
          <w:lang w:eastAsia="zh-CN" w:bidi="ar"/>
        </w:rPr>
        <w:t>投标文件</w:t>
      </w:r>
      <w:r>
        <w:rPr>
          <w:rFonts w:hint="eastAsia" w:ascii="宋体" w:hAnsi="宋体" w:cs="宋体"/>
          <w:b/>
          <w:bCs/>
          <w:color w:val="auto"/>
          <w:szCs w:val="21"/>
          <w:highlight w:val="none"/>
          <w:lang w:bidi="ar"/>
        </w:rPr>
        <w:t>。</w:t>
      </w:r>
      <w:r>
        <w:rPr>
          <w:rFonts w:hint="eastAsia" w:ascii="宋体" w:hAnsi="宋体" w:cs="宋体"/>
          <w:b/>
          <w:color w:val="auto"/>
          <w:szCs w:val="21"/>
          <w:highlight w:val="none"/>
        </w:rPr>
        <w:t>首次</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提交截止时间</w:t>
      </w:r>
      <w:r>
        <w:rPr>
          <w:rFonts w:hint="eastAsia" w:ascii="宋体" w:hAnsi="宋体" w:cs="宋体"/>
          <w:b/>
          <w:bCs/>
          <w:color w:val="auto"/>
          <w:szCs w:val="21"/>
          <w:highlight w:val="none"/>
          <w:lang w:bidi="ar"/>
        </w:rPr>
        <w:t>以后上传递交的</w:t>
      </w:r>
      <w:r>
        <w:rPr>
          <w:rFonts w:hint="eastAsia" w:ascii="宋体" w:hAnsi="宋体" w:cs="宋体"/>
          <w:b/>
          <w:bCs/>
          <w:color w:val="auto"/>
          <w:szCs w:val="21"/>
          <w:highlight w:val="none"/>
          <w:lang w:eastAsia="zh-CN" w:bidi="ar"/>
        </w:rPr>
        <w:t>投标文件</w:t>
      </w:r>
      <w:r>
        <w:rPr>
          <w:rFonts w:hint="eastAsia" w:ascii="宋体" w:hAnsi="宋体" w:cs="宋体"/>
          <w:b/>
          <w:bCs/>
          <w:color w:val="auto"/>
          <w:szCs w:val="21"/>
          <w:highlight w:val="none"/>
          <w:lang w:bidi="ar"/>
        </w:rPr>
        <w:t>，广西政府采购云平台将予以拒收。</w:t>
      </w:r>
    </w:p>
    <w:p w14:paraId="10FA2165">
      <w:pPr>
        <w:widowControl/>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kern w:val="0"/>
          <w:szCs w:val="21"/>
          <w:highlight w:val="none"/>
          <w:lang w:val="en-US" w:eastAsia="zh-CN" w:bidi="ar"/>
        </w:rPr>
        <w:t>8</w:t>
      </w:r>
      <w:r>
        <w:rPr>
          <w:rFonts w:hint="eastAsia" w:ascii="宋体" w:hAnsi="宋体" w:cs="宋体"/>
          <w:color w:val="auto"/>
          <w:kern w:val="0"/>
          <w:szCs w:val="21"/>
          <w:highlight w:val="none"/>
          <w:lang w:bidi="ar"/>
        </w:rPr>
        <w:t>、</w:t>
      </w:r>
      <w:r>
        <w:rPr>
          <w:rFonts w:hint="eastAsia" w:ascii="宋体" w:hAnsi="宋体" w:cs="宋体"/>
          <w:color w:val="auto"/>
          <w:szCs w:val="21"/>
          <w:highlight w:val="none"/>
          <w:lang w:bidi="ar"/>
        </w:rPr>
        <w:t>CA证书在线解密：首次</w:t>
      </w:r>
      <w:r>
        <w:rPr>
          <w:rFonts w:hint="eastAsia" w:ascii="宋体" w:hAnsi="宋体" w:cs="宋体"/>
          <w:color w:val="auto"/>
          <w:szCs w:val="21"/>
          <w:highlight w:val="none"/>
          <w:lang w:eastAsia="zh-CN" w:bidi="ar"/>
        </w:rPr>
        <w:t>投标文件</w:t>
      </w:r>
      <w:r>
        <w:rPr>
          <w:rFonts w:hint="eastAsia" w:ascii="宋体" w:hAnsi="宋体" w:cs="宋体"/>
          <w:color w:val="auto"/>
          <w:szCs w:val="21"/>
          <w:highlight w:val="none"/>
          <w:lang w:bidi="ar"/>
        </w:rPr>
        <w:t>开启时，须要</w:t>
      </w:r>
      <w:r>
        <w:rPr>
          <w:rFonts w:hint="eastAsia" w:ascii="宋体" w:hAnsi="宋体" w:cs="宋体"/>
          <w:color w:val="auto"/>
          <w:szCs w:val="21"/>
          <w:highlight w:val="none"/>
          <w:lang w:eastAsia="zh-CN" w:bidi="ar"/>
        </w:rPr>
        <w:t>投标人</w:t>
      </w:r>
      <w:r>
        <w:rPr>
          <w:rFonts w:hint="eastAsia" w:ascii="宋体" w:hAnsi="宋体" w:cs="宋体"/>
          <w:color w:val="auto"/>
          <w:szCs w:val="21"/>
          <w:highlight w:val="none"/>
          <w:lang w:bidi="ar"/>
        </w:rPr>
        <w:t>携带制作</w:t>
      </w:r>
      <w:r>
        <w:rPr>
          <w:rFonts w:hint="eastAsia" w:ascii="宋体" w:hAnsi="宋体" w:cs="宋体"/>
          <w:color w:val="auto"/>
          <w:szCs w:val="21"/>
          <w:highlight w:val="none"/>
          <w:lang w:eastAsia="zh-CN" w:bidi="ar"/>
        </w:rPr>
        <w:t>投标文件</w:t>
      </w:r>
      <w:r>
        <w:rPr>
          <w:rFonts w:hint="eastAsia" w:ascii="宋体" w:hAnsi="宋体" w:cs="宋体"/>
          <w:color w:val="auto"/>
          <w:szCs w:val="21"/>
          <w:highlight w:val="none"/>
          <w:lang w:bidi="ar"/>
        </w:rPr>
        <w:t>时用来加密的有效数字证书（CA认证）登录广西政府采购云平台电子开标大厅现场按规定时间对加密的</w:t>
      </w:r>
      <w:r>
        <w:rPr>
          <w:rFonts w:hint="eastAsia" w:ascii="宋体" w:hAnsi="宋体" w:cs="宋体"/>
          <w:color w:val="auto"/>
          <w:szCs w:val="21"/>
          <w:highlight w:val="none"/>
          <w:lang w:eastAsia="zh-CN" w:bidi="ar"/>
        </w:rPr>
        <w:t>投标文件</w:t>
      </w:r>
      <w:r>
        <w:rPr>
          <w:rFonts w:hint="eastAsia" w:ascii="宋体" w:hAnsi="宋体" w:cs="宋体"/>
          <w:color w:val="auto"/>
          <w:szCs w:val="21"/>
          <w:highlight w:val="none"/>
          <w:lang w:bidi="ar"/>
        </w:rPr>
        <w:t>进行解密，否则后果自负。</w:t>
      </w:r>
    </w:p>
    <w:p w14:paraId="4B535F4C">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bidi="ar"/>
        </w:rPr>
        <w:t>9</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CN" w:bidi="ar"/>
        </w:rPr>
        <w:t>投标人</w:t>
      </w:r>
      <w:r>
        <w:rPr>
          <w:rFonts w:hint="eastAsia" w:ascii="宋体" w:hAnsi="宋体" w:cs="宋体"/>
          <w:color w:val="auto"/>
          <w:szCs w:val="21"/>
          <w:highlight w:val="none"/>
          <w:lang w:bidi="ar"/>
        </w:rPr>
        <w:t>需要在具备有摄像头及语音功能且互联网网络状况良好的电脑登录广西政府采购云平台远程开标大厅参与本次</w:t>
      </w:r>
      <w:r>
        <w:rPr>
          <w:rFonts w:hint="eastAsia" w:ascii="宋体" w:hAnsi="宋体" w:cs="宋体"/>
          <w:color w:val="auto"/>
          <w:szCs w:val="21"/>
          <w:highlight w:val="none"/>
          <w:lang w:eastAsia="zh-CN" w:bidi="ar"/>
        </w:rPr>
        <w:t>项目</w:t>
      </w:r>
      <w:r>
        <w:rPr>
          <w:rFonts w:hint="eastAsia" w:ascii="宋体" w:hAnsi="宋体" w:cs="宋体"/>
          <w:color w:val="auto"/>
          <w:szCs w:val="21"/>
          <w:highlight w:val="none"/>
          <w:lang w:bidi="ar"/>
        </w:rPr>
        <w:t>，否则后果自负。</w:t>
      </w:r>
    </w:p>
    <w:p w14:paraId="6779D16B">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bidi="ar"/>
        </w:rPr>
        <w:t>10</w:t>
      </w:r>
      <w:r>
        <w:rPr>
          <w:rFonts w:hint="eastAsia" w:ascii="宋体" w:hAnsi="宋体" w:cs="宋体"/>
          <w:color w:val="auto"/>
          <w:szCs w:val="21"/>
          <w:highlight w:val="none"/>
          <w:lang w:bidi="ar"/>
        </w:rPr>
        <w:t>、若对项目采购电子交易系统操作有疑问，可登录广西政府采购云平台（https://www.gcy.zfcg.gxzf.gov.cn/），点击右侧咨询小采，获取采小蜜智能服务管家帮助，或拨打政采云服务热线95763获取热线服务帮助。</w:t>
      </w:r>
    </w:p>
    <w:p w14:paraId="22097795">
      <w:pPr>
        <w:spacing w:line="400" w:lineRule="exact"/>
        <w:ind w:firstLine="200"/>
        <w:outlineLvl w:val="1"/>
        <w:rPr>
          <w:rFonts w:ascii="宋体" w:hAnsi="宋体"/>
          <w:b/>
          <w:bCs/>
          <w:color w:val="auto"/>
          <w:szCs w:val="21"/>
          <w:highlight w:val="none"/>
        </w:rPr>
      </w:pPr>
      <w:bookmarkStart w:id="53" w:name="_Toc1457"/>
      <w:r>
        <w:rPr>
          <w:rFonts w:hint="eastAsia" w:ascii="宋体" w:hAnsi="宋体"/>
          <w:b/>
          <w:bCs/>
          <w:color w:val="auto"/>
          <w:szCs w:val="21"/>
          <w:highlight w:val="none"/>
        </w:rPr>
        <w:t>七、对本次招标提出询问，请按</w:t>
      </w:r>
      <w:r>
        <w:rPr>
          <w:rFonts w:ascii="宋体" w:hAnsi="宋体"/>
          <w:b/>
          <w:bCs/>
          <w:color w:val="auto"/>
          <w:szCs w:val="21"/>
          <w:highlight w:val="none"/>
        </w:rPr>
        <w:t>以下方式</w:t>
      </w:r>
      <w:r>
        <w:rPr>
          <w:rFonts w:hint="eastAsia" w:ascii="宋体" w:hAnsi="宋体"/>
          <w:b/>
          <w:bCs/>
          <w:color w:val="auto"/>
          <w:szCs w:val="21"/>
          <w:highlight w:val="none"/>
        </w:rPr>
        <w:t>联系。</w:t>
      </w:r>
      <w:bookmarkEnd w:id="49"/>
      <w:bookmarkEnd w:id="50"/>
      <w:bookmarkEnd w:id="51"/>
      <w:bookmarkEnd w:id="52"/>
      <w:bookmarkEnd w:id="53"/>
    </w:p>
    <w:p w14:paraId="3D455AE7">
      <w:pPr>
        <w:spacing w:line="400" w:lineRule="exact"/>
        <w:ind w:firstLine="420" w:firstLineChars="200"/>
        <w:jc w:val="left"/>
        <w:outlineLvl w:val="2"/>
        <w:rPr>
          <w:rFonts w:ascii="宋体" w:hAnsi="宋体"/>
          <w:color w:val="auto"/>
          <w:szCs w:val="21"/>
          <w:highlight w:val="none"/>
        </w:rPr>
      </w:pPr>
      <w:bookmarkStart w:id="54" w:name="OLE_LINK33"/>
      <w:bookmarkStart w:id="55" w:name="OLE_LINK31"/>
      <w:r>
        <w:rPr>
          <w:rFonts w:hint="eastAsia" w:ascii="宋体" w:hAnsi="宋体"/>
          <w:color w:val="auto"/>
          <w:szCs w:val="21"/>
          <w:highlight w:val="none"/>
        </w:rPr>
        <w:t>1.采购人信息：</w:t>
      </w:r>
    </w:p>
    <w:p w14:paraId="5334D453">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lang w:eastAsia="zh-CN"/>
        </w:rPr>
        <w:t>广西壮族自治区公安厅</w:t>
      </w:r>
      <w:r>
        <w:rPr>
          <w:rFonts w:hint="eastAsia" w:ascii="宋体" w:hAnsi="宋体"/>
          <w:color w:val="auto"/>
          <w:szCs w:val="21"/>
          <w:highlight w:val="none"/>
        </w:rPr>
        <w:t xml:space="preserve">   </w:t>
      </w:r>
    </w:p>
    <w:p w14:paraId="6442900A">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地址：广西南宁市青秀区佛子岭路1号</w:t>
      </w:r>
    </w:p>
    <w:p w14:paraId="7021E1E6">
      <w:pPr>
        <w:spacing w:line="400" w:lineRule="exact"/>
        <w:ind w:firstLine="420" w:firstLineChars="200"/>
        <w:jc w:val="left"/>
        <w:rPr>
          <w:rFonts w:hint="default" w:ascii="宋体" w:hAnsi="宋体"/>
          <w:color w:val="auto"/>
          <w:szCs w:val="21"/>
          <w:highlight w:val="none"/>
          <w:lang w:val="en-US" w:eastAsia="zh-CN"/>
        </w:rPr>
      </w:pPr>
      <w:r>
        <w:rPr>
          <w:rFonts w:hint="eastAsia" w:ascii="宋体" w:hAnsi="宋体" w:eastAsia="宋体" w:cs="Times New Roman"/>
          <w:color w:val="auto"/>
          <w:szCs w:val="21"/>
          <w:highlight w:val="none"/>
          <w:lang w:eastAsia="zh-CN"/>
        </w:rPr>
        <w:t>联系人：</w:t>
      </w:r>
      <w:r>
        <w:rPr>
          <w:rFonts w:hint="eastAsia" w:ascii="宋体" w:hAnsi="宋体" w:eastAsia="宋体" w:cs="Times New Roman"/>
          <w:color w:val="auto"/>
          <w:szCs w:val="21"/>
          <w:highlight w:val="none"/>
          <w:lang w:val="en-US" w:eastAsia="zh-CN"/>
        </w:rPr>
        <w:t>陀</w:t>
      </w:r>
      <w:r>
        <w:rPr>
          <w:rFonts w:hint="eastAsia" w:ascii="宋体" w:hAnsi="宋体" w:cs="Times New Roman"/>
          <w:color w:val="auto"/>
          <w:szCs w:val="21"/>
          <w:highlight w:val="none"/>
          <w:lang w:val="en-US" w:eastAsia="zh-CN"/>
        </w:rPr>
        <w:t>警官</w:t>
      </w:r>
      <w:r>
        <w:rPr>
          <w:rFonts w:hint="eastAsia" w:ascii="宋体" w:hAnsi="宋体" w:eastAsia="宋体" w:cs="Times New Roman"/>
          <w:color w:val="auto"/>
          <w:szCs w:val="21"/>
          <w:highlight w:val="none"/>
          <w:lang w:eastAsia="zh-CN"/>
        </w:rPr>
        <w:t>，电话：</w:t>
      </w:r>
      <w:r>
        <w:rPr>
          <w:rFonts w:hint="eastAsia" w:ascii="宋体" w:hAnsi="宋体"/>
          <w:color w:val="auto"/>
          <w:szCs w:val="21"/>
          <w:highlight w:val="none"/>
          <w:lang w:eastAsia="zh-CN"/>
        </w:rPr>
        <w:t>0771-</w:t>
      </w:r>
      <w:r>
        <w:rPr>
          <w:rFonts w:hint="eastAsia" w:ascii="宋体" w:hAnsi="宋体"/>
          <w:color w:val="auto"/>
          <w:szCs w:val="21"/>
          <w:highlight w:val="none"/>
        </w:rPr>
        <w:t>2892217</w:t>
      </w:r>
    </w:p>
    <w:p w14:paraId="594AE859">
      <w:pPr>
        <w:spacing w:line="400" w:lineRule="exact"/>
        <w:ind w:firstLine="420" w:firstLineChars="200"/>
        <w:jc w:val="left"/>
        <w:outlineLvl w:val="2"/>
        <w:rPr>
          <w:rFonts w:ascii="宋体" w:hAnsi="宋体"/>
          <w:color w:val="auto"/>
          <w:szCs w:val="21"/>
          <w:highlight w:val="none"/>
        </w:rPr>
      </w:pPr>
      <w:r>
        <w:rPr>
          <w:rFonts w:hint="eastAsia" w:ascii="宋体" w:hAnsi="宋体"/>
          <w:color w:val="auto"/>
          <w:szCs w:val="21"/>
          <w:highlight w:val="none"/>
        </w:rPr>
        <w:t>2.采购代理机构信息：</w:t>
      </w:r>
    </w:p>
    <w:p w14:paraId="239C554F">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lang w:eastAsia="zh-CN"/>
        </w:rPr>
        <w:t>广西翔正项目管理有限公司</w:t>
      </w:r>
      <w:r>
        <w:rPr>
          <w:rFonts w:hint="eastAsia" w:ascii="宋体" w:hAnsi="宋体"/>
          <w:color w:val="auto"/>
          <w:szCs w:val="21"/>
          <w:highlight w:val="none"/>
        </w:rPr>
        <w:t xml:space="preserve">   </w:t>
      </w:r>
    </w:p>
    <w:p w14:paraId="65A023A8">
      <w:pPr>
        <w:spacing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南宁市兴宁区秀厢大道199号金源城（建兴路）金源CBD东城25楼</w:t>
      </w:r>
    </w:p>
    <w:p w14:paraId="4B3B736A">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en-US" w:eastAsia="zh-CN"/>
        </w:rPr>
        <w:t>蒋萍萍、沈国敏</w:t>
      </w:r>
      <w:r>
        <w:rPr>
          <w:rFonts w:hint="eastAsia" w:ascii="宋体" w:hAnsi="宋体"/>
          <w:color w:val="auto"/>
          <w:szCs w:val="21"/>
          <w:highlight w:val="none"/>
        </w:rPr>
        <w:t xml:space="preserve">                   </w:t>
      </w:r>
    </w:p>
    <w:p w14:paraId="776361EB">
      <w:pPr>
        <w:spacing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w:t>
      </w:r>
      <w:r>
        <w:rPr>
          <w:rFonts w:ascii="宋体" w:hAnsi="宋体"/>
          <w:color w:val="auto"/>
          <w:szCs w:val="21"/>
          <w:highlight w:val="none"/>
        </w:rPr>
        <w:t>0771-</w:t>
      </w:r>
      <w:r>
        <w:rPr>
          <w:rFonts w:hint="eastAsia" w:ascii="宋体" w:hAnsi="宋体"/>
          <w:color w:val="auto"/>
          <w:szCs w:val="21"/>
          <w:highlight w:val="none"/>
          <w:lang w:val="en-US" w:eastAsia="zh-CN"/>
        </w:rPr>
        <w:t>5660532</w:t>
      </w:r>
    </w:p>
    <w:p w14:paraId="43EAC364">
      <w:pPr>
        <w:numPr>
          <w:ilvl w:val="0"/>
          <w:numId w:val="0"/>
        </w:numPr>
        <w:spacing w:line="400" w:lineRule="exact"/>
        <w:ind w:firstLine="420" w:firstLineChars="200"/>
        <w:jc w:val="left"/>
        <w:outlineLvl w:val="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项目联系人：</w:t>
      </w:r>
      <w:r>
        <w:rPr>
          <w:rFonts w:hint="eastAsia" w:ascii="宋体" w:hAnsi="宋体"/>
          <w:color w:val="auto"/>
          <w:szCs w:val="21"/>
          <w:highlight w:val="none"/>
          <w:lang w:val="en-US" w:eastAsia="zh-CN"/>
        </w:rPr>
        <w:t>蒋萍萍、沈国敏</w:t>
      </w:r>
      <w:r>
        <w:rPr>
          <w:rFonts w:hint="eastAsia" w:ascii="宋体" w:hAnsi="宋体"/>
          <w:color w:val="auto"/>
          <w:szCs w:val="21"/>
          <w:highlight w:val="none"/>
        </w:rPr>
        <w:t xml:space="preserve">             </w:t>
      </w:r>
    </w:p>
    <w:p w14:paraId="4CC0266C">
      <w:pPr>
        <w:numPr>
          <w:ilvl w:val="0"/>
          <w:numId w:val="0"/>
        </w:numPr>
        <w:spacing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联系电话：0771-</w:t>
      </w:r>
      <w:r>
        <w:rPr>
          <w:rFonts w:hint="eastAsia" w:ascii="宋体" w:hAnsi="宋体"/>
          <w:color w:val="auto"/>
          <w:szCs w:val="21"/>
          <w:highlight w:val="none"/>
          <w:lang w:val="en-US" w:eastAsia="zh-CN"/>
        </w:rPr>
        <w:t>5660532</w:t>
      </w:r>
    </w:p>
    <w:bookmarkEnd w:id="54"/>
    <w:bookmarkEnd w:id="55"/>
    <w:p w14:paraId="75FF9585">
      <w:pPr>
        <w:spacing w:line="400" w:lineRule="exact"/>
        <w:ind w:firstLine="200"/>
        <w:jc w:val="right"/>
        <w:rPr>
          <w:rFonts w:hint="eastAsia" w:ascii="宋体" w:hAnsi="宋体" w:eastAsia="宋体"/>
          <w:color w:val="auto"/>
          <w:szCs w:val="21"/>
          <w:highlight w:val="none"/>
          <w:lang w:eastAsia="zh-CN"/>
        </w:rPr>
      </w:pPr>
      <w:r>
        <w:rPr>
          <w:rFonts w:hint="eastAsia" w:ascii="宋体" w:hAnsi="宋体"/>
          <w:color w:val="auto"/>
          <w:szCs w:val="21"/>
          <w:highlight w:val="none"/>
        </w:rPr>
        <w:t>采购代理机构：</w:t>
      </w:r>
      <w:r>
        <w:rPr>
          <w:rFonts w:hint="eastAsia" w:ascii="宋体" w:hAnsi="宋体"/>
          <w:color w:val="auto"/>
          <w:szCs w:val="21"/>
          <w:highlight w:val="none"/>
          <w:lang w:eastAsia="zh-CN"/>
        </w:rPr>
        <w:t>广西翔正项目管理有限公司</w:t>
      </w:r>
    </w:p>
    <w:p w14:paraId="44FC198D">
      <w:pPr>
        <w:spacing w:line="400" w:lineRule="exact"/>
        <w:ind w:firstLine="4305" w:firstLineChars="2050"/>
        <w:jc w:val="right"/>
        <w:rPr>
          <w:rFonts w:hint="eastAsia" w:ascii="宋体" w:hAnsi="宋体"/>
          <w:color w:val="auto"/>
          <w:szCs w:val="21"/>
          <w:highlight w:val="none"/>
        </w:rPr>
      </w:pPr>
      <w:r>
        <w:rPr>
          <w:rFonts w:hint="eastAsia" w:ascii="宋体" w:hAnsi="宋体"/>
          <w:color w:val="auto"/>
          <w:szCs w:val="21"/>
          <w:highlight w:val="none"/>
        </w:rPr>
        <w:t>日期：202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9</w:t>
      </w:r>
      <w:r>
        <w:rPr>
          <w:rFonts w:hint="eastAsia" w:ascii="宋体" w:hAnsi="宋体"/>
          <w:color w:val="auto"/>
          <w:szCs w:val="21"/>
          <w:highlight w:val="none"/>
        </w:rPr>
        <w:t>日</w:t>
      </w:r>
    </w:p>
    <w:p w14:paraId="1DDD7040">
      <w:pPr>
        <w:pStyle w:val="9"/>
        <w:rPr>
          <w:rFonts w:hint="eastAsia"/>
          <w:color w:val="auto"/>
          <w:highlight w:val="none"/>
        </w:rPr>
      </w:pPr>
    </w:p>
    <w:p w14:paraId="735AF91B">
      <w:pPr>
        <w:rPr>
          <w:rFonts w:hint="eastAsia"/>
          <w:color w:val="auto"/>
          <w:highlight w:val="none"/>
        </w:rPr>
      </w:pPr>
    </w:p>
    <w:bookmarkEnd w:id="10"/>
    <w:bookmarkEnd w:id="11"/>
    <w:p w14:paraId="7EFC14C9">
      <w:pPr>
        <w:rPr>
          <w:rFonts w:hint="eastAsia"/>
          <w:color w:val="auto"/>
          <w:highlight w:val="none"/>
        </w:rPr>
      </w:pPr>
      <w:bookmarkStart w:id="56" w:name="_Toc105771719"/>
      <w:r>
        <w:rPr>
          <w:rFonts w:hint="eastAsia"/>
          <w:color w:val="auto"/>
          <w:highlight w:val="none"/>
        </w:rPr>
        <w:br w:type="page"/>
      </w:r>
    </w:p>
    <w:p w14:paraId="7CA84D7E">
      <w:pPr>
        <w:pStyle w:val="2"/>
        <w:keepNext w:val="0"/>
        <w:keepLines w:val="0"/>
        <w:numPr>
          <w:ilvl w:val="0"/>
          <w:numId w:val="3"/>
        </w:numPr>
        <w:tabs>
          <w:tab w:val="left" w:pos="0"/>
          <w:tab w:val="left" w:pos="3165"/>
          <w:tab w:val="center" w:pos="4153"/>
        </w:tabs>
        <w:autoSpaceDE w:val="0"/>
        <w:autoSpaceDN w:val="0"/>
        <w:adjustRightInd w:val="0"/>
        <w:spacing w:before="0" w:after="0" w:line="360" w:lineRule="auto"/>
        <w:rPr>
          <w:rFonts w:hint="eastAsia"/>
          <w:color w:val="auto"/>
          <w:highlight w:val="none"/>
        </w:rPr>
      </w:pPr>
      <w:r>
        <w:rPr>
          <w:rFonts w:hint="eastAsia"/>
          <w:color w:val="auto"/>
          <w:highlight w:val="none"/>
        </w:rPr>
        <w:t>项目采购需求</w:t>
      </w:r>
      <w:bookmarkEnd w:id="56"/>
    </w:p>
    <w:p w14:paraId="266CCAC4">
      <w:pPr>
        <w:numPr>
          <w:ilvl w:val="-1"/>
          <w:numId w:val="0"/>
        </w:numPr>
        <w:outlineLvl w:val="1"/>
        <w:rPr>
          <w:rFonts w:hint="eastAsia" w:eastAsia="宋体"/>
          <w:b/>
          <w:bCs/>
          <w:color w:val="auto"/>
          <w:sz w:val="32"/>
          <w:szCs w:val="32"/>
          <w:highlight w:val="none"/>
          <w:lang w:eastAsia="zh-CN"/>
        </w:rPr>
      </w:pPr>
      <w:bookmarkStart w:id="57" w:name="_Toc17629"/>
      <w:r>
        <w:rPr>
          <w:rFonts w:hint="eastAsia"/>
          <w:b/>
          <w:bCs/>
          <w:color w:val="auto"/>
          <w:sz w:val="32"/>
          <w:szCs w:val="32"/>
          <w:highlight w:val="none"/>
          <w:lang w:eastAsia="zh-CN"/>
        </w:rPr>
        <w:t>分标</w:t>
      </w:r>
      <w:r>
        <w:rPr>
          <w:rFonts w:hint="eastAsia"/>
          <w:b/>
          <w:bCs/>
          <w:color w:val="auto"/>
          <w:sz w:val="32"/>
          <w:szCs w:val="32"/>
          <w:highlight w:val="none"/>
          <w:lang w:val="en-US" w:eastAsia="zh-CN"/>
        </w:rPr>
        <w:t>1</w:t>
      </w:r>
      <w:r>
        <w:rPr>
          <w:rFonts w:hint="eastAsia"/>
          <w:b/>
          <w:bCs/>
          <w:color w:val="auto"/>
          <w:sz w:val="32"/>
          <w:szCs w:val="32"/>
          <w:highlight w:val="none"/>
          <w:lang w:eastAsia="zh-CN"/>
        </w:rPr>
        <w:t>：</w:t>
      </w:r>
      <w:bookmarkEnd w:id="57"/>
    </w:p>
    <w:p w14:paraId="64401BBE">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78C7DB2B">
      <w:pPr>
        <w:spacing w:line="400" w:lineRule="exact"/>
        <w:ind w:firstLine="420" w:firstLineChars="200"/>
        <w:jc w:val="left"/>
        <w:rPr>
          <w:rFonts w:ascii="宋体" w:hAnsi="宋体" w:cs="宋体"/>
          <w:color w:val="auto"/>
          <w:szCs w:val="21"/>
          <w:highlight w:val="none"/>
        </w:rPr>
      </w:pPr>
      <w:r>
        <w:rPr>
          <w:rFonts w:hint="eastAsia" w:ascii="宋体" w:hAnsi="宋体"/>
          <w:color w:val="auto"/>
          <w:highlight w:val="none"/>
        </w:rPr>
        <w:t>1. 为落实政府采购政策需满足的要求：</w:t>
      </w:r>
    </w:p>
    <w:p w14:paraId="56AA7AB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21C036D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扫描件（加盖投标人电子公章），否则投标文件作无效处理。如本项目包含的货物属于品目清单内非标注“★”的产品时，应优先采购，具体详见“第四章 评标方法和评标标准”。</w:t>
      </w:r>
    </w:p>
    <w:p w14:paraId="4E19EB85">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78AF682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“实质性要求”是指招标文件中已经指明不满足则投标无效的条款，或者不能负偏离的条款，或者采购需求中带“▲”的条款。</w:t>
      </w:r>
    </w:p>
    <w:p w14:paraId="66C30D8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不需要投标人对采购需求响应为具体数值的，此采购需求的数值后将以◆号标注。</w:t>
      </w:r>
    </w:p>
    <w:p w14:paraId="015297D1">
      <w:pPr>
        <w:spacing w:line="360" w:lineRule="auto"/>
        <w:ind w:firstLine="420" w:firstLineChars="200"/>
        <w:jc w:val="left"/>
        <w:rPr>
          <w:b/>
          <w:color w:val="auto"/>
          <w:highlight w:val="none"/>
        </w:rPr>
      </w:pPr>
      <w:r>
        <w:rPr>
          <w:rFonts w:hint="eastAsia"/>
          <w:color w:val="auto"/>
          <w:highlight w:val="none"/>
        </w:rPr>
        <w:t>4. 如投标人投标产品存在侵犯他人的知识产权或者专利成果行为的，应承担相应法律责任。</w:t>
      </w:r>
    </w:p>
    <w:p w14:paraId="7E5E10DC">
      <w:pPr>
        <w:spacing w:line="400" w:lineRule="exact"/>
        <w:ind w:firstLine="420" w:firstLineChars="200"/>
        <w:jc w:val="left"/>
        <w:rPr>
          <w:rFonts w:hint="eastAsia" w:ascii="宋体" w:hAnsi="宋体" w:cs="宋体"/>
          <w:color w:val="auto"/>
          <w:szCs w:val="21"/>
          <w:highlight w:val="none"/>
        </w:rPr>
      </w:pPr>
      <w:r>
        <w:rPr>
          <w:rFonts w:hint="eastAsia"/>
          <w:bCs/>
          <w:color w:val="auto"/>
          <w:highlight w:val="none"/>
        </w:rPr>
        <w:t>5. 本项目采购标的对应的中小企业划分标准所属行业：</w:t>
      </w:r>
      <w:r>
        <w:rPr>
          <w:rFonts w:hint="eastAsia" w:ascii="宋体" w:hAnsi="宋体" w:cs="宋体"/>
          <w:color w:val="auto"/>
          <w:szCs w:val="21"/>
          <w:highlight w:val="none"/>
        </w:rPr>
        <w:t>软件和信息技术服务业。</w:t>
      </w:r>
    </w:p>
    <w:p w14:paraId="774E9699">
      <w:pPr>
        <w:rPr>
          <w:rFonts w:hint="eastAsia"/>
          <w:b/>
          <w:bCs/>
          <w:color w:val="auto"/>
          <w:highlight w:val="none"/>
        </w:rPr>
      </w:pPr>
      <w:r>
        <w:rPr>
          <w:rFonts w:hint="eastAsia"/>
          <w:b/>
          <w:bCs/>
          <w:color w:val="auto"/>
          <w:highlight w:val="none"/>
        </w:rPr>
        <w:br w:type="page"/>
      </w:r>
    </w:p>
    <w:p w14:paraId="2245E0EA">
      <w:pPr>
        <w:spacing w:line="360" w:lineRule="auto"/>
        <w:jc w:val="left"/>
        <w:rPr>
          <w:rFonts w:hint="eastAsia"/>
          <w:b/>
          <w:bCs/>
          <w:color w:val="auto"/>
          <w:highlight w:val="none"/>
        </w:rPr>
      </w:pPr>
      <w:r>
        <w:rPr>
          <w:rFonts w:hint="eastAsia"/>
          <w:b/>
          <w:bCs/>
          <w:color w:val="auto"/>
          <w:highlight w:val="none"/>
          <w:lang w:eastAsia="zh-CN"/>
        </w:rPr>
        <w:t>分标</w:t>
      </w:r>
      <w:r>
        <w:rPr>
          <w:rFonts w:hint="eastAsia"/>
          <w:b/>
          <w:bCs/>
          <w:color w:val="auto"/>
          <w:highlight w:val="none"/>
          <w:lang w:val="en-US" w:eastAsia="zh-CN"/>
        </w:rPr>
        <w:t>1</w:t>
      </w:r>
      <w:r>
        <w:rPr>
          <w:rFonts w:hint="eastAsia"/>
          <w:b/>
          <w:bCs/>
          <w:color w:val="auto"/>
          <w:highlight w:val="none"/>
        </w:rPr>
        <w:t xml:space="preserve">： </w:t>
      </w:r>
    </w:p>
    <w:tbl>
      <w:tblPr>
        <w:tblStyle w:val="18"/>
        <w:tblW w:w="9993" w:type="dxa"/>
        <w:jc w:val="center"/>
        <w:tblLayout w:type="fixed"/>
        <w:tblCellMar>
          <w:top w:w="0" w:type="dxa"/>
          <w:left w:w="108" w:type="dxa"/>
          <w:bottom w:w="0" w:type="dxa"/>
          <w:right w:w="108" w:type="dxa"/>
        </w:tblCellMar>
      </w:tblPr>
      <w:tblGrid>
        <w:gridCol w:w="424"/>
        <w:gridCol w:w="1272"/>
        <w:gridCol w:w="781"/>
        <w:gridCol w:w="573"/>
        <w:gridCol w:w="6943"/>
      </w:tblGrid>
      <w:tr w14:paraId="6CC75A80">
        <w:tblPrEx>
          <w:tblCellMar>
            <w:top w:w="0" w:type="dxa"/>
            <w:left w:w="108" w:type="dxa"/>
            <w:bottom w:w="0" w:type="dxa"/>
            <w:right w:w="108" w:type="dxa"/>
          </w:tblCellMar>
        </w:tblPrEx>
        <w:trPr>
          <w:trHeight w:val="405" w:hRule="atLeast"/>
          <w:jc w:val="center"/>
        </w:trPr>
        <w:tc>
          <w:tcPr>
            <w:tcW w:w="9993" w:type="dxa"/>
            <w:gridSpan w:val="5"/>
            <w:tcBorders>
              <w:top w:val="single" w:color="000000" w:sz="4" w:space="0"/>
              <w:left w:val="single" w:color="000000" w:sz="4" w:space="0"/>
              <w:bottom w:val="single" w:color="000000" w:sz="4" w:space="0"/>
              <w:right w:val="single" w:color="000000" w:sz="4" w:space="0"/>
            </w:tcBorders>
            <w:noWrap w:val="0"/>
            <w:vAlign w:val="center"/>
          </w:tcPr>
          <w:p w14:paraId="35847AA4">
            <w:pPr>
              <w:widowControl/>
              <w:spacing w:line="400" w:lineRule="exact"/>
              <w:jc w:val="left"/>
              <w:textAlignment w:val="center"/>
              <w:rPr>
                <w:rFonts w:ascii="宋体" w:hAnsi="宋体" w:cs="宋体"/>
                <w:b/>
                <w:color w:val="auto"/>
                <w:kern w:val="0"/>
                <w:sz w:val="21"/>
                <w:szCs w:val="21"/>
                <w:highlight w:val="none"/>
                <w:lang w:bidi="ar"/>
              </w:rPr>
            </w:pPr>
            <w:r>
              <w:rPr>
                <w:rFonts w:hint="eastAsia" w:ascii="宋体" w:hAnsi="宋体"/>
                <w:b/>
                <w:color w:val="auto"/>
                <w:sz w:val="21"/>
                <w:szCs w:val="21"/>
                <w:highlight w:val="none"/>
              </w:rPr>
              <w:t>一、采购内容及技术要求</w:t>
            </w:r>
          </w:p>
        </w:tc>
      </w:tr>
      <w:tr w14:paraId="6998A11F">
        <w:tblPrEx>
          <w:tblCellMar>
            <w:top w:w="0" w:type="dxa"/>
            <w:left w:w="108" w:type="dxa"/>
            <w:bottom w:w="0" w:type="dxa"/>
            <w:right w:w="108" w:type="dxa"/>
          </w:tblCellMar>
        </w:tblPrEx>
        <w:trPr>
          <w:trHeight w:val="609" w:hRule="atLeast"/>
          <w:jc w:val="center"/>
        </w:trPr>
        <w:tc>
          <w:tcPr>
            <w:tcW w:w="424" w:type="dxa"/>
            <w:tcBorders>
              <w:top w:val="single" w:color="000000" w:sz="4" w:space="0"/>
              <w:left w:val="single" w:color="000000" w:sz="4" w:space="0"/>
              <w:bottom w:val="single" w:color="000000" w:sz="4" w:space="0"/>
              <w:right w:val="single" w:color="000000" w:sz="4" w:space="0"/>
            </w:tcBorders>
            <w:noWrap w:val="0"/>
            <w:vAlign w:val="center"/>
          </w:tcPr>
          <w:p w14:paraId="078708EF">
            <w:pPr>
              <w:widowControl/>
              <w:spacing w:line="40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9A31FA8">
            <w:pPr>
              <w:widowControl/>
              <w:spacing w:line="40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标的的名称</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519ED94D">
            <w:pPr>
              <w:widowControl/>
              <w:spacing w:line="40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数量</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7D3BB9">
            <w:pPr>
              <w:widowControl/>
              <w:spacing w:line="40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单位</w:t>
            </w:r>
          </w:p>
        </w:tc>
        <w:tc>
          <w:tcPr>
            <w:tcW w:w="6943" w:type="dxa"/>
            <w:tcBorders>
              <w:top w:val="single" w:color="000000" w:sz="4" w:space="0"/>
              <w:left w:val="single" w:color="000000" w:sz="4" w:space="0"/>
              <w:bottom w:val="single" w:color="000000" w:sz="4" w:space="0"/>
              <w:right w:val="single" w:color="000000" w:sz="4" w:space="0"/>
            </w:tcBorders>
            <w:noWrap w:val="0"/>
            <w:vAlign w:val="center"/>
          </w:tcPr>
          <w:p w14:paraId="2D3D29F1">
            <w:pPr>
              <w:widowControl/>
              <w:spacing w:line="400" w:lineRule="exact"/>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技术要求</w:t>
            </w:r>
          </w:p>
        </w:tc>
      </w:tr>
      <w:tr w14:paraId="3960936A">
        <w:tblPrEx>
          <w:tblCellMar>
            <w:top w:w="0" w:type="dxa"/>
            <w:left w:w="108" w:type="dxa"/>
            <w:bottom w:w="0" w:type="dxa"/>
            <w:right w:w="108" w:type="dxa"/>
          </w:tblCellMar>
        </w:tblPrEx>
        <w:trPr>
          <w:trHeight w:val="496" w:hRule="atLeast"/>
          <w:jc w:val="center"/>
        </w:trPr>
        <w:tc>
          <w:tcPr>
            <w:tcW w:w="9993" w:type="dxa"/>
            <w:gridSpan w:val="5"/>
            <w:tcBorders>
              <w:top w:val="single" w:color="000000" w:sz="4" w:space="0"/>
              <w:left w:val="single" w:color="000000" w:sz="4" w:space="0"/>
              <w:bottom w:val="single" w:color="000000" w:sz="4" w:space="0"/>
              <w:right w:val="single" w:color="000000" w:sz="4" w:space="0"/>
            </w:tcBorders>
            <w:noWrap w:val="0"/>
            <w:vAlign w:val="center"/>
          </w:tcPr>
          <w:p w14:paraId="055069BC">
            <w:pPr>
              <w:widowControl/>
              <w:spacing w:line="400" w:lineRule="exact"/>
              <w:jc w:val="left"/>
              <w:textAlignment w:val="center"/>
              <w:rPr>
                <w:rFonts w:hint="eastAsia" w:ascii="宋体" w:hAnsi="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w:t>
            </w:r>
            <w:r>
              <w:rPr>
                <w:rFonts w:hint="eastAsia" w:ascii="宋体" w:hAnsi="宋体" w:cs="宋体"/>
                <w:i w:val="0"/>
                <w:iCs w:val="0"/>
                <w:color w:val="auto"/>
                <w:kern w:val="0"/>
                <w:sz w:val="21"/>
                <w:szCs w:val="21"/>
                <w:highlight w:val="none"/>
                <w:u w:val="none"/>
                <w:lang w:val="en-US" w:eastAsia="zh-CN" w:bidi="ar"/>
              </w:rPr>
              <w:t>309项目（A部分）</w:t>
            </w:r>
          </w:p>
        </w:tc>
      </w:tr>
      <w:tr w14:paraId="45669A8A">
        <w:tblPrEx>
          <w:tblCellMar>
            <w:top w:w="0" w:type="dxa"/>
            <w:left w:w="108" w:type="dxa"/>
            <w:bottom w:w="0" w:type="dxa"/>
            <w:right w:w="108" w:type="dxa"/>
          </w:tblCellMar>
        </w:tblPrEx>
        <w:trPr>
          <w:trHeight w:val="640" w:hRule="atLeast"/>
          <w:jc w:val="center"/>
        </w:trPr>
        <w:tc>
          <w:tcPr>
            <w:tcW w:w="424" w:type="dxa"/>
            <w:tcBorders>
              <w:top w:val="single" w:color="000000" w:sz="4" w:space="0"/>
              <w:left w:val="single" w:color="000000" w:sz="4" w:space="0"/>
              <w:bottom w:val="single" w:color="000000" w:sz="4" w:space="0"/>
              <w:right w:val="single" w:color="000000" w:sz="4" w:space="0"/>
            </w:tcBorders>
            <w:noWrap w:val="0"/>
            <w:vAlign w:val="center"/>
          </w:tcPr>
          <w:p w14:paraId="1F46012A">
            <w:pPr>
              <w:widowControl/>
              <w:spacing w:line="40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6784C3D">
            <w:pPr>
              <w:widowControl/>
              <w:spacing w:line="400" w:lineRule="exact"/>
              <w:jc w:val="left"/>
              <w:textAlignment w:val="center"/>
              <w:rPr>
                <w:rFonts w:hint="eastAsia" w:ascii="宋体" w:hAnsi="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309项目（A部分）</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7FDBC745">
            <w:pPr>
              <w:widowControl/>
              <w:spacing w:line="400" w:lineRule="exact"/>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1</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3ECFEC5">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sz w:val="21"/>
                <w:szCs w:val="21"/>
                <w:highlight w:val="none"/>
                <w:lang w:eastAsia="zh-CN"/>
              </w:rPr>
              <w:t>项</w:t>
            </w:r>
          </w:p>
        </w:tc>
        <w:tc>
          <w:tcPr>
            <w:tcW w:w="6943" w:type="dxa"/>
            <w:tcBorders>
              <w:top w:val="single" w:color="000000" w:sz="4" w:space="0"/>
              <w:left w:val="single" w:color="000000" w:sz="4" w:space="0"/>
              <w:bottom w:val="single" w:color="000000" w:sz="4" w:space="0"/>
              <w:right w:val="single" w:color="000000" w:sz="4" w:space="0"/>
            </w:tcBorders>
            <w:noWrap w:val="0"/>
            <w:vAlign w:val="center"/>
          </w:tcPr>
          <w:p w14:paraId="6C81E7A6">
            <w:pPr>
              <w:rPr>
                <w:rFonts w:hint="eastAsia" w:ascii="宋体" w:hAnsi="宋体" w:cs="宋体"/>
                <w:color w:val="auto"/>
                <w:kern w:val="0"/>
                <w:sz w:val="21"/>
                <w:szCs w:val="21"/>
                <w:highlight w:val="none"/>
                <w:lang w:val="en-US" w:eastAsia="zh-CN" w:bidi="ar"/>
              </w:rPr>
            </w:pPr>
            <w:r>
              <w:rPr>
                <w:rFonts w:hint="eastAsia" w:ascii="宋体" w:hAnsi="宋体" w:cs="宋体"/>
                <w:color w:val="auto"/>
                <w:sz w:val="21"/>
                <w:szCs w:val="21"/>
                <w:highlight w:val="none"/>
                <w:u w:val="none"/>
                <w:lang w:val="en-US" w:eastAsia="zh-CN"/>
              </w:rPr>
              <w:t>因</w:t>
            </w:r>
            <w:r>
              <w:rPr>
                <w:rFonts w:hint="eastAsia" w:ascii="宋体" w:hAnsi="宋体" w:cs="宋体"/>
                <w:color w:val="auto"/>
                <w:sz w:val="21"/>
                <w:szCs w:val="21"/>
                <w:highlight w:val="none"/>
                <w:u w:val="none"/>
              </w:rPr>
              <w:t>本项目内容涉及公安系统内部信息，详细信息不宜对外公开</w:t>
            </w:r>
            <w:r>
              <w:rPr>
                <w:rFonts w:hint="eastAsia" w:ascii="宋体" w:hAnsi="宋体" w:cs="宋体"/>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详见现场踏勘材料</w:t>
            </w:r>
          </w:p>
        </w:tc>
      </w:tr>
      <w:tr w14:paraId="066154B5">
        <w:tblPrEx>
          <w:tblCellMar>
            <w:top w:w="0" w:type="dxa"/>
            <w:left w:w="108" w:type="dxa"/>
            <w:bottom w:w="0" w:type="dxa"/>
            <w:right w:w="108" w:type="dxa"/>
          </w:tblCellMar>
        </w:tblPrEx>
        <w:trPr>
          <w:trHeight w:val="654" w:hRule="atLeast"/>
          <w:jc w:val="center"/>
        </w:trPr>
        <w:tc>
          <w:tcPr>
            <w:tcW w:w="9993" w:type="dxa"/>
            <w:gridSpan w:val="5"/>
            <w:tcBorders>
              <w:top w:val="single" w:color="000000" w:sz="4" w:space="0"/>
              <w:left w:val="single" w:color="000000" w:sz="4" w:space="0"/>
              <w:bottom w:val="single" w:color="000000" w:sz="4" w:space="0"/>
              <w:right w:val="single" w:color="000000" w:sz="4" w:space="0"/>
            </w:tcBorders>
            <w:noWrap w:val="0"/>
            <w:vAlign w:val="center"/>
          </w:tcPr>
          <w:p w14:paraId="039D63AC">
            <w:pPr>
              <w:widowControl/>
              <w:spacing w:line="400" w:lineRule="exact"/>
              <w:jc w:val="left"/>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二、</w:t>
            </w:r>
            <w:r>
              <w:rPr>
                <w:rFonts w:hint="eastAsia" w:ascii="宋体" w:hAnsi="宋体" w:eastAsia="宋体" w:cs="宋体"/>
                <w:b/>
                <w:bCs/>
                <w:i w:val="0"/>
                <w:iCs w:val="0"/>
                <w:color w:val="auto"/>
                <w:kern w:val="0"/>
                <w:sz w:val="21"/>
                <w:szCs w:val="21"/>
                <w:highlight w:val="none"/>
                <w:u w:val="none"/>
                <w:lang w:val="en-US" w:eastAsia="zh-CN" w:bidi="ar"/>
              </w:rPr>
              <w:t>配套测试及评估服务</w:t>
            </w:r>
          </w:p>
        </w:tc>
      </w:tr>
      <w:tr w14:paraId="0CCF1EBF">
        <w:tblPrEx>
          <w:tblCellMar>
            <w:top w:w="0" w:type="dxa"/>
            <w:left w:w="108" w:type="dxa"/>
            <w:bottom w:w="0" w:type="dxa"/>
            <w:right w:w="108" w:type="dxa"/>
          </w:tblCellMar>
        </w:tblPrEx>
        <w:trPr>
          <w:trHeight w:val="640" w:hRule="atLeast"/>
          <w:jc w:val="center"/>
        </w:trPr>
        <w:tc>
          <w:tcPr>
            <w:tcW w:w="424" w:type="dxa"/>
            <w:tcBorders>
              <w:top w:val="single" w:color="000000" w:sz="4" w:space="0"/>
              <w:left w:val="single" w:color="000000" w:sz="4" w:space="0"/>
              <w:bottom w:val="single" w:color="000000" w:sz="4" w:space="0"/>
              <w:right w:val="single" w:color="000000" w:sz="4" w:space="0"/>
            </w:tcBorders>
            <w:noWrap w:val="0"/>
            <w:vAlign w:val="center"/>
          </w:tcPr>
          <w:p w14:paraId="1FA3ED38">
            <w:pPr>
              <w:widowControl/>
              <w:spacing w:line="400" w:lineRule="exact"/>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22F37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网络安全等级保护测评服务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27921EC0">
            <w:pPr>
              <w:keepNext w:val="0"/>
              <w:keepLines w:val="0"/>
              <w:widowControl/>
              <w:suppressLineNumbers w:val="0"/>
              <w:jc w:val="center"/>
              <w:textAlignment w:val="center"/>
              <w:rPr>
                <w:rFonts w:hint="eastAsia"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807BBB">
            <w:pPr>
              <w:keepNext w:val="0"/>
              <w:keepLines w:val="0"/>
              <w:widowControl/>
              <w:suppressLineNumbers w:val="0"/>
              <w:jc w:val="center"/>
              <w:textAlignment w:val="center"/>
              <w:rPr>
                <w:rFonts w:hint="eastAsia" w:ascii="宋体" w:hAnsi="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项</w:t>
            </w:r>
          </w:p>
        </w:tc>
        <w:tc>
          <w:tcPr>
            <w:tcW w:w="6943" w:type="dxa"/>
            <w:tcBorders>
              <w:top w:val="single" w:color="000000" w:sz="4" w:space="0"/>
              <w:left w:val="single" w:color="000000" w:sz="4" w:space="0"/>
              <w:bottom w:val="single" w:color="000000" w:sz="4" w:space="0"/>
              <w:right w:val="single" w:color="000000" w:sz="4" w:space="0"/>
            </w:tcBorders>
            <w:noWrap w:val="0"/>
            <w:vAlign w:val="center"/>
          </w:tcPr>
          <w:p w14:paraId="0E9B8B0B">
            <w:pPr>
              <w:keepNext w:val="0"/>
              <w:keepLines w:val="0"/>
              <w:widowControl/>
              <w:suppressLineNumbers w:val="0"/>
              <w:ind w:left="240" w:hanging="210" w:hangingChars="100"/>
              <w:jc w:val="left"/>
              <w:textAlignment w:val="center"/>
              <w:rPr>
                <w:rFonts w:ascii="宋体" w:hAnsi="宋体" w:cs="宋体"/>
                <w:color w:val="auto"/>
                <w:kern w:val="0"/>
                <w:sz w:val="21"/>
                <w:szCs w:val="21"/>
                <w:highlight w:val="none"/>
              </w:rPr>
            </w:pPr>
            <w:r>
              <w:rPr>
                <w:rFonts w:hint="eastAsia" w:ascii="宋体" w:hAnsi="宋体" w:cs="宋体"/>
                <w:i w:val="0"/>
                <w:iCs w:val="0"/>
                <w:color w:val="auto"/>
                <w:kern w:val="0"/>
                <w:sz w:val="21"/>
                <w:szCs w:val="21"/>
                <w:highlight w:val="none"/>
                <w:u w:val="none"/>
                <w:lang w:val="en-US" w:eastAsia="zh-CN" w:bidi="ar"/>
              </w:rPr>
              <w:t>项目竣工验收前聘请第三方具备测评资质的单位进行网络安全等级保护测评（三级），结论不为“差”。</w:t>
            </w:r>
          </w:p>
        </w:tc>
      </w:tr>
      <w:tr w14:paraId="15D2D408">
        <w:tblPrEx>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4" w:space="0"/>
              <w:bottom w:val="single" w:color="000000" w:sz="4" w:space="0"/>
              <w:right w:val="single" w:color="000000" w:sz="4" w:space="0"/>
            </w:tcBorders>
            <w:noWrap w:val="0"/>
            <w:vAlign w:val="center"/>
          </w:tcPr>
          <w:p w14:paraId="2A0E2B55">
            <w:pPr>
              <w:widowControl/>
              <w:spacing w:line="400" w:lineRule="exact"/>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C8479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商用密码应用安全性评估服务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6D17BFCB">
            <w:pPr>
              <w:keepNext w:val="0"/>
              <w:keepLines w:val="0"/>
              <w:widowControl/>
              <w:suppressLineNumbers w:val="0"/>
              <w:jc w:val="center"/>
              <w:textAlignment w:val="center"/>
              <w:rPr>
                <w:rFonts w:hint="eastAsia"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E7F13A7">
            <w:pPr>
              <w:keepNext w:val="0"/>
              <w:keepLines w:val="0"/>
              <w:widowControl/>
              <w:suppressLineNumbers w:val="0"/>
              <w:jc w:val="center"/>
              <w:textAlignment w:val="center"/>
              <w:rPr>
                <w:rFonts w:hint="eastAsia" w:ascii="宋体" w:hAnsi="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项</w:t>
            </w:r>
          </w:p>
        </w:tc>
        <w:tc>
          <w:tcPr>
            <w:tcW w:w="6943" w:type="dxa"/>
            <w:tcBorders>
              <w:top w:val="single" w:color="000000" w:sz="4" w:space="0"/>
              <w:left w:val="single" w:color="000000" w:sz="4" w:space="0"/>
              <w:bottom w:val="single" w:color="000000" w:sz="4" w:space="0"/>
              <w:right w:val="single" w:color="000000" w:sz="4" w:space="0"/>
            </w:tcBorders>
            <w:noWrap w:val="0"/>
            <w:vAlign w:val="center"/>
          </w:tcPr>
          <w:p w14:paraId="42A6B50E">
            <w:pPr>
              <w:keepNext w:val="0"/>
              <w:keepLines w:val="0"/>
              <w:widowControl/>
              <w:suppressLineNumbers w:val="0"/>
              <w:jc w:val="left"/>
              <w:textAlignment w:val="center"/>
              <w:rPr>
                <w:rFonts w:ascii="宋体" w:hAnsi="宋体" w:cs="宋体"/>
                <w:color w:val="auto"/>
                <w:kern w:val="0"/>
                <w:sz w:val="21"/>
                <w:szCs w:val="21"/>
                <w:highlight w:val="none"/>
              </w:rPr>
            </w:pPr>
            <w:r>
              <w:rPr>
                <w:rFonts w:hint="eastAsia" w:ascii="宋体" w:hAnsi="宋体" w:cs="宋体"/>
                <w:i w:val="0"/>
                <w:iCs w:val="0"/>
                <w:color w:val="auto"/>
                <w:kern w:val="0"/>
                <w:sz w:val="21"/>
                <w:szCs w:val="21"/>
                <w:highlight w:val="none"/>
                <w:u w:val="none"/>
                <w:lang w:val="en-US" w:eastAsia="zh-CN" w:bidi="ar"/>
              </w:rPr>
              <w:t>项目竣工验收前聘请第三方具备测评资质的单位进行</w:t>
            </w:r>
            <w:r>
              <w:rPr>
                <w:rFonts w:hint="eastAsia" w:ascii="宋体" w:hAnsi="宋体" w:eastAsia="宋体" w:cs="宋体"/>
                <w:i w:val="0"/>
                <w:iCs w:val="0"/>
                <w:color w:val="auto"/>
                <w:kern w:val="0"/>
                <w:sz w:val="21"/>
                <w:szCs w:val="21"/>
                <w:highlight w:val="none"/>
                <w:u w:val="none"/>
                <w:lang w:val="en-US" w:eastAsia="zh-CN" w:bidi="ar"/>
              </w:rPr>
              <w:t>商用密码应用安全性评估</w:t>
            </w:r>
            <w:r>
              <w:rPr>
                <w:rFonts w:hint="eastAsia" w:ascii="宋体" w:hAnsi="宋体" w:cs="宋体"/>
                <w:i w:val="0"/>
                <w:iCs w:val="0"/>
                <w:color w:val="auto"/>
                <w:kern w:val="0"/>
                <w:sz w:val="21"/>
                <w:szCs w:val="21"/>
                <w:highlight w:val="none"/>
                <w:u w:val="none"/>
                <w:lang w:val="en-US" w:eastAsia="zh-CN" w:bidi="ar"/>
              </w:rPr>
              <w:t>（三级），结论为“基本符合”或优于“基本符合”。</w:t>
            </w:r>
          </w:p>
        </w:tc>
      </w:tr>
      <w:tr w14:paraId="04FA108C">
        <w:tblPrEx>
          <w:tblCellMar>
            <w:top w:w="0" w:type="dxa"/>
            <w:left w:w="108" w:type="dxa"/>
            <w:bottom w:w="0" w:type="dxa"/>
            <w:right w:w="108" w:type="dxa"/>
          </w:tblCellMar>
        </w:tblPrEx>
        <w:trPr>
          <w:trHeight w:val="640" w:hRule="atLeast"/>
          <w:jc w:val="center"/>
        </w:trPr>
        <w:tc>
          <w:tcPr>
            <w:tcW w:w="424" w:type="dxa"/>
            <w:tcBorders>
              <w:top w:val="single" w:color="000000" w:sz="4" w:space="0"/>
              <w:left w:val="single" w:color="000000" w:sz="4" w:space="0"/>
              <w:bottom w:val="single" w:color="000000" w:sz="4" w:space="0"/>
              <w:right w:val="single" w:color="000000" w:sz="4" w:space="0"/>
            </w:tcBorders>
            <w:noWrap w:val="0"/>
            <w:vAlign w:val="center"/>
          </w:tcPr>
          <w:p w14:paraId="0008C8B9">
            <w:pPr>
              <w:widowControl/>
              <w:spacing w:line="400" w:lineRule="exact"/>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DD9DF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第三方测评服务</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2749EFCE">
            <w:pPr>
              <w:keepNext w:val="0"/>
              <w:keepLines w:val="0"/>
              <w:widowControl/>
              <w:suppressLineNumbers w:val="0"/>
              <w:jc w:val="center"/>
              <w:textAlignment w:val="center"/>
              <w:rPr>
                <w:rFonts w:hint="eastAsia"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477B578">
            <w:pPr>
              <w:keepNext w:val="0"/>
              <w:keepLines w:val="0"/>
              <w:widowControl/>
              <w:suppressLineNumbers w:val="0"/>
              <w:jc w:val="center"/>
              <w:textAlignment w:val="center"/>
              <w:rPr>
                <w:rFonts w:hint="eastAsia" w:ascii="宋体" w:hAnsi="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项</w:t>
            </w:r>
          </w:p>
        </w:tc>
        <w:tc>
          <w:tcPr>
            <w:tcW w:w="6943" w:type="dxa"/>
            <w:tcBorders>
              <w:top w:val="single" w:color="000000" w:sz="4" w:space="0"/>
              <w:left w:val="single" w:color="000000" w:sz="4" w:space="0"/>
              <w:bottom w:val="single" w:color="000000" w:sz="4" w:space="0"/>
              <w:right w:val="single" w:color="000000" w:sz="4" w:space="0"/>
            </w:tcBorders>
            <w:noWrap w:val="0"/>
            <w:vAlign w:val="center"/>
          </w:tcPr>
          <w:p w14:paraId="54093371">
            <w:pPr>
              <w:keepNext w:val="0"/>
              <w:keepLines w:val="0"/>
              <w:widowControl/>
              <w:suppressLineNumbers w:val="0"/>
              <w:jc w:val="left"/>
              <w:textAlignment w:val="center"/>
              <w:rPr>
                <w:rFonts w:ascii="宋体" w:hAnsi="宋体" w:cs="宋体"/>
                <w:color w:val="auto"/>
                <w:kern w:val="0"/>
                <w:sz w:val="21"/>
                <w:szCs w:val="21"/>
                <w:highlight w:val="none"/>
              </w:rPr>
            </w:pPr>
            <w:r>
              <w:rPr>
                <w:rFonts w:hint="eastAsia" w:ascii="宋体" w:hAnsi="宋体" w:cs="宋体"/>
                <w:i w:val="0"/>
                <w:iCs w:val="0"/>
                <w:color w:val="auto"/>
                <w:kern w:val="0"/>
                <w:sz w:val="21"/>
                <w:szCs w:val="21"/>
                <w:highlight w:val="none"/>
                <w:u w:val="none"/>
                <w:lang w:val="en-US" w:eastAsia="zh-CN" w:bidi="ar"/>
              </w:rPr>
              <w:t>项目竣工验收前聘请第三方具备测评资质的单位对项目整体进行系统功能测评且需通过第三方测试并出具测评报告。</w:t>
            </w:r>
          </w:p>
        </w:tc>
      </w:tr>
      <w:tr w14:paraId="3B51FA51">
        <w:tblPrEx>
          <w:tblCellMar>
            <w:top w:w="0" w:type="dxa"/>
            <w:left w:w="108" w:type="dxa"/>
            <w:bottom w:w="0" w:type="dxa"/>
            <w:right w:w="108" w:type="dxa"/>
          </w:tblCellMar>
        </w:tblPrEx>
        <w:trPr>
          <w:trHeight w:val="640" w:hRule="atLeast"/>
          <w:jc w:val="center"/>
        </w:trPr>
        <w:tc>
          <w:tcPr>
            <w:tcW w:w="9993" w:type="dxa"/>
            <w:gridSpan w:val="5"/>
            <w:tcBorders>
              <w:top w:val="single" w:color="000000" w:sz="4" w:space="0"/>
              <w:left w:val="single" w:color="000000" w:sz="4" w:space="0"/>
              <w:bottom w:val="single" w:color="000000" w:sz="4" w:space="0"/>
              <w:right w:val="single" w:color="000000" w:sz="4" w:space="0"/>
            </w:tcBorders>
            <w:noWrap w:val="0"/>
            <w:vAlign w:val="center"/>
          </w:tcPr>
          <w:p w14:paraId="6FC256C7">
            <w:pPr>
              <w:spacing w:line="400" w:lineRule="exact"/>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b/>
                <w:color w:val="auto"/>
                <w:kern w:val="0"/>
                <w:sz w:val="21"/>
                <w:szCs w:val="21"/>
                <w:highlight w:val="none"/>
                <w:lang w:bidi="ar"/>
              </w:rPr>
              <w:t>二、商务要求</w:t>
            </w:r>
            <w:r>
              <w:rPr>
                <w:rFonts w:hint="eastAsia" w:ascii="宋体" w:hAnsi="宋体" w:cs="宋体"/>
                <w:b/>
                <w:color w:val="auto"/>
                <w:kern w:val="0"/>
                <w:sz w:val="21"/>
                <w:szCs w:val="21"/>
                <w:highlight w:val="none"/>
                <w:lang w:val="en-US" w:eastAsia="zh-CN" w:bidi="ar"/>
              </w:rPr>
              <w:t xml:space="preserve"> </w:t>
            </w:r>
          </w:p>
        </w:tc>
      </w:tr>
      <w:tr w14:paraId="527B6602">
        <w:tblPrEx>
          <w:tblCellMar>
            <w:top w:w="0" w:type="dxa"/>
            <w:left w:w="108" w:type="dxa"/>
            <w:bottom w:w="0" w:type="dxa"/>
            <w:right w:w="108" w:type="dxa"/>
          </w:tblCellMar>
        </w:tblPrEx>
        <w:trPr>
          <w:trHeight w:val="717"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29C2A7A9">
            <w:pPr>
              <w:widowControl/>
              <w:jc w:val="both"/>
              <w:textAlignment w:val="center"/>
              <w:rPr>
                <w:rFonts w:hint="eastAsia" w:ascii="宋体" w:hAnsi="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bidi="ar"/>
              </w:rPr>
              <w:t>服务期限及地点</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3D867C64">
            <w:pPr>
              <w:widowControl/>
              <w:jc w:val="both"/>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服务期限：自签订合同之日起180天内完成系统开发、部署上线并完成初步验收；项目竣工</w:t>
            </w:r>
            <w:r>
              <w:rPr>
                <w:rFonts w:hint="eastAsia" w:ascii="宋体" w:hAnsi="宋体" w:cs="宋体"/>
                <w:color w:val="auto"/>
                <w:kern w:val="0"/>
                <w:sz w:val="21"/>
                <w:szCs w:val="21"/>
                <w:highlight w:val="none"/>
                <w:lang w:eastAsia="zh-CN" w:bidi="ar"/>
              </w:rPr>
              <w:t>验收通过</w:t>
            </w:r>
            <w:r>
              <w:rPr>
                <w:rFonts w:hint="eastAsia" w:ascii="宋体" w:hAnsi="宋体" w:eastAsia="宋体" w:cs="宋体"/>
                <w:color w:val="auto"/>
                <w:kern w:val="0"/>
                <w:sz w:val="21"/>
                <w:szCs w:val="21"/>
                <w:highlight w:val="none"/>
                <w:lang w:bidi="ar"/>
              </w:rPr>
              <w:t>后，进入维保服务期间，维保期一年。</w:t>
            </w:r>
          </w:p>
          <w:p w14:paraId="204A594B">
            <w:pPr>
              <w:widowControl/>
              <w:jc w:val="both"/>
              <w:textAlignment w:val="auto"/>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bidi="ar"/>
              </w:rPr>
              <w:t>WLYMFDBC</w:t>
            </w:r>
            <w:r>
              <w:rPr>
                <w:rFonts w:hint="eastAsia" w:ascii="宋体" w:hAnsi="宋体" w:cs="宋体"/>
                <w:color w:val="auto"/>
                <w:kern w:val="0"/>
                <w:sz w:val="21"/>
                <w:szCs w:val="21"/>
                <w:highlight w:val="none"/>
                <w:lang w:val="en-US" w:eastAsia="zh-CN" w:bidi="ar"/>
              </w:rPr>
              <w:t>服务、APK互联网解析服务自合同签订后且通过附件2、附件3考核标准并经采购单位确认服务能力后起算服务时间（服务时间为7个月）。</w:t>
            </w:r>
          </w:p>
          <w:p w14:paraId="049861CD">
            <w:pPr>
              <w:widowControl/>
              <w:jc w:val="both"/>
              <w:textAlignment w:val="auto"/>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bidi="ar"/>
              </w:rPr>
              <w:t>服务地点：广西南宁市（采购人指定地点）。</w:t>
            </w:r>
          </w:p>
        </w:tc>
      </w:tr>
      <w:tr w14:paraId="7A302F8E">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31884988">
            <w:pPr>
              <w:widowControl/>
              <w:jc w:val="both"/>
              <w:textAlignment w:val="center"/>
              <w:rPr>
                <w:rFonts w:hint="eastAsia" w:ascii="宋体" w:hAnsi="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合同签订时间</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095E1EA0">
            <w:pPr>
              <w:widowControl/>
              <w:jc w:val="both"/>
              <w:textAlignment w:val="center"/>
              <w:rPr>
                <w:rFonts w:hint="eastAsia" w:ascii="宋体" w:hAnsi="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中标通知书发出之日起25天内。</w:t>
            </w:r>
          </w:p>
        </w:tc>
      </w:tr>
      <w:tr w14:paraId="0E96D040">
        <w:tblPrEx>
          <w:tblCellMar>
            <w:top w:w="0" w:type="dxa"/>
            <w:left w:w="108" w:type="dxa"/>
            <w:bottom w:w="0" w:type="dxa"/>
            <w:right w:w="108" w:type="dxa"/>
          </w:tblCellMar>
        </w:tblPrEx>
        <w:trPr>
          <w:trHeight w:val="245"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6BB5E357">
            <w:pPr>
              <w:widowControl/>
              <w:jc w:val="both"/>
              <w:textAlignment w:val="center"/>
              <w:rPr>
                <w:rFonts w:hint="eastAsia" w:ascii="宋体" w:hAnsi="宋体" w:cs="宋体"/>
                <w:b/>
                <w:color w:val="auto"/>
                <w:sz w:val="21"/>
                <w:szCs w:val="21"/>
                <w:highlight w:val="none"/>
              </w:rPr>
            </w:pPr>
            <w:r>
              <w:rPr>
                <w:rFonts w:hint="eastAsia" w:ascii="宋体" w:hAnsi="宋体" w:eastAsia="宋体" w:cs="宋体"/>
                <w:color w:val="auto"/>
                <w:kern w:val="0"/>
                <w:sz w:val="21"/>
                <w:szCs w:val="21"/>
                <w:highlight w:val="none"/>
                <w:lang w:bidi="ar"/>
              </w:rPr>
              <w:t>付款方式</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2E999DC8">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1.本项目签订合同后15个工作日内，采购人向中标人支付合同总金额的30%作为合同首付款。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2.项目完成建设并实现项目整体建设目标后，统一将本项目向自治区公安厅科信办提请</w:t>
            </w:r>
            <w:r>
              <w:rPr>
                <w:rFonts w:hint="eastAsia" w:ascii="宋体" w:hAnsi="宋体" w:cs="宋体"/>
                <w:color w:val="auto"/>
                <w:kern w:val="0"/>
                <w:sz w:val="21"/>
                <w:szCs w:val="21"/>
                <w:highlight w:val="none"/>
                <w:lang w:bidi="ar"/>
              </w:rPr>
              <w:t>初步验收及档案专项验收</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eastAsia="zh-CN" w:bidi="ar"/>
              </w:rPr>
              <w:t>初步验收及</w:t>
            </w:r>
            <w:r>
              <w:rPr>
                <w:rFonts w:hint="eastAsia" w:ascii="宋体" w:hAnsi="宋体" w:eastAsia="宋体" w:cs="宋体"/>
                <w:color w:val="auto"/>
                <w:kern w:val="0"/>
                <w:sz w:val="21"/>
                <w:szCs w:val="21"/>
                <w:highlight w:val="none"/>
                <w:lang w:bidi="ar"/>
              </w:rPr>
              <w:t>档案</w:t>
            </w:r>
            <w:r>
              <w:rPr>
                <w:rFonts w:hint="eastAsia" w:ascii="宋体" w:hAnsi="宋体" w:cs="宋体"/>
                <w:color w:val="auto"/>
                <w:kern w:val="0"/>
                <w:sz w:val="21"/>
                <w:szCs w:val="21"/>
                <w:highlight w:val="none"/>
                <w:lang w:eastAsia="zh-CN" w:bidi="ar"/>
              </w:rPr>
              <w:t>专项</w:t>
            </w:r>
            <w:r>
              <w:rPr>
                <w:rFonts w:hint="eastAsia" w:ascii="宋体" w:hAnsi="宋体" w:eastAsia="宋体" w:cs="宋体"/>
                <w:color w:val="auto"/>
                <w:kern w:val="0"/>
                <w:sz w:val="21"/>
                <w:szCs w:val="21"/>
                <w:highlight w:val="none"/>
                <w:lang w:bidi="ar"/>
              </w:rPr>
              <w:t>验收通过后，采购人在本项目中标人提出付款申请后15个工作日内向中标人支付</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0%的合同款。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.自治区公安厅科信办组织将项目报广西壮族自治区大数据发展局提请开展竣工验收，在竣工验收通过后，采购人在本项目中标人提出付款申请</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后15个工作日内向中标人支付</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0%的合同款。</w:t>
            </w:r>
          </w:p>
          <w:p w14:paraId="24D30EF8">
            <w:pPr>
              <w:widowControl/>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4</w:t>
            </w:r>
            <w:r>
              <w:rPr>
                <w:rFonts w:hint="eastAsia" w:ascii="宋体" w:hAnsi="宋体" w:cs="宋体"/>
                <w:color w:val="auto"/>
                <w:kern w:val="0"/>
                <w:sz w:val="21"/>
                <w:szCs w:val="21"/>
                <w:highlight w:val="none"/>
                <w:lang w:bidi="ar"/>
              </w:rPr>
              <w:t>.采购人付款前，中标人应向采购人提供与支付金额相符的有效发票，且收款方、出具发票方、合同乙方均必须与中标人名称一致</w:t>
            </w:r>
            <w:r>
              <w:rPr>
                <w:rFonts w:hint="eastAsia" w:ascii="宋体" w:hAnsi="宋体" w:cs="宋体"/>
                <w:color w:val="auto"/>
                <w:kern w:val="0"/>
                <w:sz w:val="21"/>
                <w:szCs w:val="21"/>
                <w:highlight w:val="none"/>
                <w:lang w:eastAsia="zh-CN" w:bidi="ar"/>
              </w:rPr>
              <w:t>。</w:t>
            </w:r>
          </w:p>
        </w:tc>
      </w:tr>
      <w:tr w14:paraId="3C18F2A6">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0E99DD55">
            <w:pPr>
              <w:widowControl/>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投标报价</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4DBD54E8">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投标报价是完成本项目的全部服务内容及其相关工作所需的全部费用：应包含（但不限于）所有服务有关的费用、验收、技术资料归档、培训、项目人员的交通费、住宿费、伙食补助费等各种费用和售后服务、税金及其它费用的总和。</w:t>
            </w:r>
          </w:p>
        </w:tc>
      </w:tr>
      <w:tr w14:paraId="304D634C">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0EB127E2">
            <w:pPr>
              <w:widowControl/>
              <w:jc w:val="both"/>
              <w:textAlignment w:val="center"/>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建设要求</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73A3C5F1">
            <w:pPr>
              <w:widowControl/>
              <w:jc w:val="left"/>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eastAsia="zh-CN" w:bidi="ar"/>
              </w:rPr>
              <w:t>中标单位需根据招标文件、批复初步设计方案（或建设方案）及投评材料等编制深化设计方案，经监理单位确认并报厅科信办备案后实施项目建设。</w:t>
            </w:r>
          </w:p>
          <w:p w14:paraId="75E2FA30">
            <w:pPr>
              <w:widowControl/>
              <w:jc w:val="left"/>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2.根据采购人需求实现相关业务等13个系统对接。</w:t>
            </w:r>
          </w:p>
        </w:tc>
      </w:tr>
      <w:tr w14:paraId="089210C1">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3DC44C9D">
            <w:pPr>
              <w:widowControl/>
              <w:jc w:val="both"/>
              <w:textAlignment w:val="center"/>
              <w:rPr>
                <w:rFonts w:hint="eastAsia" w:ascii="宋体" w:hAnsi="宋体" w:cs="宋体"/>
                <w:b/>
                <w:color w:val="auto"/>
                <w:sz w:val="21"/>
                <w:szCs w:val="21"/>
                <w:highlight w:val="none"/>
              </w:rPr>
            </w:pPr>
            <w:r>
              <w:rPr>
                <w:rFonts w:hint="eastAsia" w:ascii="宋体" w:hAnsi="宋体" w:eastAsia="宋体" w:cs="宋体"/>
                <w:color w:val="auto"/>
                <w:kern w:val="0"/>
                <w:sz w:val="21"/>
                <w:szCs w:val="21"/>
                <w:highlight w:val="none"/>
                <w:lang w:bidi="ar"/>
              </w:rPr>
              <w:t>交付要求</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6F174359">
            <w:pPr>
              <w:widowControl/>
              <w:jc w:val="both"/>
              <w:textAlignment w:val="center"/>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bidi="ar"/>
              </w:rPr>
              <w:t>1.文档内容要求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1.1系统开发文档要求：应严格遵照国家软件项目规范进行，根据开发进度及时提供有关开发文档，包括但不限于需求规格说明书、系统概要设计说明书、系统设计详细说明书、数据库设计说明书、测试计划、测试记录、测试分析报告、系统维护手册、操作手册、系统安装手册以及采购人认为必要的其他文档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1.2项目管理应提交软件开发和实施计划、进度报告、培训计划、培训记录、例会记录以及采购人认为必要的其他文档。</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1.3最终提供的软件产品应包括各种相关的软件系统、各阶段开发文档、运行稳定可靠的本系统安装程序等。按需求定制开发的软件须提供具有详细注释、无编译、无加密、无封装的源代码。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1.4所有的技术文件必须用中文书写或有完整的中文注释。</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2.文档管理要求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中标供应商必须向采购人移交项目设计相关报告文档一式叁份，包括但不限于全套文件及其电子文档，其中电子文档以光盘/硬盘存储，且必须符合“电子文档格式”的技术要求，同时必须符合《国家电子政务工程建设项目档案管理暂行办法》的归档要求。中标供应商必须设置专人在项目建设期间对文档进行检查和管理，项目最终验收后全部移交采购人。</w:t>
            </w:r>
          </w:p>
        </w:tc>
      </w:tr>
      <w:tr w14:paraId="7606AF0E">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09C0FC7B">
            <w:pPr>
              <w:widowControl/>
              <w:jc w:val="both"/>
              <w:textAlignment w:val="center"/>
              <w:rPr>
                <w:rFonts w:hint="eastAsia" w:ascii="宋体" w:hAnsi="宋体" w:cs="宋体"/>
                <w:b/>
                <w:color w:val="auto"/>
                <w:sz w:val="21"/>
                <w:szCs w:val="21"/>
                <w:highlight w:val="none"/>
              </w:rPr>
            </w:pPr>
            <w:r>
              <w:rPr>
                <w:rFonts w:hint="eastAsia" w:ascii="宋体" w:hAnsi="宋体" w:eastAsia="宋体" w:cs="宋体"/>
                <w:color w:val="auto"/>
                <w:kern w:val="0"/>
                <w:sz w:val="21"/>
                <w:szCs w:val="21"/>
                <w:highlight w:val="none"/>
                <w:lang w:bidi="ar"/>
              </w:rPr>
              <w:t>系统试运行要求</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1FBCD0A5">
            <w:pPr>
              <w:widowControl/>
              <w:jc w:val="both"/>
              <w:textAlignment w:val="auto"/>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bidi="ar"/>
              </w:rPr>
              <w:t>1.系统试运行前进行必要的功能和性能测试。</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2.系统上线之前，对采购单位系统管理员进行技术培训，保证管理人员掌握必要的管理工具和规范；提供详细的数据集定义文档及项目相关文档资料。</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3.系统上线运行和维护阶段，持续系统调优工作，保障系统稳定高效。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4.本项目试运行期为1个月。在试运行期间，中标供应商应指定有经验的技术人员在现场负责系统的运行和维护，若系统出现问题或故障，应及时进行故障处理和软件更新。</w:t>
            </w:r>
          </w:p>
        </w:tc>
      </w:tr>
      <w:tr w14:paraId="0557454C">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5FEC0730">
            <w:pPr>
              <w:widowControl/>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测评和评估要求</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3AC690DC">
            <w:pPr>
              <w:widowControl/>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1.项目整体初步验收及档案验收前通过第三方软件测评；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2.项目整体初步验收及档案验收前通过网络安全等级保护测评，结论不为“差”；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3.项目整体初步验收及档案验收前通过系统商用密码应</w:t>
            </w:r>
            <w:r>
              <w:rPr>
                <w:rFonts w:hint="eastAsia" w:ascii="宋体" w:hAnsi="宋体" w:cs="宋体"/>
                <w:color w:val="auto"/>
                <w:kern w:val="0"/>
                <w:sz w:val="21"/>
                <w:szCs w:val="21"/>
                <w:highlight w:val="none"/>
                <w:lang w:eastAsia="zh-CN" w:bidi="ar"/>
              </w:rPr>
              <w:t>用</w:t>
            </w:r>
            <w:r>
              <w:rPr>
                <w:rFonts w:hint="eastAsia" w:ascii="宋体" w:hAnsi="宋体" w:eastAsia="宋体" w:cs="宋体"/>
                <w:color w:val="auto"/>
                <w:kern w:val="0"/>
                <w:sz w:val="21"/>
                <w:szCs w:val="21"/>
                <w:highlight w:val="none"/>
                <w:lang w:bidi="ar"/>
              </w:rPr>
              <w:t>安全性评估，结论为“基本符合”或优于“基本符合”；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4.由采购人委托已备案的第三方测评机构开展上述评测工作，测评和评估要求工作中所产生的一切费用由中标人负责。</w:t>
            </w:r>
          </w:p>
        </w:tc>
      </w:tr>
      <w:tr w14:paraId="7B93C411">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7ECCF50C">
            <w:pPr>
              <w:widowControl/>
              <w:jc w:val="both"/>
              <w:textAlignment w:val="center"/>
              <w:rPr>
                <w:rFonts w:hint="eastAsia" w:ascii="宋体" w:hAnsi="宋体" w:cs="宋体"/>
                <w:b/>
                <w:color w:val="auto"/>
                <w:sz w:val="21"/>
                <w:szCs w:val="21"/>
                <w:highlight w:val="none"/>
              </w:rPr>
            </w:pPr>
            <w:r>
              <w:rPr>
                <w:rFonts w:hint="eastAsia" w:ascii="宋体" w:hAnsi="宋体" w:eastAsia="宋体" w:cs="宋体"/>
                <w:color w:val="auto"/>
                <w:kern w:val="0"/>
                <w:sz w:val="21"/>
                <w:szCs w:val="21"/>
                <w:highlight w:val="none"/>
                <w:lang w:bidi="ar"/>
              </w:rPr>
              <w:t>验收要求</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3048C504">
            <w:pPr>
              <w:widowControl/>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1.项目交付后由采购人根据合同、招标文件、投标文件、初步设计方案组织验收。</w:t>
            </w:r>
          </w:p>
          <w:p w14:paraId="4C0EB28A">
            <w:pPr>
              <w:widowControl/>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2.配合完成需求分析评审、系统设计评审、项目试运行评审、项目初步验收、项目中期验收、项目终期验收等验收环节。根据国家、自治区及公安厅政务信息化项目有关规定开展项目建设、监理及验收</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项目建设完成后，</w:t>
            </w:r>
            <w:r>
              <w:rPr>
                <w:rFonts w:hint="eastAsia" w:ascii="宋体" w:hAnsi="宋体" w:eastAsia="宋体" w:cs="宋体"/>
                <w:color w:val="auto"/>
                <w:kern w:val="0"/>
                <w:sz w:val="21"/>
                <w:szCs w:val="21"/>
                <w:highlight w:val="none"/>
                <w:lang w:val="en-US" w:eastAsia="zh-CN" w:bidi="ar"/>
              </w:rPr>
              <w:t>由建设单位内部组织初步验收并</w:t>
            </w:r>
            <w:r>
              <w:rPr>
                <w:rFonts w:hint="eastAsia" w:ascii="宋体" w:hAnsi="宋体" w:eastAsia="宋体" w:cs="宋体"/>
                <w:color w:val="auto"/>
                <w:kern w:val="0"/>
                <w:sz w:val="21"/>
                <w:szCs w:val="21"/>
                <w:highlight w:val="none"/>
                <w:lang w:bidi="ar"/>
              </w:rPr>
              <w:t>提请厅科信办组织整体</w:t>
            </w:r>
            <w:r>
              <w:rPr>
                <w:rFonts w:hint="eastAsia" w:ascii="宋体" w:hAnsi="宋体" w:eastAsia="宋体" w:cs="宋体"/>
                <w:color w:val="auto"/>
                <w:kern w:val="0"/>
                <w:sz w:val="21"/>
                <w:szCs w:val="21"/>
                <w:highlight w:val="none"/>
                <w:lang w:val="en-US" w:eastAsia="zh-CN" w:bidi="ar"/>
              </w:rPr>
              <w:t>初步及档案合并验收</w:t>
            </w:r>
            <w:r>
              <w:rPr>
                <w:rFonts w:hint="eastAsia" w:ascii="宋体" w:hAnsi="宋体" w:eastAsia="宋体" w:cs="宋体"/>
                <w:color w:val="auto"/>
                <w:kern w:val="0"/>
                <w:sz w:val="21"/>
                <w:szCs w:val="21"/>
                <w:highlight w:val="none"/>
                <w:lang w:bidi="ar"/>
              </w:rPr>
              <w:t>，整体初</w:t>
            </w:r>
            <w:r>
              <w:rPr>
                <w:rFonts w:hint="eastAsia" w:ascii="宋体" w:hAnsi="宋体" w:eastAsia="宋体" w:cs="宋体"/>
                <w:color w:val="auto"/>
                <w:kern w:val="0"/>
                <w:sz w:val="21"/>
                <w:szCs w:val="21"/>
                <w:highlight w:val="none"/>
                <w:lang w:val="en-US" w:eastAsia="zh-CN" w:bidi="ar"/>
              </w:rPr>
              <w:t>步验收及档案</w:t>
            </w:r>
            <w:r>
              <w:rPr>
                <w:rFonts w:hint="eastAsia" w:ascii="宋体" w:hAnsi="宋体" w:eastAsia="宋体" w:cs="宋体"/>
                <w:color w:val="auto"/>
                <w:kern w:val="0"/>
                <w:sz w:val="21"/>
                <w:szCs w:val="21"/>
                <w:highlight w:val="none"/>
                <w:lang w:bidi="ar"/>
              </w:rPr>
              <w:t>验</w:t>
            </w:r>
            <w:r>
              <w:rPr>
                <w:rFonts w:hint="eastAsia" w:ascii="宋体" w:hAnsi="宋体" w:eastAsia="宋体" w:cs="宋体"/>
                <w:color w:val="auto"/>
                <w:kern w:val="0"/>
                <w:sz w:val="21"/>
                <w:szCs w:val="21"/>
                <w:highlight w:val="none"/>
                <w:lang w:val="en-US" w:eastAsia="zh-CN" w:bidi="ar"/>
              </w:rPr>
              <w:t>收</w:t>
            </w:r>
            <w:r>
              <w:rPr>
                <w:rFonts w:hint="eastAsia" w:ascii="宋体" w:hAnsi="宋体" w:eastAsia="宋体" w:cs="宋体"/>
                <w:color w:val="auto"/>
                <w:kern w:val="0"/>
                <w:sz w:val="21"/>
                <w:szCs w:val="21"/>
                <w:highlight w:val="none"/>
                <w:lang w:bidi="ar"/>
              </w:rPr>
              <w:t>合格后进入试运行阶段，试运行期不少于1个月，试运行期满后由厅科信办向自治区大数据发展局提请开展项目竣工验收。</w:t>
            </w:r>
          </w:p>
          <w:p w14:paraId="18E4358E">
            <w:pPr>
              <w:widowControl/>
              <w:jc w:val="both"/>
              <w:textAlignment w:val="center"/>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lang w:bidi="ar"/>
              </w:rPr>
              <w:t>3.根据自治区及公安厅政务信息化项目有关规定，各分标中标供应商需无条件相互配合共同实现项目建设整体设计目标。</w:t>
            </w:r>
          </w:p>
        </w:tc>
      </w:tr>
      <w:tr w14:paraId="66E45D55">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03EC14A6">
            <w:pPr>
              <w:widowControl/>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质保要求</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67A42F2A">
            <w:pPr>
              <w:widowControl/>
              <w:jc w:val="both"/>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1.本项目的质保期自项目竣工验收合格并正式交付使用之日起开始计算，其中定制开发软件的质保期不低于1年，具体质保内容按中标供应商的承诺执行。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2.中标供应商所提供的商品软件、产品、服务成果、资料等应满足中华人民共和国的相应标准。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项目建设期间，中标供应商需根据采购人的实际需求，按照采购人的要求进行深入调研并拟定需求规格书，最后获得被调研单位以及采购人的签字确认。需求规格书与合同内容不一致的地方，采购人有权提出变更要求，中标供应商需无条件响应，因变更涉及的软件变更费用由中标供应商承担。项目验收将基于建设内容执行，要求建设内容需覆盖需求规格书的所有内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中标供应商应建立严格的质量保证体系，制定项目建设质量控制方案和实施措施，并督促落实各环节质量控制内容和目标；保证总体规划设计、开发与实施、系统运行与验收等各个阶段工作满足采购人对质量的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5.中标供应商应根据整个项目的工作计划，对阶段性工作成果进行审查和测试，并向采购人提交里程碑式工作成果。通过保证各阶段性成果的质量，最终保证整个项目的质量。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6.在本项目工程建设期间及售后运维服务期内发生的一切质量问题，采购人有权要求中标供应商进行改进，期间所发生的一切费用由中标供应商承担。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质保期内，如遇采购人需求变更，调整或新增软件功能模块，造成增加人员工作量、增加产品采购或增加设备采购等情况，中标供应商应与采购人协商，并提供有偿的维修、保养及技术支持服务，具体服务内容及费用双方可另行协商确定。</w:t>
            </w:r>
            <w:r>
              <w:rPr>
                <w:rFonts w:hint="eastAsia"/>
                <w:color w:val="auto"/>
                <w:sz w:val="21"/>
                <w:szCs w:val="21"/>
                <w:highlight w:val="none"/>
                <w:lang w:eastAsia="zh-CN"/>
              </w:rPr>
              <w:t>但不能超过合同金额的</w:t>
            </w:r>
            <w:r>
              <w:rPr>
                <w:rFonts w:hint="eastAsia"/>
                <w:color w:val="auto"/>
                <w:sz w:val="21"/>
                <w:szCs w:val="21"/>
                <w:highlight w:val="none"/>
                <w:lang w:val="en-US" w:eastAsia="zh-CN"/>
              </w:rPr>
              <w:t>10%。</w:t>
            </w:r>
          </w:p>
        </w:tc>
      </w:tr>
      <w:tr w14:paraId="51648C5E">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18DFB6B1">
            <w:pPr>
              <w:widowControl/>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售后服务内容</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6C57BBE7">
            <w:pPr>
              <w:widowControl/>
              <w:numPr>
                <w:ilvl w:val="0"/>
                <w:numId w:val="4"/>
              </w:numPr>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中标供应商应具备与本项目匹配的服务能力，需提供必要技术人员和技术服务能力，以响应采购人的售后服务要求。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2.供应商应确保在质保期内，所有设备均能正常运行，且性能符合合同约定的标准。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3.如在质保期内发现任何设备缺陷、故障或性能下降，供应商应负责免费维修、更换或升级，以确保设备恢复正常运行。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4.售后服务内容：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中标供应商需在项目验收的同时提供完整的售后服务和保障方案。内容包括但不限于：系统巡检、系统日志管理、安全漏洞修复、数据备份、系统性能评估和优化、软件版本管理、合规性检查、故障响应和紧急处理、系统运行状况报告、灾难恢复计划、性能基准测试、文档管理、用户支持与培训、系统优化建议、用户反馈收集、持续改进流程、数据安全等，不得另行收取费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技术支撑服务：中标供应商需在运维服务期内为本项目提供7×24小时电话受理服务及提供技术支持，技术支持方式包括邮件、电话、远程维护、现场服务等方式。并免费提供7×24小时服务专线电话，对不同服务对象进行分级分类响应管理，服务专线人员和线路应满足日常咨询及系统稳定运行保障服务工作需求，并纳入应急保障服务方案中。</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故障服务：至少保证7×24的电话受理服务，接到采购人故障反馈通知15分钟内做出明确响应和安排，如故障30分钟内无法通过电话指导或远程技术支持解决的，根据故障级别6小时以内到达现场解除故障。如中标供应商有优于此规定的，按中标供应商服务执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（3）系统优化与升级：对软件进行BUG修复、调整、优化、修改及升级等。</w:t>
            </w:r>
          </w:p>
          <w:p w14:paraId="2FBDA076">
            <w:pPr>
              <w:widowControl/>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r>
              <w:rPr>
                <w:rFonts w:hint="eastAsia" w:ascii="宋体" w:hAnsi="宋体" w:eastAsia="宋体" w:cs="宋体"/>
                <w:color w:val="auto"/>
                <w:kern w:val="0"/>
                <w:sz w:val="21"/>
                <w:szCs w:val="21"/>
                <w:highlight w:val="none"/>
                <w:lang w:val="en-US" w:eastAsia="zh-CN" w:bidi="ar"/>
              </w:rPr>
              <w:t>系统进入试运行阶段后，</w:t>
            </w:r>
            <w:r>
              <w:rPr>
                <w:rFonts w:hint="eastAsia" w:ascii="宋体" w:hAnsi="宋体" w:eastAsia="宋体" w:cs="宋体"/>
                <w:color w:val="auto"/>
                <w:kern w:val="0"/>
                <w:sz w:val="21"/>
                <w:szCs w:val="21"/>
                <w:highlight w:val="none"/>
                <w:lang w:bidi="ar"/>
              </w:rPr>
              <w:t>中标供应商提供2名专业工程师到业主单位驻场，负责本期项目应用软件系统相关的部署与运行维护工作，确保本期项目应用软件系统的正常运行。</w:t>
            </w:r>
          </w:p>
        </w:tc>
      </w:tr>
      <w:tr w14:paraId="3078097F">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0652B5D2">
            <w:pPr>
              <w:widowControl/>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保密要求</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3E8B7A15">
            <w:pPr>
              <w:widowControl/>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1.中标人对履行本合同期间知悉的采购单位秘密负有保密责任，且中标人的保密责任不因本项目合同的终止而终止；</w:t>
            </w:r>
          </w:p>
          <w:p w14:paraId="47E5AC43">
            <w:pPr>
              <w:widowControl/>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中标人须无条件配合开展本项目服务人员岗前审查、保密教育、保密检查工作。必须对项目实施过程中获取的相关信息保密（相关信息包括但不限于本项目），如发生失泄密事件即终止合同，且中标人不得参与后续公安厅项目投标活动；</w:t>
            </w:r>
          </w:p>
          <w:p w14:paraId="7311CCA2">
            <w:pPr>
              <w:widowControl/>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中标人须与采购人签订《合作单位保密协议书》，拟投入的服务人员须提交《保密承诺书》，遵守采购人信息安全管理规定，对非权限范围内设备不允许操作。非权限范围内信息不允许访问。未经允许，不可随意在工作环境内拍照、录音、录像等；</w:t>
            </w:r>
          </w:p>
          <w:p w14:paraId="233A6EEC">
            <w:pPr>
              <w:widowControl/>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中标人须严格履行采购人服务规范要求，包括但不限于以下规范：《公安厅机关安全保密管理十条规定》《广西壮族自治区公安厅办公室关于加强厅机关信息系统企业运维人员管理工作的通知》《广西公安信息WA全管理试行规定》《广西公安厅机关公安信息WA全管理实施细则》《厅机关信息系统企业运维人员“十严禁”》《广西公安厅信息系统运维人员行为规范》《运维安全管理要求》及采购人其他各项内部规定。</w:t>
            </w:r>
          </w:p>
        </w:tc>
      </w:tr>
      <w:tr w14:paraId="79EABF81">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60D36DC3">
            <w:pP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廉政要求</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7DAE6935">
            <w:pPr>
              <w:ind w:firstLine="0" w:firstLineChars="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根据公安机关信息化建设廉政有关要求，甲乙双方需签订廉洁承诺书。</w:t>
            </w:r>
          </w:p>
        </w:tc>
      </w:tr>
      <w:tr w14:paraId="52161092">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253BEB26">
            <w:pPr>
              <w:widowControl/>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rPr>
              <w:t>产权归属</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5DFD12FC">
            <w:pPr>
              <w:ind w:firstLine="0" w:firstLineChars="0"/>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本次项目成果的知识产权，由有关单位共同协商确定。</w:t>
            </w:r>
          </w:p>
        </w:tc>
      </w:tr>
      <w:tr w14:paraId="61F3589F">
        <w:tblPrEx>
          <w:tblCellMar>
            <w:top w:w="0" w:type="dxa"/>
            <w:left w:w="108" w:type="dxa"/>
            <w:bottom w:w="0" w:type="dxa"/>
            <w:right w:w="108" w:type="dxa"/>
          </w:tblCellMar>
        </w:tblPrEx>
        <w:trPr>
          <w:trHeight w:val="640" w:hRule="atLeast"/>
          <w:jc w:val="center"/>
        </w:trPr>
        <w:tc>
          <w:tcPr>
            <w:tcW w:w="9993" w:type="dxa"/>
            <w:gridSpan w:val="5"/>
            <w:tcBorders>
              <w:top w:val="single" w:color="000000" w:sz="4" w:space="0"/>
              <w:left w:val="single" w:color="000000" w:sz="4" w:space="0"/>
              <w:bottom w:val="single" w:color="000000" w:sz="4" w:space="0"/>
              <w:right w:val="single" w:color="000000" w:sz="4" w:space="0"/>
            </w:tcBorders>
            <w:noWrap w:val="0"/>
            <w:vAlign w:val="center"/>
          </w:tcPr>
          <w:p w14:paraId="0239DE21">
            <w:pPr>
              <w:widowControl/>
              <w:jc w:val="left"/>
              <w:textAlignment w:val="center"/>
              <w:rPr>
                <w:rFonts w:hint="eastAsia" w:ascii="宋体" w:hAnsi="宋体" w:eastAsia="宋体" w:cs="宋体"/>
                <w:color w:val="auto"/>
                <w:kern w:val="0"/>
                <w:sz w:val="21"/>
                <w:szCs w:val="21"/>
                <w:highlight w:val="none"/>
                <w:lang w:eastAsia="zh-CN" w:bidi="ar"/>
              </w:rPr>
            </w:pPr>
            <w:r>
              <w:rPr>
                <w:rFonts w:hint="eastAsia" w:ascii="宋体" w:hAnsi="宋体" w:cs="宋体"/>
                <w:b/>
                <w:bCs/>
                <w:color w:val="auto"/>
                <w:kern w:val="0"/>
                <w:sz w:val="21"/>
                <w:szCs w:val="21"/>
                <w:highlight w:val="none"/>
                <w:lang w:eastAsia="zh-CN" w:bidi="ar"/>
              </w:rPr>
              <w:t>三、其它要求</w:t>
            </w:r>
          </w:p>
        </w:tc>
      </w:tr>
      <w:tr w14:paraId="1CFFA951">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4422534A">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rPr>
              <w:t>现场踏勘</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6D25217A">
            <w:pPr>
              <w:keepNext w:val="0"/>
              <w:keepLines w:val="0"/>
              <w:suppressLineNumbers w:val="0"/>
              <w:tabs>
                <w:tab w:val="left" w:pos="180"/>
                <w:tab w:val="left" w:pos="1620"/>
              </w:tabs>
              <w:spacing w:before="0" w:beforeLines="0" w:beforeAutospacing="0" w:after="0" w:afterLines="0" w:afterAutospacing="0" w:line="400" w:lineRule="exact"/>
              <w:ind w:left="0" w:right="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不强制,由于本项目运维标准及内容涉及公安系统内部信息，详细信息不宜对外公开，因此，为方便投标人进一步了解项目情况，投标人可参与现场勘察，否则由于情况了解不透彻导致投标失误的后果由投标人自行承担。参与现场考察的投标人须签订保密协议，不得透露与采购人业务有关的包括但不限于本项目的任何信息，如有违规，自行承担一切法律后果。</w:t>
            </w:r>
          </w:p>
          <w:p w14:paraId="076C2FFF">
            <w:pPr>
              <w:rPr>
                <w:color w:val="auto"/>
                <w:sz w:val="21"/>
                <w:szCs w:val="21"/>
                <w:highlight w:val="none"/>
              </w:rPr>
            </w:pPr>
          </w:p>
          <w:p w14:paraId="5C896722">
            <w:pPr>
              <w:keepNext w:val="0"/>
              <w:keepLines w:val="0"/>
              <w:suppressLineNumbers w:val="0"/>
              <w:tabs>
                <w:tab w:val="left" w:pos="180"/>
                <w:tab w:val="left" w:pos="1620"/>
              </w:tabs>
              <w:spacing w:before="0" w:beforeLines="0" w:beforeAutospacing="0" w:after="0" w:afterLines="0" w:afterAutospacing="0" w:line="400" w:lineRule="exact"/>
              <w:ind w:left="0" w:right="0" w:firstLine="0" w:firstLineChars="0"/>
              <w:jc w:val="both"/>
              <w:rPr>
                <w:color w:val="auto"/>
                <w:sz w:val="21"/>
                <w:szCs w:val="21"/>
                <w:highlight w:val="none"/>
              </w:rPr>
            </w:pPr>
            <w:r>
              <w:rPr>
                <w:rFonts w:hint="eastAsia" w:ascii="宋体" w:hAnsi="宋体" w:eastAsia="宋体" w:cs="宋体"/>
                <w:color w:val="auto"/>
                <w:kern w:val="0"/>
                <w:sz w:val="21"/>
                <w:szCs w:val="21"/>
                <w:highlight w:val="none"/>
                <w:lang w:val="en-US" w:eastAsia="zh-CN"/>
              </w:rPr>
              <w:t>（1）现场考察时间：2025年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w:t>
            </w:r>
            <w:r>
              <w:rPr>
                <w:rFonts w:hint="eastAsia" w:ascii="宋体" w:hAnsi="宋体" w:cs="宋体"/>
                <w:color w:val="auto"/>
                <w:kern w:val="0"/>
                <w:sz w:val="21"/>
                <w:szCs w:val="21"/>
                <w:highlight w:val="none"/>
                <w:lang w:val="en-US" w:eastAsia="zh-CN"/>
              </w:rPr>
              <w:t xml:space="preserve">19 </w:t>
            </w:r>
            <w:r>
              <w:rPr>
                <w:rFonts w:hint="eastAsia" w:ascii="宋体" w:hAnsi="宋体" w:eastAsia="宋体" w:cs="宋体"/>
                <w:color w:val="auto"/>
                <w:kern w:val="0"/>
                <w:sz w:val="21"/>
                <w:szCs w:val="21"/>
                <w:highlight w:val="none"/>
                <w:lang w:val="en-US" w:eastAsia="zh-CN"/>
              </w:rPr>
              <w:t>日</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lang w:val="en-US" w:eastAsia="zh-CN"/>
              </w:rPr>
              <w:t>时</w:t>
            </w:r>
            <w:r>
              <w:rPr>
                <w:rFonts w:hint="eastAsia" w:ascii="宋体" w:hAnsi="宋体" w:cs="宋体"/>
                <w:color w:val="auto"/>
                <w:kern w:val="0"/>
                <w:sz w:val="21"/>
                <w:szCs w:val="21"/>
                <w:highlight w:val="none"/>
                <w:lang w:val="en-US" w:eastAsia="zh-CN"/>
              </w:rPr>
              <w:t>45</w:t>
            </w:r>
            <w:r>
              <w:rPr>
                <w:rFonts w:hint="eastAsia" w:ascii="宋体" w:hAnsi="宋体" w:eastAsia="宋体" w:cs="宋体"/>
                <w:color w:val="auto"/>
                <w:kern w:val="0"/>
                <w:sz w:val="21"/>
                <w:szCs w:val="21"/>
                <w:highlight w:val="none"/>
                <w:lang w:val="en-US" w:eastAsia="zh-CN"/>
              </w:rPr>
              <w:t>分</w:t>
            </w:r>
            <w:r>
              <w:rPr>
                <w:rFonts w:hint="eastAsia" w:ascii="宋体" w:hAnsi="宋体" w:cs="宋体"/>
                <w:color w:val="auto"/>
                <w:kern w:val="0"/>
                <w:sz w:val="21"/>
                <w:szCs w:val="21"/>
                <w:highlight w:val="none"/>
                <w:lang w:val="en-US" w:eastAsia="zh-CN"/>
              </w:rPr>
              <w:t>前集合</w:t>
            </w:r>
            <w:r>
              <w:rPr>
                <w:rFonts w:hint="eastAsia" w:ascii="宋体" w:hAnsi="宋体" w:eastAsia="宋体" w:cs="宋体"/>
                <w:color w:val="auto"/>
                <w:kern w:val="0"/>
                <w:sz w:val="21"/>
                <w:szCs w:val="21"/>
                <w:highlight w:val="none"/>
                <w:lang w:val="en-US" w:eastAsia="zh-CN"/>
              </w:rPr>
              <w:t>，逾时不予签到，</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时00分后由采购人统一安排进行考察。</w:t>
            </w:r>
          </w:p>
          <w:p w14:paraId="30665C7E">
            <w:pPr>
              <w:keepNext w:val="0"/>
              <w:keepLines w:val="0"/>
              <w:suppressLineNumbers w:val="0"/>
              <w:tabs>
                <w:tab w:val="left" w:pos="180"/>
                <w:tab w:val="left" w:pos="1620"/>
              </w:tabs>
              <w:spacing w:before="0" w:beforeLines="0" w:beforeAutospacing="0" w:after="0" w:afterLines="0" w:afterAutospacing="0" w:line="400" w:lineRule="exact"/>
              <w:ind w:left="0" w:right="0" w:firstLine="0" w:firstLineChars="0"/>
              <w:jc w:val="both"/>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）现场考察地点：</w:t>
            </w:r>
            <w:r>
              <w:rPr>
                <w:rFonts w:hint="eastAsia" w:ascii="宋体" w:hAnsi="宋体" w:eastAsia="宋体" w:cs="宋体"/>
                <w:color w:val="auto"/>
                <w:kern w:val="0"/>
                <w:sz w:val="21"/>
                <w:szCs w:val="21"/>
                <w:highlight w:val="none"/>
                <w:lang w:eastAsia="en-US"/>
              </w:rPr>
              <w:t>广西壮族自治区南宁市佛子岭路1号</w:t>
            </w:r>
            <w:r>
              <w:rPr>
                <w:rFonts w:hint="eastAsia" w:ascii="宋体" w:hAnsi="宋体" w:cs="宋体"/>
                <w:color w:val="auto"/>
                <w:kern w:val="0"/>
                <w:sz w:val="21"/>
                <w:szCs w:val="21"/>
                <w:highlight w:val="none"/>
                <w:lang w:val="en-US" w:eastAsia="zh-CN"/>
              </w:rPr>
              <w:t>北门登记室</w:t>
            </w:r>
            <w:r>
              <w:rPr>
                <w:rFonts w:hint="eastAsia" w:ascii="宋体" w:hAnsi="宋体" w:eastAsia="宋体" w:cs="宋体"/>
                <w:color w:val="auto"/>
                <w:kern w:val="0"/>
                <w:sz w:val="21"/>
                <w:szCs w:val="21"/>
                <w:highlight w:val="none"/>
                <w:lang w:eastAsia="en-US"/>
              </w:rPr>
              <w:t>。</w:t>
            </w:r>
          </w:p>
          <w:p w14:paraId="7192353E">
            <w:pPr>
              <w:keepNext w:val="0"/>
              <w:keepLines w:val="0"/>
              <w:suppressLineNumbers w:val="0"/>
              <w:tabs>
                <w:tab w:val="left" w:pos="180"/>
                <w:tab w:val="left" w:pos="1620"/>
              </w:tabs>
              <w:spacing w:before="0" w:beforeLines="0" w:beforeAutospacing="0" w:after="0" w:afterLines="0" w:afterAutospacing="0" w:line="400" w:lineRule="exact"/>
              <w:ind w:left="0" w:right="0" w:firstLine="0" w:firstLineChars="0"/>
              <w:jc w:val="both"/>
              <w:rPr>
                <w:rFonts w:hint="eastAsia" w:ascii="宋体" w:hAnsi="宋体" w:eastAsia="宋体" w:cs="宋体"/>
                <w:color w:val="auto"/>
                <w:kern w:val="0"/>
                <w:sz w:val="21"/>
                <w:szCs w:val="21"/>
                <w:highlight w:val="none"/>
                <w:u w:val="none"/>
                <w:lang w:eastAsia="zh-CN" w:bidi="ar"/>
              </w:rPr>
            </w:pPr>
            <w:r>
              <w:rPr>
                <w:rFonts w:hint="eastAsia" w:ascii="宋体" w:hAnsi="宋体" w:eastAsia="宋体" w:cs="宋体"/>
                <w:color w:val="auto"/>
                <w:kern w:val="0"/>
                <w:sz w:val="21"/>
                <w:szCs w:val="21"/>
                <w:highlight w:val="none"/>
                <w:u w:val="none"/>
                <w:lang w:eastAsia="zh-CN" w:bidi="ar"/>
              </w:rPr>
              <w:t>（</w:t>
            </w:r>
            <w:r>
              <w:rPr>
                <w:rFonts w:hint="eastAsia" w:ascii="宋体" w:hAnsi="宋体" w:cs="宋体"/>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u w:val="none"/>
                <w:lang w:eastAsia="zh-CN" w:bidi="ar"/>
              </w:rPr>
              <w:t>）联系人：</w:t>
            </w:r>
            <w:r>
              <w:rPr>
                <w:rFonts w:hint="eastAsia" w:ascii="宋体" w:hAnsi="宋体" w:eastAsia="宋体" w:cs="宋体"/>
                <w:color w:val="auto"/>
                <w:kern w:val="0"/>
                <w:sz w:val="21"/>
                <w:szCs w:val="21"/>
                <w:highlight w:val="none"/>
                <w:u w:val="none"/>
                <w:lang w:val="en-US" w:eastAsia="zh-CN" w:bidi="ar"/>
              </w:rPr>
              <w:t>朱警官</w:t>
            </w:r>
            <w:r>
              <w:rPr>
                <w:rFonts w:hint="eastAsia" w:ascii="宋体" w:hAnsi="宋体" w:eastAsia="宋体" w:cs="宋体"/>
                <w:color w:val="auto"/>
                <w:kern w:val="0"/>
                <w:sz w:val="21"/>
                <w:szCs w:val="21"/>
                <w:highlight w:val="none"/>
                <w:u w:val="none"/>
                <w:lang w:eastAsia="zh-CN" w:bidi="ar"/>
              </w:rPr>
              <w:t>，联系电话：</w:t>
            </w:r>
            <w:r>
              <w:rPr>
                <w:rFonts w:hint="eastAsia" w:ascii="宋体" w:hAnsi="宋体" w:eastAsia="宋体" w:cs="宋体"/>
                <w:color w:val="auto"/>
                <w:kern w:val="0"/>
                <w:sz w:val="21"/>
                <w:szCs w:val="21"/>
                <w:highlight w:val="none"/>
                <w:u w:val="none"/>
                <w:lang w:val="en-US" w:eastAsia="zh-CN" w:bidi="ar"/>
              </w:rPr>
              <w:t>14795740771</w:t>
            </w:r>
            <w:r>
              <w:rPr>
                <w:rFonts w:hint="eastAsia" w:ascii="宋体" w:hAnsi="宋体" w:eastAsia="宋体" w:cs="宋体"/>
                <w:color w:val="auto"/>
                <w:kern w:val="0"/>
                <w:sz w:val="21"/>
                <w:szCs w:val="21"/>
                <w:highlight w:val="none"/>
                <w:u w:val="none"/>
                <w:lang w:eastAsia="zh-CN" w:bidi="ar"/>
              </w:rPr>
              <w:t>。</w:t>
            </w:r>
          </w:p>
          <w:p w14:paraId="32342AF3">
            <w:pPr>
              <w:keepNext w:val="0"/>
              <w:keepLines w:val="0"/>
              <w:suppressLineNumbers w:val="0"/>
              <w:tabs>
                <w:tab w:val="left" w:pos="180"/>
                <w:tab w:val="left" w:pos="1620"/>
              </w:tabs>
              <w:spacing w:before="0" w:beforeLines="0" w:beforeAutospacing="0" w:after="0" w:afterLines="0" w:afterAutospacing="0" w:line="400" w:lineRule="exact"/>
              <w:ind w:left="0" w:right="0" w:firstLine="0" w:firstLineChars="0"/>
              <w:jc w:val="both"/>
              <w:rPr>
                <w:rFonts w:hint="eastAsia" w:ascii="宋体" w:hAnsi="宋体" w:eastAsia="宋体" w:cs="宋体"/>
                <w:color w:val="auto"/>
                <w:kern w:val="0"/>
                <w:sz w:val="21"/>
                <w:szCs w:val="21"/>
                <w:highlight w:val="none"/>
                <w:u w:val="none"/>
                <w:lang w:eastAsia="zh-CN" w:bidi="ar"/>
              </w:rPr>
            </w:pPr>
            <w:r>
              <w:rPr>
                <w:rFonts w:hint="eastAsia" w:ascii="宋体" w:hAnsi="宋体" w:eastAsia="宋体" w:cs="宋体"/>
                <w:color w:val="auto"/>
                <w:kern w:val="0"/>
                <w:sz w:val="21"/>
                <w:szCs w:val="21"/>
                <w:highlight w:val="none"/>
                <w:u w:val="none"/>
                <w:lang w:eastAsia="zh-CN" w:bidi="ar"/>
              </w:rPr>
              <w:t>（4）投标人委托代理人持针对本项目出具的法定代表人授权委托书或单位介绍信原件</w:t>
            </w:r>
            <w:r>
              <w:rPr>
                <w:rFonts w:hint="eastAsia" w:ascii="宋体" w:hAnsi="宋体" w:cs="宋体"/>
                <w:color w:val="auto"/>
                <w:kern w:val="0"/>
                <w:sz w:val="21"/>
                <w:szCs w:val="21"/>
                <w:highlight w:val="none"/>
                <w:u w:val="none"/>
                <w:lang w:eastAsia="zh-CN" w:bidi="ar"/>
              </w:rPr>
              <w:t>（加盖单位公章）</w:t>
            </w:r>
            <w:r>
              <w:rPr>
                <w:rFonts w:hint="eastAsia" w:ascii="宋体" w:hAnsi="宋体" w:eastAsia="宋体" w:cs="宋体"/>
                <w:color w:val="auto"/>
                <w:kern w:val="0"/>
                <w:sz w:val="21"/>
                <w:szCs w:val="21"/>
                <w:highlight w:val="none"/>
                <w:u w:val="none"/>
                <w:lang w:eastAsia="zh-CN" w:bidi="ar"/>
              </w:rPr>
              <w:t>、代理人身份证原件</w:t>
            </w:r>
            <w:r>
              <w:rPr>
                <w:rFonts w:hint="eastAsia" w:ascii="宋体" w:hAnsi="宋体" w:cs="宋体"/>
                <w:color w:val="auto"/>
                <w:kern w:val="0"/>
                <w:sz w:val="21"/>
                <w:szCs w:val="21"/>
                <w:highlight w:val="none"/>
                <w:u w:val="none"/>
                <w:lang w:eastAsia="zh-CN" w:bidi="ar"/>
              </w:rPr>
              <w:t>及复印件（复印件加盖单位公章）、</w:t>
            </w:r>
            <w:r>
              <w:rPr>
                <w:rFonts w:hint="eastAsia" w:ascii="宋体" w:hAnsi="宋体" w:cs="宋体"/>
                <w:color w:val="auto"/>
                <w:kern w:val="0"/>
                <w:sz w:val="21"/>
                <w:szCs w:val="21"/>
                <w:highlight w:val="none"/>
                <w:u w:val="none"/>
                <w:lang w:val="en-US" w:eastAsia="zh-CN" w:bidi="ar"/>
              </w:rPr>
              <w:t>代理人</w:t>
            </w:r>
            <w:r>
              <w:rPr>
                <w:rFonts w:hint="eastAsia" w:ascii="宋体" w:hAnsi="宋体" w:cs="宋体"/>
                <w:color w:val="auto"/>
                <w:kern w:val="0"/>
                <w:sz w:val="21"/>
                <w:szCs w:val="21"/>
                <w:highlight w:val="none"/>
                <w:u w:val="none"/>
                <w:lang w:eastAsia="zh-CN" w:bidi="ar"/>
              </w:rPr>
              <w:t>近半年</w:t>
            </w:r>
            <w:r>
              <w:rPr>
                <w:rFonts w:hint="eastAsia" w:ascii="宋体" w:hAnsi="宋体" w:cs="宋体"/>
                <w:color w:val="auto"/>
                <w:kern w:val="0"/>
                <w:sz w:val="21"/>
                <w:szCs w:val="21"/>
                <w:highlight w:val="none"/>
                <w:u w:val="none"/>
                <w:lang w:val="en-US" w:eastAsia="zh-CN" w:bidi="ar"/>
              </w:rPr>
              <w:t>以</w:t>
            </w:r>
            <w:r>
              <w:rPr>
                <w:rFonts w:hint="eastAsia" w:ascii="宋体" w:hAnsi="宋体" w:cs="宋体"/>
                <w:color w:val="auto"/>
                <w:kern w:val="0"/>
                <w:sz w:val="21"/>
                <w:szCs w:val="21"/>
                <w:highlight w:val="none"/>
                <w:u w:val="none"/>
                <w:lang w:eastAsia="zh-CN" w:bidi="ar"/>
              </w:rPr>
              <w:t>来的无犯罪记录证明、保密协议（加盖单位公章，一式两份）</w:t>
            </w:r>
            <w:r>
              <w:rPr>
                <w:rFonts w:hint="eastAsia" w:ascii="宋体" w:hAnsi="宋体" w:eastAsia="宋体" w:cs="宋体"/>
                <w:color w:val="auto"/>
                <w:kern w:val="0"/>
                <w:sz w:val="21"/>
                <w:szCs w:val="21"/>
                <w:highlight w:val="none"/>
                <w:u w:val="none"/>
                <w:lang w:eastAsia="zh-CN" w:bidi="ar"/>
              </w:rPr>
              <w:t>前往。</w:t>
            </w:r>
          </w:p>
          <w:p w14:paraId="5CC6F05B">
            <w:pPr>
              <w:keepNext w:val="0"/>
              <w:keepLines w:val="0"/>
              <w:suppressLineNumbers w:val="0"/>
              <w:tabs>
                <w:tab w:val="left" w:pos="180"/>
                <w:tab w:val="left" w:pos="1620"/>
              </w:tabs>
              <w:spacing w:before="0" w:beforeLines="0" w:beforeAutospacing="0" w:after="0" w:afterLines="0" w:afterAutospacing="0" w:line="400" w:lineRule="exact"/>
              <w:ind w:left="0" w:right="0" w:firstLine="0" w:firstLineChars="0"/>
              <w:jc w:val="both"/>
              <w:rPr>
                <w:rFonts w:hint="eastAsia" w:ascii="宋体" w:hAnsi="宋体" w:eastAsia="宋体" w:cs="宋体"/>
                <w:color w:val="auto"/>
                <w:kern w:val="0"/>
                <w:sz w:val="21"/>
                <w:szCs w:val="21"/>
                <w:highlight w:val="none"/>
                <w:u w:val="none"/>
                <w:lang w:eastAsia="zh-CN" w:bidi="ar"/>
              </w:rPr>
            </w:pPr>
            <w:r>
              <w:rPr>
                <w:rFonts w:hint="eastAsia" w:ascii="宋体" w:hAnsi="宋体" w:eastAsia="宋体" w:cs="宋体"/>
                <w:color w:val="auto"/>
                <w:kern w:val="0"/>
                <w:sz w:val="21"/>
                <w:szCs w:val="21"/>
                <w:highlight w:val="none"/>
                <w:u w:val="none"/>
                <w:lang w:eastAsia="zh-CN" w:bidi="ar"/>
              </w:rPr>
              <w:t>（5）各投标人可于考察前一个工作日提前联系，如过后联系不上后果自负。</w:t>
            </w:r>
          </w:p>
          <w:p w14:paraId="6119E648">
            <w:pPr>
              <w:rPr>
                <w:color w:val="auto"/>
                <w:sz w:val="21"/>
                <w:szCs w:val="21"/>
                <w:highlight w:val="none"/>
              </w:rPr>
            </w:pPr>
            <w:r>
              <w:rPr>
                <w:rFonts w:hint="eastAsia" w:ascii="宋体" w:hAnsi="宋体" w:eastAsia="宋体" w:cs="宋体"/>
                <w:color w:val="auto"/>
                <w:kern w:val="0"/>
                <w:sz w:val="21"/>
                <w:szCs w:val="21"/>
                <w:highlight w:val="none"/>
                <w:u w:val="none"/>
                <w:lang w:eastAsia="zh-CN" w:bidi="ar"/>
              </w:rPr>
              <w:t>投标人前往项目所在地进行现场考察一切费用自行承担，经实地考察后因自身原因考察不详细而导致投标方案偏差、中标后</w:t>
            </w:r>
            <w:r>
              <w:rPr>
                <w:rFonts w:hint="eastAsia" w:ascii="宋体" w:hAnsi="宋体" w:eastAsia="宋体" w:cs="宋体"/>
                <w:color w:val="auto"/>
                <w:kern w:val="0"/>
                <w:sz w:val="21"/>
                <w:szCs w:val="21"/>
                <w:highlight w:val="none"/>
                <w:lang w:eastAsia="en-US"/>
              </w:rPr>
              <w:t>不能履约等一切责任由投标人自行</w:t>
            </w:r>
            <w:r>
              <w:rPr>
                <w:rFonts w:hint="eastAsia" w:ascii="宋体" w:hAnsi="宋体" w:cs="宋体"/>
                <w:color w:val="auto"/>
                <w:kern w:val="0"/>
                <w:sz w:val="21"/>
                <w:szCs w:val="21"/>
                <w:highlight w:val="none"/>
                <w:lang w:eastAsia="zh-CN"/>
              </w:rPr>
              <w:t>承担。</w:t>
            </w:r>
          </w:p>
          <w:p w14:paraId="7128973B">
            <w:pPr>
              <w:tabs>
                <w:tab w:val="left" w:pos="180"/>
                <w:tab w:val="left" w:pos="1620"/>
              </w:tabs>
              <w:spacing w:line="400" w:lineRule="exact"/>
              <w:ind w:firstLine="0" w:firstLineChars="0"/>
              <w:jc w:val="both"/>
              <w:rPr>
                <w:rFonts w:hint="eastAsia" w:ascii="宋体" w:hAnsi="宋体" w:eastAsia="宋体" w:cs="宋体"/>
                <w:color w:val="auto"/>
                <w:kern w:val="0"/>
                <w:sz w:val="21"/>
                <w:szCs w:val="21"/>
                <w:highlight w:val="none"/>
                <w:lang w:bidi="ar"/>
              </w:rPr>
            </w:pPr>
          </w:p>
        </w:tc>
      </w:tr>
      <w:tr w14:paraId="109D5E01">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0B551AA5">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rPr>
              <w:t>演示要求</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19648BA6">
            <w:pPr>
              <w:widowControl/>
              <w:tabs>
                <w:tab w:val="left" w:pos="180"/>
                <w:tab w:val="left" w:pos="1620"/>
              </w:tabs>
              <w:spacing w:line="400" w:lineRule="exact"/>
              <w:ind w:firstLine="420" w:firstLineChars="200"/>
              <w:jc w:val="both"/>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投标人可根据自身情况以自愿为原则进行“</w:t>
            </w:r>
            <w:r>
              <w:rPr>
                <w:rFonts w:hint="eastAsia" w:ascii="宋体" w:hAnsi="宋体" w:cs="宋体"/>
                <w:color w:val="auto"/>
                <w:kern w:val="0"/>
                <w:sz w:val="21"/>
                <w:szCs w:val="21"/>
                <w:highlight w:val="none"/>
                <w:lang w:eastAsia="zh-CN"/>
              </w:rPr>
              <w:t>309项目</w:t>
            </w:r>
            <w:r>
              <w:rPr>
                <w:rFonts w:hint="eastAsia" w:ascii="宋体" w:hAnsi="宋体" w:eastAsia="宋体" w:cs="宋体"/>
                <w:color w:val="auto"/>
                <w:kern w:val="0"/>
                <w:sz w:val="21"/>
                <w:szCs w:val="21"/>
                <w:highlight w:val="none"/>
                <w:lang w:val="en-US" w:eastAsia="zh-CN"/>
              </w:rPr>
              <w:t>（A部分）</w:t>
            </w:r>
            <w:r>
              <w:rPr>
                <w:rFonts w:hint="eastAsia" w:ascii="宋体" w:hAnsi="宋体" w:eastAsia="宋体" w:cs="宋体"/>
                <w:color w:val="auto"/>
                <w:kern w:val="0"/>
                <w:sz w:val="21"/>
                <w:szCs w:val="21"/>
                <w:highlight w:val="none"/>
                <w:lang w:eastAsia="en-US"/>
              </w:rPr>
              <w:t>”产品演示，不提供产品演示并不会导致投标人废标，若投标人提供产品演示的须遵循以下要求：</w:t>
            </w:r>
          </w:p>
          <w:p w14:paraId="55E253F8">
            <w:pPr>
              <w:widowControl/>
              <w:tabs>
                <w:tab w:val="left" w:pos="180"/>
                <w:tab w:val="left" w:pos="1620"/>
              </w:tabs>
              <w:spacing w:line="400" w:lineRule="exact"/>
              <w:ind w:firstLine="420" w:firstLineChars="200"/>
              <w:jc w:val="both"/>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演示方式为“</w:t>
            </w:r>
            <w:r>
              <w:rPr>
                <w:rFonts w:hint="eastAsia" w:ascii="宋体" w:hAnsi="宋体" w:eastAsia="宋体" w:cs="宋体"/>
                <w:color w:val="auto"/>
                <w:kern w:val="0"/>
                <w:sz w:val="21"/>
                <w:szCs w:val="21"/>
                <w:highlight w:val="none"/>
                <w:lang w:eastAsia="zh-CN"/>
              </w:rPr>
              <w:t>广西政府采购</w:t>
            </w:r>
            <w:r>
              <w:rPr>
                <w:rFonts w:hint="eastAsia" w:ascii="宋体" w:hAnsi="宋体" w:eastAsia="宋体" w:cs="宋体"/>
                <w:color w:val="auto"/>
                <w:kern w:val="0"/>
                <w:sz w:val="21"/>
                <w:szCs w:val="21"/>
                <w:highlight w:val="none"/>
                <w:lang w:eastAsia="en-US"/>
              </w:rPr>
              <w:t>云”平台在线演示，具体演示时间及地点等待招标代理机构工作人员电话通知。</w:t>
            </w:r>
          </w:p>
          <w:p w14:paraId="1CA386E6">
            <w:pPr>
              <w:widowControl/>
              <w:tabs>
                <w:tab w:val="left" w:pos="180"/>
                <w:tab w:val="left" w:pos="1620"/>
              </w:tabs>
              <w:spacing w:line="400" w:lineRule="exact"/>
              <w:ind w:firstLine="420" w:firstLineChars="200"/>
              <w:jc w:val="both"/>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投标人应提前调试好演示所需设备（如摄像头、电脑等）、展示内容等，投标人应在接到电话通知15分钟内连线并进行线上演示，因投标人原因导致连线超时则后果自负。</w:t>
            </w:r>
            <w:r>
              <w:rPr>
                <w:rFonts w:hint="eastAsia" w:ascii="宋体" w:hAnsi="宋体" w:eastAsia="宋体" w:cs="宋体"/>
                <w:color w:val="auto"/>
                <w:kern w:val="0"/>
                <w:sz w:val="21"/>
                <w:szCs w:val="21"/>
                <w:highlight w:val="none"/>
                <w:lang w:val="en-US" w:eastAsia="en-US"/>
              </w:rPr>
              <w:t>若为现场演示，请投标人自备演示工具。</w:t>
            </w:r>
          </w:p>
          <w:p w14:paraId="19FFCD86">
            <w:pPr>
              <w:widowControl/>
              <w:tabs>
                <w:tab w:val="left" w:pos="180"/>
                <w:tab w:val="left" w:pos="1620"/>
              </w:tabs>
              <w:spacing w:line="400" w:lineRule="exact"/>
              <w:jc w:val="both"/>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en-US"/>
              </w:rPr>
              <w:t>）</w:t>
            </w:r>
            <w:r>
              <w:rPr>
                <w:rFonts w:hint="eastAsia" w:ascii="宋体" w:hAnsi="宋体" w:eastAsia="宋体" w:cs="宋体"/>
                <w:color w:val="auto"/>
                <w:kern w:val="0"/>
                <w:sz w:val="21"/>
                <w:szCs w:val="21"/>
                <w:highlight w:val="none"/>
                <w:lang w:eastAsia="en-US"/>
              </w:rPr>
              <w:t>演示开始后每个投标人的演示时间不超过45分钟，超时的须立即停止。</w:t>
            </w:r>
          </w:p>
          <w:p w14:paraId="610CD7EA">
            <w:pPr>
              <w:widowControl/>
              <w:tabs>
                <w:tab w:val="left" w:pos="180"/>
                <w:tab w:val="left" w:pos="1620"/>
              </w:tabs>
              <w:spacing w:line="400" w:lineRule="exact"/>
              <w:jc w:val="both"/>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en-US"/>
              </w:rPr>
              <w:t>）</w:t>
            </w:r>
            <w:r>
              <w:rPr>
                <w:rFonts w:hint="eastAsia" w:ascii="宋体" w:hAnsi="宋体" w:eastAsia="宋体" w:cs="宋体"/>
                <w:color w:val="auto"/>
                <w:kern w:val="0"/>
                <w:sz w:val="21"/>
                <w:szCs w:val="21"/>
                <w:highlight w:val="none"/>
                <w:lang w:eastAsia="en-US"/>
              </w:rPr>
              <w:t>投标人</w:t>
            </w:r>
            <w:r>
              <w:rPr>
                <w:rFonts w:hint="eastAsia" w:ascii="宋体" w:hAnsi="宋体" w:eastAsia="宋体" w:cs="宋体"/>
                <w:color w:val="auto"/>
                <w:kern w:val="0"/>
                <w:sz w:val="21"/>
                <w:szCs w:val="21"/>
                <w:highlight w:val="none"/>
                <w:lang w:val="en-US" w:eastAsia="zh-CN"/>
              </w:rPr>
              <w:t>可</w:t>
            </w:r>
            <w:r>
              <w:rPr>
                <w:rFonts w:hint="eastAsia" w:ascii="宋体" w:hAnsi="宋体" w:eastAsia="宋体" w:cs="宋体"/>
                <w:color w:val="auto"/>
                <w:kern w:val="0"/>
                <w:sz w:val="21"/>
                <w:szCs w:val="21"/>
                <w:highlight w:val="none"/>
                <w:lang w:eastAsia="en-US"/>
              </w:rPr>
              <w:t>使用所投真实产品进行演示，</w:t>
            </w:r>
            <w:r>
              <w:rPr>
                <w:rFonts w:hint="eastAsia" w:ascii="宋体" w:hAnsi="宋体" w:eastAsia="宋体" w:cs="宋体"/>
                <w:color w:val="auto"/>
                <w:kern w:val="0"/>
                <w:sz w:val="21"/>
                <w:szCs w:val="21"/>
                <w:highlight w:val="none"/>
                <w:lang w:val="en-US" w:eastAsia="zh-CN"/>
              </w:rPr>
              <w:t>也可</w:t>
            </w:r>
            <w:r>
              <w:rPr>
                <w:rFonts w:hint="eastAsia" w:ascii="宋体" w:hAnsi="宋体" w:eastAsia="宋体" w:cs="宋体"/>
                <w:color w:val="auto"/>
                <w:kern w:val="0"/>
                <w:sz w:val="21"/>
                <w:szCs w:val="21"/>
                <w:highlight w:val="none"/>
                <w:lang w:eastAsia="en-US"/>
              </w:rPr>
              <w:t>采用DEMO、视频、PPT等方式演示进行</w:t>
            </w:r>
            <w:r>
              <w:rPr>
                <w:rFonts w:hint="eastAsia" w:ascii="宋体" w:hAnsi="宋体" w:eastAsia="宋体" w:cs="宋体"/>
                <w:color w:val="auto"/>
                <w:kern w:val="0"/>
                <w:sz w:val="21"/>
                <w:szCs w:val="21"/>
                <w:highlight w:val="none"/>
                <w:lang w:val="en-US" w:eastAsia="en-US"/>
              </w:rPr>
              <w:t>演示</w:t>
            </w:r>
            <w:r>
              <w:rPr>
                <w:rFonts w:hint="eastAsia" w:ascii="宋体" w:hAnsi="宋体" w:eastAsia="宋体" w:cs="宋体"/>
                <w:color w:val="auto"/>
                <w:kern w:val="0"/>
                <w:sz w:val="21"/>
                <w:szCs w:val="21"/>
                <w:highlight w:val="none"/>
                <w:lang w:eastAsia="en-US"/>
              </w:rPr>
              <w:t>；</w:t>
            </w:r>
          </w:p>
          <w:p w14:paraId="0D0D6147">
            <w:pPr>
              <w:widowControl/>
              <w:tabs>
                <w:tab w:val="left" w:pos="180"/>
                <w:tab w:val="left" w:pos="1620"/>
              </w:tabs>
              <w:spacing w:line="400" w:lineRule="exact"/>
              <w:jc w:val="both"/>
              <w:textAlignment w:val="auto"/>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eastAsia="en-US"/>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en-US"/>
              </w:rPr>
              <w:t>）</w:t>
            </w:r>
            <w:r>
              <w:rPr>
                <w:rFonts w:hint="eastAsia" w:ascii="宋体" w:hAnsi="宋体" w:eastAsia="宋体" w:cs="宋体"/>
                <w:color w:val="auto"/>
                <w:kern w:val="0"/>
                <w:sz w:val="21"/>
                <w:szCs w:val="21"/>
                <w:highlight w:val="none"/>
                <w:lang w:eastAsia="en-US"/>
              </w:rPr>
              <w:t>具体演示内容详见《第四章 评标方法及评分标准》“演示分”。</w:t>
            </w:r>
          </w:p>
        </w:tc>
      </w:tr>
      <w:tr w14:paraId="1CCCE2BF">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noWrap w:val="0"/>
            <w:vAlign w:val="center"/>
          </w:tcPr>
          <w:p w14:paraId="56D06D20">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其它要求</w:t>
            </w:r>
          </w:p>
        </w:tc>
        <w:tc>
          <w:tcPr>
            <w:tcW w:w="8297" w:type="dxa"/>
            <w:gridSpan w:val="3"/>
            <w:tcBorders>
              <w:top w:val="single" w:color="000000" w:sz="4" w:space="0"/>
              <w:left w:val="single" w:color="000000" w:sz="4" w:space="0"/>
              <w:bottom w:val="single" w:color="000000" w:sz="4" w:space="0"/>
              <w:right w:val="single" w:color="000000" w:sz="4" w:space="0"/>
            </w:tcBorders>
            <w:noWrap w:val="0"/>
            <w:vAlign w:val="center"/>
          </w:tcPr>
          <w:p w14:paraId="0AC0B28A">
            <w:pPr>
              <w:widowControl/>
              <w:tabs>
                <w:tab w:val="left" w:pos="180"/>
                <w:tab w:val="left" w:pos="1620"/>
              </w:tabs>
              <w:spacing w:line="400" w:lineRule="exact"/>
              <w:jc w:val="both"/>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1.招标文件的技术要求中列出了采购人可以接受的最低的技术要求，中标</w:t>
            </w:r>
            <w:r>
              <w:rPr>
                <w:rFonts w:hint="eastAsia" w:ascii="宋体" w:hAnsi="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lang w:eastAsia="en-US"/>
              </w:rPr>
              <w:t>提供的所有软件必须在功能、性能等方面不低于所列的各项要求，并且中标</w:t>
            </w:r>
            <w:r>
              <w:rPr>
                <w:rFonts w:hint="eastAsia" w:ascii="宋体" w:hAnsi="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lang w:eastAsia="en-US"/>
              </w:rPr>
              <w:t>须按采购人实际需求开展系统定制开发工作。</w:t>
            </w:r>
          </w:p>
          <w:p w14:paraId="5CFADA52">
            <w:pPr>
              <w:widowControl/>
              <w:tabs>
                <w:tab w:val="left" w:pos="180"/>
                <w:tab w:val="left" w:pos="1620"/>
              </w:tabs>
              <w:spacing w:line="400" w:lineRule="exact"/>
              <w:jc w:val="both"/>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2.中标</w:t>
            </w:r>
            <w:r>
              <w:rPr>
                <w:rFonts w:hint="eastAsia" w:ascii="宋体" w:hAnsi="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lang w:eastAsia="en-US"/>
              </w:rPr>
              <w:t>所提供的软件必须是在中国有合法使用权。</w:t>
            </w:r>
          </w:p>
          <w:p w14:paraId="1BF47544">
            <w:pPr>
              <w:widowControl/>
              <w:tabs>
                <w:tab w:val="left" w:pos="180"/>
                <w:tab w:val="left" w:pos="1620"/>
              </w:tabs>
              <w:spacing w:line="400" w:lineRule="exact"/>
              <w:jc w:val="both"/>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3.所有建设的模块，都需建立相关的标准规范文档（包括但不限于：接口文档、字典文档），并提供相应的业务接口，配合第三方调用联调。</w:t>
            </w:r>
          </w:p>
          <w:p w14:paraId="49FDCE10">
            <w:pPr>
              <w:widowControl/>
              <w:tabs>
                <w:tab w:val="left" w:pos="180"/>
                <w:tab w:val="left" w:pos="1620"/>
              </w:tabs>
              <w:spacing w:line="400" w:lineRule="exact"/>
              <w:jc w:val="both"/>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4.实施过程中涉及系统升级、改造或重建的，须保证在不中断业务的情况下进行，升级、改造或重建后系统性能必须满足招标文件要求。升级、改造或重建及涉及系统接口开发等一切费用包含在投标总报价中。</w:t>
            </w:r>
          </w:p>
          <w:p w14:paraId="40CB083C">
            <w:pPr>
              <w:widowControl/>
              <w:tabs>
                <w:tab w:val="left" w:pos="180"/>
                <w:tab w:val="left" w:pos="1620"/>
              </w:tabs>
              <w:spacing w:line="400" w:lineRule="exact"/>
              <w:jc w:val="both"/>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5.本招标文件技术规范未尽事宜，将在合同签订或项目执行过程中双方协商确定。</w:t>
            </w:r>
          </w:p>
          <w:p w14:paraId="15C1DF90">
            <w:pPr>
              <w:widowControl/>
              <w:tabs>
                <w:tab w:val="left" w:pos="180"/>
                <w:tab w:val="left" w:pos="1620"/>
              </w:tabs>
              <w:spacing w:line="400" w:lineRule="exact"/>
              <w:jc w:val="both"/>
              <w:textAlignment w:val="auto"/>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eastAsia="en-US"/>
              </w:rPr>
              <w:t>6.本次项目涉及数据的敏感性和安全性要求，中标</w:t>
            </w:r>
            <w:r>
              <w:rPr>
                <w:rFonts w:hint="eastAsia" w:ascii="宋体" w:hAnsi="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lang w:eastAsia="en-US"/>
              </w:rPr>
              <w:t>在项目实施和运维服务期内，须严格落实采购人要求的安全保密制度。对于非采购人原因导致的数据安全泄露情况，采购人有权上报相关部门，追究中标</w:t>
            </w:r>
            <w:r>
              <w:rPr>
                <w:rFonts w:hint="eastAsia" w:ascii="宋体" w:hAnsi="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lang w:eastAsia="en-US"/>
              </w:rPr>
              <w:t>责任并追偿损失。</w:t>
            </w:r>
          </w:p>
        </w:tc>
      </w:tr>
    </w:tbl>
    <w:p w14:paraId="1F1CCD99">
      <w:pPr>
        <w:rPr>
          <w:rFonts w:hint="eastAsia" w:ascii="宋体" w:hAnsi="宋体"/>
          <w:b/>
          <w:color w:val="auto"/>
          <w:sz w:val="24"/>
          <w:szCs w:val="24"/>
          <w:highlight w:val="none"/>
        </w:rPr>
      </w:pPr>
      <w:r>
        <w:rPr>
          <w:rFonts w:hint="eastAsia" w:ascii="宋体" w:hAnsi="宋体"/>
          <w:b/>
          <w:color w:val="auto"/>
          <w:sz w:val="24"/>
          <w:szCs w:val="24"/>
          <w:highlight w:val="none"/>
        </w:rPr>
        <w:br w:type="page"/>
      </w:r>
    </w:p>
    <w:p w14:paraId="198CF39D">
      <w:pPr>
        <w:spacing w:line="440" w:lineRule="exact"/>
        <w:jc w:val="left"/>
        <w:rPr>
          <w:rFonts w:hint="eastAsia" w:ascii="宋体" w:hAnsi="宋体"/>
          <w:b/>
          <w:color w:val="auto"/>
          <w:szCs w:val="21"/>
          <w:highlight w:val="none"/>
          <w:lang w:val="en-US" w:eastAsia="zh-CN"/>
        </w:rPr>
        <w:sectPr>
          <w:footerReference r:id="rId7" w:type="first"/>
          <w:footerReference r:id="rId6" w:type="default"/>
          <w:pgSz w:w="11906" w:h="16838"/>
          <w:pgMar w:top="1134" w:right="1247" w:bottom="1134" w:left="1247" w:header="737" w:footer="680" w:gutter="113"/>
          <w:pgNumType w:fmt="decimal"/>
          <w:cols w:space="720" w:num="1"/>
          <w:titlePg/>
          <w:docGrid w:linePitch="312" w:charSpace="0"/>
        </w:sectPr>
      </w:pPr>
    </w:p>
    <w:p w14:paraId="4CDDC8C3">
      <w:pPr>
        <w:numPr>
          <w:ilvl w:val="-1"/>
          <w:numId w:val="0"/>
        </w:numPr>
        <w:ind w:firstLine="384"/>
        <w:outlineLvl w:val="1"/>
        <w:rPr>
          <w:rFonts w:hint="eastAsia"/>
          <w:b/>
          <w:bCs/>
          <w:color w:val="auto"/>
          <w:sz w:val="32"/>
          <w:szCs w:val="32"/>
          <w:highlight w:val="none"/>
          <w:lang w:val="en-US" w:eastAsia="zh-CN"/>
        </w:rPr>
      </w:pPr>
      <w:bookmarkStart w:id="58" w:name="_Toc12430"/>
      <w:r>
        <w:rPr>
          <w:rFonts w:hint="eastAsia"/>
          <w:b/>
          <w:bCs/>
          <w:color w:val="auto"/>
          <w:sz w:val="32"/>
          <w:szCs w:val="32"/>
          <w:highlight w:val="none"/>
          <w:lang w:eastAsia="zh-CN"/>
        </w:rPr>
        <w:t>附件</w:t>
      </w:r>
      <w:r>
        <w:rPr>
          <w:rFonts w:hint="eastAsia"/>
          <w:b/>
          <w:bCs/>
          <w:color w:val="auto"/>
          <w:sz w:val="32"/>
          <w:szCs w:val="32"/>
          <w:highlight w:val="none"/>
          <w:lang w:val="en-US" w:eastAsia="zh-CN"/>
        </w:rPr>
        <w:t>1：</w:t>
      </w:r>
      <w:bookmarkEnd w:id="58"/>
    </w:p>
    <w:p w14:paraId="00038FF5">
      <w:pPr>
        <w:numPr>
          <w:ilvl w:val="-1"/>
          <w:numId w:val="0"/>
        </w:numPr>
        <w:ind w:firstLine="386"/>
        <w:jc w:val="center"/>
        <w:outlineLvl w:val="9"/>
        <w:rPr>
          <w:rFonts w:hint="eastAsia"/>
          <w:b/>
          <w:bCs/>
          <w:color w:val="auto"/>
          <w:sz w:val="32"/>
          <w:szCs w:val="32"/>
          <w:highlight w:val="none"/>
          <w:lang w:val="en-US" w:eastAsia="zh-CN"/>
        </w:rPr>
      </w:pPr>
      <w:r>
        <w:rPr>
          <w:rFonts w:hint="eastAsia"/>
          <w:b/>
          <w:bCs/>
          <w:color w:val="auto"/>
          <w:sz w:val="32"/>
          <w:szCs w:val="32"/>
          <w:highlight w:val="none"/>
          <w:lang w:val="en-US" w:eastAsia="zh-CN"/>
        </w:rPr>
        <w:t>人员要求</w:t>
      </w:r>
    </w:p>
    <w:p w14:paraId="0964B69F">
      <w:pPr>
        <w:widowControl/>
        <w:spacing w:line="360" w:lineRule="auto"/>
        <w:ind w:firstLine="480" w:firstLineChars="200"/>
        <w:jc w:val="left"/>
        <w:rPr>
          <w:rFonts w:ascii="宋体" w:hAnsi="宋体" w:cs="仿宋"/>
          <w:color w:val="auto"/>
          <w:kern w:val="0"/>
          <w:sz w:val="24"/>
          <w:highlight w:val="none"/>
          <w:lang w:val="zh-CN"/>
        </w:rPr>
      </w:pPr>
      <w:r>
        <w:rPr>
          <w:rFonts w:hint="eastAsia" w:ascii="宋体" w:hAnsi="宋体" w:cs="仿宋"/>
          <w:color w:val="auto"/>
          <w:kern w:val="0"/>
          <w:sz w:val="24"/>
          <w:highlight w:val="none"/>
          <w:lang w:val="zh-CN"/>
        </w:rPr>
        <w:t>包括项目管理团队、</w:t>
      </w:r>
      <w:r>
        <w:rPr>
          <w:rFonts w:hint="eastAsia" w:ascii="宋体" w:hAnsi="宋体" w:cs="仿宋"/>
          <w:color w:val="auto"/>
          <w:kern w:val="0"/>
          <w:sz w:val="24"/>
          <w:highlight w:val="none"/>
          <w:lang w:val="en-US" w:eastAsia="zh-CN"/>
        </w:rPr>
        <w:t>业务专家团队、项目实施团队和项目安全管理</w:t>
      </w:r>
      <w:r>
        <w:rPr>
          <w:rFonts w:hint="eastAsia" w:ascii="宋体" w:hAnsi="宋体" w:cs="仿宋"/>
          <w:color w:val="auto"/>
          <w:kern w:val="0"/>
          <w:sz w:val="24"/>
          <w:highlight w:val="none"/>
          <w:lang w:val="zh-CN"/>
        </w:rPr>
        <w:t>不少于</w:t>
      </w:r>
      <w:r>
        <w:rPr>
          <w:rFonts w:hint="eastAsia" w:ascii="宋体" w:hAnsi="宋体" w:cs="仿宋"/>
          <w:color w:val="auto"/>
          <w:kern w:val="0"/>
          <w:sz w:val="24"/>
          <w:highlight w:val="none"/>
          <w:lang w:val="en-US" w:eastAsia="zh-CN"/>
        </w:rPr>
        <w:t>106</w:t>
      </w:r>
      <w:r>
        <w:rPr>
          <w:rFonts w:hint="eastAsia" w:ascii="宋体" w:hAnsi="宋体" w:cs="仿宋"/>
          <w:color w:val="auto"/>
          <w:kern w:val="0"/>
          <w:sz w:val="24"/>
          <w:highlight w:val="none"/>
          <w:lang w:val="zh-CN"/>
        </w:rPr>
        <w:t>人，其中不少于</w:t>
      </w:r>
      <w:r>
        <w:rPr>
          <w:rFonts w:ascii="宋体" w:hAnsi="宋体" w:cs="仿宋"/>
          <w:color w:val="auto"/>
          <w:kern w:val="0"/>
          <w:sz w:val="24"/>
          <w:highlight w:val="none"/>
          <w:lang w:val="zh-CN"/>
        </w:rPr>
        <w:t>36</w:t>
      </w:r>
      <w:r>
        <w:rPr>
          <w:rFonts w:hint="eastAsia" w:ascii="宋体" w:hAnsi="宋体" w:cs="仿宋"/>
          <w:color w:val="auto"/>
          <w:kern w:val="0"/>
          <w:sz w:val="24"/>
          <w:highlight w:val="none"/>
          <w:lang w:val="zh-CN"/>
        </w:rPr>
        <w:t>人驻场一年，驻场人数中项目管理团队人员不少于</w:t>
      </w:r>
      <w:r>
        <w:rPr>
          <w:rFonts w:ascii="宋体" w:hAnsi="宋体" w:cs="仿宋"/>
          <w:color w:val="auto"/>
          <w:kern w:val="0"/>
          <w:sz w:val="24"/>
          <w:highlight w:val="none"/>
          <w:lang w:val="zh-CN"/>
        </w:rPr>
        <w:t>2</w:t>
      </w:r>
      <w:r>
        <w:rPr>
          <w:rFonts w:hint="eastAsia" w:ascii="宋体" w:hAnsi="宋体" w:cs="仿宋"/>
          <w:color w:val="auto"/>
          <w:kern w:val="0"/>
          <w:sz w:val="24"/>
          <w:highlight w:val="none"/>
          <w:lang w:val="zh-CN"/>
        </w:rPr>
        <w:t>人，项目实施团队人员不少于</w:t>
      </w:r>
      <w:r>
        <w:rPr>
          <w:rFonts w:ascii="宋体" w:hAnsi="宋体" w:cs="仿宋"/>
          <w:color w:val="auto"/>
          <w:kern w:val="0"/>
          <w:sz w:val="24"/>
          <w:highlight w:val="none"/>
          <w:lang w:val="zh-CN"/>
        </w:rPr>
        <w:t>34</w:t>
      </w:r>
      <w:r>
        <w:rPr>
          <w:rFonts w:hint="eastAsia" w:ascii="宋体" w:hAnsi="宋体" w:cs="仿宋"/>
          <w:color w:val="auto"/>
          <w:kern w:val="0"/>
          <w:sz w:val="24"/>
          <w:highlight w:val="none"/>
          <w:lang w:val="zh-CN"/>
        </w:rPr>
        <w:t>人，具体要求如下：</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1"/>
        <w:gridCol w:w="1197"/>
        <w:gridCol w:w="5148"/>
        <w:gridCol w:w="913"/>
        <w:gridCol w:w="1212"/>
      </w:tblGrid>
      <w:tr w14:paraId="6FED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54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E0C3B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人员团队</w:t>
            </w:r>
          </w:p>
        </w:tc>
        <w:tc>
          <w:tcPr>
            <w:tcW w:w="62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B5DD3C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岗位</w:t>
            </w:r>
          </w:p>
        </w:tc>
        <w:tc>
          <w:tcPr>
            <w:tcW w:w="2705" w:type="pct"/>
            <w:tcBorders>
              <w:top w:val="single" w:color="000000" w:sz="4" w:space="0"/>
              <w:left w:val="single" w:color="000000" w:sz="4" w:space="0"/>
              <w:bottom w:val="single" w:color="000000" w:sz="4" w:space="0"/>
              <w:right w:val="single" w:color="000000" w:sz="4" w:space="0"/>
            </w:tcBorders>
            <w:shd w:val="clear" w:color="auto" w:fill="D9D9D9"/>
            <w:vAlign w:val="top"/>
          </w:tcPr>
          <w:p w14:paraId="370B2F94">
            <w:pPr>
              <w:keepNext w:val="0"/>
              <w:keepLines w:val="0"/>
              <w:widowControl/>
              <w:suppressLineNumbers w:val="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职责</w:t>
            </w:r>
          </w:p>
        </w:tc>
        <w:tc>
          <w:tcPr>
            <w:tcW w:w="480" w:type="pct"/>
            <w:tcBorders>
              <w:top w:val="single" w:color="000000" w:sz="4" w:space="0"/>
              <w:left w:val="single" w:color="000000" w:sz="4" w:space="0"/>
              <w:bottom w:val="single" w:color="000000" w:sz="4" w:space="0"/>
              <w:right w:val="single" w:color="000000" w:sz="4" w:space="0"/>
            </w:tcBorders>
            <w:shd w:val="clear" w:color="auto" w:fill="D9D9D9"/>
            <w:vAlign w:val="top"/>
          </w:tcPr>
          <w:p w14:paraId="34C8C31C">
            <w:pPr>
              <w:keepNext w:val="0"/>
              <w:keepLines w:val="0"/>
              <w:widowControl/>
              <w:suppressLineNumbers w:val="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人数要求</w:t>
            </w:r>
          </w:p>
        </w:tc>
        <w:tc>
          <w:tcPr>
            <w:tcW w:w="637" w:type="pct"/>
            <w:tcBorders>
              <w:top w:val="single" w:color="000000" w:sz="4" w:space="0"/>
              <w:left w:val="single" w:color="000000" w:sz="4" w:space="0"/>
              <w:bottom w:val="single" w:color="000000" w:sz="4" w:space="0"/>
              <w:right w:val="single" w:color="000000" w:sz="4" w:space="0"/>
            </w:tcBorders>
            <w:shd w:val="clear" w:color="auto" w:fill="D9D9D9"/>
            <w:vAlign w:val="top"/>
          </w:tcPr>
          <w:p w14:paraId="721FAC37">
            <w:pPr>
              <w:keepNext w:val="0"/>
              <w:keepLines w:val="0"/>
              <w:widowControl/>
              <w:suppressLineNumbers w:val="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人员资格要求</w:t>
            </w:r>
          </w:p>
        </w:tc>
      </w:tr>
      <w:tr w14:paraId="31D3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restart"/>
            <w:tcBorders>
              <w:top w:val="single" w:color="000000" w:sz="4" w:space="0"/>
              <w:left w:val="single" w:color="000000" w:sz="4" w:space="0"/>
              <w:right w:val="single" w:color="000000" w:sz="4" w:space="0"/>
            </w:tcBorders>
            <w:shd w:val="clear" w:color="auto" w:fill="auto"/>
            <w:vAlign w:val="center"/>
          </w:tcPr>
          <w:p w14:paraId="29A03B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项目管理团队</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F5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项目负责人</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2E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统筹项目或阶段全流程，审核方案与报告，协调资源，把控项目进度、质量和风险。</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DD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4C70">
            <w:pPr>
              <w:jc w:val="center"/>
              <w:rPr>
                <w:rFonts w:hint="eastAsia" w:ascii="宋体" w:hAnsi="宋体" w:eastAsia="宋体" w:cs="宋体"/>
                <w:i w:val="0"/>
                <w:iCs w:val="0"/>
                <w:color w:val="auto"/>
                <w:sz w:val="21"/>
                <w:szCs w:val="21"/>
                <w:highlight w:val="none"/>
                <w:u w:val="none"/>
              </w:rPr>
            </w:pPr>
          </w:p>
        </w:tc>
      </w:tr>
      <w:tr w14:paraId="7D6D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left w:val="single" w:color="000000" w:sz="4" w:space="0"/>
              <w:bottom w:val="single" w:color="000000" w:sz="4" w:space="0"/>
              <w:right w:val="single" w:color="000000" w:sz="4" w:space="0"/>
            </w:tcBorders>
            <w:shd w:val="clear" w:color="auto" w:fill="auto"/>
            <w:vAlign w:val="center"/>
          </w:tcPr>
          <w:p w14:paraId="60C354F4">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83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阶段工作管理人</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1C0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制定项目计划，跟踪执行进度，协调跨团队协作，管理项目文档，进行项目质量保障（QA）。</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3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6291">
            <w:pPr>
              <w:jc w:val="center"/>
              <w:rPr>
                <w:rFonts w:hint="eastAsia" w:ascii="宋体" w:hAnsi="宋体" w:eastAsia="宋体" w:cs="宋体"/>
                <w:i w:val="0"/>
                <w:iCs w:val="0"/>
                <w:color w:val="auto"/>
                <w:sz w:val="21"/>
                <w:szCs w:val="21"/>
                <w:highlight w:val="none"/>
                <w:u w:val="none"/>
              </w:rPr>
            </w:pPr>
          </w:p>
        </w:tc>
      </w:tr>
      <w:tr w14:paraId="3524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2A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业务专家团队</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90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业务专家</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0BB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提供业务知识和场景指导，审核数据、特征、模型输出结果的业务合理性与关联性，定义业务优化方向。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3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DD1A">
            <w:pPr>
              <w:jc w:val="center"/>
              <w:rPr>
                <w:rFonts w:hint="eastAsia" w:ascii="宋体" w:hAnsi="宋体" w:eastAsia="宋体" w:cs="宋体"/>
                <w:i w:val="0"/>
                <w:iCs w:val="0"/>
                <w:color w:val="auto"/>
                <w:sz w:val="21"/>
                <w:szCs w:val="21"/>
                <w:highlight w:val="none"/>
                <w:u w:val="none"/>
              </w:rPr>
            </w:pPr>
          </w:p>
        </w:tc>
      </w:tr>
      <w:tr w14:paraId="52FD6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A1B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项目实施团队</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44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数据标注工程师</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F23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根据规范对手动数据进行高精度标注，参与一致性复核，执行标注优化与修正任务。</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21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6BAB">
            <w:pPr>
              <w:jc w:val="center"/>
              <w:rPr>
                <w:rFonts w:hint="eastAsia" w:ascii="宋体" w:hAnsi="宋体" w:eastAsia="宋体" w:cs="宋体"/>
                <w:i w:val="0"/>
                <w:iCs w:val="0"/>
                <w:color w:val="auto"/>
                <w:sz w:val="21"/>
                <w:szCs w:val="21"/>
                <w:highlight w:val="none"/>
                <w:u w:val="none"/>
              </w:rPr>
            </w:pPr>
          </w:p>
        </w:tc>
      </w:tr>
      <w:tr w14:paraId="7F702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F483B">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06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数据采集工程师</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E21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规划与执行数据采集、补采任务，负责多源数据对接、提取与数据生成，输出采集执行报告。</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F9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C6BC">
            <w:pPr>
              <w:jc w:val="center"/>
              <w:rPr>
                <w:rFonts w:hint="eastAsia" w:ascii="宋体" w:hAnsi="宋体" w:eastAsia="宋体" w:cs="宋体"/>
                <w:i w:val="0"/>
                <w:iCs w:val="0"/>
                <w:color w:val="auto"/>
                <w:sz w:val="21"/>
                <w:szCs w:val="21"/>
                <w:highlight w:val="none"/>
                <w:u w:val="none"/>
              </w:rPr>
            </w:pPr>
          </w:p>
        </w:tc>
      </w:tr>
      <w:tr w14:paraId="4A11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D032A">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38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数据处理工程师</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58B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负责数据的转换、清洗、验证、去重和聚合，处理多模态数据，执行数据预处理规范。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41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38F1">
            <w:pPr>
              <w:jc w:val="center"/>
              <w:rPr>
                <w:rFonts w:hint="eastAsia" w:ascii="宋体" w:hAnsi="宋体" w:eastAsia="宋体" w:cs="宋体"/>
                <w:i w:val="0"/>
                <w:iCs w:val="0"/>
                <w:color w:val="auto"/>
                <w:sz w:val="21"/>
                <w:szCs w:val="21"/>
                <w:highlight w:val="none"/>
                <w:u w:val="none"/>
              </w:rPr>
            </w:pPr>
          </w:p>
        </w:tc>
      </w:tr>
      <w:tr w14:paraId="3E83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85E37">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BF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质量评价及验证工程师</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680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针对数据、模型、知识的准确性、完整性、一致性进行验证和抽样核查，推动问题数据整改。</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79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B442">
            <w:pPr>
              <w:jc w:val="center"/>
              <w:rPr>
                <w:rFonts w:hint="eastAsia" w:ascii="宋体" w:hAnsi="宋体" w:eastAsia="宋体" w:cs="宋体"/>
                <w:i w:val="0"/>
                <w:iCs w:val="0"/>
                <w:color w:val="auto"/>
                <w:sz w:val="21"/>
                <w:szCs w:val="21"/>
                <w:highlight w:val="none"/>
                <w:u w:val="none"/>
              </w:rPr>
            </w:pPr>
          </w:p>
        </w:tc>
      </w:tr>
      <w:tr w14:paraId="0993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3BACE">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29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数据补采工程师</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3C5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负责数据缺口分析与定向补采，执行新旧数据的格式统一、对齐、去重和融合，更新数据血缘。</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22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AE38">
            <w:pPr>
              <w:jc w:val="center"/>
              <w:rPr>
                <w:rFonts w:hint="eastAsia" w:ascii="宋体" w:hAnsi="宋体" w:eastAsia="宋体" w:cs="宋体"/>
                <w:i w:val="0"/>
                <w:iCs w:val="0"/>
                <w:color w:val="auto"/>
                <w:sz w:val="21"/>
                <w:szCs w:val="21"/>
                <w:highlight w:val="none"/>
                <w:u w:val="none"/>
              </w:rPr>
            </w:pPr>
          </w:p>
        </w:tc>
      </w:tr>
      <w:tr w14:paraId="4A91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53BC4">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EF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高级数据科学家</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317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负责复杂特征的创建、筛选、增强与标准化，设计特征提取规则，验证特征有效性。</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77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7D9E">
            <w:pPr>
              <w:jc w:val="center"/>
              <w:rPr>
                <w:rFonts w:hint="eastAsia" w:ascii="宋体" w:hAnsi="宋体" w:eastAsia="宋体" w:cs="宋体"/>
                <w:i w:val="0"/>
                <w:iCs w:val="0"/>
                <w:color w:val="auto"/>
                <w:sz w:val="21"/>
                <w:szCs w:val="21"/>
                <w:highlight w:val="none"/>
                <w:u w:val="none"/>
              </w:rPr>
            </w:pPr>
          </w:p>
        </w:tc>
      </w:tr>
      <w:tr w14:paraId="21AA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62E17">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30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算法模型专家</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77C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负责模型训练、测试与性能分析，进行参数调整和模型适配，开发知识抽取自动化工具。</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5CB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283C">
            <w:pPr>
              <w:jc w:val="center"/>
              <w:rPr>
                <w:rFonts w:hint="eastAsia" w:ascii="宋体" w:hAnsi="宋体" w:eastAsia="宋体" w:cs="宋体"/>
                <w:i w:val="0"/>
                <w:iCs w:val="0"/>
                <w:color w:val="auto"/>
                <w:sz w:val="21"/>
                <w:szCs w:val="21"/>
                <w:highlight w:val="none"/>
                <w:u w:val="none"/>
              </w:rPr>
            </w:pPr>
          </w:p>
        </w:tc>
      </w:tr>
      <w:tr w14:paraId="4820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176D4">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8D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数据质量分析师</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B97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设计并执行数据质量指标评价，通过工具检测与抽样复核，定位数据质量问题并编制评价报告。</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08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22F0">
            <w:pPr>
              <w:jc w:val="center"/>
              <w:rPr>
                <w:rFonts w:hint="eastAsia" w:ascii="宋体" w:hAnsi="宋体" w:eastAsia="宋体" w:cs="宋体"/>
                <w:i w:val="0"/>
                <w:iCs w:val="0"/>
                <w:color w:val="auto"/>
                <w:sz w:val="21"/>
                <w:szCs w:val="21"/>
                <w:highlight w:val="none"/>
                <w:u w:val="none"/>
              </w:rPr>
            </w:pPr>
          </w:p>
        </w:tc>
      </w:tr>
      <w:tr w14:paraId="1989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A1B3">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31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知识工程师</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883B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主导思维链、知识图谱、知识库的结构设计与构建，开发知识抽取与融合规则。</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C6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81E1">
            <w:pPr>
              <w:jc w:val="center"/>
              <w:rPr>
                <w:rFonts w:hint="eastAsia" w:ascii="宋体" w:hAnsi="宋体" w:eastAsia="宋体" w:cs="宋体"/>
                <w:i w:val="0"/>
                <w:iCs w:val="0"/>
                <w:color w:val="auto"/>
                <w:sz w:val="21"/>
                <w:szCs w:val="21"/>
                <w:highlight w:val="none"/>
                <w:u w:val="none"/>
              </w:rPr>
            </w:pPr>
          </w:p>
        </w:tc>
      </w:tr>
      <w:tr w14:paraId="6502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D9424">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32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数据需求分析师</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D27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开展数据集质量分析、数据分布合理性评估，进行需求调研与管理，支撑提优决策。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69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759A">
            <w:pPr>
              <w:jc w:val="center"/>
              <w:rPr>
                <w:rFonts w:hint="eastAsia" w:ascii="宋体" w:hAnsi="宋体" w:eastAsia="宋体" w:cs="宋体"/>
                <w:i w:val="0"/>
                <w:iCs w:val="0"/>
                <w:color w:val="auto"/>
                <w:sz w:val="21"/>
                <w:szCs w:val="21"/>
                <w:highlight w:val="none"/>
                <w:u w:val="none"/>
              </w:rPr>
            </w:pPr>
          </w:p>
        </w:tc>
      </w:tr>
      <w:tr w14:paraId="72FF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5EDB1">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6B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数据架构师</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AD4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设计数据架构蓝图、存储和处理方案，确保系统扩展性、性能和技术规范性。</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CA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CDA2">
            <w:pPr>
              <w:jc w:val="center"/>
              <w:rPr>
                <w:rFonts w:hint="eastAsia" w:ascii="宋体" w:hAnsi="宋体" w:eastAsia="宋体" w:cs="宋体"/>
                <w:i w:val="0"/>
                <w:iCs w:val="0"/>
                <w:color w:val="auto"/>
                <w:sz w:val="21"/>
                <w:szCs w:val="21"/>
                <w:highlight w:val="none"/>
                <w:u w:val="none"/>
              </w:rPr>
            </w:pPr>
          </w:p>
        </w:tc>
      </w:tr>
      <w:tr w14:paraId="789F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412E1">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5A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数据模型设计师</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205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设计数据模型结构、元数据规范，负责多模态数据适配和数据标准化，确保数据资产的规范化。</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ED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C000">
            <w:pPr>
              <w:jc w:val="center"/>
              <w:rPr>
                <w:rFonts w:hint="eastAsia" w:ascii="宋体" w:hAnsi="宋体" w:eastAsia="宋体" w:cs="宋体"/>
                <w:i w:val="0"/>
                <w:iCs w:val="0"/>
                <w:color w:val="auto"/>
                <w:sz w:val="21"/>
                <w:szCs w:val="21"/>
                <w:highlight w:val="none"/>
                <w:u w:val="none"/>
              </w:rPr>
            </w:pPr>
          </w:p>
        </w:tc>
      </w:tr>
      <w:tr w14:paraId="7217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D950B">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B7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数据标注设计师</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969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负责《数据标注规范手册》的制定、优化与审核，设计标签字典和复杂场景标注规则。</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FD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7459">
            <w:pPr>
              <w:jc w:val="center"/>
              <w:rPr>
                <w:rFonts w:hint="eastAsia" w:ascii="宋体" w:hAnsi="宋体" w:eastAsia="宋体" w:cs="宋体"/>
                <w:i w:val="0"/>
                <w:iCs w:val="0"/>
                <w:color w:val="auto"/>
                <w:sz w:val="21"/>
                <w:szCs w:val="21"/>
                <w:highlight w:val="none"/>
                <w:u w:val="none"/>
              </w:rPr>
            </w:pPr>
          </w:p>
        </w:tc>
      </w:tr>
      <w:tr w14:paraId="7C51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586FE">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8B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数据服务工程师</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5B5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负责主题库的设计与构建，提供数据服务接口和支撑，确保数据资产的高效复用。</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5E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C6F8">
            <w:pPr>
              <w:jc w:val="center"/>
              <w:rPr>
                <w:rFonts w:hint="eastAsia" w:ascii="宋体" w:hAnsi="宋体" w:eastAsia="宋体" w:cs="宋体"/>
                <w:i w:val="0"/>
                <w:iCs w:val="0"/>
                <w:color w:val="auto"/>
                <w:sz w:val="21"/>
                <w:szCs w:val="21"/>
                <w:highlight w:val="none"/>
                <w:u w:val="none"/>
              </w:rPr>
            </w:pPr>
          </w:p>
        </w:tc>
      </w:tr>
      <w:tr w14:paraId="7B71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8EB9D">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F1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测试工程师</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D06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提供IT基础设施和系统集成支持，负责采集与模型验证过程中的技术支持和测试工作。</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23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C450">
            <w:pPr>
              <w:jc w:val="center"/>
              <w:rPr>
                <w:rFonts w:hint="eastAsia" w:ascii="宋体" w:hAnsi="宋体" w:eastAsia="宋体" w:cs="宋体"/>
                <w:i w:val="0"/>
                <w:iCs w:val="0"/>
                <w:color w:val="auto"/>
                <w:sz w:val="21"/>
                <w:szCs w:val="21"/>
                <w:highlight w:val="none"/>
                <w:u w:val="none"/>
              </w:rPr>
            </w:pPr>
          </w:p>
        </w:tc>
      </w:tr>
      <w:tr w14:paraId="6D26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00528">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74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知识库管理员</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3A7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负责知识库的日常管理、数据权限分配、知识去重与冲突检测，保障知识库稳定运行。</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D0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D8AB">
            <w:pPr>
              <w:jc w:val="center"/>
              <w:rPr>
                <w:rFonts w:hint="eastAsia" w:ascii="宋体" w:hAnsi="宋体" w:eastAsia="宋体" w:cs="宋体"/>
                <w:i w:val="0"/>
                <w:iCs w:val="0"/>
                <w:color w:val="auto"/>
                <w:sz w:val="21"/>
                <w:szCs w:val="21"/>
                <w:highlight w:val="none"/>
                <w:u w:val="none"/>
              </w:rPr>
            </w:pPr>
          </w:p>
        </w:tc>
      </w:tr>
      <w:tr w14:paraId="79AF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0DDDB">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6B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其他职能专家</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E97E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涵盖数据治理、自然语言处理（NLP）技术应用、智能体技术、数据成果交付等专项职能。</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36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AB24D">
            <w:pPr>
              <w:jc w:val="center"/>
              <w:rPr>
                <w:rFonts w:hint="eastAsia" w:ascii="宋体" w:hAnsi="宋体" w:eastAsia="宋体" w:cs="宋体"/>
                <w:i w:val="0"/>
                <w:iCs w:val="0"/>
                <w:color w:val="auto"/>
                <w:sz w:val="21"/>
                <w:szCs w:val="21"/>
                <w:highlight w:val="none"/>
                <w:u w:val="none"/>
              </w:rPr>
            </w:pPr>
          </w:p>
        </w:tc>
      </w:tr>
      <w:tr w14:paraId="700A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9DF1A">
            <w:pPr>
              <w:jc w:val="center"/>
              <w:rPr>
                <w:rFonts w:hint="eastAsia" w:ascii="宋体" w:hAnsi="宋体" w:eastAsia="宋体" w:cs="宋体"/>
                <w:i w:val="0"/>
                <w:iCs w:val="0"/>
                <w:color w:val="auto"/>
                <w:sz w:val="21"/>
                <w:szCs w:val="21"/>
                <w:highlight w:val="none"/>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FD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数据资产工程师</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BE7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负责制定和维护数据的标准、格式规范和元数据管理，确保数据资产的统一性。</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0A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2439">
            <w:pPr>
              <w:jc w:val="center"/>
              <w:rPr>
                <w:rFonts w:hint="eastAsia" w:ascii="宋体" w:hAnsi="宋体" w:eastAsia="宋体" w:cs="宋体"/>
                <w:i w:val="0"/>
                <w:iCs w:val="0"/>
                <w:color w:val="auto"/>
                <w:sz w:val="21"/>
                <w:szCs w:val="21"/>
                <w:highlight w:val="none"/>
                <w:u w:val="none"/>
              </w:rPr>
            </w:pPr>
          </w:p>
        </w:tc>
      </w:tr>
      <w:tr w14:paraId="2726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FB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项目安全管理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72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安全与合规专家</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312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负责项目全生命周期的数据合规性审查、敏感信息脱敏流程监控，确保数据安全与法律合规。</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F2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368C">
            <w:pPr>
              <w:jc w:val="center"/>
              <w:rPr>
                <w:rFonts w:hint="eastAsia" w:ascii="宋体" w:hAnsi="宋体" w:eastAsia="宋体" w:cs="宋体"/>
                <w:i w:val="0"/>
                <w:iCs w:val="0"/>
                <w:color w:val="auto"/>
                <w:sz w:val="21"/>
                <w:szCs w:val="21"/>
                <w:highlight w:val="none"/>
                <w:u w:val="none"/>
              </w:rPr>
            </w:pPr>
          </w:p>
        </w:tc>
      </w:tr>
      <w:tr w14:paraId="6F90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81" w:type="pct"/>
            <w:gridSpan w:val="3"/>
            <w:tcBorders>
              <w:top w:val="single" w:color="000000" w:sz="4" w:space="0"/>
              <w:left w:val="single" w:color="000000" w:sz="4" w:space="0"/>
              <w:bottom w:val="single" w:color="000000" w:sz="4" w:space="0"/>
              <w:right w:val="single" w:color="000000" w:sz="4" w:space="0"/>
            </w:tcBorders>
            <w:shd w:val="clear" w:color="auto" w:fill="F2F2F2"/>
            <w:vAlign w:val="center"/>
          </w:tcPr>
          <w:p w14:paraId="3DB8671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 计</w:t>
            </w:r>
          </w:p>
        </w:tc>
        <w:tc>
          <w:tcPr>
            <w:tcW w:w="480"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09DBDF4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106</w:t>
            </w:r>
          </w:p>
        </w:tc>
        <w:tc>
          <w:tcPr>
            <w:tcW w:w="637" w:type="pct"/>
            <w:tcBorders>
              <w:top w:val="single" w:color="000000" w:sz="4" w:space="0"/>
              <w:left w:val="single" w:color="000000" w:sz="4" w:space="0"/>
              <w:bottom w:val="single" w:color="000000" w:sz="4" w:space="0"/>
              <w:right w:val="single" w:color="000000" w:sz="4" w:space="0"/>
            </w:tcBorders>
            <w:shd w:val="clear" w:color="auto" w:fill="F2F2F2"/>
            <w:vAlign w:val="center"/>
          </w:tcPr>
          <w:p w14:paraId="0D455511">
            <w:pPr>
              <w:jc w:val="center"/>
              <w:rPr>
                <w:rFonts w:hint="eastAsia" w:ascii="宋体" w:hAnsi="宋体" w:eastAsia="宋体" w:cs="宋体"/>
                <w:b/>
                <w:bCs/>
                <w:i w:val="0"/>
                <w:iCs w:val="0"/>
                <w:color w:val="auto"/>
                <w:sz w:val="21"/>
                <w:szCs w:val="21"/>
                <w:highlight w:val="none"/>
                <w:u w:val="none"/>
              </w:rPr>
            </w:pPr>
          </w:p>
        </w:tc>
      </w:tr>
    </w:tbl>
    <w:p w14:paraId="35F1D8C9">
      <w:pPr>
        <w:numPr>
          <w:ilvl w:val="-1"/>
          <w:numId w:val="0"/>
        </w:numPr>
        <w:outlineLvl w:val="9"/>
        <w:rPr>
          <w:rFonts w:hint="eastAsia"/>
          <w:b/>
          <w:bCs/>
          <w:color w:val="auto"/>
          <w:sz w:val="32"/>
          <w:szCs w:val="32"/>
          <w:highlight w:val="none"/>
          <w:lang w:eastAsia="zh-CN"/>
        </w:rPr>
        <w:sectPr>
          <w:pgSz w:w="11906" w:h="16838"/>
          <w:pgMar w:top="1134" w:right="1247" w:bottom="1134" w:left="1247" w:header="737" w:footer="680" w:gutter="113"/>
          <w:pgNumType w:fmt="decimal"/>
          <w:cols w:space="720" w:num="1"/>
          <w:titlePg/>
          <w:docGrid w:linePitch="312" w:charSpace="0"/>
        </w:sectPr>
      </w:pPr>
    </w:p>
    <w:p w14:paraId="27E77707">
      <w:pPr>
        <w:numPr>
          <w:ilvl w:val="-1"/>
          <w:numId w:val="0"/>
        </w:numPr>
        <w:outlineLvl w:val="0"/>
        <w:rPr>
          <w:rFonts w:hint="eastAsia"/>
          <w:b/>
          <w:bCs/>
          <w:color w:val="auto"/>
          <w:sz w:val="32"/>
          <w:szCs w:val="32"/>
          <w:highlight w:val="none"/>
          <w:lang w:val="en-US" w:eastAsia="zh-CN"/>
        </w:rPr>
      </w:pPr>
      <w:bookmarkStart w:id="59" w:name="_Toc32173"/>
      <w:r>
        <w:rPr>
          <w:rFonts w:hint="eastAsia"/>
          <w:b/>
          <w:bCs/>
          <w:color w:val="auto"/>
          <w:sz w:val="32"/>
          <w:szCs w:val="32"/>
          <w:highlight w:val="none"/>
          <w:lang w:eastAsia="zh-CN"/>
        </w:rPr>
        <w:t>附件</w:t>
      </w:r>
      <w:r>
        <w:rPr>
          <w:rFonts w:hint="eastAsia"/>
          <w:b/>
          <w:bCs/>
          <w:color w:val="auto"/>
          <w:sz w:val="32"/>
          <w:szCs w:val="32"/>
          <w:highlight w:val="none"/>
          <w:lang w:val="en-US" w:eastAsia="zh-CN"/>
        </w:rPr>
        <w:t>2：</w:t>
      </w:r>
      <w:bookmarkEnd w:id="59"/>
    </w:p>
    <w:p w14:paraId="32BFBC92">
      <w:pPr>
        <w:numPr>
          <w:ilvl w:val="-1"/>
          <w:numId w:val="0"/>
        </w:numPr>
        <w:jc w:val="center"/>
        <w:outlineLvl w:val="9"/>
        <w:rPr>
          <w:rFonts w:hint="eastAsia"/>
          <w:b/>
          <w:bCs/>
          <w:color w:val="auto"/>
          <w:sz w:val="32"/>
          <w:szCs w:val="32"/>
          <w:highlight w:val="none"/>
          <w:lang w:val="en-US" w:eastAsia="zh-CN"/>
        </w:rPr>
      </w:pPr>
      <w:r>
        <w:rPr>
          <w:rFonts w:hint="eastAsia"/>
          <w:b/>
          <w:bCs/>
          <w:color w:val="auto"/>
          <w:sz w:val="32"/>
          <w:szCs w:val="32"/>
          <w:highlight w:val="none"/>
          <w:lang w:val="en-US" w:eastAsia="zh-CN"/>
        </w:rPr>
        <w:t>WLYMFDBC服务考核标准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371"/>
        <w:gridCol w:w="1900"/>
        <w:gridCol w:w="930"/>
        <w:gridCol w:w="1780"/>
        <w:gridCol w:w="709"/>
        <w:gridCol w:w="2003"/>
      </w:tblGrid>
      <w:tr w14:paraId="269B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22" w:type="dxa"/>
            <w:vAlign w:val="center"/>
          </w:tcPr>
          <w:p w14:paraId="4AE76261">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371" w:type="dxa"/>
            <w:vAlign w:val="center"/>
          </w:tcPr>
          <w:p w14:paraId="11748505">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指标名称</w:t>
            </w:r>
          </w:p>
        </w:tc>
        <w:tc>
          <w:tcPr>
            <w:tcW w:w="1900" w:type="dxa"/>
            <w:vAlign w:val="center"/>
          </w:tcPr>
          <w:p w14:paraId="08DE70DC">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指标说明</w:t>
            </w:r>
          </w:p>
        </w:tc>
        <w:tc>
          <w:tcPr>
            <w:tcW w:w="930" w:type="dxa"/>
            <w:vAlign w:val="center"/>
          </w:tcPr>
          <w:p w14:paraId="588EEA2F">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目标值</w:t>
            </w:r>
          </w:p>
        </w:tc>
        <w:tc>
          <w:tcPr>
            <w:tcW w:w="1780" w:type="dxa"/>
            <w:vAlign w:val="center"/>
          </w:tcPr>
          <w:p w14:paraId="7340B903">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计算方式</w:t>
            </w:r>
          </w:p>
        </w:tc>
        <w:tc>
          <w:tcPr>
            <w:tcW w:w="709" w:type="dxa"/>
            <w:vAlign w:val="center"/>
          </w:tcPr>
          <w:p w14:paraId="15745B15">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得分</w:t>
            </w:r>
          </w:p>
        </w:tc>
        <w:tc>
          <w:tcPr>
            <w:tcW w:w="2003" w:type="dxa"/>
            <w:vAlign w:val="center"/>
          </w:tcPr>
          <w:p w14:paraId="546E6265">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得分说明</w:t>
            </w:r>
          </w:p>
        </w:tc>
      </w:tr>
      <w:tr w14:paraId="6D71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22" w:type="dxa"/>
            <w:vAlign w:val="center"/>
          </w:tcPr>
          <w:p w14:paraId="57374788">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1371" w:type="dxa"/>
            <w:vAlign w:val="center"/>
          </w:tcPr>
          <w:p w14:paraId="1FD6E4B1">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派驻人员、拨测设备及流量卡</w:t>
            </w:r>
          </w:p>
        </w:tc>
        <w:tc>
          <w:tcPr>
            <w:tcW w:w="1900" w:type="dxa"/>
            <w:vAlign w:val="center"/>
          </w:tcPr>
          <w:p w14:paraId="049A6626">
            <w:pPr>
              <w:keepNext w:val="0"/>
              <w:keepLines w:val="0"/>
              <w:widowControl/>
              <w:suppressLineNumbers w:val="0"/>
              <w:jc w:val="both"/>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满足采购需求各项指标。</w:t>
            </w:r>
          </w:p>
        </w:tc>
        <w:tc>
          <w:tcPr>
            <w:tcW w:w="930" w:type="dxa"/>
            <w:vAlign w:val="center"/>
          </w:tcPr>
          <w:p w14:paraId="5D8725DE">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100%</w:t>
            </w:r>
          </w:p>
        </w:tc>
        <w:tc>
          <w:tcPr>
            <w:tcW w:w="1780" w:type="dxa"/>
            <w:vAlign w:val="center"/>
          </w:tcPr>
          <w:p w14:paraId="0A537811">
            <w:pPr>
              <w:keepNext w:val="0"/>
              <w:keepLines w:val="0"/>
              <w:widowControl/>
              <w:suppressLineNumbers w:val="0"/>
              <w:jc w:val="left"/>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达成目标得 20 分，不满足则不得分</w:t>
            </w:r>
          </w:p>
        </w:tc>
        <w:tc>
          <w:tcPr>
            <w:tcW w:w="709" w:type="dxa"/>
            <w:vAlign w:val="center"/>
          </w:tcPr>
          <w:p w14:paraId="311842CB">
            <w:pPr>
              <w:jc w:val="center"/>
              <w:rPr>
                <w:rFonts w:hint="default"/>
                <w:b/>
                <w:bCs/>
                <w:color w:val="auto"/>
                <w:sz w:val="21"/>
                <w:szCs w:val="21"/>
                <w:highlight w:val="none"/>
                <w:vertAlign w:val="baseline"/>
                <w:lang w:val="en-US" w:eastAsia="zh-CN"/>
              </w:rPr>
            </w:pPr>
          </w:p>
        </w:tc>
        <w:tc>
          <w:tcPr>
            <w:tcW w:w="2003" w:type="dxa"/>
            <w:vMerge w:val="restart"/>
            <w:vAlign w:val="center"/>
          </w:tcPr>
          <w:p w14:paraId="70A80E2D">
            <w:pPr>
              <w:keepNext w:val="0"/>
              <w:keepLines w:val="0"/>
              <w:widowControl/>
              <w:suppressLineNumbers w:val="0"/>
              <w:jc w:val="both"/>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采购人根据成交供应商拨测服务考核各项指标合计评价得分，按合同价中拨测服务相应金额款项支付。总分为100分：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不满足第1项不支付后续合同款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2.（90≤拨测服务评价得分≤100），70% * 合同金额 * 100%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3.（80≤拨测服务评价得分&lt;90），70% * 合同金额 * 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4.（70≤拨测服务评价得分&lt;80），70% * 合同金额 * 60%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5.（拨测服务评价得分&lt;70），70% * 合同款 * 50%</w:t>
            </w:r>
          </w:p>
        </w:tc>
      </w:tr>
      <w:tr w14:paraId="4557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822" w:type="dxa"/>
            <w:vAlign w:val="center"/>
          </w:tcPr>
          <w:p w14:paraId="0B7CF205">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1371" w:type="dxa"/>
            <w:vAlign w:val="center"/>
          </w:tcPr>
          <w:p w14:paraId="52C41322">
            <w:pPr>
              <w:keepNext w:val="0"/>
              <w:keepLines w:val="0"/>
              <w:widowControl/>
              <w:suppressLineNumbers w:val="0"/>
              <w:jc w:val="left"/>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拨测任务完成率</w:t>
            </w:r>
          </w:p>
        </w:tc>
        <w:tc>
          <w:tcPr>
            <w:tcW w:w="1900" w:type="dxa"/>
            <w:vAlign w:val="center"/>
          </w:tcPr>
          <w:p w14:paraId="069496B4">
            <w:pPr>
              <w:keepNext w:val="0"/>
              <w:keepLines w:val="0"/>
              <w:widowControl/>
              <w:suppressLineNumbers w:val="0"/>
              <w:jc w:val="both"/>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完成拨测任务：在</w:t>
            </w:r>
            <w:r>
              <w:rPr>
                <w:rFonts w:hint="eastAsia" w:ascii="宋体" w:hAnsi="宋体" w:cs="宋体"/>
                <w:i w:val="0"/>
                <w:iCs w:val="0"/>
                <w:color w:val="auto"/>
                <w:kern w:val="0"/>
                <w:sz w:val="21"/>
                <w:szCs w:val="21"/>
                <w:highlight w:val="none"/>
                <w:u w:val="none"/>
                <w:lang w:val="en-US" w:eastAsia="zh-CN" w:bidi="ar"/>
              </w:rPr>
              <w:t>当</w:t>
            </w:r>
            <w:r>
              <w:rPr>
                <w:rFonts w:hint="eastAsia" w:ascii="宋体" w:hAnsi="宋体" w:eastAsia="宋体" w:cs="宋体"/>
                <w:i w:val="0"/>
                <w:iCs w:val="0"/>
                <w:color w:val="auto"/>
                <w:kern w:val="0"/>
                <w:sz w:val="21"/>
                <w:szCs w:val="21"/>
                <w:highlight w:val="none"/>
                <w:u w:val="none"/>
                <w:lang w:val="en-US" w:eastAsia="zh-CN" w:bidi="ar"/>
              </w:rPr>
              <w:t>日</w:t>
            </w:r>
            <w:r>
              <w:rPr>
                <w:rFonts w:hint="eastAsia" w:ascii="宋体" w:hAnsi="宋体" w:cs="宋体"/>
                <w:i w:val="0"/>
                <w:iCs w:val="0"/>
                <w:color w:val="auto"/>
                <w:kern w:val="0"/>
                <w:sz w:val="21"/>
                <w:szCs w:val="21"/>
                <w:highlight w:val="none"/>
                <w:u w:val="none"/>
                <w:lang w:val="en-US" w:eastAsia="zh-CN" w:bidi="ar"/>
              </w:rPr>
              <w:t>23</w:t>
            </w:r>
            <w:r>
              <w:rPr>
                <w:rFonts w:hint="eastAsia" w:ascii="宋体" w:hAnsi="宋体" w:eastAsia="宋体" w:cs="宋体"/>
                <w:i w:val="0"/>
                <w:iCs w:val="0"/>
                <w:color w:val="auto"/>
                <w:kern w:val="0"/>
                <w:sz w:val="21"/>
                <w:szCs w:val="21"/>
                <w:highlight w:val="none"/>
                <w:u w:val="none"/>
                <w:lang w:val="en-US" w:eastAsia="zh-CN" w:bidi="ar"/>
              </w:rPr>
              <w:t>点前，完成前一日17点前所有下达封堵任务（不多于20万）的拨测任务。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(完成拨测任务天数/总天数) * 100%</w:t>
            </w:r>
          </w:p>
        </w:tc>
        <w:tc>
          <w:tcPr>
            <w:tcW w:w="930" w:type="dxa"/>
            <w:vAlign w:val="center"/>
          </w:tcPr>
          <w:p w14:paraId="21039F92">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95%</w:t>
            </w:r>
          </w:p>
        </w:tc>
        <w:tc>
          <w:tcPr>
            <w:tcW w:w="1780" w:type="dxa"/>
            <w:vAlign w:val="center"/>
          </w:tcPr>
          <w:p w14:paraId="2011EF52">
            <w:pPr>
              <w:keepNext w:val="0"/>
              <w:keepLines w:val="0"/>
              <w:widowControl/>
              <w:suppressLineNumbers w:val="0"/>
              <w:jc w:val="left"/>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达成目标得 20 分，每低 5% 扣 2 分，扣完为止。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结果向下按5的倍数对齐，如：测试结果为 93%，则该项算作 90%。</w:t>
            </w:r>
          </w:p>
        </w:tc>
        <w:tc>
          <w:tcPr>
            <w:tcW w:w="709" w:type="dxa"/>
            <w:vAlign w:val="center"/>
          </w:tcPr>
          <w:p w14:paraId="4E9BDE03">
            <w:pPr>
              <w:rPr>
                <w:rFonts w:hint="default"/>
                <w:b/>
                <w:bCs/>
                <w:color w:val="auto"/>
                <w:sz w:val="21"/>
                <w:szCs w:val="21"/>
                <w:highlight w:val="none"/>
                <w:vertAlign w:val="baseline"/>
                <w:lang w:val="en-US" w:eastAsia="zh-CN"/>
              </w:rPr>
            </w:pPr>
          </w:p>
        </w:tc>
        <w:tc>
          <w:tcPr>
            <w:tcW w:w="2003" w:type="dxa"/>
            <w:vMerge w:val="continue"/>
            <w:vAlign w:val="center"/>
          </w:tcPr>
          <w:p w14:paraId="1D0F2777">
            <w:pPr>
              <w:jc w:val="both"/>
              <w:rPr>
                <w:rFonts w:hint="default"/>
                <w:b/>
                <w:bCs/>
                <w:color w:val="auto"/>
                <w:sz w:val="21"/>
                <w:szCs w:val="21"/>
                <w:highlight w:val="none"/>
                <w:vertAlign w:val="baseline"/>
                <w:lang w:val="en-US" w:eastAsia="zh-CN"/>
              </w:rPr>
            </w:pPr>
          </w:p>
        </w:tc>
      </w:tr>
      <w:tr w14:paraId="1492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822" w:type="dxa"/>
            <w:vAlign w:val="center"/>
          </w:tcPr>
          <w:p w14:paraId="5C102862">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1371" w:type="dxa"/>
            <w:vAlign w:val="center"/>
          </w:tcPr>
          <w:p w14:paraId="3690EB96">
            <w:pPr>
              <w:keepNext w:val="0"/>
              <w:keepLines w:val="0"/>
              <w:widowControl/>
              <w:suppressLineNumbers w:val="0"/>
              <w:jc w:val="left"/>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拨测结果准确率</w:t>
            </w:r>
          </w:p>
        </w:tc>
        <w:tc>
          <w:tcPr>
            <w:tcW w:w="1900" w:type="dxa"/>
            <w:vAlign w:val="center"/>
          </w:tcPr>
          <w:p w14:paraId="0F3CE919">
            <w:pPr>
              <w:keepNext w:val="0"/>
              <w:keepLines w:val="0"/>
              <w:widowControl/>
              <w:suppressLineNumbers w:val="0"/>
              <w:jc w:val="both"/>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对域名 “已封堵 / 未封堵” 状态的判断，每个季度在相同时间段和网络环境下抽取100条，人工复核结果一致。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(复核结果一致条数/100) * 100%</w:t>
            </w:r>
          </w:p>
        </w:tc>
        <w:tc>
          <w:tcPr>
            <w:tcW w:w="930" w:type="dxa"/>
            <w:vAlign w:val="center"/>
          </w:tcPr>
          <w:p w14:paraId="01E2ADE7">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9</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w:t>
            </w:r>
          </w:p>
        </w:tc>
        <w:tc>
          <w:tcPr>
            <w:tcW w:w="1780" w:type="dxa"/>
            <w:vAlign w:val="center"/>
          </w:tcPr>
          <w:p w14:paraId="0A857CC6">
            <w:pPr>
              <w:keepNext w:val="0"/>
              <w:keepLines w:val="0"/>
              <w:widowControl/>
              <w:suppressLineNumbers w:val="0"/>
              <w:jc w:val="left"/>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达成目标得</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0分，每低5%扣2分，扣完为止。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结果向下按5的倍数对齐，如：测试结果为 93%，则该项算作 90%。</w:t>
            </w:r>
          </w:p>
        </w:tc>
        <w:tc>
          <w:tcPr>
            <w:tcW w:w="709" w:type="dxa"/>
          </w:tcPr>
          <w:p w14:paraId="67F2813F">
            <w:pPr>
              <w:numPr>
                <w:ilvl w:val="-1"/>
                <w:numId w:val="0"/>
              </w:numPr>
              <w:outlineLvl w:val="9"/>
              <w:rPr>
                <w:rFonts w:hint="default"/>
                <w:b/>
                <w:bCs/>
                <w:color w:val="auto"/>
                <w:sz w:val="21"/>
                <w:szCs w:val="21"/>
                <w:highlight w:val="none"/>
                <w:vertAlign w:val="baseline"/>
                <w:lang w:val="en-US" w:eastAsia="zh-CN"/>
              </w:rPr>
            </w:pPr>
          </w:p>
        </w:tc>
        <w:tc>
          <w:tcPr>
            <w:tcW w:w="2003" w:type="dxa"/>
            <w:vMerge w:val="continue"/>
          </w:tcPr>
          <w:p w14:paraId="0CCB120C">
            <w:pPr>
              <w:numPr>
                <w:ilvl w:val="-1"/>
                <w:numId w:val="0"/>
              </w:numPr>
              <w:outlineLvl w:val="9"/>
              <w:rPr>
                <w:rFonts w:hint="default"/>
                <w:b/>
                <w:bCs/>
                <w:color w:val="auto"/>
                <w:sz w:val="21"/>
                <w:szCs w:val="21"/>
                <w:highlight w:val="none"/>
                <w:vertAlign w:val="baseline"/>
                <w:lang w:val="en-US" w:eastAsia="zh-CN"/>
              </w:rPr>
            </w:pPr>
          </w:p>
        </w:tc>
      </w:tr>
      <w:tr w14:paraId="4000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822" w:type="dxa"/>
            <w:vAlign w:val="center"/>
          </w:tcPr>
          <w:p w14:paraId="3DC2DF2A">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1371" w:type="dxa"/>
            <w:vAlign w:val="center"/>
          </w:tcPr>
          <w:p w14:paraId="3C4055DE">
            <w:pPr>
              <w:keepNext w:val="0"/>
              <w:keepLines w:val="0"/>
              <w:widowControl/>
              <w:suppressLineNumbers w:val="0"/>
              <w:jc w:val="left"/>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拨测频率及时率</w:t>
            </w:r>
          </w:p>
        </w:tc>
        <w:tc>
          <w:tcPr>
            <w:tcW w:w="1900" w:type="dxa"/>
            <w:vAlign w:val="center"/>
          </w:tcPr>
          <w:p w14:paraId="0CD6FDFD">
            <w:pPr>
              <w:keepNext w:val="0"/>
              <w:keepLines w:val="0"/>
              <w:widowControl/>
              <w:suppressLineNumbers w:val="0"/>
              <w:jc w:val="both"/>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按预设频率下达封堵后，在</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小时内进行首次拨测。抽取100条，检查下达封堵/拨测时间和完成拨测时间是否小于5小时。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((拨测时间&gt;5小时条数)/100) * 100%</w:t>
            </w:r>
          </w:p>
        </w:tc>
        <w:tc>
          <w:tcPr>
            <w:tcW w:w="930" w:type="dxa"/>
            <w:vAlign w:val="center"/>
          </w:tcPr>
          <w:p w14:paraId="2B30DCD9">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9</w:t>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w:t>
            </w:r>
          </w:p>
        </w:tc>
        <w:tc>
          <w:tcPr>
            <w:tcW w:w="1780" w:type="dxa"/>
            <w:vAlign w:val="center"/>
          </w:tcPr>
          <w:p w14:paraId="78838F01">
            <w:pPr>
              <w:keepNext w:val="0"/>
              <w:keepLines w:val="0"/>
              <w:widowControl/>
              <w:suppressLineNumbers w:val="0"/>
              <w:jc w:val="left"/>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达成目标得 20 分，每低 5% 扣 2 分，扣完为止。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结果向下按5的倍数对齐，如：测试结果为 93%，则该项算作 90%。</w:t>
            </w:r>
          </w:p>
        </w:tc>
        <w:tc>
          <w:tcPr>
            <w:tcW w:w="709" w:type="dxa"/>
          </w:tcPr>
          <w:p w14:paraId="4C8B6AB4">
            <w:pPr>
              <w:numPr>
                <w:ilvl w:val="-1"/>
                <w:numId w:val="0"/>
              </w:numPr>
              <w:outlineLvl w:val="9"/>
              <w:rPr>
                <w:rFonts w:hint="default"/>
                <w:b/>
                <w:bCs/>
                <w:color w:val="auto"/>
                <w:sz w:val="21"/>
                <w:szCs w:val="21"/>
                <w:highlight w:val="none"/>
                <w:vertAlign w:val="baseline"/>
                <w:lang w:val="en-US" w:eastAsia="zh-CN"/>
              </w:rPr>
            </w:pPr>
          </w:p>
        </w:tc>
        <w:tc>
          <w:tcPr>
            <w:tcW w:w="2003" w:type="dxa"/>
            <w:vMerge w:val="continue"/>
          </w:tcPr>
          <w:p w14:paraId="30F3044F">
            <w:pPr>
              <w:numPr>
                <w:ilvl w:val="-1"/>
                <w:numId w:val="0"/>
              </w:numPr>
              <w:outlineLvl w:val="9"/>
              <w:rPr>
                <w:rFonts w:hint="default"/>
                <w:b/>
                <w:bCs/>
                <w:color w:val="auto"/>
                <w:sz w:val="21"/>
                <w:szCs w:val="21"/>
                <w:highlight w:val="none"/>
                <w:vertAlign w:val="baseline"/>
                <w:lang w:val="en-US" w:eastAsia="zh-CN"/>
              </w:rPr>
            </w:pPr>
          </w:p>
        </w:tc>
      </w:tr>
      <w:tr w14:paraId="0E29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822" w:type="dxa"/>
            <w:vAlign w:val="center"/>
          </w:tcPr>
          <w:p w14:paraId="5701D0C1">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1371" w:type="dxa"/>
            <w:vAlign w:val="center"/>
          </w:tcPr>
          <w:p w14:paraId="18F39844">
            <w:pPr>
              <w:keepNext w:val="0"/>
              <w:keepLines w:val="0"/>
              <w:widowControl/>
              <w:suppressLineNumbers w:val="0"/>
              <w:jc w:val="left"/>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累计拨测条数达标率</w:t>
            </w:r>
          </w:p>
        </w:tc>
        <w:tc>
          <w:tcPr>
            <w:tcW w:w="1900" w:type="dxa"/>
            <w:vAlign w:val="center"/>
          </w:tcPr>
          <w:p w14:paraId="3562009D">
            <w:pPr>
              <w:keepNext w:val="0"/>
              <w:keepLines w:val="0"/>
              <w:widowControl/>
              <w:suppressLineNumbers w:val="0"/>
              <w:jc w:val="both"/>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按每日下达拨测任务1</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万条计算，移网、固网共8个通道即需测试1</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万x8＝</w:t>
            </w:r>
            <w:r>
              <w:rPr>
                <w:rFonts w:hint="eastAsia" w:ascii="宋体" w:hAnsi="宋体" w:cs="宋体"/>
                <w:i w:val="0"/>
                <w:iCs w:val="0"/>
                <w:color w:val="auto"/>
                <w:kern w:val="0"/>
                <w:sz w:val="21"/>
                <w:szCs w:val="21"/>
                <w:highlight w:val="none"/>
                <w:u w:val="none"/>
                <w:lang w:val="en-US" w:eastAsia="zh-CN" w:bidi="ar"/>
              </w:rPr>
              <w:t>120</w:t>
            </w:r>
            <w:r>
              <w:rPr>
                <w:rFonts w:hint="eastAsia" w:ascii="宋体" w:hAnsi="宋体" w:eastAsia="宋体" w:cs="宋体"/>
                <w:i w:val="0"/>
                <w:iCs w:val="0"/>
                <w:color w:val="auto"/>
                <w:kern w:val="0"/>
                <w:sz w:val="21"/>
                <w:szCs w:val="21"/>
                <w:highlight w:val="none"/>
                <w:u w:val="none"/>
                <w:lang w:val="en-US" w:eastAsia="zh-CN" w:bidi="ar"/>
              </w:rPr>
              <w:t>万条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抽查单个地市在7个月拨测总数不低于</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52</w:t>
            </w:r>
            <w:r>
              <w:rPr>
                <w:rFonts w:hint="eastAsia" w:ascii="宋体" w:hAnsi="宋体" w:eastAsia="宋体" w:cs="宋体"/>
                <w:i w:val="0"/>
                <w:iCs w:val="0"/>
                <w:color w:val="auto"/>
                <w:kern w:val="0"/>
                <w:sz w:val="21"/>
                <w:szCs w:val="21"/>
                <w:highlight w:val="none"/>
                <w:u w:val="none"/>
                <w:lang w:val="en-US" w:eastAsia="zh-CN" w:bidi="ar"/>
              </w:rPr>
              <w:t>亿条</w:t>
            </w:r>
            <w:r>
              <w:rPr>
                <w:rFonts w:hint="eastAsia" w:ascii="宋体" w:hAnsi="宋体" w:cs="宋体"/>
                <w:i w:val="0"/>
                <w:iCs w:val="0"/>
                <w:color w:val="auto"/>
                <w:kern w:val="0"/>
                <w:sz w:val="21"/>
                <w:szCs w:val="21"/>
                <w:highlight w:val="none"/>
                <w:u w:val="none"/>
                <w:lang w:val="en-US" w:eastAsia="zh-CN" w:bidi="ar"/>
              </w:rPr>
              <w:t>。</w:t>
            </w:r>
          </w:p>
        </w:tc>
        <w:tc>
          <w:tcPr>
            <w:tcW w:w="930" w:type="dxa"/>
            <w:vAlign w:val="center"/>
          </w:tcPr>
          <w:p w14:paraId="6B0B9FEB">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52</w:t>
            </w:r>
            <w:r>
              <w:rPr>
                <w:rFonts w:hint="eastAsia" w:ascii="宋体" w:hAnsi="宋体" w:eastAsia="宋体" w:cs="宋体"/>
                <w:i w:val="0"/>
                <w:iCs w:val="0"/>
                <w:color w:val="auto"/>
                <w:kern w:val="0"/>
                <w:sz w:val="21"/>
                <w:szCs w:val="21"/>
                <w:highlight w:val="none"/>
                <w:u w:val="none"/>
                <w:lang w:val="en-US" w:eastAsia="zh-CN" w:bidi="ar"/>
              </w:rPr>
              <w:t>亿</w:t>
            </w:r>
          </w:p>
        </w:tc>
        <w:tc>
          <w:tcPr>
            <w:tcW w:w="1780" w:type="dxa"/>
            <w:vAlign w:val="center"/>
          </w:tcPr>
          <w:p w14:paraId="34DD5488">
            <w:pPr>
              <w:keepNext w:val="0"/>
              <w:keepLines w:val="0"/>
              <w:widowControl/>
              <w:suppressLineNumbers w:val="0"/>
              <w:jc w:val="left"/>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达成</w:t>
            </w:r>
            <w:r>
              <w:rPr>
                <w:rFonts w:hint="eastAsia" w:ascii="宋体" w:hAnsi="宋体" w:cs="宋体"/>
                <w:i w:val="0"/>
                <w:iCs w:val="0"/>
                <w:color w:val="auto"/>
                <w:kern w:val="0"/>
                <w:sz w:val="21"/>
                <w:szCs w:val="21"/>
                <w:highlight w:val="none"/>
                <w:u w:val="none"/>
                <w:lang w:val="en-US" w:eastAsia="zh-CN" w:bidi="ar"/>
              </w:rPr>
              <w:t>实际下达任务数的100%</w:t>
            </w:r>
            <w:r>
              <w:rPr>
                <w:rFonts w:hint="eastAsia" w:ascii="宋体" w:hAnsi="宋体" w:eastAsia="宋体" w:cs="宋体"/>
                <w:i w:val="0"/>
                <w:iCs w:val="0"/>
                <w:color w:val="auto"/>
                <w:kern w:val="0"/>
                <w:sz w:val="21"/>
                <w:szCs w:val="21"/>
                <w:highlight w:val="none"/>
                <w:u w:val="none"/>
                <w:lang w:val="en-US" w:eastAsia="zh-CN" w:bidi="ar"/>
              </w:rPr>
              <w:t>得 10 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每低</w:t>
            </w:r>
            <w:r>
              <w:rPr>
                <w:rFonts w:hint="eastAsia" w:ascii="宋体" w:hAnsi="宋体" w:cs="宋体"/>
                <w:i w:val="0"/>
                <w:iCs w:val="0"/>
                <w:color w:val="auto"/>
                <w:kern w:val="0"/>
                <w:sz w:val="21"/>
                <w:szCs w:val="21"/>
                <w:highlight w:val="none"/>
                <w:u w:val="none"/>
                <w:lang w:val="en-US" w:eastAsia="zh-CN" w:bidi="ar"/>
              </w:rPr>
              <w:t xml:space="preserve"> 5% </w:t>
            </w:r>
            <w:r>
              <w:rPr>
                <w:rFonts w:hint="eastAsia" w:ascii="宋体" w:hAnsi="宋体" w:eastAsia="宋体" w:cs="宋体"/>
                <w:i w:val="0"/>
                <w:iCs w:val="0"/>
                <w:color w:val="auto"/>
                <w:kern w:val="0"/>
                <w:sz w:val="21"/>
                <w:szCs w:val="21"/>
                <w:highlight w:val="none"/>
                <w:u w:val="none"/>
                <w:lang w:val="en-US" w:eastAsia="zh-CN" w:bidi="ar"/>
              </w:rPr>
              <w:t xml:space="preserve">扣 </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 xml:space="preserve"> 分，扣完为止</w:t>
            </w:r>
            <w:r>
              <w:rPr>
                <w:rFonts w:hint="eastAsia" w:ascii="宋体" w:hAnsi="宋体" w:cs="宋体"/>
                <w:i w:val="0"/>
                <w:iCs w:val="0"/>
                <w:color w:val="auto"/>
                <w:kern w:val="0"/>
                <w:sz w:val="21"/>
                <w:szCs w:val="21"/>
                <w:highlight w:val="none"/>
                <w:u w:val="none"/>
                <w:lang w:val="en-US" w:eastAsia="zh-CN" w:bidi="ar"/>
              </w:rPr>
              <w:t>。</w:t>
            </w:r>
          </w:p>
        </w:tc>
        <w:tc>
          <w:tcPr>
            <w:tcW w:w="709" w:type="dxa"/>
          </w:tcPr>
          <w:p w14:paraId="7A7477D8">
            <w:pPr>
              <w:numPr>
                <w:ilvl w:val="-1"/>
                <w:numId w:val="0"/>
              </w:numPr>
              <w:outlineLvl w:val="9"/>
              <w:rPr>
                <w:rFonts w:hint="default"/>
                <w:b/>
                <w:bCs/>
                <w:color w:val="auto"/>
                <w:sz w:val="21"/>
                <w:szCs w:val="21"/>
                <w:highlight w:val="none"/>
                <w:vertAlign w:val="baseline"/>
                <w:lang w:val="en-US" w:eastAsia="zh-CN"/>
              </w:rPr>
            </w:pPr>
          </w:p>
        </w:tc>
        <w:tc>
          <w:tcPr>
            <w:tcW w:w="2003" w:type="dxa"/>
            <w:vMerge w:val="continue"/>
          </w:tcPr>
          <w:p w14:paraId="7BFD14AB">
            <w:pPr>
              <w:numPr>
                <w:ilvl w:val="-1"/>
                <w:numId w:val="0"/>
              </w:numPr>
              <w:outlineLvl w:val="9"/>
              <w:rPr>
                <w:rFonts w:hint="default"/>
                <w:b/>
                <w:bCs/>
                <w:color w:val="auto"/>
                <w:sz w:val="21"/>
                <w:szCs w:val="21"/>
                <w:highlight w:val="none"/>
                <w:vertAlign w:val="baseline"/>
                <w:lang w:val="en-US" w:eastAsia="zh-CN"/>
              </w:rPr>
            </w:pPr>
          </w:p>
        </w:tc>
      </w:tr>
      <w:tr w14:paraId="36E4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822" w:type="dxa"/>
            <w:vAlign w:val="center"/>
          </w:tcPr>
          <w:p w14:paraId="2F5773E6">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6</w:t>
            </w:r>
          </w:p>
        </w:tc>
        <w:tc>
          <w:tcPr>
            <w:tcW w:w="1371" w:type="dxa"/>
            <w:vAlign w:val="center"/>
          </w:tcPr>
          <w:p w14:paraId="251A2E1E">
            <w:pPr>
              <w:keepNext w:val="0"/>
              <w:keepLines w:val="0"/>
              <w:widowControl/>
              <w:suppressLineNumbers w:val="0"/>
              <w:jc w:val="left"/>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拨测服务稳定性</w:t>
            </w:r>
          </w:p>
        </w:tc>
        <w:tc>
          <w:tcPr>
            <w:tcW w:w="1900" w:type="dxa"/>
            <w:vAlign w:val="center"/>
          </w:tcPr>
          <w:p w14:paraId="19124B8F">
            <w:pPr>
              <w:keepNext w:val="0"/>
              <w:keepLines w:val="0"/>
              <w:widowControl/>
              <w:suppressLineNumbers w:val="0"/>
              <w:jc w:val="both"/>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正常运行：无系统故障，网络问题导致无法进行拨测。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(正常运行天数/总天数) * 100%。</w:t>
            </w:r>
          </w:p>
        </w:tc>
        <w:tc>
          <w:tcPr>
            <w:tcW w:w="930" w:type="dxa"/>
            <w:vAlign w:val="center"/>
          </w:tcPr>
          <w:p w14:paraId="0013A5F7">
            <w:pPr>
              <w:keepNext w:val="0"/>
              <w:keepLines w:val="0"/>
              <w:widowControl/>
              <w:suppressLineNumbers w:val="0"/>
              <w:jc w:val="center"/>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95%</w:t>
            </w:r>
          </w:p>
        </w:tc>
        <w:tc>
          <w:tcPr>
            <w:tcW w:w="1780" w:type="dxa"/>
            <w:vAlign w:val="center"/>
          </w:tcPr>
          <w:p w14:paraId="66456A67">
            <w:pPr>
              <w:keepNext w:val="0"/>
              <w:keepLines w:val="0"/>
              <w:widowControl/>
              <w:suppressLineNumbers w:val="0"/>
              <w:jc w:val="left"/>
              <w:textAlignment w:val="center"/>
              <w:rPr>
                <w:rFonts w:hint="default"/>
                <w:b/>
                <w:bCs/>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达成目标得 10 分，每低 5% 扣 2 分，扣完为止。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结果向下按5的倍数对齐，如：测试结果为 93%，则该项算作 90%。</w:t>
            </w:r>
          </w:p>
        </w:tc>
        <w:tc>
          <w:tcPr>
            <w:tcW w:w="709" w:type="dxa"/>
          </w:tcPr>
          <w:p w14:paraId="3A1501EF">
            <w:pPr>
              <w:numPr>
                <w:ilvl w:val="-1"/>
                <w:numId w:val="0"/>
              </w:numPr>
              <w:outlineLvl w:val="9"/>
              <w:rPr>
                <w:rFonts w:hint="default"/>
                <w:b/>
                <w:bCs/>
                <w:color w:val="auto"/>
                <w:sz w:val="21"/>
                <w:szCs w:val="21"/>
                <w:highlight w:val="none"/>
                <w:vertAlign w:val="baseline"/>
                <w:lang w:val="en-US" w:eastAsia="zh-CN"/>
              </w:rPr>
            </w:pPr>
          </w:p>
        </w:tc>
        <w:tc>
          <w:tcPr>
            <w:tcW w:w="2003" w:type="dxa"/>
            <w:vMerge w:val="continue"/>
          </w:tcPr>
          <w:p w14:paraId="3D647778">
            <w:pPr>
              <w:numPr>
                <w:ilvl w:val="-1"/>
                <w:numId w:val="0"/>
              </w:numPr>
              <w:outlineLvl w:val="9"/>
              <w:rPr>
                <w:rFonts w:hint="default"/>
                <w:b/>
                <w:bCs/>
                <w:color w:val="auto"/>
                <w:sz w:val="21"/>
                <w:szCs w:val="21"/>
                <w:highlight w:val="none"/>
                <w:vertAlign w:val="baseline"/>
                <w:lang w:val="en-US" w:eastAsia="zh-CN"/>
              </w:rPr>
            </w:pPr>
          </w:p>
        </w:tc>
      </w:tr>
      <w:tr w14:paraId="7639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822" w:type="dxa"/>
            <w:vAlign w:val="center"/>
          </w:tcPr>
          <w:p w14:paraId="2353569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bookmarkStart w:id="60" w:name="_Toc6376"/>
            <w:r>
              <w:rPr>
                <w:rFonts w:hint="eastAsia" w:ascii="宋体" w:hAnsi="宋体" w:cs="宋体"/>
                <w:i w:val="0"/>
                <w:iCs w:val="0"/>
                <w:color w:val="auto"/>
                <w:kern w:val="0"/>
                <w:sz w:val="21"/>
                <w:szCs w:val="21"/>
                <w:highlight w:val="none"/>
                <w:u w:val="none"/>
                <w:lang w:val="en-US" w:eastAsia="zh-CN" w:bidi="ar"/>
              </w:rPr>
              <w:t>7</w:t>
            </w:r>
          </w:p>
        </w:tc>
        <w:tc>
          <w:tcPr>
            <w:tcW w:w="1371" w:type="dxa"/>
            <w:vAlign w:val="center"/>
          </w:tcPr>
          <w:p w14:paraId="51333CF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客户满意度</w:t>
            </w:r>
          </w:p>
        </w:tc>
        <w:tc>
          <w:tcPr>
            <w:tcW w:w="1900" w:type="dxa"/>
            <w:vAlign w:val="center"/>
          </w:tcPr>
          <w:p w14:paraId="19A2F1E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由用户对拨测服务的“拨测结果实用性”、“服务响应速度”、“服务响应速度”进行评价打分。</w:t>
            </w:r>
          </w:p>
        </w:tc>
        <w:tc>
          <w:tcPr>
            <w:tcW w:w="930" w:type="dxa"/>
            <w:vAlign w:val="center"/>
          </w:tcPr>
          <w:p w14:paraId="5394DC74">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88分</w:t>
            </w:r>
          </w:p>
        </w:tc>
        <w:tc>
          <w:tcPr>
            <w:tcW w:w="1780" w:type="dxa"/>
            <w:vAlign w:val="center"/>
          </w:tcPr>
          <w:p w14:paraId="5D011AF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达成目标得3分，未达成不得分</w:t>
            </w:r>
          </w:p>
        </w:tc>
        <w:tc>
          <w:tcPr>
            <w:tcW w:w="709" w:type="dxa"/>
          </w:tcPr>
          <w:p w14:paraId="2E42F262">
            <w:pPr>
              <w:numPr>
                <w:ilvl w:val="-1"/>
                <w:numId w:val="0"/>
              </w:numPr>
              <w:outlineLvl w:val="9"/>
              <w:rPr>
                <w:rFonts w:hint="default"/>
                <w:b/>
                <w:bCs/>
                <w:color w:val="auto"/>
                <w:sz w:val="21"/>
                <w:szCs w:val="21"/>
                <w:highlight w:val="none"/>
                <w:vertAlign w:val="baseline"/>
                <w:lang w:val="en-US" w:eastAsia="zh-CN"/>
              </w:rPr>
            </w:pPr>
          </w:p>
        </w:tc>
        <w:tc>
          <w:tcPr>
            <w:tcW w:w="2003" w:type="dxa"/>
            <w:vMerge w:val="continue"/>
          </w:tcPr>
          <w:p w14:paraId="7D2DBBAB">
            <w:pPr>
              <w:numPr>
                <w:ilvl w:val="-1"/>
                <w:numId w:val="0"/>
              </w:numPr>
              <w:outlineLvl w:val="9"/>
              <w:rPr>
                <w:rFonts w:hint="default"/>
                <w:b/>
                <w:bCs/>
                <w:color w:val="auto"/>
                <w:sz w:val="21"/>
                <w:szCs w:val="21"/>
                <w:highlight w:val="none"/>
                <w:vertAlign w:val="baseline"/>
                <w:lang w:val="en-US" w:eastAsia="zh-CN"/>
              </w:rPr>
            </w:pPr>
          </w:p>
        </w:tc>
      </w:tr>
      <w:tr w14:paraId="41BD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822" w:type="dxa"/>
            <w:vAlign w:val="center"/>
          </w:tcPr>
          <w:p w14:paraId="2818089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p>
        </w:tc>
        <w:tc>
          <w:tcPr>
            <w:tcW w:w="1371" w:type="dxa"/>
            <w:vAlign w:val="center"/>
          </w:tcPr>
          <w:p w14:paraId="1A0D6A4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需求响应时长</w:t>
            </w:r>
          </w:p>
        </w:tc>
        <w:tc>
          <w:tcPr>
            <w:tcW w:w="1900" w:type="dxa"/>
            <w:vAlign w:val="center"/>
          </w:tcPr>
          <w:p w14:paraId="1965D0C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检查服务期内需求登记表，需求响应时间（收到用户需求到首次反馈的平均时间）</w:t>
            </w:r>
          </w:p>
        </w:tc>
        <w:tc>
          <w:tcPr>
            <w:tcW w:w="930" w:type="dxa"/>
            <w:vAlign w:val="center"/>
          </w:tcPr>
          <w:p w14:paraId="1EC463E1">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24小时</w:t>
            </w:r>
          </w:p>
        </w:tc>
        <w:tc>
          <w:tcPr>
            <w:tcW w:w="1780" w:type="dxa"/>
            <w:vAlign w:val="center"/>
          </w:tcPr>
          <w:p w14:paraId="1571D40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达成目标得4分，未达成不得分</w:t>
            </w:r>
          </w:p>
        </w:tc>
        <w:tc>
          <w:tcPr>
            <w:tcW w:w="709" w:type="dxa"/>
          </w:tcPr>
          <w:p w14:paraId="53A374CB">
            <w:pPr>
              <w:numPr>
                <w:ilvl w:val="-1"/>
                <w:numId w:val="0"/>
              </w:numPr>
              <w:outlineLvl w:val="9"/>
              <w:rPr>
                <w:rFonts w:hint="default"/>
                <w:b/>
                <w:bCs/>
                <w:color w:val="auto"/>
                <w:sz w:val="21"/>
                <w:szCs w:val="21"/>
                <w:highlight w:val="none"/>
                <w:vertAlign w:val="baseline"/>
                <w:lang w:val="en-US" w:eastAsia="zh-CN"/>
              </w:rPr>
            </w:pPr>
          </w:p>
        </w:tc>
        <w:tc>
          <w:tcPr>
            <w:tcW w:w="2003" w:type="dxa"/>
            <w:vMerge w:val="continue"/>
          </w:tcPr>
          <w:p w14:paraId="4325AE70">
            <w:pPr>
              <w:numPr>
                <w:ilvl w:val="-1"/>
                <w:numId w:val="0"/>
              </w:numPr>
              <w:outlineLvl w:val="9"/>
              <w:rPr>
                <w:rFonts w:hint="default"/>
                <w:b/>
                <w:bCs/>
                <w:color w:val="auto"/>
                <w:sz w:val="21"/>
                <w:szCs w:val="21"/>
                <w:highlight w:val="none"/>
                <w:vertAlign w:val="baseline"/>
                <w:lang w:val="en-US" w:eastAsia="zh-CN"/>
              </w:rPr>
            </w:pPr>
          </w:p>
        </w:tc>
      </w:tr>
      <w:tr w14:paraId="4F96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822" w:type="dxa"/>
            <w:vAlign w:val="center"/>
          </w:tcPr>
          <w:p w14:paraId="00CE0F6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w:t>
            </w:r>
          </w:p>
        </w:tc>
        <w:tc>
          <w:tcPr>
            <w:tcW w:w="1371" w:type="dxa"/>
            <w:vAlign w:val="center"/>
          </w:tcPr>
          <w:p w14:paraId="2A8A1F7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投诉处理效果</w:t>
            </w:r>
          </w:p>
        </w:tc>
        <w:tc>
          <w:tcPr>
            <w:tcW w:w="1900" w:type="dxa"/>
            <w:vAlign w:val="center"/>
          </w:tcPr>
          <w:p w14:paraId="3D2CAE0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检查服务期内投诉情况表：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投诉响应时间（收到投诉到开始处理的时间，目标值≤2 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投诉解决时间（平均解决周期，目标值≤3 个工作日）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投诉解决满意度（用户对投诉处理结果的满意比例，目标值不低于 95％）。</w:t>
            </w:r>
          </w:p>
        </w:tc>
        <w:tc>
          <w:tcPr>
            <w:tcW w:w="930" w:type="dxa"/>
            <w:vAlign w:val="center"/>
          </w:tcPr>
          <w:p w14:paraId="5F3DDE3D">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95%</w:t>
            </w:r>
          </w:p>
        </w:tc>
        <w:tc>
          <w:tcPr>
            <w:tcW w:w="1780" w:type="dxa"/>
            <w:vAlign w:val="center"/>
          </w:tcPr>
          <w:p w14:paraId="7291BB5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达成目标得3分，未达成不得分</w:t>
            </w:r>
          </w:p>
        </w:tc>
        <w:tc>
          <w:tcPr>
            <w:tcW w:w="709" w:type="dxa"/>
          </w:tcPr>
          <w:p w14:paraId="0A7D62B9">
            <w:pPr>
              <w:numPr>
                <w:ilvl w:val="-1"/>
                <w:numId w:val="0"/>
              </w:numPr>
              <w:outlineLvl w:val="9"/>
              <w:rPr>
                <w:rFonts w:hint="default"/>
                <w:b/>
                <w:bCs/>
                <w:color w:val="auto"/>
                <w:sz w:val="21"/>
                <w:szCs w:val="21"/>
                <w:highlight w:val="none"/>
                <w:vertAlign w:val="baseline"/>
                <w:lang w:val="en-US" w:eastAsia="zh-CN"/>
              </w:rPr>
            </w:pPr>
          </w:p>
        </w:tc>
        <w:tc>
          <w:tcPr>
            <w:tcW w:w="2003" w:type="dxa"/>
            <w:vMerge w:val="continue"/>
          </w:tcPr>
          <w:p w14:paraId="586B84CE">
            <w:pPr>
              <w:numPr>
                <w:ilvl w:val="-1"/>
                <w:numId w:val="0"/>
              </w:numPr>
              <w:outlineLvl w:val="9"/>
              <w:rPr>
                <w:rFonts w:hint="default"/>
                <w:b/>
                <w:bCs/>
                <w:color w:val="auto"/>
                <w:sz w:val="21"/>
                <w:szCs w:val="21"/>
                <w:highlight w:val="none"/>
                <w:vertAlign w:val="baseline"/>
                <w:lang w:val="en-US" w:eastAsia="zh-CN"/>
              </w:rPr>
            </w:pPr>
          </w:p>
        </w:tc>
      </w:tr>
      <w:tr w14:paraId="000E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15" w:type="dxa"/>
            <w:gridSpan w:val="7"/>
            <w:vAlign w:val="center"/>
          </w:tcPr>
          <w:p w14:paraId="3E961917">
            <w:pPr>
              <w:numPr>
                <w:ilvl w:val="-1"/>
                <w:numId w:val="0"/>
              </w:numPr>
              <w:outlineLvl w:val="1"/>
              <w:rPr>
                <w:rFonts w:hint="default"/>
                <w:b/>
                <w:bCs/>
                <w:color w:val="auto"/>
                <w:sz w:val="21"/>
                <w:szCs w:val="21"/>
                <w:highlight w:val="none"/>
                <w:vertAlign w:val="baseline"/>
                <w:lang w:val="en-US" w:eastAsia="zh-CN"/>
              </w:rPr>
            </w:pPr>
            <w:r>
              <w:rPr>
                <w:rFonts w:hint="default"/>
                <w:b/>
                <w:bCs/>
                <w:color w:val="auto"/>
                <w:sz w:val="21"/>
                <w:szCs w:val="21"/>
                <w:highlight w:val="none"/>
                <w:vertAlign w:val="baseline"/>
                <w:lang w:val="en-US" w:eastAsia="zh-CN"/>
              </w:rPr>
              <w:t>备注：必须同时满足“第1项不低于20分，第2项</w:t>
            </w:r>
            <w:r>
              <w:rPr>
                <w:rFonts w:hint="eastAsia" w:ascii="宋体" w:hAnsi="宋体" w:eastAsia="宋体" w:cs="宋体"/>
                <w:color w:val="auto"/>
                <w:kern w:val="0"/>
                <w:sz w:val="21"/>
                <w:szCs w:val="21"/>
                <w:highlight w:val="none"/>
                <w:lang w:val="en-US" w:eastAsia="zh-CN" w:bidi="ar-SA"/>
              </w:rPr>
              <w:t>≥</w:t>
            </w:r>
            <w:r>
              <w:rPr>
                <w:rFonts w:hint="default"/>
                <w:b/>
                <w:bCs/>
                <w:color w:val="auto"/>
                <w:sz w:val="21"/>
                <w:szCs w:val="21"/>
                <w:highlight w:val="none"/>
                <w:vertAlign w:val="baseline"/>
                <w:lang w:val="en-US" w:eastAsia="zh-CN"/>
              </w:rPr>
              <w:t>8分，第3项</w:t>
            </w:r>
            <w:r>
              <w:rPr>
                <w:rFonts w:hint="eastAsia" w:ascii="宋体" w:hAnsi="宋体" w:eastAsia="宋体" w:cs="宋体"/>
                <w:color w:val="auto"/>
                <w:kern w:val="0"/>
                <w:sz w:val="21"/>
                <w:szCs w:val="21"/>
                <w:highlight w:val="none"/>
                <w:lang w:val="en-US" w:eastAsia="zh-CN" w:bidi="ar-SA"/>
              </w:rPr>
              <w:t>≥</w:t>
            </w:r>
            <w:r>
              <w:rPr>
                <w:rFonts w:hint="default"/>
                <w:b/>
                <w:bCs/>
                <w:color w:val="auto"/>
                <w:sz w:val="21"/>
                <w:szCs w:val="21"/>
                <w:highlight w:val="none"/>
                <w:vertAlign w:val="baseline"/>
                <w:lang w:val="en-US" w:eastAsia="zh-CN"/>
              </w:rPr>
              <w:t>18分，第4项</w:t>
            </w:r>
            <w:r>
              <w:rPr>
                <w:rFonts w:hint="eastAsia" w:ascii="宋体" w:hAnsi="宋体" w:eastAsia="宋体" w:cs="宋体"/>
                <w:color w:val="auto"/>
                <w:kern w:val="0"/>
                <w:sz w:val="21"/>
                <w:szCs w:val="21"/>
                <w:highlight w:val="none"/>
                <w:lang w:val="en-US" w:eastAsia="zh-CN" w:bidi="ar-SA"/>
              </w:rPr>
              <w:t>≥</w:t>
            </w:r>
            <w:r>
              <w:rPr>
                <w:rFonts w:hint="default"/>
                <w:b/>
                <w:bCs/>
                <w:color w:val="auto"/>
                <w:sz w:val="21"/>
                <w:szCs w:val="21"/>
                <w:highlight w:val="none"/>
                <w:vertAlign w:val="baseline"/>
                <w:lang w:val="en-US" w:eastAsia="zh-CN"/>
              </w:rPr>
              <w:t>18分”，才能认为具备服务能力。</w:t>
            </w:r>
            <w:bookmarkEnd w:id="60"/>
          </w:p>
        </w:tc>
      </w:tr>
    </w:tbl>
    <w:p w14:paraId="56E788CB">
      <w:pPr>
        <w:numPr>
          <w:ilvl w:val="-1"/>
          <w:numId w:val="0"/>
        </w:numPr>
        <w:outlineLvl w:val="9"/>
        <w:rPr>
          <w:rFonts w:hint="eastAsia"/>
          <w:b/>
          <w:bCs/>
          <w:color w:val="auto"/>
          <w:sz w:val="32"/>
          <w:szCs w:val="32"/>
          <w:highlight w:val="none"/>
          <w:lang w:eastAsia="zh-CN"/>
        </w:rPr>
        <w:sectPr>
          <w:pgSz w:w="11906" w:h="16838"/>
          <w:pgMar w:top="1134" w:right="1247" w:bottom="1134" w:left="1247" w:header="737" w:footer="680" w:gutter="113"/>
          <w:pgNumType w:fmt="decimal"/>
          <w:cols w:space="720" w:num="1"/>
          <w:titlePg/>
          <w:docGrid w:linePitch="312" w:charSpace="0"/>
        </w:sectPr>
      </w:pPr>
    </w:p>
    <w:p w14:paraId="2C6DFF65">
      <w:pPr>
        <w:numPr>
          <w:ilvl w:val="-1"/>
          <w:numId w:val="0"/>
        </w:numPr>
        <w:outlineLvl w:val="1"/>
        <w:rPr>
          <w:rFonts w:hint="eastAsia"/>
          <w:b/>
          <w:bCs/>
          <w:color w:val="auto"/>
          <w:sz w:val="32"/>
          <w:szCs w:val="32"/>
          <w:highlight w:val="none"/>
          <w:lang w:val="en-US" w:eastAsia="zh-CN"/>
        </w:rPr>
      </w:pPr>
      <w:bookmarkStart w:id="61" w:name="_Toc26082"/>
      <w:r>
        <w:rPr>
          <w:rFonts w:hint="eastAsia"/>
          <w:b/>
          <w:bCs/>
          <w:color w:val="auto"/>
          <w:sz w:val="32"/>
          <w:szCs w:val="32"/>
          <w:highlight w:val="none"/>
          <w:lang w:eastAsia="zh-CN"/>
        </w:rPr>
        <w:t>附件</w:t>
      </w:r>
      <w:r>
        <w:rPr>
          <w:rFonts w:hint="eastAsia"/>
          <w:b/>
          <w:bCs/>
          <w:color w:val="auto"/>
          <w:sz w:val="32"/>
          <w:szCs w:val="32"/>
          <w:highlight w:val="none"/>
          <w:lang w:val="en-US" w:eastAsia="zh-CN"/>
        </w:rPr>
        <w:t>3：</w:t>
      </w:r>
      <w:bookmarkEnd w:id="61"/>
    </w:p>
    <w:p w14:paraId="4E6BD3C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APK互联网解析服务评价考核指标</w:t>
      </w:r>
    </w:p>
    <w:p w14:paraId="7925D01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本项目服务期内开展服务评价考核，具体考核次数及时间以合同约定为准。</w:t>
      </w:r>
    </w:p>
    <w:tbl>
      <w:tblPr>
        <w:tblStyle w:val="18"/>
        <w:tblpPr w:leftFromText="180" w:rightFromText="180" w:vertAnchor="text" w:horzAnchor="page" w:tblpX="1342" w:tblpY="295"/>
        <w:tblOverlap w:val="never"/>
        <w:tblW w:w="9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5"/>
        <w:gridCol w:w="2557"/>
        <w:gridCol w:w="1990"/>
        <w:gridCol w:w="762"/>
        <w:gridCol w:w="2465"/>
      </w:tblGrid>
      <w:tr w14:paraId="23B7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tblHeader/>
        </w:trPr>
        <w:tc>
          <w:tcPr>
            <w:tcW w:w="1555" w:type="dxa"/>
            <w:vAlign w:val="center"/>
          </w:tcPr>
          <w:p w14:paraId="53A0DA4D">
            <w:pPr>
              <w:jc w:val="center"/>
              <w:rPr>
                <w:rFonts w:hint="eastAsia" w:ascii="宋体" w:hAnsi="宋体" w:eastAsia="宋体" w:cs="宋体"/>
                <w:color w:val="auto"/>
                <w:highlight w:val="none"/>
              </w:rPr>
            </w:pPr>
            <w:r>
              <w:rPr>
                <w:rFonts w:hint="eastAsia" w:ascii="宋体" w:hAnsi="宋体" w:eastAsia="宋体" w:cs="宋体"/>
                <w:b/>
                <w:bCs/>
                <w:color w:val="auto"/>
                <w:highlight w:val="none"/>
              </w:rPr>
              <w:t>项目</w:t>
            </w:r>
          </w:p>
        </w:tc>
        <w:tc>
          <w:tcPr>
            <w:tcW w:w="2557" w:type="dxa"/>
            <w:vAlign w:val="center"/>
          </w:tcPr>
          <w:p w14:paraId="39D62983">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要求</w:t>
            </w:r>
          </w:p>
        </w:tc>
        <w:tc>
          <w:tcPr>
            <w:tcW w:w="1990" w:type="dxa"/>
            <w:vAlign w:val="center"/>
          </w:tcPr>
          <w:p w14:paraId="5FBD2BBC">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评分标准</w:t>
            </w:r>
          </w:p>
        </w:tc>
        <w:tc>
          <w:tcPr>
            <w:tcW w:w="762" w:type="dxa"/>
            <w:vAlign w:val="center"/>
          </w:tcPr>
          <w:p w14:paraId="7AA60F4C">
            <w:pPr>
              <w:jc w:val="center"/>
              <w:rPr>
                <w:rFonts w:hint="eastAsia" w:ascii="宋体" w:hAnsi="宋体" w:eastAsia="宋体" w:cs="宋体"/>
                <w:color w:val="auto"/>
                <w:highlight w:val="none"/>
              </w:rPr>
            </w:pPr>
            <w:r>
              <w:rPr>
                <w:rFonts w:hint="eastAsia" w:ascii="宋体" w:hAnsi="宋体" w:eastAsia="宋体" w:cs="宋体"/>
                <w:b/>
                <w:bCs/>
                <w:color w:val="auto"/>
                <w:highlight w:val="none"/>
              </w:rPr>
              <w:t>权重分</w:t>
            </w:r>
          </w:p>
        </w:tc>
        <w:tc>
          <w:tcPr>
            <w:tcW w:w="2465" w:type="dxa"/>
            <w:vAlign w:val="center"/>
          </w:tcPr>
          <w:p w14:paraId="33E103C1">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考核方式</w:t>
            </w:r>
          </w:p>
        </w:tc>
      </w:tr>
      <w:tr w14:paraId="354C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5" w:type="dxa"/>
            <w:vAlign w:val="center"/>
          </w:tcPr>
          <w:p w14:paraId="1F7066DE">
            <w:pPr>
              <w:rPr>
                <w:rFonts w:hint="eastAsia" w:ascii="宋体" w:hAnsi="宋体" w:eastAsia="宋体" w:cs="宋体"/>
                <w:color w:val="auto"/>
                <w:highlight w:val="none"/>
              </w:rPr>
            </w:pPr>
            <w:r>
              <w:rPr>
                <w:rFonts w:hint="eastAsia" w:ascii="宋体" w:hAnsi="宋体" w:eastAsia="宋体" w:cs="宋体"/>
                <w:b/>
                <w:bCs/>
                <w:color w:val="auto"/>
                <w:highlight w:val="none"/>
              </w:rPr>
              <w:t>一、自动化 APP 分析服务能力 (60分)</w:t>
            </w:r>
          </w:p>
        </w:tc>
        <w:tc>
          <w:tcPr>
            <w:tcW w:w="2557" w:type="dxa"/>
            <w:vAlign w:val="center"/>
          </w:tcPr>
          <w:p w14:paraId="08689BCE">
            <w:pPr>
              <w:rPr>
                <w:rFonts w:hint="eastAsia" w:ascii="宋体" w:hAnsi="宋体" w:eastAsia="宋体" w:cs="宋体"/>
                <w:color w:val="auto"/>
                <w:highlight w:val="none"/>
              </w:rPr>
            </w:pPr>
          </w:p>
        </w:tc>
        <w:tc>
          <w:tcPr>
            <w:tcW w:w="1990" w:type="dxa"/>
            <w:vAlign w:val="center"/>
          </w:tcPr>
          <w:p w14:paraId="46FD409F">
            <w:pPr>
              <w:rPr>
                <w:rFonts w:hint="eastAsia" w:ascii="宋体" w:hAnsi="宋体" w:eastAsia="宋体" w:cs="宋体"/>
                <w:color w:val="auto"/>
                <w:highlight w:val="none"/>
              </w:rPr>
            </w:pPr>
          </w:p>
        </w:tc>
        <w:tc>
          <w:tcPr>
            <w:tcW w:w="762" w:type="dxa"/>
            <w:vAlign w:val="center"/>
          </w:tcPr>
          <w:p w14:paraId="2502C875">
            <w:pPr>
              <w:jc w:val="center"/>
              <w:rPr>
                <w:rFonts w:hint="eastAsia" w:ascii="宋体" w:hAnsi="宋体" w:eastAsia="宋体" w:cs="宋体"/>
                <w:color w:val="auto"/>
                <w:highlight w:val="none"/>
              </w:rPr>
            </w:pPr>
            <w:r>
              <w:rPr>
                <w:rFonts w:hint="eastAsia" w:ascii="宋体" w:hAnsi="宋体" w:eastAsia="宋体" w:cs="宋体"/>
                <w:b/>
                <w:bCs/>
                <w:color w:val="auto"/>
                <w:highlight w:val="none"/>
              </w:rPr>
              <w:t>60</w:t>
            </w:r>
          </w:p>
        </w:tc>
        <w:tc>
          <w:tcPr>
            <w:tcW w:w="2465" w:type="dxa"/>
            <w:vAlign w:val="center"/>
          </w:tcPr>
          <w:p w14:paraId="6B046447">
            <w:pPr>
              <w:rPr>
                <w:rFonts w:hint="eastAsia" w:ascii="宋体" w:hAnsi="宋体" w:eastAsia="宋体" w:cs="宋体"/>
                <w:color w:val="auto"/>
                <w:highlight w:val="none"/>
              </w:rPr>
            </w:pPr>
          </w:p>
        </w:tc>
      </w:tr>
      <w:tr w14:paraId="0EEF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5" w:type="dxa"/>
            <w:vAlign w:val="center"/>
          </w:tcPr>
          <w:p w14:paraId="7E87B7C7">
            <w:pPr>
              <w:rPr>
                <w:rFonts w:hint="eastAsia" w:ascii="宋体" w:hAnsi="宋体" w:eastAsia="宋体" w:cs="宋体"/>
                <w:color w:val="auto"/>
                <w:highlight w:val="none"/>
              </w:rPr>
            </w:pPr>
            <w:r>
              <w:rPr>
                <w:rFonts w:hint="eastAsia" w:ascii="宋体" w:hAnsi="宋体" w:eastAsia="宋体" w:cs="宋体"/>
                <w:b/>
                <w:bCs/>
                <w:color w:val="auto"/>
                <w:highlight w:val="none"/>
              </w:rPr>
              <w:t>1. 解析速度与吞吐量</w:t>
            </w:r>
          </w:p>
        </w:tc>
        <w:tc>
          <w:tcPr>
            <w:tcW w:w="2557" w:type="dxa"/>
            <w:vAlign w:val="center"/>
          </w:tcPr>
          <w:p w14:paraId="358D828D">
            <w:pPr>
              <w:rPr>
                <w:rFonts w:hint="eastAsia" w:ascii="宋体" w:hAnsi="宋体" w:eastAsia="宋体" w:cs="宋体"/>
                <w:color w:val="auto"/>
                <w:highlight w:val="none"/>
              </w:rPr>
            </w:pPr>
            <w:r>
              <w:rPr>
                <w:rFonts w:hint="eastAsia" w:ascii="宋体" w:hAnsi="宋体" w:eastAsia="宋体" w:cs="宋体"/>
                <w:color w:val="auto"/>
                <w:highlight w:val="none"/>
              </w:rPr>
              <w:t xml:space="preserve">平台具备日处理总量 </w:t>
            </w:r>
            <w:r>
              <w:rPr>
                <w:rFonts w:hint="eastAsia" w:ascii="宋体" w:hAnsi="宋体" w:eastAsia="宋体" w:cs="宋体"/>
                <w:b/>
                <w:bCs/>
                <w:color w:val="auto"/>
                <w:highlight w:val="none"/>
              </w:rPr>
              <w:t>大于等于 3,000 个 APP/日</w:t>
            </w:r>
            <w:r>
              <w:rPr>
                <w:rFonts w:hint="eastAsia" w:ascii="宋体" w:hAnsi="宋体" w:eastAsia="宋体" w:cs="宋体"/>
                <w:color w:val="auto"/>
                <w:highlight w:val="none"/>
              </w:rPr>
              <w:t xml:space="preserve"> 的稳定并行处理能力。</w:t>
            </w:r>
          </w:p>
        </w:tc>
        <w:tc>
          <w:tcPr>
            <w:tcW w:w="1990" w:type="dxa"/>
            <w:vAlign w:val="center"/>
          </w:tcPr>
          <w:p w14:paraId="7FC1B891">
            <w:pPr>
              <w:rPr>
                <w:rFonts w:hint="eastAsia" w:ascii="宋体" w:hAnsi="宋体" w:eastAsia="宋体" w:cs="宋体"/>
                <w:color w:val="auto"/>
                <w:highlight w:val="none"/>
              </w:rPr>
            </w:pPr>
            <w:r>
              <w:rPr>
                <w:rFonts w:hint="eastAsia" w:ascii="宋体" w:hAnsi="宋体" w:eastAsia="宋体" w:cs="宋体"/>
                <w:color w:val="auto"/>
                <w:highlight w:val="none"/>
              </w:rPr>
              <w:t xml:space="preserve">1. 达到并稳定运行 3,000 APP/日吞吐量，得分 </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 </w:t>
            </w:r>
          </w:p>
          <w:p w14:paraId="1BB222A9">
            <w:pPr>
              <w:rPr>
                <w:rFonts w:hint="eastAsia" w:ascii="宋体" w:hAnsi="宋体" w:eastAsia="宋体" w:cs="宋体"/>
                <w:color w:val="auto"/>
                <w:highlight w:val="none"/>
              </w:rPr>
            </w:pPr>
            <w:r>
              <w:rPr>
                <w:rFonts w:hint="eastAsia" w:ascii="宋体" w:hAnsi="宋体" w:eastAsia="宋体" w:cs="宋体"/>
                <w:color w:val="auto"/>
                <w:highlight w:val="none"/>
              </w:rPr>
              <w:t xml:space="preserve">2. 吞吐量在 2,000 &lt;= X &lt; 3,000 APP/日，得分 </w:t>
            </w:r>
            <w:r>
              <w:rPr>
                <w:rFonts w:hint="eastAsia" w:ascii="宋体" w:hAnsi="宋体" w:eastAsia="宋体" w:cs="宋体"/>
                <w:b/>
                <w:bCs/>
                <w:color w:val="auto"/>
                <w:highlight w:val="none"/>
              </w:rPr>
              <w:t>5分</w:t>
            </w:r>
            <w:r>
              <w:rPr>
                <w:rFonts w:hint="eastAsia" w:ascii="宋体" w:hAnsi="宋体" w:eastAsia="宋体" w:cs="宋体"/>
                <w:color w:val="auto"/>
                <w:highlight w:val="none"/>
              </w:rPr>
              <w:t>。</w:t>
            </w:r>
          </w:p>
          <w:p w14:paraId="57F09D1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 服务月度可用率&gt;=99.5%,达不到扣5分。</w:t>
            </w:r>
          </w:p>
          <w:p w14:paraId="4F9C1334">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4.解析成功率：服务方因系统故障导致的解析失败&lt;=0.1%</w:t>
            </w:r>
          </w:p>
        </w:tc>
        <w:tc>
          <w:tcPr>
            <w:tcW w:w="762" w:type="dxa"/>
            <w:vAlign w:val="center"/>
          </w:tcPr>
          <w:p w14:paraId="1D2879FF">
            <w:pPr>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2465" w:type="dxa"/>
            <w:vAlign w:val="center"/>
          </w:tcPr>
          <w:p w14:paraId="5FE7BD40">
            <w:pPr>
              <w:rPr>
                <w:rFonts w:hint="eastAsia" w:ascii="宋体" w:hAnsi="宋体" w:eastAsia="宋体" w:cs="宋体"/>
                <w:color w:val="auto"/>
                <w:highlight w:val="none"/>
                <w:lang w:eastAsia="zh-CN"/>
              </w:rPr>
            </w:pPr>
            <w:bookmarkStart w:id="62" w:name="OLE_LINK23"/>
            <w:r>
              <w:rPr>
                <w:rFonts w:hint="eastAsia" w:ascii="宋体" w:hAnsi="宋体" w:eastAsia="宋体" w:cs="宋体"/>
                <w:b w:val="0"/>
                <w:bCs w:val="0"/>
                <w:color w:val="auto"/>
                <w:highlight w:val="none"/>
              </w:rPr>
              <w:t>POC 性能测试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验证吞吐量和稳定性。</w:t>
            </w:r>
            <w:bookmarkEnd w:id="62"/>
            <w:r>
              <w:rPr>
                <w:rFonts w:hint="eastAsia" w:ascii="宋体" w:hAnsi="宋体" w:eastAsia="宋体" w:cs="宋体"/>
                <w:color w:val="auto"/>
                <w:highlight w:val="none"/>
              </w:rPr>
              <w:t>测试日平均速率（</w:t>
            </w:r>
            <w:r>
              <w:rPr>
                <w:rFonts w:hint="eastAsia" w:ascii="宋体" w:hAnsi="宋体" w:eastAsia="宋体" w:cs="宋体"/>
                <w:color w:val="auto"/>
                <w:highlight w:val="none"/>
                <w:lang w:eastAsia="zh-CN"/>
              </w:rPr>
              <w:t>是否大于</w:t>
            </w:r>
            <w:r>
              <w:rPr>
                <w:rFonts w:hint="eastAsia" w:ascii="宋体" w:hAnsi="宋体" w:eastAsia="宋体" w:cs="宋体"/>
                <w:color w:val="auto"/>
                <w:highlight w:val="none"/>
              </w:rPr>
              <w:t>约125 个 APP/小时）</w:t>
            </w:r>
            <w:r>
              <w:rPr>
                <w:rFonts w:hint="eastAsia" w:ascii="宋体" w:hAnsi="宋体" w:eastAsia="宋体" w:cs="宋体"/>
                <w:color w:val="auto"/>
                <w:highlight w:val="none"/>
                <w:lang w:eastAsia="zh-CN"/>
              </w:rPr>
              <w:t>；</w:t>
            </w:r>
          </w:p>
          <w:p w14:paraId="411C585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压力测试：</w:t>
            </w:r>
            <w:r>
              <w:rPr>
                <w:rFonts w:hint="eastAsia" w:ascii="宋体" w:hAnsi="宋体" w:eastAsia="宋体" w:cs="宋体"/>
                <w:color w:val="auto"/>
                <w:highlight w:val="none"/>
                <w:lang w:val="en-US" w:eastAsia="zh-CN"/>
              </w:rPr>
              <w:t>10分钟注入500个样本，验证是否正常入队成功，且在2小时内处理完毕。</w:t>
            </w:r>
          </w:p>
          <w:p w14:paraId="71A12BC2">
            <w:pPr>
              <w:rPr>
                <w:rFonts w:hint="eastAsia" w:ascii="宋体" w:hAnsi="宋体" w:eastAsia="宋体" w:cs="宋体"/>
                <w:color w:val="auto"/>
                <w:highlight w:val="none"/>
                <w:lang w:val="en-US" w:eastAsia="zh-CN"/>
              </w:rPr>
            </w:pPr>
          </w:p>
        </w:tc>
      </w:tr>
      <w:tr w14:paraId="6ABA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5" w:type="dxa"/>
            <w:vAlign w:val="center"/>
          </w:tcPr>
          <w:p w14:paraId="6A9D8090">
            <w:pPr>
              <w:rPr>
                <w:rFonts w:hint="eastAsia" w:ascii="宋体" w:hAnsi="宋体" w:eastAsia="宋体" w:cs="宋体"/>
                <w:color w:val="auto"/>
                <w:highlight w:val="none"/>
              </w:rPr>
            </w:pPr>
            <w:r>
              <w:rPr>
                <w:rFonts w:hint="eastAsia" w:ascii="宋体" w:hAnsi="宋体" w:eastAsia="宋体" w:cs="宋体"/>
                <w:b/>
                <w:bCs/>
                <w:color w:val="auto"/>
                <w:highlight w:val="none"/>
              </w:rPr>
              <w:t>2. 核心分析结果全面性</w:t>
            </w:r>
          </w:p>
        </w:tc>
        <w:tc>
          <w:tcPr>
            <w:tcW w:w="2557" w:type="dxa"/>
            <w:vAlign w:val="center"/>
          </w:tcPr>
          <w:p w14:paraId="4A740DD4">
            <w:pPr>
              <w:rPr>
                <w:rFonts w:hint="eastAsia" w:ascii="宋体" w:hAnsi="宋体" w:eastAsia="宋体" w:cs="宋体"/>
                <w:color w:val="auto"/>
                <w:highlight w:val="none"/>
              </w:rPr>
            </w:pPr>
            <w:r>
              <w:rPr>
                <w:rFonts w:hint="eastAsia" w:ascii="宋体" w:hAnsi="宋体" w:eastAsia="宋体" w:cs="宋体"/>
                <w:b/>
                <w:bCs/>
                <w:color w:val="auto"/>
                <w:highlight w:val="none"/>
              </w:rPr>
              <w:t>基础提取：</w:t>
            </w:r>
            <w:r>
              <w:rPr>
                <w:rFonts w:hint="eastAsia" w:ascii="宋体" w:hAnsi="宋体" w:eastAsia="宋体" w:cs="宋体"/>
                <w:color w:val="auto"/>
                <w:highlight w:val="none"/>
              </w:rPr>
              <w:t xml:space="preserve"> APK 元数据、签名、API Key 等。 </w:t>
            </w:r>
          </w:p>
          <w:p w14:paraId="6932CE52">
            <w:pPr>
              <w:rPr>
                <w:rFonts w:hint="eastAsia" w:ascii="宋体" w:hAnsi="宋体" w:eastAsia="宋体" w:cs="宋体"/>
                <w:color w:val="auto"/>
                <w:highlight w:val="none"/>
              </w:rPr>
            </w:pPr>
            <w:r>
              <w:rPr>
                <w:rFonts w:hint="eastAsia" w:ascii="宋体" w:hAnsi="宋体" w:eastAsia="宋体" w:cs="宋体"/>
                <w:b/>
                <w:bCs/>
                <w:color w:val="auto"/>
                <w:highlight w:val="none"/>
              </w:rPr>
              <w:t>运行捕获：</w:t>
            </w:r>
            <w:r>
              <w:rPr>
                <w:rFonts w:hint="eastAsia" w:ascii="宋体" w:hAnsi="宋体" w:eastAsia="宋体" w:cs="宋体"/>
                <w:color w:val="auto"/>
                <w:highlight w:val="none"/>
              </w:rPr>
              <w:t xml:space="preserve"> 动态截图、OCR 文本提取、</w:t>
            </w:r>
            <w:r>
              <w:rPr>
                <w:rFonts w:hint="eastAsia" w:ascii="宋体" w:hAnsi="宋体" w:eastAsia="宋体" w:cs="宋体"/>
                <w:b/>
                <w:bCs/>
                <w:color w:val="auto"/>
                <w:highlight w:val="none"/>
              </w:rPr>
              <w:t>自动化模拟登录</w:t>
            </w:r>
            <w:r>
              <w:rPr>
                <w:rFonts w:hint="eastAsia" w:ascii="宋体" w:hAnsi="宋体" w:eastAsia="宋体" w:cs="宋体"/>
                <w:color w:val="auto"/>
                <w:highlight w:val="none"/>
              </w:rPr>
              <w:t xml:space="preserve">。 </w:t>
            </w:r>
          </w:p>
          <w:p w14:paraId="241256BA">
            <w:pPr>
              <w:rPr>
                <w:rFonts w:hint="eastAsia" w:ascii="宋体" w:hAnsi="宋体" w:eastAsia="宋体" w:cs="宋体"/>
                <w:color w:val="auto"/>
                <w:highlight w:val="none"/>
              </w:rPr>
            </w:pPr>
            <w:r>
              <w:rPr>
                <w:rFonts w:hint="eastAsia" w:ascii="宋体" w:hAnsi="宋体" w:eastAsia="宋体" w:cs="宋体"/>
                <w:b/>
                <w:bCs/>
                <w:color w:val="auto"/>
                <w:highlight w:val="none"/>
              </w:rPr>
              <w:t>核心输出：</w:t>
            </w:r>
            <w:r>
              <w:rPr>
                <w:rFonts w:hint="eastAsia" w:ascii="宋体" w:hAnsi="宋体" w:eastAsia="宋体" w:cs="宋体"/>
                <w:color w:val="auto"/>
                <w:highlight w:val="none"/>
              </w:rPr>
              <w:t xml:space="preserve"> 完整的域名/IP 地址列表、协议信息。</w:t>
            </w:r>
          </w:p>
        </w:tc>
        <w:tc>
          <w:tcPr>
            <w:tcW w:w="1990" w:type="dxa"/>
            <w:vAlign w:val="center"/>
          </w:tcPr>
          <w:p w14:paraId="6E09FD27">
            <w:pPr>
              <w:rPr>
                <w:rFonts w:hint="eastAsia" w:ascii="宋体" w:hAnsi="宋体" w:eastAsia="宋体" w:cs="宋体"/>
                <w:color w:val="auto"/>
                <w:highlight w:val="none"/>
              </w:rPr>
            </w:pPr>
            <w:r>
              <w:rPr>
                <w:rFonts w:hint="eastAsia" w:ascii="宋体" w:hAnsi="宋体" w:eastAsia="宋体" w:cs="宋体"/>
                <w:color w:val="auto"/>
                <w:highlight w:val="none"/>
              </w:rPr>
              <w:t xml:space="preserve">1. 核心信息提取完整，自动化登录成功，得 </w:t>
            </w:r>
            <w:r>
              <w:rPr>
                <w:rFonts w:hint="eastAsia" w:ascii="宋体" w:hAnsi="宋体" w:eastAsia="宋体" w:cs="宋体"/>
                <w:b/>
                <w:bCs/>
                <w:color w:val="auto"/>
                <w:highlight w:val="none"/>
              </w:rPr>
              <w:t>15分</w:t>
            </w:r>
            <w:r>
              <w:rPr>
                <w:rFonts w:hint="eastAsia" w:ascii="宋体" w:hAnsi="宋体" w:eastAsia="宋体" w:cs="宋体"/>
                <w:color w:val="auto"/>
                <w:highlight w:val="none"/>
              </w:rPr>
              <w:t xml:space="preserve">。 </w:t>
            </w:r>
          </w:p>
          <w:p w14:paraId="1031EE75">
            <w:pPr>
              <w:rPr>
                <w:rFonts w:hint="eastAsia" w:ascii="宋体" w:hAnsi="宋体" w:eastAsia="宋体" w:cs="宋体"/>
                <w:color w:val="auto"/>
                <w:highlight w:val="none"/>
              </w:rPr>
            </w:pPr>
            <w:r>
              <w:rPr>
                <w:rFonts w:hint="eastAsia" w:ascii="宋体" w:hAnsi="宋体" w:eastAsia="宋体" w:cs="宋体"/>
                <w:color w:val="auto"/>
                <w:highlight w:val="none"/>
              </w:rPr>
              <w:t xml:space="preserve">2. 未能自动登录，扣 </w:t>
            </w:r>
            <w:r>
              <w:rPr>
                <w:rFonts w:hint="eastAsia" w:ascii="宋体" w:hAnsi="宋体" w:eastAsia="宋体" w:cs="宋体"/>
                <w:b/>
                <w:bCs/>
                <w:color w:val="auto"/>
                <w:highlight w:val="none"/>
              </w:rPr>
              <w:t>5分</w:t>
            </w:r>
            <w:r>
              <w:rPr>
                <w:rFonts w:hint="eastAsia" w:ascii="宋体" w:hAnsi="宋体" w:eastAsia="宋体" w:cs="宋体"/>
                <w:color w:val="auto"/>
                <w:highlight w:val="none"/>
              </w:rPr>
              <w:t xml:space="preserve">。 </w:t>
            </w:r>
          </w:p>
          <w:p w14:paraId="39C4B1CF">
            <w:pPr>
              <w:rPr>
                <w:rFonts w:hint="eastAsia" w:ascii="宋体" w:hAnsi="宋体" w:eastAsia="宋体" w:cs="宋体"/>
                <w:color w:val="auto"/>
                <w:highlight w:val="none"/>
              </w:rPr>
            </w:pPr>
            <w:r>
              <w:rPr>
                <w:rFonts w:hint="eastAsia" w:ascii="宋体" w:hAnsi="宋体" w:eastAsia="宋体" w:cs="宋体"/>
                <w:color w:val="auto"/>
                <w:highlight w:val="none"/>
              </w:rPr>
              <w:t xml:space="preserve">3. 基础信息缺失，每项酌情扣分，最高扣 </w:t>
            </w:r>
            <w:r>
              <w:rPr>
                <w:rFonts w:hint="eastAsia" w:ascii="宋体" w:hAnsi="宋体" w:eastAsia="宋体" w:cs="宋体"/>
                <w:b/>
                <w:bCs/>
                <w:color w:val="auto"/>
                <w:highlight w:val="none"/>
              </w:rPr>
              <w:t>3分</w:t>
            </w:r>
            <w:r>
              <w:rPr>
                <w:rFonts w:hint="eastAsia" w:ascii="宋体" w:hAnsi="宋体" w:eastAsia="宋体" w:cs="宋体"/>
                <w:color w:val="auto"/>
                <w:highlight w:val="none"/>
              </w:rPr>
              <w:t>。</w:t>
            </w:r>
          </w:p>
        </w:tc>
        <w:tc>
          <w:tcPr>
            <w:tcW w:w="762" w:type="dxa"/>
            <w:vAlign w:val="center"/>
          </w:tcPr>
          <w:p w14:paraId="1A8EC3E6">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465" w:type="dxa"/>
            <w:vAlign w:val="center"/>
          </w:tcPr>
          <w:p w14:paraId="6277C024">
            <w:pPr>
              <w:rPr>
                <w:rFonts w:hint="eastAsia" w:ascii="宋体" w:hAnsi="宋体" w:eastAsia="宋体" w:cs="宋体"/>
                <w:color w:val="auto"/>
                <w:highlight w:val="none"/>
              </w:rPr>
            </w:pPr>
            <w:r>
              <w:rPr>
                <w:rFonts w:hint="eastAsia" w:ascii="宋体" w:hAnsi="宋体" w:eastAsia="宋体" w:cs="宋体"/>
                <w:color w:val="auto"/>
                <w:highlight w:val="none"/>
              </w:rPr>
              <w:t>随机抽取样本，人工核验分析报告的完整性、准确性。</w:t>
            </w:r>
          </w:p>
        </w:tc>
      </w:tr>
      <w:tr w14:paraId="1B1E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5" w:type="dxa"/>
            <w:vAlign w:val="center"/>
          </w:tcPr>
          <w:p w14:paraId="2EC02F61">
            <w:pPr>
              <w:rPr>
                <w:rFonts w:hint="eastAsia" w:ascii="宋体" w:hAnsi="宋体" w:eastAsia="宋体" w:cs="宋体"/>
                <w:color w:val="auto"/>
                <w:highlight w:val="none"/>
              </w:rPr>
            </w:pPr>
            <w:r>
              <w:rPr>
                <w:rFonts w:hint="eastAsia" w:ascii="宋体" w:hAnsi="宋体" w:eastAsia="宋体" w:cs="宋体"/>
                <w:b/>
                <w:bCs/>
                <w:color w:val="auto"/>
                <w:highlight w:val="none"/>
              </w:rPr>
              <w:t>3. 流量与对抗深度</w:t>
            </w:r>
          </w:p>
        </w:tc>
        <w:tc>
          <w:tcPr>
            <w:tcW w:w="2557" w:type="dxa"/>
            <w:vAlign w:val="center"/>
          </w:tcPr>
          <w:p w14:paraId="4BBFCCF0">
            <w:pPr>
              <w:rPr>
                <w:rFonts w:hint="eastAsia" w:ascii="宋体" w:hAnsi="宋体" w:eastAsia="宋体" w:cs="宋体"/>
                <w:color w:val="auto"/>
                <w:highlight w:val="none"/>
              </w:rPr>
            </w:pPr>
            <w:r>
              <w:rPr>
                <w:rFonts w:hint="eastAsia" w:ascii="宋体" w:hAnsi="宋体" w:eastAsia="宋体" w:cs="宋体"/>
                <w:color w:val="auto"/>
                <w:highlight w:val="none"/>
              </w:rPr>
              <w:t xml:space="preserve">1. 完整截取所有流量，支持导出 PCAP 文件。 </w:t>
            </w:r>
          </w:p>
          <w:p w14:paraId="4C27D8DD">
            <w:pPr>
              <w:rPr>
                <w:rFonts w:hint="eastAsia"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b/>
                <w:bCs/>
                <w:color w:val="auto"/>
                <w:highlight w:val="none"/>
              </w:rPr>
              <w:t>关联并导出 TLS 密钥。</w:t>
            </w:r>
            <w:r>
              <w:rPr>
                <w:rFonts w:hint="eastAsia" w:ascii="宋体" w:hAnsi="宋体" w:eastAsia="宋体" w:cs="宋体"/>
                <w:color w:val="auto"/>
                <w:highlight w:val="none"/>
              </w:rPr>
              <w:t xml:space="preserve"> </w:t>
            </w:r>
          </w:p>
          <w:p w14:paraId="386C60AE">
            <w:pPr>
              <w:rPr>
                <w:rFonts w:hint="eastAsia" w:ascii="宋体" w:hAnsi="宋体" w:eastAsia="宋体" w:cs="宋体"/>
                <w:color w:val="auto"/>
                <w:highlight w:val="none"/>
              </w:rPr>
            </w:pPr>
            <w:r>
              <w:rPr>
                <w:rFonts w:hint="eastAsia" w:ascii="宋体" w:hAnsi="宋体" w:eastAsia="宋体" w:cs="宋体"/>
                <w:color w:val="auto"/>
                <w:highlight w:val="none"/>
              </w:rPr>
              <w:t>3. 支持 APP 反对抗技术（如签名/SSL 校验绕过）。</w:t>
            </w:r>
          </w:p>
        </w:tc>
        <w:tc>
          <w:tcPr>
            <w:tcW w:w="1990" w:type="dxa"/>
            <w:vAlign w:val="center"/>
          </w:tcPr>
          <w:p w14:paraId="138A8C52">
            <w:pPr>
              <w:rPr>
                <w:rFonts w:hint="eastAsia" w:ascii="宋体" w:hAnsi="宋体" w:eastAsia="宋体" w:cs="宋体"/>
                <w:color w:val="auto"/>
                <w:highlight w:val="none"/>
              </w:rPr>
            </w:pPr>
            <w:r>
              <w:rPr>
                <w:rFonts w:hint="eastAsia" w:ascii="宋体" w:hAnsi="宋体" w:eastAsia="宋体" w:cs="宋体"/>
                <w:color w:val="auto"/>
                <w:highlight w:val="none"/>
              </w:rPr>
              <w:t xml:space="preserve">1. 成功导出 PCAP 并关联 TLS 密钥，得 </w:t>
            </w:r>
            <w:r>
              <w:rPr>
                <w:rFonts w:hint="eastAsia" w:ascii="宋体" w:hAnsi="宋体" w:eastAsia="宋体" w:cs="宋体"/>
                <w:b/>
                <w:bCs/>
                <w:color w:val="auto"/>
                <w:highlight w:val="none"/>
              </w:rPr>
              <w:t>15分</w:t>
            </w:r>
            <w:r>
              <w:rPr>
                <w:rFonts w:hint="eastAsia" w:ascii="宋体" w:hAnsi="宋体" w:eastAsia="宋体" w:cs="宋体"/>
                <w:color w:val="auto"/>
                <w:highlight w:val="none"/>
              </w:rPr>
              <w:t xml:space="preserve">。 </w:t>
            </w:r>
          </w:p>
          <w:p w14:paraId="00B8CA18">
            <w:pPr>
              <w:rPr>
                <w:rFonts w:hint="eastAsia" w:ascii="宋体" w:hAnsi="宋体" w:eastAsia="宋体" w:cs="宋体"/>
                <w:color w:val="auto"/>
                <w:highlight w:val="none"/>
              </w:rPr>
            </w:pPr>
            <w:r>
              <w:rPr>
                <w:rFonts w:hint="eastAsia" w:ascii="宋体" w:hAnsi="宋体" w:eastAsia="宋体" w:cs="宋体"/>
                <w:color w:val="auto"/>
                <w:highlight w:val="none"/>
              </w:rPr>
              <w:t xml:space="preserve">2. 无法关联或导出 TLS 密钥，扣 </w:t>
            </w:r>
            <w:r>
              <w:rPr>
                <w:rFonts w:hint="eastAsia" w:ascii="宋体" w:hAnsi="宋体" w:eastAsia="宋体" w:cs="宋体"/>
                <w:b/>
                <w:bCs/>
                <w:color w:val="auto"/>
                <w:highlight w:val="none"/>
              </w:rPr>
              <w:t>5分</w:t>
            </w:r>
            <w:r>
              <w:rPr>
                <w:rFonts w:hint="eastAsia" w:ascii="宋体" w:hAnsi="宋体" w:eastAsia="宋体" w:cs="宋体"/>
                <w:color w:val="auto"/>
                <w:highlight w:val="none"/>
              </w:rPr>
              <w:t xml:space="preserve">。 </w:t>
            </w:r>
          </w:p>
          <w:p w14:paraId="3E2DEFDB">
            <w:pPr>
              <w:rPr>
                <w:rFonts w:hint="eastAsia" w:ascii="宋体" w:hAnsi="宋体" w:eastAsia="宋体" w:cs="宋体"/>
                <w:color w:val="auto"/>
                <w:highlight w:val="none"/>
              </w:rPr>
            </w:pPr>
            <w:r>
              <w:rPr>
                <w:rFonts w:hint="eastAsia" w:ascii="宋体" w:hAnsi="宋体" w:eastAsia="宋体" w:cs="宋体"/>
                <w:color w:val="auto"/>
                <w:highlight w:val="none"/>
              </w:rPr>
              <w:t>3. 流量截取不完整或反对抗能力缺失，酌情扣分。</w:t>
            </w:r>
          </w:p>
        </w:tc>
        <w:tc>
          <w:tcPr>
            <w:tcW w:w="762" w:type="dxa"/>
            <w:vAlign w:val="center"/>
          </w:tcPr>
          <w:p w14:paraId="5E2305A0">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465" w:type="dxa"/>
            <w:vAlign w:val="center"/>
          </w:tcPr>
          <w:p w14:paraId="3BA45E37">
            <w:pPr>
              <w:rPr>
                <w:rFonts w:hint="eastAsia" w:ascii="宋体" w:hAnsi="宋体" w:eastAsia="宋体" w:cs="宋体"/>
                <w:color w:val="auto"/>
                <w:highlight w:val="none"/>
              </w:rPr>
            </w:pPr>
            <w:r>
              <w:rPr>
                <w:rFonts w:hint="eastAsia" w:ascii="宋体" w:hAnsi="宋体" w:eastAsia="宋体" w:cs="宋体"/>
                <w:color w:val="auto"/>
                <w:highlight w:val="none"/>
              </w:rPr>
              <w:t>提交加密流量样本，验证 PCAP、TLS 密钥的可用性。</w:t>
            </w:r>
          </w:p>
        </w:tc>
      </w:tr>
      <w:tr w14:paraId="3BE9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5" w:type="dxa"/>
            <w:vAlign w:val="center"/>
          </w:tcPr>
          <w:p w14:paraId="4E22BC0D">
            <w:pPr>
              <w:rPr>
                <w:rFonts w:hint="eastAsia" w:ascii="宋体" w:hAnsi="宋体" w:eastAsia="宋体" w:cs="宋体"/>
                <w:color w:val="auto"/>
                <w:highlight w:val="none"/>
              </w:rPr>
            </w:pPr>
            <w:r>
              <w:rPr>
                <w:rFonts w:hint="eastAsia" w:ascii="宋体" w:hAnsi="宋体" w:eastAsia="宋体" w:cs="宋体"/>
                <w:b/>
                <w:bCs/>
                <w:color w:val="auto"/>
                <w:highlight w:val="none"/>
              </w:rPr>
              <w:t xml:space="preserve">4. </w:t>
            </w:r>
            <w:r>
              <w:rPr>
                <w:rFonts w:hint="eastAsia" w:ascii="宋体" w:hAnsi="宋体" w:eastAsia="宋体" w:cs="宋体"/>
                <w:b/>
                <w:bCs/>
                <w:color w:val="auto"/>
                <w:highlight w:val="none"/>
                <w:lang w:eastAsia="zh-CN"/>
              </w:rPr>
              <w:t>开源扩线</w:t>
            </w:r>
            <w:r>
              <w:rPr>
                <w:rFonts w:hint="eastAsia" w:ascii="宋体" w:hAnsi="宋体" w:eastAsia="宋体" w:cs="宋体"/>
                <w:b/>
                <w:bCs/>
                <w:color w:val="auto"/>
                <w:highlight w:val="none"/>
              </w:rPr>
              <w:t>与</w:t>
            </w:r>
            <w:r>
              <w:rPr>
                <w:rFonts w:hint="eastAsia" w:ascii="宋体" w:hAnsi="宋体" w:eastAsia="宋体" w:cs="宋体"/>
                <w:b/>
                <w:bCs/>
                <w:color w:val="auto"/>
                <w:highlight w:val="none"/>
                <w:lang w:eastAsia="zh-CN"/>
              </w:rPr>
              <w:t>定性</w:t>
            </w:r>
            <w:r>
              <w:rPr>
                <w:rFonts w:hint="eastAsia" w:ascii="宋体" w:hAnsi="宋体" w:eastAsia="宋体" w:cs="宋体"/>
                <w:b/>
                <w:bCs/>
                <w:color w:val="auto"/>
                <w:highlight w:val="none"/>
              </w:rPr>
              <w:t>能力</w:t>
            </w:r>
          </w:p>
        </w:tc>
        <w:tc>
          <w:tcPr>
            <w:tcW w:w="2557" w:type="dxa"/>
            <w:vAlign w:val="center"/>
          </w:tcPr>
          <w:p w14:paraId="00CEF2A3">
            <w:pPr>
              <w:rPr>
                <w:rFonts w:hint="eastAsia" w:ascii="宋体" w:hAnsi="宋体" w:eastAsia="宋体" w:cs="宋体"/>
                <w:color w:val="auto"/>
                <w:highlight w:val="none"/>
              </w:rPr>
            </w:pPr>
            <w:r>
              <w:rPr>
                <w:rFonts w:hint="eastAsia" w:ascii="宋体" w:hAnsi="宋体" w:eastAsia="宋体" w:cs="宋体"/>
                <w:b/>
                <w:bCs/>
                <w:color w:val="auto"/>
                <w:highlight w:val="none"/>
                <w:lang w:eastAsia="zh-CN"/>
              </w:rPr>
              <w:t>开源扩线</w:t>
            </w:r>
            <w:r>
              <w:rPr>
                <w:rFonts w:hint="eastAsia" w:ascii="宋体" w:hAnsi="宋体" w:eastAsia="宋体" w:cs="宋体"/>
                <w:b/>
                <w:bCs/>
                <w:color w:val="auto"/>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对动静态分析结果进行全面抓取分析，对涉及的</w:t>
            </w:r>
            <w:r>
              <w:rPr>
                <w:rFonts w:hint="eastAsia" w:ascii="宋体" w:hAnsi="宋体" w:eastAsia="宋体" w:cs="宋体"/>
                <w:color w:val="auto"/>
                <w:highlight w:val="none"/>
              </w:rPr>
              <w:t>域名 DNS、Whois、ICP、TLS 证书等</w:t>
            </w:r>
            <w:r>
              <w:rPr>
                <w:rFonts w:hint="eastAsia" w:ascii="宋体" w:hAnsi="宋体" w:eastAsia="宋体" w:cs="宋体"/>
                <w:color w:val="auto"/>
                <w:highlight w:val="none"/>
                <w:lang w:eastAsia="zh-CN"/>
              </w:rPr>
              <w:t>信息进行扩线。</w:t>
            </w:r>
          </w:p>
          <w:p w14:paraId="1F91AB7B">
            <w:pPr>
              <w:rPr>
                <w:rFonts w:hint="eastAsia" w:ascii="宋体" w:hAnsi="宋体" w:eastAsia="宋体" w:cs="宋体"/>
                <w:color w:val="auto"/>
                <w:highlight w:val="none"/>
              </w:rPr>
            </w:pPr>
            <w:r>
              <w:rPr>
                <w:rFonts w:hint="eastAsia" w:ascii="宋体" w:hAnsi="宋体" w:eastAsia="宋体" w:cs="宋体"/>
                <w:b/>
                <w:bCs/>
                <w:color w:val="auto"/>
                <w:highlight w:val="none"/>
              </w:rPr>
              <w:t>定性能力：</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综合判定</w:t>
            </w:r>
            <w:r>
              <w:rPr>
                <w:rFonts w:hint="eastAsia" w:ascii="宋体" w:hAnsi="宋体" w:eastAsia="宋体" w:cs="宋体"/>
                <w:color w:val="auto"/>
                <w:highlight w:val="none"/>
              </w:rPr>
              <w:t>域名/IP</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准确分类定性（好坏、可疑度）。</w:t>
            </w:r>
          </w:p>
          <w:p w14:paraId="08430BFA">
            <w:pPr>
              <w:rPr>
                <w:rFonts w:hint="eastAsia" w:ascii="宋体" w:hAnsi="宋体" w:eastAsia="宋体" w:cs="宋体"/>
                <w:color w:val="auto"/>
                <w:highlight w:val="none"/>
              </w:rPr>
            </w:pPr>
            <w:r>
              <w:rPr>
                <w:rFonts w:hint="eastAsia" w:ascii="宋体" w:hAnsi="宋体" w:eastAsia="宋体" w:cs="宋体"/>
                <w:b/>
                <w:bCs/>
                <w:color w:val="auto"/>
                <w:highlight w:val="none"/>
              </w:rPr>
              <w:t>扩线能力：</w:t>
            </w:r>
            <w:r>
              <w:rPr>
                <w:rFonts w:hint="eastAsia" w:ascii="宋体" w:hAnsi="宋体" w:eastAsia="宋体" w:cs="宋体"/>
                <w:color w:val="auto"/>
                <w:highlight w:val="none"/>
              </w:rPr>
              <w:t xml:space="preserve"> 基于源代码、包名、签名、SDK_API_Key、域名/IP 进行串并扩线。</w:t>
            </w:r>
          </w:p>
        </w:tc>
        <w:tc>
          <w:tcPr>
            <w:tcW w:w="1990" w:type="dxa"/>
            <w:vAlign w:val="center"/>
          </w:tcPr>
          <w:p w14:paraId="5B73C2F0">
            <w:pPr>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lang w:eastAsia="zh-CN"/>
              </w:rPr>
              <w:t>涉网线索开源扩线信息</w:t>
            </w:r>
            <w:r>
              <w:rPr>
                <w:rFonts w:hint="eastAsia" w:ascii="宋体" w:hAnsi="宋体" w:eastAsia="宋体" w:cs="宋体"/>
                <w:color w:val="auto"/>
                <w:highlight w:val="none"/>
              </w:rPr>
              <w:t xml:space="preserve">全面准确，定性能力强，得 </w:t>
            </w:r>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 </w:t>
            </w:r>
          </w:p>
          <w:p w14:paraId="653B67FE">
            <w:pPr>
              <w:rPr>
                <w:rFonts w:hint="eastAsia" w:ascii="宋体" w:hAnsi="宋体" w:eastAsia="宋体" w:cs="宋体"/>
                <w:color w:val="auto"/>
                <w:highlight w:val="none"/>
              </w:rPr>
            </w:pPr>
            <w:r>
              <w:rPr>
                <w:rFonts w:hint="eastAsia" w:ascii="宋体" w:hAnsi="宋体" w:eastAsia="宋体" w:cs="宋体"/>
                <w:color w:val="auto"/>
                <w:highlight w:val="none"/>
              </w:rPr>
              <w:t xml:space="preserve">2. 扩线结果准确率 大于等于 60% 且可溯源，得 </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分</w:t>
            </w:r>
            <w:r>
              <w:rPr>
                <w:rFonts w:hint="eastAsia" w:ascii="宋体" w:hAnsi="宋体" w:eastAsia="宋体" w:cs="宋体"/>
                <w:color w:val="auto"/>
                <w:highlight w:val="none"/>
              </w:rPr>
              <w:t xml:space="preserve">。 </w:t>
            </w:r>
          </w:p>
          <w:p w14:paraId="76DB7433">
            <w:pPr>
              <w:rPr>
                <w:rFonts w:hint="eastAsia" w:ascii="宋体" w:hAnsi="宋体" w:eastAsia="宋体" w:cs="宋体"/>
                <w:color w:val="auto"/>
                <w:highlight w:val="none"/>
              </w:rPr>
            </w:pPr>
            <w:r>
              <w:rPr>
                <w:rFonts w:hint="eastAsia" w:ascii="宋体" w:hAnsi="宋体" w:eastAsia="宋体" w:cs="宋体"/>
                <w:color w:val="auto"/>
                <w:highlight w:val="none"/>
              </w:rPr>
              <w:t xml:space="preserve">3. </w:t>
            </w:r>
            <w:r>
              <w:rPr>
                <w:rFonts w:hint="eastAsia" w:ascii="宋体" w:hAnsi="宋体" w:eastAsia="宋体" w:cs="宋体"/>
                <w:color w:val="auto"/>
                <w:highlight w:val="none"/>
                <w:lang w:eastAsia="zh-CN"/>
              </w:rPr>
              <w:t>同类线索</w:t>
            </w:r>
            <w:r>
              <w:rPr>
                <w:rFonts w:hint="eastAsia" w:ascii="宋体" w:hAnsi="宋体" w:eastAsia="宋体" w:cs="宋体"/>
                <w:color w:val="auto"/>
                <w:highlight w:val="none"/>
              </w:rPr>
              <w:t xml:space="preserve">扩线准确率低于 30%，扣 </w:t>
            </w:r>
            <w:r>
              <w:rPr>
                <w:rFonts w:hint="eastAsia" w:ascii="宋体" w:hAnsi="宋体" w:eastAsia="宋体" w:cs="宋体"/>
                <w:b/>
                <w:bCs/>
                <w:color w:val="auto"/>
                <w:highlight w:val="none"/>
              </w:rPr>
              <w:t>4分</w:t>
            </w:r>
            <w:r>
              <w:rPr>
                <w:rFonts w:hint="eastAsia" w:ascii="宋体" w:hAnsi="宋体" w:eastAsia="宋体" w:cs="宋体"/>
                <w:color w:val="auto"/>
                <w:highlight w:val="none"/>
              </w:rPr>
              <w:t>。</w:t>
            </w:r>
          </w:p>
        </w:tc>
        <w:tc>
          <w:tcPr>
            <w:tcW w:w="762" w:type="dxa"/>
            <w:vAlign w:val="center"/>
          </w:tcPr>
          <w:p w14:paraId="10B2E4FA">
            <w:pPr>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2465" w:type="dxa"/>
            <w:vAlign w:val="center"/>
          </w:tcPr>
          <w:p w14:paraId="4C21AEF9">
            <w:pPr>
              <w:rPr>
                <w:rFonts w:hint="eastAsia" w:ascii="宋体" w:hAnsi="宋体" w:eastAsia="宋体" w:cs="宋体"/>
                <w:color w:val="auto"/>
                <w:highlight w:val="none"/>
              </w:rPr>
            </w:pPr>
            <w:r>
              <w:rPr>
                <w:rFonts w:hint="eastAsia" w:ascii="宋体" w:hAnsi="宋体" w:eastAsia="宋体" w:cs="宋体"/>
                <w:color w:val="auto"/>
                <w:highlight w:val="none"/>
              </w:rPr>
              <w:t>随机抽样核验后台情报的准确性、时效性；核验扩线结果准确率。</w:t>
            </w:r>
          </w:p>
        </w:tc>
      </w:tr>
      <w:tr w14:paraId="3383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5" w:type="dxa"/>
            <w:vAlign w:val="center"/>
          </w:tcPr>
          <w:p w14:paraId="743987C2">
            <w:pPr>
              <w:rPr>
                <w:rFonts w:hint="eastAsia" w:ascii="宋体" w:hAnsi="宋体" w:eastAsia="宋体" w:cs="宋体"/>
                <w:color w:val="auto"/>
                <w:highlight w:val="none"/>
              </w:rPr>
            </w:pPr>
            <w:r>
              <w:rPr>
                <w:rFonts w:hint="eastAsia" w:ascii="宋体" w:hAnsi="宋体" w:eastAsia="宋体" w:cs="宋体"/>
                <w:b/>
                <w:bCs/>
                <w:color w:val="auto"/>
                <w:highlight w:val="none"/>
              </w:rPr>
              <w:t>二、专家分析软件功能与授权 (35分)</w:t>
            </w:r>
          </w:p>
        </w:tc>
        <w:tc>
          <w:tcPr>
            <w:tcW w:w="2557" w:type="dxa"/>
            <w:vAlign w:val="center"/>
          </w:tcPr>
          <w:p w14:paraId="42456A54">
            <w:pPr>
              <w:rPr>
                <w:rFonts w:hint="eastAsia" w:ascii="宋体" w:hAnsi="宋体" w:eastAsia="宋体" w:cs="宋体"/>
                <w:color w:val="auto"/>
                <w:highlight w:val="none"/>
              </w:rPr>
            </w:pPr>
          </w:p>
        </w:tc>
        <w:tc>
          <w:tcPr>
            <w:tcW w:w="1990" w:type="dxa"/>
            <w:vAlign w:val="center"/>
          </w:tcPr>
          <w:p w14:paraId="7EC3DA96">
            <w:pPr>
              <w:rPr>
                <w:rFonts w:hint="eastAsia" w:ascii="宋体" w:hAnsi="宋体" w:eastAsia="宋体" w:cs="宋体"/>
                <w:color w:val="auto"/>
                <w:highlight w:val="none"/>
              </w:rPr>
            </w:pPr>
          </w:p>
        </w:tc>
        <w:tc>
          <w:tcPr>
            <w:tcW w:w="762" w:type="dxa"/>
            <w:vAlign w:val="center"/>
          </w:tcPr>
          <w:p w14:paraId="6D2B16C7">
            <w:pPr>
              <w:jc w:val="center"/>
              <w:rPr>
                <w:rFonts w:hint="eastAsia" w:ascii="宋体" w:hAnsi="宋体" w:eastAsia="宋体" w:cs="宋体"/>
                <w:color w:val="auto"/>
                <w:highlight w:val="none"/>
              </w:rPr>
            </w:pPr>
            <w:r>
              <w:rPr>
                <w:rFonts w:hint="eastAsia" w:ascii="宋体" w:hAnsi="宋体" w:eastAsia="宋体" w:cs="宋体"/>
                <w:b/>
                <w:bCs/>
                <w:color w:val="auto"/>
                <w:highlight w:val="none"/>
              </w:rPr>
              <w:t>35</w:t>
            </w:r>
          </w:p>
        </w:tc>
        <w:tc>
          <w:tcPr>
            <w:tcW w:w="2465" w:type="dxa"/>
            <w:vAlign w:val="center"/>
          </w:tcPr>
          <w:p w14:paraId="4957810E">
            <w:pPr>
              <w:rPr>
                <w:rFonts w:hint="eastAsia" w:ascii="宋体" w:hAnsi="宋体" w:eastAsia="宋体" w:cs="宋体"/>
                <w:color w:val="auto"/>
                <w:highlight w:val="none"/>
              </w:rPr>
            </w:pPr>
          </w:p>
        </w:tc>
      </w:tr>
      <w:tr w14:paraId="06EF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5" w:type="dxa"/>
            <w:vAlign w:val="center"/>
          </w:tcPr>
          <w:p w14:paraId="616152E5">
            <w:pPr>
              <w:rPr>
                <w:rFonts w:hint="eastAsia" w:ascii="宋体" w:hAnsi="宋体" w:eastAsia="宋体" w:cs="宋体"/>
                <w:color w:val="auto"/>
                <w:highlight w:val="none"/>
              </w:rPr>
            </w:pPr>
            <w:r>
              <w:rPr>
                <w:rFonts w:hint="eastAsia" w:ascii="宋体" w:hAnsi="宋体" w:eastAsia="宋体" w:cs="宋体"/>
                <w:b/>
                <w:bCs/>
                <w:color w:val="auto"/>
                <w:highlight w:val="none"/>
              </w:rPr>
              <w:t>1. 基础环境与便捷操作</w:t>
            </w:r>
          </w:p>
        </w:tc>
        <w:tc>
          <w:tcPr>
            <w:tcW w:w="2557" w:type="dxa"/>
            <w:vAlign w:val="center"/>
          </w:tcPr>
          <w:p w14:paraId="2E17A266">
            <w:pPr>
              <w:rPr>
                <w:rFonts w:hint="eastAsia" w:ascii="宋体" w:hAnsi="宋体" w:eastAsia="宋体" w:cs="宋体"/>
                <w:color w:val="auto"/>
                <w:highlight w:val="none"/>
              </w:rPr>
            </w:pPr>
            <w:r>
              <w:rPr>
                <w:rFonts w:hint="eastAsia" w:ascii="宋体" w:hAnsi="宋体" w:eastAsia="宋体" w:cs="宋体"/>
                <w:color w:val="auto"/>
                <w:highlight w:val="none"/>
              </w:rPr>
              <w:t xml:space="preserve">1. 案件管理、日志记录、自动静态分析。 </w:t>
            </w:r>
          </w:p>
          <w:p w14:paraId="0C230A3A">
            <w:pPr>
              <w:rPr>
                <w:rFonts w:hint="eastAsia" w:ascii="宋体" w:hAnsi="宋体" w:eastAsia="宋体" w:cs="宋体"/>
                <w:color w:val="auto"/>
                <w:highlight w:val="none"/>
              </w:rPr>
            </w:pPr>
            <w:r>
              <w:rPr>
                <w:rFonts w:hint="eastAsia" w:ascii="宋体" w:hAnsi="宋体" w:eastAsia="宋体" w:cs="宋体"/>
                <w:color w:val="auto"/>
                <w:highlight w:val="none"/>
              </w:rPr>
              <w:t xml:space="preserve">2. 自动绕过 ROOT/签名/SSL 证书校验。 </w:t>
            </w:r>
          </w:p>
          <w:p w14:paraId="296A9DEB">
            <w:pPr>
              <w:rPr>
                <w:rFonts w:hint="eastAsia" w:ascii="宋体" w:hAnsi="宋体" w:eastAsia="宋体" w:cs="宋体"/>
                <w:color w:val="auto"/>
                <w:highlight w:val="none"/>
              </w:rPr>
            </w:pPr>
            <w:r>
              <w:rPr>
                <w:rFonts w:hint="eastAsia" w:ascii="宋体" w:hAnsi="宋体" w:eastAsia="宋体" w:cs="宋体"/>
                <w:color w:val="auto"/>
                <w:highlight w:val="none"/>
              </w:rPr>
              <w:t xml:space="preserve">3. 伪加密还原、自动检测加固、支持 SO 文件脱壳。 </w:t>
            </w:r>
          </w:p>
          <w:p w14:paraId="5EC23655">
            <w:pPr>
              <w:rPr>
                <w:rFonts w:hint="eastAsia" w:ascii="宋体" w:hAnsi="宋体" w:eastAsia="宋体" w:cs="宋体"/>
                <w:color w:val="auto"/>
                <w:highlight w:val="none"/>
              </w:rPr>
            </w:pPr>
            <w:r>
              <w:rPr>
                <w:rFonts w:hint="eastAsia" w:ascii="宋体" w:hAnsi="宋体" w:eastAsia="宋体" w:cs="宋体"/>
                <w:color w:val="auto"/>
                <w:highlight w:val="none"/>
              </w:rPr>
              <w:t>4. 支持 Word/PDF/HTML 多格式分析报告一键导出。</w:t>
            </w:r>
          </w:p>
        </w:tc>
        <w:tc>
          <w:tcPr>
            <w:tcW w:w="1990" w:type="dxa"/>
            <w:vAlign w:val="center"/>
          </w:tcPr>
          <w:p w14:paraId="56A469D0">
            <w:pPr>
              <w:rPr>
                <w:rFonts w:hint="eastAsia" w:ascii="宋体" w:hAnsi="宋体" w:eastAsia="宋体" w:cs="宋体"/>
                <w:color w:val="auto"/>
                <w:highlight w:val="none"/>
              </w:rPr>
            </w:pPr>
            <w:r>
              <w:rPr>
                <w:rFonts w:hint="eastAsia" w:ascii="宋体" w:hAnsi="宋体" w:eastAsia="宋体" w:cs="宋体"/>
                <w:color w:val="auto"/>
                <w:highlight w:val="none"/>
              </w:rPr>
              <w:t xml:space="preserve">1. 全部基础功能满足且易用性高，得 </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 </w:t>
            </w:r>
          </w:p>
          <w:p w14:paraId="0FD24ED5">
            <w:pPr>
              <w:rPr>
                <w:rFonts w:hint="eastAsia" w:ascii="宋体" w:hAnsi="宋体" w:eastAsia="宋体" w:cs="宋体"/>
                <w:color w:val="auto"/>
                <w:highlight w:val="none"/>
              </w:rPr>
            </w:pPr>
            <w:r>
              <w:rPr>
                <w:rFonts w:hint="eastAsia" w:ascii="宋体" w:hAnsi="宋体" w:eastAsia="宋体" w:cs="宋体"/>
                <w:color w:val="auto"/>
                <w:highlight w:val="none"/>
              </w:rPr>
              <w:t xml:space="preserve">2. 基础绕过功能缺失，每项扣 </w:t>
            </w:r>
            <w:r>
              <w:rPr>
                <w:rFonts w:hint="eastAsia" w:ascii="宋体" w:hAnsi="宋体" w:eastAsia="宋体" w:cs="宋体"/>
                <w:b/>
                <w:bCs/>
                <w:color w:val="auto"/>
                <w:highlight w:val="none"/>
              </w:rPr>
              <w:t>1-2分</w:t>
            </w:r>
            <w:r>
              <w:rPr>
                <w:rFonts w:hint="eastAsia" w:ascii="宋体" w:hAnsi="宋体" w:eastAsia="宋体" w:cs="宋体"/>
                <w:color w:val="auto"/>
                <w:highlight w:val="none"/>
              </w:rPr>
              <w:t>。</w:t>
            </w:r>
          </w:p>
        </w:tc>
        <w:tc>
          <w:tcPr>
            <w:tcW w:w="762" w:type="dxa"/>
            <w:vAlign w:val="center"/>
          </w:tcPr>
          <w:p w14:paraId="104E1A5B">
            <w:pPr>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2465" w:type="dxa"/>
            <w:vAlign w:val="center"/>
          </w:tcPr>
          <w:p w14:paraId="1A430553">
            <w:pPr>
              <w:rPr>
                <w:rFonts w:hint="eastAsia" w:ascii="宋体" w:hAnsi="宋体" w:eastAsia="宋体" w:cs="宋体"/>
                <w:color w:val="auto"/>
                <w:highlight w:val="none"/>
              </w:rPr>
            </w:pPr>
            <w:r>
              <w:rPr>
                <w:rFonts w:hint="eastAsia" w:ascii="宋体" w:hAnsi="宋体" w:eastAsia="宋体" w:cs="宋体"/>
                <w:color w:val="auto"/>
                <w:highlight w:val="none"/>
              </w:rPr>
              <w:t>现场演示软件的基础功能、环境设置及报告生成过程。</w:t>
            </w:r>
          </w:p>
        </w:tc>
      </w:tr>
      <w:tr w14:paraId="5048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5" w:type="dxa"/>
            <w:vAlign w:val="center"/>
          </w:tcPr>
          <w:p w14:paraId="7BE96C47">
            <w:pPr>
              <w:rPr>
                <w:rFonts w:hint="eastAsia" w:ascii="宋体" w:hAnsi="宋体" w:eastAsia="宋体" w:cs="宋体"/>
                <w:color w:val="auto"/>
                <w:highlight w:val="none"/>
              </w:rPr>
            </w:pPr>
            <w:r>
              <w:rPr>
                <w:rFonts w:hint="eastAsia" w:ascii="宋体" w:hAnsi="宋体" w:eastAsia="宋体" w:cs="宋体"/>
                <w:b/>
                <w:bCs/>
                <w:color w:val="auto"/>
                <w:highlight w:val="none"/>
              </w:rPr>
              <w:t>2. 动态分析与 Frida  集成</w:t>
            </w:r>
          </w:p>
        </w:tc>
        <w:tc>
          <w:tcPr>
            <w:tcW w:w="2557" w:type="dxa"/>
            <w:vAlign w:val="center"/>
          </w:tcPr>
          <w:p w14:paraId="2F06676C">
            <w:pPr>
              <w:rPr>
                <w:rFonts w:hint="eastAsia" w:ascii="宋体" w:hAnsi="宋体" w:eastAsia="宋体" w:cs="宋体"/>
                <w:color w:val="auto"/>
                <w:highlight w:val="none"/>
              </w:rPr>
            </w:pPr>
            <w:r>
              <w:rPr>
                <w:rFonts w:hint="eastAsia" w:ascii="宋体" w:hAnsi="宋体" w:eastAsia="宋体" w:cs="宋体"/>
                <w:color w:val="auto"/>
                <w:highlight w:val="none"/>
              </w:rPr>
              <w:t xml:space="preserve">1. 提供Frida  脚本功能，支持全局生效。 </w:t>
            </w:r>
          </w:p>
          <w:p w14:paraId="6C473F63">
            <w:pPr>
              <w:rPr>
                <w:rFonts w:hint="eastAsia" w:ascii="宋体" w:hAnsi="宋体" w:eastAsia="宋体" w:cs="宋体"/>
                <w:color w:val="auto"/>
                <w:highlight w:val="none"/>
              </w:rPr>
            </w:pPr>
            <w:r>
              <w:rPr>
                <w:rFonts w:hint="eastAsia" w:ascii="宋体" w:hAnsi="宋体" w:eastAsia="宋体" w:cs="宋体"/>
                <w:color w:val="auto"/>
                <w:highlight w:val="none"/>
              </w:rPr>
              <w:t>2. 通过界面选择目标函数/库，</w:t>
            </w:r>
            <w:r>
              <w:rPr>
                <w:rFonts w:hint="eastAsia" w:ascii="宋体" w:hAnsi="宋体" w:eastAsia="宋体" w:cs="宋体"/>
                <w:b/>
                <w:bCs/>
                <w:color w:val="auto"/>
                <w:highlight w:val="none"/>
              </w:rPr>
              <w:t xml:space="preserve">自动生成 </w:t>
            </w:r>
            <w:bookmarkStart w:id="63" w:name="OLE_LINK25"/>
            <w:r>
              <w:rPr>
                <w:rFonts w:hint="eastAsia" w:ascii="宋体" w:hAnsi="宋体" w:eastAsia="宋体" w:cs="宋体"/>
                <w:b/>
                <w:bCs/>
                <w:color w:val="auto"/>
                <w:highlight w:val="none"/>
              </w:rPr>
              <w:t xml:space="preserve">Frida  </w:t>
            </w:r>
            <w:bookmarkEnd w:id="63"/>
            <w:r>
              <w:rPr>
                <w:rFonts w:hint="eastAsia" w:ascii="宋体" w:hAnsi="宋体" w:eastAsia="宋体" w:cs="宋体"/>
                <w:b/>
                <w:bCs/>
                <w:color w:val="auto"/>
                <w:highlight w:val="none"/>
              </w:rPr>
              <w:t>脚本</w:t>
            </w:r>
            <w:r>
              <w:rPr>
                <w:rFonts w:hint="eastAsia" w:ascii="宋体" w:hAnsi="宋体" w:eastAsia="宋体" w:cs="宋体"/>
                <w:color w:val="auto"/>
                <w:highlight w:val="none"/>
              </w:rPr>
              <w:t xml:space="preserve">。 </w:t>
            </w:r>
          </w:p>
          <w:p w14:paraId="59B81FAB">
            <w:pPr>
              <w:rPr>
                <w:rFonts w:hint="eastAsia" w:ascii="宋体" w:hAnsi="宋体" w:eastAsia="宋体" w:cs="宋体"/>
                <w:color w:val="auto"/>
                <w:highlight w:val="none"/>
              </w:rPr>
            </w:pPr>
            <w:r>
              <w:rPr>
                <w:rFonts w:hint="eastAsia" w:ascii="宋体" w:hAnsi="宋体" w:eastAsia="宋体" w:cs="宋体"/>
                <w:color w:val="auto"/>
                <w:highlight w:val="none"/>
              </w:rPr>
              <w:t>3. Frida  堆栈信息开关、自定义/组合运行脚本。</w:t>
            </w:r>
          </w:p>
          <w:p w14:paraId="27FF9FBF">
            <w:pPr>
              <w:rPr>
                <w:rFonts w:hint="eastAsia" w:ascii="宋体" w:hAnsi="宋体" w:eastAsia="宋体" w:cs="宋体"/>
                <w:color w:val="auto"/>
                <w:highlight w:val="none"/>
              </w:rPr>
            </w:pPr>
            <w:r>
              <w:rPr>
                <w:rFonts w:hint="eastAsia" w:ascii="宋体" w:hAnsi="宋体" w:eastAsia="宋体" w:cs="宋体"/>
                <w:color w:val="auto"/>
                <w:highlight w:val="none"/>
              </w:rPr>
              <w:t xml:space="preserve">4. 提供内置的 </w:t>
            </w:r>
            <w:r>
              <w:rPr>
                <w:rFonts w:hint="eastAsia" w:ascii="宋体" w:hAnsi="宋体" w:eastAsia="宋体" w:cs="宋体"/>
                <w:b/>
                <w:bCs/>
                <w:color w:val="auto"/>
                <w:highlight w:val="none"/>
              </w:rPr>
              <w:t>Frida  内存漫游</w:t>
            </w:r>
            <w:r>
              <w:rPr>
                <w:rFonts w:hint="eastAsia" w:ascii="宋体" w:hAnsi="宋体" w:eastAsia="宋体" w:cs="宋体"/>
                <w:color w:val="auto"/>
                <w:highlight w:val="none"/>
              </w:rPr>
              <w:t>功能（内存搜索、数据抓包等）。</w:t>
            </w:r>
          </w:p>
        </w:tc>
        <w:tc>
          <w:tcPr>
            <w:tcW w:w="1990" w:type="dxa"/>
            <w:vAlign w:val="center"/>
          </w:tcPr>
          <w:p w14:paraId="2EF9A2E5">
            <w:pPr>
              <w:rPr>
                <w:rFonts w:hint="eastAsia" w:ascii="宋体" w:hAnsi="宋体" w:eastAsia="宋体" w:cs="宋体"/>
                <w:color w:val="auto"/>
                <w:highlight w:val="none"/>
              </w:rPr>
            </w:pPr>
            <w:r>
              <w:rPr>
                <w:rFonts w:hint="eastAsia" w:ascii="宋体" w:hAnsi="宋体" w:eastAsia="宋体" w:cs="宋体"/>
                <w:color w:val="auto"/>
                <w:highlight w:val="none"/>
              </w:rPr>
              <w:t xml:space="preserve">1. 全部 Frida  深度集成功能满足，得 </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 </w:t>
            </w:r>
          </w:p>
          <w:p w14:paraId="52E632E8">
            <w:pPr>
              <w:rPr>
                <w:rFonts w:hint="eastAsia" w:ascii="宋体" w:hAnsi="宋体" w:eastAsia="宋体" w:cs="宋体"/>
                <w:color w:val="auto"/>
                <w:highlight w:val="none"/>
              </w:rPr>
            </w:pPr>
            <w:r>
              <w:rPr>
                <w:rFonts w:hint="eastAsia" w:ascii="宋体" w:hAnsi="宋体" w:eastAsia="宋体" w:cs="宋体"/>
                <w:color w:val="auto"/>
                <w:highlight w:val="none"/>
              </w:rPr>
              <w:t xml:space="preserve">2. 无法自动生成脚本，扣 </w:t>
            </w:r>
            <w:r>
              <w:rPr>
                <w:rFonts w:hint="eastAsia" w:ascii="宋体" w:hAnsi="宋体" w:eastAsia="宋体" w:cs="宋体"/>
                <w:b/>
                <w:bCs/>
                <w:color w:val="auto"/>
                <w:highlight w:val="none"/>
              </w:rPr>
              <w:t>3分</w:t>
            </w:r>
            <w:r>
              <w:rPr>
                <w:rFonts w:hint="eastAsia" w:ascii="宋体" w:hAnsi="宋体" w:eastAsia="宋体" w:cs="宋体"/>
                <w:color w:val="auto"/>
                <w:highlight w:val="none"/>
              </w:rPr>
              <w:t xml:space="preserve">。 </w:t>
            </w:r>
          </w:p>
          <w:p w14:paraId="03C79F79">
            <w:pPr>
              <w:rPr>
                <w:rFonts w:hint="eastAsia" w:ascii="宋体" w:hAnsi="宋体" w:eastAsia="宋体" w:cs="宋体"/>
                <w:color w:val="auto"/>
                <w:highlight w:val="none"/>
              </w:rPr>
            </w:pPr>
            <w:r>
              <w:rPr>
                <w:rFonts w:hint="eastAsia" w:ascii="宋体" w:hAnsi="宋体" w:eastAsia="宋体" w:cs="宋体"/>
                <w:color w:val="auto"/>
                <w:highlight w:val="none"/>
              </w:rPr>
              <w:t xml:space="preserve">3. 内存漫游功能缺失或不完善，扣 </w:t>
            </w:r>
            <w:r>
              <w:rPr>
                <w:rFonts w:hint="eastAsia" w:ascii="宋体" w:hAnsi="宋体" w:eastAsia="宋体" w:cs="宋体"/>
                <w:b/>
                <w:bCs/>
                <w:color w:val="auto"/>
                <w:highlight w:val="none"/>
              </w:rPr>
              <w:t>2分</w:t>
            </w:r>
            <w:r>
              <w:rPr>
                <w:rFonts w:hint="eastAsia" w:ascii="宋体" w:hAnsi="宋体" w:eastAsia="宋体" w:cs="宋体"/>
                <w:color w:val="auto"/>
                <w:highlight w:val="none"/>
              </w:rPr>
              <w:t>。</w:t>
            </w:r>
          </w:p>
        </w:tc>
        <w:tc>
          <w:tcPr>
            <w:tcW w:w="762" w:type="dxa"/>
            <w:vAlign w:val="center"/>
          </w:tcPr>
          <w:p w14:paraId="25AED773">
            <w:pPr>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2465" w:type="dxa"/>
            <w:vAlign w:val="center"/>
          </w:tcPr>
          <w:p w14:paraId="6A619D47">
            <w:pPr>
              <w:rPr>
                <w:rFonts w:hint="eastAsia" w:ascii="宋体" w:hAnsi="宋体" w:eastAsia="宋体" w:cs="宋体"/>
                <w:color w:val="auto"/>
                <w:highlight w:val="none"/>
              </w:rPr>
            </w:pPr>
            <w:r>
              <w:rPr>
                <w:rFonts w:hint="eastAsia" w:ascii="宋体" w:hAnsi="宋体" w:eastAsia="宋体" w:cs="宋体"/>
                <w:color w:val="auto"/>
                <w:highlight w:val="none"/>
              </w:rPr>
              <w:t>现场演示 Frida 脚本自动生成、自定义 Hook 以及内存漫游功能。</w:t>
            </w:r>
          </w:p>
        </w:tc>
      </w:tr>
      <w:tr w14:paraId="536A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5" w:type="dxa"/>
            <w:vAlign w:val="center"/>
          </w:tcPr>
          <w:p w14:paraId="31A6174A">
            <w:pPr>
              <w:rPr>
                <w:rFonts w:hint="eastAsia" w:ascii="宋体" w:hAnsi="宋体" w:eastAsia="宋体" w:cs="宋体"/>
                <w:color w:val="auto"/>
                <w:highlight w:val="none"/>
              </w:rPr>
            </w:pPr>
            <w:r>
              <w:rPr>
                <w:rFonts w:hint="eastAsia" w:ascii="宋体" w:hAnsi="宋体" w:eastAsia="宋体" w:cs="宋体"/>
                <w:b/>
                <w:bCs/>
                <w:color w:val="auto"/>
                <w:highlight w:val="none"/>
              </w:rPr>
              <w:t>3. 数据解析与监控深度</w:t>
            </w:r>
          </w:p>
        </w:tc>
        <w:tc>
          <w:tcPr>
            <w:tcW w:w="2557" w:type="dxa"/>
            <w:vAlign w:val="center"/>
          </w:tcPr>
          <w:p w14:paraId="3E177A7D">
            <w:pPr>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b/>
                <w:bCs/>
                <w:color w:val="auto"/>
                <w:highlight w:val="none"/>
              </w:rPr>
              <w:t>网络数据包深度分析</w:t>
            </w:r>
            <w:r>
              <w:rPr>
                <w:rFonts w:hint="eastAsia" w:ascii="宋体" w:hAnsi="宋体" w:eastAsia="宋体" w:cs="宋体"/>
                <w:color w:val="auto"/>
                <w:highlight w:val="none"/>
              </w:rPr>
              <w:t xml:space="preserve">（备案、Whois、位置信息），内置 SSLKey 检出。 </w:t>
            </w:r>
          </w:p>
          <w:p w14:paraId="4FAE8626">
            <w:pPr>
              <w:rPr>
                <w:rFonts w:hint="eastAsia"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b/>
                <w:bCs/>
                <w:color w:val="auto"/>
                <w:highlight w:val="none"/>
              </w:rPr>
              <w:t>实时监控</w:t>
            </w:r>
            <w:r>
              <w:rPr>
                <w:rFonts w:hint="eastAsia" w:ascii="宋体" w:hAnsi="宋体" w:eastAsia="宋体" w:cs="宋体"/>
                <w:color w:val="auto"/>
                <w:highlight w:val="none"/>
              </w:rPr>
              <w:t xml:space="preserve"> IMEI、IMSI、位置、SDCard 读写、短信、电话等敏感行为。 </w:t>
            </w:r>
          </w:p>
          <w:p w14:paraId="6D449A27">
            <w:pPr>
              <w:rPr>
                <w:rFonts w:hint="eastAsia" w:ascii="宋体" w:hAnsi="宋体" w:eastAsia="宋体" w:cs="宋体"/>
                <w:color w:val="auto"/>
                <w:highlight w:val="none"/>
              </w:rPr>
            </w:pPr>
            <w:r>
              <w:rPr>
                <w:rFonts w:hint="eastAsia" w:ascii="宋体" w:hAnsi="宋体" w:eastAsia="宋体" w:cs="宋体"/>
                <w:color w:val="auto"/>
                <w:highlight w:val="none"/>
              </w:rPr>
              <w:t xml:space="preserve">3. 代码特征字符串检出（URL、IP、Hash 等），支持黑白名单。 </w:t>
            </w:r>
          </w:p>
          <w:p w14:paraId="5A82234F">
            <w:pPr>
              <w:rPr>
                <w:rFonts w:hint="eastAsia" w:ascii="宋体" w:hAnsi="宋体" w:eastAsia="宋体" w:cs="宋体"/>
                <w:color w:val="auto"/>
                <w:highlight w:val="none"/>
              </w:rPr>
            </w:pPr>
            <w:r>
              <w:rPr>
                <w:rFonts w:hint="eastAsia" w:ascii="宋体" w:hAnsi="宋体" w:eastAsia="宋体" w:cs="宋体"/>
                <w:color w:val="auto"/>
                <w:highlight w:val="none"/>
              </w:rPr>
              <w:t>4. 提供 APK/IPA 一键反编译和内置工具箱（端口扫描、编解码等）。</w:t>
            </w:r>
          </w:p>
        </w:tc>
        <w:tc>
          <w:tcPr>
            <w:tcW w:w="1990" w:type="dxa"/>
            <w:vAlign w:val="center"/>
          </w:tcPr>
          <w:p w14:paraId="2F257ABC">
            <w:pPr>
              <w:rPr>
                <w:rFonts w:hint="eastAsia" w:ascii="宋体" w:hAnsi="宋体" w:eastAsia="宋体" w:cs="宋体"/>
                <w:color w:val="auto"/>
                <w:highlight w:val="none"/>
              </w:rPr>
            </w:pPr>
            <w:r>
              <w:rPr>
                <w:rFonts w:hint="eastAsia" w:ascii="宋体" w:hAnsi="宋体" w:eastAsia="宋体" w:cs="宋体"/>
                <w:color w:val="auto"/>
                <w:highlight w:val="none"/>
              </w:rPr>
              <w:t xml:space="preserve">1. 数据解析、实时监控和特征检出功能全面，得 </w:t>
            </w:r>
            <w:r>
              <w:rPr>
                <w:rFonts w:hint="eastAsia" w:ascii="宋体" w:hAnsi="宋体" w:eastAsia="宋体" w:cs="宋体"/>
                <w:b/>
                <w:bCs/>
                <w:color w:val="auto"/>
                <w:highlight w:val="none"/>
              </w:rPr>
              <w:t>10分</w:t>
            </w:r>
            <w:r>
              <w:rPr>
                <w:rFonts w:hint="eastAsia" w:ascii="宋体" w:hAnsi="宋体" w:eastAsia="宋体" w:cs="宋体"/>
                <w:color w:val="auto"/>
                <w:highlight w:val="none"/>
              </w:rPr>
              <w:t xml:space="preserve">。 </w:t>
            </w:r>
          </w:p>
          <w:p w14:paraId="7B5256B5">
            <w:pPr>
              <w:rPr>
                <w:rFonts w:hint="eastAsia" w:ascii="宋体" w:hAnsi="宋体" w:eastAsia="宋体" w:cs="宋体"/>
                <w:color w:val="auto"/>
                <w:highlight w:val="none"/>
              </w:rPr>
            </w:pPr>
            <w:r>
              <w:rPr>
                <w:rFonts w:hint="eastAsia" w:ascii="宋体" w:hAnsi="宋体" w:eastAsia="宋体" w:cs="宋体"/>
                <w:color w:val="auto"/>
                <w:highlight w:val="none"/>
              </w:rPr>
              <w:t xml:space="preserve">2. 实时监控的敏感信息不足 5 项，每项扣 </w:t>
            </w:r>
            <w:r>
              <w:rPr>
                <w:rFonts w:hint="eastAsia" w:ascii="宋体" w:hAnsi="宋体" w:eastAsia="宋体" w:cs="宋体"/>
                <w:b/>
                <w:bCs/>
                <w:color w:val="auto"/>
                <w:highlight w:val="none"/>
              </w:rPr>
              <w:t>1分</w:t>
            </w:r>
            <w:r>
              <w:rPr>
                <w:rFonts w:hint="eastAsia" w:ascii="宋体" w:hAnsi="宋体" w:eastAsia="宋体" w:cs="宋体"/>
                <w:color w:val="auto"/>
                <w:highlight w:val="none"/>
              </w:rPr>
              <w:t>。</w:t>
            </w:r>
          </w:p>
        </w:tc>
        <w:tc>
          <w:tcPr>
            <w:tcW w:w="762" w:type="dxa"/>
            <w:vAlign w:val="center"/>
          </w:tcPr>
          <w:p w14:paraId="6A27EAF4">
            <w:pPr>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2465" w:type="dxa"/>
            <w:vAlign w:val="center"/>
          </w:tcPr>
          <w:p w14:paraId="241432DB">
            <w:pPr>
              <w:rPr>
                <w:rFonts w:hint="eastAsia" w:ascii="宋体" w:hAnsi="宋体" w:eastAsia="宋体" w:cs="宋体"/>
                <w:color w:val="auto"/>
                <w:highlight w:val="none"/>
              </w:rPr>
            </w:pPr>
            <w:r>
              <w:rPr>
                <w:rFonts w:hint="eastAsia" w:ascii="宋体" w:hAnsi="宋体" w:eastAsia="宋体" w:cs="宋体"/>
                <w:color w:val="auto"/>
                <w:highlight w:val="none"/>
              </w:rPr>
              <w:t>提交测试样本，现场演示网络数据包深度分析、敏感行为实时监控的全面性。</w:t>
            </w:r>
          </w:p>
        </w:tc>
      </w:tr>
      <w:tr w14:paraId="7827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5" w:type="dxa"/>
            <w:vAlign w:val="center"/>
          </w:tcPr>
          <w:p w14:paraId="3A6750FB">
            <w:pPr>
              <w:rPr>
                <w:rFonts w:hint="eastAsia" w:ascii="宋体" w:hAnsi="宋体" w:eastAsia="宋体" w:cs="宋体"/>
                <w:color w:val="auto"/>
                <w:highlight w:val="none"/>
              </w:rPr>
            </w:pPr>
            <w:r>
              <w:rPr>
                <w:rFonts w:hint="eastAsia" w:ascii="宋体" w:hAnsi="宋体" w:eastAsia="宋体" w:cs="宋体"/>
                <w:b/>
                <w:bCs/>
                <w:color w:val="auto"/>
                <w:highlight w:val="none"/>
              </w:rPr>
              <w:t>4. 智能分析与 AI 能力</w:t>
            </w:r>
          </w:p>
        </w:tc>
        <w:tc>
          <w:tcPr>
            <w:tcW w:w="2557" w:type="dxa"/>
            <w:vAlign w:val="center"/>
          </w:tcPr>
          <w:p w14:paraId="4B32F243">
            <w:pPr>
              <w:rPr>
                <w:rFonts w:hint="eastAsia" w:ascii="宋体" w:hAnsi="宋体" w:eastAsia="宋体" w:cs="宋体"/>
                <w:color w:val="auto"/>
                <w:highlight w:val="none"/>
              </w:rPr>
            </w:pPr>
            <w:r>
              <w:rPr>
                <w:rFonts w:hint="eastAsia" w:ascii="宋体" w:hAnsi="宋体" w:eastAsia="宋体" w:cs="宋体"/>
                <w:color w:val="auto"/>
                <w:highlight w:val="none"/>
              </w:rPr>
              <w:t xml:space="preserve">1. 提供基于特定规则的 APP </w:t>
            </w:r>
            <w:r>
              <w:rPr>
                <w:rFonts w:hint="eastAsia" w:ascii="宋体" w:hAnsi="宋体" w:eastAsia="宋体" w:cs="宋体"/>
                <w:b/>
                <w:bCs/>
                <w:color w:val="auto"/>
                <w:highlight w:val="none"/>
              </w:rPr>
              <w:t>风险程度评估</w:t>
            </w:r>
            <w:r>
              <w:rPr>
                <w:rFonts w:hint="eastAsia" w:ascii="宋体" w:hAnsi="宋体" w:eastAsia="宋体" w:cs="宋体"/>
                <w:color w:val="auto"/>
                <w:highlight w:val="none"/>
              </w:rPr>
              <w:t>。</w:t>
            </w:r>
          </w:p>
          <w:p w14:paraId="71686CB8">
            <w:pPr>
              <w:rPr>
                <w:rFonts w:hint="eastAsia" w:ascii="宋体" w:hAnsi="宋体" w:eastAsia="宋体" w:cs="宋体"/>
                <w:color w:val="auto"/>
                <w:highlight w:val="none"/>
              </w:rPr>
            </w:pPr>
            <w:r>
              <w:rPr>
                <w:rFonts w:hint="eastAsia" w:ascii="宋体" w:hAnsi="宋体" w:eastAsia="宋体" w:cs="宋体"/>
                <w:color w:val="auto"/>
                <w:highlight w:val="none"/>
              </w:rPr>
              <w:t xml:space="preserve">2. 提供基于 </w:t>
            </w:r>
            <w:r>
              <w:rPr>
                <w:rFonts w:hint="eastAsia" w:ascii="宋体" w:hAnsi="宋体" w:eastAsia="宋体" w:cs="宋体"/>
                <w:b/>
                <w:bCs/>
                <w:color w:val="auto"/>
                <w:highlight w:val="none"/>
              </w:rPr>
              <w:t>AI 大模型源码分析</w:t>
            </w:r>
            <w:r>
              <w:rPr>
                <w:rFonts w:hint="eastAsia" w:ascii="宋体" w:hAnsi="宋体" w:eastAsia="宋体" w:cs="宋体"/>
                <w:color w:val="auto"/>
                <w:highlight w:val="none"/>
              </w:rPr>
              <w:t xml:space="preserve">（功能概览、敏感行为列举）。 </w:t>
            </w:r>
          </w:p>
          <w:p w14:paraId="4925BDAA">
            <w:pPr>
              <w:rPr>
                <w:rFonts w:hint="eastAsia" w:ascii="宋体" w:hAnsi="宋体" w:eastAsia="宋体" w:cs="宋体"/>
                <w:color w:val="auto"/>
                <w:highlight w:val="none"/>
              </w:rPr>
            </w:pPr>
            <w:r>
              <w:rPr>
                <w:rFonts w:hint="eastAsia" w:ascii="宋体" w:hAnsi="宋体" w:eastAsia="宋体" w:cs="宋体"/>
                <w:color w:val="auto"/>
                <w:highlight w:val="none"/>
              </w:rPr>
              <w:t>3. 动静态分析结果支持</w:t>
            </w:r>
            <w:r>
              <w:rPr>
                <w:rFonts w:hint="eastAsia" w:ascii="宋体" w:hAnsi="宋体" w:eastAsia="宋体" w:cs="宋体"/>
                <w:b/>
                <w:bCs/>
                <w:color w:val="auto"/>
                <w:highlight w:val="none"/>
              </w:rPr>
              <w:t>源码跳转</w:t>
            </w:r>
            <w:r>
              <w:rPr>
                <w:rFonts w:hint="eastAsia" w:ascii="宋体" w:hAnsi="宋体" w:eastAsia="宋体" w:cs="宋体"/>
                <w:color w:val="auto"/>
                <w:highlight w:val="none"/>
              </w:rPr>
              <w:t xml:space="preserve">（Frida 、敏感信息等）。 </w:t>
            </w:r>
          </w:p>
          <w:p w14:paraId="104AF7A9">
            <w:pPr>
              <w:rPr>
                <w:rFonts w:hint="eastAsia" w:ascii="宋体" w:hAnsi="宋体" w:eastAsia="宋体" w:cs="宋体"/>
                <w:color w:val="auto"/>
                <w:highlight w:val="none"/>
              </w:rPr>
            </w:pPr>
            <w:r>
              <w:rPr>
                <w:rFonts w:hint="eastAsia" w:ascii="宋体" w:hAnsi="宋体" w:eastAsia="宋体" w:cs="宋体"/>
                <w:color w:val="auto"/>
                <w:highlight w:val="none"/>
              </w:rPr>
              <w:t xml:space="preserve">4. 提供 </w:t>
            </w:r>
            <w:r>
              <w:rPr>
                <w:rFonts w:hint="eastAsia" w:ascii="宋体" w:hAnsi="宋体" w:eastAsia="宋体" w:cs="宋体"/>
                <w:b/>
                <w:bCs/>
                <w:color w:val="auto"/>
                <w:highlight w:val="none"/>
              </w:rPr>
              <w:t>5 个专家分析软件授权</w:t>
            </w:r>
            <w:r>
              <w:rPr>
                <w:rFonts w:hint="eastAsia" w:ascii="宋体" w:hAnsi="宋体" w:eastAsia="宋体" w:cs="宋体"/>
                <w:color w:val="auto"/>
                <w:highlight w:val="none"/>
              </w:rPr>
              <w:t>，服务期 大于等于 7 个月。</w:t>
            </w:r>
          </w:p>
        </w:tc>
        <w:tc>
          <w:tcPr>
            <w:tcW w:w="1990" w:type="dxa"/>
            <w:vAlign w:val="center"/>
          </w:tcPr>
          <w:p w14:paraId="1AEDBD19">
            <w:pPr>
              <w:rPr>
                <w:rFonts w:hint="eastAsia" w:ascii="宋体" w:hAnsi="宋体" w:eastAsia="宋体" w:cs="宋体"/>
                <w:color w:val="auto"/>
                <w:highlight w:val="none"/>
              </w:rPr>
            </w:pPr>
            <w:r>
              <w:rPr>
                <w:rFonts w:hint="eastAsia" w:ascii="宋体" w:hAnsi="宋体" w:eastAsia="宋体" w:cs="宋体"/>
                <w:color w:val="auto"/>
                <w:highlight w:val="none"/>
              </w:rPr>
              <w:t xml:space="preserve">1. AI 智能分析、源码跳转功能满足，得 </w:t>
            </w:r>
            <w:r>
              <w:rPr>
                <w:rFonts w:hint="eastAsia" w:ascii="宋体" w:hAnsi="宋体" w:eastAsia="宋体" w:cs="宋体"/>
                <w:b/>
                <w:bCs/>
                <w:color w:val="auto"/>
                <w:highlight w:val="none"/>
              </w:rPr>
              <w:t>3分</w:t>
            </w:r>
            <w:r>
              <w:rPr>
                <w:rFonts w:hint="eastAsia" w:ascii="宋体" w:hAnsi="宋体" w:eastAsia="宋体" w:cs="宋体"/>
                <w:color w:val="auto"/>
                <w:highlight w:val="none"/>
              </w:rPr>
              <w:t xml:space="preserve">。 </w:t>
            </w:r>
          </w:p>
          <w:p w14:paraId="20D39E3E">
            <w:pPr>
              <w:rPr>
                <w:rFonts w:hint="eastAsia" w:ascii="宋体" w:hAnsi="宋体" w:eastAsia="宋体" w:cs="宋体"/>
                <w:color w:val="auto"/>
                <w:highlight w:val="none"/>
              </w:rPr>
            </w:pPr>
            <w:r>
              <w:rPr>
                <w:rFonts w:hint="eastAsia" w:ascii="宋体" w:hAnsi="宋体" w:eastAsia="宋体" w:cs="宋体"/>
                <w:color w:val="auto"/>
                <w:highlight w:val="none"/>
              </w:rPr>
              <w:t xml:space="preserve">2. 授权数量、服务期未满足要求，扣 </w:t>
            </w:r>
            <w:r>
              <w:rPr>
                <w:rFonts w:hint="eastAsia" w:ascii="宋体" w:hAnsi="宋体" w:eastAsia="宋体" w:cs="宋体"/>
                <w:b/>
                <w:bCs/>
                <w:color w:val="auto"/>
                <w:highlight w:val="none"/>
              </w:rPr>
              <w:t>2分</w:t>
            </w:r>
            <w:r>
              <w:rPr>
                <w:rFonts w:hint="eastAsia" w:ascii="宋体" w:hAnsi="宋体" w:eastAsia="宋体" w:cs="宋体"/>
                <w:color w:val="auto"/>
                <w:highlight w:val="none"/>
              </w:rPr>
              <w:t>。</w:t>
            </w:r>
          </w:p>
        </w:tc>
        <w:tc>
          <w:tcPr>
            <w:tcW w:w="762" w:type="dxa"/>
            <w:vAlign w:val="center"/>
          </w:tcPr>
          <w:p w14:paraId="73193151">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465" w:type="dxa"/>
            <w:vAlign w:val="center"/>
          </w:tcPr>
          <w:p w14:paraId="285FB3EC">
            <w:pPr>
              <w:rPr>
                <w:rFonts w:hint="eastAsia" w:ascii="宋体" w:hAnsi="宋体" w:eastAsia="宋体" w:cs="宋体"/>
                <w:color w:val="auto"/>
                <w:highlight w:val="none"/>
              </w:rPr>
            </w:pPr>
            <w:r>
              <w:rPr>
                <w:rFonts w:hint="eastAsia" w:ascii="宋体" w:hAnsi="宋体" w:eastAsia="宋体" w:cs="宋体"/>
                <w:color w:val="auto"/>
                <w:highlight w:val="none"/>
              </w:rPr>
              <w:t>现场演示 AI 功能的分析效果和源码跳转能力；核验软件授权数量和期限。</w:t>
            </w:r>
          </w:p>
        </w:tc>
      </w:tr>
      <w:tr w14:paraId="06D6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5" w:type="dxa"/>
            <w:vAlign w:val="center"/>
          </w:tcPr>
          <w:p w14:paraId="79D71901">
            <w:pPr>
              <w:rPr>
                <w:rFonts w:hint="eastAsia" w:ascii="宋体" w:hAnsi="宋体" w:eastAsia="宋体" w:cs="宋体"/>
                <w:color w:val="auto"/>
                <w:highlight w:val="none"/>
                <w:lang w:eastAsia="zh-CN"/>
              </w:rPr>
            </w:pPr>
            <w:r>
              <w:rPr>
                <w:rFonts w:hint="eastAsia" w:ascii="宋体" w:hAnsi="宋体" w:eastAsia="宋体" w:cs="宋体"/>
                <w:b/>
                <w:bCs/>
                <w:color w:val="auto"/>
                <w:highlight w:val="none"/>
              </w:rPr>
              <w:t>三、其他亮点</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5分</w:t>
            </w:r>
            <w:r>
              <w:rPr>
                <w:rFonts w:hint="eastAsia" w:ascii="宋体" w:hAnsi="宋体" w:eastAsia="宋体" w:cs="宋体"/>
                <w:b/>
                <w:bCs/>
                <w:color w:val="auto"/>
                <w:highlight w:val="none"/>
                <w:lang w:eastAsia="zh-CN"/>
              </w:rPr>
              <w:t>）</w:t>
            </w:r>
          </w:p>
        </w:tc>
        <w:tc>
          <w:tcPr>
            <w:tcW w:w="2557" w:type="dxa"/>
            <w:vAlign w:val="center"/>
          </w:tcPr>
          <w:p w14:paraId="12A2B35C">
            <w:pPr>
              <w:rPr>
                <w:rFonts w:hint="eastAsia" w:ascii="宋体" w:hAnsi="宋体" w:eastAsia="宋体" w:cs="宋体"/>
                <w:color w:val="auto"/>
                <w:highlight w:val="none"/>
              </w:rPr>
            </w:pPr>
            <w:r>
              <w:rPr>
                <w:rFonts w:hint="eastAsia" w:ascii="宋体" w:hAnsi="宋体" w:eastAsia="宋体" w:cs="宋体"/>
                <w:color w:val="auto"/>
                <w:highlight w:val="none"/>
              </w:rPr>
              <w:t>除满足我方需求外，另有其他能方便分析工作的亮点（如无互联网环境下的 AI 服务等）。</w:t>
            </w:r>
          </w:p>
        </w:tc>
        <w:tc>
          <w:tcPr>
            <w:tcW w:w="1990" w:type="dxa"/>
            <w:vAlign w:val="center"/>
          </w:tcPr>
          <w:p w14:paraId="162EFAB6">
            <w:pPr>
              <w:rPr>
                <w:rFonts w:hint="eastAsia" w:ascii="宋体" w:hAnsi="宋体" w:eastAsia="宋体" w:cs="宋体"/>
                <w:color w:val="auto"/>
                <w:highlight w:val="none"/>
              </w:rPr>
            </w:pPr>
            <w:r>
              <w:rPr>
                <w:rFonts w:hint="eastAsia" w:ascii="宋体" w:hAnsi="宋体" w:eastAsia="宋体" w:cs="宋体"/>
                <w:color w:val="auto"/>
                <w:highlight w:val="none"/>
              </w:rPr>
              <w:t xml:space="preserve">经采购人认定具有实用价值，酌情加 </w:t>
            </w:r>
            <w:r>
              <w:rPr>
                <w:rFonts w:hint="eastAsia" w:ascii="宋体" w:hAnsi="宋体" w:eastAsia="宋体" w:cs="宋体"/>
                <w:b/>
                <w:bCs/>
                <w:color w:val="auto"/>
                <w:highlight w:val="none"/>
              </w:rPr>
              <w:t>1-5分</w:t>
            </w:r>
            <w:r>
              <w:rPr>
                <w:rFonts w:hint="eastAsia" w:ascii="宋体" w:hAnsi="宋体" w:eastAsia="宋体" w:cs="宋体"/>
                <w:color w:val="auto"/>
                <w:highlight w:val="none"/>
              </w:rPr>
              <w:t>。</w:t>
            </w:r>
          </w:p>
        </w:tc>
        <w:tc>
          <w:tcPr>
            <w:tcW w:w="762" w:type="dxa"/>
            <w:vAlign w:val="center"/>
          </w:tcPr>
          <w:p w14:paraId="28CB7207">
            <w:pPr>
              <w:jc w:val="center"/>
              <w:rPr>
                <w:rFonts w:hint="eastAsia" w:ascii="宋体" w:hAnsi="宋体" w:eastAsia="宋体" w:cs="宋体"/>
                <w:color w:val="auto"/>
                <w:highlight w:val="none"/>
              </w:rPr>
            </w:pPr>
            <w:r>
              <w:rPr>
                <w:rFonts w:hint="eastAsia" w:ascii="宋体" w:hAnsi="宋体" w:eastAsia="宋体" w:cs="宋体"/>
                <w:b/>
                <w:bCs/>
                <w:color w:val="auto"/>
                <w:highlight w:val="none"/>
              </w:rPr>
              <w:t>5</w:t>
            </w:r>
          </w:p>
        </w:tc>
        <w:tc>
          <w:tcPr>
            <w:tcW w:w="2465" w:type="dxa"/>
            <w:vAlign w:val="center"/>
          </w:tcPr>
          <w:p w14:paraId="501EBB6C">
            <w:pPr>
              <w:rPr>
                <w:rFonts w:hint="eastAsia" w:ascii="宋体" w:hAnsi="宋体" w:eastAsia="宋体" w:cs="宋体"/>
                <w:color w:val="auto"/>
                <w:highlight w:val="none"/>
              </w:rPr>
            </w:pPr>
            <w:r>
              <w:rPr>
                <w:rFonts w:hint="eastAsia" w:ascii="宋体" w:hAnsi="宋体" w:eastAsia="宋体" w:cs="宋体"/>
                <w:color w:val="auto"/>
                <w:highlight w:val="none"/>
              </w:rPr>
              <w:t>服务商提供文档或现场演示，采购人进行评估。</w:t>
            </w:r>
          </w:p>
        </w:tc>
      </w:tr>
      <w:tr w14:paraId="000B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555" w:type="dxa"/>
            <w:vAlign w:val="center"/>
          </w:tcPr>
          <w:p w14:paraId="4DB58F1B">
            <w:pPr>
              <w:rPr>
                <w:rFonts w:hint="eastAsia" w:ascii="宋体" w:hAnsi="宋体" w:eastAsia="宋体" w:cs="宋体"/>
                <w:color w:val="auto"/>
                <w:highlight w:val="none"/>
              </w:rPr>
            </w:pPr>
            <w:r>
              <w:rPr>
                <w:rFonts w:hint="eastAsia" w:ascii="宋体" w:hAnsi="宋体" w:eastAsia="宋体" w:cs="宋体"/>
                <w:b/>
                <w:bCs/>
                <w:color w:val="auto"/>
                <w:highlight w:val="none"/>
              </w:rPr>
              <w:t>合计</w:t>
            </w:r>
          </w:p>
        </w:tc>
        <w:tc>
          <w:tcPr>
            <w:tcW w:w="2557" w:type="dxa"/>
            <w:vAlign w:val="center"/>
          </w:tcPr>
          <w:p w14:paraId="598794C1">
            <w:pPr>
              <w:rPr>
                <w:rFonts w:hint="eastAsia" w:ascii="宋体" w:hAnsi="宋体" w:eastAsia="宋体" w:cs="宋体"/>
                <w:color w:val="auto"/>
                <w:highlight w:val="none"/>
              </w:rPr>
            </w:pPr>
          </w:p>
        </w:tc>
        <w:tc>
          <w:tcPr>
            <w:tcW w:w="1990" w:type="dxa"/>
            <w:vAlign w:val="center"/>
          </w:tcPr>
          <w:p w14:paraId="1C89F5A0">
            <w:pPr>
              <w:rPr>
                <w:rFonts w:hint="eastAsia" w:ascii="宋体" w:hAnsi="宋体" w:eastAsia="宋体" w:cs="宋体"/>
                <w:color w:val="auto"/>
                <w:highlight w:val="none"/>
              </w:rPr>
            </w:pPr>
          </w:p>
        </w:tc>
        <w:tc>
          <w:tcPr>
            <w:tcW w:w="762" w:type="dxa"/>
            <w:vAlign w:val="center"/>
          </w:tcPr>
          <w:p w14:paraId="6386A28B">
            <w:pPr>
              <w:jc w:val="center"/>
              <w:rPr>
                <w:rFonts w:hint="eastAsia" w:ascii="宋体" w:hAnsi="宋体" w:eastAsia="宋体" w:cs="宋体"/>
                <w:color w:val="auto"/>
                <w:highlight w:val="none"/>
              </w:rPr>
            </w:pPr>
            <w:r>
              <w:rPr>
                <w:rFonts w:hint="eastAsia" w:ascii="宋体" w:hAnsi="宋体" w:eastAsia="宋体" w:cs="宋体"/>
                <w:b/>
                <w:bCs/>
                <w:color w:val="auto"/>
                <w:highlight w:val="none"/>
              </w:rPr>
              <w:t>100</w:t>
            </w:r>
          </w:p>
        </w:tc>
        <w:tc>
          <w:tcPr>
            <w:tcW w:w="2465" w:type="dxa"/>
            <w:vAlign w:val="center"/>
          </w:tcPr>
          <w:p w14:paraId="4DD41284">
            <w:pPr>
              <w:rPr>
                <w:rFonts w:hint="eastAsia" w:ascii="宋体" w:hAnsi="宋体" w:eastAsia="宋体" w:cs="宋体"/>
                <w:color w:val="auto"/>
                <w:highlight w:val="none"/>
              </w:rPr>
            </w:pPr>
          </w:p>
        </w:tc>
      </w:tr>
    </w:tbl>
    <w:p w14:paraId="270F80CA">
      <w:pPr>
        <w:rPr>
          <w:rFonts w:ascii="仿宋" w:hAnsi="仿宋" w:eastAsia="仿宋"/>
          <w:b/>
          <w:bCs/>
          <w:color w:val="auto"/>
          <w:sz w:val="24"/>
          <w:highlight w:val="none"/>
        </w:rPr>
      </w:pPr>
    </w:p>
    <w:p w14:paraId="7AB6FB14">
      <w:pPr>
        <w:rPr>
          <w:rFonts w:ascii="仿宋" w:hAnsi="仿宋" w:eastAsia="仿宋"/>
          <w:b/>
          <w:bCs/>
          <w:color w:val="auto"/>
          <w:sz w:val="24"/>
          <w:highlight w:val="none"/>
        </w:rPr>
      </w:pPr>
      <w:r>
        <w:rPr>
          <w:rFonts w:ascii="仿宋" w:hAnsi="仿宋" w:eastAsia="仿宋"/>
          <w:b/>
          <w:bCs/>
          <w:color w:val="auto"/>
          <w:sz w:val="24"/>
          <w:highlight w:val="none"/>
        </w:rPr>
        <w:t>1.1 考核标准</w:t>
      </w:r>
    </w:p>
    <w:p w14:paraId="7F396AE1">
      <w:pPr>
        <w:rPr>
          <w:rFonts w:ascii="仿宋" w:hAnsi="仿宋" w:eastAsia="仿宋"/>
          <w:b/>
          <w:bCs/>
          <w:color w:val="auto"/>
          <w:sz w:val="24"/>
          <w:highlight w:val="none"/>
        </w:rPr>
      </w:pPr>
    </w:p>
    <w:p w14:paraId="6C0B6477">
      <w:pPr>
        <w:numPr>
          <w:ilvl w:val="-1"/>
          <w:numId w:val="0"/>
        </w:numPr>
        <w:outlineLvl w:val="9"/>
        <w:rPr>
          <w:rFonts w:hint="default"/>
          <w:b/>
          <w:bCs/>
          <w:color w:val="auto"/>
          <w:sz w:val="32"/>
          <w:szCs w:val="32"/>
          <w:highlight w:val="none"/>
          <w:lang w:val="en-US" w:eastAsia="zh-CN"/>
        </w:rPr>
        <w:sectPr>
          <w:pgSz w:w="11906" w:h="16838"/>
          <w:pgMar w:top="1134" w:right="1247" w:bottom="1134" w:left="1247" w:header="737" w:footer="680" w:gutter="113"/>
          <w:pgNumType w:fmt="decimal"/>
          <w:cols w:space="720" w:num="1"/>
          <w:titlePg/>
          <w:docGrid w:linePitch="312" w:charSpace="0"/>
        </w:sectPr>
      </w:pPr>
    </w:p>
    <w:p w14:paraId="1723134B">
      <w:pPr>
        <w:rPr>
          <w:rFonts w:ascii="仿宋" w:hAnsi="仿宋" w:eastAsia="仿宋"/>
          <w:b/>
          <w:bCs/>
          <w:color w:val="auto"/>
          <w:sz w:val="24"/>
          <w:highlight w:val="none"/>
        </w:rPr>
      </w:pPr>
      <w:r>
        <w:rPr>
          <w:rFonts w:ascii="仿宋" w:hAnsi="仿宋" w:eastAsia="仿宋"/>
          <w:b/>
          <w:bCs/>
          <w:color w:val="auto"/>
          <w:sz w:val="24"/>
          <w:highlight w:val="none"/>
        </w:rPr>
        <w:t>1.2 考核等级</w:t>
      </w:r>
    </w:p>
    <w:tbl>
      <w:tblPr>
        <w:tblStyle w:val="18"/>
        <w:tblW w:w="0" w:type="auto"/>
        <w:tblInd w:w="0" w:type="dxa"/>
        <w:tblLayout w:type="autofit"/>
        <w:tblCellMar>
          <w:top w:w="15" w:type="dxa"/>
          <w:left w:w="15" w:type="dxa"/>
          <w:bottom w:w="15" w:type="dxa"/>
          <w:right w:w="15" w:type="dxa"/>
        </w:tblCellMar>
      </w:tblPr>
      <w:tblGrid>
        <w:gridCol w:w="2771"/>
        <w:gridCol w:w="1920"/>
        <w:gridCol w:w="3075"/>
        <w:gridCol w:w="1290"/>
      </w:tblGrid>
      <w:tr w14:paraId="0243FBC0">
        <w:tblPrEx>
          <w:tblCellMar>
            <w:top w:w="15" w:type="dxa"/>
            <w:left w:w="15" w:type="dxa"/>
            <w:bottom w:w="15" w:type="dxa"/>
            <w:right w:w="15" w:type="dxa"/>
          </w:tblCellMar>
        </w:tblPrEx>
        <w:trPr>
          <w:trHeight w:val="467" w:hRule="atLeast"/>
          <w:tblHeader/>
        </w:trPr>
        <w:tc>
          <w:tcPr>
            <w:tcW w:w="0" w:type="auto"/>
            <w:tcBorders>
              <w:top w:val="single" w:color="auto" w:sz="6" w:space="0"/>
              <w:left w:val="single" w:color="auto" w:sz="6" w:space="0"/>
              <w:bottom w:val="single" w:color="auto" w:sz="6" w:space="0"/>
              <w:right w:val="single" w:color="auto" w:sz="6" w:space="0"/>
            </w:tcBorders>
            <w:vAlign w:val="center"/>
          </w:tcPr>
          <w:p w14:paraId="2070E66C">
            <w:pPr>
              <w:jc w:val="center"/>
              <w:rPr>
                <w:rFonts w:hint="eastAsia" w:ascii="宋体" w:hAnsi="宋体" w:eastAsia="宋体" w:cs="宋体"/>
                <w:color w:val="auto"/>
                <w:sz w:val="21"/>
                <w:szCs w:val="21"/>
                <w:highlight w:val="none"/>
              </w:rPr>
            </w:pPr>
            <w:bookmarkStart w:id="64" w:name="OLE_LINK24"/>
            <w:r>
              <w:rPr>
                <w:rFonts w:hint="eastAsia" w:ascii="宋体" w:hAnsi="宋体" w:eastAsia="宋体" w:cs="宋体"/>
                <w:b/>
                <w:bCs/>
                <w:color w:val="auto"/>
                <w:sz w:val="21"/>
                <w:szCs w:val="21"/>
                <w:highlight w:val="none"/>
              </w:rPr>
              <w:t>服务考核</w:t>
            </w:r>
            <w:bookmarkEnd w:id="64"/>
            <w:r>
              <w:rPr>
                <w:rFonts w:hint="eastAsia" w:ascii="宋体" w:hAnsi="宋体" w:eastAsia="宋体" w:cs="宋体"/>
                <w:b/>
                <w:bCs/>
                <w:color w:val="auto"/>
                <w:sz w:val="21"/>
                <w:szCs w:val="21"/>
                <w:highlight w:val="none"/>
              </w:rPr>
              <w:t>级别</w:t>
            </w:r>
          </w:p>
        </w:tc>
        <w:tc>
          <w:tcPr>
            <w:tcW w:w="0" w:type="auto"/>
            <w:tcBorders>
              <w:top w:val="single" w:color="auto" w:sz="6" w:space="0"/>
              <w:left w:val="single" w:color="auto" w:sz="6" w:space="0"/>
              <w:bottom w:val="single" w:color="auto" w:sz="6" w:space="0"/>
              <w:right w:val="single" w:color="auto" w:sz="6" w:space="0"/>
            </w:tcBorders>
            <w:vAlign w:val="center"/>
          </w:tcPr>
          <w:p w14:paraId="20551B58">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服务考核得分</w:t>
            </w:r>
          </w:p>
        </w:tc>
        <w:tc>
          <w:tcPr>
            <w:tcW w:w="0" w:type="auto"/>
            <w:tcBorders>
              <w:top w:val="single" w:color="auto" w:sz="6" w:space="0"/>
              <w:left w:val="single" w:color="auto" w:sz="6" w:space="0"/>
              <w:bottom w:val="single" w:color="auto" w:sz="6" w:space="0"/>
              <w:right w:val="single" w:color="auto" w:sz="6" w:space="0"/>
            </w:tcBorders>
            <w:vAlign w:val="center"/>
          </w:tcPr>
          <w:p w14:paraId="35F75F10">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考核扣减</w:t>
            </w:r>
          </w:p>
        </w:tc>
        <w:tc>
          <w:tcPr>
            <w:tcW w:w="0" w:type="auto"/>
            <w:tcBorders>
              <w:top w:val="single" w:color="auto" w:sz="6" w:space="0"/>
              <w:left w:val="single" w:color="auto" w:sz="6" w:space="0"/>
              <w:bottom w:val="single" w:color="auto" w:sz="6" w:space="0"/>
              <w:right w:val="single" w:color="auto" w:sz="6" w:space="0"/>
            </w:tcBorders>
            <w:vAlign w:val="center"/>
          </w:tcPr>
          <w:p w14:paraId="6CB7BE70">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扣减比例</w:t>
            </w:r>
          </w:p>
        </w:tc>
      </w:tr>
      <w:tr w14:paraId="3DB3A185">
        <w:tblPrEx>
          <w:tblCellMar>
            <w:top w:w="15" w:type="dxa"/>
            <w:left w:w="15" w:type="dxa"/>
            <w:bottom w:w="15" w:type="dxa"/>
            <w:right w:w="15" w:type="dxa"/>
          </w:tblCellMar>
        </w:tblPrEx>
        <w:trPr>
          <w:trHeight w:val="467" w:hRule="atLeast"/>
        </w:trPr>
        <w:tc>
          <w:tcPr>
            <w:tcW w:w="0" w:type="auto"/>
            <w:tcBorders>
              <w:top w:val="single" w:color="auto" w:sz="6" w:space="0"/>
              <w:left w:val="single" w:color="auto" w:sz="6" w:space="0"/>
              <w:bottom w:val="single" w:color="auto" w:sz="6" w:space="0"/>
              <w:right w:val="single" w:color="auto" w:sz="6" w:space="0"/>
            </w:tcBorders>
            <w:vAlign w:val="center"/>
          </w:tcPr>
          <w:p w14:paraId="064D5C59">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合格线（服务起始时间认定）</w:t>
            </w:r>
          </w:p>
        </w:tc>
        <w:tc>
          <w:tcPr>
            <w:tcW w:w="0" w:type="auto"/>
            <w:tcBorders>
              <w:top w:val="single" w:color="auto" w:sz="6" w:space="0"/>
              <w:left w:val="single" w:color="auto" w:sz="6" w:space="0"/>
              <w:bottom w:val="single" w:color="auto" w:sz="6" w:space="0"/>
              <w:right w:val="single" w:color="auto" w:sz="6" w:space="0"/>
            </w:tcBorders>
            <w:vAlign w:val="center"/>
          </w:tcPr>
          <w:p w14:paraId="6D94077E">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总分大于等于60 分</w:t>
            </w:r>
          </w:p>
        </w:tc>
        <w:tc>
          <w:tcPr>
            <w:tcW w:w="0" w:type="auto"/>
            <w:tcBorders>
              <w:top w:val="single" w:color="auto" w:sz="6" w:space="0"/>
              <w:left w:val="single" w:color="auto" w:sz="6" w:space="0"/>
              <w:bottom w:val="single" w:color="auto" w:sz="6" w:space="0"/>
              <w:right w:val="single" w:color="auto" w:sz="6" w:space="0"/>
            </w:tcBorders>
            <w:vAlign w:val="center"/>
          </w:tcPr>
          <w:p w14:paraId="29329160">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p>
        </w:tc>
        <w:tc>
          <w:tcPr>
            <w:tcW w:w="0" w:type="auto"/>
            <w:tcBorders>
              <w:top w:val="single" w:color="auto" w:sz="6" w:space="0"/>
              <w:left w:val="single" w:color="auto" w:sz="6" w:space="0"/>
              <w:bottom w:val="single" w:color="auto" w:sz="6" w:space="0"/>
              <w:right w:val="single" w:color="auto" w:sz="6" w:space="0"/>
            </w:tcBorders>
            <w:vAlign w:val="center"/>
          </w:tcPr>
          <w:p w14:paraId="583077AB">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p>
        </w:tc>
      </w:tr>
      <w:tr w14:paraId="3D3880FD">
        <w:tblPrEx>
          <w:tblCellMar>
            <w:top w:w="15" w:type="dxa"/>
            <w:left w:w="15" w:type="dxa"/>
            <w:bottom w:w="15" w:type="dxa"/>
            <w:right w:w="15" w:type="dxa"/>
          </w:tblCellMar>
        </w:tblPrEx>
        <w:trPr>
          <w:trHeight w:val="467" w:hRule="atLeast"/>
        </w:trPr>
        <w:tc>
          <w:tcPr>
            <w:tcW w:w="0" w:type="auto"/>
            <w:tcBorders>
              <w:top w:val="single" w:color="auto" w:sz="6" w:space="0"/>
              <w:left w:val="single" w:color="auto" w:sz="6" w:space="0"/>
              <w:bottom w:val="single" w:color="auto" w:sz="6" w:space="0"/>
              <w:right w:val="single" w:color="auto" w:sz="6" w:space="0"/>
            </w:tcBorders>
            <w:vAlign w:val="center"/>
          </w:tcPr>
          <w:p w14:paraId="11891B4E">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优秀</w:t>
            </w:r>
          </w:p>
        </w:tc>
        <w:tc>
          <w:tcPr>
            <w:tcW w:w="0" w:type="auto"/>
            <w:tcBorders>
              <w:top w:val="single" w:color="auto" w:sz="6" w:space="0"/>
              <w:left w:val="single" w:color="auto" w:sz="6" w:space="0"/>
              <w:bottom w:val="single" w:color="auto" w:sz="6" w:space="0"/>
              <w:right w:val="single" w:color="auto" w:sz="6" w:space="0"/>
            </w:tcBorders>
            <w:vAlign w:val="center"/>
          </w:tcPr>
          <w:p w14:paraId="694A134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大于等于 90 分</w:t>
            </w:r>
          </w:p>
        </w:tc>
        <w:tc>
          <w:tcPr>
            <w:tcW w:w="0" w:type="auto"/>
            <w:tcBorders>
              <w:top w:val="single" w:color="auto" w:sz="6" w:space="0"/>
              <w:left w:val="single" w:color="auto" w:sz="6" w:space="0"/>
              <w:bottom w:val="single" w:color="auto" w:sz="6" w:space="0"/>
              <w:right w:val="single" w:color="auto" w:sz="6" w:space="0"/>
            </w:tcBorders>
            <w:vAlign w:val="center"/>
          </w:tcPr>
          <w:p w14:paraId="2545EE0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c>
          <w:tcPr>
            <w:tcW w:w="0" w:type="auto"/>
            <w:tcBorders>
              <w:top w:val="single" w:color="auto" w:sz="6" w:space="0"/>
              <w:left w:val="single" w:color="auto" w:sz="6" w:space="0"/>
              <w:bottom w:val="single" w:color="auto" w:sz="6" w:space="0"/>
              <w:right w:val="single" w:color="auto" w:sz="6" w:space="0"/>
            </w:tcBorders>
            <w:vAlign w:val="center"/>
          </w:tcPr>
          <w:p w14:paraId="049CC6D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r>
      <w:tr w14:paraId="2A63638F">
        <w:tblPrEx>
          <w:tblCellMar>
            <w:top w:w="15" w:type="dxa"/>
            <w:left w:w="15" w:type="dxa"/>
            <w:bottom w:w="15" w:type="dxa"/>
            <w:right w:w="15" w:type="dxa"/>
          </w:tblCellMar>
        </w:tblPrEx>
        <w:trPr>
          <w:trHeight w:val="467" w:hRule="atLeast"/>
        </w:trPr>
        <w:tc>
          <w:tcPr>
            <w:tcW w:w="0" w:type="auto"/>
            <w:tcBorders>
              <w:top w:val="single" w:color="auto" w:sz="6" w:space="0"/>
              <w:left w:val="single" w:color="auto" w:sz="6" w:space="0"/>
              <w:bottom w:val="single" w:color="auto" w:sz="6" w:space="0"/>
              <w:right w:val="single" w:color="auto" w:sz="6" w:space="0"/>
            </w:tcBorders>
            <w:vAlign w:val="center"/>
          </w:tcPr>
          <w:p w14:paraId="604908AB">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良好</w:t>
            </w:r>
          </w:p>
        </w:tc>
        <w:tc>
          <w:tcPr>
            <w:tcW w:w="0" w:type="auto"/>
            <w:tcBorders>
              <w:top w:val="single" w:color="auto" w:sz="6" w:space="0"/>
              <w:left w:val="single" w:color="auto" w:sz="6" w:space="0"/>
              <w:bottom w:val="single" w:color="auto" w:sz="6" w:space="0"/>
              <w:right w:val="single" w:color="auto" w:sz="6" w:space="0"/>
            </w:tcBorders>
            <w:vAlign w:val="center"/>
          </w:tcPr>
          <w:p w14:paraId="327807D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 &lt;= 得分 &lt; 90 分</w:t>
            </w:r>
          </w:p>
        </w:tc>
        <w:tc>
          <w:tcPr>
            <w:tcW w:w="0" w:type="auto"/>
            <w:tcBorders>
              <w:top w:val="single" w:color="auto" w:sz="6" w:space="0"/>
              <w:left w:val="single" w:color="auto" w:sz="6" w:space="0"/>
              <w:bottom w:val="single" w:color="auto" w:sz="6" w:space="0"/>
              <w:right w:val="single" w:color="auto" w:sz="6" w:space="0"/>
            </w:tcBorders>
            <w:vAlign w:val="center"/>
          </w:tcPr>
          <w:p w14:paraId="761122D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(90 - 得分) * 合同金额的 1.5%</w:t>
            </w:r>
          </w:p>
        </w:tc>
        <w:tc>
          <w:tcPr>
            <w:tcW w:w="0" w:type="auto"/>
            <w:tcBorders>
              <w:top w:val="single" w:color="auto" w:sz="6" w:space="0"/>
              <w:left w:val="single" w:color="auto" w:sz="6" w:space="0"/>
              <w:bottom w:val="single" w:color="auto" w:sz="6" w:space="0"/>
              <w:right w:val="single" w:color="auto" w:sz="6" w:space="0"/>
            </w:tcBorders>
            <w:vAlign w:val="center"/>
          </w:tcPr>
          <w:p w14:paraId="3DD0DE6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参照比例支付</w:t>
            </w:r>
          </w:p>
        </w:tc>
      </w:tr>
      <w:tr w14:paraId="2EE59CC3">
        <w:tblPrEx>
          <w:tblCellMar>
            <w:top w:w="15" w:type="dxa"/>
            <w:left w:w="15" w:type="dxa"/>
            <w:bottom w:w="15" w:type="dxa"/>
            <w:right w:w="15" w:type="dxa"/>
          </w:tblCellMar>
        </w:tblPrEx>
        <w:trPr>
          <w:trHeight w:val="467" w:hRule="atLeast"/>
        </w:trPr>
        <w:tc>
          <w:tcPr>
            <w:tcW w:w="0" w:type="auto"/>
            <w:tcBorders>
              <w:top w:val="single" w:color="auto" w:sz="6" w:space="0"/>
              <w:left w:val="single" w:color="auto" w:sz="6" w:space="0"/>
              <w:bottom w:val="single" w:color="auto" w:sz="6" w:space="0"/>
              <w:right w:val="single" w:color="auto" w:sz="6" w:space="0"/>
            </w:tcBorders>
            <w:vAlign w:val="center"/>
          </w:tcPr>
          <w:p w14:paraId="210FF29A">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及格</w:t>
            </w:r>
          </w:p>
        </w:tc>
        <w:tc>
          <w:tcPr>
            <w:tcW w:w="0" w:type="auto"/>
            <w:tcBorders>
              <w:top w:val="single" w:color="auto" w:sz="6" w:space="0"/>
              <w:left w:val="single" w:color="auto" w:sz="6" w:space="0"/>
              <w:bottom w:val="single" w:color="auto" w:sz="6" w:space="0"/>
              <w:right w:val="single" w:color="auto" w:sz="6" w:space="0"/>
            </w:tcBorders>
            <w:vAlign w:val="center"/>
          </w:tcPr>
          <w:p w14:paraId="362FA6E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 &lt;= 得分 &lt; 80 分</w:t>
            </w:r>
          </w:p>
        </w:tc>
        <w:tc>
          <w:tcPr>
            <w:tcW w:w="0" w:type="auto"/>
            <w:tcBorders>
              <w:top w:val="single" w:color="auto" w:sz="6" w:space="0"/>
              <w:left w:val="single" w:color="auto" w:sz="6" w:space="0"/>
              <w:bottom w:val="single" w:color="auto" w:sz="6" w:space="0"/>
              <w:right w:val="single" w:color="auto" w:sz="6" w:space="0"/>
            </w:tcBorders>
            <w:vAlign w:val="center"/>
          </w:tcPr>
          <w:p w14:paraId="7F242FC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(90 - 得分) * 合同金额的 2%</w:t>
            </w:r>
          </w:p>
        </w:tc>
        <w:tc>
          <w:tcPr>
            <w:tcW w:w="0" w:type="auto"/>
            <w:tcBorders>
              <w:top w:val="single" w:color="auto" w:sz="6" w:space="0"/>
              <w:left w:val="single" w:color="auto" w:sz="6" w:space="0"/>
              <w:bottom w:val="single" w:color="auto" w:sz="6" w:space="0"/>
              <w:right w:val="single" w:color="auto" w:sz="6" w:space="0"/>
            </w:tcBorders>
            <w:vAlign w:val="center"/>
          </w:tcPr>
          <w:p w14:paraId="2708921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参照比例支付</w:t>
            </w:r>
          </w:p>
        </w:tc>
      </w:tr>
      <w:tr w14:paraId="50651477">
        <w:tblPrEx>
          <w:tblCellMar>
            <w:top w:w="15" w:type="dxa"/>
            <w:left w:w="15" w:type="dxa"/>
            <w:bottom w:w="15" w:type="dxa"/>
            <w:right w:w="15" w:type="dxa"/>
          </w:tblCellMar>
        </w:tblPrEx>
        <w:trPr>
          <w:trHeight w:val="490" w:hRule="atLeast"/>
        </w:trPr>
        <w:tc>
          <w:tcPr>
            <w:tcW w:w="0" w:type="auto"/>
            <w:tcBorders>
              <w:top w:val="single" w:color="auto" w:sz="6" w:space="0"/>
              <w:left w:val="single" w:color="auto" w:sz="6" w:space="0"/>
              <w:bottom w:val="single" w:color="auto" w:sz="6" w:space="0"/>
              <w:right w:val="single" w:color="auto" w:sz="6" w:space="0"/>
            </w:tcBorders>
            <w:vAlign w:val="center"/>
          </w:tcPr>
          <w:p w14:paraId="4FF0E154">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不合格</w:t>
            </w:r>
          </w:p>
        </w:tc>
        <w:tc>
          <w:tcPr>
            <w:tcW w:w="0" w:type="auto"/>
            <w:tcBorders>
              <w:top w:val="single" w:color="auto" w:sz="6" w:space="0"/>
              <w:left w:val="single" w:color="auto" w:sz="6" w:space="0"/>
              <w:bottom w:val="single" w:color="auto" w:sz="6" w:space="0"/>
              <w:right w:val="single" w:color="auto" w:sz="6" w:space="0"/>
            </w:tcBorders>
            <w:vAlign w:val="center"/>
          </w:tcPr>
          <w:p w14:paraId="29213C6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小于 60 分</w:t>
            </w:r>
          </w:p>
        </w:tc>
        <w:tc>
          <w:tcPr>
            <w:tcW w:w="0" w:type="auto"/>
            <w:tcBorders>
              <w:top w:val="single" w:color="auto" w:sz="6" w:space="0"/>
              <w:left w:val="single" w:color="auto" w:sz="6" w:space="0"/>
              <w:bottom w:val="single" w:color="auto" w:sz="6" w:space="0"/>
              <w:right w:val="single" w:color="auto" w:sz="6" w:space="0"/>
            </w:tcBorders>
            <w:vAlign w:val="center"/>
          </w:tcPr>
          <w:p w14:paraId="473CEC8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合同金额的 10%</w:t>
            </w:r>
          </w:p>
        </w:tc>
        <w:tc>
          <w:tcPr>
            <w:tcW w:w="0" w:type="auto"/>
            <w:tcBorders>
              <w:top w:val="single" w:color="auto" w:sz="6" w:space="0"/>
              <w:left w:val="single" w:color="auto" w:sz="6" w:space="0"/>
              <w:bottom w:val="single" w:color="auto" w:sz="6" w:space="0"/>
              <w:right w:val="single" w:color="auto" w:sz="6" w:space="0"/>
            </w:tcBorders>
            <w:vAlign w:val="center"/>
          </w:tcPr>
          <w:p w14:paraId="3B45789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参照比例支付</w:t>
            </w:r>
          </w:p>
        </w:tc>
      </w:tr>
    </w:tbl>
    <w:p w14:paraId="7214E6C7">
      <w:pPr>
        <w:numPr>
          <w:ilvl w:val="-1"/>
          <w:numId w:val="0"/>
        </w:numPr>
        <w:outlineLvl w:val="9"/>
        <w:rPr>
          <w:rFonts w:hint="eastAsia"/>
          <w:b/>
          <w:bCs/>
          <w:color w:val="auto"/>
          <w:sz w:val="32"/>
          <w:szCs w:val="32"/>
          <w:highlight w:val="none"/>
          <w:lang w:eastAsia="zh-CN"/>
        </w:rPr>
        <w:sectPr>
          <w:pgSz w:w="11906" w:h="16838"/>
          <w:pgMar w:top="1134" w:right="1247" w:bottom="1134" w:left="1247" w:header="737" w:footer="680" w:gutter="113"/>
          <w:pgNumType w:fmt="decimal"/>
          <w:cols w:space="720" w:num="1"/>
          <w:titlePg/>
          <w:docGrid w:linePitch="312" w:charSpace="0"/>
        </w:sectPr>
      </w:pPr>
    </w:p>
    <w:p w14:paraId="41F2AE61">
      <w:pPr>
        <w:numPr>
          <w:ilvl w:val="-1"/>
          <w:numId w:val="0"/>
        </w:numPr>
        <w:outlineLvl w:val="1"/>
        <w:rPr>
          <w:rFonts w:hint="eastAsia" w:eastAsia="宋体"/>
          <w:b/>
          <w:bCs/>
          <w:color w:val="auto"/>
          <w:sz w:val="32"/>
          <w:szCs w:val="32"/>
          <w:highlight w:val="none"/>
          <w:lang w:eastAsia="zh-CN"/>
        </w:rPr>
      </w:pPr>
      <w:bookmarkStart w:id="65" w:name="_Toc28577"/>
      <w:r>
        <w:rPr>
          <w:rFonts w:hint="eastAsia"/>
          <w:b/>
          <w:bCs/>
          <w:color w:val="auto"/>
          <w:sz w:val="32"/>
          <w:szCs w:val="32"/>
          <w:highlight w:val="none"/>
          <w:lang w:eastAsia="zh-CN"/>
        </w:rPr>
        <w:t>分标</w:t>
      </w:r>
      <w:r>
        <w:rPr>
          <w:rFonts w:hint="eastAsia"/>
          <w:b/>
          <w:bCs/>
          <w:color w:val="auto"/>
          <w:sz w:val="32"/>
          <w:szCs w:val="32"/>
          <w:highlight w:val="none"/>
          <w:lang w:val="en-US" w:eastAsia="zh-CN"/>
        </w:rPr>
        <w:t>2</w:t>
      </w:r>
      <w:r>
        <w:rPr>
          <w:rFonts w:hint="eastAsia"/>
          <w:b/>
          <w:bCs/>
          <w:color w:val="auto"/>
          <w:sz w:val="32"/>
          <w:szCs w:val="32"/>
          <w:highlight w:val="none"/>
          <w:lang w:eastAsia="zh-CN"/>
        </w:rPr>
        <w:t>：</w:t>
      </w:r>
      <w:bookmarkEnd w:id="65"/>
    </w:p>
    <w:p w14:paraId="353BBB6A">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7D72D68A">
      <w:pPr>
        <w:spacing w:line="360" w:lineRule="auto"/>
        <w:ind w:firstLine="420" w:firstLineChars="200"/>
        <w:jc w:val="left"/>
        <w:rPr>
          <w:color w:val="auto"/>
          <w:highlight w:val="none"/>
        </w:rPr>
      </w:pPr>
      <w:r>
        <w:rPr>
          <w:color w:val="auto"/>
          <w:highlight w:val="none"/>
        </w:rPr>
        <w:t xml:space="preserve">1. </w:t>
      </w:r>
      <w:r>
        <w:rPr>
          <w:rFonts w:hint="eastAsia"/>
          <w:color w:val="auto"/>
          <w:highlight w:val="none"/>
        </w:rPr>
        <w:t>为落实政府采购政策需满足的要求（根据项目实际情况填写内容）</w:t>
      </w:r>
    </w:p>
    <w:p w14:paraId="24FF25F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3DB3B68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cs="宋体"/>
          <w:b/>
          <w:bCs/>
          <w:color w:val="auto"/>
          <w:szCs w:val="21"/>
          <w:highlight w:val="none"/>
        </w:rPr>
        <w:t>否则投标文件作无效处理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555CBC82">
      <w:pPr>
        <w:spacing w:line="360" w:lineRule="auto"/>
        <w:ind w:firstLine="424" w:firstLineChars="202"/>
        <w:jc w:val="left"/>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）根据《关于调整网络安全专用产品安全管理有关事项的公告》（</w:t>
      </w:r>
      <w:r>
        <w:rPr>
          <w:color w:val="auto"/>
          <w:highlight w:val="none"/>
        </w:rPr>
        <w:t>2023</w:t>
      </w:r>
      <w:r>
        <w:rPr>
          <w:rFonts w:hint="eastAsia"/>
          <w:color w:val="auto"/>
          <w:highlight w:val="none"/>
        </w:rPr>
        <w:t>年</w:t>
      </w:r>
      <w:r>
        <w:rPr>
          <w:color w:val="auto"/>
          <w:highlight w:val="none"/>
        </w:rPr>
        <w:t>1</w:t>
      </w:r>
      <w:r>
        <w:rPr>
          <w:rFonts w:hint="eastAsia"/>
          <w:color w:val="auto"/>
          <w:highlight w:val="none"/>
        </w:rPr>
        <w:t>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w:t>
      </w:r>
      <w:r>
        <w:rPr>
          <w:color w:val="auto"/>
          <w:highlight w:val="none"/>
        </w:rPr>
        <w:t xml:space="preserve"> http://www.cac.gov.cn/index.htm</w:t>
      </w:r>
      <w:r>
        <w:rPr>
          <w:rFonts w:hint="eastAsia"/>
          <w:color w:val="auto"/>
          <w:highlight w:val="none"/>
        </w:rPr>
        <w:t>）最新发布的《网络关键设备和网络安全专用产品安全认证和安全检测结果》截图证明材料，</w:t>
      </w:r>
      <w:r>
        <w:rPr>
          <w:rFonts w:hint="eastAsia"/>
          <w:b/>
          <w:color w:val="auto"/>
          <w:highlight w:val="none"/>
        </w:rPr>
        <w:t>不在《网络关键设备和网络安全专用产品安全认证和安全检测结果》中或不在有效期内或未提供有效的《计算机信息系统安全专用产品销售许可证》的，投标无效。</w:t>
      </w:r>
      <w:r>
        <w:rPr>
          <w:rFonts w:hint="eastAsia"/>
          <w:color w:val="auto"/>
          <w:highlight w:val="none"/>
        </w:rPr>
        <w:t>如属于《网络关键设备和网络安全专用产品目录》中“二、网络安全专用产品”内“产品类别”中的所描述的产品，但不属于所列“产品描述”情形的，应提供相应的说明及证明材料。</w:t>
      </w:r>
    </w:p>
    <w:p w14:paraId="3D37A32C">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652879B5">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3.不需要投标人对采购需求响应为具体数值的，此采购需求的数值后将以◆号标注。</w:t>
      </w:r>
    </w:p>
    <w:p w14:paraId="66691B19">
      <w:pPr>
        <w:spacing w:line="360" w:lineRule="auto"/>
        <w:ind w:firstLine="420" w:firstLineChars="200"/>
        <w:jc w:val="left"/>
        <w:rPr>
          <w:rFonts w:hint="eastAsia"/>
          <w:color w:val="auto"/>
          <w:highlight w:val="none"/>
        </w:rPr>
      </w:pPr>
      <w:r>
        <w:rPr>
          <w:rFonts w:hint="eastAsia" w:ascii="宋体" w:hAnsi="宋体" w:cs="宋体"/>
          <w:color w:val="auto"/>
          <w:szCs w:val="21"/>
          <w:highlight w:val="none"/>
        </w:rPr>
        <w:t>4.</w:t>
      </w:r>
      <w:r>
        <w:rPr>
          <w:rFonts w:hint="eastAsia"/>
          <w:color w:val="auto"/>
          <w:highlight w:val="none"/>
        </w:rPr>
        <w:t>如投标人投标产品存在侵犯他人的知识产权或者专利成果行为的，应承担相应法律责任。</w:t>
      </w:r>
    </w:p>
    <w:p w14:paraId="6A447312">
      <w:pPr>
        <w:pStyle w:val="9"/>
        <w:ind w:firstLine="422" w:firstLineChars="200"/>
        <w:rPr>
          <w:rFonts w:hint="eastAsia" w:eastAsia="宋体"/>
          <w:b/>
          <w:color w:val="auto"/>
          <w:highlight w:val="none"/>
          <w:u w:val="single"/>
          <w:lang w:eastAsia="zh-CN"/>
        </w:rPr>
      </w:pPr>
      <w:r>
        <w:rPr>
          <w:b/>
          <w:color w:val="auto"/>
          <w:highlight w:val="none"/>
        </w:rPr>
        <w:t xml:space="preserve">5. </w:t>
      </w:r>
      <w:r>
        <w:rPr>
          <w:rFonts w:hint="eastAsia"/>
          <w:b/>
          <w:color w:val="auto"/>
          <w:highlight w:val="none"/>
        </w:rPr>
        <w:t>本项目采购标的中小企业划分标准所属行业名称（行业名称及划分见本章附件</w:t>
      </w:r>
      <w:r>
        <w:rPr>
          <w:b/>
          <w:color w:val="auto"/>
          <w:highlight w:val="none"/>
        </w:rPr>
        <w:t>2</w:t>
      </w:r>
      <w:r>
        <w:rPr>
          <w:rFonts w:hint="eastAsia"/>
          <w:b/>
          <w:color w:val="auto"/>
          <w:highlight w:val="none"/>
        </w:rPr>
        <w:t>）：</w:t>
      </w:r>
      <w:r>
        <w:rPr>
          <w:rFonts w:hint="eastAsia"/>
          <w:b/>
          <w:color w:val="auto"/>
          <w:highlight w:val="none"/>
          <w:u w:val="single"/>
          <w:lang w:eastAsia="zh-CN"/>
        </w:rPr>
        <w:t>工业</w:t>
      </w:r>
    </w:p>
    <w:p w14:paraId="720D17EC">
      <w:pPr>
        <w:rPr>
          <w:color w:val="auto"/>
          <w:highlight w:val="none"/>
        </w:rPr>
      </w:pPr>
    </w:p>
    <w:p w14:paraId="3D04789C">
      <w:pPr>
        <w:spacing w:line="240" w:lineRule="auto"/>
        <w:jc w:val="left"/>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br w:type="page"/>
      </w:r>
    </w:p>
    <w:p w14:paraId="66A332EE">
      <w:pPr>
        <w:spacing w:line="440" w:lineRule="exact"/>
        <w:jc w:val="left"/>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分标2：</w:t>
      </w:r>
    </w:p>
    <w:tbl>
      <w:tblPr>
        <w:tblStyle w:val="18"/>
        <w:tblpPr w:leftFromText="180" w:rightFromText="180" w:vertAnchor="text" w:tblpXSpec="center" w:tblpY="1"/>
        <w:tblOverlap w:val="never"/>
        <w:tblW w:w="9993" w:type="dxa"/>
        <w:tblInd w:w="0" w:type="dxa"/>
        <w:tblLayout w:type="fixed"/>
        <w:tblCellMar>
          <w:top w:w="0" w:type="dxa"/>
          <w:left w:w="108" w:type="dxa"/>
          <w:bottom w:w="0" w:type="dxa"/>
          <w:right w:w="108" w:type="dxa"/>
        </w:tblCellMar>
      </w:tblPr>
      <w:tblGrid>
        <w:gridCol w:w="752"/>
        <w:gridCol w:w="944"/>
        <w:gridCol w:w="567"/>
        <w:gridCol w:w="567"/>
        <w:gridCol w:w="993"/>
        <w:gridCol w:w="6170"/>
      </w:tblGrid>
      <w:tr w14:paraId="710FCAC5">
        <w:tblPrEx>
          <w:tblCellMar>
            <w:top w:w="0" w:type="dxa"/>
            <w:left w:w="108" w:type="dxa"/>
            <w:bottom w:w="0" w:type="dxa"/>
            <w:right w:w="108" w:type="dxa"/>
          </w:tblCellMar>
        </w:tblPrEx>
        <w:trPr>
          <w:trHeight w:val="405" w:hRule="atLeast"/>
        </w:trPr>
        <w:tc>
          <w:tcPr>
            <w:tcW w:w="9993" w:type="dxa"/>
            <w:gridSpan w:val="6"/>
            <w:tcBorders>
              <w:top w:val="single" w:color="000000" w:sz="4" w:space="0"/>
              <w:left w:val="single" w:color="000000" w:sz="4" w:space="0"/>
              <w:bottom w:val="single" w:color="000000" w:sz="4" w:space="0"/>
              <w:right w:val="single" w:color="000000" w:sz="4" w:space="0"/>
            </w:tcBorders>
            <w:vAlign w:val="center"/>
          </w:tcPr>
          <w:p w14:paraId="7AC10AD8">
            <w:pPr>
              <w:widowControl/>
              <w:spacing w:line="400" w:lineRule="exact"/>
              <w:jc w:val="left"/>
              <w:textAlignment w:val="center"/>
              <w:rPr>
                <w:rFonts w:ascii="宋体" w:hAnsi="宋体" w:eastAsia="宋体" w:cs="宋体"/>
                <w:b/>
                <w:color w:val="auto"/>
                <w:kern w:val="0"/>
                <w:szCs w:val="21"/>
                <w:highlight w:val="none"/>
                <w:lang w:bidi="ar"/>
              </w:rPr>
            </w:pPr>
            <w:r>
              <w:rPr>
                <w:rFonts w:hint="eastAsia" w:ascii="宋体" w:hAnsi="宋体" w:eastAsia="宋体" w:cs="宋体"/>
                <w:b/>
                <w:color w:val="auto"/>
                <w:szCs w:val="21"/>
                <w:highlight w:val="none"/>
              </w:rPr>
              <w:t>一、采购内容及技术要求</w:t>
            </w:r>
          </w:p>
        </w:tc>
      </w:tr>
      <w:tr w14:paraId="0C4B81DD">
        <w:tblPrEx>
          <w:tblCellMar>
            <w:top w:w="0" w:type="dxa"/>
            <w:left w:w="108" w:type="dxa"/>
            <w:bottom w:w="0" w:type="dxa"/>
            <w:right w:w="108" w:type="dxa"/>
          </w:tblCellMar>
        </w:tblPrEx>
        <w:trPr>
          <w:trHeight w:val="609" w:hRule="atLeast"/>
        </w:trPr>
        <w:tc>
          <w:tcPr>
            <w:tcW w:w="752" w:type="dxa"/>
            <w:tcBorders>
              <w:top w:val="single" w:color="000000" w:sz="4" w:space="0"/>
              <w:left w:val="single" w:color="000000" w:sz="4" w:space="0"/>
              <w:bottom w:val="single" w:color="000000" w:sz="4" w:space="0"/>
              <w:right w:val="single" w:color="000000" w:sz="4" w:space="0"/>
            </w:tcBorders>
            <w:vAlign w:val="center"/>
          </w:tcPr>
          <w:p w14:paraId="5AA02535">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944" w:type="dxa"/>
            <w:tcBorders>
              <w:top w:val="single" w:color="000000" w:sz="4" w:space="0"/>
              <w:left w:val="single" w:color="000000" w:sz="4" w:space="0"/>
              <w:bottom w:val="single" w:color="000000" w:sz="4" w:space="0"/>
              <w:right w:val="single" w:color="000000" w:sz="4" w:space="0"/>
            </w:tcBorders>
            <w:vAlign w:val="center"/>
          </w:tcPr>
          <w:p w14:paraId="0AF1B3DF">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标的的名称</w:t>
            </w:r>
          </w:p>
        </w:tc>
        <w:tc>
          <w:tcPr>
            <w:tcW w:w="567" w:type="dxa"/>
            <w:tcBorders>
              <w:top w:val="single" w:color="000000" w:sz="4" w:space="0"/>
              <w:left w:val="single" w:color="000000" w:sz="4" w:space="0"/>
              <w:bottom w:val="single" w:color="000000" w:sz="4" w:space="0"/>
              <w:right w:val="single" w:color="000000" w:sz="4" w:space="0"/>
            </w:tcBorders>
            <w:vAlign w:val="center"/>
          </w:tcPr>
          <w:p w14:paraId="4DF7508B">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567" w:type="dxa"/>
            <w:tcBorders>
              <w:top w:val="single" w:color="000000" w:sz="4" w:space="0"/>
              <w:left w:val="single" w:color="000000" w:sz="4" w:space="0"/>
              <w:bottom w:val="single" w:color="000000" w:sz="4" w:space="0"/>
              <w:right w:val="single" w:color="000000" w:sz="4" w:space="0"/>
            </w:tcBorders>
            <w:vAlign w:val="center"/>
          </w:tcPr>
          <w:p w14:paraId="65744039">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993" w:type="dxa"/>
            <w:tcBorders>
              <w:top w:val="single" w:color="000000" w:sz="4" w:space="0"/>
              <w:left w:val="single" w:color="000000" w:sz="4" w:space="0"/>
              <w:bottom w:val="single" w:color="000000" w:sz="4" w:space="0"/>
              <w:right w:val="single" w:color="000000" w:sz="4" w:space="0"/>
            </w:tcBorders>
            <w:vAlign w:val="center"/>
          </w:tcPr>
          <w:p w14:paraId="6830F81D">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所属行业</w:t>
            </w:r>
          </w:p>
        </w:tc>
        <w:tc>
          <w:tcPr>
            <w:tcW w:w="6170" w:type="dxa"/>
            <w:tcBorders>
              <w:top w:val="single" w:color="000000" w:sz="4" w:space="0"/>
              <w:left w:val="single" w:color="000000" w:sz="4" w:space="0"/>
              <w:bottom w:val="single" w:color="000000" w:sz="4" w:space="0"/>
              <w:right w:val="single" w:color="000000" w:sz="4" w:space="0"/>
            </w:tcBorders>
            <w:vAlign w:val="center"/>
          </w:tcPr>
          <w:p w14:paraId="1EB8D7A6">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技术要求</w:t>
            </w:r>
          </w:p>
        </w:tc>
      </w:tr>
      <w:tr w14:paraId="3BC56DC0">
        <w:tblPrEx>
          <w:tblCellMar>
            <w:top w:w="0" w:type="dxa"/>
            <w:left w:w="108" w:type="dxa"/>
            <w:bottom w:w="0" w:type="dxa"/>
            <w:right w:w="108" w:type="dxa"/>
          </w:tblCellMar>
        </w:tblPrEx>
        <w:trPr>
          <w:trHeight w:val="640" w:hRule="atLeast"/>
        </w:trPr>
        <w:tc>
          <w:tcPr>
            <w:tcW w:w="752" w:type="dxa"/>
            <w:tcBorders>
              <w:top w:val="single" w:color="000000" w:sz="4" w:space="0"/>
              <w:left w:val="single" w:color="000000" w:sz="4" w:space="0"/>
              <w:bottom w:val="single" w:color="000000" w:sz="4" w:space="0"/>
              <w:right w:val="single" w:color="000000" w:sz="4" w:space="0"/>
            </w:tcBorders>
            <w:vAlign w:val="center"/>
          </w:tcPr>
          <w:p w14:paraId="40BDB31A">
            <w:pPr>
              <w:widowControl/>
              <w:spacing w:line="400" w:lineRule="exact"/>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944" w:type="dxa"/>
            <w:tcBorders>
              <w:top w:val="single" w:color="000000" w:sz="4" w:space="0"/>
              <w:left w:val="single" w:color="000000" w:sz="4" w:space="0"/>
              <w:bottom w:val="single" w:color="000000" w:sz="4" w:space="0"/>
              <w:right w:val="single" w:color="000000" w:sz="4" w:space="0"/>
            </w:tcBorders>
            <w:vAlign w:val="center"/>
          </w:tcPr>
          <w:p w14:paraId="7A50127B">
            <w:pPr>
              <w:widowControl/>
              <w:spacing w:line="400" w:lineRule="exact"/>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大模型安全网关</w:t>
            </w:r>
          </w:p>
        </w:tc>
        <w:tc>
          <w:tcPr>
            <w:tcW w:w="567" w:type="dxa"/>
            <w:tcBorders>
              <w:top w:val="single" w:color="000000" w:sz="4" w:space="0"/>
              <w:left w:val="single" w:color="000000" w:sz="4" w:space="0"/>
              <w:bottom w:val="single" w:color="000000" w:sz="4" w:space="0"/>
              <w:right w:val="single" w:color="000000" w:sz="4" w:space="0"/>
            </w:tcBorders>
            <w:vAlign w:val="center"/>
          </w:tcPr>
          <w:p w14:paraId="2138E3A8">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0AAABD18">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14:paraId="24D7B925">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c>
          <w:tcPr>
            <w:tcW w:w="6170" w:type="dxa"/>
            <w:tcBorders>
              <w:top w:val="single" w:color="000000" w:sz="4" w:space="0"/>
              <w:left w:val="single" w:color="000000" w:sz="4" w:space="0"/>
              <w:bottom w:val="single" w:color="000000" w:sz="4" w:space="0"/>
              <w:right w:val="single" w:color="000000" w:sz="4" w:space="0"/>
            </w:tcBorders>
            <w:vAlign w:val="center"/>
          </w:tcPr>
          <w:p w14:paraId="04534F07">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一、硬件参数</w:t>
            </w:r>
          </w:p>
          <w:p w14:paraId="697C99A0">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1、设备采用独立的专用硬件交付，2U设备，冗余电源，含三年硬件维保、三年软件升级、三年协议库升级服务。</w:t>
            </w:r>
          </w:p>
          <w:p w14:paraId="66D17E42">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2、具备千兆电口4个,万兆光口（含多模模块）4个，硬盘≥500G+4T。</w:t>
            </w:r>
          </w:p>
          <w:p w14:paraId="01D6093E">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3、要求设备采用的CPU和操作系统通过中国信息安全测评中心或国家保密科技测评中心的安全可靠测评，投标文件需</w:t>
            </w:r>
            <w:r>
              <w:rPr>
                <w:rFonts w:hint="eastAsia" w:ascii="Times New Roman" w:hAnsi="Times New Roman" w:eastAsia="宋体" w:cs="Times New Roman"/>
                <w:color w:val="auto"/>
                <w:kern w:val="0"/>
                <w:sz w:val="21"/>
                <w:szCs w:val="21"/>
                <w:highlight w:val="none"/>
                <w:lang w:val="en-US" w:eastAsia="zh-CN" w:bidi="ar-SA"/>
              </w:rPr>
              <w:t>提供由中国信息安全测评中心（</w:t>
            </w:r>
            <w:r>
              <w:rPr>
                <w:rFonts w:ascii="Times New Roman" w:hAnsi="Times New Roman" w:eastAsia="宋体" w:cs="Times New Roman"/>
                <w:color w:val="auto"/>
                <w:kern w:val="0"/>
                <w:sz w:val="21"/>
                <w:szCs w:val="21"/>
                <w:highlight w:val="none"/>
                <w:lang w:val="en-US" w:eastAsia="zh-CN" w:bidi="ar-SA"/>
              </w:rPr>
              <w:t xml:space="preserve"> http://www.</w:t>
            </w:r>
            <w:r>
              <w:rPr>
                <w:rFonts w:hint="eastAsia" w:ascii="Times New Roman" w:hAnsi="Times New Roman" w:eastAsia="宋体" w:cs="Times New Roman"/>
                <w:color w:val="auto"/>
                <w:kern w:val="0"/>
                <w:sz w:val="21"/>
                <w:szCs w:val="21"/>
                <w:highlight w:val="none"/>
                <w:lang w:val="en-US" w:eastAsia="zh-CN" w:bidi="ar-SA"/>
              </w:rPr>
              <w:t>itsec.gov.cn/aqkkcp）或者国家保密科技测评中心（https://www.nsstec.org.cn）发布的《安全可靠测评结果》截图证明材料</w:t>
            </w:r>
            <w:r>
              <w:rPr>
                <w:rFonts w:hint="eastAsia" w:ascii="Times New Roman" w:hAnsi="Times New Roman" w:eastAsia="宋体" w:cs="Times New Roman"/>
                <w:color w:val="auto"/>
                <w:kern w:val="0"/>
                <w:sz w:val="24"/>
                <w:szCs w:val="24"/>
                <w:highlight w:val="none"/>
                <w:lang w:val="en-US" w:eastAsia="zh-CN" w:bidi="ar-SA"/>
              </w:rPr>
              <w:t>。</w:t>
            </w:r>
          </w:p>
          <w:p w14:paraId="59C9BC0C">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二、性能参数</w:t>
            </w:r>
          </w:p>
          <w:p w14:paraId="00FD2BE2">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1、网络吞吐量≥2G，SSL解密吞吐≥800Mbps；</w:t>
            </w:r>
          </w:p>
          <w:p w14:paraId="2D9C5886">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2、并发连接数≥120万，新建连接数≥9万；</w:t>
            </w:r>
          </w:p>
          <w:p w14:paraId="68A64154">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三、功能参数</w:t>
            </w:r>
          </w:p>
          <w:p w14:paraId="7B58D898">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1、支持网桥模式（透明部署）、网关模式（路由/NAT部署）和单臂模式部署。</w:t>
            </w:r>
          </w:p>
          <w:p w14:paraId="306A7563">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2、在不改造现有AI应用的情况下完成上线，通过代理能力提供对AI应用的隔离保护、协议的转换等功能。</w:t>
            </w:r>
          </w:p>
          <w:p w14:paraId="27BECE05">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3、同时兼容RSA算法及SM2算法；支持国密算法SM2,SM3,SM4；支持SSL卸载，可以将客户端的HTTPS请求解密为HTTP明文请求发送给服务器，减轻服务器加解密压力；</w:t>
            </w:r>
          </w:p>
          <w:p w14:paraId="08B1AF7A">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4、支持定义账号提取AI应用调用主体身份。支持AD、数据库、802.1X、华为controller等主体识别方式；</w:t>
            </w:r>
          </w:p>
          <w:p w14:paraId="2BC45F6A">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5、支持设定AI应用访问的基本带宽保障，设定并发连接数限制，设定AI应用访问的速率限制，保障业务可用性。</w:t>
            </w:r>
          </w:p>
          <w:p w14:paraId="0345D0C9">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6、支持对AI应用提问回答内容进行审计及敏感信息检测，对违规敏感信息的请求访问进行阻塞。</w:t>
            </w:r>
          </w:p>
          <w:p w14:paraId="25328E05">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7、支持对AI应用提问回答内容敏感信息进行动态脱敏。</w:t>
            </w:r>
          </w:p>
          <w:p w14:paraId="73872D17">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8、对AI应用提问回答内容的网页和文件动态添加水印。</w:t>
            </w:r>
          </w:p>
          <w:p w14:paraId="27A0BC54">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9、支持入侵防护功能，支持SQL注入等威胁防护。支持针对爬虫行为进行检测，记录爬虫日志，同时对爬虫行为进行放行或阻塞。</w:t>
            </w:r>
          </w:p>
        </w:tc>
      </w:tr>
      <w:tr w14:paraId="2DDE3CDA">
        <w:tblPrEx>
          <w:tblCellMar>
            <w:top w:w="0" w:type="dxa"/>
            <w:left w:w="108" w:type="dxa"/>
            <w:bottom w:w="0" w:type="dxa"/>
            <w:right w:w="108" w:type="dxa"/>
          </w:tblCellMar>
        </w:tblPrEx>
        <w:trPr>
          <w:trHeight w:val="640" w:hRule="atLeast"/>
        </w:trPr>
        <w:tc>
          <w:tcPr>
            <w:tcW w:w="752" w:type="dxa"/>
            <w:tcBorders>
              <w:top w:val="single" w:color="000000" w:sz="4" w:space="0"/>
              <w:left w:val="single" w:color="000000" w:sz="4" w:space="0"/>
              <w:bottom w:val="single" w:color="000000" w:sz="4" w:space="0"/>
              <w:right w:val="single" w:color="000000" w:sz="4" w:space="0"/>
            </w:tcBorders>
            <w:vAlign w:val="center"/>
          </w:tcPr>
          <w:p w14:paraId="551F503A">
            <w:pPr>
              <w:widowControl/>
              <w:spacing w:line="400" w:lineRule="exact"/>
              <w:jc w:val="center"/>
              <w:textAlignment w:val="center"/>
              <w:rPr>
                <w:rFonts w:ascii="宋体" w:hAnsi="宋体" w:eastAsia="宋体" w:cs="宋体"/>
                <w:color w:val="auto"/>
                <w:kern w:val="0"/>
                <w:szCs w:val="21"/>
                <w:highlight w:val="none"/>
                <w:lang w:bidi="ar"/>
              </w:rPr>
            </w:pPr>
          </w:p>
          <w:p w14:paraId="161B6C1F">
            <w:pPr>
              <w:widowControl/>
              <w:spacing w:line="400" w:lineRule="exact"/>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p>
        </w:tc>
        <w:tc>
          <w:tcPr>
            <w:tcW w:w="944" w:type="dxa"/>
            <w:tcBorders>
              <w:top w:val="single" w:color="000000" w:sz="4" w:space="0"/>
              <w:left w:val="single" w:color="000000" w:sz="4" w:space="0"/>
              <w:bottom w:val="single" w:color="000000" w:sz="4" w:space="0"/>
              <w:right w:val="single" w:color="000000" w:sz="4" w:space="0"/>
            </w:tcBorders>
            <w:vAlign w:val="center"/>
          </w:tcPr>
          <w:p w14:paraId="69F43307">
            <w:pPr>
              <w:widowControl/>
              <w:spacing w:line="400" w:lineRule="exact"/>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大模型内容鉴定一体机</w:t>
            </w:r>
          </w:p>
        </w:tc>
        <w:tc>
          <w:tcPr>
            <w:tcW w:w="567" w:type="dxa"/>
            <w:tcBorders>
              <w:top w:val="single" w:color="000000" w:sz="4" w:space="0"/>
              <w:left w:val="single" w:color="000000" w:sz="4" w:space="0"/>
              <w:bottom w:val="single" w:color="000000" w:sz="4" w:space="0"/>
              <w:right w:val="single" w:color="000000" w:sz="4" w:space="0"/>
            </w:tcBorders>
            <w:vAlign w:val="center"/>
          </w:tcPr>
          <w:p w14:paraId="2A2BF7B6">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70A2A102">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14:paraId="0A1E85EC">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c>
          <w:tcPr>
            <w:tcW w:w="6170" w:type="dxa"/>
            <w:tcBorders>
              <w:top w:val="single" w:color="000000" w:sz="4" w:space="0"/>
              <w:left w:val="single" w:color="000000" w:sz="4" w:space="0"/>
              <w:bottom w:val="single" w:color="000000" w:sz="4" w:space="0"/>
              <w:right w:val="single" w:color="000000" w:sz="4" w:space="0"/>
            </w:tcBorders>
            <w:vAlign w:val="center"/>
          </w:tcPr>
          <w:p w14:paraId="05AC7C18">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一、硬件参数</w:t>
            </w:r>
          </w:p>
          <w:p w14:paraId="523F3B86">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1、设备采用独立的专用硬件，2U设备，冗余电源，含三年硬件维保、三年软件升级、三年协议库升级服务。</w:t>
            </w:r>
          </w:p>
          <w:p w14:paraId="65D26C05">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2、具备千兆电口4个,万兆光口（含多模模块）2个，硬盘≥500G+4T。</w:t>
            </w:r>
          </w:p>
          <w:p w14:paraId="6B7C7097">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3、要求设备采用的CPU和操作系统通过中国信息安全测评中心或国家保密科技测评中心的安全可靠测评，投标文件需</w:t>
            </w:r>
            <w:r>
              <w:rPr>
                <w:rFonts w:hint="eastAsia" w:ascii="Times New Roman" w:hAnsi="Times New Roman" w:eastAsia="宋体" w:cs="Times New Roman"/>
                <w:color w:val="auto"/>
                <w:kern w:val="0"/>
                <w:sz w:val="21"/>
                <w:szCs w:val="21"/>
                <w:highlight w:val="none"/>
                <w:lang w:val="en-US" w:eastAsia="zh-CN" w:bidi="ar-SA"/>
              </w:rPr>
              <w:t>提供由中国信息安全测评中心（</w:t>
            </w:r>
            <w:r>
              <w:rPr>
                <w:rFonts w:ascii="Times New Roman" w:hAnsi="Times New Roman" w:eastAsia="宋体" w:cs="Times New Roman"/>
                <w:color w:val="auto"/>
                <w:kern w:val="0"/>
                <w:sz w:val="21"/>
                <w:szCs w:val="21"/>
                <w:highlight w:val="none"/>
                <w:lang w:val="en-US" w:eastAsia="zh-CN" w:bidi="ar-SA"/>
              </w:rPr>
              <w:t xml:space="preserve"> http://www.</w:t>
            </w:r>
            <w:r>
              <w:rPr>
                <w:rFonts w:hint="eastAsia" w:ascii="Times New Roman" w:hAnsi="Times New Roman" w:eastAsia="宋体" w:cs="Times New Roman"/>
                <w:color w:val="auto"/>
                <w:kern w:val="0"/>
                <w:sz w:val="21"/>
                <w:szCs w:val="21"/>
                <w:highlight w:val="none"/>
                <w:lang w:val="en-US" w:eastAsia="zh-CN" w:bidi="ar-SA"/>
              </w:rPr>
              <w:t>itsec.gov.cn/aqkkcp）或者国家保密科技测评中心（https://www.nsstec.org.cn）发布的《安全可靠测评结果》截图证明材料。</w:t>
            </w:r>
          </w:p>
          <w:p w14:paraId="14BE3043">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二、性能参数</w:t>
            </w:r>
          </w:p>
          <w:p w14:paraId="32D775B5">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1、系统每秒能处理的token数≥1800 tokens/s；</w:t>
            </w:r>
          </w:p>
          <w:p w14:paraId="0A0A730C">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2、系统每秒能处理的请求数量≥18QPS。</w:t>
            </w:r>
          </w:p>
          <w:p w14:paraId="3D1E1C9E">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三、功能参数</w:t>
            </w:r>
          </w:p>
          <w:p w14:paraId="1D37388A">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1、支持指令攻击检测，检测提示词是否包含目标劫持攻击, 指令泄漏攻击, 反面诱导攻击, 角色扮演攻击等指令攻击语义。</w:t>
            </w:r>
          </w:p>
          <w:p w14:paraId="4F51AF1B">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2、支持内容合规检测，检测提示词是否包含涉暴涉恐涉政的危害国家安全内容，或包含涉及赌博、色情、毒品及其他违规违法内容。</w:t>
            </w:r>
          </w:p>
          <w:p w14:paraId="304B71D0">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3、支持敏感话题检测，检测提示词是否包含以下敏感话题内容：涉及伦理道德, 涉及心理问题, 涉及身体伤害, 涉及隐私财产, 涉及偏见歧视, 包含辱骂脏话及其他危险敏感话题。</w:t>
            </w:r>
          </w:p>
          <w:p w14:paraId="3087B5AF">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4、支持内容合规检测，检测大模型生成内容是否包含涉暴涉恐涉政的危害国家安全内容，或包含涉及赌博、色情、毒品及其他违规违法内容。</w:t>
            </w:r>
          </w:p>
          <w:p w14:paraId="31A0071B">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5、支持价值观检测，检测大模型生成内容是否包含错误的道德伦理价值观内容。</w:t>
            </w:r>
          </w:p>
          <w:p w14:paraId="2A1D679F">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6、支持对多国语言的识别，避免出现敏感信息被绕过等问题，对于不支持的小语种，支持通过规则进行限制。</w:t>
            </w:r>
          </w:p>
        </w:tc>
      </w:tr>
      <w:tr w14:paraId="46BD27B7">
        <w:tblPrEx>
          <w:tblCellMar>
            <w:top w:w="0" w:type="dxa"/>
            <w:left w:w="108" w:type="dxa"/>
            <w:bottom w:w="0" w:type="dxa"/>
            <w:right w:w="108" w:type="dxa"/>
          </w:tblCellMar>
        </w:tblPrEx>
        <w:trPr>
          <w:trHeight w:val="640" w:hRule="atLeast"/>
        </w:trPr>
        <w:tc>
          <w:tcPr>
            <w:tcW w:w="752" w:type="dxa"/>
            <w:tcBorders>
              <w:top w:val="single" w:color="000000" w:sz="4" w:space="0"/>
              <w:left w:val="single" w:color="000000" w:sz="4" w:space="0"/>
              <w:bottom w:val="single" w:color="000000" w:sz="4" w:space="0"/>
              <w:right w:val="single" w:color="000000" w:sz="4" w:space="0"/>
            </w:tcBorders>
            <w:vAlign w:val="center"/>
          </w:tcPr>
          <w:p w14:paraId="12244C8F">
            <w:pPr>
              <w:keepNext/>
              <w:keepLines/>
              <w:widowControl w:val="0"/>
              <w:numPr>
                <w:ilvl w:val="3"/>
                <w:numId w:val="0"/>
              </w:numPr>
              <w:spacing w:before="280" w:after="290" w:line="376" w:lineRule="auto"/>
              <w:ind w:left="864" w:leftChars="0" w:hanging="864" w:firstLineChars="0"/>
              <w:jc w:val="both"/>
              <w:outlineLvl w:val="3"/>
              <w:rPr>
                <w:rFonts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lang w:val="en-US" w:eastAsia="zh-CN" w:bidi="ar"/>
              </w:rPr>
              <w:t>3</w:t>
            </w:r>
          </w:p>
        </w:tc>
        <w:tc>
          <w:tcPr>
            <w:tcW w:w="944" w:type="dxa"/>
            <w:tcBorders>
              <w:top w:val="single" w:color="000000" w:sz="4" w:space="0"/>
              <w:left w:val="single" w:color="000000" w:sz="4" w:space="0"/>
              <w:bottom w:val="single" w:color="000000" w:sz="4" w:space="0"/>
              <w:right w:val="single" w:color="000000" w:sz="4" w:space="0"/>
            </w:tcBorders>
            <w:vAlign w:val="center"/>
          </w:tcPr>
          <w:p w14:paraId="4237490D">
            <w:pPr>
              <w:widowControl/>
              <w:spacing w:line="400" w:lineRule="exact"/>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大模型监测审计一体机</w:t>
            </w:r>
          </w:p>
        </w:tc>
        <w:tc>
          <w:tcPr>
            <w:tcW w:w="567" w:type="dxa"/>
            <w:tcBorders>
              <w:top w:val="single" w:color="000000" w:sz="4" w:space="0"/>
              <w:left w:val="single" w:color="000000" w:sz="4" w:space="0"/>
              <w:bottom w:val="single" w:color="000000" w:sz="4" w:space="0"/>
              <w:right w:val="single" w:color="000000" w:sz="4" w:space="0"/>
            </w:tcBorders>
            <w:vAlign w:val="center"/>
          </w:tcPr>
          <w:p w14:paraId="7E9678A8">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207180A2">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14:paraId="0228894E">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c>
          <w:tcPr>
            <w:tcW w:w="6170" w:type="dxa"/>
            <w:tcBorders>
              <w:top w:val="single" w:color="000000" w:sz="4" w:space="0"/>
              <w:left w:val="single" w:color="000000" w:sz="4" w:space="0"/>
              <w:bottom w:val="single" w:color="000000" w:sz="4" w:space="0"/>
              <w:right w:val="single" w:color="000000" w:sz="4" w:space="0"/>
            </w:tcBorders>
            <w:vAlign w:val="center"/>
          </w:tcPr>
          <w:p w14:paraId="0D28D5C7">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一、硬件参数</w:t>
            </w:r>
          </w:p>
          <w:p w14:paraId="7AFC390E">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1、设备采用独立的专用硬件，2U设备，冗余电源，含三年硬件维保、三年软件升级、三年协议库升级服务。</w:t>
            </w:r>
          </w:p>
          <w:p w14:paraId="7B6C7FC4">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2、具备千兆电口4个，硬盘≥500G+16T。</w:t>
            </w:r>
          </w:p>
          <w:p w14:paraId="5C8C831C">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3、要求设备采用的CPU和操作系统通过中国信息安全测评中心或国家保密科技测评中心的安全可靠测评，投标文件需</w:t>
            </w:r>
            <w:r>
              <w:rPr>
                <w:rFonts w:hint="eastAsia" w:ascii="Times New Roman" w:hAnsi="Times New Roman" w:eastAsia="宋体" w:cs="Times New Roman"/>
                <w:color w:val="auto"/>
                <w:kern w:val="0"/>
                <w:sz w:val="21"/>
                <w:szCs w:val="21"/>
                <w:highlight w:val="none"/>
                <w:lang w:val="en-US" w:eastAsia="zh-CN" w:bidi="ar-SA"/>
              </w:rPr>
              <w:t>提供由中国信息安全测评中心（</w:t>
            </w:r>
            <w:r>
              <w:rPr>
                <w:rFonts w:ascii="Times New Roman" w:hAnsi="Times New Roman" w:eastAsia="宋体" w:cs="Times New Roman"/>
                <w:color w:val="auto"/>
                <w:kern w:val="0"/>
                <w:sz w:val="21"/>
                <w:szCs w:val="21"/>
                <w:highlight w:val="none"/>
                <w:lang w:val="en-US" w:eastAsia="zh-CN" w:bidi="ar-SA"/>
              </w:rPr>
              <w:t xml:space="preserve"> http://www.</w:t>
            </w:r>
            <w:r>
              <w:rPr>
                <w:rFonts w:hint="eastAsia" w:ascii="Times New Roman" w:hAnsi="Times New Roman" w:eastAsia="宋体" w:cs="Times New Roman"/>
                <w:color w:val="auto"/>
                <w:kern w:val="0"/>
                <w:sz w:val="21"/>
                <w:szCs w:val="21"/>
                <w:highlight w:val="none"/>
                <w:lang w:val="en-US" w:eastAsia="zh-CN" w:bidi="ar-SA"/>
              </w:rPr>
              <w:t>itsec.gov.cn/aqkkcp）或者国家保密科技测评中心（https://www.nsstec.org.cn）发布的《安全可靠测评结果》截图证明材料。</w:t>
            </w:r>
          </w:p>
          <w:p w14:paraId="5A4E6281">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二、性能参数</w:t>
            </w:r>
          </w:p>
          <w:p w14:paraId="5A8A7326">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1、日志处理性能≥4000 EPS；</w:t>
            </w:r>
          </w:p>
          <w:p w14:paraId="037A9DE8">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三、功能参数</w:t>
            </w:r>
          </w:p>
          <w:p w14:paraId="52DAADC7">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1、支持大模型日志的留存与回溯检索。</w:t>
            </w:r>
          </w:p>
          <w:p w14:paraId="76659A67">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2、支持对大模型使用的异常行为进行实时检测告警，支持对大模型使用的行为进行风险分析与告警。</w:t>
            </w:r>
          </w:p>
          <w:p w14:paraId="45BECF37">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3、支持还原AI应用接口报文并记录详记录完整的报文信息，包含：提问回答原文，请求头、请求体、响应头、响应体和关联文件</w:t>
            </w:r>
          </w:p>
          <w:p w14:paraId="34A9FF1C">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4、支持提取登录AI应用的账号并关联此账号的所有访问行为</w:t>
            </w:r>
          </w:p>
          <w:p w14:paraId="5E324311">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5、支持大模型文本内容溯源、传输文件内容溯源</w:t>
            </w:r>
          </w:p>
          <w:p w14:paraId="54D770B8">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6、支持基于主体、客体、时间、频次、数量、流量等维度的统计分析，对比分析和基线分析。</w:t>
            </w:r>
          </w:p>
          <w:p w14:paraId="3A06045A">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7、支持AI应用审计原始日志记录。可以对检测结果进行报文内容追溯查看，包括匹配结果，请求体，请求体，响应头，响应体，传输文件等。支持海量数据秒级查询</w:t>
            </w:r>
          </w:p>
          <w:p w14:paraId="007D2E3C">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8、支持风险监测日志检索，可以对特定规则的AI应用和AI应用接口的访问详情进行检索，可详细。查看各业务接口流转数据的规则匹配情况，可查看请求的报文详情。</w:t>
            </w:r>
          </w:p>
          <w:p w14:paraId="7C84700A">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9、支持以独立的运维展示大屏页面，基于大模型用户数量、流量、敏感信息分布和风险事件等多个维度展示大模型应用风险态势。</w:t>
            </w:r>
          </w:p>
        </w:tc>
      </w:tr>
      <w:tr w14:paraId="4DA0BB85">
        <w:tblPrEx>
          <w:tblCellMar>
            <w:top w:w="0" w:type="dxa"/>
            <w:left w:w="108" w:type="dxa"/>
            <w:bottom w:w="0" w:type="dxa"/>
            <w:right w:w="108" w:type="dxa"/>
          </w:tblCellMar>
        </w:tblPrEx>
        <w:trPr>
          <w:trHeight w:val="640" w:hRule="atLeast"/>
        </w:trPr>
        <w:tc>
          <w:tcPr>
            <w:tcW w:w="752" w:type="dxa"/>
            <w:tcBorders>
              <w:top w:val="single" w:color="000000" w:sz="4" w:space="0"/>
              <w:left w:val="single" w:color="000000" w:sz="4" w:space="0"/>
              <w:bottom w:val="single" w:color="000000" w:sz="4" w:space="0"/>
              <w:right w:val="single" w:color="000000" w:sz="4" w:space="0"/>
            </w:tcBorders>
            <w:vAlign w:val="center"/>
          </w:tcPr>
          <w:p w14:paraId="50C48AF5">
            <w:pPr>
              <w:keepNext/>
              <w:keepLines/>
              <w:widowControl w:val="0"/>
              <w:numPr>
                <w:ilvl w:val="3"/>
                <w:numId w:val="0"/>
              </w:numPr>
              <w:spacing w:before="280" w:after="290" w:line="376" w:lineRule="auto"/>
              <w:ind w:left="864" w:leftChars="0" w:hanging="864" w:firstLineChars="0"/>
              <w:jc w:val="both"/>
              <w:outlineLvl w:val="3"/>
              <w:rPr>
                <w:rFonts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lang w:val="en-US" w:eastAsia="zh-CN" w:bidi="ar"/>
              </w:rPr>
              <w:t>4</w:t>
            </w:r>
          </w:p>
        </w:tc>
        <w:tc>
          <w:tcPr>
            <w:tcW w:w="944" w:type="dxa"/>
            <w:tcBorders>
              <w:top w:val="single" w:color="000000" w:sz="4" w:space="0"/>
              <w:left w:val="single" w:color="000000" w:sz="4" w:space="0"/>
              <w:bottom w:val="single" w:color="000000" w:sz="4" w:space="0"/>
              <w:right w:val="single" w:color="000000" w:sz="4" w:space="0"/>
            </w:tcBorders>
            <w:vAlign w:val="center"/>
          </w:tcPr>
          <w:p w14:paraId="10C4909A">
            <w:pPr>
              <w:widowControl/>
              <w:spacing w:line="400" w:lineRule="exact"/>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流转数据监测一体机</w:t>
            </w:r>
          </w:p>
        </w:tc>
        <w:tc>
          <w:tcPr>
            <w:tcW w:w="567" w:type="dxa"/>
            <w:tcBorders>
              <w:top w:val="single" w:color="000000" w:sz="4" w:space="0"/>
              <w:left w:val="single" w:color="000000" w:sz="4" w:space="0"/>
              <w:bottom w:val="single" w:color="000000" w:sz="4" w:space="0"/>
              <w:right w:val="single" w:color="000000" w:sz="4" w:space="0"/>
            </w:tcBorders>
            <w:vAlign w:val="center"/>
          </w:tcPr>
          <w:p w14:paraId="61385B43">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79D01510">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14:paraId="51739CA8">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c>
          <w:tcPr>
            <w:tcW w:w="6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C7AB">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一、硬件参数</w:t>
            </w:r>
          </w:p>
          <w:p w14:paraId="0C76B665">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1、产品设备采用独立的专用硬件交付，2U设备，冗余电源，含三年硬件维保、三年软件升级、三年特征库库升级服务。</w:t>
            </w:r>
          </w:p>
          <w:p w14:paraId="7FD669D0">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2、产品具备千兆电口6个,万兆光口(含多模模块)2个，硬盘≥8T。</w:t>
            </w:r>
          </w:p>
          <w:p w14:paraId="6435D840">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3、要求设备采用的CPU和操作系统通过中国信息安全测评中心或国家保密科技测评中心的安全可靠测评，投标文件需</w:t>
            </w:r>
            <w:r>
              <w:rPr>
                <w:rFonts w:hint="eastAsia" w:ascii="Times New Roman" w:hAnsi="Times New Roman" w:eastAsia="宋体" w:cs="Times New Roman"/>
                <w:color w:val="auto"/>
                <w:kern w:val="0"/>
                <w:sz w:val="21"/>
                <w:szCs w:val="21"/>
                <w:highlight w:val="none"/>
                <w:lang w:val="en-US" w:eastAsia="zh-CN" w:bidi="ar-SA"/>
              </w:rPr>
              <w:t>提供由中国信息安全测评中心（</w:t>
            </w:r>
            <w:r>
              <w:rPr>
                <w:rFonts w:ascii="Times New Roman" w:hAnsi="Times New Roman" w:eastAsia="宋体" w:cs="Times New Roman"/>
                <w:color w:val="auto"/>
                <w:kern w:val="0"/>
                <w:sz w:val="21"/>
                <w:szCs w:val="21"/>
                <w:highlight w:val="none"/>
                <w:lang w:val="en-US" w:eastAsia="zh-CN" w:bidi="ar-SA"/>
              </w:rPr>
              <w:t xml:space="preserve"> http://www.</w:t>
            </w:r>
            <w:r>
              <w:rPr>
                <w:rFonts w:hint="eastAsia" w:ascii="Times New Roman" w:hAnsi="Times New Roman" w:eastAsia="宋体" w:cs="Times New Roman"/>
                <w:color w:val="auto"/>
                <w:kern w:val="0"/>
                <w:sz w:val="21"/>
                <w:szCs w:val="21"/>
                <w:highlight w:val="none"/>
                <w:lang w:val="en-US" w:eastAsia="zh-CN" w:bidi="ar-SA"/>
              </w:rPr>
              <w:t>itsec.gov.cn/aqkkcp）或者国家保密科技测评中心（https://www.nsstec.org.cn）发布的《安全可靠测评结果》截图证明材料。</w:t>
            </w:r>
          </w:p>
          <w:p w14:paraId="012BB7BF">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二、性能参数</w:t>
            </w:r>
          </w:p>
          <w:p w14:paraId="5686425E">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1、最大支持性能网络吞吐≥10Gbps；</w:t>
            </w:r>
          </w:p>
          <w:p w14:paraId="125A37AF">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三、功能参数</w:t>
            </w:r>
          </w:p>
          <w:p w14:paraId="796A3C4A">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1、支持旁路部署采集流量，支持IPV4及IPV6流量的采集与处理。</w:t>
            </w:r>
          </w:p>
          <w:p w14:paraId="33A33E18">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2、支持Oracle、MySQL、MSSQL、PostgreSQL、MongoDB、DB2、人大金仓、瀚高、南大通用、优炫等数据库行为的解析。</w:t>
            </w:r>
          </w:p>
          <w:p w14:paraId="0A625FCD">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支持文件还原，支持多种文件类型的筛选，可执行文件还原格式包含：bin、exe、bat、dll、sys、com、ax、acm、drv等；压缩文件还原格式包含：rar、zip、gz、7z、tar等；文档类型的还原格式包含：doc、docx、xls、txt、pptx、pdf、rtf、ppt等。</w:t>
            </w:r>
          </w:p>
          <w:p w14:paraId="0D1A8F22">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4、支持基于敏感数据采集策略对采集数据范围、敏感数据检测范围进行配置，最多支持4000条敏感数据采集策略，且策略支持优先级匹配。</w:t>
            </w:r>
          </w:p>
          <w:p w14:paraId="78873055">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支持针对结构化数据/非结构化数据/半结构化数据的检测分析，如文件类型检测、文件内容提取及分析、压缩文件内容提取及分析、图片文件内容提取及分析、JSON/XML内容提取及分析等，可结合用户业务数据特点进行深度内容分析，判断当前文件内容是否包含敏感信息，并产生敏感信息文件告警，为数据安全的进一步处理提供依据。</w:t>
            </w:r>
          </w:p>
          <w:p w14:paraId="0F58D666">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支持半结构化数据检测分析，包含FROM、XML、JSON、MIME等。</w:t>
            </w:r>
          </w:p>
          <w:p w14:paraId="7FA3E68E">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6、支持结构化数据检测分析，包含postgresql、mysql、opengauss、db2、人大金仓数据库、瀚高数据库、南大通用数据库、优炫等数据库等。</w:t>
            </w:r>
          </w:p>
          <w:p w14:paraId="4F67674A">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7、支持非结构化数据检测分析，包含doc、docx、xls、xlsx、ppt、pptx、pdf、rtf、cebx、ceb、odt、ofd、odp、wps、et、dps、zip、gz、tar、rar、7z、bz2、xz等。</w:t>
            </w:r>
          </w:p>
          <w:p w14:paraId="6E82F6E0">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8、支持以流转途径维度查看数据流转情况，展现内容包括应用名称、访问用户数、行业类型、数据标签、访问总条数、去重后条数、访问数据量、首次访问时间、最新访问时间等。</w:t>
            </w:r>
          </w:p>
          <w:p w14:paraId="40B1809B">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9、支持以数据维度查看数据流转情况，展现内容包括数据标签、关联用户数、敏感程度、访问总条数、去重后条数、访问数据量、首次访问时间、最新访问时间等。</w:t>
            </w:r>
          </w:p>
          <w:p w14:paraId="05105AAD">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10、支持与数据安全管理系统对接，上传相关数据安全检测数据，实现数据安全分析。</w:t>
            </w:r>
          </w:p>
        </w:tc>
      </w:tr>
      <w:tr w14:paraId="48A9350A">
        <w:tblPrEx>
          <w:tblCellMar>
            <w:top w:w="0" w:type="dxa"/>
            <w:left w:w="108" w:type="dxa"/>
            <w:bottom w:w="0" w:type="dxa"/>
            <w:right w:w="108" w:type="dxa"/>
          </w:tblCellMar>
        </w:tblPrEx>
        <w:trPr>
          <w:trHeight w:val="640" w:hRule="atLeast"/>
        </w:trPr>
        <w:tc>
          <w:tcPr>
            <w:tcW w:w="752" w:type="dxa"/>
            <w:tcBorders>
              <w:top w:val="single" w:color="000000" w:sz="4" w:space="0"/>
              <w:left w:val="single" w:color="000000" w:sz="4" w:space="0"/>
              <w:bottom w:val="single" w:color="000000" w:sz="4" w:space="0"/>
              <w:right w:val="single" w:color="000000" w:sz="4" w:space="0"/>
            </w:tcBorders>
            <w:vAlign w:val="center"/>
          </w:tcPr>
          <w:p w14:paraId="02C5CDFF">
            <w:pPr>
              <w:keepNext/>
              <w:keepLines/>
              <w:widowControl w:val="0"/>
              <w:numPr>
                <w:ilvl w:val="3"/>
                <w:numId w:val="0"/>
              </w:numPr>
              <w:spacing w:before="280" w:after="290" w:line="376" w:lineRule="auto"/>
              <w:ind w:left="864" w:leftChars="0" w:hanging="864" w:firstLineChars="0"/>
              <w:jc w:val="both"/>
              <w:outlineLvl w:val="3"/>
              <w:rPr>
                <w:rFonts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vAlign w:val="center"/>
          </w:tcPr>
          <w:p w14:paraId="7D541F73">
            <w:pPr>
              <w:widowControl/>
              <w:spacing w:line="400" w:lineRule="exact"/>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数据安全管理一体机</w:t>
            </w:r>
          </w:p>
        </w:tc>
        <w:tc>
          <w:tcPr>
            <w:tcW w:w="567" w:type="dxa"/>
            <w:tcBorders>
              <w:top w:val="single" w:color="000000" w:sz="4" w:space="0"/>
              <w:left w:val="single" w:color="000000" w:sz="4" w:space="0"/>
              <w:bottom w:val="single" w:color="000000" w:sz="4" w:space="0"/>
              <w:right w:val="single" w:color="000000" w:sz="4" w:space="0"/>
            </w:tcBorders>
            <w:vAlign w:val="center"/>
          </w:tcPr>
          <w:p w14:paraId="7B45D553">
            <w:pPr>
              <w:widowControl/>
              <w:spacing w:line="40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567" w:type="dxa"/>
            <w:tcBorders>
              <w:top w:val="single" w:color="000000" w:sz="4" w:space="0"/>
              <w:left w:val="single" w:color="000000" w:sz="4" w:space="0"/>
              <w:bottom w:val="single" w:color="000000" w:sz="4" w:space="0"/>
              <w:right w:val="single" w:color="000000" w:sz="4" w:space="0"/>
            </w:tcBorders>
            <w:vAlign w:val="center"/>
          </w:tcPr>
          <w:p w14:paraId="73FF49F8">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14:paraId="154AC369">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c>
          <w:tcPr>
            <w:tcW w:w="6170" w:type="dxa"/>
            <w:tcBorders>
              <w:top w:val="single" w:color="000000" w:sz="4" w:space="0"/>
              <w:left w:val="single" w:color="000000" w:sz="4" w:space="0"/>
              <w:bottom w:val="single" w:color="000000" w:sz="4" w:space="0"/>
              <w:right w:val="single" w:color="000000" w:sz="4" w:space="0"/>
            </w:tcBorders>
            <w:vAlign w:val="center"/>
          </w:tcPr>
          <w:p w14:paraId="4E133FA0">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一、硬件参数</w:t>
            </w:r>
          </w:p>
          <w:p w14:paraId="17A4D2B9">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1、设备采用独立的专用硬件交付，2U设备，冗余电源，含三年硬件维保、三年软件升级、三年协议库升级。</w:t>
            </w:r>
          </w:p>
          <w:p w14:paraId="4E3BDFC6">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2、具备千兆电口4个,万兆光口(含多模模块)2个，硬盘≥960G+48T。</w:t>
            </w:r>
          </w:p>
          <w:p w14:paraId="788112B7">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3、要求设备采用的CPU和操作系统通过中国信息安全测评中心或国家保密科技测评中心的安全可靠测评，投标文件需</w:t>
            </w:r>
            <w:r>
              <w:rPr>
                <w:rFonts w:hint="eastAsia" w:ascii="Times New Roman" w:hAnsi="Times New Roman" w:eastAsia="宋体" w:cs="Times New Roman"/>
                <w:color w:val="auto"/>
                <w:kern w:val="0"/>
                <w:sz w:val="21"/>
                <w:szCs w:val="21"/>
                <w:highlight w:val="none"/>
                <w:lang w:val="en-US" w:eastAsia="zh-CN" w:bidi="ar-SA"/>
              </w:rPr>
              <w:t>提供由中国信息安全测评中心（</w:t>
            </w:r>
            <w:r>
              <w:rPr>
                <w:rFonts w:ascii="Times New Roman" w:hAnsi="Times New Roman" w:eastAsia="宋体" w:cs="Times New Roman"/>
                <w:color w:val="auto"/>
                <w:kern w:val="0"/>
                <w:sz w:val="21"/>
                <w:szCs w:val="21"/>
                <w:highlight w:val="none"/>
                <w:lang w:val="en-US" w:eastAsia="zh-CN" w:bidi="ar-SA"/>
              </w:rPr>
              <w:t xml:space="preserve"> http://www.</w:t>
            </w:r>
            <w:r>
              <w:rPr>
                <w:rFonts w:hint="eastAsia" w:ascii="Times New Roman" w:hAnsi="Times New Roman" w:eastAsia="宋体" w:cs="Times New Roman"/>
                <w:color w:val="auto"/>
                <w:kern w:val="0"/>
                <w:sz w:val="21"/>
                <w:szCs w:val="21"/>
                <w:highlight w:val="none"/>
                <w:lang w:val="en-US" w:eastAsia="zh-CN" w:bidi="ar-SA"/>
              </w:rPr>
              <w:t>itsec.gov.cn/aqkkcp）或者国家保密科技测评中心（https://www.nsstec.org.cn）发布的《安全可靠测评结果》截图证明材料。</w:t>
            </w:r>
          </w:p>
          <w:p w14:paraId="3188050C">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二、性能参数</w:t>
            </w:r>
          </w:p>
          <w:p w14:paraId="10E662D1">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1、单台支持≥8000EPS的数据安全日志分析，支持通过增加硬件集群配置扩充性能；</w:t>
            </w:r>
          </w:p>
          <w:p w14:paraId="20F3D56B">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三、功能参数</w:t>
            </w:r>
          </w:p>
          <w:p w14:paraId="72021C31">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支持对数据库/实例进行自动扫描与解析，自动发现并提取数据库/实例信息、表信息、字段信息、表记录总条数等元数据信息，并识别其中的数据资产；支持对非结构化数据载体进行识别，提取的其中的元数据。</w:t>
            </w:r>
          </w:p>
          <w:p w14:paraId="56A2E950">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2、支持从敏感数据的维度查看敏感数据资产，可查看每条敏感数据的发现时间、访问次数，所属的数据库、应用、API，及触发的告警数、风险数、事件数；</w:t>
            </w:r>
          </w:p>
          <w:p w14:paraId="49E394AD">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3、支持对结构化数据进行自动分类分级，支持对非结构化数据进行自动分类分级。</w:t>
            </w:r>
          </w:p>
          <w:p w14:paraId="401A2224">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4、对于存储中的静态数据与使用的流动数据，可识别具体的数据内容，并进行一定的敏感数据打标，并针对静态数据和流动数据以全局视图进行展示。</w:t>
            </w:r>
          </w:p>
          <w:p w14:paraId="021414E6">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5、支持通过对多源日志关联分析、行为链分析、特征建模及历史数据分析建立基线模型，发现数据安全事件。</w:t>
            </w:r>
          </w:p>
          <w:p w14:paraId="25ECA9D7">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支持数据安全告警分析，支持查看告警详情，包括告警描述、研判处置、关联敏感数据信息、关联身份信息、关联应用信息、关联数据库信息、关联文件信息；</w:t>
            </w:r>
          </w:p>
          <w:p w14:paraId="1DEBC5AF">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6、支持通过自学习和用户自定义规则/场景，对流量、日志进行实时统计和分析。内置规则包括：数据源安全、数据操作异常、数据流动异常、账号使用异常等大类。</w:t>
            </w:r>
          </w:p>
          <w:p w14:paraId="40332FC9">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7、支持数据安全事件的统一、集中展示，实时获取、展示数据安全事件总体情况、发展趋势。</w:t>
            </w:r>
          </w:p>
          <w:p w14:paraId="5C934729">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8、支持从安全事件入口，溯源展示关联身份信息、关联敏感数据信息、原始日志信息：支持在已知泄漏数据或数据片段情况下，将其作为线索进行溯源</w:t>
            </w:r>
          </w:p>
          <w:p w14:paraId="49EB930B">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9、通过图形化的方式展示的风险和事件，以及他们的分布情况。包括最新风险、最新事件、事件类型分布、风险类型分布、危险趋势、资产风险等。</w:t>
            </w:r>
          </w:p>
          <w:p w14:paraId="31C5978A">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10、通过图形化的方式展示的数据分布情况，包含敏感数据的数据源和敏感数据的维度展示数据源的分布情况、敏感数据的类型、级别、新发现的包含敏感数据的库表等。</w:t>
            </w:r>
          </w:p>
        </w:tc>
      </w:tr>
      <w:tr w14:paraId="26A508C4">
        <w:tblPrEx>
          <w:tblCellMar>
            <w:top w:w="0" w:type="dxa"/>
            <w:left w:w="108" w:type="dxa"/>
            <w:bottom w:w="0" w:type="dxa"/>
            <w:right w:w="108" w:type="dxa"/>
          </w:tblCellMar>
        </w:tblPrEx>
        <w:trPr>
          <w:trHeight w:val="640" w:hRule="atLeast"/>
        </w:trPr>
        <w:tc>
          <w:tcPr>
            <w:tcW w:w="752" w:type="dxa"/>
            <w:tcBorders>
              <w:top w:val="single" w:color="000000" w:sz="4" w:space="0"/>
              <w:left w:val="single" w:color="000000" w:sz="4" w:space="0"/>
              <w:bottom w:val="single" w:color="000000" w:sz="4" w:space="0"/>
              <w:right w:val="single" w:color="000000" w:sz="4" w:space="0"/>
            </w:tcBorders>
            <w:vAlign w:val="center"/>
          </w:tcPr>
          <w:p w14:paraId="21B7617C">
            <w:pPr>
              <w:keepNext/>
              <w:keepLines/>
              <w:widowControl w:val="0"/>
              <w:numPr>
                <w:ilvl w:val="3"/>
                <w:numId w:val="0"/>
              </w:numPr>
              <w:spacing w:before="280" w:after="290" w:line="376" w:lineRule="auto"/>
              <w:ind w:left="864" w:leftChars="0" w:hanging="864" w:firstLineChars="0"/>
              <w:jc w:val="both"/>
              <w:outlineLvl w:val="3"/>
              <w:rPr>
                <w:rFonts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lang w:val="en-US" w:eastAsia="zh-CN" w:bidi="ar"/>
              </w:rPr>
              <w:t>6</w:t>
            </w:r>
          </w:p>
        </w:tc>
        <w:tc>
          <w:tcPr>
            <w:tcW w:w="944" w:type="dxa"/>
            <w:tcBorders>
              <w:top w:val="single" w:color="000000" w:sz="4" w:space="0"/>
              <w:left w:val="single" w:color="000000" w:sz="4" w:space="0"/>
              <w:bottom w:val="single" w:color="000000" w:sz="4" w:space="0"/>
              <w:right w:val="single" w:color="000000" w:sz="4" w:space="0"/>
            </w:tcBorders>
            <w:vAlign w:val="center"/>
          </w:tcPr>
          <w:p w14:paraId="526D77C4">
            <w:pPr>
              <w:widowControl/>
              <w:spacing w:line="400" w:lineRule="exact"/>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服务器安全防护软件</w:t>
            </w:r>
          </w:p>
        </w:tc>
        <w:tc>
          <w:tcPr>
            <w:tcW w:w="567" w:type="dxa"/>
            <w:tcBorders>
              <w:top w:val="single" w:color="000000" w:sz="4" w:space="0"/>
              <w:left w:val="single" w:color="000000" w:sz="4" w:space="0"/>
              <w:bottom w:val="single" w:color="000000" w:sz="4" w:space="0"/>
              <w:right w:val="single" w:color="000000" w:sz="4" w:space="0"/>
            </w:tcBorders>
            <w:vAlign w:val="center"/>
          </w:tcPr>
          <w:p w14:paraId="244CAEC8">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4DA73915">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14:paraId="2707E3CC">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c>
          <w:tcPr>
            <w:tcW w:w="6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56D2">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1、提供安全管理系统管理控制中心软件。提供对客户端的统一管控，对客户端报送的日志事件进行统一存储分析和展示等管理能力。</w:t>
            </w:r>
          </w:p>
          <w:p w14:paraId="45263BCA">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提供≥20个服务器主机高级防护授权。包含资产梳理、入侵检测、风险评估、账号风险扫描、漏洞扫描、安全基线、防病毒、Webshell、微隔离、勒索场景化防护、微蜜罐、系统加固、性能监控、主机IPS（虚拟补丁）共14个模块。含有3年升级维保服务，3年特征库版本升级服务。</w:t>
            </w:r>
          </w:p>
          <w:p w14:paraId="2E9CE3E3">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3、产品提供多种扫描任务方式：快速扫描、全盘扫描、自定义扫描，对服务器病毒文件进行查杀；提供实时检测的方式对服务器病毒文件在落盘时进行查；</w:t>
            </w:r>
          </w:p>
          <w:p w14:paraId="3B706DDC">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4、支持通过扫描任务方式检测服务器存在的漏洞，支持检测的漏洞数量应不低于4000个；支持设置同时并发扫描的服务器数量，避免因并发过大出现扫描风暴；</w:t>
            </w:r>
          </w:p>
          <w:p w14:paraId="622DF822">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5、支持基线检查能力，支持等保二级、等保三级、CIS等合规性基线，支持两次基线扫描任务的结果比对，比对前后不合规项比率、不合规服务器比率的偏差，并列出前后偏差的服务器列表。</w:t>
            </w:r>
          </w:p>
          <w:p w14:paraId="79823C8D">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 支持通过扫描任务的方式检测目录中存在的恶意Webshell，支持展示Webshell的文件路径、文件大小、文件MD5、文件修改时间、首次发现时间、最后发现时间等信息，支持对已隔离Webshell文件的管理功能；</w:t>
            </w:r>
          </w:p>
          <w:p w14:paraId="38ABCFDE">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7、支持对常见操作系统、应用的弱口令检测能力，支持展示弱口令的发现时间、弱口令类型、弱口令对应的账号、密码、账户状态、应用类型、应用路径、监听端口、允许访问的服务器等信息。</w:t>
            </w:r>
          </w:p>
          <w:p w14:paraId="5D8EAB58">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支持对攻击者发起的恶意扫描行为进行识别，可防护端口扫描和扫描器扫描行为，以攻击和受害两种视角展示扫描信息包括：发生时间、受害IP、攻击IP、攻击类型、扫描端口、扫描次数、在威胁情报中是否为黑IP等信息。</w:t>
            </w:r>
          </w:p>
          <w:p w14:paraId="2DCA2BF5">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9、支持无文件攻击检测功能，支持基于九种关键行为进行检测，包括命令执行、文件下载、脚本执行、文件创建、数据执行以及敏感调用等。通过实时监控和特征比对，能够发现服务器上的无文件攻击事件。 </w:t>
            </w:r>
          </w:p>
          <w:p w14:paraId="1983D2C5">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10、支持本地提权检测功能，发现本地提权行为后可识别出提权进程 、提权用户 、父进程、父进程所属用户、提权至用户等信息。</w:t>
            </w:r>
          </w:p>
          <w:p w14:paraId="140E8D7E">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11、支持驱动级文件监控与权限控制，保护指定目录下的文件；支持监控文件和文件夹，并可设置可信进程和可信路径允许操作；支持监控和保护指定的注册表项、键值；</w:t>
            </w:r>
          </w:p>
          <w:p w14:paraId="4EB17ABD">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12、支持对勒索事件全杀伤链的防护能力，通过产品帮助建设服务器勒索能力，可从勒索事件链条的三个阶段解决勒索攻击问题（尝试入侵、发起攻击、网内传播）。 可结合勒索事件攻击链条依次进行告警查看和安全加固配置。</w:t>
            </w:r>
          </w:p>
          <w:p w14:paraId="335E7035">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13、支持端口蜜罐能力，在配置时可以自定义触发端口后的返回文本信息，可迷惑攻击者提高防护能力以及为取证提供支持。</w:t>
            </w:r>
          </w:p>
          <w:p w14:paraId="7C6370D9">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14、支持统计总风险及各类风险数量，展示影响服务器信息。通过各类图表展示安全评分趋势、风险项趋势、账户风险类型分布、口令风险应用排行、漏洞风险项数量、配置风险排行等相关统计信息。</w:t>
            </w:r>
          </w:p>
          <w:p w14:paraId="46F80E6F">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15、产品具备中国信息安全测评中心颁发的《信息技术产品安全测评证书（EAL3+）》,投标文件需提供证书复印件；</w:t>
            </w:r>
          </w:p>
        </w:tc>
      </w:tr>
      <w:tr w14:paraId="122B97F4">
        <w:tblPrEx>
          <w:tblCellMar>
            <w:top w:w="0" w:type="dxa"/>
            <w:left w:w="108" w:type="dxa"/>
            <w:bottom w:w="0" w:type="dxa"/>
            <w:right w:w="108" w:type="dxa"/>
          </w:tblCellMar>
        </w:tblPrEx>
        <w:trPr>
          <w:trHeight w:val="640" w:hRule="atLeast"/>
        </w:trPr>
        <w:tc>
          <w:tcPr>
            <w:tcW w:w="752" w:type="dxa"/>
            <w:tcBorders>
              <w:top w:val="single" w:color="000000" w:sz="4" w:space="0"/>
              <w:left w:val="single" w:color="000000" w:sz="4" w:space="0"/>
              <w:bottom w:val="single" w:color="000000" w:sz="4" w:space="0"/>
              <w:right w:val="single" w:color="000000" w:sz="4" w:space="0"/>
            </w:tcBorders>
            <w:vAlign w:val="center"/>
          </w:tcPr>
          <w:p w14:paraId="3BBA201A">
            <w:pPr>
              <w:keepNext/>
              <w:keepLines/>
              <w:widowControl w:val="0"/>
              <w:numPr>
                <w:ilvl w:val="3"/>
                <w:numId w:val="0"/>
              </w:numPr>
              <w:spacing w:before="280" w:after="290" w:line="376" w:lineRule="auto"/>
              <w:ind w:left="864" w:leftChars="0" w:hanging="864" w:firstLineChars="0"/>
              <w:jc w:val="both"/>
              <w:outlineLvl w:val="3"/>
              <w:rPr>
                <w:rFonts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lang w:val="en-US" w:eastAsia="zh-CN" w:bidi="ar"/>
              </w:rPr>
              <w:t>7</w:t>
            </w:r>
          </w:p>
        </w:tc>
        <w:tc>
          <w:tcPr>
            <w:tcW w:w="944" w:type="dxa"/>
            <w:tcBorders>
              <w:top w:val="single" w:color="000000" w:sz="4" w:space="0"/>
              <w:left w:val="single" w:color="000000" w:sz="4" w:space="0"/>
              <w:bottom w:val="single" w:color="000000" w:sz="4" w:space="0"/>
              <w:right w:val="single" w:color="000000" w:sz="4" w:space="0"/>
            </w:tcBorders>
            <w:vAlign w:val="center"/>
          </w:tcPr>
          <w:p w14:paraId="156F67E5">
            <w:pPr>
              <w:widowControl/>
              <w:spacing w:line="400" w:lineRule="exact"/>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光闸</w:t>
            </w:r>
          </w:p>
        </w:tc>
        <w:tc>
          <w:tcPr>
            <w:tcW w:w="567" w:type="dxa"/>
            <w:tcBorders>
              <w:top w:val="single" w:color="000000" w:sz="4" w:space="0"/>
              <w:left w:val="single" w:color="000000" w:sz="4" w:space="0"/>
              <w:bottom w:val="single" w:color="000000" w:sz="4" w:space="0"/>
              <w:right w:val="single" w:color="000000" w:sz="4" w:space="0"/>
            </w:tcBorders>
            <w:vAlign w:val="center"/>
          </w:tcPr>
          <w:p w14:paraId="5F2D68C3">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2AFBE6C2">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14:paraId="62E8FB53">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c>
          <w:tcPr>
            <w:tcW w:w="6170" w:type="dxa"/>
            <w:tcBorders>
              <w:top w:val="single" w:color="000000" w:sz="4" w:space="0"/>
              <w:left w:val="single" w:color="000000" w:sz="4" w:space="0"/>
              <w:bottom w:val="single" w:color="000000" w:sz="4" w:space="0"/>
              <w:right w:val="single" w:color="000000" w:sz="4" w:space="0"/>
            </w:tcBorders>
            <w:vAlign w:val="center"/>
          </w:tcPr>
          <w:p w14:paraId="38B33DE4">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一、硬件参数：</w:t>
            </w:r>
          </w:p>
          <w:p w14:paraId="7F493CC8">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1、内网接口规格：10/100/1000Base-T端口6个，4个千兆光口，4个万兆SFP+光口；外网接口规格：10/100/1000Base-T端口6个，4个千兆光口，4个万兆SFP+光口；质保年限：提供三年维保；采用国产化CPU和操作系统，内存 ：16GB，硬盘：64GB +4TB，内外网分别配备显示屏，冗余电源 ；</w:t>
            </w:r>
          </w:p>
          <w:p w14:paraId="024AD8E7">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二、性能参数：</w:t>
            </w:r>
          </w:p>
          <w:p w14:paraId="6FB16277">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1、应用层单向UDP吞吐≥6Gbps；</w:t>
            </w:r>
          </w:p>
          <w:p w14:paraId="18C6F00E">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三、功能参数：</w:t>
            </w:r>
          </w:p>
          <w:p w14:paraId="1B938A1D">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1、功能模块：产品默认包含数据库单向导入、文件单向导入、单向协议导入、异常告警等；</w:t>
            </w:r>
          </w:p>
          <w:p w14:paraId="635186BA">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2、支持内嵌模式、客户端模式、服务端模式文件导入；内嵌模式下，支持FTP、SMB、NFS、SFTP方式的文件单向导入；</w:t>
            </w:r>
          </w:p>
          <w:p w14:paraId="06B8FA11">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3、支持多种同步模式： 源端移动、源端删除、源端保留等多种模式；</w:t>
            </w:r>
          </w:p>
          <w:p w14:paraId="298FEC8B">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4、文件交换模块支持病毒检测功能，支持通过文件大小控制病毒查杀；</w:t>
            </w:r>
          </w:p>
          <w:p w14:paraId="45D6E161">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5、具备文件断点续传，同时支持文件并发数量设置，大幅度提升文件传输性能，充分利用硬件资源；</w:t>
            </w:r>
          </w:p>
          <w:p w14:paraId="1F699D79">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6、支持文件重构技术，可自动剔除文件中夹带的危险程序，可执行代码、以及图片中危险元素等；</w:t>
            </w:r>
          </w:p>
          <w:p w14:paraId="24B13FBC">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7、数据库导入模块由网闸主动发起并完成，不需要第三方软件支持（无需在数据库安装任何第三方软件），支持windows、linux、unix等多种操作系统类型；</w:t>
            </w:r>
          </w:p>
          <w:p w14:paraId="2E53773A">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8、支持MySQL、ORACLE、ORACLE_RAC、SQLServer、SYBASE、POSTGRESQL等常见数据库，支持神通、达梦、人大金仓、南大通用等国产数据库同步；</w:t>
            </w:r>
          </w:p>
          <w:p w14:paraId="59E833EB">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9、具备数据库数据防泄漏能力，可对数据库字段进行敏感信息脱敏过滤，支持正则表达式、关键字、枚举、数值区间、时间区间等方式来匹配关键字段内容，替换成指定内容进行数据脱敏；</w:t>
            </w:r>
          </w:p>
          <w:p w14:paraId="0CA04F17">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10、支持异构双引擎病毒模块，可根据用户需求选择需要的病毒引擎；</w:t>
            </w:r>
          </w:p>
          <w:p w14:paraId="2F5149F3">
            <w:pPr>
              <w:rPr>
                <w:rFonts w:ascii="Times New Roman" w:hAnsi="Times New Roman" w:eastAsia="宋体" w:cs="Times New Roman"/>
                <w:color w:val="auto"/>
                <w:highlight w:val="none"/>
              </w:rPr>
            </w:pPr>
            <w:r>
              <w:rPr>
                <w:rFonts w:hint="eastAsia" w:ascii="宋体" w:hAnsi="宋体" w:eastAsia="宋体" w:cs="宋体"/>
                <w:color w:val="auto"/>
                <w:szCs w:val="21"/>
                <w:highlight w:val="none"/>
              </w:rPr>
              <w:t>11、支持病毒、攻击、硬件异常、系统异常、配置变化、日志、策略等不同类别告警。</w:t>
            </w:r>
          </w:p>
          <w:p w14:paraId="2A04469A">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四、产品证书</w:t>
            </w:r>
          </w:p>
          <w:p w14:paraId="5F0D738F">
            <w:pPr>
              <w:widowControl/>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1、产品具备中国信息安全测评中心颁发的《信息技术产品安全测评证书（EAL4+）》，投标文件需提供证书复印件；</w:t>
            </w:r>
          </w:p>
          <w:p w14:paraId="34912C62">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2、产品获得《网络安全专用产品安全检测证书》，投标文件需</w:t>
            </w:r>
            <w:r>
              <w:rPr>
                <w:rFonts w:hint="eastAsia" w:ascii="Times New Roman" w:hAnsi="Times New Roman" w:eastAsia="宋体" w:cs="Times New Roman"/>
                <w:color w:val="auto"/>
                <w:highlight w:val="none"/>
              </w:rPr>
              <w:t>提供由中国网信网（</w:t>
            </w:r>
            <w:r>
              <w:rPr>
                <w:rFonts w:ascii="Times New Roman" w:hAnsi="Times New Roman" w:eastAsia="宋体" w:cs="Times New Roman"/>
                <w:color w:val="auto"/>
                <w:highlight w:val="none"/>
              </w:rPr>
              <w:t xml:space="preserve"> http://www.cac.gov.cn/index.htm</w:t>
            </w:r>
            <w:r>
              <w:rPr>
                <w:rFonts w:hint="eastAsia" w:ascii="Times New Roman" w:hAnsi="Times New Roman" w:eastAsia="宋体" w:cs="Times New Roman"/>
                <w:color w:val="auto"/>
                <w:highlight w:val="none"/>
              </w:rPr>
              <w:t>）最新发布的《网络关键设备和网络安全专用产品安全认证和安全检测结果》截图证明材料</w:t>
            </w:r>
            <w:r>
              <w:rPr>
                <w:rFonts w:hint="eastAsia" w:ascii="宋体" w:hAnsi="宋体" w:eastAsia="宋体" w:cs="宋体"/>
                <w:color w:val="auto"/>
                <w:szCs w:val="21"/>
                <w:highlight w:val="none"/>
              </w:rPr>
              <w:t>。</w:t>
            </w:r>
          </w:p>
        </w:tc>
      </w:tr>
      <w:tr w14:paraId="0358E8C1">
        <w:tblPrEx>
          <w:tblCellMar>
            <w:top w:w="0" w:type="dxa"/>
            <w:left w:w="108" w:type="dxa"/>
            <w:bottom w:w="0" w:type="dxa"/>
            <w:right w:w="108" w:type="dxa"/>
          </w:tblCellMar>
        </w:tblPrEx>
        <w:trPr>
          <w:trHeight w:val="640" w:hRule="atLeast"/>
        </w:trPr>
        <w:tc>
          <w:tcPr>
            <w:tcW w:w="752" w:type="dxa"/>
            <w:tcBorders>
              <w:top w:val="single" w:color="000000" w:sz="4" w:space="0"/>
              <w:left w:val="single" w:color="000000" w:sz="4" w:space="0"/>
              <w:bottom w:val="single" w:color="000000" w:sz="4" w:space="0"/>
              <w:right w:val="single" w:color="000000" w:sz="4" w:space="0"/>
            </w:tcBorders>
            <w:vAlign w:val="center"/>
          </w:tcPr>
          <w:p w14:paraId="1118F60E">
            <w:pPr>
              <w:pStyle w:val="3"/>
              <w:numPr>
                <w:numId w:val="0"/>
              </w:numPr>
              <w:ind w:left="864" w:leftChars="0" w:hanging="864" w:firstLineChars="0"/>
              <w:rPr>
                <w:rFonts w:hint="eastAsia" w:ascii="宋体" w:hAnsi="宋体" w:cs="宋体" w:eastAsiaTheme="majorEastAsia"/>
                <w:b w:val="0"/>
                <w:bCs w:val="0"/>
                <w:color w:val="auto"/>
                <w:kern w:val="0"/>
                <w:sz w:val="21"/>
                <w:szCs w:val="21"/>
                <w:highlight w:val="none"/>
                <w:lang w:val="en-US" w:eastAsia="zh-CN" w:bidi="ar"/>
              </w:rPr>
            </w:pPr>
            <w:r>
              <w:rPr>
                <w:rFonts w:hint="eastAsia" w:ascii="宋体" w:hAnsi="宋体" w:cs="宋体"/>
                <w:b w:val="0"/>
                <w:bCs w:val="0"/>
                <w:color w:val="auto"/>
                <w:kern w:val="0"/>
                <w:sz w:val="21"/>
                <w:szCs w:val="21"/>
                <w:lang w:val="en-US" w:eastAsia="zh-CN" w:bidi="ar"/>
              </w:rPr>
              <w:t>8</w:t>
            </w:r>
          </w:p>
        </w:tc>
        <w:tc>
          <w:tcPr>
            <w:tcW w:w="944" w:type="dxa"/>
            <w:tcBorders>
              <w:top w:val="single" w:color="000000" w:sz="4" w:space="0"/>
              <w:left w:val="single" w:color="000000" w:sz="4" w:space="0"/>
              <w:bottom w:val="single" w:color="000000" w:sz="4" w:space="0"/>
              <w:right w:val="single" w:color="000000" w:sz="4" w:space="0"/>
            </w:tcBorders>
            <w:vAlign w:val="center"/>
          </w:tcPr>
          <w:p w14:paraId="4528C5AE">
            <w:pPr>
              <w:widowControl/>
              <w:spacing w:line="40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光码机</w:t>
            </w:r>
          </w:p>
        </w:tc>
        <w:tc>
          <w:tcPr>
            <w:tcW w:w="567" w:type="dxa"/>
            <w:tcBorders>
              <w:top w:val="single" w:color="000000" w:sz="4" w:space="0"/>
              <w:left w:val="single" w:color="000000" w:sz="4" w:space="0"/>
              <w:bottom w:val="single" w:color="000000" w:sz="4" w:space="0"/>
              <w:right w:val="single" w:color="000000" w:sz="4" w:space="0"/>
            </w:tcBorders>
            <w:vAlign w:val="center"/>
          </w:tcPr>
          <w:p w14:paraId="7B5EDAC0">
            <w:pPr>
              <w:widowControl/>
              <w:spacing w:line="4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176F5246">
            <w:pPr>
              <w:widowControl/>
              <w:spacing w:line="400" w:lineRule="exact"/>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台</w:t>
            </w:r>
          </w:p>
        </w:tc>
        <w:tc>
          <w:tcPr>
            <w:tcW w:w="993" w:type="dxa"/>
            <w:tcBorders>
              <w:top w:val="single" w:color="000000" w:sz="4" w:space="0"/>
              <w:left w:val="single" w:color="000000" w:sz="4" w:space="0"/>
              <w:bottom w:val="single" w:color="000000" w:sz="4" w:space="0"/>
              <w:right w:val="single" w:color="000000" w:sz="4" w:space="0"/>
            </w:tcBorders>
            <w:vAlign w:val="center"/>
          </w:tcPr>
          <w:p w14:paraId="471B081B">
            <w:pPr>
              <w:spacing w:line="40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rPr>
              <w:t>软件和信息技术服务业</w:t>
            </w:r>
          </w:p>
        </w:tc>
        <w:tc>
          <w:tcPr>
            <w:tcW w:w="6170" w:type="dxa"/>
            <w:tcBorders>
              <w:top w:val="single" w:color="000000" w:sz="4" w:space="0"/>
              <w:left w:val="single" w:color="000000" w:sz="4" w:space="0"/>
              <w:bottom w:val="single" w:color="000000" w:sz="4" w:space="0"/>
              <w:right w:val="single" w:color="000000" w:sz="4" w:space="0"/>
            </w:tcBorders>
            <w:vAlign w:val="center"/>
          </w:tcPr>
          <w:p w14:paraId="20548764">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一、硬件参数：</w:t>
            </w:r>
          </w:p>
          <w:p w14:paraId="674FE0A2">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1、定制单向传输设备，采用发送端、接收端双端机结构，通过摄像头扫码的方式，实现不同网络间数据的单向安全传输，确保网络间的物理隔绝；</w:t>
            </w:r>
          </w:p>
          <w:p w14:paraId="5CA8DBE4">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2、设备整体高度≤4U，冗余电源；</w:t>
            </w:r>
          </w:p>
          <w:p w14:paraId="1A88AE4F">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3、内网：内存≥8G，硬盘≥120G，接口规格≥2个以太网口；外网：内存≥8G，硬盘≥120G，接口规格≥2个以太网口；</w:t>
            </w:r>
          </w:p>
          <w:p w14:paraId="3340D54E">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4、质保年限：提供三年维保。</w:t>
            </w:r>
          </w:p>
          <w:p w14:paraId="4D28C822">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二、性能参数：</w:t>
            </w:r>
          </w:p>
          <w:p w14:paraId="214023C8">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1、冷启动时间：≤30秒</w:t>
            </w:r>
          </w:p>
          <w:p w14:paraId="6E3CD624">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2、数据传输速率：≥ 20Kbps</w:t>
            </w:r>
          </w:p>
          <w:p w14:paraId="5B416B2E">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3、传输延时：≤3秒</w:t>
            </w:r>
          </w:p>
          <w:p w14:paraId="7B607536">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三、功能参数：</w:t>
            </w:r>
          </w:p>
          <w:p w14:paraId="7FDF57F4">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1、支持多个应用系统共用同一个设备进行数据传输,多个应用系统之间的数据隔离且互不影响。</w:t>
            </w:r>
          </w:p>
          <w:p w14:paraId="716D2431">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2、提供有效的校验方法, 保证从发送端到接收端的数据传输完整、可靠。</w:t>
            </w:r>
          </w:p>
          <w:p w14:paraId="352C0F9A">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3、提供掉电保护功能，掉电时，重要数据（如：正在传输的数据、重要配置文件、系统状态文件等）能得到保护，下次启动时可以正常、快速进入系统，且系统能正常运行。</w:t>
            </w:r>
          </w:p>
          <w:p w14:paraId="2415836F">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4、具备访问授权与拒绝功能, 操作用户需要申请传输任务，然后由管理员审核，只有审核通过的传输任务才能被授权传输，其余被拒绝。</w:t>
            </w:r>
          </w:p>
          <w:p w14:paraId="0DF64EF4">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5、支持对系统运行状态进行实时监控，包括网络接口流量和状态、硬件资源使用率、硬件系统及进程，并支持以图表形式显示监控结果。</w:t>
            </w:r>
          </w:p>
          <w:p w14:paraId="040EF90A">
            <w:pPr>
              <w:widowControl/>
              <w:spacing w:line="40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rPr>
              <w:t>6、支持日志审计功能，包含登录日志、操作日志、告警日志。</w:t>
            </w:r>
          </w:p>
        </w:tc>
      </w:tr>
      <w:tr w14:paraId="4AC2AC7B">
        <w:tblPrEx>
          <w:tblCellMar>
            <w:top w:w="0" w:type="dxa"/>
            <w:left w:w="108" w:type="dxa"/>
            <w:bottom w:w="0" w:type="dxa"/>
            <w:right w:w="108" w:type="dxa"/>
          </w:tblCellMar>
        </w:tblPrEx>
        <w:trPr>
          <w:trHeight w:val="640" w:hRule="atLeast"/>
        </w:trPr>
        <w:tc>
          <w:tcPr>
            <w:tcW w:w="752" w:type="dxa"/>
            <w:tcBorders>
              <w:top w:val="single" w:color="000000" w:sz="4" w:space="0"/>
              <w:left w:val="single" w:color="000000" w:sz="4" w:space="0"/>
              <w:bottom w:val="single" w:color="000000" w:sz="4" w:space="0"/>
              <w:right w:val="single" w:color="000000" w:sz="4" w:space="0"/>
            </w:tcBorders>
            <w:vAlign w:val="center"/>
          </w:tcPr>
          <w:p w14:paraId="22CADF65">
            <w:pPr>
              <w:keepNext/>
              <w:keepLines/>
              <w:widowControl w:val="0"/>
              <w:numPr>
                <w:ilvl w:val="3"/>
                <w:numId w:val="0"/>
              </w:numPr>
              <w:spacing w:before="280" w:after="290" w:line="376" w:lineRule="auto"/>
              <w:ind w:left="864" w:leftChars="0" w:hanging="864" w:firstLineChars="0"/>
              <w:jc w:val="both"/>
              <w:outlineLvl w:val="3"/>
              <w:rPr>
                <w:rFonts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lang w:val="en-US" w:eastAsia="zh-CN" w:bidi="ar"/>
              </w:rPr>
              <w:t>9</w:t>
            </w:r>
          </w:p>
        </w:tc>
        <w:tc>
          <w:tcPr>
            <w:tcW w:w="944" w:type="dxa"/>
            <w:tcBorders>
              <w:top w:val="single" w:color="000000" w:sz="4" w:space="0"/>
              <w:left w:val="single" w:color="000000" w:sz="4" w:space="0"/>
              <w:bottom w:val="single" w:color="000000" w:sz="4" w:space="0"/>
              <w:right w:val="single" w:color="000000" w:sz="4" w:space="0"/>
            </w:tcBorders>
            <w:vAlign w:val="center"/>
          </w:tcPr>
          <w:p w14:paraId="08F39628">
            <w:pPr>
              <w:widowControl/>
              <w:spacing w:line="400" w:lineRule="exact"/>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网闸</w:t>
            </w:r>
          </w:p>
        </w:tc>
        <w:tc>
          <w:tcPr>
            <w:tcW w:w="567" w:type="dxa"/>
            <w:tcBorders>
              <w:top w:val="single" w:color="000000" w:sz="4" w:space="0"/>
              <w:left w:val="single" w:color="000000" w:sz="4" w:space="0"/>
              <w:bottom w:val="single" w:color="000000" w:sz="4" w:space="0"/>
              <w:right w:val="single" w:color="000000" w:sz="4" w:space="0"/>
            </w:tcBorders>
            <w:vAlign w:val="center"/>
          </w:tcPr>
          <w:p w14:paraId="05387612">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67" w:type="dxa"/>
            <w:tcBorders>
              <w:top w:val="single" w:color="000000" w:sz="4" w:space="0"/>
              <w:left w:val="single" w:color="000000" w:sz="4" w:space="0"/>
              <w:bottom w:val="single" w:color="000000" w:sz="4" w:space="0"/>
              <w:right w:val="single" w:color="000000" w:sz="4" w:space="0"/>
            </w:tcBorders>
            <w:vAlign w:val="center"/>
          </w:tcPr>
          <w:p w14:paraId="7965E824">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993" w:type="dxa"/>
            <w:tcBorders>
              <w:top w:val="single" w:color="000000" w:sz="4" w:space="0"/>
              <w:left w:val="single" w:color="000000" w:sz="4" w:space="0"/>
              <w:bottom w:val="single" w:color="000000" w:sz="4" w:space="0"/>
              <w:right w:val="single" w:color="000000" w:sz="4" w:space="0"/>
            </w:tcBorders>
            <w:vAlign w:val="center"/>
          </w:tcPr>
          <w:p w14:paraId="06071246">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c>
          <w:tcPr>
            <w:tcW w:w="6170" w:type="dxa"/>
            <w:tcBorders>
              <w:top w:val="single" w:color="000000" w:sz="4" w:space="0"/>
              <w:left w:val="single" w:color="000000" w:sz="4" w:space="0"/>
              <w:bottom w:val="single" w:color="000000" w:sz="4" w:space="0"/>
              <w:right w:val="single" w:color="000000" w:sz="4" w:space="0"/>
            </w:tcBorders>
            <w:vAlign w:val="center"/>
          </w:tcPr>
          <w:p w14:paraId="0AE9AAE3">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一、硬件参数</w:t>
            </w:r>
          </w:p>
          <w:p w14:paraId="5634ABA9">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1、硬件配置：2U机箱，内、外主机配置分别如下：采用国产化CPU和操作系统，内存 ：16GB，硬盘：64GB +4TB，内、外主机分别配备显示屏，冗余电源；</w:t>
            </w:r>
          </w:p>
          <w:p w14:paraId="36B33403">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2、内网接口规格：6个10/100/1000Base-T端口，4个SFP插槽，2个万兆SFP+光口插槽，1个扩展插槽，1个Console口，2个USB口； 外网接口规格：6个10/100/1000Base-T端口，4个SFP插槽，2个万兆SFP+光口插槽，1个扩展插槽，1个Console口，2个USB口； </w:t>
            </w:r>
          </w:p>
          <w:p w14:paraId="7CF6DD91">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3、质保年限：提供三年维保；</w:t>
            </w:r>
          </w:p>
          <w:p w14:paraId="5E069D6F">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二、性能参数：</w:t>
            </w:r>
          </w:p>
          <w:p w14:paraId="6F1347AC">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1、网络层吞吐≥10Gbps，应用层吞吐≥9Gbps，应用层并发性能≥20万条，视频并发数≥3500路（2M码流）；</w:t>
            </w:r>
          </w:p>
          <w:p w14:paraId="62A0FC29">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三、功能参数</w:t>
            </w:r>
          </w:p>
          <w:p w14:paraId="59D5E3FE">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1、功能模块：数据库同步、文件交换、数据库访问、邮件访问、安全浏览、安全FTP、定制模块、工控访问等；</w:t>
            </w:r>
          </w:p>
          <w:p w14:paraId="608BAD2B">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2、文件交换可灵活设置文件传输方向，同时工作模式支持源端移动、源端删除、增量更新、完全复制、延迟删除等多种模式；</w:t>
            </w:r>
          </w:p>
          <w:p w14:paraId="3B5697B1">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3、具备文件断点续传，同时支持文件并发数量设置，大幅度提升文件传输性能，充分利用硬件资源；</w:t>
            </w:r>
          </w:p>
          <w:p w14:paraId="39571EC7">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4、支持文件重构技术，可自动剔除文件中夹带的危险程序，可执行代码等；</w:t>
            </w:r>
          </w:p>
          <w:p w14:paraId="68E6F5AF">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5、数据库同步支持有客户端、无客户端方式同步；无客户端方式同步由网闸主动发起并完成，不需要第三方软件支持；</w:t>
            </w:r>
          </w:p>
          <w:p w14:paraId="5E83E1C8">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6、具备数据库数据防泄漏能力，可对数据库字段进行敏感信息脱敏过滤，支持正则表达式、关键字、枚举、数值区间、时间区间等方式来匹配关键字段内容，替换成指定内容进行数据脱敏；</w:t>
            </w:r>
          </w:p>
          <w:p w14:paraId="03DC8FB8">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7、支持数据库库名控制、数据库表控制，可以根据用户与数据库表对应关系，进行相应数据库操作过滤；</w:t>
            </w:r>
          </w:p>
          <w:p w14:paraId="1BED3682">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8、支持TCP、UDP业务数据统计，可按照秒、分钟展示发送速率、接受速率、连接数，并且可按照图表进行展示；</w:t>
            </w:r>
          </w:p>
          <w:p w14:paraId="229B6AC9">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9、支持异构双引擎病毒模块，可根据用户需求选择需要的病毒引擎；</w:t>
            </w:r>
          </w:p>
          <w:p w14:paraId="5C0A8AD1">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10、支持安全审计能力，可通过自定义时间、任务名称 、文件名称、文件类型、文件大小类型、源目的文件路径、源目IP等详细字段追溯业务数据流向，可自定义配置查询条件，查询条件策略可以自定义设置；</w:t>
            </w:r>
          </w:p>
          <w:p w14:paraId="4AAC8CB7">
            <w:pPr>
              <w:widowControl w:val="0"/>
              <w:spacing w:line="380" w:lineRule="exact"/>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四、产品证书</w:t>
            </w:r>
          </w:p>
          <w:p w14:paraId="242CC916">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1、产品具备中国信息安全测评中心颁发的《信息技术产品安全测评证书（EAL4+）》，投标文件需提供证书复印件；</w:t>
            </w:r>
          </w:p>
        </w:tc>
      </w:tr>
      <w:tr w14:paraId="006668BE">
        <w:tblPrEx>
          <w:tblCellMar>
            <w:top w:w="0" w:type="dxa"/>
            <w:left w:w="108" w:type="dxa"/>
            <w:bottom w:w="0" w:type="dxa"/>
            <w:right w:w="108" w:type="dxa"/>
          </w:tblCellMar>
        </w:tblPrEx>
        <w:trPr>
          <w:trHeight w:val="640" w:hRule="atLeast"/>
        </w:trPr>
        <w:tc>
          <w:tcPr>
            <w:tcW w:w="752" w:type="dxa"/>
            <w:tcBorders>
              <w:top w:val="single" w:color="000000" w:sz="4" w:space="0"/>
              <w:left w:val="single" w:color="000000" w:sz="4" w:space="0"/>
              <w:bottom w:val="single" w:color="000000" w:sz="4" w:space="0"/>
              <w:right w:val="single" w:color="000000" w:sz="4" w:space="0"/>
            </w:tcBorders>
            <w:vAlign w:val="center"/>
          </w:tcPr>
          <w:p w14:paraId="0486173D">
            <w:pPr>
              <w:keepNext/>
              <w:keepLines/>
              <w:widowControl w:val="0"/>
              <w:numPr>
                <w:ilvl w:val="3"/>
                <w:numId w:val="0"/>
              </w:numPr>
              <w:spacing w:before="280" w:after="290" w:line="376" w:lineRule="auto"/>
              <w:ind w:left="864" w:leftChars="0" w:hanging="864" w:firstLineChars="0"/>
              <w:jc w:val="both"/>
              <w:outlineLvl w:val="3"/>
              <w:rPr>
                <w:rFonts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vAlign w:val="center"/>
          </w:tcPr>
          <w:p w14:paraId="54A1323F">
            <w:pPr>
              <w:widowControl/>
              <w:spacing w:line="400" w:lineRule="exact"/>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szCs w:val="21"/>
                <w:highlight w:val="none"/>
              </w:rPr>
              <w:t>大模型安全评估服务</w:t>
            </w:r>
          </w:p>
        </w:tc>
        <w:tc>
          <w:tcPr>
            <w:tcW w:w="567" w:type="dxa"/>
            <w:tcBorders>
              <w:top w:val="single" w:color="000000" w:sz="4" w:space="0"/>
              <w:left w:val="single" w:color="000000" w:sz="4" w:space="0"/>
              <w:bottom w:val="single" w:color="000000" w:sz="4" w:space="0"/>
              <w:right w:val="single" w:color="000000" w:sz="4" w:space="0"/>
            </w:tcBorders>
            <w:vAlign w:val="center"/>
          </w:tcPr>
          <w:p w14:paraId="6E09BCF7">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2CDB9EED">
            <w:pPr>
              <w:widowControl/>
              <w:spacing w:line="400" w:lineRule="exact"/>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993" w:type="dxa"/>
            <w:tcBorders>
              <w:top w:val="single" w:color="000000" w:sz="4" w:space="0"/>
              <w:left w:val="single" w:color="000000" w:sz="4" w:space="0"/>
              <w:bottom w:val="single" w:color="000000" w:sz="4" w:space="0"/>
              <w:right w:val="single" w:color="000000" w:sz="4" w:space="0"/>
            </w:tcBorders>
            <w:vAlign w:val="center"/>
          </w:tcPr>
          <w:p w14:paraId="6083F5F4">
            <w:pPr>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软件和信息技术服务业</w:t>
            </w:r>
          </w:p>
        </w:tc>
        <w:tc>
          <w:tcPr>
            <w:tcW w:w="6170" w:type="dxa"/>
            <w:tcBorders>
              <w:top w:val="single" w:color="000000" w:sz="4" w:space="0"/>
              <w:left w:val="single" w:color="000000" w:sz="4" w:space="0"/>
              <w:bottom w:val="single" w:color="000000" w:sz="4" w:space="0"/>
              <w:right w:val="single" w:color="000000" w:sz="4" w:space="0"/>
            </w:tcBorders>
            <w:vAlign w:val="center"/>
          </w:tcPr>
          <w:p w14:paraId="24BF08E3">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1、服务范围：</w:t>
            </w:r>
            <w:r>
              <w:rPr>
                <w:rFonts w:hint="eastAsia" w:ascii="宋体" w:hAnsi="宋体" w:cs="宋体"/>
                <w:color w:val="auto"/>
                <w:szCs w:val="21"/>
                <w:highlight w:val="none"/>
                <w:lang w:eastAsia="zh-CN"/>
              </w:rPr>
              <w:t>对公安厅FZ大模型</w:t>
            </w:r>
            <w:r>
              <w:rPr>
                <w:rFonts w:hint="eastAsia" w:ascii="宋体" w:hAnsi="宋体" w:eastAsia="宋体" w:cs="宋体"/>
                <w:color w:val="auto"/>
                <w:szCs w:val="21"/>
                <w:highlight w:val="none"/>
              </w:rPr>
              <w:t>进行安全评估，包括5个基础模型安全评估。</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2、服务内容：</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1）大模型内容安全评估：针对大模型输出内容的安全评估，包括违反社会主义核心价值观、违法违规、侵权等不当内容。</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2）大模型智能体安全评估：针对大模型自研应用的安全检测，RAG、其他agent智能体的黑盒安全检测。应用渗透测试 + 基于Agent的攻击测试。</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3）大模型模型安全评估：针对大模型自身所面临的安全风险进行安全检测，包括提示词安全、信息泄露、模型训练安全等。利用多种prompt设计技巧，进行人工对抗。</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4）大模型组件安全评估：针对大模型应用的相关组件或服务进行安全检测，例如webUI、ollama、Dify等;利用资产探测工具、扫描工具、漏洞验证工具增加对大模型的推理框架、模型加载器、模型开发框架、大模型常用组件、插件的指纹识别，增加大模型供应链相关漏洞库。</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5）大模型运行环境评估：针对运行大模型的基础设施进行安全检测，包括运行大模型的服务器操作系统、数据库等；各层基线安全检查、基础设施日志分析、基础设施渗透测试。</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3、服务成果：《大模型内容安全评估报告》、《大模型智能体安全评估报告》、《大模型模型安全评估报告》、《大模型组件安全评估报告》、《大模型运行环境评估报告》。</w:t>
            </w:r>
          </w:p>
        </w:tc>
      </w:tr>
      <w:tr w14:paraId="38769715">
        <w:tblPrEx>
          <w:tblCellMar>
            <w:top w:w="0" w:type="dxa"/>
            <w:left w:w="108" w:type="dxa"/>
            <w:bottom w:w="0" w:type="dxa"/>
            <w:right w:w="108" w:type="dxa"/>
          </w:tblCellMar>
        </w:tblPrEx>
        <w:trPr>
          <w:trHeight w:val="640" w:hRule="atLeast"/>
        </w:trPr>
        <w:tc>
          <w:tcPr>
            <w:tcW w:w="9993" w:type="dxa"/>
            <w:gridSpan w:val="6"/>
            <w:tcBorders>
              <w:top w:val="single" w:color="000000" w:sz="4" w:space="0"/>
              <w:left w:val="single" w:color="000000" w:sz="4" w:space="0"/>
              <w:bottom w:val="single" w:color="000000" w:sz="4" w:space="0"/>
              <w:right w:val="single" w:color="000000" w:sz="4" w:space="0"/>
            </w:tcBorders>
            <w:vAlign w:val="center"/>
          </w:tcPr>
          <w:p w14:paraId="4461ED1B">
            <w:pPr>
              <w:spacing w:line="400" w:lineRule="exact"/>
              <w:rPr>
                <w:rFonts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二、</w:t>
            </w:r>
            <w:r>
              <w:rPr>
                <w:rFonts w:ascii="Times New Roman" w:hAnsi="Times New Roman" w:eastAsia="宋体" w:cs="Times New Roman"/>
                <w:b/>
                <w:bCs/>
                <w:color w:val="auto"/>
                <w:spacing w:val="-4"/>
                <w:szCs w:val="21"/>
                <w:highlight w:val="none"/>
              </w:rPr>
              <w:t>涉及项目的其他要求</w:t>
            </w:r>
          </w:p>
        </w:tc>
      </w:tr>
      <w:tr w14:paraId="1C8C3EB7">
        <w:tblPrEx>
          <w:tblCellMar>
            <w:top w:w="0" w:type="dxa"/>
            <w:left w:w="108" w:type="dxa"/>
            <w:bottom w:w="0" w:type="dxa"/>
            <w:right w:w="108" w:type="dxa"/>
          </w:tblCellMar>
        </w:tblPrEx>
        <w:trPr>
          <w:trHeight w:val="717" w:hRule="atLeast"/>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472A5247">
            <w:pPr>
              <w:widowControl/>
              <w:spacing w:line="400" w:lineRule="exact"/>
              <w:contextualSpacing/>
              <w:jc w:val="center"/>
              <w:rPr>
                <w:rFonts w:ascii="宋体" w:hAnsi="宋体" w:eastAsia="宋体" w:cs="宋体"/>
                <w:b/>
                <w:color w:val="auto"/>
                <w:kern w:val="0"/>
                <w:szCs w:val="21"/>
                <w:highlight w:val="none"/>
                <w:lang w:eastAsia="en-US"/>
              </w:rPr>
            </w:pPr>
            <w:r>
              <w:rPr>
                <w:rFonts w:hint="eastAsia" w:ascii="宋体" w:hAnsi="宋体" w:eastAsia="宋体" w:cs="宋体"/>
                <w:b/>
                <w:bCs/>
                <w:color w:val="auto"/>
                <w:spacing w:val="-4"/>
                <w:szCs w:val="21"/>
                <w:highlight w:val="none"/>
              </w:rPr>
              <w:t>核心产品</w:t>
            </w:r>
          </w:p>
        </w:tc>
        <w:tc>
          <w:tcPr>
            <w:tcW w:w="8297" w:type="dxa"/>
            <w:gridSpan w:val="4"/>
            <w:tcBorders>
              <w:top w:val="single" w:color="000000" w:sz="4" w:space="0"/>
              <w:left w:val="single" w:color="000000" w:sz="4" w:space="0"/>
              <w:bottom w:val="single" w:color="000000" w:sz="4" w:space="0"/>
              <w:right w:val="single" w:color="000000" w:sz="4" w:space="0"/>
            </w:tcBorders>
            <w:vAlign w:val="center"/>
          </w:tcPr>
          <w:p w14:paraId="41D785BB">
            <w:pPr>
              <w:widowControl w:val="0"/>
              <w:spacing w:before="91" w:line="299" w:lineRule="auto"/>
              <w:ind w:right="103" w:firstLine="416" w:firstLineChars="200"/>
              <w:jc w:val="both"/>
              <w:rPr>
                <w:rFonts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本项目</w:t>
            </w:r>
            <w:r>
              <w:rPr>
                <w:rFonts w:hint="eastAsia" w:ascii="宋体" w:hAnsi="宋体" w:eastAsia="宋体" w:cs="宋体"/>
                <w:b/>
                <w:bCs/>
                <w:color w:val="auto"/>
                <w:spacing w:val="-1"/>
                <w:kern w:val="2"/>
                <w:sz w:val="21"/>
                <w:szCs w:val="21"/>
                <w:highlight w:val="none"/>
                <w:lang w:val="en-US" w:eastAsia="zh-CN" w:bidi="ar-SA"/>
              </w:rPr>
              <w:t>第 1 项“大模型安全网关”为核心产品</w:t>
            </w:r>
            <w:r>
              <w:rPr>
                <w:rFonts w:hint="eastAsia" w:ascii="宋体" w:hAnsi="宋体" w:eastAsia="宋体" w:cs="宋体"/>
                <w:color w:val="auto"/>
                <w:spacing w:val="-1"/>
                <w:kern w:val="2"/>
                <w:sz w:val="21"/>
                <w:szCs w:val="21"/>
                <w:highlight w:val="none"/>
                <w:lang w:val="en-US" w:eastAsia="zh-CN" w:bidi="ar-SA"/>
              </w:rPr>
              <w:t>。（核心产品品牌相同的，视为提供同品牌产品）</w:t>
            </w:r>
          </w:p>
          <w:p w14:paraId="23514671">
            <w:pPr>
              <w:widowControl/>
              <w:spacing w:line="400" w:lineRule="exact"/>
              <w:ind w:firstLine="209" w:firstLineChars="100"/>
              <w:textAlignment w:val="center"/>
              <w:rPr>
                <w:rFonts w:ascii="宋体" w:hAnsi="宋体" w:eastAsia="宋体" w:cs="宋体"/>
                <w:b/>
                <w:bCs/>
                <w:color w:val="auto"/>
                <w:szCs w:val="21"/>
                <w:highlight w:val="none"/>
              </w:rPr>
            </w:pPr>
            <w:r>
              <w:rPr>
                <w:rFonts w:hint="eastAsia" w:ascii="宋体" w:hAnsi="宋体" w:eastAsia="宋体" w:cs="宋体"/>
                <w:b/>
                <w:bCs/>
                <w:color w:val="auto"/>
                <w:spacing w:val="-1"/>
                <w:szCs w:val="21"/>
                <w:highlight w:val="none"/>
              </w:rPr>
              <w:t>注：</w:t>
            </w:r>
            <w:r>
              <w:rPr>
                <w:rFonts w:hint="eastAsia" w:ascii="宋体" w:hAnsi="宋体" w:eastAsia="宋体" w:cs="宋体"/>
                <w:color w:val="auto"/>
                <w:spacing w:val="-1"/>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w:t>
            </w:r>
            <w:r>
              <w:rPr>
                <w:rFonts w:hint="eastAsia" w:ascii="宋体" w:hAnsi="宋体" w:eastAsia="宋体" w:cs="宋体"/>
                <w:color w:val="auto"/>
                <w:spacing w:val="-5"/>
                <w:szCs w:val="21"/>
                <w:highlight w:val="none"/>
              </w:rPr>
              <w:t>员会按照《评标方法及评定标准》中的推荐原则确定一个投标人获得中标人推荐资格，</w:t>
            </w:r>
            <w:r>
              <w:rPr>
                <w:rFonts w:hint="eastAsia" w:ascii="宋体" w:hAnsi="宋体" w:eastAsia="宋体" w:cs="宋体"/>
                <w:color w:val="auto"/>
                <w:spacing w:val="-1"/>
                <w:szCs w:val="21"/>
                <w:highlight w:val="none"/>
              </w:rPr>
              <w:t>其他同品牌投标人不作为中标候选人。</w:t>
            </w:r>
          </w:p>
        </w:tc>
      </w:tr>
      <w:tr w14:paraId="7343F394">
        <w:tblPrEx>
          <w:tblCellMar>
            <w:top w:w="0" w:type="dxa"/>
            <w:left w:w="108" w:type="dxa"/>
            <w:bottom w:w="0" w:type="dxa"/>
            <w:right w:w="108" w:type="dxa"/>
          </w:tblCellMar>
        </w:tblPrEx>
        <w:trPr>
          <w:trHeight w:val="717"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Pr>
          <w:p w14:paraId="70EBF757">
            <w:pPr>
              <w:widowControl w:val="0"/>
              <w:spacing w:before="264" w:line="219" w:lineRule="auto"/>
              <w:ind w:firstLine="204" w:firstLineChars="100"/>
              <w:jc w:val="both"/>
              <w:rPr>
                <w:rFonts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3"/>
                <w:kern w:val="2"/>
                <w:sz w:val="21"/>
                <w:szCs w:val="21"/>
                <w:highlight w:val="none"/>
                <w:lang w:val="en-US" w:eastAsia="en-US" w:bidi="ar-SA"/>
              </w:rPr>
              <w:t>规范标准</w:t>
            </w:r>
          </w:p>
        </w:tc>
        <w:tc>
          <w:tcPr>
            <w:tcW w:w="8297" w:type="dxa"/>
            <w:gridSpan w:val="4"/>
            <w:tcBorders>
              <w:top w:val="single" w:color="000000" w:sz="4" w:space="0"/>
              <w:left w:val="single" w:color="000000" w:sz="4" w:space="0"/>
              <w:bottom w:val="single" w:color="000000" w:sz="4" w:space="0"/>
              <w:right w:val="single" w:color="000000" w:sz="4" w:space="0"/>
            </w:tcBorders>
            <w:shd w:val="clear" w:color="auto" w:fill="auto"/>
          </w:tcPr>
          <w:p w14:paraId="244A3202">
            <w:pPr>
              <w:widowControl w:val="0"/>
              <w:spacing w:before="92" w:line="255" w:lineRule="auto"/>
              <w:ind w:right="103" w:firstLine="416" w:firstLineChars="200"/>
              <w:jc w:val="both"/>
              <w:rPr>
                <w:rFonts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
                <w:kern w:val="2"/>
                <w:sz w:val="21"/>
                <w:szCs w:val="21"/>
                <w:highlight w:val="none"/>
                <w:lang w:val="en-US" w:eastAsia="zh-CN" w:bidi="ar-SA"/>
              </w:rPr>
              <w:t>采购标的需执行的国家标准、行业标准、地方标准或者其他标准、规范。多项标</w:t>
            </w:r>
            <w:r>
              <w:rPr>
                <w:rFonts w:hint="eastAsia" w:ascii="宋体" w:hAnsi="宋体" w:eastAsia="宋体" w:cs="宋体"/>
                <w:color w:val="auto"/>
                <w:spacing w:val="-2"/>
                <w:kern w:val="2"/>
                <w:sz w:val="21"/>
                <w:szCs w:val="21"/>
                <w:highlight w:val="none"/>
                <w:lang w:val="en-US" w:eastAsia="zh-CN" w:bidi="ar-SA"/>
              </w:rPr>
              <w:t>准的，按最新标准或较高标准执行。</w:t>
            </w:r>
          </w:p>
        </w:tc>
      </w:tr>
      <w:tr w14:paraId="2F2FFAB3">
        <w:tblPrEx>
          <w:tblCellMar>
            <w:top w:w="0" w:type="dxa"/>
            <w:left w:w="108" w:type="dxa"/>
            <w:bottom w:w="0" w:type="dxa"/>
            <w:right w:w="108" w:type="dxa"/>
          </w:tblCellMar>
        </w:tblPrEx>
        <w:trPr>
          <w:trHeight w:val="717"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Pr>
          <w:p w14:paraId="507539D4">
            <w:pPr>
              <w:spacing w:line="255" w:lineRule="auto"/>
              <w:rPr>
                <w:rFonts w:ascii="宋体" w:hAnsi="宋体" w:eastAsia="宋体" w:cs="宋体"/>
                <w:color w:val="auto"/>
                <w:szCs w:val="21"/>
                <w:highlight w:val="none"/>
              </w:rPr>
            </w:pPr>
          </w:p>
          <w:p w14:paraId="195D09B5">
            <w:pPr>
              <w:spacing w:line="255" w:lineRule="auto"/>
              <w:rPr>
                <w:rFonts w:ascii="宋体" w:hAnsi="宋体" w:eastAsia="宋体" w:cs="宋体"/>
                <w:color w:val="auto"/>
                <w:szCs w:val="21"/>
                <w:highlight w:val="none"/>
              </w:rPr>
            </w:pPr>
          </w:p>
          <w:p w14:paraId="7F149BE2">
            <w:pPr>
              <w:spacing w:line="255" w:lineRule="auto"/>
              <w:rPr>
                <w:rFonts w:ascii="宋体" w:hAnsi="宋体" w:eastAsia="宋体" w:cs="宋体"/>
                <w:color w:val="auto"/>
                <w:szCs w:val="21"/>
                <w:highlight w:val="none"/>
              </w:rPr>
            </w:pPr>
          </w:p>
          <w:p w14:paraId="1DA2D31C">
            <w:pPr>
              <w:spacing w:line="255" w:lineRule="auto"/>
              <w:rPr>
                <w:rFonts w:ascii="宋体" w:hAnsi="宋体" w:eastAsia="宋体" w:cs="宋体"/>
                <w:color w:val="auto"/>
                <w:szCs w:val="21"/>
                <w:highlight w:val="none"/>
              </w:rPr>
            </w:pPr>
          </w:p>
          <w:p w14:paraId="4FA19A38">
            <w:pPr>
              <w:spacing w:line="255" w:lineRule="auto"/>
              <w:rPr>
                <w:rFonts w:ascii="宋体" w:hAnsi="宋体" w:eastAsia="宋体" w:cs="宋体"/>
                <w:color w:val="auto"/>
                <w:szCs w:val="21"/>
                <w:highlight w:val="none"/>
              </w:rPr>
            </w:pPr>
          </w:p>
          <w:p w14:paraId="6FC1CE6F">
            <w:pPr>
              <w:spacing w:line="255" w:lineRule="auto"/>
              <w:rPr>
                <w:rFonts w:ascii="宋体" w:hAnsi="宋体" w:eastAsia="宋体" w:cs="宋体"/>
                <w:color w:val="auto"/>
                <w:szCs w:val="21"/>
                <w:highlight w:val="none"/>
              </w:rPr>
            </w:pPr>
          </w:p>
          <w:p w14:paraId="5847446C">
            <w:pPr>
              <w:spacing w:line="255" w:lineRule="auto"/>
              <w:rPr>
                <w:rFonts w:ascii="宋体" w:hAnsi="宋体" w:eastAsia="宋体" w:cs="宋体"/>
                <w:color w:val="auto"/>
                <w:szCs w:val="21"/>
                <w:highlight w:val="none"/>
              </w:rPr>
            </w:pPr>
          </w:p>
          <w:p w14:paraId="59962B33">
            <w:pPr>
              <w:spacing w:line="256" w:lineRule="auto"/>
              <w:rPr>
                <w:rFonts w:ascii="宋体" w:hAnsi="宋体" w:eastAsia="宋体" w:cs="宋体"/>
                <w:color w:val="auto"/>
                <w:szCs w:val="21"/>
                <w:highlight w:val="none"/>
              </w:rPr>
            </w:pPr>
          </w:p>
          <w:p w14:paraId="65F4EA0A">
            <w:pPr>
              <w:spacing w:line="256" w:lineRule="auto"/>
              <w:rPr>
                <w:rFonts w:ascii="宋体" w:hAnsi="宋体" w:eastAsia="宋体" w:cs="宋体"/>
                <w:color w:val="auto"/>
                <w:szCs w:val="21"/>
                <w:highlight w:val="none"/>
              </w:rPr>
            </w:pPr>
          </w:p>
          <w:p w14:paraId="2414274D">
            <w:pPr>
              <w:spacing w:line="256" w:lineRule="auto"/>
              <w:rPr>
                <w:rFonts w:ascii="宋体" w:hAnsi="宋体" w:eastAsia="宋体" w:cs="宋体"/>
                <w:color w:val="auto"/>
                <w:szCs w:val="21"/>
                <w:highlight w:val="none"/>
              </w:rPr>
            </w:pPr>
          </w:p>
          <w:p w14:paraId="66DC28A9">
            <w:pPr>
              <w:spacing w:line="256" w:lineRule="auto"/>
              <w:rPr>
                <w:rFonts w:ascii="宋体" w:hAnsi="宋体" w:eastAsia="宋体" w:cs="宋体"/>
                <w:color w:val="auto"/>
                <w:szCs w:val="21"/>
                <w:highlight w:val="none"/>
              </w:rPr>
            </w:pPr>
          </w:p>
          <w:p w14:paraId="66C5FCD8">
            <w:pPr>
              <w:spacing w:line="256" w:lineRule="auto"/>
              <w:rPr>
                <w:rFonts w:ascii="宋体" w:hAnsi="宋体" w:eastAsia="宋体" w:cs="宋体"/>
                <w:color w:val="auto"/>
                <w:szCs w:val="21"/>
                <w:highlight w:val="none"/>
              </w:rPr>
            </w:pPr>
          </w:p>
          <w:p w14:paraId="013EECD8">
            <w:pPr>
              <w:widowControl w:val="0"/>
              <w:spacing w:before="68" w:line="219" w:lineRule="auto"/>
              <w:ind w:left="277"/>
              <w:jc w:val="both"/>
              <w:rPr>
                <w:rFonts w:ascii="宋体" w:hAnsi="宋体" w:eastAsia="宋体" w:cs="宋体"/>
                <w:color w:val="auto"/>
                <w:spacing w:val="-3"/>
                <w:kern w:val="2"/>
                <w:sz w:val="21"/>
                <w:szCs w:val="21"/>
                <w:highlight w:val="none"/>
                <w:lang w:val="en-US" w:eastAsia="en-US" w:bidi="ar-SA"/>
              </w:rPr>
            </w:pPr>
            <w:r>
              <w:rPr>
                <w:rFonts w:hint="eastAsia" w:ascii="宋体" w:hAnsi="宋体" w:eastAsia="宋体" w:cs="宋体"/>
                <w:color w:val="auto"/>
                <w:spacing w:val="-2"/>
                <w:kern w:val="2"/>
                <w:sz w:val="21"/>
                <w:szCs w:val="21"/>
                <w:highlight w:val="none"/>
                <w:lang w:val="en-US" w:eastAsia="en-US" w:bidi="ar-SA"/>
              </w:rPr>
              <w:t>采购标的验收标准</w:t>
            </w:r>
          </w:p>
        </w:tc>
        <w:tc>
          <w:tcPr>
            <w:tcW w:w="8297" w:type="dxa"/>
            <w:gridSpan w:val="4"/>
            <w:tcBorders>
              <w:top w:val="single" w:color="000000" w:sz="4" w:space="0"/>
              <w:left w:val="single" w:color="000000" w:sz="4" w:space="0"/>
              <w:bottom w:val="single" w:color="000000" w:sz="4" w:space="0"/>
              <w:right w:val="single" w:color="000000" w:sz="4" w:space="0"/>
            </w:tcBorders>
            <w:shd w:val="clear" w:color="auto" w:fill="auto"/>
          </w:tcPr>
          <w:p w14:paraId="010D9B82">
            <w:pPr>
              <w:widowControl w:val="0"/>
              <w:spacing w:before="92" w:line="218" w:lineRule="auto"/>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1.验收过程中所产生的一切费用均由中标投标人承担。报价时应考虑相关费用。</w:t>
            </w:r>
          </w:p>
          <w:p w14:paraId="385A6911">
            <w:pPr>
              <w:widowControl w:val="0"/>
              <w:spacing w:before="93" w:line="272" w:lineRule="auto"/>
              <w:ind w:right="103"/>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5"/>
                <w:kern w:val="2"/>
                <w:sz w:val="21"/>
                <w:szCs w:val="21"/>
                <w:highlight w:val="none"/>
                <w:lang w:val="en-US" w:eastAsia="zh-CN" w:bidi="ar-SA"/>
              </w:rPr>
              <w:t>2.采购人对中标投标人提交的货物依据采购文件上的技术规格要求和国家有关</w:t>
            </w:r>
            <w:r>
              <w:rPr>
                <w:rFonts w:hint="eastAsia" w:ascii="宋体" w:hAnsi="宋体" w:eastAsia="宋体" w:cs="宋体"/>
                <w:color w:val="auto"/>
                <w:spacing w:val="-1"/>
                <w:kern w:val="2"/>
                <w:sz w:val="21"/>
                <w:szCs w:val="21"/>
                <w:highlight w:val="none"/>
                <w:lang w:val="en-US" w:eastAsia="zh-CN" w:bidi="ar-SA"/>
              </w:rPr>
              <w:t>质量标准进行现场签收，外观、说明书符合采购文件技术要求的，给予签收，</w:t>
            </w:r>
            <w:r>
              <w:rPr>
                <w:rFonts w:hint="eastAsia" w:ascii="宋体" w:hAnsi="宋体" w:eastAsia="宋体" w:cs="宋体"/>
                <w:color w:val="auto"/>
                <w:spacing w:val="-2"/>
                <w:kern w:val="2"/>
                <w:sz w:val="21"/>
                <w:szCs w:val="21"/>
                <w:highlight w:val="none"/>
                <w:lang w:val="en-US" w:eastAsia="zh-CN" w:bidi="ar-SA"/>
              </w:rPr>
              <w:t>不合格</w:t>
            </w:r>
            <w:r>
              <w:rPr>
                <w:rFonts w:hint="eastAsia" w:ascii="宋体" w:hAnsi="宋体" w:eastAsia="宋体" w:cs="宋体"/>
                <w:color w:val="auto"/>
                <w:spacing w:val="-3"/>
                <w:kern w:val="2"/>
                <w:sz w:val="21"/>
                <w:szCs w:val="21"/>
                <w:highlight w:val="none"/>
                <w:lang w:val="en-US" w:eastAsia="zh-CN" w:bidi="ar-SA"/>
              </w:rPr>
              <w:t>的不予签收。</w:t>
            </w:r>
          </w:p>
          <w:p w14:paraId="23F9B934">
            <w:pPr>
              <w:widowControl w:val="0"/>
              <w:spacing w:before="89" w:line="272" w:lineRule="auto"/>
              <w:ind w:right="1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3.</w:t>
            </w:r>
            <w:r>
              <w:rPr>
                <w:rFonts w:hint="eastAsia" w:ascii="宋体" w:hAnsi="宋体" w:eastAsia="宋体" w:cs="宋体"/>
                <w:color w:val="auto"/>
                <w:spacing w:val="-58"/>
                <w:kern w:val="2"/>
                <w:sz w:val="21"/>
                <w:szCs w:val="21"/>
                <w:highlight w:val="none"/>
                <w:lang w:val="en-US" w:eastAsia="zh-CN" w:bidi="ar-SA"/>
              </w:rPr>
              <w:t xml:space="preserve"> </w:t>
            </w:r>
            <w:r>
              <w:rPr>
                <w:rFonts w:hint="eastAsia" w:ascii="宋体" w:hAnsi="宋体" w:eastAsia="宋体" w:cs="宋体"/>
                <w:color w:val="auto"/>
                <w:spacing w:val="4"/>
                <w:kern w:val="2"/>
                <w:sz w:val="21"/>
                <w:szCs w:val="21"/>
                <w:highlight w:val="none"/>
                <w:lang w:val="en-US" w:eastAsia="zh-CN" w:bidi="ar-SA"/>
              </w:rPr>
              <w:t>中标投标人交货前应对产品作出全面检查和对验收文件进行</w:t>
            </w:r>
            <w:r>
              <w:rPr>
                <w:rFonts w:hint="eastAsia" w:ascii="宋体" w:hAnsi="宋体" w:eastAsia="宋体" w:cs="宋体"/>
                <w:color w:val="auto"/>
                <w:spacing w:val="3"/>
                <w:kern w:val="2"/>
                <w:sz w:val="21"/>
                <w:szCs w:val="21"/>
                <w:highlight w:val="none"/>
                <w:lang w:val="en-US" w:eastAsia="zh-CN" w:bidi="ar-SA"/>
              </w:rPr>
              <w:t>整理，并列出清</w:t>
            </w:r>
            <w:r>
              <w:rPr>
                <w:rFonts w:hint="eastAsia" w:ascii="宋体" w:hAnsi="宋体" w:eastAsia="宋体" w:cs="宋体"/>
                <w:color w:val="auto"/>
                <w:spacing w:val="-1"/>
                <w:kern w:val="2"/>
                <w:sz w:val="21"/>
                <w:szCs w:val="21"/>
                <w:highlight w:val="none"/>
                <w:lang w:val="en-US" w:eastAsia="zh-CN" w:bidi="ar-SA"/>
              </w:rPr>
              <w:t>单，作为采购人收货验收和使用的技术条件依据，检验的结果应随货物交采购人。中</w:t>
            </w:r>
            <w:r>
              <w:rPr>
                <w:rFonts w:hint="eastAsia" w:ascii="宋体" w:hAnsi="宋体" w:eastAsia="宋体" w:cs="宋体"/>
                <w:color w:val="auto"/>
                <w:kern w:val="2"/>
                <w:sz w:val="21"/>
                <w:szCs w:val="21"/>
                <w:highlight w:val="none"/>
                <w:lang w:val="en-US" w:eastAsia="zh-CN" w:bidi="ar-SA"/>
              </w:rPr>
              <w:t>标投标人不能完整交付货物的，必须负责补齐，否则视为未</w:t>
            </w:r>
            <w:r>
              <w:rPr>
                <w:rFonts w:hint="eastAsia" w:ascii="宋体" w:hAnsi="宋体" w:eastAsia="宋体" w:cs="宋体"/>
                <w:color w:val="auto"/>
                <w:spacing w:val="-1"/>
                <w:kern w:val="2"/>
                <w:sz w:val="21"/>
                <w:szCs w:val="21"/>
                <w:highlight w:val="none"/>
                <w:lang w:val="en-US" w:eastAsia="zh-CN" w:bidi="ar-SA"/>
              </w:rPr>
              <w:t>按合同约定交货。</w:t>
            </w:r>
          </w:p>
          <w:p w14:paraId="53D854AA">
            <w:pPr>
              <w:widowControl w:val="0"/>
              <w:spacing w:before="92" w:line="259" w:lineRule="auto"/>
              <w:ind w:right="1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4.中标投标人需负责安装、调试（测试</w:t>
            </w:r>
            <w:r>
              <w:rPr>
                <w:rFonts w:hint="eastAsia" w:ascii="宋体" w:hAnsi="宋体" w:eastAsia="宋体" w:cs="宋体"/>
                <w:color w:val="auto"/>
                <w:spacing w:val="6"/>
                <w:kern w:val="2"/>
                <w:sz w:val="21"/>
                <w:szCs w:val="21"/>
                <w:highlight w:val="none"/>
                <w:lang w:val="en-US" w:eastAsia="zh-CN" w:bidi="ar-SA"/>
              </w:rPr>
              <w:t>），</w:t>
            </w:r>
            <w:r>
              <w:rPr>
                <w:rFonts w:hint="eastAsia" w:ascii="宋体" w:hAnsi="宋体" w:eastAsia="宋体" w:cs="宋体"/>
                <w:color w:val="auto"/>
                <w:spacing w:val="-1"/>
                <w:kern w:val="2"/>
                <w:sz w:val="21"/>
                <w:szCs w:val="21"/>
                <w:highlight w:val="none"/>
                <w:lang w:val="en-US" w:eastAsia="zh-CN" w:bidi="ar-SA"/>
              </w:rPr>
              <w:t>并培训采购人的使用操作人员，直到</w:t>
            </w:r>
            <w:r>
              <w:rPr>
                <w:rFonts w:hint="eastAsia" w:ascii="宋体" w:hAnsi="宋体" w:eastAsia="宋体" w:cs="宋体"/>
                <w:color w:val="auto"/>
                <w:spacing w:val="-2"/>
                <w:kern w:val="2"/>
                <w:sz w:val="21"/>
                <w:szCs w:val="21"/>
                <w:highlight w:val="none"/>
                <w:lang w:val="en-US" w:eastAsia="zh-CN" w:bidi="ar-SA"/>
              </w:rPr>
              <w:t>设备运行符合技术要求，采购人方验收。</w:t>
            </w:r>
          </w:p>
          <w:p w14:paraId="12B756C6">
            <w:pPr>
              <w:widowControl w:val="0"/>
              <w:spacing w:before="91" w:line="266" w:lineRule="auto"/>
              <w:ind w:right="102"/>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5.采购人组织验收，中标投标人必须到场配合，验收合格后双方签署验收合格凭</w:t>
            </w:r>
            <w:r>
              <w:rPr>
                <w:rFonts w:hint="eastAsia" w:ascii="宋体" w:hAnsi="宋体" w:eastAsia="宋体" w:cs="宋体"/>
                <w:color w:val="auto"/>
                <w:spacing w:val="-10"/>
                <w:kern w:val="2"/>
                <w:sz w:val="21"/>
                <w:szCs w:val="21"/>
                <w:highlight w:val="none"/>
                <w:lang w:val="en-US" w:eastAsia="zh-CN" w:bidi="ar-SA"/>
              </w:rPr>
              <w:t>证。</w:t>
            </w:r>
          </w:p>
          <w:p w14:paraId="51FE553F">
            <w:pPr>
              <w:widowControl w:val="0"/>
              <w:spacing w:before="75" w:line="272" w:lineRule="auto"/>
              <w:ind w:right="1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6.其他未尽事宜应严格按照《关于印发广西壮族自治区政府采购项目履约验收管</w:t>
            </w:r>
            <w:r>
              <w:rPr>
                <w:rFonts w:hint="eastAsia" w:ascii="宋体" w:hAnsi="宋体" w:eastAsia="宋体" w:cs="宋体"/>
                <w:color w:val="auto"/>
                <w:spacing w:val="-2"/>
                <w:kern w:val="2"/>
                <w:sz w:val="21"/>
                <w:szCs w:val="21"/>
                <w:highlight w:val="none"/>
                <w:lang w:val="en-US" w:eastAsia="zh-CN" w:bidi="ar-SA"/>
              </w:rPr>
              <w:t>理办法的通知》[桂财采〔2015〕22</w:t>
            </w:r>
            <w:r>
              <w:rPr>
                <w:rFonts w:hint="eastAsia" w:ascii="宋体" w:hAnsi="宋体" w:eastAsia="宋体" w:cs="宋体"/>
                <w:color w:val="auto"/>
                <w:spacing w:val="-33"/>
                <w:kern w:val="2"/>
                <w:sz w:val="21"/>
                <w:szCs w:val="21"/>
                <w:highlight w:val="none"/>
                <w:lang w:val="en-US" w:eastAsia="zh-CN" w:bidi="ar-SA"/>
              </w:rPr>
              <w:t xml:space="preserve"> </w:t>
            </w:r>
            <w:r>
              <w:rPr>
                <w:rFonts w:hint="eastAsia" w:ascii="宋体" w:hAnsi="宋体" w:eastAsia="宋体" w:cs="宋体"/>
                <w:color w:val="auto"/>
                <w:spacing w:val="-2"/>
                <w:kern w:val="2"/>
                <w:sz w:val="21"/>
                <w:szCs w:val="21"/>
                <w:highlight w:val="none"/>
                <w:lang w:val="en-US" w:eastAsia="zh-CN" w:bidi="ar-SA"/>
              </w:rPr>
              <w:t>号</w:t>
            </w:r>
            <w:r>
              <w:rPr>
                <w:rFonts w:hint="eastAsia" w:ascii="宋体" w:hAnsi="宋体" w:eastAsia="宋体" w:cs="宋体"/>
                <w:color w:val="auto"/>
                <w:spacing w:val="-3"/>
                <w:kern w:val="2"/>
                <w:sz w:val="21"/>
                <w:szCs w:val="21"/>
                <w:highlight w:val="none"/>
                <w:lang w:val="en-US" w:eastAsia="zh-CN" w:bidi="ar-SA"/>
              </w:rPr>
              <w:t>]以及《财政部关于进一步加强政府采购需求和</w:t>
            </w:r>
            <w:r>
              <w:rPr>
                <w:rFonts w:hint="eastAsia" w:ascii="宋体" w:hAnsi="宋体" w:eastAsia="宋体" w:cs="宋体"/>
                <w:color w:val="auto"/>
                <w:spacing w:val="-2"/>
                <w:kern w:val="2"/>
                <w:sz w:val="21"/>
                <w:szCs w:val="21"/>
                <w:highlight w:val="none"/>
                <w:lang w:val="en-US" w:eastAsia="zh-CN" w:bidi="ar-SA"/>
              </w:rPr>
              <w:t>履约验收管理的指导意见》[财库〔2016〕205</w:t>
            </w:r>
            <w:r>
              <w:rPr>
                <w:rFonts w:hint="eastAsia" w:ascii="宋体" w:hAnsi="宋体" w:eastAsia="宋体" w:cs="宋体"/>
                <w:color w:val="auto"/>
                <w:spacing w:val="-15"/>
                <w:kern w:val="2"/>
                <w:sz w:val="21"/>
                <w:szCs w:val="21"/>
                <w:highlight w:val="none"/>
                <w:lang w:val="en-US" w:eastAsia="zh-CN" w:bidi="ar-SA"/>
              </w:rPr>
              <w:t xml:space="preserve"> </w:t>
            </w:r>
            <w:r>
              <w:rPr>
                <w:rFonts w:hint="eastAsia" w:ascii="宋体" w:hAnsi="宋体" w:eastAsia="宋体" w:cs="宋体"/>
                <w:color w:val="auto"/>
                <w:spacing w:val="-2"/>
                <w:kern w:val="2"/>
                <w:sz w:val="21"/>
                <w:szCs w:val="21"/>
                <w:highlight w:val="none"/>
                <w:lang w:val="en-US" w:eastAsia="zh-CN" w:bidi="ar-SA"/>
              </w:rPr>
              <w:t>号]规定执行。</w:t>
            </w:r>
          </w:p>
          <w:p w14:paraId="2D582B0D">
            <w:pPr>
              <w:widowControl w:val="0"/>
              <w:spacing w:before="94" w:line="272" w:lineRule="auto"/>
              <w:ind w:right="102"/>
              <w:jc w:val="left"/>
              <w:rPr>
                <w:rFonts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7.合同履行过程中，如不符合采购文件的技术需求及要求以及提供虚假承诺的，按相关规定做退货处理及违约处理，中标投标人须承担所有责任和费用，采购人保留</w:t>
            </w:r>
            <w:r>
              <w:rPr>
                <w:rFonts w:hint="eastAsia" w:ascii="宋体" w:hAnsi="宋体" w:eastAsia="宋体" w:cs="宋体"/>
                <w:color w:val="auto"/>
                <w:spacing w:val="-3"/>
                <w:kern w:val="2"/>
                <w:sz w:val="21"/>
                <w:szCs w:val="21"/>
                <w:highlight w:val="none"/>
                <w:lang w:val="en-US" w:eastAsia="zh-CN" w:bidi="ar-SA"/>
              </w:rPr>
              <w:t>进一步追究责任的权利。</w:t>
            </w:r>
          </w:p>
          <w:p w14:paraId="1797FAF3">
            <w:pPr>
              <w:widowControl w:val="0"/>
              <w:spacing w:before="94" w:line="272" w:lineRule="auto"/>
              <w:ind w:right="102"/>
              <w:jc w:val="left"/>
              <w:rPr>
                <w:rFonts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kern w:val="0"/>
                <w:sz w:val="20"/>
                <w:szCs w:val="21"/>
                <w:highlight w:val="none"/>
                <w:lang w:val="en-US" w:eastAsia="zh-CN" w:bidi="ar"/>
              </w:rPr>
              <w:t>8.</w:t>
            </w:r>
            <w:r>
              <w:rPr>
                <w:rFonts w:hint="eastAsia" w:ascii="宋体" w:hAnsi="宋体" w:eastAsia="宋体" w:cs="宋体"/>
                <w:color w:val="auto"/>
                <w:kern w:val="0"/>
                <w:sz w:val="20"/>
                <w:szCs w:val="21"/>
                <w:highlight w:val="none"/>
                <w:lang w:val="en-US" w:eastAsia="en-US" w:bidi="ar"/>
              </w:rPr>
              <w:t>根据自治区及公安厅政务信息化项目有关规定，各分标中标供应商需无条件相互配合共同实现项目建设整体设计目标。</w:t>
            </w:r>
          </w:p>
          <w:p w14:paraId="287E7EFD">
            <w:pPr>
              <w:widowControl w:val="0"/>
              <w:spacing w:before="91" w:line="218" w:lineRule="auto"/>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9.本章《项目需求》有其他要求的按其要求执行。</w:t>
            </w:r>
          </w:p>
          <w:p w14:paraId="5D667EBC">
            <w:pPr>
              <w:widowControl w:val="0"/>
              <w:spacing w:before="90" w:line="210" w:lineRule="auto"/>
              <w:jc w:val="left"/>
              <w:rPr>
                <w:rFonts w:ascii="宋体" w:hAnsi="宋体" w:eastAsia="宋体" w:cs="宋体"/>
                <w:color w:val="auto"/>
                <w:spacing w:val="-1"/>
                <w:kern w:val="2"/>
                <w:sz w:val="21"/>
                <w:szCs w:val="21"/>
                <w:highlight w:val="none"/>
                <w:lang w:val="en-US" w:eastAsia="en-US" w:bidi="ar-SA"/>
              </w:rPr>
            </w:pPr>
            <w:r>
              <w:rPr>
                <w:rFonts w:hint="eastAsia" w:ascii="宋体" w:hAnsi="宋体" w:eastAsia="宋体" w:cs="宋体"/>
                <w:color w:val="auto"/>
                <w:spacing w:val="-2"/>
                <w:kern w:val="2"/>
                <w:sz w:val="21"/>
                <w:szCs w:val="21"/>
                <w:highlight w:val="none"/>
                <w:lang w:val="en-US" w:eastAsia="zh-CN" w:bidi="ar-SA"/>
              </w:rPr>
              <w:t>10. 验收产生的费用中标投标人负责。</w:t>
            </w:r>
          </w:p>
        </w:tc>
      </w:tr>
      <w:tr w14:paraId="3206A790">
        <w:tblPrEx>
          <w:tblCellMar>
            <w:top w:w="0" w:type="dxa"/>
            <w:left w:w="108" w:type="dxa"/>
            <w:bottom w:w="0" w:type="dxa"/>
            <w:right w:w="108" w:type="dxa"/>
          </w:tblCellMar>
        </w:tblPrEx>
        <w:trPr>
          <w:trHeight w:val="717" w:hRule="atLeast"/>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1482B">
            <w:pPr>
              <w:widowControl/>
              <w:jc w:val="center"/>
              <w:textAlignment w:val="center"/>
              <w:rPr>
                <w:rFonts w:ascii="Times New Roman" w:hAnsi="Times New Roman" w:eastAsia="宋体" w:cs="Times New Roman"/>
                <w:color w:val="auto"/>
                <w:spacing w:val="-2"/>
                <w:szCs w:val="21"/>
                <w:highlight w:val="none"/>
              </w:rPr>
            </w:pPr>
            <w:r>
              <w:rPr>
                <w:rFonts w:hint="eastAsia" w:ascii="宋体" w:hAnsi="宋体" w:eastAsia="宋体" w:cs="宋体"/>
                <w:b/>
                <w:bCs/>
                <w:color w:val="auto"/>
                <w:kern w:val="0"/>
                <w:szCs w:val="21"/>
                <w:highlight w:val="none"/>
              </w:rPr>
              <w:t>演示要求</w:t>
            </w:r>
          </w:p>
        </w:tc>
        <w:tc>
          <w:tcPr>
            <w:tcW w:w="82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0B5526">
            <w:pPr>
              <w:widowControl/>
              <w:tabs>
                <w:tab w:val="left" w:pos="180"/>
                <w:tab w:val="left" w:pos="1620"/>
              </w:tabs>
              <w:spacing w:line="400" w:lineRule="exact"/>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投标人可根据自身情况以自愿为原则进行“</w:t>
            </w:r>
            <w:r>
              <w:rPr>
                <w:rFonts w:hint="eastAsia" w:ascii="宋体" w:hAnsi="宋体" w:cs="宋体"/>
                <w:color w:val="auto"/>
                <w:kern w:val="0"/>
                <w:szCs w:val="21"/>
                <w:highlight w:val="none"/>
                <w:lang w:eastAsia="zh-CN"/>
              </w:rPr>
              <w:t>309项目</w:t>
            </w:r>
            <w:r>
              <w:rPr>
                <w:rFonts w:hint="eastAsia" w:ascii="宋体" w:hAnsi="宋体" w:eastAsia="宋体" w:cs="宋体"/>
                <w:color w:val="auto"/>
                <w:kern w:val="0"/>
                <w:szCs w:val="21"/>
                <w:highlight w:val="none"/>
              </w:rPr>
              <w:t>（B部分）”产品演示 ，不提供产品演示并不会导致投标人废标，若投标人提供产品演示的须遵循以下要求：</w:t>
            </w:r>
          </w:p>
          <w:p w14:paraId="08149FAA">
            <w:pPr>
              <w:widowControl/>
              <w:tabs>
                <w:tab w:val="left" w:pos="180"/>
                <w:tab w:val="left" w:pos="1620"/>
              </w:tabs>
              <w:spacing w:line="400" w:lineRule="exact"/>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(1)演示方式为“</w:t>
            </w:r>
            <w:r>
              <w:rPr>
                <w:rFonts w:hint="eastAsia" w:ascii="宋体" w:hAnsi="宋体" w:eastAsia="宋体" w:cs="Times New Roman"/>
                <w:bCs/>
                <w:color w:val="auto"/>
                <w:szCs w:val="21"/>
                <w:highlight w:val="none"/>
                <w:shd w:val="clear" w:color="auto" w:fill="FFFFFF"/>
              </w:rPr>
              <w:t>广西政府采购云平台</w:t>
            </w:r>
            <w:r>
              <w:rPr>
                <w:rFonts w:hint="eastAsia" w:ascii="宋体" w:hAnsi="宋体" w:eastAsia="宋体" w:cs="宋体"/>
                <w:color w:val="auto"/>
                <w:kern w:val="0"/>
                <w:szCs w:val="21"/>
                <w:highlight w:val="none"/>
              </w:rPr>
              <w:t>”平台在线演示，具体演示时间及地点等待招标代理机构工作人员电话通知。</w:t>
            </w:r>
          </w:p>
          <w:p w14:paraId="76EAD704">
            <w:pPr>
              <w:widowControl/>
              <w:tabs>
                <w:tab w:val="left" w:pos="180"/>
                <w:tab w:val="left" w:pos="1620"/>
              </w:tabs>
              <w:spacing w:line="400" w:lineRule="exact"/>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提前调试好演示所需设备（如摄像头、电脑等）、展示内容等，投标人应在接到电话通知15分钟内连线并进行线上演示，因投标人原因导致连线超时则后果自负。若为现场演示，请投标人自备演示工具。</w:t>
            </w:r>
          </w:p>
          <w:p w14:paraId="2A76E6B5">
            <w:pPr>
              <w:widowControl/>
              <w:tabs>
                <w:tab w:val="left" w:pos="180"/>
                <w:tab w:val="left" w:pos="1620"/>
              </w:tabs>
              <w:spacing w:line="40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（3）演示开始后每个投标人的演示时间不超过 45分钟，超时的须立即停止。</w:t>
            </w:r>
          </w:p>
          <w:p w14:paraId="69721566">
            <w:pPr>
              <w:widowControl/>
              <w:tabs>
                <w:tab w:val="left" w:pos="180"/>
                <w:tab w:val="left" w:pos="1620"/>
              </w:tabs>
              <w:spacing w:line="40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cs="宋体"/>
                <w:color w:val="auto"/>
                <w:kern w:val="0"/>
                <w:szCs w:val="21"/>
                <w:highlight w:val="none"/>
              </w:rPr>
              <w:t>投标人需自行准备演示所需软硬件，</w:t>
            </w:r>
            <w:r>
              <w:rPr>
                <w:rFonts w:hint="eastAsia" w:ascii="宋体" w:hAnsi="宋体" w:cs="宋体"/>
                <w:color w:val="auto"/>
                <w:kern w:val="0"/>
                <w:szCs w:val="21"/>
                <w:highlight w:val="none"/>
                <w:lang w:val="en-US" w:eastAsia="zh-CN"/>
              </w:rPr>
              <w:t>不能采取</w:t>
            </w:r>
            <w:r>
              <w:rPr>
                <w:rFonts w:hint="eastAsia" w:ascii="宋体" w:hAnsi="宋体" w:cs="宋体"/>
                <w:color w:val="auto"/>
                <w:kern w:val="0"/>
                <w:szCs w:val="21"/>
                <w:highlight w:val="none"/>
              </w:rPr>
              <w:t>DEMO、视频、PPT等方式演示</w:t>
            </w:r>
            <w:r>
              <w:rPr>
                <w:rFonts w:hint="eastAsia" w:ascii="宋体" w:hAnsi="宋体" w:cs="宋体"/>
                <w:color w:val="auto"/>
                <w:kern w:val="0"/>
                <w:szCs w:val="21"/>
                <w:highlight w:val="none"/>
                <w:lang w:eastAsia="zh-CN"/>
              </w:rPr>
              <w:t>。</w:t>
            </w:r>
          </w:p>
          <w:p w14:paraId="4B38D107">
            <w:pPr>
              <w:widowControl/>
              <w:tabs>
                <w:tab w:val="left" w:pos="180"/>
                <w:tab w:val="left" w:pos="1620"/>
              </w:tabs>
              <w:spacing w:line="400" w:lineRule="exact"/>
              <w:rPr>
                <w:rFonts w:ascii="Times New Roman" w:hAnsi="Times New Roman" w:eastAsia="宋体" w:cs="Times New Roman"/>
                <w:color w:val="auto"/>
                <w:spacing w:val="-2"/>
                <w:szCs w:val="21"/>
                <w:highlight w:val="none"/>
              </w:rPr>
            </w:pPr>
            <w:r>
              <w:rPr>
                <w:rFonts w:hint="eastAsia" w:ascii="宋体" w:hAnsi="宋体" w:eastAsia="宋体" w:cs="宋体"/>
                <w:color w:val="auto"/>
                <w:kern w:val="0"/>
                <w:szCs w:val="21"/>
                <w:highlight w:val="none"/>
              </w:rPr>
              <w:t>（5）具体演示内容详见《第四章 评标方法及评分标准》“演示分”。</w:t>
            </w:r>
          </w:p>
        </w:tc>
      </w:tr>
      <w:tr w14:paraId="469DBC3D">
        <w:tblPrEx>
          <w:tblCellMar>
            <w:top w:w="0" w:type="dxa"/>
            <w:left w:w="108" w:type="dxa"/>
            <w:bottom w:w="0" w:type="dxa"/>
            <w:right w:w="108" w:type="dxa"/>
          </w:tblCellMar>
        </w:tblPrEx>
        <w:trPr>
          <w:trHeight w:val="717" w:hRule="atLeast"/>
        </w:trPr>
        <w:tc>
          <w:tcPr>
            <w:tcW w:w="9993" w:type="dxa"/>
            <w:gridSpan w:val="6"/>
            <w:tcBorders>
              <w:top w:val="single" w:color="000000" w:sz="4" w:space="0"/>
              <w:left w:val="single" w:color="000000" w:sz="4" w:space="0"/>
              <w:bottom w:val="single" w:color="000000" w:sz="4" w:space="0"/>
              <w:right w:val="single" w:color="000000" w:sz="4" w:space="0"/>
            </w:tcBorders>
            <w:vAlign w:val="center"/>
          </w:tcPr>
          <w:p w14:paraId="5035CD79">
            <w:pPr>
              <w:widowControl/>
              <w:spacing w:line="400" w:lineRule="exact"/>
              <w:textAlignment w:val="center"/>
              <w:rPr>
                <w:rFonts w:ascii="宋体" w:hAnsi="宋体" w:eastAsia="宋体" w:cs="宋体"/>
                <w:b/>
                <w:bCs/>
                <w:color w:val="auto"/>
                <w:szCs w:val="21"/>
                <w:highlight w:val="none"/>
              </w:rPr>
            </w:pPr>
            <w:r>
              <w:rPr>
                <w:rFonts w:ascii="Times New Roman" w:hAnsi="Times New Roman" w:eastAsia="宋体" w:cs="Times New Roman"/>
                <w:b/>
                <w:bCs/>
                <w:color w:val="auto"/>
                <w:spacing w:val="-4"/>
                <w:szCs w:val="21"/>
                <w:highlight w:val="none"/>
              </w:rPr>
              <w:t>三、商务条款</w:t>
            </w:r>
          </w:p>
        </w:tc>
      </w:tr>
      <w:tr w14:paraId="3E0169FA">
        <w:tblPrEx>
          <w:tblCellMar>
            <w:top w:w="0" w:type="dxa"/>
            <w:left w:w="108" w:type="dxa"/>
            <w:bottom w:w="0" w:type="dxa"/>
            <w:right w:w="108" w:type="dxa"/>
          </w:tblCellMar>
        </w:tblPrEx>
        <w:trPr>
          <w:trHeight w:val="717" w:hRule="atLeast"/>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5C6CCFCD">
            <w:pPr>
              <w:rPr>
                <w:rFonts w:ascii="宋体" w:hAnsi="宋体" w:eastAsia="宋体" w:cs="宋体"/>
                <w:color w:val="auto"/>
                <w:kern w:val="0"/>
                <w:szCs w:val="21"/>
                <w:highlight w:val="none"/>
                <w:lang w:eastAsia="en-US"/>
              </w:rPr>
            </w:pPr>
            <w:r>
              <w:rPr>
                <w:rFonts w:hint="eastAsia" w:ascii="宋体" w:hAnsi="宋体" w:eastAsia="宋体" w:cs="宋体"/>
                <w:color w:val="auto"/>
                <w:kern w:val="0"/>
                <w:szCs w:val="21"/>
                <w:highlight w:val="none"/>
                <w:lang w:bidi="ar"/>
              </w:rPr>
              <w:t>服务期限及地点</w:t>
            </w:r>
          </w:p>
        </w:tc>
        <w:tc>
          <w:tcPr>
            <w:tcW w:w="8297" w:type="dxa"/>
            <w:gridSpan w:val="4"/>
            <w:tcBorders>
              <w:top w:val="single" w:color="000000" w:sz="4" w:space="0"/>
              <w:left w:val="single" w:color="000000" w:sz="4" w:space="0"/>
              <w:bottom w:val="single" w:color="000000" w:sz="4" w:space="0"/>
              <w:right w:val="single" w:color="000000" w:sz="4" w:space="0"/>
            </w:tcBorders>
            <w:vAlign w:val="center"/>
          </w:tcPr>
          <w:p w14:paraId="72818B19">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服务期限：自签订合同之日起6个月内，安装调试完毕并交付使用；项目竣工验收通过后，进入维保服务期间，维保期三年。</w:t>
            </w:r>
          </w:p>
          <w:p w14:paraId="5398593B">
            <w:pP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服务地点：广西南宁市（采购人指定地点）。</w:t>
            </w:r>
          </w:p>
        </w:tc>
      </w:tr>
      <w:tr w14:paraId="473815FA">
        <w:tblPrEx>
          <w:tblCellMar>
            <w:top w:w="0" w:type="dxa"/>
            <w:left w:w="108" w:type="dxa"/>
            <w:bottom w:w="0" w:type="dxa"/>
            <w:right w:w="108" w:type="dxa"/>
          </w:tblCellMar>
        </w:tblPrEx>
        <w:trPr>
          <w:trHeight w:val="640" w:hRule="atLeast"/>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03C1C34A">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合同签订时间</w:t>
            </w:r>
          </w:p>
        </w:tc>
        <w:tc>
          <w:tcPr>
            <w:tcW w:w="8297" w:type="dxa"/>
            <w:gridSpan w:val="4"/>
            <w:tcBorders>
              <w:top w:val="single" w:color="000000" w:sz="4" w:space="0"/>
              <w:left w:val="single" w:color="000000" w:sz="4" w:space="0"/>
              <w:bottom w:val="single" w:color="000000" w:sz="4" w:space="0"/>
              <w:right w:val="single" w:color="000000" w:sz="4" w:space="0"/>
            </w:tcBorders>
            <w:vAlign w:val="center"/>
          </w:tcPr>
          <w:p w14:paraId="19AD2BBF">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中标通知书发出之日起25天内。</w:t>
            </w:r>
          </w:p>
        </w:tc>
      </w:tr>
      <w:tr w14:paraId="6B69802C">
        <w:tblPrEx>
          <w:tblCellMar>
            <w:top w:w="0" w:type="dxa"/>
            <w:left w:w="108" w:type="dxa"/>
            <w:bottom w:w="0" w:type="dxa"/>
            <w:right w:w="108" w:type="dxa"/>
          </w:tblCellMar>
        </w:tblPrEx>
        <w:trPr>
          <w:trHeight w:val="640" w:hRule="atLeast"/>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1E5391A7">
            <w:pPr>
              <w:rPr>
                <w:rFonts w:ascii="宋体" w:hAnsi="宋体" w:eastAsia="宋体" w:cs="宋体"/>
                <w:b/>
                <w:color w:val="auto"/>
                <w:szCs w:val="21"/>
                <w:highlight w:val="none"/>
              </w:rPr>
            </w:pPr>
            <w:r>
              <w:rPr>
                <w:rFonts w:hint="eastAsia" w:ascii="宋体" w:hAnsi="宋体" w:eastAsia="宋体" w:cs="宋体"/>
                <w:color w:val="auto"/>
                <w:kern w:val="0"/>
                <w:szCs w:val="21"/>
                <w:highlight w:val="none"/>
                <w:lang w:bidi="ar"/>
              </w:rPr>
              <w:t>项目建设实施准备</w:t>
            </w:r>
          </w:p>
        </w:tc>
        <w:tc>
          <w:tcPr>
            <w:tcW w:w="8297" w:type="dxa"/>
            <w:gridSpan w:val="4"/>
            <w:tcBorders>
              <w:top w:val="single" w:color="000000" w:sz="4" w:space="0"/>
              <w:left w:val="single" w:color="000000" w:sz="4" w:space="0"/>
              <w:bottom w:val="single" w:color="000000" w:sz="4" w:space="0"/>
              <w:right w:val="single" w:color="000000" w:sz="4" w:space="0"/>
            </w:tcBorders>
            <w:vAlign w:val="center"/>
          </w:tcPr>
          <w:p w14:paraId="2BE32A3E">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中标人需根据招标文件、批复初步设计方案及投评材料等编制深化设计方案，经监理单位确认并报厅科信办备案后实施项目建设。</w:t>
            </w:r>
          </w:p>
        </w:tc>
      </w:tr>
      <w:tr w14:paraId="162F32FC">
        <w:tblPrEx>
          <w:tblCellMar>
            <w:top w:w="0" w:type="dxa"/>
            <w:left w:w="108" w:type="dxa"/>
            <w:bottom w:w="0" w:type="dxa"/>
            <w:right w:w="108" w:type="dxa"/>
          </w:tblCellMar>
        </w:tblPrEx>
        <w:trPr>
          <w:trHeight w:val="245" w:hRule="atLeast"/>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6D7DD013">
            <w:pPr>
              <w:rPr>
                <w:rFonts w:ascii="宋体" w:hAnsi="宋体" w:eastAsia="宋体" w:cs="Times New Roman"/>
                <w:b/>
                <w:color w:val="auto"/>
                <w:szCs w:val="21"/>
                <w:highlight w:val="none"/>
              </w:rPr>
            </w:pPr>
            <w:r>
              <w:rPr>
                <w:rFonts w:hint="eastAsia" w:ascii="宋体" w:hAnsi="宋体" w:eastAsia="宋体" w:cs="宋体"/>
                <w:color w:val="auto"/>
                <w:kern w:val="0"/>
                <w:szCs w:val="21"/>
                <w:highlight w:val="none"/>
                <w:lang w:bidi="ar"/>
              </w:rPr>
              <w:t>付款方式</w:t>
            </w:r>
          </w:p>
        </w:tc>
        <w:tc>
          <w:tcPr>
            <w:tcW w:w="8297" w:type="dxa"/>
            <w:gridSpan w:val="4"/>
            <w:tcBorders>
              <w:top w:val="single" w:color="000000" w:sz="4" w:space="0"/>
              <w:left w:val="single" w:color="000000" w:sz="4" w:space="0"/>
              <w:bottom w:val="single" w:color="000000" w:sz="4" w:space="0"/>
              <w:right w:val="single" w:color="000000" w:sz="4" w:space="0"/>
            </w:tcBorders>
            <w:vAlign w:val="center"/>
          </w:tcPr>
          <w:p w14:paraId="27DD3994">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1.本项目签订合同后15个工作日内，采购人向中标人支付合同总金额15%的作为合同预付款。</w:t>
            </w:r>
          </w:p>
          <w:p w14:paraId="3B2397F9">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2.本项目经项目单位组织初步验收通过后，采购人在中标人提出付款申请后15个工作日内向中标人支付45%的合同款。</w:t>
            </w:r>
          </w:p>
          <w:p w14:paraId="38CBF4FF">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3.建设单位完成建设后，向厅科信办提请初步验收，初步验收通过后，采购人在本项目中标人提出付款申请后15个工作日内向中标人支付30%的合同款。</w:t>
            </w:r>
          </w:p>
          <w:p w14:paraId="727EFB5E">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4.厅科信办组织将项目报广西壮族自治区大数据发展局提请开展竣工验收，在竣工验收通过后，采购人在本项目中标人提出付款申请后15个工作日内向中标人支付10%的合同款。</w:t>
            </w:r>
          </w:p>
          <w:p w14:paraId="34C13DE9">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5.采购人付款前，中标人应向采购人提供与支付金额相符的有效发票，且收款方、出具发票方、合同乙方均必须与中标人名称一致。 </w:t>
            </w:r>
          </w:p>
          <w:p w14:paraId="73DC815A">
            <w:pPr>
              <w:rPr>
                <w:rFonts w:ascii="宋体" w:hAnsi="宋体" w:eastAsia="宋体" w:cs="宋体"/>
                <w:color w:val="auto"/>
                <w:szCs w:val="21"/>
                <w:highlight w:val="none"/>
              </w:rPr>
            </w:pPr>
          </w:p>
        </w:tc>
      </w:tr>
      <w:tr w14:paraId="4F47DCF3">
        <w:tblPrEx>
          <w:tblCellMar>
            <w:top w:w="0" w:type="dxa"/>
            <w:left w:w="108" w:type="dxa"/>
            <w:bottom w:w="0" w:type="dxa"/>
            <w:right w:w="108" w:type="dxa"/>
          </w:tblCellMar>
        </w:tblPrEx>
        <w:trPr>
          <w:trHeight w:val="640" w:hRule="atLeast"/>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7D654EA7">
            <w:pP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售后服务</w:t>
            </w:r>
          </w:p>
        </w:tc>
        <w:tc>
          <w:tcPr>
            <w:tcW w:w="8297" w:type="dxa"/>
            <w:gridSpan w:val="4"/>
            <w:tcBorders>
              <w:top w:val="single" w:color="000000" w:sz="4" w:space="0"/>
              <w:left w:val="single" w:color="000000" w:sz="4" w:space="0"/>
              <w:bottom w:val="single" w:color="000000" w:sz="4" w:space="0"/>
              <w:right w:val="single" w:color="000000" w:sz="4" w:space="0"/>
            </w:tcBorders>
            <w:vAlign w:val="center"/>
          </w:tcPr>
          <w:p w14:paraId="718C8708">
            <w:pPr>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1.</w:t>
            </w:r>
            <w:r>
              <w:rPr>
                <w:rFonts w:hint="eastAsia" w:ascii="宋体" w:hAnsi="宋体" w:eastAsia="宋体" w:cs="宋体"/>
                <w:color w:val="auto"/>
                <w:szCs w:val="21"/>
                <w:highlight w:val="none"/>
              </w:rPr>
              <w:t>提供送货上门、安装、调试，实施过程中涉及的辅材和调试设备等产生的所有费用均由中标方提供</w:t>
            </w:r>
            <w:r>
              <w:rPr>
                <w:rFonts w:hint="eastAsia" w:ascii="宋体" w:hAnsi="宋体" w:eastAsia="宋体" w:cs="宋体"/>
                <w:color w:val="auto"/>
                <w:kern w:val="0"/>
                <w:szCs w:val="21"/>
                <w:highlight w:val="none"/>
                <w:lang w:bidi="ar"/>
              </w:rPr>
              <w:t>。</w:t>
            </w:r>
          </w:p>
          <w:p w14:paraId="3CA0F242">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2.拟投入本项目的技术服务人员必须具有丰富的同行业服务经验，沟通、协调能力良好，提供不少于8人的专业技术团队且主要项目服务技术人员具备相关的专业技术水平。</w:t>
            </w:r>
          </w:p>
          <w:p w14:paraId="68079DD8">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 通过以现场、远程（电话、微信、QQ等）等方式为采购人提供技术后援支持，及时解决各类故障。</w:t>
            </w:r>
          </w:p>
          <w:p w14:paraId="6D42899D">
            <w:pPr>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4.</w:t>
            </w:r>
            <w:r>
              <w:rPr>
                <w:rFonts w:hint="eastAsia" w:ascii="宋体" w:hAnsi="宋体" w:eastAsia="宋体" w:cs="宋体"/>
                <w:color w:val="auto"/>
                <w:szCs w:val="21"/>
                <w:highlight w:val="none"/>
              </w:rPr>
              <w:t>中标人所供产品需提供三年的维保服务，自项目竣工验收通过之日起开始计算。维保服务期间需保障系统正常运行，且维保产生的所有费用均由中标方承担</w:t>
            </w:r>
            <w:r>
              <w:rPr>
                <w:rFonts w:hint="eastAsia" w:ascii="宋体" w:hAnsi="宋体" w:eastAsia="宋体" w:cs="宋体"/>
                <w:color w:val="auto"/>
                <w:kern w:val="0"/>
                <w:szCs w:val="21"/>
                <w:highlight w:val="none"/>
                <w:lang w:bidi="ar"/>
              </w:rPr>
              <w:t>。</w:t>
            </w:r>
          </w:p>
          <w:p w14:paraId="6C01F4B0">
            <w:pP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在系统维保期内，中标人应向用户提供以下技术支持与服务：在系统交付使用后，提供7×24小时的电话支持，并在敏感时期、重大节假日提供技术人员专门值守服务。7×24小时的技术支持和故障响应时间应小于30分钟，即30分钟内有能够处理故障的技术人员到达现场。一般问题在2小时内修复，复杂问题在12小时内修复。</w:t>
            </w:r>
          </w:p>
        </w:tc>
      </w:tr>
      <w:tr w14:paraId="457B6A2D">
        <w:tblPrEx>
          <w:tblCellMar>
            <w:top w:w="0" w:type="dxa"/>
            <w:left w:w="108" w:type="dxa"/>
            <w:bottom w:w="0" w:type="dxa"/>
            <w:right w:w="108" w:type="dxa"/>
          </w:tblCellMar>
        </w:tblPrEx>
        <w:trPr>
          <w:trHeight w:val="640" w:hRule="atLeast"/>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7EE91048">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廉政要求</w:t>
            </w:r>
          </w:p>
        </w:tc>
        <w:tc>
          <w:tcPr>
            <w:tcW w:w="8297" w:type="dxa"/>
            <w:gridSpan w:val="4"/>
            <w:tcBorders>
              <w:top w:val="single" w:color="000000" w:sz="4" w:space="0"/>
              <w:left w:val="single" w:color="000000" w:sz="4" w:space="0"/>
              <w:bottom w:val="single" w:color="000000" w:sz="4" w:space="0"/>
              <w:right w:val="single" w:color="000000" w:sz="4" w:space="0"/>
            </w:tcBorders>
            <w:vAlign w:val="center"/>
          </w:tcPr>
          <w:p w14:paraId="578CC4C5">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根据公安机关信息化建设廉政有关要求，甲乙双方需签订廉洁承诺书。</w:t>
            </w:r>
          </w:p>
        </w:tc>
      </w:tr>
      <w:tr w14:paraId="21A6F713">
        <w:tblPrEx>
          <w:tblCellMar>
            <w:top w:w="0" w:type="dxa"/>
            <w:left w:w="108" w:type="dxa"/>
            <w:bottom w:w="0" w:type="dxa"/>
            <w:right w:w="108" w:type="dxa"/>
          </w:tblCellMar>
        </w:tblPrEx>
        <w:trPr>
          <w:trHeight w:val="640" w:hRule="atLeast"/>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223B4970">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产权归属</w:t>
            </w:r>
          </w:p>
        </w:tc>
        <w:tc>
          <w:tcPr>
            <w:tcW w:w="8297" w:type="dxa"/>
            <w:gridSpan w:val="4"/>
            <w:tcBorders>
              <w:top w:val="single" w:color="000000" w:sz="4" w:space="0"/>
              <w:left w:val="single" w:color="000000" w:sz="4" w:space="0"/>
              <w:bottom w:val="single" w:color="000000" w:sz="4" w:space="0"/>
              <w:right w:val="single" w:color="000000" w:sz="4" w:space="0"/>
            </w:tcBorders>
            <w:vAlign w:val="center"/>
          </w:tcPr>
          <w:p w14:paraId="2CBF077C">
            <w:pP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本次项目全部产权归采购人（或业主单位）所有，中标人不得擅自对外发表、出版。</w:t>
            </w:r>
          </w:p>
        </w:tc>
      </w:tr>
      <w:tr w14:paraId="2328D36F">
        <w:tblPrEx>
          <w:tblCellMar>
            <w:top w:w="0" w:type="dxa"/>
            <w:left w:w="108" w:type="dxa"/>
            <w:bottom w:w="0" w:type="dxa"/>
            <w:right w:w="108" w:type="dxa"/>
          </w:tblCellMar>
        </w:tblPrEx>
        <w:trPr>
          <w:trHeight w:val="640" w:hRule="atLeast"/>
        </w:trPr>
        <w:tc>
          <w:tcPr>
            <w:tcW w:w="1696" w:type="dxa"/>
            <w:gridSpan w:val="2"/>
            <w:tcBorders>
              <w:top w:val="single" w:color="000000" w:sz="4" w:space="0"/>
              <w:left w:val="single" w:color="000000" w:sz="4" w:space="0"/>
              <w:bottom w:val="single" w:color="000000" w:sz="4" w:space="0"/>
              <w:right w:val="single" w:color="000000" w:sz="4" w:space="0"/>
            </w:tcBorders>
          </w:tcPr>
          <w:p w14:paraId="029B7023">
            <w:pPr>
              <w:widowControl w:val="0"/>
              <w:spacing w:before="264" w:line="221" w:lineRule="auto"/>
              <w:jc w:val="both"/>
              <w:rPr>
                <w:rFonts w:ascii="宋体" w:hAnsi="宋体" w:eastAsia="宋体" w:cs="宋体"/>
                <w:b/>
                <w:color w:val="auto"/>
                <w:kern w:val="2"/>
                <w:sz w:val="20"/>
                <w:szCs w:val="21"/>
                <w:highlight w:val="none"/>
                <w:lang w:val="en-US" w:eastAsia="en-US" w:bidi="ar-SA"/>
              </w:rPr>
            </w:pPr>
            <w:r>
              <w:rPr>
                <w:rFonts w:ascii="宋体" w:hAnsi="宋体" w:eastAsia="宋体" w:cs="宋体"/>
                <w:b/>
                <w:bCs/>
                <w:color w:val="auto"/>
                <w:spacing w:val="-4"/>
                <w:kern w:val="2"/>
                <w:sz w:val="21"/>
                <w:szCs w:val="21"/>
                <w:highlight w:val="none"/>
                <w:lang w:val="en-US" w:eastAsia="en-US" w:bidi="ar-SA"/>
              </w:rPr>
              <w:t>进口产品说明</w:t>
            </w:r>
          </w:p>
        </w:tc>
        <w:tc>
          <w:tcPr>
            <w:tcW w:w="8297" w:type="dxa"/>
            <w:gridSpan w:val="4"/>
            <w:tcBorders>
              <w:top w:val="single" w:color="000000" w:sz="4" w:space="0"/>
              <w:left w:val="single" w:color="000000" w:sz="4" w:space="0"/>
              <w:bottom w:val="single" w:color="000000" w:sz="4" w:space="0"/>
              <w:right w:val="single" w:color="000000" w:sz="4" w:space="0"/>
            </w:tcBorders>
          </w:tcPr>
          <w:p w14:paraId="2BCB85DE">
            <w:pPr>
              <w:widowControl w:val="0"/>
              <w:spacing w:before="94" w:line="255" w:lineRule="auto"/>
              <w:ind w:right="106"/>
              <w:jc w:val="both"/>
              <w:rPr>
                <w:rFonts w:ascii="宋体" w:hAnsi="宋体" w:eastAsia="宋体" w:cs="宋体"/>
                <w:color w:val="auto"/>
                <w:kern w:val="2"/>
                <w:sz w:val="20"/>
                <w:szCs w:val="21"/>
                <w:highlight w:val="none"/>
                <w:lang w:val="en-US" w:eastAsia="zh-CN" w:bidi="ar-SA"/>
              </w:rPr>
            </w:pPr>
            <w:r>
              <w:rPr>
                <w:rFonts w:ascii="宋体" w:hAnsi="宋体" w:eastAsia="宋体" w:cs="宋体"/>
                <w:b/>
                <w:bCs/>
                <w:color w:val="auto"/>
                <w:spacing w:val="-2"/>
                <w:kern w:val="2"/>
                <w:sz w:val="21"/>
                <w:szCs w:val="21"/>
                <w:highlight w:val="none"/>
                <w:lang w:val="en-US" w:eastAsia="en-US" w:bidi="ar-SA"/>
              </w:rPr>
              <w:t>本项目货物不接受进口产品投标（即通过中国海关报关验放进入中国境内且产</w:t>
            </w:r>
            <w:r>
              <w:rPr>
                <w:rFonts w:ascii="宋体" w:hAnsi="宋体" w:eastAsia="宋体" w:cs="宋体"/>
                <w:b/>
                <w:bCs/>
                <w:color w:val="auto"/>
                <w:spacing w:val="-5"/>
                <w:kern w:val="2"/>
                <w:sz w:val="21"/>
                <w:szCs w:val="21"/>
                <w:highlight w:val="none"/>
                <w:lang w:val="en-US" w:eastAsia="en-US" w:bidi="ar-SA"/>
              </w:rPr>
              <w:t>自关境外的产品</w:t>
            </w:r>
            <w:r>
              <w:rPr>
                <w:rFonts w:ascii="宋体" w:hAnsi="宋体" w:eastAsia="宋体" w:cs="宋体"/>
                <w:b/>
                <w:bCs/>
                <w:color w:val="auto"/>
                <w:spacing w:val="7"/>
                <w:kern w:val="2"/>
                <w:sz w:val="21"/>
                <w:szCs w:val="21"/>
                <w:highlight w:val="none"/>
                <w:lang w:val="en-US" w:eastAsia="en-US" w:bidi="ar-SA"/>
              </w:rPr>
              <w:t>）</w:t>
            </w:r>
            <w:r>
              <w:rPr>
                <w:rFonts w:ascii="宋体" w:hAnsi="宋体" w:eastAsia="宋体" w:cs="宋体"/>
                <w:color w:val="auto"/>
                <w:spacing w:val="7"/>
                <w:kern w:val="2"/>
                <w:sz w:val="21"/>
                <w:szCs w:val="21"/>
                <w:highlight w:val="none"/>
                <w:lang w:val="en-US" w:eastAsia="en-US" w:bidi="ar-SA"/>
              </w:rPr>
              <w:t>，</w:t>
            </w:r>
            <w:r>
              <w:rPr>
                <w:rFonts w:ascii="宋体" w:hAnsi="宋体" w:eastAsia="宋体" w:cs="宋体"/>
                <w:b/>
                <w:bCs/>
                <w:color w:val="auto"/>
                <w:spacing w:val="-5"/>
                <w:kern w:val="2"/>
                <w:sz w:val="21"/>
                <w:szCs w:val="21"/>
                <w:highlight w:val="none"/>
                <w:lang w:val="en-US" w:eastAsia="en-US" w:bidi="ar-SA"/>
              </w:rPr>
              <w:t>如有此类产品参与投标的作无效投标处理。</w:t>
            </w:r>
          </w:p>
        </w:tc>
      </w:tr>
    </w:tbl>
    <w:p w14:paraId="3F95FA17">
      <w:pPr>
        <w:rPr>
          <w:rFonts w:hint="default"/>
          <w:color w:val="auto"/>
          <w:highlight w:val="none"/>
          <w:lang w:val="en-US" w:eastAsia="zh-CN"/>
        </w:rPr>
      </w:pPr>
    </w:p>
    <w:p w14:paraId="26ED9B02">
      <w:pPr>
        <w:rPr>
          <w:rFonts w:hint="default"/>
          <w:color w:val="auto"/>
          <w:highlight w:val="none"/>
          <w:lang w:val="en-US" w:eastAsia="zh-CN"/>
        </w:rPr>
      </w:pPr>
    </w:p>
    <w:p w14:paraId="185120A4">
      <w:pPr>
        <w:rPr>
          <w:rFonts w:hint="default"/>
          <w:color w:val="auto"/>
          <w:highlight w:val="none"/>
          <w:lang w:val="en-US" w:eastAsia="zh-CN"/>
        </w:rPr>
      </w:pPr>
    </w:p>
    <w:p w14:paraId="1656473F">
      <w:pPr>
        <w:widowControl/>
        <w:jc w:val="left"/>
        <w:rPr>
          <w:b/>
          <w:bCs/>
          <w:color w:val="auto"/>
          <w:kern w:val="44"/>
          <w:sz w:val="36"/>
          <w:szCs w:val="44"/>
          <w:highlight w:val="none"/>
        </w:rPr>
      </w:pPr>
      <w:r>
        <w:rPr>
          <w:color w:val="auto"/>
          <w:highlight w:val="none"/>
        </w:rPr>
        <w:br w:type="page"/>
      </w:r>
    </w:p>
    <w:p w14:paraId="4FFCC11F">
      <w:pPr>
        <w:pStyle w:val="2"/>
        <w:keepNext w:val="0"/>
        <w:keepLines w:val="0"/>
        <w:tabs>
          <w:tab w:val="left" w:pos="0"/>
          <w:tab w:val="left" w:pos="3165"/>
          <w:tab w:val="center" w:pos="4153"/>
        </w:tabs>
        <w:autoSpaceDE w:val="0"/>
        <w:autoSpaceDN w:val="0"/>
        <w:adjustRightInd w:val="0"/>
        <w:spacing w:before="0" w:after="0" w:line="360" w:lineRule="auto"/>
        <w:outlineLvl w:val="9"/>
        <w:rPr>
          <w:rFonts w:hint="eastAsia"/>
          <w:color w:val="auto"/>
          <w:highlight w:val="none"/>
        </w:rPr>
        <w:sectPr>
          <w:pgSz w:w="11906" w:h="16838"/>
          <w:pgMar w:top="1134" w:right="1247" w:bottom="1134" w:left="1247" w:header="737" w:footer="680" w:gutter="113"/>
          <w:pgNumType w:fmt="decimal"/>
          <w:cols w:space="720" w:num="1"/>
          <w:titlePg/>
          <w:docGrid w:linePitch="312" w:charSpace="0"/>
        </w:sectPr>
      </w:pPr>
      <w:bookmarkStart w:id="66" w:name="_Toc105771720"/>
    </w:p>
    <w:p w14:paraId="5D3C710D">
      <w:pPr>
        <w:keepNext w:val="0"/>
        <w:keepLines w:val="0"/>
        <w:widowControl w:val="0"/>
        <w:suppressLineNumbers w:val="0"/>
        <w:spacing w:before="0" w:beforeAutospacing="0" w:after="0" w:afterAutospacing="0" w:line="428" w:lineRule="exact"/>
        <w:ind w:left="119" w:right="0"/>
        <w:jc w:val="both"/>
        <w:outlineLvl w:val="1"/>
        <w:rPr>
          <w:rFonts w:hint="eastAsia" w:ascii="Arial Unicode MS" w:hAnsi="Arial Unicode MS" w:eastAsia="Arial Unicode MS" w:cs="Arial Unicode MS"/>
          <w:color w:val="auto"/>
          <w:sz w:val="17"/>
          <w:szCs w:val="17"/>
          <w:highlight w:val="none"/>
          <w:lang w:val="en-US"/>
        </w:rPr>
      </w:pPr>
      <w:bookmarkStart w:id="67" w:name="_Toc23117"/>
      <w:r>
        <w:rPr>
          <w:rFonts w:hint="eastAsia" w:ascii="微软雅黑" w:hAnsi="微软雅黑" w:eastAsia="微软雅黑" w:cs="微软雅黑"/>
          <w:snapToGrid w:val="0"/>
          <w:color w:val="auto"/>
          <w:kern w:val="2"/>
          <w:sz w:val="32"/>
          <w:szCs w:val="32"/>
          <w:highlight w:val="none"/>
          <w:lang w:val="en-US" w:eastAsia="zh-CN" w:bidi="ar"/>
        </w:rPr>
        <w:t>附件1：</w:t>
      </w:r>
      <w:bookmarkEnd w:id="67"/>
    </w:p>
    <w:p w14:paraId="505D397B">
      <w:pPr>
        <w:keepNext w:val="0"/>
        <w:keepLines w:val="0"/>
        <w:widowControl w:val="0"/>
        <w:suppressLineNumbers w:val="0"/>
        <w:spacing w:before="0" w:beforeAutospacing="0" w:after="0" w:afterAutospacing="0" w:line="528" w:lineRule="exact"/>
        <w:ind w:left="1871" w:right="0"/>
        <w:jc w:val="both"/>
        <w:rPr>
          <w:rFonts w:hint="eastAsia" w:ascii="Arial Unicode MS" w:hAnsi="Arial Unicode MS" w:eastAsia="Arial Unicode MS" w:cs="Arial Unicode MS"/>
          <w:color w:val="auto"/>
          <w:sz w:val="40"/>
          <w:szCs w:val="40"/>
          <w:highlight w:val="none"/>
          <w:lang w:val="en-US"/>
        </w:rPr>
      </w:pPr>
      <w:r>
        <w:rPr>
          <w:rFonts w:hint="eastAsia" w:ascii="微软雅黑" w:hAnsi="微软雅黑" w:eastAsia="微软雅黑" w:cs="微软雅黑"/>
          <w:snapToGrid w:val="0"/>
          <w:color w:val="auto"/>
          <w:kern w:val="2"/>
          <w:sz w:val="40"/>
          <w:szCs w:val="40"/>
          <w:highlight w:val="none"/>
          <w:lang w:val="en-US" w:eastAsia="zh-CN" w:bidi="ar"/>
        </w:rPr>
        <w:t>节能产品政府采购品目清单</w:t>
      </w:r>
    </w:p>
    <w:tbl>
      <w:tblPr>
        <w:tblStyle w:val="18"/>
        <w:tblW w:w="9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1116"/>
        <w:gridCol w:w="1516"/>
        <w:gridCol w:w="1612"/>
        <w:gridCol w:w="4335"/>
      </w:tblGrid>
      <w:tr w14:paraId="331D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shd w:val="clear" w:color="auto" w:fill="auto"/>
            <w:vAlign w:val="top"/>
          </w:tcPr>
          <w:p w14:paraId="4CA8B41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lang w:val="en-US"/>
              </w:rPr>
            </w:pPr>
            <w:r>
              <w:rPr>
                <w:rFonts w:hint="eastAsia" w:ascii="宋体" w:hAnsi="宋体" w:eastAsia="宋体" w:cs="宋体"/>
                <w:b/>
                <w:bCs/>
                <w:snapToGrid w:val="0"/>
                <w:color w:val="auto"/>
                <w:kern w:val="0"/>
                <w:sz w:val="22"/>
                <w:szCs w:val="22"/>
                <w:highlight w:val="none"/>
                <w:lang w:val="en-US" w:eastAsia="zh-CN" w:bidi="ar"/>
              </w:rPr>
              <w:t>品目序号</w:t>
            </w:r>
          </w:p>
        </w:tc>
        <w:tc>
          <w:tcPr>
            <w:tcW w:w="4020" w:type="dxa"/>
            <w:gridSpan w:val="3"/>
            <w:tcBorders>
              <w:top w:val="single" w:color="000000" w:sz="8" w:space="0"/>
              <w:left w:val="nil"/>
              <w:bottom w:val="single" w:color="000000" w:sz="8" w:space="0"/>
              <w:right w:val="single" w:color="000000" w:sz="8" w:space="0"/>
            </w:tcBorders>
            <w:shd w:val="clear" w:color="auto" w:fill="auto"/>
            <w:vAlign w:val="center"/>
          </w:tcPr>
          <w:p w14:paraId="00CA923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lang w:val="en-US"/>
              </w:rPr>
            </w:pPr>
            <w:r>
              <w:rPr>
                <w:rFonts w:hint="eastAsia" w:ascii="宋体" w:hAnsi="宋体" w:eastAsia="宋体" w:cs="宋体"/>
                <w:b/>
                <w:bCs/>
                <w:snapToGrid w:val="0"/>
                <w:color w:val="auto"/>
                <w:kern w:val="0"/>
                <w:sz w:val="22"/>
                <w:szCs w:val="22"/>
                <w:highlight w:val="none"/>
                <w:lang w:val="en-US" w:eastAsia="zh-CN" w:bidi="ar"/>
              </w:rPr>
              <w:t>名称</w:t>
            </w:r>
          </w:p>
        </w:tc>
        <w:tc>
          <w:tcPr>
            <w:tcW w:w="4540" w:type="dxa"/>
            <w:tcBorders>
              <w:top w:val="single" w:color="000000" w:sz="8" w:space="0"/>
              <w:left w:val="nil"/>
              <w:bottom w:val="single" w:color="000000" w:sz="8" w:space="0"/>
              <w:right w:val="single" w:color="000000" w:sz="8" w:space="0"/>
            </w:tcBorders>
            <w:shd w:val="clear" w:color="auto" w:fill="auto"/>
            <w:vAlign w:val="center"/>
          </w:tcPr>
          <w:p w14:paraId="4FEE1BC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2"/>
                <w:szCs w:val="22"/>
                <w:highlight w:val="none"/>
                <w:lang w:val="en-US"/>
              </w:rPr>
            </w:pPr>
            <w:r>
              <w:rPr>
                <w:rFonts w:hint="eastAsia" w:ascii="宋体" w:hAnsi="宋体" w:eastAsia="宋体" w:cs="宋体"/>
                <w:b/>
                <w:bCs/>
                <w:snapToGrid w:val="0"/>
                <w:color w:val="auto"/>
                <w:kern w:val="0"/>
                <w:sz w:val="22"/>
                <w:szCs w:val="22"/>
                <w:highlight w:val="none"/>
                <w:lang w:val="en-US" w:eastAsia="zh-CN" w:bidi="ar"/>
              </w:rPr>
              <w:t>依据的标准</w:t>
            </w:r>
          </w:p>
        </w:tc>
      </w:tr>
      <w:tr w14:paraId="797A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shd w:val="clear" w:color="auto" w:fill="auto"/>
            <w:vAlign w:val="center"/>
          </w:tcPr>
          <w:p w14:paraId="565287C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1</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1A12942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A020101计算机设备</w:t>
            </w:r>
          </w:p>
        </w:tc>
        <w:tc>
          <w:tcPr>
            <w:tcW w:w="1320" w:type="dxa"/>
            <w:tcBorders>
              <w:top w:val="nil"/>
              <w:left w:val="nil"/>
              <w:bottom w:val="single" w:color="000000" w:sz="8" w:space="0"/>
              <w:right w:val="single" w:color="000000" w:sz="8" w:space="0"/>
            </w:tcBorders>
            <w:shd w:val="clear" w:color="auto" w:fill="auto"/>
            <w:vAlign w:val="center"/>
          </w:tcPr>
          <w:p w14:paraId="2C0879C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★A02010104台式计算机</w:t>
            </w:r>
          </w:p>
        </w:tc>
        <w:tc>
          <w:tcPr>
            <w:tcW w:w="1620" w:type="dxa"/>
            <w:tcBorders>
              <w:top w:val="nil"/>
              <w:left w:val="nil"/>
              <w:bottom w:val="single" w:color="000000" w:sz="8" w:space="0"/>
              <w:right w:val="single" w:color="000000" w:sz="8" w:space="0"/>
            </w:tcBorders>
            <w:shd w:val="clear" w:color="auto" w:fill="auto"/>
            <w:vAlign w:val="center"/>
          </w:tcPr>
          <w:p w14:paraId="7B08736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479187A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《微型计算机能效限定值及能效等级》（GB28380）</w:t>
            </w:r>
          </w:p>
        </w:tc>
      </w:tr>
      <w:tr w14:paraId="7100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7B2F2AFA">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F058083">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tcBorders>
              <w:top w:val="nil"/>
              <w:left w:val="nil"/>
              <w:bottom w:val="single" w:color="000000" w:sz="8" w:space="0"/>
              <w:right w:val="single" w:color="000000" w:sz="8" w:space="0"/>
            </w:tcBorders>
            <w:shd w:val="clear" w:color="auto" w:fill="auto"/>
            <w:vAlign w:val="center"/>
          </w:tcPr>
          <w:p w14:paraId="1F1FA04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★A02010105便携式计算机</w:t>
            </w:r>
          </w:p>
        </w:tc>
        <w:tc>
          <w:tcPr>
            <w:tcW w:w="1620" w:type="dxa"/>
            <w:tcBorders>
              <w:top w:val="nil"/>
              <w:left w:val="nil"/>
              <w:bottom w:val="single" w:color="000000" w:sz="8" w:space="0"/>
              <w:right w:val="single" w:color="000000" w:sz="8" w:space="0"/>
            </w:tcBorders>
            <w:shd w:val="clear" w:color="auto" w:fill="auto"/>
            <w:vAlign w:val="center"/>
          </w:tcPr>
          <w:p w14:paraId="234A244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6A1A71B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《微型计算机能效限定值及能效等级》（GB28380）</w:t>
            </w:r>
          </w:p>
        </w:tc>
      </w:tr>
      <w:tr w14:paraId="4872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44DD03BF">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4A7EB9C">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tcBorders>
              <w:top w:val="nil"/>
              <w:left w:val="nil"/>
              <w:bottom w:val="single" w:color="000000" w:sz="8" w:space="0"/>
              <w:right w:val="single" w:color="000000" w:sz="8" w:space="0"/>
            </w:tcBorders>
            <w:shd w:val="clear" w:color="auto" w:fill="auto"/>
            <w:vAlign w:val="center"/>
          </w:tcPr>
          <w:p w14:paraId="5ACDDAF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★A02010107平板式微型计算机</w:t>
            </w:r>
          </w:p>
        </w:tc>
        <w:tc>
          <w:tcPr>
            <w:tcW w:w="1620" w:type="dxa"/>
            <w:tcBorders>
              <w:top w:val="nil"/>
              <w:left w:val="nil"/>
              <w:bottom w:val="single" w:color="000000" w:sz="8" w:space="0"/>
              <w:right w:val="single" w:color="000000" w:sz="8" w:space="0"/>
            </w:tcBorders>
            <w:shd w:val="clear" w:color="auto" w:fill="auto"/>
            <w:vAlign w:val="center"/>
          </w:tcPr>
          <w:p w14:paraId="5025D6C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7D27190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《微型计算机能效限定值及能效等级》（GB28380）</w:t>
            </w:r>
          </w:p>
        </w:tc>
      </w:tr>
      <w:tr w14:paraId="38AE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shd w:val="clear" w:color="auto" w:fill="auto"/>
            <w:vAlign w:val="center"/>
          </w:tcPr>
          <w:p w14:paraId="28E614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2</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2B5392B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A020106输入输出设备</w:t>
            </w:r>
          </w:p>
        </w:tc>
        <w:tc>
          <w:tcPr>
            <w:tcW w:w="1320" w:type="dxa"/>
            <w:vMerge w:val="restart"/>
            <w:tcBorders>
              <w:top w:val="nil"/>
              <w:left w:val="single" w:color="000000" w:sz="8" w:space="0"/>
              <w:bottom w:val="single" w:color="000000" w:sz="8" w:space="0"/>
              <w:right w:val="single" w:color="000000" w:sz="8" w:space="0"/>
            </w:tcBorders>
            <w:shd w:val="clear" w:color="auto" w:fill="auto"/>
            <w:vAlign w:val="center"/>
          </w:tcPr>
          <w:p w14:paraId="3D53747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A02010601打印设备</w:t>
            </w:r>
          </w:p>
        </w:tc>
        <w:tc>
          <w:tcPr>
            <w:tcW w:w="1620" w:type="dxa"/>
            <w:tcBorders>
              <w:top w:val="nil"/>
              <w:left w:val="nil"/>
              <w:bottom w:val="single" w:color="000000" w:sz="8" w:space="0"/>
              <w:right w:val="single" w:color="000000" w:sz="8" w:space="0"/>
            </w:tcBorders>
            <w:shd w:val="clear" w:color="auto" w:fill="auto"/>
            <w:vAlign w:val="center"/>
          </w:tcPr>
          <w:p w14:paraId="4C24C8C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A0201060101喷墨打印机</w:t>
            </w:r>
          </w:p>
        </w:tc>
        <w:tc>
          <w:tcPr>
            <w:tcW w:w="4540" w:type="dxa"/>
            <w:tcBorders>
              <w:top w:val="nil"/>
              <w:left w:val="nil"/>
              <w:bottom w:val="single" w:color="000000" w:sz="8" w:space="0"/>
              <w:right w:val="single" w:color="000000" w:sz="8" w:space="0"/>
            </w:tcBorders>
            <w:shd w:val="clear" w:color="auto" w:fill="auto"/>
            <w:vAlign w:val="center"/>
          </w:tcPr>
          <w:p w14:paraId="6FDF286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《复印机、打印机和传真机能效限定值及能效等级》（GB21521）</w:t>
            </w:r>
          </w:p>
        </w:tc>
      </w:tr>
      <w:tr w14:paraId="0EBF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5BCF55CC">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45CCC98">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1838EF00">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0" w:type="dxa"/>
            <w:tcBorders>
              <w:top w:val="nil"/>
              <w:left w:val="nil"/>
              <w:bottom w:val="single" w:color="000000" w:sz="8" w:space="0"/>
              <w:right w:val="single" w:color="000000" w:sz="8" w:space="0"/>
            </w:tcBorders>
            <w:shd w:val="clear" w:color="auto" w:fill="auto"/>
            <w:vAlign w:val="center"/>
          </w:tcPr>
          <w:p w14:paraId="0A22F3B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★A0201060102激光打印机</w:t>
            </w:r>
          </w:p>
        </w:tc>
        <w:tc>
          <w:tcPr>
            <w:tcW w:w="4540" w:type="dxa"/>
            <w:tcBorders>
              <w:top w:val="nil"/>
              <w:left w:val="nil"/>
              <w:bottom w:val="single" w:color="000000" w:sz="8" w:space="0"/>
              <w:right w:val="single" w:color="000000" w:sz="8" w:space="0"/>
            </w:tcBorders>
            <w:shd w:val="clear" w:color="auto" w:fill="auto"/>
            <w:vAlign w:val="center"/>
          </w:tcPr>
          <w:p w14:paraId="223039D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《复印机、打印机和传真机能效限定值及能效等级》（GB21521）</w:t>
            </w:r>
          </w:p>
        </w:tc>
      </w:tr>
      <w:tr w14:paraId="37A0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567D856F">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A87509F">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621869A9">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0" w:type="dxa"/>
            <w:tcBorders>
              <w:top w:val="nil"/>
              <w:left w:val="nil"/>
              <w:bottom w:val="single" w:color="000000" w:sz="8" w:space="0"/>
              <w:right w:val="single" w:color="000000" w:sz="8" w:space="0"/>
            </w:tcBorders>
            <w:shd w:val="clear" w:color="auto" w:fill="auto"/>
            <w:vAlign w:val="center"/>
          </w:tcPr>
          <w:p w14:paraId="159913D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★A0201060104针式打印机</w:t>
            </w:r>
          </w:p>
        </w:tc>
        <w:tc>
          <w:tcPr>
            <w:tcW w:w="4540" w:type="dxa"/>
            <w:tcBorders>
              <w:top w:val="nil"/>
              <w:left w:val="nil"/>
              <w:bottom w:val="single" w:color="000000" w:sz="8" w:space="0"/>
              <w:right w:val="single" w:color="000000" w:sz="8" w:space="0"/>
            </w:tcBorders>
            <w:shd w:val="clear" w:color="auto" w:fill="auto"/>
            <w:vAlign w:val="center"/>
          </w:tcPr>
          <w:p w14:paraId="5FFB43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《复印机、打印机和传真机能效限定值及能效等级》（GB21521）</w:t>
            </w:r>
          </w:p>
        </w:tc>
      </w:tr>
      <w:tr w14:paraId="21D8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581B2F59">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BD9EDAD">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tcBorders>
              <w:top w:val="nil"/>
              <w:left w:val="nil"/>
              <w:bottom w:val="single" w:color="000000" w:sz="8" w:space="0"/>
              <w:right w:val="single" w:color="000000" w:sz="8" w:space="0"/>
            </w:tcBorders>
            <w:shd w:val="clear" w:color="auto" w:fill="auto"/>
            <w:vAlign w:val="center"/>
          </w:tcPr>
          <w:p w14:paraId="50BC144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A02010604显示设备</w:t>
            </w:r>
          </w:p>
        </w:tc>
        <w:tc>
          <w:tcPr>
            <w:tcW w:w="1620" w:type="dxa"/>
            <w:tcBorders>
              <w:top w:val="nil"/>
              <w:left w:val="nil"/>
              <w:bottom w:val="single" w:color="000000" w:sz="8" w:space="0"/>
              <w:right w:val="single" w:color="000000" w:sz="8" w:space="0"/>
            </w:tcBorders>
            <w:shd w:val="clear" w:color="auto" w:fill="auto"/>
            <w:vAlign w:val="center"/>
          </w:tcPr>
          <w:p w14:paraId="41B6656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★A0201060401液晶显示器</w:t>
            </w:r>
          </w:p>
        </w:tc>
        <w:tc>
          <w:tcPr>
            <w:tcW w:w="4540" w:type="dxa"/>
            <w:tcBorders>
              <w:top w:val="nil"/>
              <w:left w:val="nil"/>
              <w:bottom w:val="single" w:color="000000" w:sz="8" w:space="0"/>
              <w:right w:val="single" w:color="000000" w:sz="8" w:space="0"/>
            </w:tcBorders>
            <w:shd w:val="clear" w:color="auto" w:fill="auto"/>
            <w:vAlign w:val="center"/>
          </w:tcPr>
          <w:p w14:paraId="1B76343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《计算机显示器能效限定值及能效等级》（GB21520）</w:t>
            </w:r>
          </w:p>
        </w:tc>
      </w:tr>
      <w:tr w14:paraId="012F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67CA90F0">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7C3BF97">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tcBorders>
              <w:top w:val="nil"/>
              <w:left w:val="nil"/>
              <w:bottom w:val="single" w:color="000000" w:sz="8" w:space="0"/>
              <w:right w:val="single" w:color="000000" w:sz="8" w:space="0"/>
            </w:tcBorders>
            <w:shd w:val="clear" w:color="auto" w:fill="auto"/>
            <w:vAlign w:val="center"/>
          </w:tcPr>
          <w:p w14:paraId="5843C44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A02010609图形图像输入设备</w:t>
            </w:r>
          </w:p>
        </w:tc>
        <w:tc>
          <w:tcPr>
            <w:tcW w:w="1620" w:type="dxa"/>
            <w:tcBorders>
              <w:top w:val="nil"/>
              <w:left w:val="nil"/>
              <w:bottom w:val="single" w:color="000000" w:sz="8" w:space="0"/>
              <w:right w:val="single" w:color="000000" w:sz="8" w:space="0"/>
            </w:tcBorders>
            <w:shd w:val="clear" w:color="auto" w:fill="auto"/>
            <w:vAlign w:val="center"/>
          </w:tcPr>
          <w:p w14:paraId="0D5A3C1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A0201060901扫描仪</w:t>
            </w:r>
          </w:p>
        </w:tc>
        <w:tc>
          <w:tcPr>
            <w:tcW w:w="4540" w:type="dxa"/>
            <w:tcBorders>
              <w:top w:val="nil"/>
              <w:left w:val="nil"/>
              <w:bottom w:val="single" w:color="000000" w:sz="8" w:space="0"/>
              <w:right w:val="single" w:color="000000" w:sz="8" w:space="0"/>
            </w:tcBorders>
            <w:shd w:val="clear" w:color="auto" w:fill="auto"/>
            <w:vAlign w:val="center"/>
          </w:tcPr>
          <w:p w14:paraId="6371DAB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参照《复印机、打印机和传真机能效限定值及能效等级》（GB21521中打印速度为15页/分的针式打印机相关要求中打印速度为15页/分的针式打印机相关要求</w:t>
            </w:r>
          </w:p>
        </w:tc>
      </w:tr>
      <w:tr w14:paraId="7613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34F9561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3</w:t>
            </w:r>
          </w:p>
        </w:tc>
        <w:tc>
          <w:tcPr>
            <w:tcW w:w="1080" w:type="dxa"/>
            <w:tcBorders>
              <w:top w:val="nil"/>
              <w:left w:val="nil"/>
              <w:bottom w:val="single" w:color="000000" w:sz="8" w:space="0"/>
              <w:right w:val="single" w:color="000000" w:sz="8" w:space="0"/>
            </w:tcBorders>
            <w:shd w:val="clear" w:color="auto" w:fill="auto"/>
            <w:vAlign w:val="center"/>
          </w:tcPr>
          <w:p w14:paraId="729181C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A020202投影仪</w:t>
            </w:r>
          </w:p>
        </w:tc>
        <w:tc>
          <w:tcPr>
            <w:tcW w:w="1320" w:type="dxa"/>
            <w:tcBorders>
              <w:top w:val="nil"/>
              <w:left w:val="nil"/>
              <w:bottom w:val="single" w:color="000000" w:sz="8" w:space="0"/>
              <w:right w:val="single" w:color="000000" w:sz="8" w:space="0"/>
            </w:tcBorders>
            <w:shd w:val="clear" w:color="auto" w:fill="auto"/>
            <w:vAlign w:val="center"/>
          </w:tcPr>
          <w:p w14:paraId="5250C85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1620" w:type="dxa"/>
            <w:tcBorders>
              <w:top w:val="nil"/>
              <w:left w:val="nil"/>
              <w:bottom w:val="single" w:color="000000" w:sz="8" w:space="0"/>
              <w:right w:val="single" w:color="000000" w:sz="8" w:space="0"/>
            </w:tcBorders>
            <w:shd w:val="clear" w:color="auto" w:fill="auto"/>
            <w:vAlign w:val="center"/>
          </w:tcPr>
          <w:p w14:paraId="04B9B22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661E5C3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《投影机能效限定值及能效等级》（GB32028）</w:t>
            </w:r>
          </w:p>
        </w:tc>
      </w:tr>
      <w:tr w14:paraId="5BB7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219ED95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4</w:t>
            </w:r>
          </w:p>
        </w:tc>
        <w:tc>
          <w:tcPr>
            <w:tcW w:w="1080" w:type="dxa"/>
            <w:tcBorders>
              <w:top w:val="nil"/>
              <w:left w:val="nil"/>
              <w:bottom w:val="single" w:color="000000" w:sz="8" w:space="0"/>
              <w:right w:val="single" w:color="000000" w:sz="8" w:space="0"/>
            </w:tcBorders>
            <w:shd w:val="clear" w:color="auto" w:fill="auto"/>
            <w:vAlign w:val="center"/>
          </w:tcPr>
          <w:p w14:paraId="5D9047A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A020204多功能一体机</w:t>
            </w:r>
          </w:p>
        </w:tc>
        <w:tc>
          <w:tcPr>
            <w:tcW w:w="1320" w:type="dxa"/>
            <w:tcBorders>
              <w:top w:val="nil"/>
              <w:left w:val="nil"/>
              <w:bottom w:val="single" w:color="000000" w:sz="8" w:space="0"/>
              <w:right w:val="single" w:color="000000" w:sz="8" w:space="0"/>
            </w:tcBorders>
            <w:shd w:val="clear" w:color="auto" w:fill="auto"/>
            <w:vAlign w:val="center"/>
          </w:tcPr>
          <w:p w14:paraId="3FE0390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1620" w:type="dxa"/>
            <w:tcBorders>
              <w:top w:val="nil"/>
              <w:left w:val="nil"/>
              <w:bottom w:val="single" w:color="000000" w:sz="8" w:space="0"/>
              <w:right w:val="single" w:color="000000" w:sz="8" w:space="0"/>
            </w:tcBorders>
            <w:shd w:val="clear" w:color="auto" w:fill="auto"/>
            <w:vAlign w:val="center"/>
          </w:tcPr>
          <w:p w14:paraId="5C2BC32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4CFD539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《复印机、打印机和传真机能效限定值及能效等级》（GB21521）</w:t>
            </w:r>
          </w:p>
        </w:tc>
      </w:tr>
      <w:tr w14:paraId="3AFB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39C4D05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3440A31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A020519泵</w:t>
            </w:r>
          </w:p>
        </w:tc>
        <w:tc>
          <w:tcPr>
            <w:tcW w:w="1320" w:type="dxa"/>
            <w:tcBorders>
              <w:top w:val="nil"/>
              <w:left w:val="nil"/>
              <w:bottom w:val="single" w:color="000000" w:sz="8" w:space="0"/>
              <w:right w:val="single" w:color="000000" w:sz="8" w:space="0"/>
            </w:tcBorders>
            <w:shd w:val="clear" w:color="auto" w:fill="auto"/>
            <w:vAlign w:val="center"/>
          </w:tcPr>
          <w:p w14:paraId="4142435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A02051901离心泵</w:t>
            </w:r>
          </w:p>
        </w:tc>
        <w:tc>
          <w:tcPr>
            <w:tcW w:w="1620" w:type="dxa"/>
            <w:tcBorders>
              <w:top w:val="nil"/>
              <w:left w:val="nil"/>
              <w:bottom w:val="single" w:color="000000" w:sz="8" w:space="0"/>
              <w:right w:val="single" w:color="000000" w:sz="8" w:space="0"/>
            </w:tcBorders>
            <w:shd w:val="clear" w:color="auto" w:fill="auto"/>
            <w:vAlign w:val="center"/>
          </w:tcPr>
          <w:p w14:paraId="79573A3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7F85027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《清水离心泵能效限定值及节能评价值》（GB19762）</w:t>
            </w:r>
          </w:p>
        </w:tc>
      </w:tr>
      <w:tr w14:paraId="12E0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shd w:val="clear" w:color="auto" w:fill="auto"/>
            <w:vAlign w:val="center"/>
          </w:tcPr>
          <w:p w14:paraId="59E1ED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6</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132E43F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A020523制冷空调设备</w:t>
            </w:r>
          </w:p>
        </w:tc>
        <w:tc>
          <w:tcPr>
            <w:tcW w:w="1320" w:type="dxa"/>
            <w:vMerge w:val="restart"/>
            <w:tcBorders>
              <w:top w:val="nil"/>
              <w:left w:val="single" w:color="000000" w:sz="8" w:space="0"/>
              <w:bottom w:val="single" w:color="000000" w:sz="8" w:space="0"/>
              <w:right w:val="single" w:color="000000" w:sz="8" w:space="0"/>
            </w:tcBorders>
            <w:shd w:val="clear" w:color="auto" w:fill="auto"/>
            <w:vAlign w:val="center"/>
          </w:tcPr>
          <w:p w14:paraId="4FABA22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★A02052301制冷压缩机</w:t>
            </w:r>
          </w:p>
        </w:tc>
        <w:tc>
          <w:tcPr>
            <w:tcW w:w="1620" w:type="dxa"/>
            <w:tcBorders>
              <w:top w:val="nil"/>
              <w:left w:val="nil"/>
              <w:bottom w:val="single" w:color="000000" w:sz="8" w:space="0"/>
              <w:right w:val="single" w:color="000000" w:sz="8" w:space="0"/>
            </w:tcBorders>
            <w:shd w:val="clear" w:color="auto" w:fill="auto"/>
            <w:vAlign w:val="center"/>
          </w:tcPr>
          <w:p w14:paraId="75FF89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冷水机组</w:t>
            </w:r>
          </w:p>
        </w:tc>
        <w:tc>
          <w:tcPr>
            <w:tcW w:w="4540" w:type="dxa"/>
            <w:tcBorders>
              <w:top w:val="nil"/>
              <w:left w:val="nil"/>
              <w:bottom w:val="single" w:color="000000" w:sz="8" w:space="0"/>
              <w:right w:val="single" w:color="000000" w:sz="8" w:space="0"/>
            </w:tcBorders>
            <w:shd w:val="clear" w:color="auto" w:fill="auto"/>
            <w:vAlign w:val="center"/>
          </w:tcPr>
          <w:p w14:paraId="19172C1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《冷水机组能效限定值及能效等级》（GB19577），《低环境温度空气源热泵（冷水）机组能效限定值及能效等级》（GB37480）</w:t>
            </w:r>
          </w:p>
        </w:tc>
      </w:tr>
      <w:tr w14:paraId="1142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20C83EF1">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5E3384B">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29246398">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0" w:type="dxa"/>
            <w:tcBorders>
              <w:top w:val="nil"/>
              <w:left w:val="nil"/>
              <w:bottom w:val="single" w:color="000000" w:sz="8" w:space="0"/>
              <w:right w:val="single" w:color="000000" w:sz="8" w:space="0"/>
            </w:tcBorders>
            <w:shd w:val="clear" w:color="auto" w:fill="auto"/>
            <w:vAlign w:val="center"/>
          </w:tcPr>
          <w:p w14:paraId="4C184AE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水源热泵机组</w:t>
            </w:r>
          </w:p>
        </w:tc>
        <w:tc>
          <w:tcPr>
            <w:tcW w:w="4540" w:type="dxa"/>
            <w:tcBorders>
              <w:top w:val="nil"/>
              <w:left w:val="nil"/>
              <w:bottom w:val="single" w:color="000000" w:sz="8" w:space="0"/>
              <w:right w:val="single" w:color="000000" w:sz="8" w:space="0"/>
            </w:tcBorders>
            <w:shd w:val="clear" w:color="auto" w:fill="auto"/>
            <w:vAlign w:val="center"/>
          </w:tcPr>
          <w:p w14:paraId="1F4F76F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《水（地）源热泵机组能效限定值及能效等级》（GB30721）</w:t>
            </w:r>
          </w:p>
        </w:tc>
      </w:tr>
      <w:tr w14:paraId="77A9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3BCF4CB8">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88E9AC7">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4E7B4FDC">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0" w:type="dxa"/>
            <w:tcBorders>
              <w:top w:val="nil"/>
              <w:left w:val="nil"/>
              <w:bottom w:val="single" w:color="000000" w:sz="8" w:space="0"/>
              <w:right w:val="single" w:color="000000" w:sz="8" w:space="0"/>
            </w:tcBorders>
            <w:shd w:val="clear" w:color="auto" w:fill="auto"/>
            <w:vAlign w:val="center"/>
          </w:tcPr>
          <w:p w14:paraId="0F9749A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溴化锂吸收式冷水机组</w:t>
            </w:r>
          </w:p>
        </w:tc>
        <w:tc>
          <w:tcPr>
            <w:tcW w:w="4540" w:type="dxa"/>
            <w:tcBorders>
              <w:top w:val="nil"/>
              <w:left w:val="nil"/>
              <w:bottom w:val="single" w:color="000000" w:sz="8" w:space="0"/>
              <w:right w:val="single" w:color="000000" w:sz="8" w:space="0"/>
            </w:tcBorders>
            <w:shd w:val="clear" w:color="auto" w:fill="auto"/>
            <w:vAlign w:val="center"/>
          </w:tcPr>
          <w:p w14:paraId="1B386A7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《溴化锂吸收式冷水机组能效限定值及能效等级》（GB29540）</w:t>
            </w:r>
          </w:p>
        </w:tc>
      </w:tr>
      <w:tr w14:paraId="06FB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7E27D824">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D85C960">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shd w:val="clear" w:color="auto" w:fill="auto"/>
            <w:vAlign w:val="center"/>
          </w:tcPr>
          <w:p w14:paraId="63A159A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★A02052305空调机组</w:t>
            </w:r>
          </w:p>
        </w:tc>
        <w:tc>
          <w:tcPr>
            <w:tcW w:w="1620" w:type="dxa"/>
            <w:tcBorders>
              <w:top w:val="nil"/>
              <w:left w:val="nil"/>
              <w:bottom w:val="single" w:color="000000" w:sz="8" w:space="0"/>
              <w:right w:val="single" w:color="000000" w:sz="8" w:space="0"/>
            </w:tcBorders>
            <w:shd w:val="clear" w:color="auto" w:fill="auto"/>
            <w:vAlign w:val="center"/>
          </w:tcPr>
          <w:p w14:paraId="398A1A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多联式空调（热泵）机组(制冷量&gt;14000W)</w:t>
            </w:r>
          </w:p>
        </w:tc>
        <w:tc>
          <w:tcPr>
            <w:tcW w:w="4540" w:type="dxa"/>
            <w:tcBorders>
              <w:top w:val="nil"/>
              <w:left w:val="nil"/>
              <w:bottom w:val="single" w:color="000000" w:sz="8" w:space="0"/>
              <w:right w:val="single" w:color="000000" w:sz="8" w:space="0"/>
            </w:tcBorders>
            <w:shd w:val="clear" w:color="auto" w:fill="auto"/>
            <w:vAlign w:val="center"/>
          </w:tcPr>
          <w:p w14:paraId="03E515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《多联式空调（热泵）机组能效限定值及能源效率等级》（GB21454）</w:t>
            </w:r>
          </w:p>
        </w:tc>
      </w:tr>
      <w:tr w14:paraId="1D72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2B602DF9">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7CA0822">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21732D23">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0" w:type="dxa"/>
            <w:tcBorders>
              <w:top w:val="nil"/>
              <w:left w:val="nil"/>
              <w:bottom w:val="single" w:color="000000" w:sz="8" w:space="0"/>
              <w:right w:val="single" w:color="000000" w:sz="8" w:space="0"/>
            </w:tcBorders>
            <w:shd w:val="clear" w:color="auto" w:fill="auto"/>
            <w:vAlign w:val="center"/>
          </w:tcPr>
          <w:p w14:paraId="4973830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单元式空气调节机(制冷量&gt;14000W</w:t>
            </w:r>
          </w:p>
        </w:tc>
        <w:tc>
          <w:tcPr>
            <w:tcW w:w="4540" w:type="dxa"/>
            <w:tcBorders>
              <w:top w:val="nil"/>
              <w:left w:val="nil"/>
              <w:bottom w:val="single" w:color="000000" w:sz="8" w:space="0"/>
              <w:right w:val="single" w:color="000000" w:sz="8" w:space="0"/>
            </w:tcBorders>
            <w:shd w:val="clear" w:color="auto" w:fill="auto"/>
            <w:vAlign w:val="center"/>
          </w:tcPr>
          <w:p w14:paraId="04CC4DE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《单元式空气调节机能效限定值及能效等级》（GB19576）《风管送风式空调机组能效限定值及能效等级》（GB37479）</w:t>
            </w:r>
          </w:p>
        </w:tc>
      </w:tr>
      <w:tr w14:paraId="6A40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55C6E45F">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ED757FD">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tcBorders>
              <w:top w:val="nil"/>
              <w:left w:val="nil"/>
              <w:bottom w:val="single" w:color="000000" w:sz="8" w:space="0"/>
              <w:right w:val="single" w:color="000000" w:sz="8" w:space="0"/>
            </w:tcBorders>
            <w:shd w:val="clear" w:color="auto" w:fill="auto"/>
            <w:vAlign w:val="center"/>
          </w:tcPr>
          <w:p w14:paraId="0A71E99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★A02052309专用制冷、空调设备</w:t>
            </w:r>
          </w:p>
        </w:tc>
        <w:tc>
          <w:tcPr>
            <w:tcW w:w="1620" w:type="dxa"/>
            <w:tcBorders>
              <w:top w:val="nil"/>
              <w:left w:val="nil"/>
              <w:bottom w:val="single" w:color="000000" w:sz="8" w:space="0"/>
              <w:right w:val="single" w:color="000000" w:sz="8" w:space="0"/>
            </w:tcBorders>
            <w:shd w:val="clear" w:color="auto" w:fill="auto"/>
            <w:vAlign w:val="center"/>
          </w:tcPr>
          <w:p w14:paraId="7AB669B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机房空调</w:t>
            </w:r>
          </w:p>
        </w:tc>
        <w:tc>
          <w:tcPr>
            <w:tcW w:w="4540" w:type="dxa"/>
            <w:tcBorders>
              <w:top w:val="nil"/>
              <w:left w:val="nil"/>
              <w:bottom w:val="single" w:color="000000" w:sz="8" w:space="0"/>
              <w:right w:val="single" w:color="000000" w:sz="8" w:space="0"/>
            </w:tcBorders>
            <w:shd w:val="clear" w:color="auto" w:fill="auto"/>
            <w:vAlign w:val="center"/>
          </w:tcPr>
          <w:p w14:paraId="60CEAF4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《单元式空气调节机能效限定值及能效等级》（GB19576）</w:t>
            </w:r>
          </w:p>
        </w:tc>
      </w:tr>
      <w:tr w14:paraId="71FD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44E989C6">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1975362">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tcBorders>
              <w:top w:val="nil"/>
              <w:left w:val="nil"/>
              <w:bottom w:val="single" w:color="000000" w:sz="8" w:space="0"/>
              <w:right w:val="single" w:color="000000" w:sz="8" w:space="0"/>
            </w:tcBorders>
            <w:shd w:val="clear" w:color="auto" w:fill="auto"/>
            <w:vAlign w:val="center"/>
          </w:tcPr>
          <w:p w14:paraId="14A9A4D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A02052399其他制冷空调设备</w:t>
            </w:r>
          </w:p>
        </w:tc>
        <w:tc>
          <w:tcPr>
            <w:tcW w:w="1620" w:type="dxa"/>
            <w:tcBorders>
              <w:top w:val="nil"/>
              <w:left w:val="nil"/>
              <w:bottom w:val="single" w:color="000000" w:sz="8" w:space="0"/>
              <w:right w:val="single" w:color="000000" w:sz="8" w:space="0"/>
            </w:tcBorders>
            <w:shd w:val="clear" w:color="auto" w:fill="auto"/>
            <w:vAlign w:val="center"/>
          </w:tcPr>
          <w:p w14:paraId="556ACA4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冷却塔</w:t>
            </w:r>
          </w:p>
        </w:tc>
        <w:tc>
          <w:tcPr>
            <w:tcW w:w="4540" w:type="dxa"/>
            <w:tcBorders>
              <w:top w:val="nil"/>
              <w:left w:val="nil"/>
              <w:bottom w:val="single" w:color="000000" w:sz="8" w:space="0"/>
              <w:right w:val="single" w:color="000000" w:sz="8" w:space="0"/>
            </w:tcBorders>
            <w:shd w:val="clear" w:color="auto" w:fill="auto"/>
            <w:vAlign w:val="center"/>
          </w:tcPr>
          <w:p w14:paraId="75B314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《机械通风冷却塔第1部分：中小型开式冷却塔》（GB/T7190.1）；《机械通风冷却塔第2部分：大型开式冷却塔》（GB/T7190.2）</w:t>
            </w:r>
          </w:p>
        </w:tc>
      </w:tr>
      <w:tr w14:paraId="139B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2ED051D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7</w:t>
            </w:r>
          </w:p>
        </w:tc>
        <w:tc>
          <w:tcPr>
            <w:tcW w:w="1080" w:type="dxa"/>
            <w:tcBorders>
              <w:top w:val="nil"/>
              <w:left w:val="nil"/>
              <w:bottom w:val="single" w:color="000000" w:sz="8" w:space="0"/>
              <w:right w:val="single" w:color="000000" w:sz="8" w:space="0"/>
            </w:tcBorders>
            <w:shd w:val="clear" w:color="auto" w:fill="auto"/>
            <w:vAlign w:val="center"/>
          </w:tcPr>
          <w:p w14:paraId="0BF733D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A020601电机</w:t>
            </w:r>
          </w:p>
        </w:tc>
        <w:tc>
          <w:tcPr>
            <w:tcW w:w="1320" w:type="dxa"/>
            <w:tcBorders>
              <w:top w:val="nil"/>
              <w:left w:val="nil"/>
              <w:bottom w:val="single" w:color="000000" w:sz="8" w:space="0"/>
              <w:right w:val="single" w:color="000000" w:sz="8" w:space="0"/>
            </w:tcBorders>
            <w:shd w:val="clear" w:color="auto" w:fill="auto"/>
            <w:vAlign w:val="center"/>
          </w:tcPr>
          <w:p w14:paraId="79B4C3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1620" w:type="dxa"/>
            <w:tcBorders>
              <w:top w:val="nil"/>
              <w:left w:val="nil"/>
              <w:bottom w:val="single" w:color="000000" w:sz="8" w:space="0"/>
              <w:right w:val="single" w:color="000000" w:sz="8" w:space="0"/>
            </w:tcBorders>
            <w:shd w:val="clear" w:color="auto" w:fill="auto"/>
            <w:vAlign w:val="center"/>
          </w:tcPr>
          <w:p w14:paraId="4289821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50C1AA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《中小型三相异步电动机能效限定值及能效等级》（GB18613）</w:t>
            </w:r>
          </w:p>
        </w:tc>
      </w:tr>
      <w:tr w14:paraId="1429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1C9CC35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8</w:t>
            </w:r>
          </w:p>
        </w:tc>
        <w:tc>
          <w:tcPr>
            <w:tcW w:w="1080" w:type="dxa"/>
            <w:tcBorders>
              <w:top w:val="nil"/>
              <w:left w:val="nil"/>
              <w:bottom w:val="single" w:color="000000" w:sz="8" w:space="0"/>
              <w:right w:val="single" w:color="000000" w:sz="8" w:space="0"/>
            </w:tcBorders>
            <w:shd w:val="clear" w:color="auto" w:fill="auto"/>
            <w:vAlign w:val="center"/>
          </w:tcPr>
          <w:p w14:paraId="6152D8E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A020602变压器</w:t>
            </w:r>
          </w:p>
        </w:tc>
        <w:tc>
          <w:tcPr>
            <w:tcW w:w="1320" w:type="dxa"/>
            <w:tcBorders>
              <w:top w:val="nil"/>
              <w:left w:val="nil"/>
              <w:bottom w:val="single" w:color="000000" w:sz="8" w:space="0"/>
              <w:right w:val="single" w:color="000000" w:sz="8" w:space="0"/>
            </w:tcBorders>
            <w:shd w:val="clear" w:color="auto" w:fill="auto"/>
            <w:vAlign w:val="center"/>
          </w:tcPr>
          <w:p w14:paraId="147BEBB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配电变压器</w:t>
            </w:r>
          </w:p>
        </w:tc>
        <w:tc>
          <w:tcPr>
            <w:tcW w:w="1620" w:type="dxa"/>
            <w:tcBorders>
              <w:top w:val="nil"/>
              <w:left w:val="nil"/>
              <w:bottom w:val="single" w:color="000000" w:sz="8" w:space="0"/>
              <w:right w:val="single" w:color="000000" w:sz="8" w:space="0"/>
            </w:tcBorders>
            <w:shd w:val="clear" w:color="auto" w:fill="auto"/>
            <w:vAlign w:val="center"/>
          </w:tcPr>
          <w:p w14:paraId="2668ED6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2273208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《三相配电变压器能效限定值及能效等级》（GB20052）</w:t>
            </w:r>
          </w:p>
        </w:tc>
      </w:tr>
      <w:tr w14:paraId="3351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1ADFA12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9</w:t>
            </w:r>
          </w:p>
        </w:tc>
        <w:tc>
          <w:tcPr>
            <w:tcW w:w="1080" w:type="dxa"/>
            <w:tcBorders>
              <w:top w:val="nil"/>
              <w:left w:val="nil"/>
              <w:bottom w:val="single" w:color="000000" w:sz="8" w:space="0"/>
              <w:right w:val="single" w:color="000000" w:sz="8" w:space="0"/>
            </w:tcBorders>
            <w:shd w:val="clear" w:color="auto" w:fill="auto"/>
            <w:vAlign w:val="center"/>
          </w:tcPr>
          <w:p w14:paraId="5B4E287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★A020609镇流器</w:t>
            </w:r>
          </w:p>
        </w:tc>
        <w:tc>
          <w:tcPr>
            <w:tcW w:w="1320" w:type="dxa"/>
            <w:tcBorders>
              <w:top w:val="nil"/>
              <w:left w:val="nil"/>
              <w:bottom w:val="single" w:color="000000" w:sz="8" w:space="0"/>
              <w:right w:val="single" w:color="000000" w:sz="8" w:space="0"/>
            </w:tcBorders>
            <w:shd w:val="clear" w:color="auto" w:fill="auto"/>
            <w:vAlign w:val="center"/>
          </w:tcPr>
          <w:p w14:paraId="72007BC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管型荧光灯镇流器</w:t>
            </w:r>
          </w:p>
        </w:tc>
        <w:tc>
          <w:tcPr>
            <w:tcW w:w="1620" w:type="dxa"/>
            <w:tcBorders>
              <w:top w:val="nil"/>
              <w:left w:val="nil"/>
              <w:bottom w:val="single" w:color="000000" w:sz="8" w:space="0"/>
              <w:right w:val="single" w:color="000000" w:sz="8" w:space="0"/>
            </w:tcBorders>
            <w:shd w:val="clear" w:color="auto" w:fill="auto"/>
            <w:vAlign w:val="center"/>
          </w:tcPr>
          <w:p w14:paraId="401EED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513854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《管形荧光灯镇流器能效限定值及能效等级》（GB17896）</w:t>
            </w:r>
          </w:p>
        </w:tc>
      </w:tr>
      <w:tr w14:paraId="1CBC1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shd w:val="clear" w:color="auto" w:fill="auto"/>
            <w:vAlign w:val="center"/>
          </w:tcPr>
          <w:p w14:paraId="76DD76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10</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5C87DA0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A020618生活用电器</w:t>
            </w:r>
          </w:p>
        </w:tc>
        <w:tc>
          <w:tcPr>
            <w:tcW w:w="1320" w:type="dxa"/>
            <w:tcBorders>
              <w:top w:val="nil"/>
              <w:left w:val="nil"/>
              <w:bottom w:val="single" w:color="000000" w:sz="8" w:space="0"/>
              <w:right w:val="single" w:color="000000" w:sz="8" w:space="0"/>
            </w:tcBorders>
            <w:shd w:val="clear" w:color="auto" w:fill="auto"/>
            <w:vAlign w:val="center"/>
          </w:tcPr>
          <w:p w14:paraId="509800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A0206180101电冰箱</w:t>
            </w:r>
          </w:p>
        </w:tc>
        <w:tc>
          <w:tcPr>
            <w:tcW w:w="1620" w:type="dxa"/>
            <w:tcBorders>
              <w:top w:val="nil"/>
              <w:left w:val="nil"/>
              <w:bottom w:val="single" w:color="000000" w:sz="8" w:space="0"/>
              <w:right w:val="single" w:color="000000" w:sz="8" w:space="0"/>
            </w:tcBorders>
            <w:shd w:val="clear" w:color="auto" w:fill="auto"/>
            <w:vAlign w:val="center"/>
          </w:tcPr>
          <w:p w14:paraId="06F7755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18DDF4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《家用电冰箱耗电量限定值及能效等级》（GB 12021.2）</w:t>
            </w:r>
          </w:p>
        </w:tc>
      </w:tr>
      <w:tr w14:paraId="64EA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6EC836E7">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37AAB16">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shd w:val="clear" w:color="auto" w:fill="auto"/>
            <w:vAlign w:val="center"/>
          </w:tcPr>
          <w:p w14:paraId="7AD215B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★A0206180203空调机</w:t>
            </w:r>
          </w:p>
        </w:tc>
        <w:tc>
          <w:tcPr>
            <w:tcW w:w="1620" w:type="dxa"/>
            <w:tcBorders>
              <w:top w:val="nil"/>
              <w:left w:val="nil"/>
              <w:bottom w:val="single" w:color="000000" w:sz="8" w:space="0"/>
              <w:right w:val="single" w:color="000000" w:sz="8" w:space="0"/>
            </w:tcBorders>
            <w:shd w:val="clear" w:color="auto" w:fill="auto"/>
            <w:vAlign w:val="center"/>
          </w:tcPr>
          <w:p w14:paraId="3684D3A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房间空气调节器</w:t>
            </w:r>
          </w:p>
        </w:tc>
        <w:tc>
          <w:tcPr>
            <w:tcW w:w="4540" w:type="dxa"/>
            <w:tcBorders>
              <w:top w:val="nil"/>
              <w:left w:val="nil"/>
              <w:bottom w:val="single" w:color="000000" w:sz="8" w:space="0"/>
              <w:right w:val="single" w:color="000000" w:sz="8" w:space="0"/>
            </w:tcBorders>
            <w:shd w:val="clear" w:color="auto" w:fill="auto"/>
            <w:vAlign w:val="center"/>
          </w:tcPr>
          <w:p w14:paraId="08F2D3B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《转速可控型房间空气调节器能效限定值及能效等级》（GB21455-2013），待2019年修订发布后，按《房间空气调节器能效限定值及能效等级》（GB21455-2019实施。</w:t>
            </w:r>
          </w:p>
        </w:tc>
      </w:tr>
      <w:tr w14:paraId="3582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295374B7">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131A1D4">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4E333434">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0" w:type="dxa"/>
            <w:tcBorders>
              <w:top w:val="nil"/>
              <w:left w:val="nil"/>
              <w:bottom w:val="single" w:color="000000" w:sz="8" w:space="0"/>
              <w:right w:val="single" w:color="000000" w:sz="8" w:space="0"/>
            </w:tcBorders>
            <w:shd w:val="clear" w:color="auto" w:fill="auto"/>
            <w:vAlign w:val="center"/>
          </w:tcPr>
          <w:p w14:paraId="24F9573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多联式空调（热泵）机组（制冷量≤ 14000W）</w:t>
            </w:r>
          </w:p>
        </w:tc>
        <w:tc>
          <w:tcPr>
            <w:tcW w:w="4540" w:type="dxa"/>
            <w:tcBorders>
              <w:top w:val="nil"/>
              <w:left w:val="nil"/>
              <w:bottom w:val="single" w:color="000000" w:sz="8" w:space="0"/>
              <w:right w:val="single" w:color="000000" w:sz="8" w:space="0"/>
            </w:tcBorders>
            <w:shd w:val="clear" w:color="auto" w:fill="auto"/>
            <w:vAlign w:val="center"/>
          </w:tcPr>
          <w:p w14:paraId="59433A8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《多联式空调（热泵）机组能效限定值及能源效率等级》（GB21454）</w:t>
            </w:r>
          </w:p>
        </w:tc>
      </w:tr>
      <w:tr w14:paraId="6CAA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05D2345F">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30EDC4C">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3B756C32">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0" w:type="dxa"/>
            <w:tcBorders>
              <w:top w:val="nil"/>
              <w:left w:val="nil"/>
              <w:bottom w:val="single" w:color="000000" w:sz="8" w:space="0"/>
              <w:right w:val="single" w:color="000000" w:sz="8" w:space="0"/>
            </w:tcBorders>
            <w:shd w:val="clear" w:color="auto" w:fill="auto"/>
            <w:vAlign w:val="center"/>
          </w:tcPr>
          <w:p w14:paraId="6652A2A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单元式空气调节机(制冷量≤14000W)</w:t>
            </w:r>
          </w:p>
        </w:tc>
        <w:tc>
          <w:tcPr>
            <w:tcW w:w="4540" w:type="dxa"/>
            <w:tcBorders>
              <w:top w:val="nil"/>
              <w:left w:val="nil"/>
              <w:bottom w:val="single" w:color="000000" w:sz="8" w:space="0"/>
              <w:right w:val="single" w:color="000000" w:sz="8" w:space="0"/>
            </w:tcBorders>
            <w:shd w:val="clear" w:color="auto" w:fill="auto"/>
            <w:vAlign w:val="center"/>
          </w:tcPr>
          <w:p w14:paraId="31CAF27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《单元式空气调节机能效限定值及能源效率等级》（GB19576）《风管送风式空调机组能效限定值及能效等级》（GB37479）</w:t>
            </w:r>
          </w:p>
        </w:tc>
      </w:tr>
      <w:tr w14:paraId="795D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2D3D2603">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46E48B8">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tcBorders>
              <w:top w:val="nil"/>
              <w:left w:val="nil"/>
              <w:bottom w:val="single" w:color="000000" w:sz="8" w:space="0"/>
              <w:right w:val="single" w:color="000000" w:sz="8" w:space="0"/>
            </w:tcBorders>
            <w:shd w:val="clear" w:color="auto" w:fill="auto"/>
            <w:vAlign w:val="center"/>
          </w:tcPr>
          <w:p w14:paraId="45061C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A0206180301洗衣机</w:t>
            </w:r>
          </w:p>
        </w:tc>
        <w:tc>
          <w:tcPr>
            <w:tcW w:w="1620" w:type="dxa"/>
            <w:tcBorders>
              <w:top w:val="nil"/>
              <w:left w:val="nil"/>
              <w:bottom w:val="single" w:color="000000" w:sz="8" w:space="0"/>
              <w:right w:val="single" w:color="000000" w:sz="8" w:space="0"/>
            </w:tcBorders>
            <w:shd w:val="clear" w:color="auto" w:fill="auto"/>
            <w:vAlign w:val="center"/>
          </w:tcPr>
          <w:p w14:paraId="329F91E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77CEF2B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《电动洗衣机能效水效限定值及等级》（GB12021.4）</w:t>
            </w:r>
          </w:p>
        </w:tc>
      </w:tr>
      <w:tr w14:paraId="02BA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1582EF90">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3E9951A">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shd w:val="clear" w:color="auto" w:fill="auto"/>
            <w:vAlign w:val="center"/>
          </w:tcPr>
          <w:p w14:paraId="2054F21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A02061808热水器</w:t>
            </w:r>
          </w:p>
        </w:tc>
        <w:tc>
          <w:tcPr>
            <w:tcW w:w="1620" w:type="dxa"/>
            <w:tcBorders>
              <w:top w:val="nil"/>
              <w:left w:val="nil"/>
              <w:bottom w:val="single" w:color="000000" w:sz="8" w:space="0"/>
              <w:right w:val="single" w:color="000000" w:sz="8" w:space="0"/>
            </w:tcBorders>
            <w:shd w:val="clear" w:color="auto" w:fill="auto"/>
            <w:vAlign w:val="center"/>
          </w:tcPr>
          <w:p w14:paraId="760EE01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★电热水器</w:t>
            </w:r>
          </w:p>
        </w:tc>
        <w:tc>
          <w:tcPr>
            <w:tcW w:w="4540" w:type="dxa"/>
            <w:tcBorders>
              <w:top w:val="nil"/>
              <w:left w:val="nil"/>
              <w:bottom w:val="single" w:color="000000" w:sz="8" w:space="0"/>
              <w:right w:val="single" w:color="000000" w:sz="8" w:space="0"/>
            </w:tcBorders>
            <w:shd w:val="clear" w:color="auto" w:fill="auto"/>
            <w:vAlign w:val="center"/>
          </w:tcPr>
          <w:p w14:paraId="25E1EF0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《储水式电热水器能效限定值及能效等级》（GB21519）</w:t>
            </w:r>
          </w:p>
        </w:tc>
      </w:tr>
      <w:tr w14:paraId="64D1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44ADAE9E">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03A1320">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58A1FE05">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0" w:type="dxa"/>
            <w:tcBorders>
              <w:top w:val="nil"/>
              <w:left w:val="nil"/>
              <w:bottom w:val="single" w:color="000000" w:sz="8" w:space="0"/>
              <w:right w:val="single" w:color="000000" w:sz="8" w:space="0"/>
            </w:tcBorders>
            <w:shd w:val="clear" w:color="auto" w:fill="auto"/>
            <w:vAlign w:val="center"/>
          </w:tcPr>
          <w:p w14:paraId="3E27B64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燃气热水器</w:t>
            </w:r>
          </w:p>
        </w:tc>
        <w:tc>
          <w:tcPr>
            <w:tcW w:w="4540" w:type="dxa"/>
            <w:tcBorders>
              <w:top w:val="nil"/>
              <w:left w:val="nil"/>
              <w:bottom w:val="single" w:color="000000" w:sz="8" w:space="0"/>
              <w:right w:val="single" w:color="000000" w:sz="8" w:space="0"/>
            </w:tcBorders>
            <w:shd w:val="clear" w:color="auto" w:fill="auto"/>
            <w:vAlign w:val="center"/>
          </w:tcPr>
          <w:p w14:paraId="74994B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《家用燃气快速热水器和燃气采暖热水炉能效限定值及能效等级》（GB20665）</w:t>
            </w:r>
          </w:p>
        </w:tc>
      </w:tr>
      <w:tr w14:paraId="1F69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3CEC39F7">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0938619">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3C1145DF">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0" w:type="dxa"/>
            <w:tcBorders>
              <w:top w:val="nil"/>
              <w:left w:val="nil"/>
              <w:bottom w:val="single" w:color="000000" w:sz="8" w:space="0"/>
              <w:right w:val="single" w:color="000000" w:sz="8" w:space="0"/>
            </w:tcBorders>
            <w:shd w:val="clear" w:color="auto" w:fill="auto"/>
            <w:vAlign w:val="center"/>
          </w:tcPr>
          <w:p w14:paraId="2BAC5AD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热泵热水器</w:t>
            </w:r>
          </w:p>
        </w:tc>
        <w:tc>
          <w:tcPr>
            <w:tcW w:w="4540" w:type="dxa"/>
            <w:tcBorders>
              <w:top w:val="nil"/>
              <w:left w:val="nil"/>
              <w:bottom w:val="single" w:color="000000" w:sz="8" w:space="0"/>
              <w:right w:val="single" w:color="000000" w:sz="8" w:space="0"/>
            </w:tcBorders>
            <w:shd w:val="clear" w:color="auto" w:fill="auto"/>
            <w:vAlign w:val="center"/>
          </w:tcPr>
          <w:p w14:paraId="271D0F2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《热泵热水机（器）能效限定值及能效等级》（GB29541）</w:t>
            </w:r>
          </w:p>
        </w:tc>
      </w:tr>
      <w:tr w14:paraId="7D67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70ED26A6">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084E82D">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47DD1B3F">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20" w:type="dxa"/>
            <w:tcBorders>
              <w:top w:val="nil"/>
              <w:left w:val="nil"/>
              <w:bottom w:val="single" w:color="000000" w:sz="8" w:space="0"/>
              <w:right w:val="single" w:color="000000" w:sz="8" w:space="0"/>
            </w:tcBorders>
            <w:shd w:val="clear" w:color="auto" w:fill="auto"/>
            <w:vAlign w:val="center"/>
          </w:tcPr>
          <w:p w14:paraId="0D64186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太阳能热水系统</w:t>
            </w:r>
          </w:p>
        </w:tc>
        <w:tc>
          <w:tcPr>
            <w:tcW w:w="4540" w:type="dxa"/>
            <w:tcBorders>
              <w:top w:val="nil"/>
              <w:left w:val="nil"/>
              <w:bottom w:val="single" w:color="000000" w:sz="8" w:space="0"/>
              <w:right w:val="single" w:color="000000" w:sz="8" w:space="0"/>
            </w:tcBorders>
            <w:shd w:val="clear" w:color="auto" w:fill="auto"/>
            <w:vAlign w:val="center"/>
          </w:tcPr>
          <w:p w14:paraId="39446D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《家用太阳能热水系统能效限定值及能效等级》（GB26969）</w:t>
            </w:r>
          </w:p>
        </w:tc>
      </w:tr>
      <w:tr w14:paraId="7826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shd w:val="clear" w:color="auto" w:fill="auto"/>
            <w:vAlign w:val="center"/>
          </w:tcPr>
          <w:p w14:paraId="0F28150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11</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10ACA25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A020619照明设备</w:t>
            </w:r>
          </w:p>
        </w:tc>
        <w:tc>
          <w:tcPr>
            <w:tcW w:w="1320" w:type="dxa"/>
            <w:tcBorders>
              <w:top w:val="nil"/>
              <w:left w:val="nil"/>
              <w:bottom w:val="single" w:color="000000" w:sz="8" w:space="0"/>
              <w:right w:val="single" w:color="000000" w:sz="8" w:space="0"/>
            </w:tcBorders>
            <w:shd w:val="clear" w:color="auto" w:fill="auto"/>
            <w:vAlign w:val="center"/>
          </w:tcPr>
          <w:p w14:paraId="7B84467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★普通照明用双端荧光灯</w:t>
            </w:r>
          </w:p>
        </w:tc>
        <w:tc>
          <w:tcPr>
            <w:tcW w:w="1620" w:type="dxa"/>
            <w:tcBorders>
              <w:top w:val="nil"/>
              <w:left w:val="nil"/>
              <w:bottom w:val="single" w:color="000000" w:sz="8" w:space="0"/>
              <w:right w:val="single" w:color="000000" w:sz="8" w:space="0"/>
            </w:tcBorders>
            <w:shd w:val="clear" w:color="auto" w:fill="auto"/>
            <w:vAlign w:val="center"/>
          </w:tcPr>
          <w:p w14:paraId="11B52A0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00E0387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《普通照明用双端荧光灯能效限定值及能效等级》（GB19043）</w:t>
            </w:r>
          </w:p>
        </w:tc>
      </w:tr>
      <w:tr w14:paraId="6DE4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272B42AB">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22A7C24">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tcBorders>
              <w:top w:val="nil"/>
              <w:left w:val="nil"/>
              <w:bottom w:val="single" w:color="000000" w:sz="8" w:space="0"/>
              <w:right w:val="single" w:color="000000" w:sz="8" w:space="0"/>
            </w:tcBorders>
            <w:shd w:val="clear" w:color="auto" w:fill="auto"/>
            <w:vAlign w:val="center"/>
          </w:tcPr>
          <w:p w14:paraId="3AE6337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LED道路/隧道照明产品</w:t>
            </w:r>
          </w:p>
        </w:tc>
        <w:tc>
          <w:tcPr>
            <w:tcW w:w="1620" w:type="dxa"/>
            <w:tcBorders>
              <w:top w:val="nil"/>
              <w:left w:val="nil"/>
              <w:bottom w:val="single" w:color="000000" w:sz="8" w:space="0"/>
              <w:right w:val="single" w:color="000000" w:sz="8" w:space="0"/>
            </w:tcBorders>
            <w:shd w:val="clear" w:color="auto" w:fill="auto"/>
            <w:vAlign w:val="center"/>
          </w:tcPr>
          <w:p w14:paraId="11765FA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6882768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《道路和隧道照明用LED灯具能效限定值及能效等级》（GB37478）</w:t>
            </w:r>
          </w:p>
        </w:tc>
      </w:tr>
      <w:tr w14:paraId="733E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2F81180F">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8802E1C">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tcBorders>
              <w:top w:val="nil"/>
              <w:left w:val="nil"/>
              <w:bottom w:val="single" w:color="000000" w:sz="8" w:space="0"/>
              <w:right w:val="single" w:color="000000" w:sz="8" w:space="0"/>
            </w:tcBorders>
            <w:shd w:val="clear" w:color="auto" w:fill="auto"/>
            <w:vAlign w:val="center"/>
          </w:tcPr>
          <w:p w14:paraId="303A465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LED筒灯</w:t>
            </w:r>
          </w:p>
        </w:tc>
        <w:tc>
          <w:tcPr>
            <w:tcW w:w="1620" w:type="dxa"/>
            <w:tcBorders>
              <w:top w:val="nil"/>
              <w:left w:val="nil"/>
              <w:bottom w:val="single" w:color="000000" w:sz="8" w:space="0"/>
              <w:right w:val="single" w:color="000000" w:sz="8" w:space="0"/>
            </w:tcBorders>
            <w:shd w:val="clear" w:color="auto" w:fill="auto"/>
            <w:vAlign w:val="center"/>
          </w:tcPr>
          <w:p w14:paraId="4DE13E7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5CE5A59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《室内照明用LED产品能效限定值及能效等级》（GB30255）</w:t>
            </w:r>
          </w:p>
        </w:tc>
      </w:tr>
      <w:tr w14:paraId="2505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1450634F">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21805B0">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tcBorders>
              <w:top w:val="nil"/>
              <w:left w:val="nil"/>
              <w:bottom w:val="single" w:color="000000" w:sz="8" w:space="0"/>
              <w:right w:val="single" w:color="000000" w:sz="8" w:space="0"/>
            </w:tcBorders>
            <w:shd w:val="clear" w:color="auto" w:fill="auto"/>
            <w:vAlign w:val="center"/>
          </w:tcPr>
          <w:p w14:paraId="29AA387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普通照明用非定向自镇流LED灯</w:t>
            </w:r>
          </w:p>
        </w:tc>
        <w:tc>
          <w:tcPr>
            <w:tcW w:w="1620" w:type="dxa"/>
            <w:tcBorders>
              <w:top w:val="nil"/>
              <w:left w:val="nil"/>
              <w:bottom w:val="single" w:color="000000" w:sz="8" w:space="0"/>
              <w:right w:val="single" w:color="000000" w:sz="8" w:space="0"/>
            </w:tcBorders>
            <w:shd w:val="clear" w:color="auto" w:fill="auto"/>
            <w:vAlign w:val="center"/>
          </w:tcPr>
          <w:p w14:paraId="04FAAA4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749561B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《室内照明用LED产品能效限定值及能效等级》（GB30255）</w:t>
            </w:r>
          </w:p>
        </w:tc>
      </w:tr>
      <w:tr w14:paraId="6377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11EBB74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12</w:t>
            </w:r>
          </w:p>
        </w:tc>
        <w:tc>
          <w:tcPr>
            <w:tcW w:w="1080" w:type="dxa"/>
            <w:tcBorders>
              <w:top w:val="nil"/>
              <w:left w:val="nil"/>
              <w:bottom w:val="single" w:color="000000" w:sz="8" w:space="0"/>
              <w:right w:val="single" w:color="000000" w:sz="8" w:space="0"/>
            </w:tcBorders>
            <w:shd w:val="clear" w:color="auto" w:fill="auto"/>
            <w:vAlign w:val="center"/>
          </w:tcPr>
          <w:p w14:paraId="0209AE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★A020910电视设备</w:t>
            </w:r>
          </w:p>
        </w:tc>
        <w:tc>
          <w:tcPr>
            <w:tcW w:w="1320" w:type="dxa"/>
            <w:tcBorders>
              <w:top w:val="nil"/>
              <w:left w:val="nil"/>
              <w:bottom w:val="single" w:color="000000" w:sz="8" w:space="0"/>
              <w:right w:val="single" w:color="000000" w:sz="8" w:space="0"/>
            </w:tcBorders>
            <w:shd w:val="clear" w:color="auto" w:fill="auto"/>
            <w:vAlign w:val="center"/>
          </w:tcPr>
          <w:p w14:paraId="7556D4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A02091001普通电视设备（电视机）</w:t>
            </w:r>
          </w:p>
        </w:tc>
        <w:tc>
          <w:tcPr>
            <w:tcW w:w="1620" w:type="dxa"/>
            <w:tcBorders>
              <w:top w:val="nil"/>
              <w:left w:val="nil"/>
              <w:bottom w:val="single" w:color="000000" w:sz="8" w:space="0"/>
              <w:right w:val="single" w:color="000000" w:sz="8" w:space="0"/>
            </w:tcBorders>
            <w:shd w:val="clear" w:color="auto" w:fill="auto"/>
            <w:vAlign w:val="center"/>
          </w:tcPr>
          <w:p w14:paraId="3C971BC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3A58098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《平板电视能效限定值及能效等级》（GB24850）</w:t>
            </w:r>
          </w:p>
        </w:tc>
      </w:tr>
      <w:tr w14:paraId="77E5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7FF239D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13</w:t>
            </w:r>
          </w:p>
        </w:tc>
        <w:tc>
          <w:tcPr>
            <w:tcW w:w="1080" w:type="dxa"/>
            <w:tcBorders>
              <w:top w:val="nil"/>
              <w:left w:val="nil"/>
              <w:bottom w:val="single" w:color="000000" w:sz="8" w:space="0"/>
              <w:right w:val="single" w:color="000000" w:sz="8" w:space="0"/>
            </w:tcBorders>
            <w:shd w:val="clear" w:color="auto" w:fill="auto"/>
            <w:vAlign w:val="center"/>
          </w:tcPr>
          <w:p w14:paraId="49C25F2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★A020911视频设备</w:t>
            </w:r>
          </w:p>
        </w:tc>
        <w:tc>
          <w:tcPr>
            <w:tcW w:w="1320" w:type="dxa"/>
            <w:tcBorders>
              <w:top w:val="nil"/>
              <w:left w:val="nil"/>
              <w:bottom w:val="single" w:color="000000" w:sz="8" w:space="0"/>
              <w:right w:val="single" w:color="000000" w:sz="8" w:space="0"/>
            </w:tcBorders>
            <w:shd w:val="clear" w:color="auto" w:fill="auto"/>
            <w:vAlign w:val="center"/>
          </w:tcPr>
          <w:p w14:paraId="754F0B3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A02091107视频监控设备</w:t>
            </w:r>
          </w:p>
        </w:tc>
        <w:tc>
          <w:tcPr>
            <w:tcW w:w="1620" w:type="dxa"/>
            <w:tcBorders>
              <w:top w:val="nil"/>
              <w:left w:val="nil"/>
              <w:bottom w:val="single" w:color="000000" w:sz="8" w:space="0"/>
              <w:right w:val="single" w:color="000000" w:sz="8" w:space="0"/>
            </w:tcBorders>
            <w:shd w:val="clear" w:color="auto" w:fill="auto"/>
            <w:vAlign w:val="center"/>
          </w:tcPr>
          <w:p w14:paraId="230D6B8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监视器</w:t>
            </w:r>
          </w:p>
        </w:tc>
        <w:tc>
          <w:tcPr>
            <w:tcW w:w="4540" w:type="dxa"/>
            <w:tcBorders>
              <w:top w:val="nil"/>
              <w:left w:val="nil"/>
              <w:bottom w:val="single" w:color="000000" w:sz="8" w:space="0"/>
              <w:right w:val="single" w:color="000000" w:sz="8" w:space="0"/>
            </w:tcBorders>
            <w:shd w:val="clear" w:color="auto" w:fill="auto"/>
            <w:vAlign w:val="center"/>
          </w:tcPr>
          <w:p w14:paraId="396E22A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以射频信号为主要信号输入的监视器应符合《平板电视能效限定值及能效等级》（GB24850），以数字信号为主要信号输入的监视器应符合《计算机显示器能效限定值及能效等级》（GB21520）</w:t>
            </w:r>
          </w:p>
        </w:tc>
      </w:tr>
      <w:tr w14:paraId="7AAA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68024EB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14</w:t>
            </w:r>
          </w:p>
        </w:tc>
        <w:tc>
          <w:tcPr>
            <w:tcW w:w="1080" w:type="dxa"/>
            <w:tcBorders>
              <w:top w:val="nil"/>
              <w:left w:val="nil"/>
              <w:bottom w:val="single" w:color="000000" w:sz="8" w:space="0"/>
              <w:right w:val="single" w:color="000000" w:sz="8" w:space="0"/>
            </w:tcBorders>
            <w:shd w:val="clear" w:color="auto" w:fill="auto"/>
            <w:vAlign w:val="center"/>
          </w:tcPr>
          <w:p w14:paraId="28520F9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A031210饮食炊事机械</w:t>
            </w:r>
          </w:p>
        </w:tc>
        <w:tc>
          <w:tcPr>
            <w:tcW w:w="1320" w:type="dxa"/>
            <w:tcBorders>
              <w:top w:val="nil"/>
              <w:left w:val="nil"/>
              <w:bottom w:val="single" w:color="000000" w:sz="8" w:space="0"/>
              <w:right w:val="single" w:color="000000" w:sz="8" w:space="0"/>
            </w:tcBorders>
            <w:shd w:val="clear" w:color="auto" w:fill="auto"/>
            <w:vAlign w:val="center"/>
          </w:tcPr>
          <w:p w14:paraId="4481C55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商用燃气灶具</w:t>
            </w:r>
          </w:p>
        </w:tc>
        <w:tc>
          <w:tcPr>
            <w:tcW w:w="1620" w:type="dxa"/>
            <w:tcBorders>
              <w:top w:val="nil"/>
              <w:left w:val="nil"/>
              <w:bottom w:val="single" w:color="000000" w:sz="8" w:space="0"/>
              <w:right w:val="single" w:color="000000" w:sz="8" w:space="0"/>
            </w:tcBorders>
            <w:shd w:val="clear" w:color="auto" w:fill="auto"/>
            <w:vAlign w:val="center"/>
          </w:tcPr>
          <w:p w14:paraId="73C351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699C74A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《商用燃气灶具能效限定值及能效等级》（GB30531）</w:t>
            </w:r>
          </w:p>
        </w:tc>
      </w:tr>
      <w:tr w14:paraId="1FAE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shd w:val="clear" w:color="auto" w:fill="auto"/>
            <w:vAlign w:val="center"/>
          </w:tcPr>
          <w:p w14:paraId="144C49D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15</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40DCC4E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★A060805便器</w:t>
            </w:r>
          </w:p>
        </w:tc>
        <w:tc>
          <w:tcPr>
            <w:tcW w:w="1320" w:type="dxa"/>
            <w:tcBorders>
              <w:top w:val="nil"/>
              <w:left w:val="nil"/>
              <w:bottom w:val="single" w:color="000000" w:sz="8" w:space="0"/>
              <w:right w:val="single" w:color="000000" w:sz="8" w:space="0"/>
            </w:tcBorders>
            <w:shd w:val="clear" w:color="auto" w:fill="auto"/>
            <w:vAlign w:val="center"/>
          </w:tcPr>
          <w:p w14:paraId="5917778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坐便器</w:t>
            </w:r>
          </w:p>
        </w:tc>
        <w:tc>
          <w:tcPr>
            <w:tcW w:w="1620" w:type="dxa"/>
            <w:tcBorders>
              <w:top w:val="nil"/>
              <w:left w:val="nil"/>
              <w:bottom w:val="single" w:color="000000" w:sz="8" w:space="0"/>
              <w:right w:val="single" w:color="000000" w:sz="8" w:space="0"/>
            </w:tcBorders>
            <w:shd w:val="clear" w:color="auto" w:fill="auto"/>
            <w:vAlign w:val="center"/>
          </w:tcPr>
          <w:p w14:paraId="2B204A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2FB7DDA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《坐便器水效限定值及水效等级》（GB25502）</w:t>
            </w:r>
          </w:p>
        </w:tc>
      </w:tr>
      <w:tr w14:paraId="1C3A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7FB5AB51">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5CE1595B">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tcBorders>
              <w:top w:val="nil"/>
              <w:left w:val="nil"/>
              <w:bottom w:val="single" w:color="000000" w:sz="8" w:space="0"/>
              <w:right w:val="single" w:color="000000" w:sz="8" w:space="0"/>
            </w:tcBorders>
            <w:shd w:val="clear" w:color="auto" w:fill="auto"/>
            <w:vAlign w:val="center"/>
          </w:tcPr>
          <w:p w14:paraId="726E6AB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蹲便器</w:t>
            </w:r>
          </w:p>
        </w:tc>
        <w:tc>
          <w:tcPr>
            <w:tcW w:w="1620" w:type="dxa"/>
            <w:tcBorders>
              <w:top w:val="nil"/>
              <w:left w:val="nil"/>
              <w:bottom w:val="single" w:color="000000" w:sz="8" w:space="0"/>
              <w:right w:val="single" w:color="000000" w:sz="8" w:space="0"/>
            </w:tcBorders>
            <w:shd w:val="clear" w:color="auto" w:fill="auto"/>
            <w:vAlign w:val="center"/>
          </w:tcPr>
          <w:p w14:paraId="0673BFF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639CE7D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《蹲便器用水效率限定值及用水效率等级》（GB30717）</w:t>
            </w:r>
          </w:p>
        </w:tc>
      </w:tr>
      <w:tr w14:paraId="07AB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shd w:val="clear" w:color="auto" w:fill="auto"/>
            <w:vAlign w:val="center"/>
          </w:tcPr>
          <w:p w14:paraId="792EC20E">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91EF015">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320" w:type="dxa"/>
            <w:tcBorders>
              <w:top w:val="nil"/>
              <w:left w:val="nil"/>
              <w:bottom w:val="single" w:color="000000" w:sz="8" w:space="0"/>
              <w:right w:val="single" w:color="000000" w:sz="8" w:space="0"/>
            </w:tcBorders>
            <w:shd w:val="clear" w:color="auto" w:fill="auto"/>
            <w:vAlign w:val="center"/>
          </w:tcPr>
          <w:p w14:paraId="30EAF3F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小便器</w:t>
            </w:r>
          </w:p>
        </w:tc>
        <w:tc>
          <w:tcPr>
            <w:tcW w:w="1620" w:type="dxa"/>
            <w:tcBorders>
              <w:top w:val="nil"/>
              <w:left w:val="nil"/>
              <w:bottom w:val="single" w:color="000000" w:sz="8" w:space="0"/>
              <w:right w:val="single" w:color="000000" w:sz="8" w:space="0"/>
            </w:tcBorders>
            <w:shd w:val="clear" w:color="auto" w:fill="auto"/>
            <w:vAlign w:val="center"/>
          </w:tcPr>
          <w:p w14:paraId="75FA082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3FFB3C0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《小便器用水效率限定值及用水效率等级》（GB28377）</w:t>
            </w:r>
          </w:p>
        </w:tc>
      </w:tr>
      <w:tr w14:paraId="07D7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4CD28E9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16</w:t>
            </w:r>
          </w:p>
        </w:tc>
        <w:tc>
          <w:tcPr>
            <w:tcW w:w="1080" w:type="dxa"/>
            <w:tcBorders>
              <w:top w:val="nil"/>
              <w:left w:val="nil"/>
              <w:bottom w:val="single" w:color="000000" w:sz="8" w:space="0"/>
              <w:right w:val="single" w:color="000000" w:sz="8" w:space="0"/>
            </w:tcBorders>
            <w:shd w:val="clear" w:color="auto" w:fill="auto"/>
            <w:vAlign w:val="center"/>
          </w:tcPr>
          <w:p w14:paraId="131BBC4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★A060806水嘴</w:t>
            </w:r>
          </w:p>
        </w:tc>
        <w:tc>
          <w:tcPr>
            <w:tcW w:w="1320" w:type="dxa"/>
            <w:tcBorders>
              <w:top w:val="nil"/>
              <w:left w:val="nil"/>
              <w:bottom w:val="single" w:color="000000" w:sz="8" w:space="0"/>
              <w:right w:val="single" w:color="000000" w:sz="8" w:space="0"/>
            </w:tcBorders>
            <w:shd w:val="clear" w:color="auto" w:fill="auto"/>
            <w:vAlign w:val="center"/>
          </w:tcPr>
          <w:p w14:paraId="6035EAD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1620" w:type="dxa"/>
            <w:tcBorders>
              <w:top w:val="nil"/>
              <w:left w:val="nil"/>
              <w:bottom w:val="single" w:color="000000" w:sz="8" w:space="0"/>
              <w:right w:val="single" w:color="000000" w:sz="8" w:space="0"/>
            </w:tcBorders>
            <w:shd w:val="clear" w:color="auto" w:fill="auto"/>
            <w:vAlign w:val="center"/>
          </w:tcPr>
          <w:p w14:paraId="29793C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550CDD8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《水嘴用水效率限定值及用水效率等级》（GB 25501）</w:t>
            </w:r>
          </w:p>
        </w:tc>
      </w:tr>
      <w:tr w14:paraId="70EF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4D0B27D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17</w:t>
            </w:r>
          </w:p>
        </w:tc>
        <w:tc>
          <w:tcPr>
            <w:tcW w:w="1080" w:type="dxa"/>
            <w:tcBorders>
              <w:top w:val="nil"/>
              <w:left w:val="nil"/>
              <w:bottom w:val="single" w:color="000000" w:sz="8" w:space="0"/>
              <w:right w:val="single" w:color="000000" w:sz="8" w:space="0"/>
            </w:tcBorders>
            <w:shd w:val="clear" w:color="auto" w:fill="auto"/>
            <w:vAlign w:val="center"/>
          </w:tcPr>
          <w:p w14:paraId="3181342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A060807便器冲洗阀</w:t>
            </w:r>
          </w:p>
        </w:tc>
        <w:tc>
          <w:tcPr>
            <w:tcW w:w="1320" w:type="dxa"/>
            <w:tcBorders>
              <w:top w:val="nil"/>
              <w:left w:val="nil"/>
              <w:bottom w:val="single" w:color="000000" w:sz="8" w:space="0"/>
              <w:right w:val="single" w:color="000000" w:sz="8" w:space="0"/>
            </w:tcBorders>
            <w:shd w:val="clear" w:color="auto" w:fill="auto"/>
            <w:vAlign w:val="center"/>
          </w:tcPr>
          <w:p w14:paraId="7859BD5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1620" w:type="dxa"/>
            <w:tcBorders>
              <w:top w:val="nil"/>
              <w:left w:val="nil"/>
              <w:bottom w:val="single" w:color="000000" w:sz="8" w:space="0"/>
              <w:right w:val="single" w:color="000000" w:sz="8" w:space="0"/>
            </w:tcBorders>
            <w:shd w:val="clear" w:color="auto" w:fill="auto"/>
            <w:vAlign w:val="center"/>
          </w:tcPr>
          <w:p w14:paraId="70B5DFA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228FB88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《便器冲洗阀用水效率限定值及用水效率等级》（GB28379）</w:t>
            </w:r>
          </w:p>
        </w:tc>
      </w:tr>
      <w:tr w14:paraId="6FD3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shd w:val="clear" w:color="auto" w:fill="auto"/>
            <w:vAlign w:val="center"/>
          </w:tcPr>
          <w:p w14:paraId="3811801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18</w:t>
            </w:r>
          </w:p>
        </w:tc>
        <w:tc>
          <w:tcPr>
            <w:tcW w:w="1080" w:type="dxa"/>
            <w:tcBorders>
              <w:top w:val="nil"/>
              <w:left w:val="nil"/>
              <w:bottom w:val="single" w:color="000000" w:sz="8" w:space="0"/>
              <w:right w:val="single" w:color="000000" w:sz="8" w:space="0"/>
            </w:tcBorders>
            <w:shd w:val="clear" w:color="auto" w:fill="auto"/>
            <w:vAlign w:val="center"/>
          </w:tcPr>
          <w:p w14:paraId="179227D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A060810淋浴器</w:t>
            </w:r>
          </w:p>
        </w:tc>
        <w:tc>
          <w:tcPr>
            <w:tcW w:w="1320" w:type="dxa"/>
            <w:tcBorders>
              <w:top w:val="nil"/>
              <w:left w:val="nil"/>
              <w:bottom w:val="single" w:color="000000" w:sz="8" w:space="0"/>
              <w:right w:val="single" w:color="000000" w:sz="8" w:space="0"/>
            </w:tcBorders>
            <w:shd w:val="clear" w:color="auto" w:fill="auto"/>
            <w:vAlign w:val="center"/>
          </w:tcPr>
          <w:p w14:paraId="73DA42C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1620" w:type="dxa"/>
            <w:tcBorders>
              <w:top w:val="nil"/>
              <w:left w:val="nil"/>
              <w:bottom w:val="single" w:color="000000" w:sz="8" w:space="0"/>
              <w:right w:val="single" w:color="000000" w:sz="8" w:space="0"/>
            </w:tcBorders>
            <w:shd w:val="clear" w:color="auto" w:fill="auto"/>
            <w:vAlign w:val="center"/>
          </w:tcPr>
          <w:p w14:paraId="1BCAFC7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　</w:t>
            </w:r>
          </w:p>
        </w:tc>
        <w:tc>
          <w:tcPr>
            <w:tcW w:w="4540" w:type="dxa"/>
            <w:tcBorders>
              <w:top w:val="nil"/>
              <w:left w:val="nil"/>
              <w:bottom w:val="single" w:color="000000" w:sz="8" w:space="0"/>
              <w:right w:val="single" w:color="000000" w:sz="8" w:space="0"/>
            </w:tcBorders>
            <w:shd w:val="clear" w:color="auto" w:fill="auto"/>
            <w:vAlign w:val="center"/>
          </w:tcPr>
          <w:p w14:paraId="7866380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rPr>
            </w:pPr>
            <w:r>
              <w:rPr>
                <w:rFonts w:hint="eastAsia" w:ascii="宋体" w:hAnsi="宋体" w:eastAsia="宋体" w:cs="宋体"/>
                <w:snapToGrid w:val="0"/>
                <w:color w:val="auto"/>
                <w:kern w:val="0"/>
                <w:sz w:val="20"/>
                <w:szCs w:val="20"/>
                <w:highlight w:val="none"/>
                <w:lang w:val="en-US" w:eastAsia="zh-CN" w:bidi="ar"/>
              </w:rPr>
              <w:t>《淋浴器用水效率限定值及用水效率等级》（GB28378）</w:t>
            </w:r>
          </w:p>
        </w:tc>
      </w:tr>
    </w:tbl>
    <w:p w14:paraId="232400E0">
      <w:pPr>
        <w:pStyle w:val="9"/>
        <w:widowControl/>
        <w:spacing w:line="360" w:lineRule="auto"/>
        <w:rPr>
          <w:rFonts w:hint="eastAsia" w:ascii="宋体" w:hAnsi="宋体" w:eastAsia="宋体" w:cs="宋体"/>
          <w:color w:val="auto"/>
          <w:szCs w:val="21"/>
          <w:highlight w:val="none"/>
          <w:lang w:val="en-US"/>
        </w:rPr>
      </w:pPr>
      <w:r>
        <w:rPr>
          <w:rFonts w:hint="eastAsia" w:ascii="Times New Roman" w:hAnsi="Times New Roman" w:eastAsia="宋体" w:cs="宋体"/>
          <w:color w:val="auto"/>
          <w:spacing w:val="-3"/>
          <w:szCs w:val="21"/>
          <w:highlight w:val="none"/>
          <w:lang w:eastAsia="zh-CN"/>
        </w:rPr>
        <w:t>注：</w:t>
      </w:r>
      <w:r>
        <w:rPr>
          <w:color w:val="auto"/>
          <w:spacing w:val="-3"/>
          <w:szCs w:val="21"/>
          <w:highlight w:val="none"/>
          <w:lang w:val="en-US"/>
        </w:rPr>
        <w:t>1.</w:t>
      </w:r>
      <w:r>
        <w:rPr>
          <w:rFonts w:hint="eastAsia" w:ascii="Times New Roman" w:hAnsi="Times New Roman" w:eastAsia="宋体" w:cs="宋体"/>
          <w:color w:val="auto"/>
          <w:spacing w:val="-3"/>
          <w:szCs w:val="21"/>
          <w:highlight w:val="none"/>
          <w:lang w:eastAsia="zh-CN"/>
        </w:rPr>
        <w:t>节能产品认证应依据相关国家标准的最新版本，依据国家标准中二级能效（水效）</w:t>
      </w:r>
      <w:r>
        <w:rPr>
          <w:rFonts w:hint="eastAsia" w:ascii="Times New Roman" w:hAnsi="Times New Roman" w:eastAsia="宋体" w:cs="宋体"/>
          <w:color w:val="auto"/>
          <w:szCs w:val="21"/>
          <w:highlight w:val="none"/>
          <w:lang w:eastAsia="zh-CN"/>
        </w:rPr>
        <w:t>指标。</w:t>
      </w:r>
    </w:p>
    <w:p w14:paraId="375F71C8">
      <w:pPr>
        <w:rPr>
          <w:color w:val="auto"/>
          <w:highlight w:val="none"/>
        </w:rPr>
        <w:sectPr>
          <w:pgSz w:w="11906" w:h="16838"/>
          <w:pgMar w:top="1134" w:right="1134" w:bottom="1134" w:left="1134" w:header="851" w:footer="567" w:gutter="0"/>
          <w:pgNumType w:fmt="decimal"/>
          <w:cols w:space="720" w:num="1"/>
          <w:titlePg/>
          <w:rtlGutter w:val="0"/>
          <w:docGrid w:linePitch="312" w:charSpace="0"/>
        </w:sectPr>
      </w:pPr>
      <w:r>
        <w:rPr>
          <w:rFonts w:hAnsi="宋体"/>
          <w:color w:val="auto"/>
          <w:highlight w:val="none"/>
          <w:lang w:val="en-US"/>
        </w:rPr>
        <w:t xml:space="preserve">    </w:t>
      </w:r>
      <w:r>
        <w:rPr>
          <w:color w:val="auto"/>
          <w:highlight w:val="none"/>
          <w:lang w:val="en-US"/>
        </w:rPr>
        <w:t>2.</w:t>
      </w:r>
      <w:r>
        <w:rPr>
          <w:color w:val="auto"/>
          <w:highlight w:val="none"/>
          <w:lang w:eastAsia="zh-CN"/>
        </w:rPr>
        <w:t>以</w:t>
      </w:r>
      <w:r>
        <w:rPr>
          <w:rFonts w:hint="default" w:ascii="宋体" w:hAnsi="Courier New" w:cs="Times New Roman"/>
          <w:color w:val="auto"/>
          <w:highlight w:val="none"/>
          <w:lang w:val="en-US"/>
        </w:rPr>
        <w:t>“</w:t>
      </w:r>
      <w:r>
        <w:rPr>
          <w:color w:val="auto"/>
          <w:highlight w:val="none"/>
          <w:lang w:eastAsia="zh-CN"/>
        </w:rPr>
        <w:t>★</w:t>
      </w:r>
      <w:r>
        <w:rPr>
          <w:rFonts w:hint="default" w:ascii="宋体" w:hAnsi="Courier New" w:cs="Times New Roman"/>
          <w:color w:val="auto"/>
          <w:highlight w:val="none"/>
          <w:lang w:val="en-US"/>
        </w:rPr>
        <w:t>”</w:t>
      </w:r>
      <w:r>
        <w:rPr>
          <w:color w:val="auto"/>
          <w:highlight w:val="none"/>
          <w:lang w:eastAsia="zh-CN"/>
        </w:rPr>
        <w:t>标注的为政府强制采购产品。</w:t>
      </w:r>
      <w:r>
        <w:rPr>
          <w:color w:val="auto"/>
          <w:highlight w:val="none"/>
          <w:lang w:val="en-US"/>
        </w:rPr>
        <w:br w:type="page"/>
      </w:r>
    </w:p>
    <w:p w14:paraId="2C951112">
      <w:pPr>
        <w:pStyle w:val="11"/>
        <w:widowControl/>
        <w:jc w:val="left"/>
        <w:outlineLvl w:val="1"/>
        <w:rPr>
          <w:rFonts w:hint="eastAsia" w:ascii="Arial Unicode MS" w:hAnsi="Arial Unicode MS" w:eastAsia="Arial Unicode MS" w:cs="Arial Unicode MS"/>
          <w:color w:val="auto"/>
          <w:sz w:val="32"/>
          <w:szCs w:val="32"/>
          <w:highlight w:val="none"/>
          <w:lang w:val="en-US"/>
        </w:rPr>
      </w:pPr>
      <w:bookmarkStart w:id="68" w:name="_Toc13509"/>
      <w:r>
        <w:rPr>
          <w:rFonts w:hint="eastAsia" w:ascii="微软雅黑" w:hAnsi="微软雅黑" w:eastAsia="微软雅黑" w:cs="微软雅黑"/>
          <w:color w:val="auto"/>
          <w:sz w:val="32"/>
          <w:szCs w:val="32"/>
          <w:highlight w:val="none"/>
          <w:lang w:eastAsia="zh-CN"/>
        </w:rPr>
        <w:t>附件</w:t>
      </w:r>
      <w:r>
        <w:rPr>
          <w:rFonts w:hint="eastAsia" w:ascii="微软雅黑" w:hAnsi="微软雅黑" w:eastAsia="微软雅黑" w:cs="微软雅黑"/>
          <w:color w:val="auto"/>
          <w:sz w:val="32"/>
          <w:szCs w:val="32"/>
          <w:highlight w:val="none"/>
          <w:lang w:val="en-US" w:eastAsia="zh-CN"/>
        </w:rPr>
        <w:t>2</w:t>
      </w:r>
      <w:r>
        <w:rPr>
          <w:rFonts w:hint="eastAsia" w:ascii="微软雅黑" w:hAnsi="微软雅黑" w:eastAsia="微软雅黑" w:cs="微软雅黑"/>
          <w:color w:val="auto"/>
          <w:sz w:val="32"/>
          <w:szCs w:val="32"/>
          <w:highlight w:val="none"/>
          <w:lang w:eastAsia="zh-CN"/>
        </w:rPr>
        <w:t>：</w:t>
      </w:r>
      <w:bookmarkEnd w:id="68"/>
    </w:p>
    <w:p w14:paraId="5091B5E2">
      <w:pPr>
        <w:keepNext w:val="0"/>
        <w:keepLines w:val="0"/>
        <w:widowControl w:val="0"/>
        <w:suppressLineNumbers w:val="0"/>
        <w:spacing w:before="0" w:beforeAutospacing="0" w:after="0" w:afterAutospacing="0" w:line="528" w:lineRule="exact"/>
        <w:ind w:left="1871" w:right="0"/>
        <w:jc w:val="both"/>
        <w:rPr>
          <w:rFonts w:hint="eastAsia" w:ascii="Arial Unicode MS" w:hAnsi="Arial Unicode MS" w:eastAsia="Arial Unicode MS" w:cs="Arial Unicode MS"/>
          <w:color w:val="auto"/>
          <w:sz w:val="40"/>
          <w:szCs w:val="40"/>
          <w:highlight w:val="none"/>
          <w:lang w:val="en-US"/>
        </w:rPr>
      </w:pPr>
      <w:r>
        <w:rPr>
          <w:rFonts w:hint="eastAsia" w:ascii="微软雅黑" w:hAnsi="微软雅黑" w:eastAsia="微软雅黑" w:cs="微软雅黑"/>
          <w:color w:val="auto"/>
          <w:kern w:val="2"/>
          <w:sz w:val="40"/>
          <w:szCs w:val="40"/>
          <w:highlight w:val="none"/>
          <w:lang w:val="en-US" w:eastAsia="zh-CN" w:bidi="ar"/>
        </w:rPr>
        <w:t>中小微企业划型标准</w:t>
      </w:r>
    </w:p>
    <w:tbl>
      <w:tblPr>
        <w:tblStyle w:val="18"/>
        <w:tblW w:w="9495"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4"/>
        <w:gridCol w:w="1983"/>
        <w:gridCol w:w="850"/>
        <w:gridCol w:w="1841"/>
        <w:gridCol w:w="1701"/>
        <w:gridCol w:w="1134"/>
      </w:tblGrid>
      <w:tr w14:paraId="3D06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6A961AB1">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行业名称</w:t>
            </w:r>
          </w:p>
        </w:tc>
        <w:tc>
          <w:tcPr>
            <w:tcW w:w="1984" w:type="dxa"/>
            <w:tcBorders>
              <w:top w:val="single" w:color="auto" w:sz="4" w:space="0"/>
              <w:left w:val="nil"/>
              <w:bottom w:val="single" w:color="auto" w:sz="4" w:space="0"/>
              <w:right w:val="single" w:color="auto" w:sz="4" w:space="0"/>
            </w:tcBorders>
            <w:shd w:val="clear" w:color="auto" w:fill="auto"/>
            <w:vAlign w:val="center"/>
          </w:tcPr>
          <w:p w14:paraId="65B52859">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指标名称</w:t>
            </w:r>
          </w:p>
        </w:tc>
        <w:tc>
          <w:tcPr>
            <w:tcW w:w="851" w:type="dxa"/>
            <w:tcBorders>
              <w:top w:val="single" w:color="auto" w:sz="4" w:space="0"/>
              <w:left w:val="nil"/>
              <w:bottom w:val="single" w:color="auto" w:sz="4" w:space="0"/>
              <w:right w:val="single" w:color="auto" w:sz="4" w:space="0"/>
            </w:tcBorders>
            <w:shd w:val="clear" w:color="auto" w:fill="auto"/>
            <w:vAlign w:val="center"/>
          </w:tcPr>
          <w:p w14:paraId="41D80F0D">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计量单位</w:t>
            </w:r>
          </w:p>
        </w:tc>
        <w:tc>
          <w:tcPr>
            <w:tcW w:w="1842" w:type="dxa"/>
            <w:tcBorders>
              <w:top w:val="single" w:color="auto" w:sz="4" w:space="0"/>
              <w:left w:val="nil"/>
              <w:bottom w:val="single" w:color="auto" w:sz="4" w:space="0"/>
              <w:right w:val="single" w:color="auto" w:sz="4" w:space="0"/>
            </w:tcBorders>
            <w:shd w:val="clear" w:color="auto" w:fill="auto"/>
            <w:vAlign w:val="center"/>
          </w:tcPr>
          <w:p w14:paraId="60214E6C">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中型</w:t>
            </w:r>
          </w:p>
        </w:tc>
        <w:tc>
          <w:tcPr>
            <w:tcW w:w="1702" w:type="dxa"/>
            <w:tcBorders>
              <w:top w:val="single" w:color="auto" w:sz="4" w:space="0"/>
              <w:left w:val="nil"/>
              <w:bottom w:val="single" w:color="auto" w:sz="4" w:space="0"/>
              <w:right w:val="single" w:color="auto" w:sz="4" w:space="0"/>
            </w:tcBorders>
            <w:shd w:val="clear" w:color="auto" w:fill="auto"/>
            <w:vAlign w:val="center"/>
          </w:tcPr>
          <w:p w14:paraId="6D092F1C">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小型</w:t>
            </w:r>
          </w:p>
        </w:tc>
        <w:tc>
          <w:tcPr>
            <w:tcW w:w="1135" w:type="dxa"/>
            <w:tcBorders>
              <w:top w:val="single" w:color="auto" w:sz="4" w:space="0"/>
              <w:left w:val="nil"/>
              <w:bottom w:val="single" w:color="auto" w:sz="4" w:space="0"/>
              <w:right w:val="single" w:color="auto" w:sz="4" w:space="0"/>
            </w:tcBorders>
            <w:shd w:val="clear" w:color="auto" w:fill="auto"/>
            <w:vAlign w:val="center"/>
          </w:tcPr>
          <w:p w14:paraId="73087184">
            <w:pPr>
              <w:keepNext w:val="0"/>
              <w:keepLines w:val="0"/>
              <w:widowControl/>
              <w:suppressLineNumbers w:val="0"/>
              <w:spacing w:before="0" w:beforeAutospacing="0" w:after="0" w:afterAutospacing="0"/>
              <w:ind w:left="0" w:right="0"/>
              <w:jc w:val="left"/>
              <w:rPr>
                <w:rFonts w:hint="eastAsia" w:ascii="仿宋_GB2312" w:hAnsi="仿宋" w:eastAsia="仿宋_GB2312" w:cs="宋体"/>
                <w:b/>
                <w:bCs w:val="0"/>
                <w:color w:val="auto"/>
                <w:kern w:val="0"/>
                <w:sz w:val="21"/>
                <w:szCs w:val="21"/>
                <w:highlight w:val="none"/>
                <w:lang w:val="en-US"/>
              </w:rPr>
            </w:pPr>
            <w:r>
              <w:rPr>
                <w:rFonts w:hint="eastAsia" w:ascii="仿宋_GB2312" w:hAnsi="仿宋" w:eastAsia="仿宋_GB2312" w:cs="宋体"/>
                <w:b/>
                <w:bCs w:val="0"/>
                <w:color w:val="auto"/>
                <w:kern w:val="0"/>
                <w:sz w:val="21"/>
                <w:szCs w:val="21"/>
                <w:highlight w:val="none"/>
                <w:lang w:val="en-US" w:eastAsia="zh-CN" w:bidi="ar"/>
              </w:rPr>
              <w:t>微型</w:t>
            </w:r>
          </w:p>
        </w:tc>
      </w:tr>
      <w:tr w14:paraId="5799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shd w:val="clear" w:color="auto" w:fill="auto"/>
            <w:vAlign w:val="bottom"/>
          </w:tcPr>
          <w:p w14:paraId="47B61D58">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农、林、牧、渔</w:t>
            </w:r>
          </w:p>
        </w:tc>
        <w:tc>
          <w:tcPr>
            <w:tcW w:w="1984" w:type="dxa"/>
            <w:tcBorders>
              <w:top w:val="nil"/>
              <w:left w:val="nil"/>
              <w:bottom w:val="single" w:color="auto" w:sz="4" w:space="0"/>
              <w:right w:val="single" w:color="auto" w:sz="4" w:space="0"/>
            </w:tcBorders>
            <w:shd w:val="clear" w:color="auto" w:fill="auto"/>
            <w:vAlign w:val="center"/>
          </w:tcPr>
          <w:p w14:paraId="269C120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1883F4F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632B346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500≤Y＜20000</w:t>
            </w:r>
          </w:p>
        </w:tc>
        <w:tc>
          <w:tcPr>
            <w:tcW w:w="1702" w:type="dxa"/>
            <w:tcBorders>
              <w:top w:val="nil"/>
              <w:left w:val="nil"/>
              <w:bottom w:val="single" w:color="auto" w:sz="4" w:space="0"/>
              <w:right w:val="single" w:color="auto" w:sz="4" w:space="0"/>
            </w:tcBorders>
            <w:shd w:val="clear" w:color="auto" w:fill="auto"/>
            <w:vAlign w:val="center"/>
          </w:tcPr>
          <w:p w14:paraId="6AF9F05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50≤Y＜500</w:t>
            </w:r>
          </w:p>
        </w:tc>
        <w:tc>
          <w:tcPr>
            <w:tcW w:w="1135" w:type="dxa"/>
            <w:tcBorders>
              <w:top w:val="nil"/>
              <w:left w:val="nil"/>
              <w:bottom w:val="single" w:color="auto" w:sz="4" w:space="0"/>
              <w:right w:val="single" w:color="auto" w:sz="4" w:space="0"/>
            </w:tcBorders>
            <w:shd w:val="clear" w:color="auto" w:fill="auto"/>
            <w:vAlign w:val="center"/>
          </w:tcPr>
          <w:p w14:paraId="523171B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Y＜50</w:t>
            </w:r>
          </w:p>
        </w:tc>
      </w:tr>
      <w:tr w14:paraId="321B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66146157">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工业</w:t>
            </w:r>
          </w:p>
        </w:tc>
        <w:tc>
          <w:tcPr>
            <w:tcW w:w="1984" w:type="dxa"/>
            <w:tcBorders>
              <w:top w:val="nil"/>
              <w:left w:val="nil"/>
              <w:bottom w:val="single" w:color="auto" w:sz="4" w:space="0"/>
              <w:right w:val="single" w:color="auto" w:sz="4" w:space="0"/>
            </w:tcBorders>
            <w:shd w:val="clear" w:color="auto" w:fill="auto"/>
            <w:vAlign w:val="center"/>
          </w:tcPr>
          <w:p w14:paraId="4866572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310299F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6471ECE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300≤X＜1000</w:t>
            </w:r>
          </w:p>
        </w:tc>
        <w:tc>
          <w:tcPr>
            <w:tcW w:w="1702" w:type="dxa"/>
            <w:tcBorders>
              <w:top w:val="nil"/>
              <w:left w:val="nil"/>
              <w:bottom w:val="single" w:color="auto" w:sz="4" w:space="0"/>
              <w:right w:val="single" w:color="auto" w:sz="4" w:space="0"/>
            </w:tcBorders>
            <w:shd w:val="clear" w:color="auto" w:fill="auto"/>
            <w:vAlign w:val="center"/>
          </w:tcPr>
          <w:p w14:paraId="4AE2F6C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20≤X＜300</w:t>
            </w:r>
          </w:p>
        </w:tc>
        <w:tc>
          <w:tcPr>
            <w:tcW w:w="1135" w:type="dxa"/>
            <w:tcBorders>
              <w:top w:val="nil"/>
              <w:left w:val="nil"/>
              <w:bottom w:val="single" w:color="auto" w:sz="4" w:space="0"/>
              <w:right w:val="single" w:color="auto" w:sz="4" w:space="0"/>
            </w:tcBorders>
            <w:shd w:val="clear" w:color="auto" w:fill="auto"/>
            <w:vAlign w:val="center"/>
          </w:tcPr>
          <w:p w14:paraId="2B18C64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X＜20</w:t>
            </w:r>
          </w:p>
        </w:tc>
      </w:tr>
      <w:tr w14:paraId="1254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1E9F1202">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20B9CA6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3148B4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5BEF7B7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2000≤Y＜40000</w:t>
            </w:r>
          </w:p>
        </w:tc>
        <w:tc>
          <w:tcPr>
            <w:tcW w:w="1702" w:type="dxa"/>
            <w:tcBorders>
              <w:top w:val="nil"/>
              <w:left w:val="nil"/>
              <w:bottom w:val="single" w:color="auto" w:sz="4" w:space="0"/>
              <w:right w:val="single" w:color="auto" w:sz="4" w:space="0"/>
            </w:tcBorders>
            <w:shd w:val="clear" w:color="auto" w:fill="auto"/>
            <w:vAlign w:val="center"/>
          </w:tcPr>
          <w:p w14:paraId="68616C3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300≤Y＜2000</w:t>
            </w:r>
          </w:p>
        </w:tc>
        <w:tc>
          <w:tcPr>
            <w:tcW w:w="1135" w:type="dxa"/>
            <w:tcBorders>
              <w:top w:val="nil"/>
              <w:left w:val="nil"/>
              <w:bottom w:val="single" w:color="auto" w:sz="4" w:space="0"/>
              <w:right w:val="single" w:color="auto" w:sz="4" w:space="0"/>
            </w:tcBorders>
            <w:shd w:val="clear" w:color="auto" w:fill="auto"/>
            <w:vAlign w:val="center"/>
          </w:tcPr>
          <w:p w14:paraId="06EE4B5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Y＜300</w:t>
            </w:r>
          </w:p>
        </w:tc>
      </w:tr>
      <w:tr w14:paraId="5836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3D2B0809">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建筑业</w:t>
            </w:r>
          </w:p>
        </w:tc>
        <w:tc>
          <w:tcPr>
            <w:tcW w:w="1984" w:type="dxa"/>
            <w:tcBorders>
              <w:top w:val="nil"/>
              <w:left w:val="nil"/>
              <w:bottom w:val="single" w:color="auto" w:sz="4" w:space="0"/>
              <w:right w:val="single" w:color="auto" w:sz="4" w:space="0"/>
            </w:tcBorders>
            <w:shd w:val="clear" w:color="auto" w:fill="auto"/>
            <w:vAlign w:val="center"/>
          </w:tcPr>
          <w:p w14:paraId="438D882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061D5B4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3E12E0C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6000≤Y＜80000</w:t>
            </w:r>
          </w:p>
        </w:tc>
        <w:tc>
          <w:tcPr>
            <w:tcW w:w="1702" w:type="dxa"/>
            <w:tcBorders>
              <w:top w:val="nil"/>
              <w:left w:val="nil"/>
              <w:bottom w:val="single" w:color="auto" w:sz="4" w:space="0"/>
              <w:right w:val="single" w:color="auto" w:sz="4" w:space="0"/>
            </w:tcBorders>
            <w:shd w:val="clear" w:color="auto" w:fill="auto"/>
            <w:vAlign w:val="center"/>
          </w:tcPr>
          <w:p w14:paraId="7D3B382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300≤Y＜6000</w:t>
            </w:r>
          </w:p>
        </w:tc>
        <w:tc>
          <w:tcPr>
            <w:tcW w:w="1135" w:type="dxa"/>
            <w:tcBorders>
              <w:top w:val="nil"/>
              <w:left w:val="nil"/>
              <w:bottom w:val="single" w:color="auto" w:sz="4" w:space="0"/>
              <w:right w:val="single" w:color="auto" w:sz="4" w:space="0"/>
            </w:tcBorders>
            <w:shd w:val="clear" w:color="auto" w:fill="auto"/>
            <w:vAlign w:val="center"/>
          </w:tcPr>
          <w:p w14:paraId="29FF7A8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Y＜300</w:t>
            </w:r>
          </w:p>
        </w:tc>
      </w:tr>
      <w:tr w14:paraId="7CCE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F17DE47">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47A26AE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资产总额（Z）</w:t>
            </w:r>
          </w:p>
        </w:tc>
        <w:tc>
          <w:tcPr>
            <w:tcW w:w="851" w:type="dxa"/>
            <w:tcBorders>
              <w:top w:val="nil"/>
              <w:left w:val="nil"/>
              <w:bottom w:val="single" w:color="auto" w:sz="4" w:space="0"/>
              <w:right w:val="single" w:color="auto" w:sz="4" w:space="0"/>
            </w:tcBorders>
            <w:shd w:val="clear" w:color="auto" w:fill="auto"/>
            <w:vAlign w:val="center"/>
          </w:tcPr>
          <w:p w14:paraId="17FB125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02ED572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5000≤Z＜80000</w:t>
            </w:r>
          </w:p>
        </w:tc>
        <w:tc>
          <w:tcPr>
            <w:tcW w:w="1702" w:type="dxa"/>
            <w:tcBorders>
              <w:top w:val="nil"/>
              <w:left w:val="nil"/>
              <w:bottom w:val="single" w:color="auto" w:sz="4" w:space="0"/>
              <w:right w:val="single" w:color="auto" w:sz="4" w:space="0"/>
            </w:tcBorders>
            <w:shd w:val="clear" w:color="auto" w:fill="auto"/>
            <w:vAlign w:val="center"/>
          </w:tcPr>
          <w:p w14:paraId="16E55C3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300≤Z＜5000</w:t>
            </w:r>
          </w:p>
        </w:tc>
        <w:tc>
          <w:tcPr>
            <w:tcW w:w="1135" w:type="dxa"/>
            <w:tcBorders>
              <w:top w:val="nil"/>
              <w:left w:val="nil"/>
              <w:bottom w:val="single" w:color="auto" w:sz="4" w:space="0"/>
              <w:right w:val="single" w:color="auto" w:sz="4" w:space="0"/>
            </w:tcBorders>
            <w:shd w:val="clear" w:color="auto" w:fill="auto"/>
            <w:vAlign w:val="center"/>
          </w:tcPr>
          <w:p w14:paraId="1ED3E47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Z＜300</w:t>
            </w:r>
          </w:p>
        </w:tc>
      </w:tr>
      <w:tr w14:paraId="6255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7A85ECB8">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批发业</w:t>
            </w:r>
          </w:p>
        </w:tc>
        <w:tc>
          <w:tcPr>
            <w:tcW w:w="1984" w:type="dxa"/>
            <w:tcBorders>
              <w:top w:val="nil"/>
              <w:left w:val="nil"/>
              <w:bottom w:val="single" w:color="auto" w:sz="4" w:space="0"/>
              <w:right w:val="single" w:color="auto" w:sz="4" w:space="0"/>
            </w:tcBorders>
            <w:shd w:val="clear" w:color="auto" w:fill="auto"/>
            <w:vAlign w:val="center"/>
          </w:tcPr>
          <w:p w14:paraId="540CCA2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7A037DE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6045875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20≤X＜200</w:t>
            </w:r>
          </w:p>
        </w:tc>
        <w:tc>
          <w:tcPr>
            <w:tcW w:w="1702" w:type="dxa"/>
            <w:tcBorders>
              <w:top w:val="nil"/>
              <w:left w:val="nil"/>
              <w:bottom w:val="single" w:color="auto" w:sz="4" w:space="0"/>
              <w:right w:val="single" w:color="auto" w:sz="4" w:space="0"/>
            </w:tcBorders>
            <w:shd w:val="clear" w:color="auto" w:fill="auto"/>
            <w:vAlign w:val="center"/>
          </w:tcPr>
          <w:p w14:paraId="53A410B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5≤X＜20</w:t>
            </w:r>
          </w:p>
        </w:tc>
        <w:tc>
          <w:tcPr>
            <w:tcW w:w="1135" w:type="dxa"/>
            <w:tcBorders>
              <w:top w:val="nil"/>
              <w:left w:val="nil"/>
              <w:bottom w:val="single" w:color="auto" w:sz="4" w:space="0"/>
              <w:right w:val="single" w:color="auto" w:sz="4" w:space="0"/>
            </w:tcBorders>
            <w:shd w:val="clear" w:color="auto" w:fill="auto"/>
            <w:vAlign w:val="center"/>
          </w:tcPr>
          <w:p w14:paraId="707C0BF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X＜5</w:t>
            </w:r>
          </w:p>
        </w:tc>
      </w:tr>
      <w:tr w14:paraId="3B71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0654443C">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6C98541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1D3D019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6AF680E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5000≤Y＜40000</w:t>
            </w:r>
          </w:p>
        </w:tc>
        <w:tc>
          <w:tcPr>
            <w:tcW w:w="1702" w:type="dxa"/>
            <w:tcBorders>
              <w:top w:val="nil"/>
              <w:left w:val="nil"/>
              <w:bottom w:val="single" w:color="auto" w:sz="4" w:space="0"/>
              <w:right w:val="single" w:color="auto" w:sz="4" w:space="0"/>
            </w:tcBorders>
            <w:shd w:val="clear" w:color="auto" w:fill="auto"/>
            <w:vAlign w:val="center"/>
          </w:tcPr>
          <w:p w14:paraId="27DA1CB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1000≤Y＜5000</w:t>
            </w:r>
          </w:p>
        </w:tc>
        <w:tc>
          <w:tcPr>
            <w:tcW w:w="1135" w:type="dxa"/>
            <w:tcBorders>
              <w:top w:val="nil"/>
              <w:left w:val="nil"/>
              <w:bottom w:val="single" w:color="auto" w:sz="4" w:space="0"/>
              <w:right w:val="single" w:color="auto" w:sz="4" w:space="0"/>
            </w:tcBorders>
            <w:shd w:val="clear" w:color="auto" w:fill="auto"/>
            <w:vAlign w:val="center"/>
          </w:tcPr>
          <w:p w14:paraId="294186D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Y＜1000</w:t>
            </w:r>
          </w:p>
        </w:tc>
      </w:tr>
      <w:tr w14:paraId="512F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64248ED9">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零售业</w:t>
            </w:r>
          </w:p>
        </w:tc>
        <w:tc>
          <w:tcPr>
            <w:tcW w:w="1984" w:type="dxa"/>
            <w:tcBorders>
              <w:top w:val="nil"/>
              <w:left w:val="nil"/>
              <w:bottom w:val="single" w:color="auto" w:sz="4" w:space="0"/>
              <w:right w:val="single" w:color="auto" w:sz="4" w:space="0"/>
            </w:tcBorders>
            <w:shd w:val="clear" w:color="auto" w:fill="auto"/>
            <w:vAlign w:val="center"/>
          </w:tcPr>
          <w:p w14:paraId="2ADD1C7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3DF55EF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5297E10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50≤X＜300</w:t>
            </w:r>
          </w:p>
        </w:tc>
        <w:tc>
          <w:tcPr>
            <w:tcW w:w="1702" w:type="dxa"/>
            <w:tcBorders>
              <w:top w:val="nil"/>
              <w:left w:val="nil"/>
              <w:bottom w:val="single" w:color="auto" w:sz="4" w:space="0"/>
              <w:right w:val="single" w:color="auto" w:sz="4" w:space="0"/>
            </w:tcBorders>
            <w:shd w:val="clear" w:color="auto" w:fill="auto"/>
            <w:vAlign w:val="center"/>
          </w:tcPr>
          <w:p w14:paraId="305A257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10≤X＜50</w:t>
            </w:r>
          </w:p>
        </w:tc>
        <w:tc>
          <w:tcPr>
            <w:tcW w:w="1135" w:type="dxa"/>
            <w:tcBorders>
              <w:top w:val="nil"/>
              <w:left w:val="nil"/>
              <w:bottom w:val="single" w:color="auto" w:sz="4" w:space="0"/>
              <w:right w:val="single" w:color="auto" w:sz="4" w:space="0"/>
            </w:tcBorders>
            <w:shd w:val="clear" w:color="auto" w:fill="auto"/>
            <w:vAlign w:val="center"/>
          </w:tcPr>
          <w:p w14:paraId="602AF1D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4F23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7B322707">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20A8300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AD335B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72CE95B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500≤Y＜20000</w:t>
            </w:r>
          </w:p>
        </w:tc>
        <w:tc>
          <w:tcPr>
            <w:tcW w:w="1702" w:type="dxa"/>
            <w:tcBorders>
              <w:top w:val="nil"/>
              <w:left w:val="nil"/>
              <w:bottom w:val="single" w:color="auto" w:sz="4" w:space="0"/>
              <w:right w:val="single" w:color="auto" w:sz="4" w:space="0"/>
            </w:tcBorders>
            <w:shd w:val="clear" w:color="auto" w:fill="auto"/>
            <w:vAlign w:val="center"/>
          </w:tcPr>
          <w:p w14:paraId="5A69DD2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100≤Y＜500</w:t>
            </w:r>
          </w:p>
        </w:tc>
        <w:tc>
          <w:tcPr>
            <w:tcW w:w="1135" w:type="dxa"/>
            <w:tcBorders>
              <w:top w:val="nil"/>
              <w:left w:val="nil"/>
              <w:bottom w:val="single" w:color="auto" w:sz="4" w:space="0"/>
              <w:right w:val="single" w:color="auto" w:sz="4" w:space="0"/>
            </w:tcBorders>
            <w:shd w:val="clear" w:color="auto" w:fill="auto"/>
            <w:vAlign w:val="center"/>
          </w:tcPr>
          <w:p w14:paraId="1181CF2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32A1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554F90DC">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交通运输业</w:t>
            </w:r>
          </w:p>
        </w:tc>
        <w:tc>
          <w:tcPr>
            <w:tcW w:w="1984" w:type="dxa"/>
            <w:tcBorders>
              <w:top w:val="nil"/>
              <w:left w:val="nil"/>
              <w:bottom w:val="single" w:color="auto" w:sz="4" w:space="0"/>
              <w:right w:val="single" w:color="auto" w:sz="4" w:space="0"/>
            </w:tcBorders>
            <w:shd w:val="clear" w:color="auto" w:fill="auto"/>
            <w:vAlign w:val="center"/>
          </w:tcPr>
          <w:p w14:paraId="3725878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5E3541E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7CE57F5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300≤X＜1000</w:t>
            </w:r>
          </w:p>
        </w:tc>
        <w:tc>
          <w:tcPr>
            <w:tcW w:w="1702" w:type="dxa"/>
            <w:tcBorders>
              <w:top w:val="nil"/>
              <w:left w:val="nil"/>
              <w:bottom w:val="single" w:color="auto" w:sz="4" w:space="0"/>
              <w:right w:val="single" w:color="auto" w:sz="4" w:space="0"/>
            </w:tcBorders>
            <w:shd w:val="clear" w:color="auto" w:fill="auto"/>
            <w:vAlign w:val="center"/>
          </w:tcPr>
          <w:p w14:paraId="0FFA0C2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20≤X＜300</w:t>
            </w:r>
          </w:p>
        </w:tc>
        <w:tc>
          <w:tcPr>
            <w:tcW w:w="1135" w:type="dxa"/>
            <w:tcBorders>
              <w:top w:val="nil"/>
              <w:left w:val="nil"/>
              <w:bottom w:val="single" w:color="auto" w:sz="4" w:space="0"/>
              <w:right w:val="single" w:color="auto" w:sz="4" w:space="0"/>
            </w:tcBorders>
            <w:shd w:val="clear" w:color="auto" w:fill="auto"/>
            <w:vAlign w:val="center"/>
          </w:tcPr>
          <w:p w14:paraId="533D8D1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X＜20</w:t>
            </w:r>
          </w:p>
        </w:tc>
      </w:tr>
      <w:tr w14:paraId="3DEC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7ACC2360">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1E5621F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25CB7C5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4E4C6BD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3000≤Y＜30000</w:t>
            </w:r>
          </w:p>
        </w:tc>
        <w:tc>
          <w:tcPr>
            <w:tcW w:w="1702" w:type="dxa"/>
            <w:tcBorders>
              <w:top w:val="nil"/>
              <w:left w:val="nil"/>
              <w:bottom w:val="single" w:color="auto" w:sz="4" w:space="0"/>
              <w:right w:val="single" w:color="auto" w:sz="4" w:space="0"/>
            </w:tcBorders>
            <w:shd w:val="clear" w:color="auto" w:fill="auto"/>
            <w:vAlign w:val="center"/>
          </w:tcPr>
          <w:p w14:paraId="7995E7A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200≤Y＜3000</w:t>
            </w:r>
          </w:p>
        </w:tc>
        <w:tc>
          <w:tcPr>
            <w:tcW w:w="1135" w:type="dxa"/>
            <w:tcBorders>
              <w:top w:val="nil"/>
              <w:left w:val="nil"/>
              <w:bottom w:val="single" w:color="auto" w:sz="4" w:space="0"/>
              <w:right w:val="single" w:color="auto" w:sz="4" w:space="0"/>
            </w:tcBorders>
            <w:shd w:val="clear" w:color="auto" w:fill="auto"/>
            <w:vAlign w:val="center"/>
          </w:tcPr>
          <w:p w14:paraId="2BCF14D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Y＜200</w:t>
            </w:r>
          </w:p>
        </w:tc>
      </w:tr>
      <w:tr w14:paraId="0430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4AF46BAB">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仓储业</w:t>
            </w:r>
          </w:p>
        </w:tc>
        <w:tc>
          <w:tcPr>
            <w:tcW w:w="1984" w:type="dxa"/>
            <w:tcBorders>
              <w:top w:val="nil"/>
              <w:left w:val="nil"/>
              <w:bottom w:val="single" w:color="auto" w:sz="4" w:space="0"/>
              <w:right w:val="single" w:color="auto" w:sz="4" w:space="0"/>
            </w:tcBorders>
            <w:shd w:val="clear" w:color="auto" w:fill="auto"/>
            <w:vAlign w:val="center"/>
          </w:tcPr>
          <w:p w14:paraId="2697CA3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C75BBB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572C10C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100≤X＜200</w:t>
            </w:r>
          </w:p>
        </w:tc>
        <w:tc>
          <w:tcPr>
            <w:tcW w:w="1702" w:type="dxa"/>
            <w:tcBorders>
              <w:top w:val="nil"/>
              <w:left w:val="nil"/>
              <w:bottom w:val="single" w:color="auto" w:sz="4" w:space="0"/>
              <w:right w:val="single" w:color="auto" w:sz="4" w:space="0"/>
            </w:tcBorders>
            <w:shd w:val="clear" w:color="auto" w:fill="auto"/>
            <w:vAlign w:val="center"/>
          </w:tcPr>
          <w:p w14:paraId="2A82563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20≤X＜100</w:t>
            </w:r>
          </w:p>
        </w:tc>
        <w:tc>
          <w:tcPr>
            <w:tcW w:w="1135" w:type="dxa"/>
            <w:tcBorders>
              <w:top w:val="nil"/>
              <w:left w:val="nil"/>
              <w:bottom w:val="single" w:color="auto" w:sz="4" w:space="0"/>
              <w:right w:val="single" w:color="auto" w:sz="4" w:space="0"/>
            </w:tcBorders>
            <w:shd w:val="clear" w:color="auto" w:fill="auto"/>
            <w:vAlign w:val="center"/>
          </w:tcPr>
          <w:p w14:paraId="31770F3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X＜20</w:t>
            </w:r>
          </w:p>
        </w:tc>
      </w:tr>
      <w:tr w14:paraId="182C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2D6DE625">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0D7BBAF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A16EBC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7CDFB81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1000≤Y＜30000</w:t>
            </w:r>
          </w:p>
        </w:tc>
        <w:tc>
          <w:tcPr>
            <w:tcW w:w="1702" w:type="dxa"/>
            <w:tcBorders>
              <w:top w:val="nil"/>
              <w:left w:val="nil"/>
              <w:bottom w:val="single" w:color="auto" w:sz="4" w:space="0"/>
              <w:right w:val="single" w:color="auto" w:sz="4" w:space="0"/>
            </w:tcBorders>
            <w:shd w:val="clear" w:color="auto" w:fill="auto"/>
            <w:vAlign w:val="center"/>
          </w:tcPr>
          <w:p w14:paraId="3C7E1A2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100≤Y＜1000</w:t>
            </w:r>
          </w:p>
        </w:tc>
        <w:tc>
          <w:tcPr>
            <w:tcW w:w="1135" w:type="dxa"/>
            <w:tcBorders>
              <w:top w:val="nil"/>
              <w:left w:val="nil"/>
              <w:bottom w:val="single" w:color="auto" w:sz="4" w:space="0"/>
              <w:right w:val="single" w:color="auto" w:sz="4" w:space="0"/>
            </w:tcBorders>
            <w:shd w:val="clear" w:color="auto" w:fill="auto"/>
            <w:vAlign w:val="center"/>
          </w:tcPr>
          <w:p w14:paraId="6149408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5CFB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124A63FA">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邮政业</w:t>
            </w:r>
          </w:p>
        </w:tc>
        <w:tc>
          <w:tcPr>
            <w:tcW w:w="1984" w:type="dxa"/>
            <w:tcBorders>
              <w:top w:val="nil"/>
              <w:left w:val="nil"/>
              <w:bottom w:val="single" w:color="auto" w:sz="4" w:space="0"/>
              <w:right w:val="single" w:color="auto" w:sz="4" w:space="0"/>
            </w:tcBorders>
            <w:shd w:val="clear" w:color="auto" w:fill="auto"/>
            <w:vAlign w:val="center"/>
          </w:tcPr>
          <w:p w14:paraId="29A6DC3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4A1A647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4CB02E0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300≤X＜1000</w:t>
            </w:r>
          </w:p>
        </w:tc>
        <w:tc>
          <w:tcPr>
            <w:tcW w:w="1702" w:type="dxa"/>
            <w:tcBorders>
              <w:top w:val="nil"/>
              <w:left w:val="nil"/>
              <w:bottom w:val="single" w:color="auto" w:sz="4" w:space="0"/>
              <w:right w:val="single" w:color="auto" w:sz="4" w:space="0"/>
            </w:tcBorders>
            <w:shd w:val="clear" w:color="auto" w:fill="auto"/>
            <w:vAlign w:val="center"/>
          </w:tcPr>
          <w:p w14:paraId="0ED13E4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20≤X＜300</w:t>
            </w:r>
          </w:p>
        </w:tc>
        <w:tc>
          <w:tcPr>
            <w:tcW w:w="1135" w:type="dxa"/>
            <w:tcBorders>
              <w:top w:val="nil"/>
              <w:left w:val="nil"/>
              <w:bottom w:val="single" w:color="auto" w:sz="4" w:space="0"/>
              <w:right w:val="single" w:color="auto" w:sz="4" w:space="0"/>
            </w:tcBorders>
            <w:shd w:val="clear" w:color="auto" w:fill="auto"/>
            <w:vAlign w:val="center"/>
          </w:tcPr>
          <w:p w14:paraId="36B4089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X＜20</w:t>
            </w:r>
          </w:p>
        </w:tc>
      </w:tr>
      <w:tr w14:paraId="31F9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5D665621">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505861B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7F2719C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12CA9D3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2000≤Y＜30000</w:t>
            </w:r>
          </w:p>
        </w:tc>
        <w:tc>
          <w:tcPr>
            <w:tcW w:w="1702" w:type="dxa"/>
            <w:tcBorders>
              <w:top w:val="nil"/>
              <w:left w:val="nil"/>
              <w:bottom w:val="single" w:color="auto" w:sz="4" w:space="0"/>
              <w:right w:val="single" w:color="auto" w:sz="4" w:space="0"/>
            </w:tcBorders>
            <w:shd w:val="clear" w:color="auto" w:fill="auto"/>
            <w:vAlign w:val="center"/>
          </w:tcPr>
          <w:p w14:paraId="1B5E53A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100≤Y＜2000</w:t>
            </w:r>
          </w:p>
        </w:tc>
        <w:tc>
          <w:tcPr>
            <w:tcW w:w="1135" w:type="dxa"/>
            <w:tcBorders>
              <w:top w:val="nil"/>
              <w:left w:val="nil"/>
              <w:bottom w:val="single" w:color="auto" w:sz="4" w:space="0"/>
              <w:right w:val="single" w:color="auto" w:sz="4" w:space="0"/>
            </w:tcBorders>
            <w:shd w:val="clear" w:color="auto" w:fill="auto"/>
            <w:vAlign w:val="center"/>
          </w:tcPr>
          <w:p w14:paraId="28DE428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1DF2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0D407979">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住宿业</w:t>
            </w:r>
          </w:p>
        </w:tc>
        <w:tc>
          <w:tcPr>
            <w:tcW w:w="1984" w:type="dxa"/>
            <w:tcBorders>
              <w:top w:val="nil"/>
              <w:left w:val="nil"/>
              <w:bottom w:val="single" w:color="auto" w:sz="4" w:space="0"/>
              <w:right w:val="single" w:color="auto" w:sz="4" w:space="0"/>
            </w:tcBorders>
            <w:shd w:val="clear" w:color="auto" w:fill="auto"/>
            <w:vAlign w:val="center"/>
          </w:tcPr>
          <w:p w14:paraId="102AA9C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29BB885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65CEAA1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702" w:type="dxa"/>
            <w:tcBorders>
              <w:top w:val="nil"/>
              <w:left w:val="nil"/>
              <w:bottom w:val="single" w:color="auto" w:sz="4" w:space="0"/>
              <w:right w:val="single" w:color="auto" w:sz="4" w:space="0"/>
            </w:tcBorders>
            <w:shd w:val="clear" w:color="auto" w:fill="auto"/>
            <w:vAlign w:val="center"/>
          </w:tcPr>
          <w:p w14:paraId="5AFD4E0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0B561C2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329C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6BA6F014">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770350F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2C6EBEC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1C8A072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2000≤Y＜10000</w:t>
            </w:r>
          </w:p>
        </w:tc>
        <w:tc>
          <w:tcPr>
            <w:tcW w:w="1702" w:type="dxa"/>
            <w:tcBorders>
              <w:top w:val="nil"/>
              <w:left w:val="nil"/>
              <w:bottom w:val="single" w:color="auto" w:sz="4" w:space="0"/>
              <w:right w:val="single" w:color="auto" w:sz="4" w:space="0"/>
            </w:tcBorders>
            <w:shd w:val="clear" w:color="auto" w:fill="auto"/>
            <w:vAlign w:val="center"/>
          </w:tcPr>
          <w:p w14:paraId="06C1067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100≤Y＜2000</w:t>
            </w:r>
          </w:p>
        </w:tc>
        <w:tc>
          <w:tcPr>
            <w:tcW w:w="1135" w:type="dxa"/>
            <w:tcBorders>
              <w:top w:val="nil"/>
              <w:left w:val="nil"/>
              <w:bottom w:val="single" w:color="auto" w:sz="4" w:space="0"/>
              <w:right w:val="single" w:color="auto" w:sz="4" w:space="0"/>
            </w:tcBorders>
            <w:shd w:val="clear" w:color="auto" w:fill="auto"/>
            <w:vAlign w:val="center"/>
          </w:tcPr>
          <w:p w14:paraId="4CB0D2E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6C15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1F3BF230">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餐饮业</w:t>
            </w:r>
          </w:p>
        </w:tc>
        <w:tc>
          <w:tcPr>
            <w:tcW w:w="1984" w:type="dxa"/>
            <w:tcBorders>
              <w:top w:val="nil"/>
              <w:left w:val="nil"/>
              <w:bottom w:val="single" w:color="auto" w:sz="4" w:space="0"/>
              <w:right w:val="single" w:color="auto" w:sz="4" w:space="0"/>
            </w:tcBorders>
            <w:shd w:val="clear" w:color="auto" w:fill="auto"/>
            <w:vAlign w:val="center"/>
          </w:tcPr>
          <w:p w14:paraId="4FE4393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35EB751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0D07621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702" w:type="dxa"/>
            <w:tcBorders>
              <w:top w:val="nil"/>
              <w:left w:val="nil"/>
              <w:bottom w:val="single" w:color="auto" w:sz="4" w:space="0"/>
              <w:right w:val="single" w:color="auto" w:sz="4" w:space="0"/>
            </w:tcBorders>
            <w:shd w:val="clear" w:color="auto" w:fill="auto"/>
            <w:vAlign w:val="center"/>
          </w:tcPr>
          <w:p w14:paraId="12AC361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5C529C4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15DE3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3FDA23E2">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018D6C7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30441B5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08C6EBF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2000≤Y＜10000</w:t>
            </w:r>
          </w:p>
        </w:tc>
        <w:tc>
          <w:tcPr>
            <w:tcW w:w="1702" w:type="dxa"/>
            <w:tcBorders>
              <w:top w:val="nil"/>
              <w:left w:val="nil"/>
              <w:bottom w:val="single" w:color="auto" w:sz="4" w:space="0"/>
              <w:right w:val="single" w:color="auto" w:sz="4" w:space="0"/>
            </w:tcBorders>
            <w:shd w:val="clear" w:color="auto" w:fill="auto"/>
            <w:vAlign w:val="center"/>
          </w:tcPr>
          <w:p w14:paraId="6110862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100≤Y＜2000</w:t>
            </w:r>
          </w:p>
        </w:tc>
        <w:tc>
          <w:tcPr>
            <w:tcW w:w="1135" w:type="dxa"/>
            <w:tcBorders>
              <w:top w:val="nil"/>
              <w:left w:val="nil"/>
              <w:bottom w:val="single" w:color="auto" w:sz="4" w:space="0"/>
              <w:right w:val="single" w:color="auto" w:sz="4" w:space="0"/>
            </w:tcBorders>
            <w:shd w:val="clear" w:color="auto" w:fill="auto"/>
            <w:vAlign w:val="center"/>
          </w:tcPr>
          <w:p w14:paraId="40685B8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7CDF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36A72E3F">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信息传输业</w:t>
            </w:r>
          </w:p>
        </w:tc>
        <w:tc>
          <w:tcPr>
            <w:tcW w:w="1984" w:type="dxa"/>
            <w:tcBorders>
              <w:top w:val="nil"/>
              <w:left w:val="nil"/>
              <w:bottom w:val="single" w:color="auto" w:sz="4" w:space="0"/>
              <w:right w:val="single" w:color="auto" w:sz="4" w:space="0"/>
            </w:tcBorders>
            <w:shd w:val="clear" w:color="auto" w:fill="auto"/>
            <w:vAlign w:val="center"/>
          </w:tcPr>
          <w:p w14:paraId="6BD2C75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0CCB1478">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0FDA201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100≤X＜2000</w:t>
            </w:r>
          </w:p>
        </w:tc>
        <w:tc>
          <w:tcPr>
            <w:tcW w:w="1702" w:type="dxa"/>
            <w:tcBorders>
              <w:top w:val="nil"/>
              <w:left w:val="nil"/>
              <w:bottom w:val="single" w:color="auto" w:sz="4" w:space="0"/>
              <w:right w:val="single" w:color="auto" w:sz="4" w:space="0"/>
            </w:tcBorders>
            <w:shd w:val="clear" w:color="auto" w:fill="auto"/>
            <w:vAlign w:val="center"/>
          </w:tcPr>
          <w:p w14:paraId="20C4C3B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7245132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74BA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5D44E2B3">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2C93017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5EDA231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25DF11E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1000≤Y＜100000</w:t>
            </w:r>
          </w:p>
        </w:tc>
        <w:tc>
          <w:tcPr>
            <w:tcW w:w="1702" w:type="dxa"/>
            <w:tcBorders>
              <w:top w:val="nil"/>
              <w:left w:val="nil"/>
              <w:bottom w:val="single" w:color="auto" w:sz="4" w:space="0"/>
              <w:right w:val="single" w:color="auto" w:sz="4" w:space="0"/>
            </w:tcBorders>
            <w:shd w:val="clear" w:color="auto" w:fill="auto"/>
            <w:vAlign w:val="center"/>
          </w:tcPr>
          <w:p w14:paraId="467340D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100≤Y＜1000</w:t>
            </w:r>
          </w:p>
        </w:tc>
        <w:tc>
          <w:tcPr>
            <w:tcW w:w="1135" w:type="dxa"/>
            <w:tcBorders>
              <w:top w:val="nil"/>
              <w:left w:val="nil"/>
              <w:bottom w:val="single" w:color="auto" w:sz="4" w:space="0"/>
              <w:right w:val="single" w:color="auto" w:sz="4" w:space="0"/>
            </w:tcBorders>
            <w:shd w:val="clear" w:color="auto" w:fill="auto"/>
            <w:vAlign w:val="center"/>
          </w:tcPr>
          <w:p w14:paraId="44AD9B5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5206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0BFEE82F">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软件和信息技术服务业</w:t>
            </w:r>
          </w:p>
        </w:tc>
        <w:tc>
          <w:tcPr>
            <w:tcW w:w="1984" w:type="dxa"/>
            <w:tcBorders>
              <w:top w:val="nil"/>
              <w:left w:val="nil"/>
              <w:bottom w:val="single" w:color="auto" w:sz="4" w:space="0"/>
              <w:right w:val="single" w:color="auto" w:sz="4" w:space="0"/>
            </w:tcBorders>
            <w:shd w:val="clear" w:color="auto" w:fill="auto"/>
            <w:vAlign w:val="center"/>
          </w:tcPr>
          <w:p w14:paraId="47ECF15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3E4AEDB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02F100A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702" w:type="dxa"/>
            <w:tcBorders>
              <w:top w:val="nil"/>
              <w:left w:val="nil"/>
              <w:bottom w:val="single" w:color="auto" w:sz="4" w:space="0"/>
              <w:right w:val="single" w:color="auto" w:sz="4" w:space="0"/>
            </w:tcBorders>
            <w:shd w:val="clear" w:color="auto" w:fill="auto"/>
            <w:vAlign w:val="center"/>
          </w:tcPr>
          <w:p w14:paraId="340ECBD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49336C07">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029B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5BB28DBE">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587FA18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2A3181F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4F1A689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1000≤Y＜10000</w:t>
            </w:r>
          </w:p>
        </w:tc>
        <w:tc>
          <w:tcPr>
            <w:tcW w:w="1702" w:type="dxa"/>
            <w:tcBorders>
              <w:top w:val="nil"/>
              <w:left w:val="nil"/>
              <w:bottom w:val="single" w:color="auto" w:sz="4" w:space="0"/>
              <w:right w:val="single" w:color="auto" w:sz="4" w:space="0"/>
            </w:tcBorders>
            <w:shd w:val="clear" w:color="auto" w:fill="auto"/>
            <w:vAlign w:val="center"/>
          </w:tcPr>
          <w:p w14:paraId="3E7C4FD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50≤Y＜1000</w:t>
            </w:r>
          </w:p>
        </w:tc>
        <w:tc>
          <w:tcPr>
            <w:tcW w:w="1135" w:type="dxa"/>
            <w:tcBorders>
              <w:top w:val="nil"/>
              <w:left w:val="nil"/>
              <w:bottom w:val="single" w:color="auto" w:sz="4" w:space="0"/>
              <w:right w:val="single" w:color="auto" w:sz="4" w:space="0"/>
            </w:tcBorders>
            <w:shd w:val="clear" w:color="auto" w:fill="auto"/>
            <w:vAlign w:val="center"/>
          </w:tcPr>
          <w:p w14:paraId="7BCAD72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Y＜50</w:t>
            </w:r>
          </w:p>
        </w:tc>
      </w:tr>
      <w:tr w14:paraId="4151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5EC47D53">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房地产开发经营</w:t>
            </w:r>
          </w:p>
        </w:tc>
        <w:tc>
          <w:tcPr>
            <w:tcW w:w="1984" w:type="dxa"/>
            <w:tcBorders>
              <w:top w:val="nil"/>
              <w:left w:val="nil"/>
              <w:bottom w:val="single" w:color="auto" w:sz="4" w:space="0"/>
              <w:right w:val="single" w:color="auto" w:sz="4" w:space="0"/>
            </w:tcBorders>
            <w:shd w:val="clear" w:color="auto" w:fill="auto"/>
            <w:vAlign w:val="center"/>
          </w:tcPr>
          <w:p w14:paraId="502FCEC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3F171B9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34D66CA3">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1000≤Y＜200000</w:t>
            </w:r>
          </w:p>
        </w:tc>
        <w:tc>
          <w:tcPr>
            <w:tcW w:w="1702" w:type="dxa"/>
            <w:tcBorders>
              <w:top w:val="nil"/>
              <w:left w:val="nil"/>
              <w:bottom w:val="single" w:color="auto" w:sz="4" w:space="0"/>
              <w:right w:val="single" w:color="auto" w:sz="4" w:space="0"/>
            </w:tcBorders>
            <w:shd w:val="clear" w:color="auto" w:fill="auto"/>
            <w:vAlign w:val="center"/>
          </w:tcPr>
          <w:p w14:paraId="545EA65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100≤X＜1000</w:t>
            </w:r>
          </w:p>
        </w:tc>
        <w:tc>
          <w:tcPr>
            <w:tcW w:w="1135" w:type="dxa"/>
            <w:tcBorders>
              <w:top w:val="nil"/>
              <w:left w:val="nil"/>
              <w:bottom w:val="single" w:color="auto" w:sz="4" w:space="0"/>
              <w:right w:val="single" w:color="auto" w:sz="4" w:space="0"/>
            </w:tcBorders>
            <w:shd w:val="clear" w:color="auto" w:fill="auto"/>
            <w:vAlign w:val="center"/>
          </w:tcPr>
          <w:p w14:paraId="48F7FCF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X＜100</w:t>
            </w:r>
          </w:p>
        </w:tc>
      </w:tr>
      <w:tr w14:paraId="43D12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1B0C3A43">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60AB851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资产总额（Z）</w:t>
            </w:r>
          </w:p>
        </w:tc>
        <w:tc>
          <w:tcPr>
            <w:tcW w:w="851" w:type="dxa"/>
            <w:tcBorders>
              <w:top w:val="nil"/>
              <w:left w:val="nil"/>
              <w:bottom w:val="single" w:color="auto" w:sz="4" w:space="0"/>
              <w:right w:val="single" w:color="auto" w:sz="4" w:space="0"/>
            </w:tcBorders>
            <w:shd w:val="clear" w:color="auto" w:fill="auto"/>
            <w:vAlign w:val="center"/>
          </w:tcPr>
          <w:p w14:paraId="1B1DE86D">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1AB3EDEA">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5000≤Z＜10000</w:t>
            </w:r>
          </w:p>
        </w:tc>
        <w:tc>
          <w:tcPr>
            <w:tcW w:w="1702" w:type="dxa"/>
            <w:tcBorders>
              <w:top w:val="nil"/>
              <w:left w:val="nil"/>
              <w:bottom w:val="single" w:color="auto" w:sz="4" w:space="0"/>
              <w:right w:val="single" w:color="auto" w:sz="4" w:space="0"/>
            </w:tcBorders>
            <w:shd w:val="clear" w:color="auto" w:fill="auto"/>
            <w:vAlign w:val="center"/>
          </w:tcPr>
          <w:p w14:paraId="7DEDA5B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2000≤Y＜5000</w:t>
            </w:r>
          </w:p>
        </w:tc>
        <w:tc>
          <w:tcPr>
            <w:tcW w:w="1135" w:type="dxa"/>
            <w:tcBorders>
              <w:top w:val="nil"/>
              <w:left w:val="nil"/>
              <w:bottom w:val="single" w:color="auto" w:sz="4" w:space="0"/>
              <w:right w:val="single" w:color="auto" w:sz="4" w:space="0"/>
            </w:tcBorders>
            <w:shd w:val="clear" w:color="auto" w:fill="auto"/>
            <w:vAlign w:val="center"/>
          </w:tcPr>
          <w:p w14:paraId="092D000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Y＜2000</w:t>
            </w:r>
          </w:p>
        </w:tc>
      </w:tr>
      <w:tr w14:paraId="1E0D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39C1B1B7">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物业管理</w:t>
            </w:r>
          </w:p>
        </w:tc>
        <w:tc>
          <w:tcPr>
            <w:tcW w:w="1984" w:type="dxa"/>
            <w:tcBorders>
              <w:top w:val="nil"/>
              <w:left w:val="nil"/>
              <w:bottom w:val="single" w:color="auto" w:sz="4" w:space="0"/>
              <w:right w:val="single" w:color="auto" w:sz="4" w:space="0"/>
            </w:tcBorders>
            <w:shd w:val="clear" w:color="auto" w:fill="auto"/>
            <w:vAlign w:val="center"/>
          </w:tcPr>
          <w:p w14:paraId="076C775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2E1D07A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7DF1D899">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300≤X＜1000</w:t>
            </w:r>
          </w:p>
        </w:tc>
        <w:tc>
          <w:tcPr>
            <w:tcW w:w="1702" w:type="dxa"/>
            <w:tcBorders>
              <w:top w:val="nil"/>
              <w:left w:val="nil"/>
              <w:bottom w:val="single" w:color="auto" w:sz="4" w:space="0"/>
              <w:right w:val="single" w:color="auto" w:sz="4" w:space="0"/>
            </w:tcBorders>
            <w:shd w:val="clear" w:color="auto" w:fill="auto"/>
            <w:vAlign w:val="center"/>
          </w:tcPr>
          <w:p w14:paraId="7ED9E30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135" w:type="dxa"/>
            <w:tcBorders>
              <w:top w:val="nil"/>
              <w:left w:val="nil"/>
              <w:bottom w:val="single" w:color="auto" w:sz="4" w:space="0"/>
              <w:right w:val="single" w:color="auto" w:sz="4" w:space="0"/>
            </w:tcBorders>
            <w:shd w:val="clear" w:color="auto" w:fill="auto"/>
            <w:vAlign w:val="center"/>
          </w:tcPr>
          <w:p w14:paraId="59D25DA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X＜100</w:t>
            </w:r>
          </w:p>
        </w:tc>
      </w:tr>
      <w:tr w14:paraId="1D6FB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74A421A6">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6DF081C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营业收入（Y）</w:t>
            </w:r>
          </w:p>
        </w:tc>
        <w:tc>
          <w:tcPr>
            <w:tcW w:w="851" w:type="dxa"/>
            <w:tcBorders>
              <w:top w:val="nil"/>
              <w:left w:val="nil"/>
              <w:bottom w:val="single" w:color="auto" w:sz="4" w:space="0"/>
              <w:right w:val="single" w:color="auto" w:sz="4" w:space="0"/>
            </w:tcBorders>
            <w:shd w:val="clear" w:color="auto" w:fill="auto"/>
            <w:vAlign w:val="center"/>
          </w:tcPr>
          <w:p w14:paraId="1547D8F6">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7D75793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1000≤Y＜5000</w:t>
            </w:r>
          </w:p>
        </w:tc>
        <w:tc>
          <w:tcPr>
            <w:tcW w:w="1702" w:type="dxa"/>
            <w:tcBorders>
              <w:top w:val="nil"/>
              <w:left w:val="nil"/>
              <w:bottom w:val="single" w:color="auto" w:sz="4" w:space="0"/>
              <w:right w:val="single" w:color="auto" w:sz="4" w:space="0"/>
            </w:tcBorders>
            <w:shd w:val="clear" w:color="auto" w:fill="auto"/>
            <w:vAlign w:val="center"/>
          </w:tcPr>
          <w:p w14:paraId="37ACFD5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500≤Y＜1000</w:t>
            </w:r>
          </w:p>
        </w:tc>
        <w:tc>
          <w:tcPr>
            <w:tcW w:w="1135" w:type="dxa"/>
            <w:tcBorders>
              <w:top w:val="nil"/>
              <w:left w:val="nil"/>
              <w:bottom w:val="single" w:color="auto" w:sz="4" w:space="0"/>
              <w:right w:val="single" w:color="auto" w:sz="4" w:space="0"/>
            </w:tcBorders>
            <w:shd w:val="clear" w:color="auto" w:fill="auto"/>
            <w:vAlign w:val="center"/>
          </w:tcPr>
          <w:p w14:paraId="477EF28E">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Y＜500</w:t>
            </w:r>
          </w:p>
        </w:tc>
      </w:tr>
      <w:tr w14:paraId="1A3E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bottom"/>
          </w:tcPr>
          <w:p w14:paraId="000D9BA2">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租赁和商务服务业</w:t>
            </w:r>
          </w:p>
        </w:tc>
        <w:tc>
          <w:tcPr>
            <w:tcW w:w="1984" w:type="dxa"/>
            <w:tcBorders>
              <w:top w:val="nil"/>
              <w:left w:val="nil"/>
              <w:bottom w:val="single" w:color="auto" w:sz="4" w:space="0"/>
              <w:right w:val="single" w:color="auto" w:sz="4" w:space="0"/>
            </w:tcBorders>
            <w:shd w:val="clear" w:color="auto" w:fill="auto"/>
            <w:vAlign w:val="center"/>
          </w:tcPr>
          <w:p w14:paraId="2C77F04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2F92E18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255B4EA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702" w:type="dxa"/>
            <w:tcBorders>
              <w:top w:val="nil"/>
              <w:left w:val="nil"/>
              <w:bottom w:val="single" w:color="auto" w:sz="4" w:space="0"/>
              <w:right w:val="single" w:color="auto" w:sz="4" w:space="0"/>
            </w:tcBorders>
            <w:shd w:val="clear" w:color="auto" w:fill="auto"/>
            <w:vAlign w:val="center"/>
          </w:tcPr>
          <w:p w14:paraId="1741EAA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7DB40A2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r w14:paraId="462D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vAlign w:val="bottom"/>
          </w:tcPr>
          <w:p w14:paraId="13BB03DF">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984" w:type="dxa"/>
            <w:tcBorders>
              <w:top w:val="nil"/>
              <w:left w:val="nil"/>
              <w:bottom w:val="single" w:color="auto" w:sz="4" w:space="0"/>
              <w:right w:val="single" w:color="auto" w:sz="4" w:space="0"/>
            </w:tcBorders>
            <w:shd w:val="clear" w:color="auto" w:fill="auto"/>
            <w:vAlign w:val="center"/>
          </w:tcPr>
          <w:p w14:paraId="1010ABD0">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资产总额（Z）</w:t>
            </w:r>
          </w:p>
        </w:tc>
        <w:tc>
          <w:tcPr>
            <w:tcW w:w="851" w:type="dxa"/>
            <w:tcBorders>
              <w:top w:val="nil"/>
              <w:left w:val="nil"/>
              <w:bottom w:val="single" w:color="auto" w:sz="4" w:space="0"/>
              <w:right w:val="single" w:color="auto" w:sz="4" w:space="0"/>
            </w:tcBorders>
            <w:shd w:val="clear" w:color="auto" w:fill="auto"/>
            <w:vAlign w:val="center"/>
          </w:tcPr>
          <w:p w14:paraId="5C139BFC">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万元</w:t>
            </w:r>
          </w:p>
        </w:tc>
        <w:tc>
          <w:tcPr>
            <w:tcW w:w="1842" w:type="dxa"/>
            <w:tcBorders>
              <w:top w:val="nil"/>
              <w:left w:val="nil"/>
              <w:bottom w:val="single" w:color="auto" w:sz="4" w:space="0"/>
              <w:right w:val="single" w:color="auto" w:sz="4" w:space="0"/>
            </w:tcBorders>
            <w:shd w:val="clear" w:color="auto" w:fill="auto"/>
            <w:vAlign w:val="center"/>
          </w:tcPr>
          <w:p w14:paraId="2F6EF2E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8000≤Z＜120000</w:t>
            </w:r>
          </w:p>
        </w:tc>
        <w:tc>
          <w:tcPr>
            <w:tcW w:w="1702" w:type="dxa"/>
            <w:tcBorders>
              <w:top w:val="nil"/>
              <w:left w:val="nil"/>
              <w:bottom w:val="single" w:color="auto" w:sz="4" w:space="0"/>
              <w:right w:val="single" w:color="auto" w:sz="4" w:space="0"/>
            </w:tcBorders>
            <w:shd w:val="clear" w:color="auto" w:fill="auto"/>
            <w:vAlign w:val="center"/>
          </w:tcPr>
          <w:p w14:paraId="042D561F">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100≤Z＜8000</w:t>
            </w:r>
          </w:p>
        </w:tc>
        <w:tc>
          <w:tcPr>
            <w:tcW w:w="1135" w:type="dxa"/>
            <w:tcBorders>
              <w:top w:val="nil"/>
              <w:left w:val="nil"/>
              <w:bottom w:val="single" w:color="auto" w:sz="4" w:space="0"/>
              <w:right w:val="single" w:color="auto" w:sz="4" w:space="0"/>
            </w:tcBorders>
            <w:shd w:val="clear" w:color="auto" w:fill="auto"/>
            <w:vAlign w:val="center"/>
          </w:tcPr>
          <w:p w14:paraId="314D8DD1">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Y＜100</w:t>
            </w:r>
          </w:p>
        </w:tc>
      </w:tr>
      <w:tr w14:paraId="47E3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shd w:val="clear" w:color="auto" w:fill="auto"/>
            <w:vAlign w:val="bottom"/>
          </w:tcPr>
          <w:p w14:paraId="38C9C284">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21"/>
                <w:szCs w:val="21"/>
                <w:highlight w:val="none"/>
                <w:lang w:val="en-US"/>
              </w:rPr>
            </w:pPr>
            <w:r>
              <w:rPr>
                <w:rFonts w:hint="eastAsia" w:ascii="仿宋_GB2312" w:hAnsi="仿宋" w:eastAsia="仿宋_GB2312" w:cs="宋体"/>
                <w:b/>
                <w:bCs/>
                <w:color w:val="auto"/>
                <w:kern w:val="0"/>
                <w:sz w:val="21"/>
                <w:szCs w:val="21"/>
                <w:highlight w:val="none"/>
                <w:lang w:val="en-US" w:eastAsia="zh-CN" w:bidi="ar"/>
              </w:rPr>
              <w:t>其他未列明行业</w:t>
            </w:r>
          </w:p>
        </w:tc>
        <w:tc>
          <w:tcPr>
            <w:tcW w:w="1984" w:type="dxa"/>
            <w:tcBorders>
              <w:top w:val="nil"/>
              <w:left w:val="nil"/>
              <w:bottom w:val="single" w:color="auto" w:sz="4" w:space="0"/>
              <w:right w:val="single" w:color="auto" w:sz="4" w:space="0"/>
            </w:tcBorders>
            <w:shd w:val="clear" w:color="auto" w:fill="auto"/>
            <w:vAlign w:val="center"/>
          </w:tcPr>
          <w:p w14:paraId="245504FB">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从业人员（X）</w:t>
            </w:r>
          </w:p>
        </w:tc>
        <w:tc>
          <w:tcPr>
            <w:tcW w:w="851" w:type="dxa"/>
            <w:tcBorders>
              <w:top w:val="nil"/>
              <w:left w:val="nil"/>
              <w:bottom w:val="single" w:color="auto" w:sz="4" w:space="0"/>
              <w:right w:val="single" w:color="auto" w:sz="4" w:space="0"/>
            </w:tcBorders>
            <w:shd w:val="clear" w:color="auto" w:fill="auto"/>
            <w:vAlign w:val="center"/>
          </w:tcPr>
          <w:p w14:paraId="29DBBE6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人</w:t>
            </w:r>
          </w:p>
        </w:tc>
        <w:tc>
          <w:tcPr>
            <w:tcW w:w="1842" w:type="dxa"/>
            <w:tcBorders>
              <w:top w:val="nil"/>
              <w:left w:val="nil"/>
              <w:bottom w:val="single" w:color="auto" w:sz="4" w:space="0"/>
              <w:right w:val="single" w:color="auto" w:sz="4" w:space="0"/>
            </w:tcBorders>
            <w:shd w:val="clear" w:color="auto" w:fill="auto"/>
            <w:vAlign w:val="center"/>
          </w:tcPr>
          <w:p w14:paraId="22121004">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100≤X＜300</w:t>
            </w:r>
          </w:p>
        </w:tc>
        <w:tc>
          <w:tcPr>
            <w:tcW w:w="1702" w:type="dxa"/>
            <w:tcBorders>
              <w:top w:val="nil"/>
              <w:left w:val="nil"/>
              <w:bottom w:val="single" w:color="auto" w:sz="4" w:space="0"/>
              <w:right w:val="single" w:color="auto" w:sz="4" w:space="0"/>
            </w:tcBorders>
            <w:shd w:val="clear" w:color="auto" w:fill="auto"/>
            <w:vAlign w:val="center"/>
          </w:tcPr>
          <w:p w14:paraId="309EC5A2">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10≤X＜100</w:t>
            </w:r>
          </w:p>
        </w:tc>
        <w:tc>
          <w:tcPr>
            <w:tcW w:w="1135" w:type="dxa"/>
            <w:tcBorders>
              <w:top w:val="nil"/>
              <w:left w:val="nil"/>
              <w:bottom w:val="single" w:color="auto" w:sz="4" w:space="0"/>
              <w:right w:val="single" w:color="auto" w:sz="4" w:space="0"/>
            </w:tcBorders>
            <w:shd w:val="clear" w:color="auto" w:fill="auto"/>
            <w:vAlign w:val="center"/>
          </w:tcPr>
          <w:p w14:paraId="5C18C845">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21"/>
                <w:szCs w:val="21"/>
                <w:highlight w:val="none"/>
                <w:lang w:val="en-US"/>
              </w:rPr>
            </w:pPr>
            <w:r>
              <w:rPr>
                <w:rFonts w:hint="eastAsia" w:ascii="仿宋_GB2312" w:hAnsi="仿宋" w:eastAsia="仿宋_GB2312" w:cs="宋体"/>
                <w:color w:val="auto"/>
                <w:kern w:val="0"/>
                <w:sz w:val="21"/>
                <w:szCs w:val="21"/>
                <w:highlight w:val="none"/>
                <w:lang w:val="en-US" w:eastAsia="zh-CN" w:bidi="ar"/>
              </w:rPr>
              <w:t>X＜10</w:t>
            </w:r>
          </w:p>
        </w:tc>
      </w:tr>
    </w:tbl>
    <w:p w14:paraId="54F23B6C">
      <w:pPr>
        <w:keepNext w:val="0"/>
        <w:keepLines w:val="0"/>
        <w:widowControl w:val="0"/>
        <w:suppressLineNumbers w:val="0"/>
        <w:spacing w:before="0" w:beforeAutospacing="0" w:after="0" w:afterAutospacing="0" w:line="560" w:lineRule="exact"/>
        <w:ind w:left="0" w:right="0" w:firstLine="525" w:firstLineChars="250"/>
        <w:jc w:val="both"/>
        <w:rPr>
          <w:rFonts w:hint="eastAsia" w:ascii="仿宋_GB2312" w:hAnsi="仿宋" w:eastAsia="仿宋_GB2312" w:cs="仿宋_GB2312"/>
          <w:color w:val="auto"/>
          <w:szCs w:val="21"/>
          <w:highlight w:val="none"/>
          <w:lang w:val="en-US"/>
        </w:rPr>
      </w:pPr>
      <w:r>
        <w:rPr>
          <w:rFonts w:hint="eastAsia" w:ascii="仿宋_GB2312" w:hAnsi="仿宋" w:eastAsia="仿宋_GB2312" w:cs="仿宋_GB2312"/>
          <w:color w:val="auto"/>
          <w:kern w:val="2"/>
          <w:sz w:val="21"/>
          <w:szCs w:val="21"/>
          <w:highlight w:val="none"/>
          <w:lang w:val="en-US" w:eastAsia="zh-CN" w:bidi="ar"/>
        </w:rPr>
        <w:t>说明：上述标准参照《关于印发中小企业划型标准规定的通知》（工信部联企业[2011]300号），大型、中型和小型企业须同时满足所列指标的下限，否则下划一档；微型企业只须满足所列指标中的一项即可。</w:t>
      </w:r>
    </w:p>
    <w:p w14:paraId="601EE112">
      <w:pPr>
        <w:rPr>
          <w:rFonts w:hint="eastAsia" w:ascii="宋体" w:hAnsi="宋体" w:eastAsia="宋体" w:cs="Times New Roman"/>
          <w:color w:val="auto"/>
          <w:sz w:val="20"/>
          <w:szCs w:val="21"/>
          <w:highlight w:val="none"/>
          <w:lang w:val="en-US" w:eastAsia="zh-CN" w:bidi="ar"/>
        </w:rPr>
        <w:sectPr>
          <w:pgSz w:w="11906" w:h="16838"/>
          <w:pgMar w:top="1135" w:right="1135" w:bottom="1135" w:left="1135" w:header="720" w:footer="720" w:gutter="0"/>
          <w:pgNumType w:fmt="decimal"/>
          <w:cols w:space="425" w:num="1"/>
          <w:docGrid w:type="lines" w:linePitch="331" w:charSpace="0"/>
        </w:sectPr>
      </w:pPr>
    </w:p>
    <w:p w14:paraId="35B5621F">
      <w:pPr>
        <w:pStyle w:val="2"/>
        <w:keepNext w:val="0"/>
        <w:keepLines w:val="0"/>
        <w:tabs>
          <w:tab w:val="left" w:pos="0"/>
          <w:tab w:val="left" w:pos="3165"/>
          <w:tab w:val="center" w:pos="4153"/>
        </w:tabs>
        <w:autoSpaceDE w:val="0"/>
        <w:autoSpaceDN w:val="0"/>
        <w:adjustRightInd w:val="0"/>
        <w:spacing w:before="0" w:after="0" w:line="360" w:lineRule="auto"/>
        <w:rPr>
          <w:color w:val="auto"/>
          <w:highlight w:val="none"/>
        </w:rPr>
      </w:pPr>
      <w:bookmarkStart w:id="69" w:name="_Toc32601"/>
      <w:r>
        <w:rPr>
          <w:rFonts w:hint="eastAsia"/>
          <w:color w:val="auto"/>
          <w:highlight w:val="none"/>
        </w:rPr>
        <w:t>第三章 投标人须知</w:t>
      </w:r>
      <w:bookmarkEnd w:id="66"/>
      <w:bookmarkEnd w:id="69"/>
    </w:p>
    <w:p w14:paraId="27472626">
      <w:pPr>
        <w:spacing w:line="360" w:lineRule="auto"/>
        <w:jc w:val="center"/>
        <w:rPr>
          <w:rFonts w:ascii="宋体" w:hAnsi="宋体"/>
          <w:b/>
          <w:color w:val="auto"/>
          <w:kern w:val="0"/>
          <w:sz w:val="30"/>
          <w:szCs w:val="30"/>
          <w:highlight w:val="none"/>
        </w:rPr>
      </w:pPr>
      <w:bookmarkStart w:id="70" w:name="_Toc254970526"/>
      <w:bookmarkStart w:id="71" w:name="_Toc254970667"/>
      <w:r>
        <w:rPr>
          <w:rFonts w:hint="eastAsia" w:ascii="宋体" w:hAnsi="宋体"/>
          <w:b/>
          <w:color w:val="auto"/>
          <w:kern w:val="0"/>
          <w:sz w:val="30"/>
          <w:szCs w:val="30"/>
          <w:highlight w:val="none"/>
        </w:rPr>
        <w:t>投标人须知前附表</w:t>
      </w:r>
      <w:bookmarkEnd w:id="70"/>
      <w:bookmarkEnd w:id="71"/>
    </w:p>
    <w:tbl>
      <w:tblPr>
        <w:tblStyle w:val="18"/>
        <w:tblW w:w="9662"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2"/>
        <w:gridCol w:w="2071"/>
        <w:gridCol w:w="6719"/>
      </w:tblGrid>
      <w:tr w14:paraId="4AFFD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2E7A3915">
            <w:pPr>
              <w:snapToGrid w:val="0"/>
              <w:spacing w:line="440" w:lineRule="exact"/>
              <w:jc w:val="left"/>
              <w:rPr>
                <w:rFonts w:hint="eastAsia" w:ascii="宋体" w:hAnsi="宋体"/>
                <w:b/>
                <w:bCs/>
                <w:color w:val="auto"/>
                <w:szCs w:val="21"/>
                <w:highlight w:val="none"/>
              </w:rPr>
            </w:pPr>
            <w:r>
              <w:rPr>
                <w:rFonts w:hint="eastAsia" w:ascii="宋体" w:hAnsi="宋体"/>
                <w:b/>
                <w:bCs/>
                <w:color w:val="auto"/>
                <w:szCs w:val="21"/>
                <w:highlight w:val="none"/>
              </w:rPr>
              <w:t>条款号</w:t>
            </w:r>
          </w:p>
        </w:tc>
        <w:tc>
          <w:tcPr>
            <w:tcW w:w="2071" w:type="dxa"/>
            <w:tcBorders>
              <w:top w:val="single" w:color="auto" w:sz="4" w:space="0"/>
              <w:left w:val="single" w:color="auto" w:sz="4" w:space="0"/>
              <w:bottom w:val="single" w:color="auto" w:sz="4" w:space="0"/>
              <w:right w:val="single" w:color="auto" w:sz="4" w:space="0"/>
            </w:tcBorders>
            <w:vAlign w:val="center"/>
          </w:tcPr>
          <w:p w14:paraId="003C0FBD">
            <w:pPr>
              <w:snapToGrid w:val="0"/>
              <w:spacing w:line="440" w:lineRule="exact"/>
              <w:jc w:val="left"/>
              <w:rPr>
                <w:rFonts w:hint="eastAsia" w:ascii="宋体" w:hAnsi="宋体"/>
                <w:b/>
                <w:bCs/>
                <w:color w:val="auto"/>
                <w:szCs w:val="21"/>
                <w:highlight w:val="none"/>
              </w:rPr>
            </w:pPr>
            <w:r>
              <w:rPr>
                <w:rFonts w:hint="eastAsia" w:ascii="宋体" w:hAnsi="宋体"/>
                <w:b/>
                <w:bCs/>
                <w:color w:val="auto"/>
                <w:szCs w:val="21"/>
                <w:highlight w:val="none"/>
              </w:rPr>
              <w:t>项目内容</w:t>
            </w:r>
          </w:p>
        </w:tc>
        <w:tc>
          <w:tcPr>
            <w:tcW w:w="6719" w:type="dxa"/>
            <w:tcBorders>
              <w:top w:val="single" w:color="auto" w:sz="4" w:space="0"/>
              <w:left w:val="single" w:color="auto" w:sz="4" w:space="0"/>
              <w:bottom w:val="single" w:color="auto" w:sz="4" w:space="0"/>
              <w:right w:val="single" w:color="auto" w:sz="4" w:space="0"/>
            </w:tcBorders>
            <w:vAlign w:val="center"/>
          </w:tcPr>
          <w:p w14:paraId="46185B61">
            <w:pPr>
              <w:snapToGrid w:val="0"/>
              <w:spacing w:line="440" w:lineRule="exact"/>
              <w:jc w:val="center"/>
              <w:rPr>
                <w:rFonts w:hint="eastAsia" w:ascii="宋体" w:hAnsi="宋体"/>
                <w:b/>
                <w:bCs/>
                <w:color w:val="auto"/>
                <w:szCs w:val="21"/>
                <w:highlight w:val="none"/>
              </w:rPr>
            </w:pPr>
            <w:r>
              <w:rPr>
                <w:rFonts w:hint="eastAsia" w:ascii="宋体" w:hAnsi="宋体"/>
                <w:b/>
                <w:bCs/>
                <w:color w:val="auto"/>
                <w:szCs w:val="21"/>
                <w:highlight w:val="none"/>
              </w:rPr>
              <w:t>编列内容</w:t>
            </w:r>
          </w:p>
        </w:tc>
      </w:tr>
      <w:tr w14:paraId="67331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41E52727">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071" w:type="dxa"/>
            <w:tcBorders>
              <w:top w:val="single" w:color="auto" w:sz="4" w:space="0"/>
              <w:left w:val="single" w:color="auto" w:sz="4" w:space="0"/>
              <w:bottom w:val="single" w:color="auto" w:sz="4" w:space="0"/>
              <w:right w:val="single" w:color="auto" w:sz="4" w:space="0"/>
            </w:tcBorders>
            <w:vAlign w:val="center"/>
          </w:tcPr>
          <w:p w14:paraId="4905C8A4">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申请人的资格要求</w:t>
            </w:r>
          </w:p>
        </w:tc>
        <w:tc>
          <w:tcPr>
            <w:tcW w:w="6719" w:type="dxa"/>
            <w:tcBorders>
              <w:top w:val="single" w:color="auto" w:sz="4" w:space="0"/>
              <w:left w:val="single" w:color="auto" w:sz="4" w:space="0"/>
              <w:bottom w:val="single" w:color="auto" w:sz="4" w:space="0"/>
              <w:right w:val="single" w:color="auto" w:sz="4" w:space="0"/>
            </w:tcBorders>
            <w:vAlign w:val="center"/>
          </w:tcPr>
          <w:p w14:paraId="418A9870">
            <w:pPr>
              <w:spacing w:line="400" w:lineRule="exact"/>
              <w:jc w:val="center"/>
              <w:rPr>
                <w:rFonts w:ascii="宋体" w:hAnsi="宋体"/>
                <w:color w:val="auto"/>
                <w:szCs w:val="21"/>
                <w:highlight w:val="none"/>
              </w:rPr>
            </w:pPr>
            <w:r>
              <w:rPr>
                <w:rFonts w:hint="eastAsia" w:ascii="宋体" w:hAnsi="宋体"/>
                <w:color w:val="auto"/>
                <w:szCs w:val="21"/>
                <w:highlight w:val="none"/>
              </w:rPr>
              <w:t>详见“招标公告”</w:t>
            </w:r>
          </w:p>
        </w:tc>
      </w:tr>
      <w:tr w14:paraId="2E496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15B32A35">
            <w:pPr>
              <w:spacing w:line="440" w:lineRule="exact"/>
              <w:rPr>
                <w:rFonts w:hint="eastAsia" w:ascii="宋体" w:hAnsi="宋体"/>
                <w:color w:val="auto"/>
                <w:szCs w:val="21"/>
                <w:highlight w:val="none"/>
              </w:rPr>
            </w:pPr>
            <w:r>
              <w:rPr>
                <w:rFonts w:hint="eastAsia" w:ascii="宋体" w:hAnsi="宋体"/>
                <w:color w:val="auto"/>
                <w:szCs w:val="21"/>
                <w:highlight w:val="none"/>
              </w:rPr>
              <w:t>6.1</w:t>
            </w:r>
          </w:p>
        </w:tc>
        <w:tc>
          <w:tcPr>
            <w:tcW w:w="2071" w:type="dxa"/>
            <w:tcBorders>
              <w:top w:val="single" w:color="auto" w:sz="4" w:space="0"/>
              <w:left w:val="single" w:color="auto" w:sz="4" w:space="0"/>
              <w:bottom w:val="single" w:color="auto" w:sz="4" w:space="0"/>
              <w:right w:val="single" w:color="auto" w:sz="4" w:space="0"/>
            </w:tcBorders>
            <w:vAlign w:val="center"/>
          </w:tcPr>
          <w:p w14:paraId="5EF9A354">
            <w:pPr>
              <w:spacing w:line="440" w:lineRule="exact"/>
              <w:rPr>
                <w:rFonts w:hint="eastAsia" w:ascii="宋体" w:hAnsi="宋体"/>
                <w:color w:val="auto"/>
                <w:szCs w:val="21"/>
                <w:highlight w:val="none"/>
              </w:rPr>
            </w:pPr>
            <w:r>
              <w:rPr>
                <w:rFonts w:hint="eastAsia" w:ascii="宋体" w:hAnsi="宋体"/>
                <w:color w:val="auto"/>
                <w:szCs w:val="21"/>
                <w:highlight w:val="none"/>
              </w:rPr>
              <w:t>是否接受联合体投标</w:t>
            </w:r>
          </w:p>
        </w:tc>
        <w:tc>
          <w:tcPr>
            <w:tcW w:w="6719" w:type="dxa"/>
            <w:tcBorders>
              <w:top w:val="single" w:color="auto" w:sz="4" w:space="0"/>
              <w:left w:val="single" w:color="auto" w:sz="4" w:space="0"/>
              <w:bottom w:val="single" w:color="auto" w:sz="4" w:space="0"/>
              <w:right w:val="single" w:color="auto" w:sz="4" w:space="0"/>
            </w:tcBorders>
            <w:vAlign w:val="center"/>
          </w:tcPr>
          <w:p w14:paraId="5775B2F1">
            <w:pPr>
              <w:spacing w:line="440" w:lineRule="exact"/>
              <w:jc w:val="left"/>
              <w:rPr>
                <w:rFonts w:hint="eastAsia" w:ascii="宋体" w:hAnsi="宋体"/>
                <w:color w:val="auto"/>
                <w:szCs w:val="21"/>
                <w:highlight w:val="none"/>
              </w:rPr>
            </w:pPr>
            <w:bookmarkStart w:id="72" w:name="PO_3000001866_PM007"/>
            <w:r>
              <w:rPr>
                <w:rFonts w:ascii="宋体" w:hAnsi="宋体"/>
                <w:color w:val="auto"/>
                <w:szCs w:val="21"/>
                <w:highlight w:val="none"/>
              </w:rPr>
              <w:t>不允许联合体投标</w:t>
            </w:r>
            <w:bookmarkEnd w:id="72"/>
          </w:p>
        </w:tc>
      </w:tr>
      <w:tr w14:paraId="56B8C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6E59A6FA">
            <w:pPr>
              <w:spacing w:line="440" w:lineRule="exact"/>
              <w:rPr>
                <w:rFonts w:hint="eastAsia" w:ascii="宋体" w:hAnsi="宋体"/>
                <w:color w:val="auto"/>
                <w:szCs w:val="21"/>
                <w:highlight w:val="none"/>
              </w:rPr>
            </w:pPr>
            <w:r>
              <w:rPr>
                <w:rFonts w:hint="eastAsia" w:ascii="宋体" w:hAnsi="宋体"/>
                <w:color w:val="auto"/>
                <w:szCs w:val="21"/>
                <w:highlight w:val="none"/>
              </w:rPr>
              <w:t>6.2</w:t>
            </w:r>
          </w:p>
        </w:tc>
        <w:tc>
          <w:tcPr>
            <w:tcW w:w="2071" w:type="dxa"/>
            <w:tcBorders>
              <w:top w:val="single" w:color="auto" w:sz="4" w:space="0"/>
              <w:left w:val="single" w:color="auto" w:sz="4" w:space="0"/>
              <w:bottom w:val="single" w:color="auto" w:sz="4" w:space="0"/>
              <w:right w:val="single" w:color="auto" w:sz="4" w:space="0"/>
            </w:tcBorders>
            <w:vAlign w:val="center"/>
          </w:tcPr>
          <w:p w14:paraId="75451928">
            <w:pPr>
              <w:spacing w:line="440" w:lineRule="exact"/>
              <w:rPr>
                <w:rFonts w:hint="eastAsia" w:ascii="宋体" w:hAnsi="宋体"/>
                <w:color w:val="auto"/>
                <w:szCs w:val="21"/>
                <w:highlight w:val="none"/>
              </w:rPr>
            </w:pPr>
            <w:r>
              <w:rPr>
                <w:rFonts w:hint="eastAsia" w:ascii="宋体" w:hAnsi="宋体"/>
                <w:color w:val="auto"/>
                <w:szCs w:val="21"/>
                <w:highlight w:val="none"/>
              </w:rPr>
              <w:t>联合体投标要求</w:t>
            </w:r>
          </w:p>
        </w:tc>
        <w:tc>
          <w:tcPr>
            <w:tcW w:w="6719" w:type="dxa"/>
            <w:tcBorders>
              <w:top w:val="single" w:color="auto" w:sz="4" w:space="0"/>
              <w:left w:val="single" w:color="auto" w:sz="4" w:space="0"/>
              <w:bottom w:val="single" w:color="auto" w:sz="4" w:space="0"/>
              <w:right w:val="single" w:color="auto" w:sz="4" w:space="0"/>
            </w:tcBorders>
            <w:vAlign w:val="center"/>
          </w:tcPr>
          <w:p w14:paraId="46DD911C">
            <w:pPr>
              <w:spacing w:line="440" w:lineRule="exact"/>
              <w:jc w:val="left"/>
              <w:rPr>
                <w:rFonts w:hint="eastAsia" w:ascii="宋体" w:hAnsi="宋体"/>
                <w:color w:val="auto"/>
                <w:szCs w:val="21"/>
                <w:highlight w:val="none"/>
              </w:rPr>
            </w:pPr>
            <w:r>
              <w:rPr>
                <w:rFonts w:hint="eastAsia" w:ascii="宋体" w:hAnsi="宋体"/>
                <w:color w:val="auto"/>
                <w:szCs w:val="21"/>
                <w:highlight w:val="none"/>
              </w:rPr>
              <w:t>无</w:t>
            </w:r>
          </w:p>
        </w:tc>
      </w:tr>
      <w:tr w14:paraId="146A5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3B65CB5D">
            <w:pPr>
              <w:spacing w:line="440" w:lineRule="exact"/>
              <w:rPr>
                <w:rFonts w:hint="eastAsia" w:ascii="宋体" w:hAnsi="宋体"/>
                <w:color w:val="auto"/>
                <w:szCs w:val="21"/>
                <w:highlight w:val="none"/>
              </w:rPr>
            </w:pPr>
            <w:r>
              <w:rPr>
                <w:rFonts w:hint="eastAsia" w:ascii="宋体" w:hAnsi="宋体"/>
                <w:color w:val="auto"/>
                <w:szCs w:val="21"/>
                <w:highlight w:val="none"/>
              </w:rPr>
              <w:t>7.2</w:t>
            </w:r>
          </w:p>
        </w:tc>
        <w:tc>
          <w:tcPr>
            <w:tcW w:w="2071" w:type="dxa"/>
            <w:tcBorders>
              <w:top w:val="single" w:color="auto" w:sz="4" w:space="0"/>
              <w:left w:val="single" w:color="auto" w:sz="4" w:space="0"/>
              <w:bottom w:val="single" w:color="auto" w:sz="4" w:space="0"/>
              <w:right w:val="single" w:color="auto" w:sz="4" w:space="0"/>
            </w:tcBorders>
            <w:vAlign w:val="center"/>
          </w:tcPr>
          <w:p w14:paraId="03F6E8E1">
            <w:pPr>
              <w:spacing w:line="440" w:lineRule="exact"/>
              <w:rPr>
                <w:rFonts w:hint="eastAsia" w:ascii="宋体" w:hAnsi="宋体"/>
                <w:color w:val="auto"/>
                <w:szCs w:val="21"/>
                <w:highlight w:val="none"/>
              </w:rPr>
            </w:pPr>
            <w:r>
              <w:rPr>
                <w:rFonts w:hint="eastAsia" w:ascii="宋体" w:hAnsi="宋体"/>
                <w:color w:val="auto"/>
                <w:szCs w:val="21"/>
                <w:highlight w:val="none"/>
              </w:rPr>
              <w:t>是否允许转包/分包</w:t>
            </w:r>
          </w:p>
        </w:tc>
        <w:tc>
          <w:tcPr>
            <w:tcW w:w="6719" w:type="dxa"/>
            <w:tcBorders>
              <w:top w:val="single" w:color="auto" w:sz="4" w:space="0"/>
              <w:left w:val="single" w:color="auto" w:sz="4" w:space="0"/>
              <w:bottom w:val="single" w:color="auto" w:sz="4" w:space="0"/>
              <w:right w:val="single" w:color="auto" w:sz="4" w:space="0"/>
            </w:tcBorders>
            <w:vAlign w:val="center"/>
          </w:tcPr>
          <w:p w14:paraId="1E06BA5D">
            <w:pPr>
              <w:pStyle w:val="7"/>
              <w:spacing w:line="400" w:lineRule="exact"/>
              <w:ind w:left="420" w:hanging="420"/>
              <w:rPr>
                <w:rFonts w:ascii="宋体" w:hAnsi="宋体"/>
                <w:color w:val="auto"/>
                <w:szCs w:val="21"/>
                <w:highlight w:val="none"/>
              </w:rPr>
            </w:pPr>
            <w:r>
              <w:rPr>
                <w:rFonts w:hint="eastAsia" w:ascii="宋体" w:hAnsi="宋体" w:eastAsia="MS Mincho" w:cs="MS Mincho"/>
                <w:color w:val="auto"/>
                <w:szCs w:val="21"/>
                <w:highlight w:val="none"/>
              </w:rPr>
              <w:t>☑</w:t>
            </w:r>
            <w:r>
              <w:rPr>
                <w:rFonts w:ascii="宋体" w:hAnsi="宋体"/>
                <w:color w:val="auto"/>
                <w:szCs w:val="21"/>
                <w:highlight w:val="none"/>
              </w:rPr>
              <w:t>不允许分包</w:t>
            </w:r>
          </w:p>
          <w:p w14:paraId="557323B2">
            <w:pPr>
              <w:pStyle w:val="7"/>
              <w:spacing w:line="400" w:lineRule="exac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允许分包</w:t>
            </w:r>
          </w:p>
          <w:p w14:paraId="2C722379">
            <w:pPr>
              <w:pStyle w:val="7"/>
              <w:spacing w:line="400" w:lineRule="exact"/>
              <w:ind w:left="420" w:hanging="420"/>
              <w:rPr>
                <w:rFonts w:ascii="宋体" w:hAnsi="宋体"/>
                <w:color w:val="auto"/>
                <w:szCs w:val="21"/>
                <w:highlight w:val="none"/>
                <w:u w:val="single"/>
              </w:rPr>
            </w:pPr>
            <w:r>
              <w:rPr>
                <w:rFonts w:ascii="宋体" w:hAnsi="宋体"/>
                <w:color w:val="auto"/>
                <w:szCs w:val="21"/>
                <w:highlight w:val="none"/>
              </w:rPr>
              <w:t>分包内容：</w:t>
            </w:r>
          </w:p>
          <w:p w14:paraId="3A609AA8">
            <w:pPr>
              <w:spacing w:line="440" w:lineRule="exact"/>
              <w:jc w:val="left"/>
              <w:rPr>
                <w:rFonts w:hint="eastAsia" w:ascii="宋体" w:hAnsi="宋体"/>
                <w:color w:val="auto"/>
                <w:szCs w:val="21"/>
                <w:highlight w:val="none"/>
              </w:rPr>
            </w:pPr>
            <w:r>
              <w:rPr>
                <w:rFonts w:ascii="宋体" w:hAnsi="宋体"/>
                <w:color w:val="auto"/>
                <w:szCs w:val="21"/>
                <w:highlight w:val="none"/>
              </w:rPr>
              <w:t>分包金额或者比例：</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p>
        </w:tc>
      </w:tr>
      <w:tr w14:paraId="1F810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3496BD14">
            <w:pPr>
              <w:spacing w:line="44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2071" w:type="dxa"/>
            <w:tcBorders>
              <w:top w:val="single" w:color="auto" w:sz="4" w:space="0"/>
              <w:left w:val="single" w:color="auto" w:sz="4" w:space="0"/>
              <w:bottom w:val="single" w:color="auto" w:sz="4" w:space="0"/>
              <w:right w:val="single" w:color="auto" w:sz="4" w:space="0"/>
            </w:tcBorders>
            <w:vAlign w:val="center"/>
          </w:tcPr>
          <w:p w14:paraId="6FADAC27">
            <w:pPr>
              <w:snapToGrid w:val="0"/>
              <w:spacing w:line="400" w:lineRule="exact"/>
              <w:jc w:val="left"/>
              <w:rPr>
                <w:rFonts w:hint="eastAsia" w:ascii="宋体" w:hAnsi="宋体"/>
                <w:color w:val="auto"/>
                <w:szCs w:val="21"/>
                <w:highlight w:val="none"/>
                <w:lang w:val="en-US" w:eastAsia="zh-CN"/>
              </w:rPr>
            </w:pPr>
            <w:r>
              <w:rPr>
                <w:rFonts w:hint="eastAsia" w:ascii="宋体" w:hAnsi="宋体"/>
                <w:color w:val="auto"/>
                <w:szCs w:val="21"/>
                <w:highlight w:val="none"/>
                <w:lang w:eastAsia="zh-CN"/>
              </w:rPr>
              <w:t>是否</w:t>
            </w:r>
            <w:r>
              <w:rPr>
                <w:rFonts w:hint="eastAsia" w:ascii="宋体" w:hAnsi="宋体"/>
                <w:color w:val="auto"/>
                <w:szCs w:val="21"/>
                <w:highlight w:val="none"/>
              </w:rPr>
              <w:t>组织现场考察</w:t>
            </w:r>
            <w:r>
              <w:rPr>
                <w:rFonts w:hint="eastAsia" w:ascii="宋体" w:hAnsi="宋体"/>
                <w:color w:val="auto"/>
                <w:szCs w:val="21"/>
                <w:highlight w:val="none"/>
                <w:lang w:eastAsia="zh-CN"/>
              </w:rPr>
              <w:t>：</w:t>
            </w:r>
          </w:p>
          <w:p w14:paraId="384534A2">
            <w:pPr>
              <w:spacing w:line="440" w:lineRule="exact"/>
              <w:rPr>
                <w:rFonts w:hint="eastAsia" w:ascii="宋体" w:hAnsi="宋体"/>
                <w:color w:val="auto"/>
                <w:szCs w:val="21"/>
                <w:highlight w:val="none"/>
              </w:rPr>
            </w:pPr>
          </w:p>
        </w:tc>
        <w:tc>
          <w:tcPr>
            <w:tcW w:w="6719" w:type="dxa"/>
            <w:tcBorders>
              <w:top w:val="single" w:color="auto" w:sz="4" w:space="0"/>
              <w:left w:val="single" w:color="auto" w:sz="4" w:space="0"/>
              <w:bottom w:val="single" w:color="auto" w:sz="4" w:space="0"/>
              <w:right w:val="single" w:color="auto" w:sz="4" w:space="0"/>
            </w:tcBorders>
            <w:vAlign w:val="center"/>
          </w:tcPr>
          <w:p w14:paraId="055CA07F">
            <w:pPr>
              <w:snapToGrid w:val="0"/>
              <w:spacing w:line="400" w:lineRule="exact"/>
              <w:jc w:val="left"/>
              <w:rPr>
                <w:rFonts w:hint="eastAsia" w:ascii="宋体" w:hAnsi="宋体"/>
                <w:color w:val="auto"/>
                <w:szCs w:val="21"/>
                <w:highlight w:val="none"/>
                <w:lang w:val="en-US" w:eastAsia="zh-CN"/>
              </w:rPr>
            </w:pPr>
            <w:r>
              <w:rPr>
                <w:rFonts w:hint="eastAsia" w:ascii="宋体" w:hAnsi="宋体" w:cs="MS Mincho"/>
                <w:color w:val="auto"/>
                <w:szCs w:val="21"/>
                <w:highlight w:val="none"/>
                <w:lang w:eastAsia="zh-CN"/>
              </w:rPr>
              <w:t>☑</w:t>
            </w:r>
            <w:r>
              <w:rPr>
                <w:rFonts w:hint="eastAsia" w:ascii="宋体" w:hAnsi="宋体"/>
                <w:color w:val="auto"/>
                <w:szCs w:val="21"/>
                <w:highlight w:val="none"/>
              </w:rPr>
              <w:t>组织现场考察</w:t>
            </w:r>
            <w:r>
              <w:rPr>
                <w:rFonts w:hint="eastAsia" w:ascii="宋体" w:hAnsi="宋体"/>
                <w:color w:val="auto"/>
                <w:szCs w:val="21"/>
                <w:highlight w:val="none"/>
                <w:lang w:eastAsia="zh-CN"/>
              </w:rPr>
              <w:t>：</w:t>
            </w:r>
            <w:r>
              <w:rPr>
                <w:rFonts w:hint="eastAsia" w:ascii="宋体" w:hAnsi="宋体"/>
                <w:b/>
                <w:bCs/>
                <w:color w:val="auto"/>
                <w:szCs w:val="21"/>
                <w:highlight w:val="none"/>
                <w:lang w:eastAsia="zh-CN"/>
              </w:rPr>
              <w:t>分标</w:t>
            </w:r>
            <w:r>
              <w:rPr>
                <w:rFonts w:hint="eastAsia" w:ascii="宋体" w:hAnsi="宋体"/>
                <w:b/>
                <w:bCs/>
                <w:color w:val="auto"/>
                <w:szCs w:val="21"/>
                <w:highlight w:val="none"/>
                <w:lang w:val="en-US" w:eastAsia="zh-CN"/>
              </w:rPr>
              <w:t>1</w:t>
            </w:r>
          </w:p>
          <w:p w14:paraId="72D93282">
            <w:pPr>
              <w:keepNext w:val="0"/>
              <w:keepLines w:val="0"/>
              <w:suppressLineNumbers w:val="0"/>
              <w:tabs>
                <w:tab w:val="left" w:pos="180"/>
                <w:tab w:val="left" w:pos="1620"/>
              </w:tabs>
              <w:spacing w:before="0" w:beforeLines="0" w:beforeAutospacing="0" w:after="0" w:afterLines="0" w:afterAutospacing="0" w:line="400" w:lineRule="exact"/>
              <w:ind w:left="0" w:right="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不强制,由于本项目运维标准及内容涉及公安系统内部信息，详细信息不宜对外公开，因此，为方便投标人进一步了解项目情况，投标人可参与现场勘察，否则由于情况了解不透彻导致投标失误的后果由投标人自行承担。参与现场考察的投标人须签订保密协议，不得透露与采购人业务有关的包括但不限于本项目的任何信息，如有违规，自行承担一切法律后果。</w:t>
            </w:r>
          </w:p>
          <w:p w14:paraId="2922EAC1">
            <w:pPr>
              <w:rPr>
                <w:color w:val="auto"/>
                <w:szCs w:val="21"/>
                <w:highlight w:val="none"/>
              </w:rPr>
            </w:pPr>
          </w:p>
          <w:p w14:paraId="58570170">
            <w:pPr>
              <w:keepNext w:val="0"/>
              <w:keepLines w:val="0"/>
              <w:suppressLineNumbers w:val="0"/>
              <w:tabs>
                <w:tab w:val="left" w:pos="180"/>
                <w:tab w:val="left" w:pos="1620"/>
              </w:tabs>
              <w:spacing w:before="0" w:beforeLines="0" w:beforeAutospacing="0" w:after="0" w:afterLines="0" w:afterAutospacing="0" w:line="400" w:lineRule="exact"/>
              <w:ind w:left="0" w:right="0" w:firstLine="0" w:firstLineChars="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（1）现场考察时间：2025年</w:t>
            </w:r>
            <w:r>
              <w:rPr>
                <w:rFonts w:hint="eastAsia" w:ascii="宋体" w:hAnsi="宋体" w:cs="宋体"/>
                <w:color w:val="auto"/>
                <w:kern w:val="0"/>
                <w:sz w:val="21"/>
                <w:szCs w:val="21"/>
                <w:highlight w:val="none"/>
                <w:lang w:val="en-US" w:eastAsia="zh-CN"/>
              </w:rPr>
              <w:t xml:space="preserve"> 12 </w:t>
            </w:r>
            <w:r>
              <w:rPr>
                <w:rFonts w:hint="eastAsia" w:ascii="宋体" w:hAnsi="宋体" w:eastAsia="宋体" w:cs="宋体"/>
                <w:color w:val="auto"/>
                <w:kern w:val="0"/>
                <w:sz w:val="21"/>
                <w:szCs w:val="21"/>
                <w:highlight w:val="none"/>
                <w:lang w:val="en-US" w:eastAsia="zh-CN"/>
              </w:rPr>
              <w:t>月</w:t>
            </w:r>
            <w:r>
              <w:rPr>
                <w:rFonts w:hint="eastAsia" w:ascii="宋体" w:hAnsi="宋体" w:cs="宋体"/>
                <w:color w:val="auto"/>
                <w:kern w:val="0"/>
                <w:sz w:val="21"/>
                <w:szCs w:val="21"/>
                <w:highlight w:val="none"/>
                <w:lang w:val="en-US" w:eastAsia="zh-CN"/>
              </w:rPr>
              <w:t xml:space="preserve">19 </w:t>
            </w:r>
            <w:r>
              <w:rPr>
                <w:rFonts w:hint="eastAsia" w:ascii="宋体" w:hAnsi="宋体" w:eastAsia="宋体" w:cs="宋体"/>
                <w:color w:val="auto"/>
                <w:kern w:val="0"/>
                <w:sz w:val="21"/>
                <w:szCs w:val="21"/>
                <w:highlight w:val="none"/>
                <w:lang w:val="en-US" w:eastAsia="zh-CN"/>
              </w:rPr>
              <w:t>日</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lang w:val="en-US" w:eastAsia="zh-CN"/>
              </w:rPr>
              <w:t>时</w:t>
            </w:r>
            <w:r>
              <w:rPr>
                <w:rFonts w:hint="eastAsia" w:ascii="宋体" w:hAnsi="宋体" w:cs="宋体"/>
                <w:color w:val="auto"/>
                <w:kern w:val="0"/>
                <w:sz w:val="21"/>
                <w:szCs w:val="21"/>
                <w:highlight w:val="none"/>
                <w:lang w:val="en-US" w:eastAsia="zh-CN"/>
              </w:rPr>
              <w:t>45</w:t>
            </w:r>
            <w:r>
              <w:rPr>
                <w:rFonts w:hint="eastAsia" w:ascii="宋体" w:hAnsi="宋体" w:eastAsia="宋体" w:cs="宋体"/>
                <w:color w:val="auto"/>
                <w:kern w:val="0"/>
                <w:sz w:val="21"/>
                <w:szCs w:val="21"/>
                <w:highlight w:val="none"/>
                <w:lang w:val="en-US" w:eastAsia="zh-CN"/>
              </w:rPr>
              <w:t>分</w:t>
            </w:r>
            <w:r>
              <w:rPr>
                <w:rFonts w:hint="eastAsia" w:ascii="宋体" w:hAnsi="宋体" w:cs="宋体"/>
                <w:color w:val="auto"/>
                <w:kern w:val="0"/>
                <w:sz w:val="21"/>
                <w:szCs w:val="21"/>
                <w:highlight w:val="none"/>
                <w:lang w:val="en-US" w:eastAsia="zh-CN"/>
              </w:rPr>
              <w:t>前集合</w:t>
            </w:r>
            <w:r>
              <w:rPr>
                <w:rFonts w:hint="eastAsia" w:ascii="宋体" w:hAnsi="宋体" w:eastAsia="宋体" w:cs="宋体"/>
                <w:color w:val="auto"/>
                <w:kern w:val="0"/>
                <w:sz w:val="21"/>
                <w:szCs w:val="21"/>
                <w:highlight w:val="none"/>
                <w:lang w:val="en-US" w:eastAsia="zh-CN"/>
              </w:rPr>
              <w:t>，逾时不予签到，</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时00分后由采购人统一安排进行考察。</w:t>
            </w:r>
          </w:p>
          <w:p w14:paraId="3E60D66E">
            <w:pPr>
              <w:rPr>
                <w:color w:val="auto"/>
                <w:szCs w:val="21"/>
                <w:highlight w:val="none"/>
              </w:rPr>
            </w:pPr>
          </w:p>
          <w:p w14:paraId="671B5587">
            <w:pPr>
              <w:keepNext w:val="0"/>
              <w:keepLines w:val="0"/>
              <w:suppressLineNumbers w:val="0"/>
              <w:tabs>
                <w:tab w:val="left" w:pos="180"/>
                <w:tab w:val="left" w:pos="1620"/>
              </w:tabs>
              <w:spacing w:before="0" w:beforeLines="0" w:beforeAutospacing="0" w:after="0" w:afterLines="0" w:afterAutospacing="0" w:line="400" w:lineRule="exact"/>
              <w:ind w:left="0" w:right="0" w:firstLine="0" w:firstLineChars="0"/>
              <w:jc w:val="both"/>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）现场考察地点：</w:t>
            </w:r>
            <w:r>
              <w:rPr>
                <w:rFonts w:hint="eastAsia" w:ascii="宋体" w:hAnsi="宋体" w:eastAsia="宋体" w:cs="宋体"/>
                <w:color w:val="auto"/>
                <w:kern w:val="0"/>
                <w:sz w:val="21"/>
                <w:szCs w:val="21"/>
                <w:highlight w:val="none"/>
                <w:lang w:eastAsia="en-US"/>
              </w:rPr>
              <w:t>广西壮族自治区南宁市佛子岭路1号</w:t>
            </w:r>
            <w:r>
              <w:rPr>
                <w:rFonts w:hint="eastAsia" w:ascii="宋体" w:hAnsi="宋体" w:cs="宋体"/>
                <w:color w:val="auto"/>
                <w:kern w:val="0"/>
                <w:sz w:val="21"/>
                <w:szCs w:val="21"/>
                <w:highlight w:val="none"/>
                <w:lang w:val="en-US" w:eastAsia="zh-CN"/>
              </w:rPr>
              <w:t>北门登记室</w:t>
            </w:r>
            <w:r>
              <w:rPr>
                <w:rFonts w:hint="eastAsia" w:ascii="宋体" w:hAnsi="宋体" w:eastAsia="宋体" w:cs="宋体"/>
                <w:color w:val="auto"/>
                <w:kern w:val="0"/>
                <w:sz w:val="21"/>
                <w:szCs w:val="21"/>
                <w:highlight w:val="none"/>
                <w:lang w:eastAsia="en-US"/>
              </w:rPr>
              <w:t>。</w:t>
            </w:r>
          </w:p>
          <w:p w14:paraId="426903BA">
            <w:pPr>
              <w:keepNext w:val="0"/>
              <w:keepLines w:val="0"/>
              <w:suppressLineNumbers w:val="0"/>
              <w:tabs>
                <w:tab w:val="left" w:pos="180"/>
                <w:tab w:val="left" w:pos="1620"/>
              </w:tabs>
              <w:spacing w:before="0" w:beforeLines="0" w:beforeAutospacing="0" w:after="0" w:afterLines="0" w:afterAutospacing="0" w:line="400" w:lineRule="exact"/>
              <w:ind w:left="0" w:right="0" w:firstLine="0" w:firstLineChars="0"/>
              <w:jc w:val="both"/>
              <w:rPr>
                <w:rFonts w:hint="eastAsia" w:ascii="宋体" w:hAnsi="宋体" w:eastAsia="宋体" w:cs="宋体"/>
                <w:color w:val="auto"/>
                <w:kern w:val="0"/>
                <w:sz w:val="21"/>
                <w:szCs w:val="21"/>
                <w:highlight w:val="none"/>
                <w:u w:val="none"/>
                <w:lang w:eastAsia="zh-CN" w:bidi="ar"/>
              </w:rPr>
            </w:pPr>
            <w:r>
              <w:rPr>
                <w:rFonts w:hint="eastAsia" w:ascii="宋体" w:hAnsi="宋体" w:eastAsia="宋体" w:cs="宋体"/>
                <w:color w:val="auto"/>
                <w:kern w:val="0"/>
                <w:sz w:val="21"/>
                <w:szCs w:val="21"/>
                <w:highlight w:val="none"/>
                <w:u w:val="none"/>
                <w:lang w:eastAsia="zh-CN" w:bidi="ar"/>
              </w:rPr>
              <w:t>（</w:t>
            </w:r>
            <w:r>
              <w:rPr>
                <w:rFonts w:hint="eastAsia" w:ascii="宋体" w:hAnsi="宋体" w:cs="宋体"/>
                <w:color w:val="auto"/>
                <w:kern w:val="0"/>
                <w:sz w:val="21"/>
                <w:szCs w:val="21"/>
                <w:highlight w:val="none"/>
                <w:u w:val="none"/>
                <w:lang w:val="en-US" w:eastAsia="zh-CN" w:bidi="ar"/>
              </w:rPr>
              <w:t>3</w:t>
            </w:r>
            <w:r>
              <w:rPr>
                <w:rFonts w:hint="eastAsia" w:ascii="宋体" w:hAnsi="宋体" w:eastAsia="宋体" w:cs="宋体"/>
                <w:color w:val="auto"/>
                <w:kern w:val="0"/>
                <w:sz w:val="21"/>
                <w:szCs w:val="21"/>
                <w:highlight w:val="none"/>
                <w:u w:val="none"/>
                <w:lang w:eastAsia="zh-CN" w:bidi="ar"/>
              </w:rPr>
              <w:t>）联系人：</w:t>
            </w:r>
            <w:r>
              <w:rPr>
                <w:rFonts w:hint="eastAsia" w:ascii="宋体" w:hAnsi="宋体" w:eastAsia="宋体" w:cs="宋体"/>
                <w:color w:val="auto"/>
                <w:kern w:val="0"/>
                <w:sz w:val="21"/>
                <w:szCs w:val="21"/>
                <w:highlight w:val="none"/>
                <w:u w:val="none"/>
                <w:lang w:val="en-US" w:eastAsia="zh-CN" w:bidi="ar"/>
              </w:rPr>
              <w:t>朱警官</w:t>
            </w:r>
            <w:r>
              <w:rPr>
                <w:rFonts w:hint="eastAsia" w:ascii="宋体" w:hAnsi="宋体" w:eastAsia="宋体" w:cs="宋体"/>
                <w:color w:val="auto"/>
                <w:kern w:val="0"/>
                <w:sz w:val="21"/>
                <w:szCs w:val="21"/>
                <w:highlight w:val="none"/>
                <w:u w:val="none"/>
                <w:lang w:eastAsia="zh-CN" w:bidi="ar"/>
              </w:rPr>
              <w:t>，联系电话：</w:t>
            </w:r>
            <w:r>
              <w:rPr>
                <w:rFonts w:hint="eastAsia" w:ascii="宋体" w:hAnsi="宋体" w:eastAsia="宋体" w:cs="宋体"/>
                <w:color w:val="auto"/>
                <w:kern w:val="0"/>
                <w:sz w:val="21"/>
                <w:szCs w:val="21"/>
                <w:highlight w:val="none"/>
                <w:u w:val="none"/>
                <w:lang w:val="en-US" w:eastAsia="zh-CN" w:bidi="ar"/>
              </w:rPr>
              <w:t>14795740771</w:t>
            </w:r>
            <w:r>
              <w:rPr>
                <w:rFonts w:hint="eastAsia" w:ascii="宋体" w:hAnsi="宋体" w:eastAsia="宋体" w:cs="宋体"/>
                <w:color w:val="auto"/>
                <w:kern w:val="0"/>
                <w:sz w:val="21"/>
                <w:szCs w:val="21"/>
                <w:highlight w:val="none"/>
                <w:u w:val="none"/>
                <w:lang w:eastAsia="zh-CN" w:bidi="ar"/>
              </w:rPr>
              <w:t>。</w:t>
            </w:r>
          </w:p>
          <w:p w14:paraId="49353318">
            <w:pPr>
              <w:keepNext w:val="0"/>
              <w:keepLines w:val="0"/>
              <w:suppressLineNumbers w:val="0"/>
              <w:tabs>
                <w:tab w:val="left" w:pos="180"/>
                <w:tab w:val="left" w:pos="1620"/>
              </w:tabs>
              <w:spacing w:before="0" w:beforeLines="0" w:beforeAutospacing="0" w:after="0" w:afterLines="0" w:afterAutospacing="0" w:line="400" w:lineRule="exact"/>
              <w:ind w:left="0" w:right="0" w:firstLine="0" w:firstLineChars="0"/>
              <w:jc w:val="both"/>
              <w:rPr>
                <w:rFonts w:hint="eastAsia" w:ascii="宋体" w:hAnsi="宋体" w:eastAsia="宋体" w:cs="宋体"/>
                <w:color w:val="auto"/>
                <w:kern w:val="0"/>
                <w:sz w:val="21"/>
                <w:szCs w:val="21"/>
                <w:highlight w:val="none"/>
                <w:u w:val="none"/>
                <w:lang w:eastAsia="zh-CN" w:bidi="ar"/>
              </w:rPr>
            </w:pPr>
            <w:r>
              <w:rPr>
                <w:rFonts w:hint="eastAsia" w:ascii="宋体" w:hAnsi="宋体" w:eastAsia="宋体" w:cs="宋体"/>
                <w:color w:val="auto"/>
                <w:kern w:val="0"/>
                <w:sz w:val="21"/>
                <w:szCs w:val="21"/>
                <w:highlight w:val="none"/>
                <w:u w:val="none"/>
                <w:lang w:eastAsia="zh-CN" w:bidi="ar"/>
              </w:rPr>
              <w:t>（4）投标人委托代理人持针对本项目出具的法定代表人授权委托书或单位介绍信原件</w:t>
            </w:r>
            <w:r>
              <w:rPr>
                <w:rFonts w:hint="eastAsia" w:ascii="宋体" w:hAnsi="宋体" w:cs="宋体"/>
                <w:color w:val="auto"/>
                <w:kern w:val="0"/>
                <w:sz w:val="21"/>
                <w:szCs w:val="21"/>
                <w:highlight w:val="none"/>
                <w:u w:val="none"/>
                <w:lang w:eastAsia="zh-CN" w:bidi="ar"/>
              </w:rPr>
              <w:t>（加盖单位公章）</w:t>
            </w:r>
            <w:r>
              <w:rPr>
                <w:rFonts w:hint="eastAsia" w:ascii="宋体" w:hAnsi="宋体" w:eastAsia="宋体" w:cs="宋体"/>
                <w:color w:val="auto"/>
                <w:kern w:val="0"/>
                <w:sz w:val="21"/>
                <w:szCs w:val="21"/>
                <w:highlight w:val="none"/>
                <w:u w:val="none"/>
                <w:lang w:eastAsia="zh-CN" w:bidi="ar"/>
              </w:rPr>
              <w:t>、代理人身份证原件</w:t>
            </w:r>
            <w:r>
              <w:rPr>
                <w:rFonts w:hint="eastAsia" w:ascii="宋体" w:hAnsi="宋体" w:cs="宋体"/>
                <w:color w:val="auto"/>
                <w:kern w:val="0"/>
                <w:sz w:val="21"/>
                <w:szCs w:val="21"/>
                <w:highlight w:val="none"/>
                <w:u w:val="none"/>
                <w:lang w:eastAsia="zh-CN" w:bidi="ar"/>
              </w:rPr>
              <w:t>及复印件（复印件加盖单位公章）、</w:t>
            </w:r>
            <w:r>
              <w:rPr>
                <w:rFonts w:hint="eastAsia" w:ascii="宋体" w:hAnsi="宋体" w:cs="宋体"/>
                <w:color w:val="auto"/>
                <w:kern w:val="0"/>
                <w:szCs w:val="21"/>
                <w:highlight w:val="none"/>
                <w:u w:val="none"/>
                <w:lang w:bidi="ar"/>
              </w:rPr>
              <w:t>代理人近半年以来的无犯罪记录证明</w:t>
            </w:r>
            <w:r>
              <w:rPr>
                <w:rFonts w:hint="eastAsia" w:ascii="宋体" w:hAnsi="宋体" w:cs="宋体"/>
                <w:color w:val="auto"/>
                <w:kern w:val="0"/>
                <w:sz w:val="21"/>
                <w:szCs w:val="21"/>
                <w:highlight w:val="none"/>
                <w:u w:val="none"/>
                <w:lang w:eastAsia="zh-CN" w:bidi="ar"/>
              </w:rPr>
              <w:t>、保密协议（加盖单位公章，一式两份）</w:t>
            </w:r>
            <w:r>
              <w:rPr>
                <w:rFonts w:hint="eastAsia" w:ascii="宋体" w:hAnsi="宋体" w:eastAsia="宋体" w:cs="宋体"/>
                <w:color w:val="auto"/>
                <w:kern w:val="0"/>
                <w:sz w:val="21"/>
                <w:szCs w:val="21"/>
                <w:highlight w:val="none"/>
                <w:u w:val="none"/>
                <w:lang w:eastAsia="zh-CN" w:bidi="ar"/>
              </w:rPr>
              <w:t>前往。</w:t>
            </w:r>
          </w:p>
          <w:p w14:paraId="319CACBB">
            <w:pPr>
              <w:keepNext w:val="0"/>
              <w:keepLines w:val="0"/>
              <w:suppressLineNumbers w:val="0"/>
              <w:tabs>
                <w:tab w:val="left" w:pos="180"/>
                <w:tab w:val="left" w:pos="1620"/>
              </w:tabs>
              <w:spacing w:before="0" w:beforeLines="0" w:beforeAutospacing="0" w:after="0" w:afterLines="0" w:afterAutospacing="0" w:line="400" w:lineRule="exact"/>
              <w:ind w:left="0" w:right="0" w:firstLine="0" w:firstLineChars="0"/>
              <w:jc w:val="both"/>
              <w:rPr>
                <w:rFonts w:hint="eastAsia" w:ascii="宋体" w:hAnsi="宋体" w:eastAsia="宋体" w:cs="宋体"/>
                <w:color w:val="auto"/>
                <w:kern w:val="0"/>
                <w:sz w:val="21"/>
                <w:szCs w:val="21"/>
                <w:highlight w:val="none"/>
                <w:u w:val="none"/>
                <w:lang w:eastAsia="zh-CN" w:bidi="ar"/>
              </w:rPr>
            </w:pPr>
            <w:r>
              <w:rPr>
                <w:rFonts w:hint="eastAsia" w:ascii="宋体" w:hAnsi="宋体" w:eastAsia="宋体" w:cs="宋体"/>
                <w:color w:val="auto"/>
                <w:kern w:val="0"/>
                <w:sz w:val="21"/>
                <w:szCs w:val="21"/>
                <w:highlight w:val="none"/>
                <w:u w:val="none"/>
                <w:lang w:eastAsia="zh-CN" w:bidi="ar"/>
              </w:rPr>
              <w:t>（5）各投标人可于考察前一个工作日提前联系，如过后联系不上后果自负。</w:t>
            </w:r>
          </w:p>
          <w:p w14:paraId="4BA224E5">
            <w:pPr>
              <w:rPr>
                <w:rFonts w:hint="eastAsia" w:ascii="宋体" w:hAnsi="宋体" w:cs="宋体"/>
                <w:color w:val="auto"/>
                <w:szCs w:val="21"/>
                <w:highlight w:val="none"/>
              </w:rPr>
            </w:pPr>
            <w:r>
              <w:rPr>
                <w:rFonts w:hint="eastAsia" w:ascii="宋体" w:hAnsi="宋体" w:cs="宋体"/>
                <w:color w:val="auto"/>
                <w:kern w:val="0"/>
                <w:sz w:val="21"/>
                <w:szCs w:val="21"/>
                <w:highlight w:val="none"/>
                <w:u w:val="none"/>
                <w:lang w:eastAsia="zh-CN" w:bidi="ar"/>
              </w:rPr>
              <w:t>（</w:t>
            </w:r>
            <w:r>
              <w:rPr>
                <w:rFonts w:hint="eastAsia" w:ascii="宋体" w:hAnsi="宋体" w:cs="宋体"/>
                <w:color w:val="auto"/>
                <w:kern w:val="0"/>
                <w:sz w:val="21"/>
                <w:szCs w:val="21"/>
                <w:highlight w:val="none"/>
                <w:u w:val="none"/>
                <w:lang w:val="en-US" w:eastAsia="zh-CN" w:bidi="ar"/>
              </w:rPr>
              <w:t>6</w:t>
            </w:r>
            <w:r>
              <w:rPr>
                <w:rFonts w:hint="eastAsia" w:ascii="宋体" w:hAnsi="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eastAsia="zh-CN" w:bidi="ar"/>
              </w:rPr>
              <w:t>投标人前往项目所在地进行现场考察一切费用自行承担，经实地考察后因自身原因考察不详细而导致投标方案偏差、中标后</w:t>
            </w:r>
            <w:r>
              <w:rPr>
                <w:rFonts w:hint="eastAsia" w:ascii="宋体" w:hAnsi="宋体" w:eastAsia="宋体" w:cs="宋体"/>
                <w:color w:val="auto"/>
                <w:kern w:val="0"/>
                <w:sz w:val="21"/>
                <w:szCs w:val="21"/>
                <w:highlight w:val="none"/>
                <w:lang w:eastAsia="en-US"/>
              </w:rPr>
              <w:t>不能履约等一切责任由投标人自行</w:t>
            </w:r>
            <w:r>
              <w:rPr>
                <w:rFonts w:hint="eastAsia" w:ascii="宋体" w:hAnsi="宋体" w:cs="宋体"/>
                <w:color w:val="auto"/>
                <w:kern w:val="0"/>
                <w:sz w:val="21"/>
                <w:szCs w:val="21"/>
                <w:highlight w:val="none"/>
                <w:lang w:eastAsia="zh-CN"/>
              </w:rPr>
              <w:t>承担。</w:t>
            </w:r>
          </w:p>
        </w:tc>
      </w:tr>
      <w:tr w14:paraId="2DB96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55DE9B11">
            <w:pPr>
              <w:spacing w:line="440" w:lineRule="exact"/>
              <w:rPr>
                <w:rFonts w:hint="eastAsia" w:ascii="宋体" w:hAnsi="宋体"/>
                <w:color w:val="auto"/>
                <w:szCs w:val="21"/>
                <w:highlight w:val="none"/>
              </w:rPr>
            </w:pPr>
            <w:r>
              <w:rPr>
                <w:rFonts w:hint="eastAsia" w:ascii="宋体" w:hAnsi="宋体"/>
                <w:color w:val="auto"/>
                <w:szCs w:val="21"/>
                <w:highlight w:val="none"/>
              </w:rPr>
              <w:t>11.4</w:t>
            </w:r>
          </w:p>
        </w:tc>
        <w:tc>
          <w:tcPr>
            <w:tcW w:w="2071" w:type="dxa"/>
            <w:tcBorders>
              <w:top w:val="single" w:color="auto" w:sz="4" w:space="0"/>
              <w:left w:val="single" w:color="auto" w:sz="4" w:space="0"/>
              <w:bottom w:val="single" w:color="auto" w:sz="4" w:space="0"/>
              <w:right w:val="single" w:color="auto" w:sz="4" w:space="0"/>
            </w:tcBorders>
            <w:vAlign w:val="center"/>
          </w:tcPr>
          <w:p w14:paraId="3742ADDB">
            <w:pPr>
              <w:spacing w:line="440" w:lineRule="exact"/>
              <w:rPr>
                <w:rFonts w:hint="eastAsia" w:ascii="宋体" w:hAnsi="宋体"/>
                <w:color w:val="auto"/>
                <w:szCs w:val="21"/>
                <w:highlight w:val="none"/>
              </w:rPr>
            </w:pPr>
            <w:r>
              <w:rPr>
                <w:rFonts w:hint="eastAsia" w:ascii="宋体" w:hAnsi="宋体"/>
                <w:color w:val="auto"/>
                <w:szCs w:val="21"/>
                <w:highlight w:val="none"/>
              </w:rPr>
              <w:t>媒体发布渠道</w:t>
            </w:r>
          </w:p>
        </w:tc>
        <w:tc>
          <w:tcPr>
            <w:tcW w:w="6719" w:type="dxa"/>
            <w:tcBorders>
              <w:top w:val="single" w:color="auto" w:sz="4" w:space="0"/>
              <w:left w:val="single" w:color="auto" w:sz="4" w:space="0"/>
              <w:bottom w:val="single" w:color="auto" w:sz="4" w:space="0"/>
              <w:right w:val="single" w:color="auto" w:sz="4" w:space="0"/>
            </w:tcBorders>
            <w:vAlign w:val="center"/>
          </w:tcPr>
          <w:p w14:paraId="500D52EB">
            <w:pPr>
              <w:spacing w:line="440" w:lineRule="exact"/>
              <w:rPr>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14:paraId="1B688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3C365FE8">
            <w:pPr>
              <w:spacing w:line="440" w:lineRule="exact"/>
              <w:rPr>
                <w:rFonts w:hint="eastAsia" w:ascii="宋体" w:hAnsi="宋体"/>
                <w:color w:val="auto"/>
                <w:szCs w:val="21"/>
                <w:highlight w:val="none"/>
              </w:rPr>
            </w:pPr>
            <w:r>
              <w:rPr>
                <w:rFonts w:hint="eastAsia" w:ascii="宋体" w:hAnsi="宋体"/>
                <w:color w:val="auto"/>
                <w:szCs w:val="21"/>
                <w:highlight w:val="none"/>
              </w:rPr>
              <w:t>11.6</w:t>
            </w:r>
          </w:p>
        </w:tc>
        <w:tc>
          <w:tcPr>
            <w:tcW w:w="2071" w:type="dxa"/>
            <w:tcBorders>
              <w:top w:val="single" w:color="auto" w:sz="4" w:space="0"/>
              <w:left w:val="single" w:color="auto" w:sz="4" w:space="0"/>
              <w:bottom w:val="single" w:color="auto" w:sz="4" w:space="0"/>
              <w:right w:val="single" w:color="auto" w:sz="4" w:space="0"/>
            </w:tcBorders>
            <w:vAlign w:val="center"/>
          </w:tcPr>
          <w:p w14:paraId="3FF4F029">
            <w:pPr>
              <w:spacing w:line="440" w:lineRule="exact"/>
              <w:rPr>
                <w:rFonts w:hint="eastAsia" w:ascii="宋体" w:hAnsi="宋体"/>
                <w:color w:val="auto"/>
                <w:szCs w:val="21"/>
                <w:highlight w:val="none"/>
              </w:rPr>
            </w:pPr>
            <w:r>
              <w:rPr>
                <w:rFonts w:hint="eastAsia" w:ascii="宋体" w:hAnsi="宋体"/>
                <w:color w:val="auto"/>
                <w:szCs w:val="21"/>
                <w:highlight w:val="none"/>
              </w:rPr>
              <w:t>是否组织标前答疑会</w:t>
            </w:r>
          </w:p>
        </w:tc>
        <w:tc>
          <w:tcPr>
            <w:tcW w:w="6719" w:type="dxa"/>
            <w:tcBorders>
              <w:top w:val="single" w:color="auto" w:sz="4" w:space="0"/>
              <w:left w:val="single" w:color="auto" w:sz="4" w:space="0"/>
              <w:bottom w:val="single" w:color="auto" w:sz="4" w:space="0"/>
              <w:right w:val="single" w:color="auto" w:sz="4" w:space="0"/>
            </w:tcBorders>
            <w:vAlign w:val="center"/>
          </w:tcPr>
          <w:p w14:paraId="04392F96">
            <w:pPr>
              <w:snapToGrid w:val="0"/>
              <w:spacing w:line="440" w:lineRule="exact"/>
              <w:rPr>
                <w:rFonts w:hint="eastAsia" w:ascii="宋体" w:hAnsi="宋体"/>
                <w:color w:val="auto"/>
                <w:szCs w:val="21"/>
                <w:highlight w:val="none"/>
                <w:u w:val="single"/>
              </w:rPr>
            </w:pPr>
            <w:r>
              <w:rPr>
                <w:rFonts w:hint="eastAsia" w:ascii="宋体" w:hAnsi="宋体"/>
                <w:color w:val="auto"/>
                <w:szCs w:val="21"/>
                <w:highlight w:val="none"/>
              </w:rPr>
              <w:t>不组织召开开标前答疑会</w:t>
            </w:r>
          </w:p>
        </w:tc>
      </w:tr>
      <w:tr w14:paraId="230B8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vMerge w:val="restart"/>
            <w:tcBorders>
              <w:top w:val="single" w:color="auto" w:sz="4" w:space="0"/>
              <w:left w:val="single" w:color="auto" w:sz="4" w:space="0"/>
              <w:right w:val="single" w:color="auto" w:sz="4" w:space="0"/>
            </w:tcBorders>
            <w:vAlign w:val="center"/>
          </w:tcPr>
          <w:p w14:paraId="4BFB8F93">
            <w:pPr>
              <w:spacing w:line="440" w:lineRule="exact"/>
              <w:rPr>
                <w:rFonts w:hint="eastAsia" w:ascii="宋体" w:hAnsi="宋体"/>
                <w:color w:val="auto"/>
                <w:szCs w:val="21"/>
                <w:highlight w:val="none"/>
              </w:rPr>
            </w:pPr>
            <w:r>
              <w:rPr>
                <w:rFonts w:hint="eastAsia" w:ascii="宋体" w:hAnsi="宋体"/>
                <w:color w:val="auto"/>
                <w:szCs w:val="21"/>
                <w:highlight w:val="none"/>
              </w:rPr>
              <w:t>13.1</w:t>
            </w:r>
          </w:p>
          <w:p w14:paraId="2672F3C0">
            <w:pPr>
              <w:spacing w:line="440" w:lineRule="exact"/>
              <w:rPr>
                <w:rFonts w:hint="eastAsia" w:ascii="宋体" w:hAnsi="宋体"/>
                <w:color w:val="auto"/>
                <w:szCs w:val="21"/>
                <w:highlight w:val="none"/>
              </w:rPr>
            </w:pPr>
          </w:p>
          <w:p w14:paraId="2D6A8854">
            <w:pPr>
              <w:spacing w:line="440" w:lineRule="exact"/>
              <w:rPr>
                <w:rFonts w:hint="eastAsia" w:ascii="宋体" w:hAnsi="宋体"/>
                <w:color w:val="auto"/>
                <w:szCs w:val="21"/>
                <w:highlight w:val="none"/>
              </w:rPr>
            </w:pPr>
          </w:p>
          <w:p w14:paraId="25F9A587">
            <w:pPr>
              <w:spacing w:line="440" w:lineRule="exact"/>
              <w:rPr>
                <w:rFonts w:hint="eastAsia" w:ascii="宋体" w:hAnsi="宋体"/>
                <w:color w:val="auto"/>
                <w:szCs w:val="21"/>
                <w:highlight w:val="none"/>
              </w:rPr>
            </w:pPr>
          </w:p>
          <w:p w14:paraId="002D67F1">
            <w:pPr>
              <w:spacing w:line="440" w:lineRule="exact"/>
              <w:rPr>
                <w:rFonts w:hint="eastAsia" w:ascii="宋体" w:hAnsi="宋体"/>
                <w:color w:val="auto"/>
                <w:szCs w:val="21"/>
                <w:highlight w:val="none"/>
              </w:rPr>
            </w:pPr>
          </w:p>
          <w:p w14:paraId="0013D300">
            <w:pPr>
              <w:spacing w:line="440" w:lineRule="exact"/>
              <w:rPr>
                <w:rFonts w:hint="eastAsia" w:ascii="宋体" w:hAnsi="宋体"/>
                <w:color w:val="auto"/>
                <w:szCs w:val="21"/>
                <w:highlight w:val="none"/>
              </w:rPr>
            </w:pPr>
          </w:p>
          <w:p w14:paraId="2F82B3ED">
            <w:pPr>
              <w:spacing w:line="440" w:lineRule="exact"/>
              <w:rPr>
                <w:rFonts w:hint="eastAsia" w:ascii="宋体" w:hAnsi="宋体"/>
                <w:color w:val="auto"/>
                <w:szCs w:val="21"/>
                <w:highlight w:val="none"/>
              </w:rPr>
            </w:pPr>
          </w:p>
          <w:p w14:paraId="3B2E9F75">
            <w:pPr>
              <w:spacing w:line="440" w:lineRule="exact"/>
              <w:rPr>
                <w:rFonts w:hint="eastAsia" w:ascii="宋体" w:hAnsi="宋体"/>
                <w:color w:val="auto"/>
                <w:szCs w:val="21"/>
                <w:highlight w:val="none"/>
              </w:rPr>
            </w:pPr>
          </w:p>
          <w:p w14:paraId="1E1A6536">
            <w:pPr>
              <w:spacing w:line="440" w:lineRule="exact"/>
              <w:rPr>
                <w:rFonts w:hint="eastAsia" w:ascii="宋体" w:hAnsi="宋体"/>
                <w:color w:val="auto"/>
                <w:szCs w:val="21"/>
                <w:highlight w:val="none"/>
              </w:rPr>
            </w:pPr>
          </w:p>
          <w:p w14:paraId="13519E4A">
            <w:pPr>
              <w:spacing w:line="440" w:lineRule="exact"/>
              <w:rPr>
                <w:rFonts w:hint="eastAsia" w:ascii="宋体" w:hAnsi="宋体"/>
                <w:color w:val="auto"/>
                <w:szCs w:val="21"/>
                <w:highlight w:val="none"/>
              </w:rPr>
            </w:pPr>
          </w:p>
          <w:p w14:paraId="482DDD28">
            <w:pPr>
              <w:spacing w:line="440" w:lineRule="exact"/>
              <w:rPr>
                <w:rFonts w:hint="eastAsia" w:ascii="宋体" w:hAnsi="宋体"/>
                <w:color w:val="auto"/>
                <w:szCs w:val="21"/>
                <w:highlight w:val="none"/>
              </w:rPr>
            </w:pPr>
          </w:p>
          <w:p w14:paraId="50201732">
            <w:pPr>
              <w:spacing w:line="440" w:lineRule="exact"/>
              <w:rPr>
                <w:rFonts w:hint="eastAsia" w:ascii="宋体" w:hAnsi="宋体"/>
                <w:color w:val="auto"/>
                <w:szCs w:val="21"/>
                <w:highlight w:val="none"/>
              </w:rPr>
            </w:pPr>
          </w:p>
          <w:p w14:paraId="3FA2CC5D">
            <w:pPr>
              <w:spacing w:line="440" w:lineRule="exact"/>
              <w:rPr>
                <w:rFonts w:hint="eastAsia" w:ascii="宋体" w:hAnsi="宋体"/>
                <w:color w:val="auto"/>
                <w:szCs w:val="21"/>
                <w:highlight w:val="none"/>
              </w:rPr>
            </w:pPr>
          </w:p>
          <w:p w14:paraId="331F2BD2">
            <w:pPr>
              <w:spacing w:line="440" w:lineRule="exact"/>
              <w:rPr>
                <w:rFonts w:hint="eastAsia" w:ascii="宋体" w:hAnsi="宋体"/>
                <w:color w:val="auto"/>
                <w:szCs w:val="21"/>
                <w:highlight w:val="none"/>
              </w:rPr>
            </w:pPr>
          </w:p>
          <w:p w14:paraId="34E42AB5">
            <w:pPr>
              <w:spacing w:line="440" w:lineRule="exact"/>
              <w:rPr>
                <w:rFonts w:hint="eastAsia" w:ascii="宋体" w:hAnsi="宋体"/>
                <w:color w:val="auto"/>
                <w:szCs w:val="21"/>
                <w:highlight w:val="none"/>
              </w:rPr>
            </w:pPr>
          </w:p>
          <w:p w14:paraId="3246D481">
            <w:pPr>
              <w:spacing w:line="440" w:lineRule="exact"/>
              <w:rPr>
                <w:rFonts w:hint="eastAsia" w:ascii="宋体" w:hAnsi="宋体"/>
                <w:color w:val="auto"/>
                <w:szCs w:val="21"/>
                <w:highlight w:val="none"/>
              </w:rPr>
            </w:pPr>
          </w:p>
          <w:p w14:paraId="359A6A26">
            <w:pPr>
              <w:spacing w:line="440" w:lineRule="exact"/>
              <w:rPr>
                <w:rFonts w:hint="eastAsia" w:ascii="宋体" w:hAnsi="宋体"/>
                <w:color w:val="auto"/>
                <w:szCs w:val="21"/>
                <w:highlight w:val="none"/>
              </w:rPr>
            </w:pPr>
          </w:p>
          <w:p w14:paraId="625C39B7">
            <w:pPr>
              <w:spacing w:line="440" w:lineRule="exact"/>
              <w:rPr>
                <w:rFonts w:hint="eastAsia" w:ascii="宋体" w:hAnsi="宋体"/>
                <w:color w:val="auto"/>
                <w:szCs w:val="21"/>
                <w:highlight w:val="none"/>
              </w:rPr>
            </w:pPr>
          </w:p>
          <w:p w14:paraId="12517339">
            <w:pPr>
              <w:spacing w:line="440" w:lineRule="exact"/>
              <w:rPr>
                <w:rFonts w:hint="eastAsia" w:ascii="宋体" w:hAnsi="宋体"/>
                <w:color w:val="auto"/>
                <w:szCs w:val="21"/>
                <w:highlight w:val="none"/>
              </w:rPr>
            </w:pPr>
          </w:p>
          <w:p w14:paraId="79494437">
            <w:pPr>
              <w:spacing w:line="440" w:lineRule="exact"/>
              <w:rPr>
                <w:rFonts w:hint="eastAsia" w:ascii="宋体" w:hAnsi="宋体"/>
                <w:color w:val="auto"/>
                <w:szCs w:val="21"/>
                <w:highlight w:val="none"/>
              </w:rPr>
            </w:pPr>
          </w:p>
          <w:p w14:paraId="72041C73">
            <w:pPr>
              <w:spacing w:line="440" w:lineRule="exact"/>
              <w:rPr>
                <w:rFonts w:hint="eastAsia" w:ascii="宋体" w:hAnsi="宋体"/>
                <w:color w:val="auto"/>
                <w:szCs w:val="21"/>
                <w:highlight w:val="none"/>
              </w:rPr>
            </w:pPr>
          </w:p>
          <w:p w14:paraId="03FB4275">
            <w:pPr>
              <w:spacing w:line="440" w:lineRule="exact"/>
              <w:rPr>
                <w:rFonts w:hint="eastAsia" w:ascii="宋体" w:hAnsi="宋体"/>
                <w:color w:val="auto"/>
                <w:szCs w:val="21"/>
                <w:highlight w:val="none"/>
              </w:rPr>
            </w:pPr>
          </w:p>
          <w:p w14:paraId="04DD3394">
            <w:pPr>
              <w:spacing w:line="440" w:lineRule="exact"/>
              <w:rPr>
                <w:rFonts w:hint="eastAsia" w:ascii="宋体" w:hAnsi="宋体"/>
                <w:color w:val="auto"/>
                <w:szCs w:val="21"/>
                <w:highlight w:val="none"/>
              </w:rPr>
            </w:pPr>
          </w:p>
          <w:p w14:paraId="224E3B18">
            <w:pPr>
              <w:spacing w:line="440" w:lineRule="exact"/>
              <w:rPr>
                <w:rFonts w:hint="eastAsia" w:ascii="宋体" w:hAnsi="宋体"/>
                <w:color w:val="auto"/>
                <w:szCs w:val="21"/>
                <w:highlight w:val="none"/>
              </w:rPr>
            </w:pPr>
          </w:p>
          <w:p w14:paraId="1A91B110">
            <w:pPr>
              <w:spacing w:line="440" w:lineRule="exact"/>
              <w:rPr>
                <w:rFonts w:hint="eastAsia" w:ascii="宋体" w:hAnsi="宋体"/>
                <w:color w:val="auto"/>
                <w:szCs w:val="21"/>
                <w:highlight w:val="none"/>
              </w:rPr>
            </w:pPr>
          </w:p>
          <w:p w14:paraId="3877CB96">
            <w:pPr>
              <w:spacing w:line="440" w:lineRule="exact"/>
              <w:rPr>
                <w:rFonts w:hint="eastAsia" w:ascii="宋体" w:hAnsi="宋体"/>
                <w:color w:val="auto"/>
                <w:szCs w:val="21"/>
                <w:highlight w:val="none"/>
              </w:rPr>
            </w:pPr>
          </w:p>
          <w:p w14:paraId="1BD689FE">
            <w:pPr>
              <w:spacing w:line="440" w:lineRule="exact"/>
              <w:rPr>
                <w:rFonts w:hint="eastAsia" w:ascii="宋体" w:hAnsi="宋体"/>
                <w:color w:val="auto"/>
                <w:szCs w:val="21"/>
                <w:highlight w:val="none"/>
              </w:rPr>
            </w:pPr>
          </w:p>
          <w:p w14:paraId="0ECF6F78">
            <w:pPr>
              <w:spacing w:line="440" w:lineRule="exac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567CE7B8">
            <w:pPr>
              <w:snapToGrid w:val="0"/>
              <w:spacing w:line="44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资格证明文件组成</w:t>
            </w:r>
          </w:p>
        </w:tc>
        <w:tc>
          <w:tcPr>
            <w:tcW w:w="6719" w:type="dxa"/>
            <w:tcBorders>
              <w:top w:val="single" w:color="auto" w:sz="4" w:space="0"/>
              <w:left w:val="single" w:color="auto" w:sz="4" w:space="0"/>
              <w:bottom w:val="single" w:color="auto" w:sz="4" w:space="0"/>
              <w:right w:val="single" w:color="auto" w:sz="4" w:space="0"/>
            </w:tcBorders>
            <w:vAlign w:val="center"/>
          </w:tcPr>
          <w:p w14:paraId="2DC9ABAE">
            <w:pPr>
              <w:snapToGrid w:val="0"/>
              <w:spacing w:line="400" w:lineRule="exact"/>
              <w:jc w:val="left"/>
              <w:rPr>
                <w:rFonts w:ascii="宋体" w:hAnsi="宋体" w:cs="Courier New"/>
                <w:b/>
                <w:color w:val="auto"/>
                <w:szCs w:val="21"/>
                <w:highlight w:val="none"/>
              </w:rPr>
            </w:pPr>
            <w:bookmarkStart w:id="73" w:name="OLE_LINK54"/>
            <w:bookmarkStart w:id="74" w:name="OLE_LINK53"/>
            <w:r>
              <w:rPr>
                <w:rFonts w:hint="eastAsia" w:ascii="宋体" w:hAnsi="宋体" w:cs="Courier New"/>
                <w:b/>
                <w:color w:val="auto"/>
                <w:szCs w:val="21"/>
                <w:highlight w:val="none"/>
              </w:rPr>
              <w:t>资格证明文件</w:t>
            </w:r>
          </w:p>
          <w:p w14:paraId="6917223E">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Fonts w:ascii="宋体" w:hAnsi="宋体" w:cs="宋体"/>
                <w:color w:val="auto"/>
                <w:szCs w:val="21"/>
                <w:highlight w:val="none"/>
                <w:lang w:val="zh-CN" w:bidi="zh-CN"/>
              </w:rPr>
              <w:t>执业许可证</w:t>
            </w:r>
            <w:r>
              <w:rPr>
                <w:rFonts w:hint="eastAsia" w:ascii="宋体" w:hAnsi="宋体" w:cs="宋体"/>
                <w:color w:val="auto"/>
                <w:szCs w:val="21"/>
                <w:highlight w:val="none"/>
              </w:rPr>
              <w:t>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EEBCB4B">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b/>
                <w:bCs/>
                <w:color w:val="auto"/>
                <w:szCs w:val="21"/>
                <w:highlight w:val="none"/>
                <w:u w:val="single"/>
              </w:rPr>
              <w:t>202</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rPr>
              <w:t>年</w:t>
            </w:r>
            <w:r>
              <w:rPr>
                <w:rFonts w:hint="eastAsia" w:ascii="宋体" w:hAnsi="宋体" w:cs="宋体"/>
                <w:b/>
                <w:bCs/>
                <w:color w:val="auto"/>
                <w:szCs w:val="21"/>
                <w:highlight w:val="none"/>
                <w:u w:val="single"/>
                <w:lang w:val="en-US" w:eastAsia="zh-CN"/>
              </w:rPr>
              <w:t xml:space="preserve"> 5 </w:t>
            </w:r>
            <w:r>
              <w:rPr>
                <w:rFonts w:hint="eastAsia" w:ascii="宋体" w:hAnsi="宋体" w:cs="宋体"/>
                <w:b/>
                <w:bCs/>
                <w:color w:val="auto"/>
                <w:szCs w:val="21"/>
                <w:highlight w:val="none"/>
              </w:rPr>
              <w:t>月至</w:t>
            </w:r>
            <w:r>
              <w:rPr>
                <w:rFonts w:hint="eastAsia" w:ascii="宋体" w:hAnsi="宋体" w:cs="宋体"/>
                <w:b/>
                <w:bCs/>
                <w:color w:val="auto"/>
                <w:szCs w:val="21"/>
                <w:highlight w:val="none"/>
                <w:u w:val="single"/>
              </w:rPr>
              <w:t>202</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rPr>
              <w:t>年</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rPr>
              <w:t>月</w:t>
            </w:r>
            <w:r>
              <w:rPr>
                <w:rFonts w:hint="eastAsia" w:ascii="宋体" w:hAnsi="宋体" w:cs="宋体"/>
                <w:color w:val="auto"/>
                <w:szCs w:val="21"/>
                <w:highlight w:val="none"/>
              </w:rPr>
              <w:t>内连续</w:t>
            </w:r>
            <w:r>
              <w:rPr>
                <w:rFonts w:hint="eastAsia" w:ascii="宋体" w:hAnsi="宋体" w:cs="宋体"/>
                <w:b/>
                <w:bCs/>
                <w:color w:val="auto"/>
                <w:szCs w:val="21"/>
                <w:highlight w:val="none"/>
              </w:rPr>
              <w:t>3个月</w:t>
            </w:r>
            <w:r>
              <w:rPr>
                <w:rFonts w:hint="eastAsia" w:ascii="宋体" w:hAnsi="宋体" w:cs="宋体"/>
                <w:color w:val="auto"/>
                <w:szCs w:val="21"/>
                <w:highlight w:val="none"/>
              </w:rPr>
              <w:t>的依法缴纳税收的凭据复印件；依法免税的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，必须提供相应文件证明其依法免税。从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之日起的依法缴纳税收相应证明文件）；</w:t>
            </w:r>
            <w:r>
              <w:rPr>
                <w:rFonts w:hint="eastAsia" w:ascii="宋体" w:hAnsi="宋体" w:cs="宋体"/>
                <w:b/>
                <w:color w:val="auto"/>
                <w:szCs w:val="21"/>
                <w:highlight w:val="none"/>
              </w:rPr>
              <w:t>（必须提供，否则按无效投标处理）</w:t>
            </w:r>
          </w:p>
          <w:p w14:paraId="06A2D358">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b/>
                <w:bCs/>
                <w:color w:val="auto"/>
                <w:szCs w:val="21"/>
                <w:highlight w:val="none"/>
                <w:u w:val="single"/>
              </w:rPr>
              <w:t>202</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rPr>
              <w:t>年</w:t>
            </w:r>
            <w:r>
              <w:rPr>
                <w:rFonts w:hint="eastAsia" w:ascii="宋体" w:hAnsi="宋体" w:cs="宋体"/>
                <w:b/>
                <w:bCs/>
                <w:color w:val="auto"/>
                <w:szCs w:val="21"/>
                <w:highlight w:val="none"/>
                <w:u w:val="single"/>
                <w:lang w:val="en-US" w:eastAsia="zh-CN"/>
              </w:rPr>
              <w:t xml:space="preserve"> 5 </w:t>
            </w:r>
            <w:r>
              <w:rPr>
                <w:rFonts w:hint="eastAsia" w:ascii="宋体" w:hAnsi="宋体" w:cs="宋体"/>
                <w:b/>
                <w:bCs/>
                <w:color w:val="auto"/>
                <w:szCs w:val="21"/>
                <w:highlight w:val="none"/>
              </w:rPr>
              <w:t>月至</w:t>
            </w:r>
            <w:r>
              <w:rPr>
                <w:rFonts w:hint="eastAsia" w:ascii="宋体" w:hAnsi="宋体" w:cs="宋体"/>
                <w:b/>
                <w:bCs/>
                <w:color w:val="auto"/>
                <w:szCs w:val="21"/>
                <w:highlight w:val="none"/>
                <w:u w:val="single"/>
              </w:rPr>
              <w:t>202</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rPr>
              <w:t>年</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rPr>
              <w:t>月</w:t>
            </w:r>
            <w:r>
              <w:rPr>
                <w:rFonts w:hint="eastAsia" w:ascii="宋体" w:hAnsi="宋体" w:cs="宋体"/>
                <w:color w:val="auto"/>
                <w:szCs w:val="21"/>
                <w:highlight w:val="none"/>
              </w:rPr>
              <w:t>内连续</w:t>
            </w:r>
            <w:r>
              <w:rPr>
                <w:rFonts w:hint="eastAsia" w:ascii="宋体" w:hAnsi="宋体" w:cs="宋体"/>
                <w:b/>
                <w:bCs/>
                <w:color w:val="auto"/>
                <w:szCs w:val="21"/>
                <w:highlight w:val="none"/>
              </w:rPr>
              <w:t>3个月</w:t>
            </w:r>
            <w:r>
              <w:rPr>
                <w:rFonts w:hint="eastAsia" w:ascii="宋体" w:hAnsi="宋体" w:cs="宋体"/>
                <w:color w:val="auto"/>
                <w:szCs w:val="21"/>
                <w:highlight w:val="none"/>
              </w:rPr>
              <w:t>的依法缴纳社会保障资金的缴费凭证（专用收据或者社会保险缴纳清单）复印件；依法不需要缴纳社会保障资金的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，必须提供相应文件证明不需要缴纳社会保障资金。从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之日起的依法缴纳社会保障资金的相应证明文件]；</w:t>
            </w:r>
            <w:r>
              <w:rPr>
                <w:rFonts w:hint="eastAsia" w:ascii="宋体" w:hAnsi="宋体" w:cs="宋体"/>
                <w:b/>
                <w:color w:val="auto"/>
                <w:szCs w:val="21"/>
                <w:highlight w:val="none"/>
              </w:rPr>
              <w:t>（必须提供，否则按无效投标处理）</w:t>
            </w:r>
          </w:p>
          <w:p w14:paraId="4986302A">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4.</w:t>
            </w:r>
            <w:bookmarkEnd w:id="73"/>
            <w:bookmarkEnd w:id="74"/>
            <w:r>
              <w:rPr>
                <w:rFonts w:hint="eastAsia" w:ascii="宋体" w:hAnsi="宋体" w:cs="宋体"/>
                <w:color w:val="auto"/>
                <w:szCs w:val="21"/>
                <w:highlight w:val="none"/>
              </w:rPr>
              <w:t>投标人财务状况报告（</w:t>
            </w:r>
            <w:r>
              <w:rPr>
                <w:rFonts w:hint="eastAsia" w:ascii="宋体" w:hAnsi="宋体"/>
                <w:b/>
                <w:bCs/>
                <w:color w:val="auto"/>
                <w:szCs w:val="21"/>
                <w:highlight w:val="none"/>
                <w:u w:val="single"/>
                <w:lang w:bidi="ar"/>
              </w:rPr>
              <w:t>2</w:t>
            </w:r>
            <w:r>
              <w:rPr>
                <w:rFonts w:ascii="宋体" w:hAnsi="宋体"/>
                <w:b/>
                <w:bCs/>
                <w:color w:val="auto"/>
                <w:szCs w:val="21"/>
                <w:highlight w:val="none"/>
                <w:u w:val="single"/>
                <w:lang w:bidi="ar"/>
              </w:rPr>
              <w:t>02</w:t>
            </w:r>
            <w:r>
              <w:rPr>
                <w:rFonts w:hint="eastAsia" w:ascii="宋体" w:hAnsi="宋体"/>
                <w:b/>
                <w:bCs/>
                <w:color w:val="auto"/>
                <w:szCs w:val="21"/>
                <w:highlight w:val="none"/>
                <w:u w:val="single"/>
                <w:lang w:val="en-US" w:eastAsia="zh-CN" w:bidi="ar"/>
              </w:rPr>
              <w:t>4</w:t>
            </w:r>
            <w:r>
              <w:rPr>
                <w:rFonts w:hint="eastAsia" w:ascii="宋体" w:hAnsi="宋体"/>
                <w:b/>
                <w:bCs/>
                <w:color w:val="auto"/>
                <w:szCs w:val="21"/>
                <w:highlight w:val="none"/>
              </w:rPr>
              <w:t>年</w:t>
            </w:r>
            <w:r>
              <w:rPr>
                <w:rFonts w:hint="eastAsia" w:ascii="宋体" w:hAnsi="宋体" w:cs="宋体"/>
                <w:b/>
                <w:bCs/>
                <w:color w:val="auto"/>
                <w:szCs w:val="21"/>
                <w:highlight w:val="none"/>
              </w:rPr>
              <w:t>度</w:t>
            </w:r>
            <w:r>
              <w:rPr>
                <w:rFonts w:hint="eastAsia" w:ascii="宋体" w:hAnsi="宋体" w:cs="宋体"/>
                <w:color w:val="auto"/>
                <w:szCs w:val="21"/>
                <w:highlight w:val="none"/>
              </w:rPr>
              <w:t>财务报表复印件或者银行出具的资信证明；投标人属于成立</w:t>
            </w:r>
            <w:r>
              <w:rPr>
                <w:rFonts w:ascii="宋体" w:hAnsi="宋体" w:cs="宋体"/>
                <w:color w:val="auto"/>
                <w:szCs w:val="21"/>
                <w:highlight w:val="none"/>
              </w:rPr>
              <w:t>时间</w:t>
            </w:r>
            <w:r>
              <w:rPr>
                <w:rFonts w:hint="eastAsia" w:ascii="宋体" w:hAnsi="宋体" w:cs="宋体"/>
                <w:color w:val="auto"/>
                <w:szCs w:val="21"/>
                <w:highlight w:val="none"/>
              </w:rPr>
              <w:t>在规定年度之后</w:t>
            </w:r>
            <w:r>
              <w:rPr>
                <w:rFonts w:ascii="宋体" w:hAnsi="宋体" w:cs="宋体"/>
                <w:color w:val="auto"/>
                <w:szCs w:val="21"/>
                <w:highlight w:val="none"/>
              </w:rPr>
              <w:t>的</w:t>
            </w:r>
            <w:r>
              <w:rPr>
                <w:rFonts w:hint="eastAsia" w:ascii="宋体" w:hAnsi="宋体" w:cs="宋体"/>
                <w:color w:val="auto"/>
                <w:szCs w:val="21"/>
                <w:highlight w:val="none"/>
              </w:rPr>
              <w:t>法人或其他组织</w:t>
            </w:r>
            <w:r>
              <w:rPr>
                <w:rFonts w:ascii="宋体" w:hAnsi="宋体" w:cs="宋体"/>
                <w:color w:val="auto"/>
                <w:szCs w:val="21"/>
                <w:highlight w:val="none"/>
              </w:rPr>
              <w:t>，需提供成立</w:t>
            </w:r>
            <w:r>
              <w:rPr>
                <w:rFonts w:hint="eastAsia" w:ascii="宋体" w:hAnsi="宋体" w:cs="宋体"/>
                <w:color w:val="auto"/>
                <w:szCs w:val="21"/>
                <w:highlight w:val="none"/>
              </w:rPr>
              <w:t>之日起至投标截止时间前</w:t>
            </w:r>
            <w:r>
              <w:rPr>
                <w:rFonts w:ascii="宋体" w:hAnsi="宋体" w:cs="宋体"/>
                <w:color w:val="auto"/>
                <w:szCs w:val="21"/>
                <w:highlight w:val="none"/>
              </w:rPr>
              <w:t>的月报表</w:t>
            </w:r>
            <w:r>
              <w:rPr>
                <w:rFonts w:hint="eastAsia" w:ascii="宋体" w:hAnsi="宋体" w:cs="宋体"/>
                <w:color w:val="auto"/>
                <w:szCs w:val="21"/>
                <w:highlight w:val="none"/>
              </w:rPr>
              <w:t>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60954030">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5.投标人直接控股、管理关系信息表（格式后附）；（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C83BA0F">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6.投标声明（格式后附）；（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010577F">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7.联合体协议书（格式后附）；（</w:t>
            </w:r>
            <w:r>
              <w:rPr>
                <w:rFonts w:hint="eastAsia" w:ascii="宋体" w:hAnsi="宋体"/>
                <w:b/>
                <w:color w:val="auto"/>
                <w:szCs w:val="21"/>
                <w:highlight w:val="none"/>
              </w:rPr>
              <w:t>联合体投标时必须提供，否则按无效投标处理</w:t>
            </w:r>
            <w:r>
              <w:rPr>
                <w:rFonts w:hint="eastAsia" w:ascii="宋体" w:hAnsi="宋体"/>
                <w:color w:val="auto"/>
                <w:szCs w:val="21"/>
                <w:highlight w:val="none"/>
              </w:rPr>
              <w:t>）</w:t>
            </w:r>
          </w:p>
          <w:p w14:paraId="5781FF1C">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8.（采购人或采购代理机构根据招标公告对应的特定资格要求及特定条件设置投标人提供的资格证明材料）；（</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CA72358">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9.除招标文件规定必须提供以外，投标人认为需要提供的其他证明材料。</w:t>
            </w:r>
          </w:p>
          <w:p w14:paraId="1D8432C2">
            <w:pPr>
              <w:snapToGrid w:val="0"/>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注：</w:t>
            </w:r>
          </w:p>
          <w:p w14:paraId="54BBC953">
            <w:pPr>
              <w:snapToGrid w:val="0"/>
              <w:spacing w:line="400" w:lineRule="exact"/>
              <w:jc w:val="left"/>
              <w:rPr>
                <w:rFonts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1.以上标明“必须提供”的材料属于复印件的，必须加盖投标人电子签章，否则按无效投标</w:t>
            </w:r>
            <w:r>
              <w:rPr>
                <w:rFonts w:hint="eastAsia" w:ascii="宋体" w:hAnsi="宋体" w:cs="Courier New"/>
                <w:b/>
                <w:color w:val="auto"/>
                <w:szCs w:val="21"/>
                <w:highlight w:val="none"/>
              </w:rPr>
              <w:t>处理。</w:t>
            </w:r>
          </w:p>
          <w:p w14:paraId="233C62FA">
            <w:pPr>
              <w:numPr>
                <w:ilvl w:val="0"/>
                <w:numId w:val="4"/>
              </w:numPr>
              <w:snapToGrid w:val="0"/>
              <w:spacing w:line="400" w:lineRule="exact"/>
              <w:ind w:left="0" w:leftChars="0" w:firstLine="0" w:firstLineChars="0"/>
              <w:jc w:val="left"/>
              <w:rPr>
                <w:rFonts w:hint="eastAsia" w:ascii="宋体" w:hAnsi="宋体"/>
                <w:b/>
                <w:bCs/>
                <w:color w:val="auto"/>
                <w:szCs w:val="21"/>
                <w:highlight w:val="none"/>
              </w:rPr>
            </w:pPr>
            <w:r>
              <w:rPr>
                <w:rFonts w:hint="eastAsia" w:ascii="宋体" w:hAnsi="宋体"/>
                <w:b/>
                <w:bCs/>
                <w:color w:val="auto"/>
                <w:szCs w:val="21"/>
                <w:highlight w:val="none"/>
              </w:rPr>
              <w:t>联合体投标时，第1-5项资格证明文件联合体各方均必须分别提供，并由联合体牵头人加盖电子签章，规定签字处签字（或者电子签名），否则按无效投标处理。</w:t>
            </w:r>
          </w:p>
          <w:p w14:paraId="7057CA42">
            <w:pPr>
              <w:snapToGrid w:val="0"/>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w:t>
            </w:r>
            <w:r>
              <w:rPr>
                <w:rFonts w:hint="eastAsia" w:ascii="宋体" w:hAnsi="宋体"/>
                <w:b/>
                <w:bCs/>
                <w:color w:val="auto"/>
                <w:szCs w:val="21"/>
                <w:highlight w:val="none"/>
              </w:rPr>
              <w:t>投标人直接控股、管理关系信息表必须由法定代表人或者委托代理人在规定签章处签字或盖章或电子签章，并加盖投标人公章或电子签章，否则按无效投标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57AC8C2E">
            <w:pPr>
              <w:numPr>
                <w:ilvl w:val="0"/>
                <w:numId w:val="0"/>
              </w:numPr>
              <w:snapToGrid w:val="0"/>
              <w:spacing w:line="400" w:lineRule="exact"/>
              <w:ind w:leftChars="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rPr>
              <w:t>必须提供的材料在第六章“投标文件格式”中有要求法定代表人或委托代理人签字的，必须由法定代表人或委托代理人签字（签字方式可使用法定代表人或委托代理人个人电子签章，没有办理广西政府采购云平台个人电子签章的可在投标文件中涉及签字的位置手写签字后扫描或者拍照做成 PDF 的格式上传），否则作无效投标处理。</w:t>
            </w:r>
          </w:p>
          <w:p w14:paraId="47857802">
            <w:pPr>
              <w:snapToGrid w:val="0"/>
              <w:spacing w:line="440" w:lineRule="exact"/>
              <w:jc w:val="left"/>
              <w:rPr>
                <w:rFonts w:hint="eastAsia" w:ascii="宋体" w:hAnsi="宋体"/>
                <w:b/>
                <w:bCs/>
                <w:color w:val="auto"/>
                <w:szCs w:val="21"/>
                <w:highlight w:val="none"/>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rPr>
              <w:t>分公司参加投标的，应当取得总公司授权，否则按无效投标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0F5B7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vMerge w:val="continue"/>
            <w:tcBorders>
              <w:left w:val="single" w:color="auto" w:sz="4" w:space="0"/>
              <w:bottom w:val="single" w:color="auto" w:sz="4" w:space="0"/>
              <w:right w:val="single" w:color="auto" w:sz="4" w:space="0"/>
            </w:tcBorders>
            <w:vAlign w:val="center"/>
          </w:tcPr>
          <w:p w14:paraId="5C63EF45">
            <w:pPr>
              <w:spacing w:line="440" w:lineRule="exac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12926291">
            <w:pPr>
              <w:snapToGrid w:val="0"/>
              <w:spacing w:line="44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商务文件组成</w:t>
            </w:r>
          </w:p>
          <w:p w14:paraId="3D28D570">
            <w:pPr>
              <w:spacing w:line="440" w:lineRule="exact"/>
              <w:rPr>
                <w:rFonts w:hint="eastAsia" w:ascii="宋体" w:hAnsi="宋体"/>
                <w:color w:val="auto"/>
                <w:szCs w:val="21"/>
                <w:highlight w:val="none"/>
              </w:rPr>
            </w:pPr>
          </w:p>
        </w:tc>
        <w:tc>
          <w:tcPr>
            <w:tcW w:w="6719" w:type="dxa"/>
            <w:tcBorders>
              <w:top w:val="single" w:color="auto" w:sz="4" w:space="0"/>
              <w:left w:val="single" w:color="auto" w:sz="4" w:space="0"/>
              <w:bottom w:val="single" w:color="auto" w:sz="4" w:space="0"/>
              <w:right w:val="single" w:color="auto" w:sz="4" w:space="0"/>
            </w:tcBorders>
            <w:vAlign w:val="center"/>
          </w:tcPr>
          <w:p w14:paraId="1EB29499">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0799B39">
            <w:pPr>
              <w:snapToGrid w:val="0"/>
              <w:spacing w:line="400" w:lineRule="exact"/>
              <w:jc w:val="lef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99E335A">
            <w:pPr>
              <w:snapToGrid w:val="0"/>
              <w:spacing w:line="400" w:lineRule="exact"/>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.法定代表人授权委托书及委托代理人有效身份证正反面复印件（格式后附）；（</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17B23446">
            <w:pPr>
              <w:snapToGrid w:val="0"/>
              <w:spacing w:line="400" w:lineRule="exact"/>
              <w:jc w:val="left"/>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商务偏离表（格式后附）；（</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D945CE3">
            <w:pPr>
              <w:snapToGrid w:val="0"/>
              <w:spacing w:line="400" w:lineRule="exact"/>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.投标人情况介绍（格式自拟）；</w:t>
            </w:r>
          </w:p>
          <w:p w14:paraId="5CC3BA0B">
            <w:pPr>
              <w:snapToGrid w:val="0"/>
              <w:spacing w:line="400" w:lineRule="exact"/>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.联合体协议书（格式后附）；（</w:t>
            </w:r>
            <w:r>
              <w:rPr>
                <w:rFonts w:hint="eastAsia" w:ascii="宋体" w:hAnsi="宋体"/>
                <w:b/>
                <w:color w:val="auto"/>
                <w:szCs w:val="21"/>
                <w:highlight w:val="none"/>
              </w:rPr>
              <w:t>联合体投标时必须提供，否则作无效投标处理</w:t>
            </w:r>
            <w:r>
              <w:rPr>
                <w:rFonts w:hint="eastAsia" w:ascii="宋体" w:hAnsi="宋体"/>
                <w:color w:val="auto"/>
                <w:szCs w:val="21"/>
                <w:highlight w:val="none"/>
              </w:rPr>
              <w:t>）</w:t>
            </w:r>
          </w:p>
          <w:p w14:paraId="4C3ECC39">
            <w:pPr>
              <w:snapToGrid w:val="0"/>
              <w:spacing w:line="400" w:lineRule="exact"/>
              <w:jc w:val="left"/>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.除招标文件规定必须提供以外，投标人认为需要提供的其他证明材料（格式自拟）。</w:t>
            </w:r>
          </w:p>
          <w:p w14:paraId="5AEB7A7A">
            <w:pPr>
              <w:snapToGrid w:val="0"/>
              <w:spacing w:line="380" w:lineRule="exact"/>
              <w:jc w:val="left"/>
              <w:rPr>
                <w:rFonts w:hint="eastAsia" w:ascii="宋体" w:hAnsi="宋体"/>
                <w:b/>
                <w:bCs/>
                <w:color w:val="auto"/>
                <w:szCs w:val="21"/>
                <w:highlight w:val="none"/>
              </w:rPr>
            </w:pPr>
            <w:r>
              <w:rPr>
                <w:rFonts w:hint="eastAsia" w:ascii="宋体" w:hAnsi="宋体"/>
                <w:b/>
                <w:bCs/>
                <w:color w:val="auto"/>
                <w:szCs w:val="21"/>
                <w:highlight w:val="none"/>
              </w:rPr>
              <w:t>注：</w:t>
            </w:r>
          </w:p>
          <w:p w14:paraId="16DF5677">
            <w:pPr>
              <w:snapToGrid w:val="0"/>
              <w:spacing w:line="380" w:lineRule="exact"/>
              <w:jc w:val="left"/>
              <w:rPr>
                <w:rFonts w:hint="eastAsia" w:ascii="宋体" w:hAnsi="宋体"/>
                <w:b/>
                <w:bCs/>
                <w:color w:val="auto"/>
                <w:szCs w:val="21"/>
                <w:highlight w:val="none"/>
              </w:rPr>
            </w:pPr>
            <w:r>
              <w:rPr>
                <w:rFonts w:hint="eastAsia" w:ascii="宋体" w:hAnsi="宋体"/>
                <w:b/>
                <w:bCs/>
                <w:color w:val="auto"/>
                <w:szCs w:val="21"/>
                <w:highlight w:val="none"/>
                <w:lang w:val="en-US" w:eastAsia="zh-CN"/>
              </w:rPr>
              <w:t>1.</w:t>
            </w:r>
            <w:r>
              <w:rPr>
                <w:rFonts w:hint="eastAsia" w:ascii="宋体" w:hAnsi="宋体"/>
                <w:b/>
                <w:bCs/>
                <w:color w:val="auto"/>
                <w:szCs w:val="21"/>
                <w:highlight w:val="none"/>
              </w:rPr>
              <w:t>以上标明“必须提供”的材料属于复印件的，必须加盖投标人公章，否则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p w14:paraId="41D6189A">
            <w:pPr>
              <w:numPr>
                <w:ilvl w:val="0"/>
                <w:numId w:val="0"/>
              </w:numPr>
              <w:snapToGrid w:val="0"/>
              <w:spacing w:line="400" w:lineRule="exact"/>
              <w:ind w:leftChars="0"/>
              <w:jc w:val="left"/>
              <w:rPr>
                <w:rFonts w:hint="eastAsia" w:ascii="宋体" w:hAnsi="宋体" w:cs="Courier New"/>
                <w:b/>
                <w:color w:val="auto"/>
                <w:szCs w:val="21"/>
                <w:highlight w:val="none"/>
              </w:rPr>
            </w:pPr>
            <w:r>
              <w:rPr>
                <w:rFonts w:hint="eastAsia" w:ascii="宋体" w:hAnsi="宋体" w:eastAsia="宋体" w:cs="Times New Roman"/>
                <w:b/>
                <w:bCs/>
                <w:color w:val="auto"/>
                <w:szCs w:val="21"/>
                <w:highlight w:val="none"/>
                <w:lang w:val="en-US" w:eastAsia="zh-CN"/>
              </w:rPr>
              <w:t>2.</w:t>
            </w:r>
            <w:r>
              <w:rPr>
                <w:rFonts w:hint="eastAsia" w:ascii="宋体" w:hAnsi="宋体" w:eastAsia="宋体" w:cs="Times New Roman"/>
                <w:b/>
                <w:bCs/>
                <w:color w:val="auto"/>
                <w:szCs w:val="21"/>
                <w:highlight w:val="none"/>
              </w:rPr>
              <w:t>必须提供的材料在第六章“投标文件格式”中有要求法定代表人或委托代理人签字的，必须由法定代表人或委托代理人签字（签字方式可使用法定代表人或委托代理人个人电子签章，没有办理广西政府采购云平台个人电子签章的可在投标文件中涉及签字的位置手写签字后扫描或者拍照做成 PDF 的格式上传），否则作无效投标处理。</w:t>
            </w:r>
          </w:p>
        </w:tc>
      </w:tr>
      <w:tr w14:paraId="608CD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vMerge w:val="restart"/>
            <w:tcBorders>
              <w:top w:val="single" w:color="auto" w:sz="4" w:space="0"/>
              <w:left w:val="single" w:color="auto" w:sz="4" w:space="0"/>
              <w:bottom w:val="single" w:color="auto" w:sz="4" w:space="0"/>
              <w:right w:val="single" w:color="auto" w:sz="4" w:space="0"/>
            </w:tcBorders>
            <w:vAlign w:val="center"/>
          </w:tcPr>
          <w:p w14:paraId="7DD584A8">
            <w:pPr>
              <w:spacing w:line="440" w:lineRule="exact"/>
              <w:rPr>
                <w:rFonts w:hint="eastAsia" w:ascii="宋体" w:hAnsi="宋体"/>
                <w:color w:val="auto"/>
                <w:szCs w:val="21"/>
                <w:highlight w:val="none"/>
              </w:rPr>
            </w:pPr>
          </w:p>
        </w:tc>
        <w:tc>
          <w:tcPr>
            <w:tcW w:w="2071" w:type="dxa"/>
            <w:vMerge w:val="restart"/>
            <w:tcBorders>
              <w:top w:val="single" w:color="auto" w:sz="4" w:space="0"/>
              <w:left w:val="single" w:color="auto" w:sz="4" w:space="0"/>
              <w:right w:val="single" w:color="auto" w:sz="4" w:space="0"/>
            </w:tcBorders>
            <w:vAlign w:val="center"/>
          </w:tcPr>
          <w:p w14:paraId="10112A78">
            <w:pPr>
              <w:snapToGrid w:val="0"/>
              <w:spacing w:line="44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技术文件组成</w:t>
            </w:r>
          </w:p>
          <w:p w14:paraId="6DB18023">
            <w:pPr>
              <w:spacing w:line="440" w:lineRule="exact"/>
              <w:rPr>
                <w:rFonts w:hint="eastAsia" w:ascii="宋体" w:hAnsi="宋体"/>
                <w:color w:val="auto"/>
                <w:szCs w:val="21"/>
                <w:highlight w:val="none"/>
              </w:rPr>
            </w:pPr>
          </w:p>
        </w:tc>
        <w:tc>
          <w:tcPr>
            <w:tcW w:w="6719" w:type="dxa"/>
            <w:tcBorders>
              <w:top w:val="single" w:color="auto" w:sz="4" w:space="0"/>
              <w:left w:val="single" w:color="auto" w:sz="4" w:space="0"/>
              <w:bottom w:val="single" w:color="auto" w:sz="4" w:space="0"/>
              <w:right w:val="single" w:color="auto" w:sz="4" w:space="0"/>
            </w:tcBorders>
            <w:vAlign w:val="center"/>
          </w:tcPr>
          <w:p w14:paraId="2E62C239">
            <w:pPr>
              <w:snapToGrid w:val="0"/>
              <w:spacing w:line="440" w:lineRule="exact"/>
              <w:jc w:val="left"/>
              <w:rPr>
                <w:rFonts w:hint="eastAsia" w:ascii="宋体" w:hAnsi="宋体"/>
                <w:b/>
                <w:bCs/>
                <w:color w:val="auto"/>
                <w:szCs w:val="21"/>
                <w:highlight w:val="none"/>
                <w:lang w:val="en-US" w:eastAsia="zh-CN"/>
              </w:rPr>
            </w:pPr>
            <w:r>
              <w:rPr>
                <w:rFonts w:hint="eastAsia" w:ascii="宋体" w:hAnsi="宋体"/>
                <w:b/>
                <w:bCs/>
                <w:color w:val="auto"/>
                <w:szCs w:val="21"/>
                <w:highlight w:val="none"/>
                <w:lang w:eastAsia="zh-CN"/>
              </w:rPr>
              <w:t>分标</w:t>
            </w:r>
            <w:r>
              <w:rPr>
                <w:rFonts w:hint="eastAsia" w:ascii="宋体" w:hAnsi="宋体"/>
                <w:b/>
                <w:bCs/>
                <w:color w:val="auto"/>
                <w:szCs w:val="21"/>
                <w:highlight w:val="none"/>
                <w:lang w:val="en-US" w:eastAsia="zh-CN"/>
              </w:rPr>
              <w:t>1：</w:t>
            </w:r>
          </w:p>
          <w:p w14:paraId="09BEA328">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1.服务需求偏离表（格式后附）；（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692627D">
            <w:pPr>
              <w:snapToGrid w:val="0"/>
              <w:spacing w:line="400" w:lineRule="exact"/>
              <w:jc w:val="left"/>
              <w:rPr>
                <w:rFonts w:hint="eastAsia" w:ascii="宋体" w:hAnsi="宋体"/>
                <w:b/>
                <w:bCs/>
                <w:color w:val="auto"/>
                <w:szCs w:val="21"/>
                <w:highlight w:val="none"/>
              </w:rPr>
            </w:pPr>
            <w:r>
              <w:rPr>
                <w:rFonts w:hint="eastAsia" w:ascii="宋体" w:hAnsi="宋体"/>
                <w:color w:val="auto"/>
                <w:szCs w:val="21"/>
                <w:highlight w:val="none"/>
              </w:rPr>
              <w:t>2.服务方案（格式自拟）【</w:t>
            </w:r>
            <w:r>
              <w:rPr>
                <w:rFonts w:hint="eastAsia" w:ascii="宋体" w:hAnsi="宋体"/>
                <w:color w:val="auto"/>
                <w:szCs w:val="21"/>
                <w:highlight w:val="none"/>
                <w:lang w:val="en-US" w:eastAsia="zh-CN"/>
              </w:rPr>
              <w:t>包括但不限于</w:t>
            </w:r>
            <w:r>
              <w:rPr>
                <w:rFonts w:hint="eastAsia" w:ascii="宋体" w:hAnsi="宋体"/>
                <w:color w:val="auto"/>
                <w:szCs w:val="21"/>
                <w:highlight w:val="none"/>
              </w:rPr>
              <w:t>项目前期准备、项目实施计划（人员构成、技术服务、技术培训、售后服务的内容和措施）】；（</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5145300">
            <w:pPr>
              <w:snapToGrid w:val="0"/>
              <w:spacing w:line="440" w:lineRule="exact"/>
              <w:jc w:val="left"/>
              <w:rPr>
                <w:rFonts w:hint="eastAsia" w:ascii="宋体" w:hAnsi="宋体"/>
                <w:color w:val="auto"/>
                <w:szCs w:val="21"/>
                <w:highlight w:val="none"/>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售后服务方案</w:t>
            </w:r>
            <w:r>
              <w:rPr>
                <w:rFonts w:hint="eastAsia" w:ascii="宋体" w:hAnsi="宋体"/>
                <w:b/>
                <w:bCs/>
                <w:color w:val="auto"/>
                <w:highlight w:val="none"/>
              </w:rPr>
              <w:t>；</w:t>
            </w:r>
            <w:r>
              <w:rPr>
                <w:rFonts w:hint="eastAsia" w:ascii="宋体" w:hAnsi="宋体"/>
                <w:color w:val="auto"/>
                <w:szCs w:val="21"/>
                <w:highlight w:val="none"/>
              </w:rPr>
              <w:t>（如有，请提供）</w:t>
            </w:r>
          </w:p>
          <w:p w14:paraId="5D8EA96C">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.项目实施人员一览表</w:t>
            </w:r>
            <w:r>
              <w:rPr>
                <w:rFonts w:hint="eastAsia" w:ascii="宋体" w:hAnsi="宋体" w:cs="宋体"/>
                <w:color w:val="auto"/>
                <w:szCs w:val="21"/>
                <w:highlight w:val="none"/>
              </w:rPr>
              <w:t>（格式仅供参考）</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D023FB5">
            <w:pPr>
              <w:snapToGrid w:val="0"/>
              <w:spacing w:line="400" w:lineRule="exact"/>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r>
              <w:rPr>
                <w:rFonts w:hint="eastAsia" w:ascii="宋体" w:hAnsi="宋体" w:cs="宋体"/>
                <w:color w:val="auto"/>
                <w:szCs w:val="21"/>
                <w:highlight w:val="none"/>
              </w:rPr>
              <w:t>投标人业绩情况一览表（格式仅供参考）</w:t>
            </w:r>
            <w:r>
              <w:rPr>
                <w:rFonts w:hint="eastAsia" w:ascii="宋体" w:hAnsi="宋体" w:cs="宋体"/>
                <w:color w:val="auto"/>
                <w:szCs w:val="21"/>
                <w:highlight w:val="none"/>
                <w:lang w:eastAsia="zh-CN"/>
              </w:rPr>
              <w:t>；</w:t>
            </w:r>
          </w:p>
          <w:p w14:paraId="4F6200F5">
            <w:pPr>
              <w:snapToGrid w:val="0"/>
              <w:spacing w:line="400" w:lineRule="exact"/>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.投标人对本项目的合理化建议和改进措施（格式自拟）；</w:t>
            </w:r>
          </w:p>
          <w:p w14:paraId="2F924990">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.除招标文件规定必须提供以外，投标人需要说明的其他文件和说明（格式自拟）。</w:t>
            </w:r>
          </w:p>
          <w:p w14:paraId="2223F645">
            <w:pPr>
              <w:snapToGrid w:val="0"/>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注：</w:t>
            </w:r>
          </w:p>
          <w:p w14:paraId="469D98FF">
            <w:pPr>
              <w:numPr>
                <w:ilvl w:val="0"/>
                <w:numId w:val="5"/>
              </w:numPr>
              <w:snapToGrid w:val="0"/>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以上标明“必须提供”的材料属于复印件的，必须加盖投标人电子签章，否则按无效投标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4718C26C">
            <w:pPr>
              <w:snapToGrid w:val="0"/>
              <w:spacing w:line="440" w:lineRule="exact"/>
              <w:jc w:val="left"/>
              <w:rPr>
                <w:rFonts w:hint="default" w:ascii="宋体" w:hAnsi="宋体"/>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w:t>
            </w:r>
            <w:r>
              <w:rPr>
                <w:rFonts w:hint="eastAsia" w:ascii="宋体" w:hAnsi="宋体" w:eastAsia="宋体" w:cs="Times New Roman"/>
                <w:b/>
                <w:bCs/>
                <w:color w:val="auto"/>
                <w:szCs w:val="21"/>
                <w:highlight w:val="none"/>
              </w:rPr>
              <w:t>必须提供的材料在第六章“投标文件格式”中有要求法定代表人或委托代理人签字的，必须由法定代表人或委托代理人签字（签字方式可使用法定代表人或委托代理人个人电子签章，没有办理广西政府采购云平台个人电子签章的可在投标文件中涉及签字的位置手写签字后扫描或者拍照做成 PDF 的格式上传），否则作无效投标处理。</w:t>
            </w:r>
          </w:p>
        </w:tc>
      </w:tr>
      <w:tr w14:paraId="20070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vMerge w:val="continue"/>
            <w:tcBorders>
              <w:left w:val="single" w:color="auto" w:sz="4" w:space="0"/>
              <w:right w:val="single" w:color="auto" w:sz="4" w:space="0"/>
            </w:tcBorders>
            <w:vAlign w:val="center"/>
          </w:tcPr>
          <w:p w14:paraId="21D17370">
            <w:pPr>
              <w:spacing w:line="440" w:lineRule="exact"/>
              <w:rPr>
                <w:rFonts w:hint="eastAsia" w:ascii="宋体" w:hAnsi="宋体"/>
                <w:color w:val="auto"/>
                <w:szCs w:val="21"/>
                <w:highlight w:val="none"/>
              </w:rPr>
            </w:pPr>
          </w:p>
        </w:tc>
        <w:tc>
          <w:tcPr>
            <w:tcW w:w="2071" w:type="dxa"/>
            <w:vMerge w:val="continue"/>
            <w:tcBorders>
              <w:left w:val="single" w:color="auto" w:sz="4" w:space="0"/>
              <w:bottom w:val="single" w:color="auto" w:sz="4" w:space="0"/>
              <w:right w:val="single" w:color="auto" w:sz="4" w:space="0"/>
            </w:tcBorders>
            <w:vAlign w:val="center"/>
          </w:tcPr>
          <w:p w14:paraId="5224732B">
            <w:pPr>
              <w:spacing w:line="440" w:lineRule="exact"/>
              <w:rPr>
                <w:rFonts w:hint="eastAsia" w:ascii="宋体" w:hAnsi="宋体"/>
                <w:color w:val="auto"/>
                <w:szCs w:val="21"/>
                <w:highlight w:val="none"/>
              </w:rPr>
            </w:pPr>
          </w:p>
        </w:tc>
        <w:tc>
          <w:tcPr>
            <w:tcW w:w="6719" w:type="dxa"/>
            <w:tcBorders>
              <w:top w:val="single" w:color="auto" w:sz="4" w:space="0"/>
              <w:left w:val="single" w:color="auto" w:sz="4" w:space="0"/>
              <w:bottom w:val="single" w:color="auto" w:sz="4" w:space="0"/>
              <w:right w:val="single" w:color="auto" w:sz="4" w:space="0"/>
            </w:tcBorders>
            <w:vAlign w:val="center"/>
          </w:tcPr>
          <w:p w14:paraId="30F0BBD1">
            <w:pPr>
              <w:snapToGrid w:val="0"/>
              <w:spacing w:line="440" w:lineRule="exact"/>
              <w:jc w:val="left"/>
              <w:rPr>
                <w:rFonts w:hint="eastAsia" w:ascii="宋体" w:hAnsi="宋体"/>
                <w:b/>
                <w:bCs/>
                <w:color w:val="auto"/>
                <w:szCs w:val="21"/>
                <w:highlight w:val="none"/>
                <w:lang w:val="en-US" w:eastAsia="zh-CN"/>
              </w:rPr>
            </w:pPr>
            <w:r>
              <w:rPr>
                <w:rFonts w:hint="eastAsia" w:ascii="宋体" w:hAnsi="宋体"/>
                <w:b/>
                <w:bCs/>
                <w:color w:val="auto"/>
                <w:szCs w:val="21"/>
                <w:highlight w:val="none"/>
                <w:lang w:eastAsia="zh-CN"/>
              </w:rPr>
              <w:t>分标</w:t>
            </w:r>
            <w:r>
              <w:rPr>
                <w:rFonts w:hint="eastAsia" w:ascii="宋体" w:hAnsi="宋体"/>
                <w:b/>
                <w:bCs/>
                <w:color w:val="auto"/>
                <w:szCs w:val="21"/>
                <w:highlight w:val="none"/>
                <w:lang w:val="en-US" w:eastAsia="zh-CN"/>
              </w:rPr>
              <w:t>2：</w:t>
            </w:r>
          </w:p>
          <w:p w14:paraId="5751710F">
            <w:pPr>
              <w:shd w:val="clear" w:color="auto" w:fill="auto"/>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技术需求偏离表；（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34B334D6">
            <w:pPr>
              <w:shd w:val="clear" w:color="auto" w:fill="auto"/>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项目实施方案；（</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3F53AB0E">
            <w:pPr>
              <w:shd w:val="clear" w:color="auto" w:fill="auto"/>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3、对本项目总体要求的理解。包括：功能说明、性能指标及设备选型说明（质量、性能、价格、外观、体积等方面进行比较和选择的理由及过程）；</w:t>
            </w:r>
            <w:r>
              <w:rPr>
                <w:rFonts w:hint="eastAsia" w:ascii="宋体" w:hAnsi="宋体" w:eastAsia="宋体" w:cs="Times New Roman"/>
                <w:color w:val="auto"/>
                <w:szCs w:val="21"/>
                <w:highlight w:val="none"/>
              </w:rPr>
              <w:t>（</w:t>
            </w:r>
            <w:r>
              <w:rPr>
                <w:rFonts w:hint="eastAsia" w:ascii="宋体" w:hAnsi="宋体" w:eastAsia="宋体" w:cs="Times New Roman"/>
                <w:b/>
                <w:bCs/>
                <w:color w:val="auto"/>
                <w:szCs w:val="21"/>
                <w:highlight w:val="none"/>
              </w:rPr>
              <w:t>如有请提供）</w:t>
            </w:r>
          </w:p>
          <w:p w14:paraId="094B20F4">
            <w:pPr>
              <w:shd w:val="clear" w:color="auto" w:fill="auto"/>
              <w:snapToGrid w:val="0"/>
              <w:spacing w:line="38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产品出厂标准、质量检测报告</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1"/>
                <w:highlight w:val="none"/>
              </w:rPr>
              <w:t>（</w:t>
            </w:r>
            <w:r>
              <w:rPr>
                <w:rFonts w:hint="eastAsia" w:ascii="宋体" w:hAnsi="宋体" w:eastAsia="宋体" w:cs="Times New Roman"/>
                <w:b/>
                <w:bCs/>
                <w:color w:val="auto"/>
                <w:szCs w:val="21"/>
                <w:highlight w:val="none"/>
              </w:rPr>
              <w:t>如有请提供）</w:t>
            </w:r>
          </w:p>
          <w:p w14:paraId="678667BE">
            <w:pPr>
              <w:shd w:val="clear" w:color="auto" w:fill="auto"/>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优惠条件：投标人承诺给予招标人的各种优惠条件，包括售后服务、备品备件、专用耗材等方面的优惠；</w:t>
            </w:r>
            <w:r>
              <w:rPr>
                <w:rFonts w:hint="eastAsia" w:ascii="宋体" w:hAnsi="宋体" w:eastAsia="宋体" w:cs="Times New Roman"/>
                <w:color w:val="auto"/>
                <w:szCs w:val="21"/>
                <w:highlight w:val="none"/>
              </w:rPr>
              <w:t>（</w:t>
            </w:r>
            <w:r>
              <w:rPr>
                <w:rFonts w:hint="eastAsia" w:ascii="宋体" w:hAnsi="宋体" w:eastAsia="宋体" w:cs="Times New Roman"/>
                <w:b/>
                <w:bCs/>
                <w:color w:val="auto"/>
                <w:szCs w:val="21"/>
                <w:highlight w:val="none"/>
              </w:rPr>
              <w:t>如有请提供）</w:t>
            </w:r>
          </w:p>
          <w:p w14:paraId="149566DC">
            <w:pPr>
              <w:shd w:val="clear" w:color="auto" w:fill="auto"/>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投标人对本项目的合理化建议和改进措施；</w:t>
            </w:r>
            <w:r>
              <w:rPr>
                <w:rFonts w:hint="eastAsia" w:ascii="宋体" w:hAnsi="宋体" w:eastAsia="宋体" w:cs="Times New Roman"/>
                <w:color w:val="auto"/>
                <w:szCs w:val="21"/>
                <w:highlight w:val="none"/>
              </w:rPr>
              <w:t>（</w:t>
            </w:r>
            <w:r>
              <w:rPr>
                <w:rFonts w:hint="eastAsia" w:ascii="宋体" w:hAnsi="宋体" w:eastAsia="宋体" w:cs="Times New Roman"/>
                <w:b/>
                <w:bCs/>
                <w:color w:val="auto"/>
                <w:szCs w:val="21"/>
                <w:highlight w:val="none"/>
              </w:rPr>
              <w:t>如有请提供）</w:t>
            </w:r>
          </w:p>
          <w:p w14:paraId="456F2C86">
            <w:pPr>
              <w:snapToGrid w:val="0"/>
              <w:spacing w:line="400" w:lineRule="exact"/>
              <w:jc w:val="left"/>
              <w:rPr>
                <w:rFonts w:hint="default" w:ascii="宋体" w:hAnsi="宋体" w:cs="Courier New"/>
                <w:b/>
                <w:color w:val="auto"/>
                <w:szCs w:val="21"/>
                <w:highlight w:val="none"/>
                <w:lang w:val="en-US" w:eastAsia="zh-CN"/>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除招标文件规定必须提供以外，投标人需要说明的其他文件和说明。</w:t>
            </w:r>
          </w:p>
          <w:p w14:paraId="23D734D8">
            <w:pPr>
              <w:snapToGrid w:val="0"/>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注：</w:t>
            </w:r>
          </w:p>
          <w:p w14:paraId="74F7AE3B">
            <w:pPr>
              <w:numPr>
                <w:ilvl w:val="0"/>
                <w:numId w:val="5"/>
              </w:numPr>
              <w:snapToGrid w:val="0"/>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以上标明“必须提供”的材料属于复印件的，必须加盖投标人电子签章，否则按无效投标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0B20D005">
            <w:pPr>
              <w:snapToGrid w:val="0"/>
              <w:spacing w:line="440" w:lineRule="exact"/>
              <w:jc w:val="left"/>
              <w:rPr>
                <w:rFonts w:hint="default" w:ascii="宋体" w:hAnsi="宋体"/>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w:t>
            </w:r>
            <w:r>
              <w:rPr>
                <w:rFonts w:hint="eastAsia" w:ascii="宋体" w:hAnsi="宋体" w:eastAsia="宋体" w:cs="Times New Roman"/>
                <w:b/>
                <w:bCs/>
                <w:color w:val="auto"/>
                <w:szCs w:val="21"/>
                <w:highlight w:val="none"/>
              </w:rPr>
              <w:t>必须提供的材料在第六章“投标文件格式”中有要求法定代表人或委托代理人签字的，必须由法定代表人或委托代理人签字（签字方式可使用法定代表人或委托代理人个人电子签章，没有办理广西政府采购云平台个人电子签章的可在投标文件中涉及签字的位置手写签字后扫描或者拍照做成 PDF 的格式上传），否则作无效投标处理。</w:t>
            </w:r>
          </w:p>
        </w:tc>
      </w:tr>
      <w:tr w14:paraId="29331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vMerge w:val="continue"/>
            <w:tcBorders>
              <w:top w:val="nil"/>
              <w:left w:val="single" w:color="auto" w:sz="4" w:space="0"/>
              <w:bottom w:val="single" w:color="auto" w:sz="4" w:space="0"/>
              <w:right w:val="single" w:color="auto" w:sz="4" w:space="0"/>
            </w:tcBorders>
            <w:vAlign w:val="center"/>
          </w:tcPr>
          <w:p w14:paraId="4CAF8EA8">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79649C90">
            <w:pPr>
              <w:snapToGrid w:val="0"/>
              <w:spacing w:line="44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6719" w:type="dxa"/>
            <w:tcBorders>
              <w:top w:val="single" w:color="auto" w:sz="4" w:space="0"/>
              <w:left w:val="single" w:color="auto" w:sz="4" w:space="0"/>
              <w:bottom w:val="single" w:color="auto" w:sz="4" w:space="0"/>
              <w:right w:val="single" w:color="auto" w:sz="4" w:space="0"/>
            </w:tcBorders>
            <w:vAlign w:val="center"/>
          </w:tcPr>
          <w:p w14:paraId="6E374613">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（必须提供，否则作无效投标处理）</w:t>
            </w:r>
          </w:p>
          <w:p w14:paraId="596D3380">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2.开标一览表（格式后附）；</w:t>
            </w:r>
            <w:r>
              <w:rPr>
                <w:rFonts w:hint="eastAsia" w:ascii="宋体" w:hAnsi="宋体"/>
                <w:b/>
                <w:color w:val="auto"/>
                <w:szCs w:val="21"/>
                <w:highlight w:val="none"/>
              </w:rPr>
              <w:t>（必须提供，否则作无效投标处理）</w:t>
            </w:r>
          </w:p>
          <w:p w14:paraId="7CDD9EF8">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w:t>
            </w:r>
            <w:bookmarkStart w:id="75" w:name="OLE_LINK16"/>
            <w:bookmarkStart w:id="76" w:name="OLE_LINK56"/>
            <w:bookmarkStart w:id="77" w:name="OLE_LINK17"/>
            <w:r>
              <w:rPr>
                <w:rFonts w:hint="eastAsia" w:ascii="宋体" w:hAnsi="宋体"/>
                <w:color w:val="auto"/>
                <w:szCs w:val="21"/>
                <w:highlight w:val="none"/>
              </w:rPr>
              <w:t>投标人针对报价需要说明的其他文件（如中小企业声明函、残疾人福利性单位声明函、监狱企业声明函等）和说明（格式自拟）。</w:t>
            </w:r>
            <w:bookmarkEnd w:id="75"/>
            <w:bookmarkEnd w:id="76"/>
            <w:bookmarkEnd w:id="77"/>
          </w:p>
          <w:p w14:paraId="31319F59">
            <w:pPr>
              <w:snapToGrid w:val="0"/>
              <w:spacing w:line="440" w:lineRule="exact"/>
              <w:jc w:val="left"/>
              <w:rPr>
                <w:rFonts w:hint="eastAsia" w:ascii="宋体" w:hAnsi="宋体"/>
                <w:color w:val="auto"/>
                <w:szCs w:val="21"/>
                <w:highlight w:val="none"/>
              </w:rPr>
            </w:pPr>
            <w:r>
              <w:rPr>
                <w:rFonts w:hint="eastAsia" w:ascii="宋体" w:hAnsi="宋体"/>
                <w:b/>
                <w:color w:val="auto"/>
                <w:szCs w:val="21"/>
                <w:highlight w:val="none"/>
              </w:rPr>
              <w:t>注：投标函、开标一览表必须由法定代表人或者委托代理人在规定签章处签字并加盖投标人公章，否则作无效投标处理</w:t>
            </w:r>
            <w:r>
              <w:rPr>
                <w:rFonts w:hint="eastAsia" w:ascii="宋体" w:hAnsi="宋体"/>
                <w:b/>
                <w:color w:val="auto"/>
                <w:szCs w:val="21"/>
                <w:highlight w:val="none"/>
                <w:lang w:eastAsia="zh-CN"/>
              </w:rPr>
              <w:t>；</w:t>
            </w:r>
          </w:p>
        </w:tc>
      </w:tr>
      <w:tr w14:paraId="3165D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1C634E97">
            <w:pPr>
              <w:spacing w:line="440" w:lineRule="exact"/>
              <w:rPr>
                <w:rFonts w:hint="eastAsia" w:ascii="宋体" w:hAnsi="宋体"/>
                <w:color w:val="auto"/>
                <w:szCs w:val="21"/>
                <w:highlight w:val="none"/>
              </w:rPr>
            </w:pPr>
            <w:r>
              <w:rPr>
                <w:rFonts w:hint="eastAsia" w:ascii="宋体" w:hAnsi="宋体"/>
                <w:color w:val="auto"/>
                <w:szCs w:val="21"/>
                <w:highlight w:val="none"/>
              </w:rPr>
              <w:t>16.2</w:t>
            </w:r>
          </w:p>
        </w:tc>
        <w:tc>
          <w:tcPr>
            <w:tcW w:w="2071" w:type="dxa"/>
            <w:tcBorders>
              <w:top w:val="single" w:color="auto" w:sz="4" w:space="0"/>
              <w:left w:val="single" w:color="auto" w:sz="4" w:space="0"/>
              <w:bottom w:val="single" w:color="auto" w:sz="4" w:space="0"/>
              <w:right w:val="single" w:color="auto" w:sz="4" w:space="0"/>
            </w:tcBorders>
            <w:vAlign w:val="center"/>
          </w:tcPr>
          <w:p w14:paraId="533E53B2">
            <w:pPr>
              <w:spacing w:line="440" w:lineRule="exact"/>
              <w:rPr>
                <w:rFonts w:hint="eastAsia" w:ascii="宋体" w:hAnsi="宋体"/>
                <w:color w:val="auto"/>
                <w:szCs w:val="21"/>
                <w:highlight w:val="none"/>
              </w:rPr>
            </w:pPr>
            <w:r>
              <w:rPr>
                <w:rFonts w:hint="eastAsia" w:ascii="宋体" w:hAnsi="宋体"/>
                <w:color w:val="auto"/>
                <w:szCs w:val="21"/>
                <w:highlight w:val="none"/>
              </w:rPr>
              <w:t>投标报价要求</w:t>
            </w:r>
          </w:p>
        </w:tc>
        <w:tc>
          <w:tcPr>
            <w:tcW w:w="6719" w:type="dxa"/>
            <w:tcBorders>
              <w:top w:val="single" w:color="auto" w:sz="4" w:space="0"/>
              <w:left w:val="single" w:color="auto" w:sz="4" w:space="0"/>
              <w:bottom w:val="single" w:color="auto" w:sz="4" w:space="0"/>
              <w:right w:val="single" w:color="auto" w:sz="4" w:space="0"/>
            </w:tcBorders>
            <w:vAlign w:val="center"/>
          </w:tcPr>
          <w:p w14:paraId="269C97DF">
            <w:pPr>
              <w:snapToGrid w:val="0"/>
              <w:spacing w:line="440" w:lineRule="exact"/>
              <w:rPr>
                <w:rFonts w:hint="eastAsia"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必须包含满足本次投标全部采购需求所应提供的服务，以及伴随的货物和工程（如有）的价格（采购需求另有约定的，从其约定）</w:t>
            </w:r>
          </w:p>
        </w:tc>
      </w:tr>
      <w:tr w14:paraId="304F8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3BF6B41E">
            <w:pPr>
              <w:spacing w:line="440" w:lineRule="exact"/>
              <w:rPr>
                <w:rFonts w:hint="eastAsia" w:ascii="宋体" w:hAnsi="宋体"/>
                <w:color w:val="auto"/>
                <w:szCs w:val="21"/>
                <w:highlight w:val="none"/>
              </w:rPr>
            </w:pPr>
            <w:r>
              <w:rPr>
                <w:rFonts w:hint="eastAsia" w:ascii="宋体" w:hAnsi="宋体"/>
                <w:color w:val="auto"/>
                <w:szCs w:val="21"/>
                <w:highlight w:val="none"/>
              </w:rPr>
              <w:t>17.2</w:t>
            </w:r>
          </w:p>
        </w:tc>
        <w:tc>
          <w:tcPr>
            <w:tcW w:w="2071" w:type="dxa"/>
            <w:tcBorders>
              <w:top w:val="single" w:color="auto" w:sz="4" w:space="0"/>
              <w:left w:val="single" w:color="auto" w:sz="4" w:space="0"/>
              <w:bottom w:val="single" w:color="auto" w:sz="4" w:space="0"/>
              <w:right w:val="single" w:color="auto" w:sz="4" w:space="0"/>
            </w:tcBorders>
            <w:vAlign w:val="center"/>
          </w:tcPr>
          <w:p w14:paraId="40371D33">
            <w:pPr>
              <w:spacing w:line="440" w:lineRule="exact"/>
              <w:rPr>
                <w:rFonts w:hint="eastAsia" w:ascii="宋体" w:hAnsi="宋体"/>
                <w:color w:val="auto"/>
                <w:szCs w:val="21"/>
                <w:highlight w:val="none"/>
              </w:rPr>
            </w:pPr>
            <w:r>
              <w:rPr>
                <w:rFonts w:hint="eastAsia" w:ascii="宋体" w:hAnsi="宋体"/>
                <w:color w:val="auto"/>
                <w:szCs w:val="21"/>
                <w:highlight w:val="none"/>
              </w:rPr>
              <w:t>投标有效期</w:t>
            </w:r>
          </w:p>
        </w:tc>
        <w:tc>
          <w:tcPr>
            <w:tcW w:w="6719" w:type="dxa"/>
            <w:tcBorders>
              <w:top w:val="single" w:color="auto" w:sz="4" w:space="0"/>
              <w:left w:val="single" w:color="auto" w:sz="4" w:space="0"/>
              <w:bottom w:val="single" w:color="auto" w:sz="4" w:space="0"/>
              <w:right w:val="single" w:color="auto" w:sz="4" w:space="0"/>
            </w:tcBorders>
            <w:vAlign w:val="center"/>
          </w:tcPr>
          <w:p w14:paraId="3661F748">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自投标截止之日起</w:t>
            </w:r>
            <w:bookmarkStart w:id="78" w:name="PO_3000001866_PM046"/>
            <w:r>
              <w:rPr>
                <w:rFonts w:hint="eastAsia" w:ascii="宋体" w:hAnsi="宋体"/>
                <w:color w:val="auto"/>
                <w:szCs w:val="21"/>
                <w:highlight w:val="none"/>
                <w:u w:val="single"/>
              </w:rPr>
              <w:t>90</w:t>
            </w:r>
            <w:r>
              <w:rPr>
                <w:rFonts w:ascii="宋体" w:hAnsi="宋体"/>
                <w:color w:val="auto"/>
                <w:szCs w:val="21"/>
                <w:highlight w:val="none"/>
                <w:u w:val="single"/>
              </w:rPr>
              <w:t>日历天</w:t>
            </w:r>
            <w:bookmarkEnd w:id="78"/>
            <w:r>
              <w:rPr>
                <w:rFonts w:hint="eastAsia" w:ascii="宋体" w:hAnsi="宋体"/>
                <w:color w:val="auto"/>
                <w:szCs w:val="21"/>
                <w:highlight w:val="none"/>
              </w:rPr>
              <w:t>。</w:t>
            </w:r>
          </w:p>
        </w:tc>
      </w:tr>
      <w:tr w14:paraId="3A39B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6E0E5ADD">
            <w:pPr>
              <w:spacing w:line="440" w:lineRule="exact"/>
              <w:rPr>
                <w:rFonts w:hint="eastAsia" w:ascii="宋体" w:hAnsi="宋体"/>
                <w:color w:val="auto"/>
                <w:szCs w:val="21"/>
                <w:highlight w:val="none"/>
              </w:rPr>
            </w:pPr>
            <w:r>
              <w:rPr>
                <w:rFonts w:hint="eastAsia" w:ascii="宋体" w:hAnsi="宋体"/>
                <w:color w:val="auto"/>
                <w:szCs w:val="21"/>
                <w:highlight w:val="none"/>
              </w:rPr>
              <w:t>18</w:t>
            </w:r>
          </w:p>
        </w:tc>
        <w:tc>
          <w:tcPr>
            <w:tcW w:w="2071" w:type="dxa"/>
            <w:tcBorders>
              <w:top w:val="single" w:color="auto" w:sz="4" w:space="0"/>
              <w:left w:val="single" w:color="auto" w:sz="4" w:space="0"/>
              <w:bottom w:val="single" w:color="auto" w:sz="4" w:space="0"/>
              <w:right w:val="single" w:color="auto" w:sz="4" w:space="0"/>
            </w:tcBorders>
            <w:vAlign w:val="center"/>
          </w:tcPr>
          <w:p w14:paraId="731BDC37">
            <w:pPr>
              <w:spacing w:line="440" w:lineRule="exact"/>
              <w:rPr>
                <w:rFonts w:hint="eastAsia" w:ascii="宋体" w:hAnsi="宋体"/>
                <w:color w:val="auto"/>
                <w:szCs w:val="21"/>
                <w:highlight w:val="none"/>
              </w:rPr>
            </w:pPr>
            <w:r>
              <w:rPr>
                <w:rFonts w:hint="eastAsia" w:ascii="宋体" w:hAnsi="宋体"/>
                <w:color w:val="auto"/>
                <w:szCs w:val="21"/>
                <w:highlight w:val="none"/>
              </w:rPr>
              <w:t>投标保证金金额</w:t>
            </w:r>
          </w:p>
        </w:tc>
        <w:tc>
          <w:tcPr>
            <w:tcW w:w="6719" w:type="dxa"/>
            <w:tcBorders>
              <w:top w:val="single" w:color="auto" w:sz="4" w:space="0"/>
              <w:left w:val="single" w:color="auto" w:sz="4" w:space="0"/>
              <w:bottom w:val="single" w:color="auto" w:sz="4" w:space="0"/>
              <w:right w:val="single" w:color="auto" w:sz="4" w:space="0"/>
            </w:tcBorders>
            <w:vAlign w:val="center"/>
          </w:tcPr>
          <w:p w14:paraId="45419B91">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23A37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0E390E49">
            <w:pPr>
              <w:spacing w:line="440" w:lineRule="exact"/>
              <w:rPr>
                <w:rFonts w:hint="eastAsia" w:ascii="宋体" w:hAnsi="宋体"/>
                <w:color w:val="auto"/>
                <w:szCs w:val="21"/>
                <w:highlight w:val="none"/>
              </w:rPr>
            </w:pPr>
            <w:r>
              <w:rPr>
                <w:rFonts w:hint="eastAsia" w:ascii="宋体" w:hAnsi="宋体"/>
                <w:color w:val="auto"/>
                <w:szCs w:val="21"/>
                <w:highlight w:val="none"/>
              </w:rPr>
              <w:t>19.1</w:t>
            </w:r>
          </w:p>
        </w:tc>
        <w:tc>
          <w:tcPr>
            <w:tcW w:w="2071" w:type="dxa"/>
            <w:tcBorders>
              <w:top w:val="single" w:color="auto" w:sz="4" w:space="0"/>
              <w:left w:val="single" w:color="auto" w:sz="4" w:space="0"/>
              <w:bottom w:val="single" w:color="auto" w:sz="4" w:space="0"/>
              <w:right w:val="single" w:color="auto" w:sz="4" w:space="0"/>
            </w:tcBorders>
            <w:vAlign w:val="center"/>
          </w:tcPr>
          <w:p w14:paraId="18D46262">
            <w:pPr>
              <w:spacing w:line="440" w:lineRule="exact"/>
              <w:rPr>
                <w:rFonts w:hint="eastAsia" w:ascii="宋体" w:hAnsi="宋体"/>
                <w:color w:val="auto"/>
                <w:szCs w:val="21"/>
                <w:highlight w:val="none"/>
              </w:rPr>
            </w:pPr>
            <w:r>
              <w:rPr>
                <w:rFonts w:hint="eastAsia" w:ascii="宋体" w:hAnsi="宋体"/>
                <w:color w:val="auto"/>
                <w:szCs w:val="21"/>
                <w:highlight w:val="none"/>
              </w:rPr>
              <w:t>投标文件编制要求</w:t>
            </w:r>
          </w:p>
        </w:tc>
        <w:tc>
          <w:tcPr>
            <w:tcW w:w="6719" w:type="dxa"/>
            <w:tcBorders>
              <w:top w:val="single" w:color="auto" w:sz="4" w:space="0"/>
              <w:left w:val="single" w:color="auto" w:sz="4" w:space="0"/>
              <w:bottom w:val="single" w:color="auto" w:sz="4" w:space="0"/>
              <w:right w:val="single" w:color="auto" w:sz="4" w:space="0"/>
            </w:tcBorders>
            <w:vAlign w:val="center"/>
          </w:tcPr>
          <w:p w14:paraId="39056FA4">
            <w:pPr>
              <w:spacing w:line="440" w:lineRule="exact"/>
              <w:rPr>
                <w:rFonts w:hint="eastAsia" w:ascii="宋体" w:hAnsi="宋体"/>
                <w:b/>
                <w:color w:val="auto"/>
                <w:szCs w:val="21"/>
                <w:highlight w:val="none"/>
                <w:u w:val="single"/>
              </w:rPr>
            </w:pPr>
            <w:r>
              <w:rPr>
                <w:rFonts w:hint="eastAsia" w:hAnsi="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b/>
                <w:color w:val="auto"/>
                <w:szCs w:val="21"/>
                <w:highlight w:val="none"/>
                <w:u w:val="single"/>
              </w:rPr>
              <w:t>电子版投标文件制作方式见招标公告附件。</w:t>
            </w:r>
          </w:p>
        </w:tc>
      </w:tr>
      <w:tr w14:paraId="6F841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5903D4EF">
            <w:pPr>
              <w:spacing w:line="440" w:lineRule="exact"/>
              <w:rPr>
                <w:rFonts w:hint="eastAsia" w:ascii="宋体" w:hAnsi="宋体"/>
                <w:color w:val="auto"/>
                <w:szCs w:val="21"/>
                <w:highlight w:val="none"/>
              </w:rPr>
            </w:pPr>
            <w:r>
              <w:rPr>
                <w:rFonts w:hint="eastAsia" w:ascii="宋体" w:hAnsi="宋体"/>
                <w:color w:val="auto"/>
                <w:szCs w:val="21"/>
                <w:highlight w:val="none"/>
              </w:rPr>
              <w:t>20</w:t>
            </w:r>
          </w:p>
        </w:tc>
        <w:tc>
          <w:tcPr>
            <w:tcW w:w="2071" w:type="dxa"/>
            <w:tcBorders>
              <w:top w:val="single" w:color="auto" w:sz="4" w:space="0"/>
              <w:left w:val="single" w:color="auto" w:sz="4" w:space="0"/>
              <w:bottom w:val="single" w:color="auto" w:sz="4" w:space="0"/>
              <w:right w:val="single" w:color="auto" w:sz="4" w:space="0"/>
            </w:tcBorders>
            <w:vAlign w:val="center"/>
          </w:tcPr>
          <w:p w14:paraId="6DFEA42D">
            <w:pPr>
              <w:spacing w:line="440" w:lineRule="exact"/>
              <w:rPr>
                <w:rFonts w:hint="eastAsia" w:ascii="宋体" w:hAnsi="宋体"/>
                <w:color w:val="auto"/>
                <w:szCs w:val="21"/>
                <w:highlight w:val="none"/>
              </w:rPr>
            </w:pPr>
            <w:r>
              <w:rPr>
                <w:rFonts w:hint="eastAsia" w:ascii="宋体" w:hAnsi="宋体"/>
                <w:color w:val="auto"/>
                <w:szCs w:val="21"/>
                <w:highlight w:val="none"/>
              </w:rPr>
              <w:t>备份投标文件</w:t>
            </w:r>
          </w:p>
        </w:tc>
        <w:tc>
          <w:tcPr>
            <w:tcW w:w="6719" w:type="dxa"/>
            <w:tcBorders>
              <w:top w:val="single" w:color="auto" w:sz="4" w:space="0"/>
              <w:left w:val="single" w:color="auto" w:sz="4" w:space="0"/>
              <w:bottom w:val="single" w:color="auto" w:sz="4" w:space="0"/>
              <w:right w:val="single" w:color="auto" w:sz="4" w:space="0"/>
            </w:tcBorders>
            <w:vAlign w:val="center"/>
          </w:tcPr>
          <w:p w14:paraId="6A2C37D8">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本项目不接受备份投标文件。</w:t>
            </w:r>
          </w:p>
        </w:tc>
      </w:tr>
      <w:tr w14:paraId="62C4F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2" w:type="dxa"/>
            <w:vMerge w:val="restart"/>
            <w:tcBorders>
              <w:top w:val="single" w:color="auto" w:sz="4" w:space="0"/>
              <w:left w:val="single" w:color="auto" w:sz="4" w:space="0"/>
              <w:bottom w:val="nil"/>
              <w:right w:val="single" w:color="auto" w:sz="4" w:space="0"/>
            </w:tcBorders>
            <w:vAlign w:val="center"/>
          </w:tcPr>
          <w:p w14:paraId="51EF9DB1">
            <w:pPr>
              <w:spacing w:line="440" w:lineRule="exact"/>
              <w:rPr>
                <w:rFonts w:hint="eastAsia" w:ascii="宋体" w:hAnsi="宋体"/>
                <w:color w:val="auto"/>
                <w:szCs w:val="21"/>
                <w:highlight w:val="none"/>
              </w:rPr>
            </w:pPr>
            <w:r>
              <w:rPr>
                <w:rFonts w:hint="eastAsia" w:ascii="宋体" w:hAnsi="宋体"/>
                <w:color w:val="auto"/>
                <w:szCs w:val="21"/>
                <w:highlight w:val="none"/>
              </w:rPr>
              <w:t>21.1</w:t>
            </w:r>
          </w:p>
        </w:tc>
        <w:tc>
          <w:tcPr>
            <w:tcW w:w="2071" w:type="dxa"/>
            <w:tcBorders>
              <w:top w:val="single" w:color="auto" w:sz="4" w:space="0"/>
              <w:left w:val="single" w:color="auto" w:sz="4" w:space="0"/>
              <w:bottom w:val="single" w:color="auto" w:sz="4" w:space="0"/>
              <w:right w:val="single" w:color="auto" w:sz="4" w:space="0"/>
            </w:tcBorders>
            <w:vAlign w:val="center"/>
          </w:tcPr>
          <w:p w14:paraId="217F56EB">
            <w:pPr>
              <w:spacing w:line="440" w:lineRule="exact"/>
              <w:rPr>
                <w:rFonts w:hint="eastAsia" w:ascii="宋体" w:hAnsi="宋体"/>
                <w:color w:val="auto"/>
                <w:szCs w:val="21"/>
                <w:highlight w:val="none"/>
              </w:rPr>
            </w:pPr>
            <w:r>
              <w:rPr>
                <w:rFonts w:hint="eastAsia" w:ascii="宋体" w:hAnsi="宋体"/>
                <w:color w:val="auto"/>
                <w:szCs w:val="21"/>
                <w:highlight w:val="none"/>
              </w:rPr>
              <w:t>投标截止时间</w:t>
            </w:r>
          </w:p>
        </w:tc>
        <w:tc>
          <w:tcPr>
            <w:tcW w:w="6719" w:type="dxa"/>
            <w:tcBorders>
              <w:top w:val="single" w:color="auto" w:sz="4" w:space="0"/>
              <w:left w:val="single" w:color="auto" w:sz="4" w:space="0"/>
              <w:bottom w:val="single" w:color="auto" w:sz="4" w:space="0"/>
              <w:right w:val="single" w:color="auto" w:sz="4" w:space="0"/>
            </w:tcBorders>
            <w:vAlign w:val="center"/>
          </w:tcPr>
          <w:p w14:paraId="5AF4AF78">
            <w:pPr>
              <w:snapToGrid w:val="0"/>
              <w:spacing w:line="440" w:lineRule="exact"/>
              <w:rPr>
                <w:rFonts w:hint="eastAsia" w:ascii="宋体" w:hAnsi="宋体"/>
                <w:color w:val="auto"/>
                <w:szCs w:val="21"/>
                <w:highlight w:val="none"/>
                <w:u w:val="single"/>
              </w:rPr>
            </w:pPr>
            <w:r>
              <w:rPr>
                <w:rFonts w:hint="eastAsia" w:ascii="宋体" w:hAnsi="宋体"/>
                <w:color w:val="auto"/>
                <w:szCs w:val="21"/>
                <w:highlight w:val="none"/>
              </w:rPr>
              <w:t>详见招标公告</w:t>
            </w:r>
          </w:p>
        </w:tc>
      </w:tr>
      <w:tr w14:paraId="55D5B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72" w:type="dxa"/>
            <w:vMerge w:val="continue"/>
            <w:tcBorders>
              <w:top w:val="single" w:color="auto" w:sz="4" w:space="0"/>
              <w:left w:val="single" w:color="auto" w:sz="4" w:space="0"/>
              <w:bottom w:val="nil"/>
              <w:right w:val="single" w:color="auto" w:sz="4" w:space="0"/>
            </w:tcBorders>
            <w:vAlign w:val="center"/>
          </w:tcPr>
          <w:p w14:paraId="032BCFAF">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49294346">
            <w:pPr>
              <w:spacing w:line="440" w:lineRule="exact"/>
              <w:rPr>
                <w:rFonts w:hint="eastAsia" w:ascii="宋体" w:hAnsi="宋体"/>
                <w:color w:val="auto"/>
                <w:szCs w:val="21"/>
                <w:highlight w:val="none"/>
              </w:rPr>
            </w:pPr>
            <w:r>
              <w:rPr>
                <w:rFonts w:hint="eastAsia" w:ascii="宋体" w:hAnsi="宋体"/>
                <w:color w:val="auto"/>
                <w:szCs w:val="21"/>
                <w:highlight w:val="none"/>
              </w:rPr>
              <w:t>投标文件提交起止时间</w:t>
            </w:r>
          </w:p>
        </w:tc>
        <w:tc>
          <w:tcPr>
            <w:tcW w:w="6719" w:type="dxa"/>
            <w:tcBorders>
              <w:top w:val="single" w:color="auto" w:sz="4" w:space="0"/>
              <w:left w:val="single" w:color="auto" w:sz="4" w:space="0"/>
              <w:bottom w:val="single" w:color="auto" w:sz="4" w:space="0"/>
              <w:right w:val="single" w:color="auto" w:sz="4" w:space="0"/>
            </w:tcBorders>
            <w:vAlign w:val="center"/>
          </w:tcPr>
          <w:p w14:paraId="4FB9ACA5">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478F5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72" w:type="dxa"/>
            <w:vMerge w:val="continue"/>
            <w:tcBorders>
              <w:top w:val="single" w:color="auto" w:sz="4" w:space="0"/>
              <w:left w:val="single" w:color="auto" w:sz="4" w:space="0"/>
              <w:bottom w:val="nil"/>
              <w:right w:val="single" w:color="auto" w:sz="4" w:space="0"/>
            </w:tcBorders>
            <w:vAlign w:val="center"/>
          </w:tcPr>
          <w:p w14:paraId="6E2C1E92">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1F66065B">
            <w:pPr>
              <w:spacing w:line="440" w:lineRule="exact"/>
              <w:rPr>
                <w:rFonts w:hint="eastAsia" w:ascii="宋体" w:hAnsi="宋体"/>
                <w:color w:val="auto"/>
                <w:szCs w:val="21"/>
                <w:highlight w:val="none"/>
              </w:rPr>
            </w:pPr>
            <w:r>
              <w:rPr>
                <w:rFonts w:hint="eastAsia" w:ascii="宋体" w:hAnsi="宋体"/>
                <w:color w:val="auto"/>
                <w:szCs w:val="21"/>
                <w:highlight w:val="none"/>
              </w:rPr>
              <w:t>投标地点</w:t>
            </w:r>
          </w:p>
        </w:tc>
        <w:tc>
          <w:tcPr>
            <w:tcW w:w="6719" w:type="dxa"/>
            <w:tcBorders>
              <w:top w:val="single" w:color="auto" w:sz="4" w:space="0"/>
              <w:left w:val="single" w:color="auto" w:sz="4" w:space="0"/>
              <w:bottom w:val="single" w:color="auto" w:sz="4" w:space="0"/>
              <w:right w:val="single" w:color="auto" w:sz="4" w:space="0"/>
            </w:tcBorders>
            <w:vAlign w:val="center"/>
          </w:tcPr>
          <w:p w14:paraId="06EF349B">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4C124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72" w:type="dxa"/>
            <w:vMerge w:val="continue"/>
            <w:tcBorders>
              <w:top w:val="single" w:color="auto" w:sz="4" w:space="0"/>
              <w:left w:val="single" w:color="auto" w:sz="4" w:space="0"/>
              <w:bottom w:val="nil"/>
              <w:right w:val="single" w:color="auto" w:sz="4" w:space="0"/>
            </w:tcBorders>
            <w:vAlign w:val="center"/>
          </w:tcPr>
          <w:p w14:paraId="40BCD814">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49B595C2">
            <w:pPr>
              <w:spacing w:line="440" w:lineRule="exact"/>
              <w:rPr>
                <w:rFonts w:hint="eastAsia" w:ascii="宋体" w:hAnsi="宋体"/>
                <w:color w:val="auto"/>
                <w:szCs w:val="21"/>
                <w:highlight w:val="none"/>
              </w:rPr>
            </w:pPr>
            <w:r>
              <w:rPr>
                <w:rFonts w:hint="eastAsia" w:ascii="宋体" w:hAnsi="宋体"/>
                <w:color w:val="auto"/>
                <w:szCs w:val="21"/>
                <w:highlight w:val="none"/>
              </w:rPr>
              <w:t>投标人递交投标样品截止时间及地点</w:t>
            </w:r>
          </w:p>
        </w:tc>
        <w:tc>
          <w:tcPr>
            <w:tcW w:w="6719" w:type="dxa"/>
            <w:tcBorders>
              <w:top w:val="single" w:color="auto" w:sz="4" w:space="0"/>
              <w:left w:val="single" w:color="auto" w:sz="4" w:space="0"/>
              <w:bottom w:val="single" w:color="auto" w:sz="4" w:space="0"/>
              <w:right w:val="single" w:color="auto" w:sz="4" w:space="0"/>
            </w:tcBorders>
            <w:vAlign w:val="center"/>
          </w:tcPr>
          <w:p w14:paraId="36379E1B">
            <w:pPr>
              <w:snapToGrid w:val="0"/>
              <w:spacing w:line="440" w:lineRule="exact"/>
              <w:rPr>
                <w:rFonts w:hint="eastAsia" w:ascii="宋体" w:hAnsi="宋体"/>
                <w:color w:val="auto"/>
                <w:szCs w:val="21"/>
                <w:highlight w:val="none"/>
              </w:rPr>
            </w:pPr>
            <w:r>
              <w:rPr>
                <w:rFonts w:hint="eastAsia" w:ascii="宋体" w:hAnsi="宋体"/>
                <w:bCs/>
                <w:color w:val="auto"/>
                <w:szCs w:val="21"/>
                <w:highlight w:val="none"/>
              </w:rPr>
              <w:t>无</w:t>
            </w:r>
          </w:p>
        </w:tc>
      </w:tr>
      <w:tr w14:paraId="7DAF7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115EA62C">
            <w:pPr>
              <w:spacing w:line="440" w:lineRule="exact"/>
              <w:rPr>
                <w:rFonts w:hint="eastAsia" w:ascii="宋体" w:hAnsi="宋体"/>
                <w:color w:val="auto"/>
                <w:szCs w:val="21"/>
                <w:highlight w:val="none"/>
              </w:rPr>
            </w:pPr>
            <w:r>
              <w:rPr>
                <w:rFonts w:hint="eastAsia" w:ascii="宋体" w:hAnsi="宋体"/>
                <w:color w:val="auto"/>
                <w:szCs w:val="21"/>
                <w:highlight w:val="none"/>
              </w:rPr>
              <w:t>23</w:t>
            </w:r>
          </w:p>
        </w:tc>
        <w:tc>
          <w:tcPr>
            <w:tcW w:w="2071" w:type="dxa"/>
            <w:tcBorders>
              <w:top w:val="single" w:color="auto" w:sz="4" w:space="0"/>
              <w:left w:val="single" w:color="auto" w:sz="4" w:space="0"/>
              <w:bottom w:val="single" w:color="auto" w:sz="4" w:space="0"/>
              <w:right w:val="single" w:color="auto" w:sz="4" w:space="0"/>
            </w:tcBorders>
            <w:vAlign w:val="center"/>
          </w:tcPr>
          <w:p w14:paraId="04126A63">
            <w:pPr>
              <w:spacing w:line="440" w:lineRule="exact"/>
              <w:rPr>
                <w:rFonts w:hint="eastAsia" w:ascii="宋体" w:hAnsi="宋体"/>
                <w:color w:val="auto"/>
                <w:szCs w:val="21"/>
                <w:highlight w:val="none"/>
              </w:rPr>
            </w:pPr>
            <w:r>
              <w:rPr>
                <w:rFonts w:hint="eastAsia" w:ascii="宋体" w:hAnsi="宋体"/>
                <w:color w:val="auto"/>
                <w:szCs w:val="21"/>
                <w:highlight w:val="none"/>
              </w:rPr>
              <w:t>开标时间、地点</w:t>
            </w:r>
          </w:p>
        </w:tc>
        <w:tc>
          <w:tcPr>
            <w:tcW w:w="6719" w:type="dxa"/>
            <w:tcBorders>
              <w:top w:val="single" w:color="auto" w:sz="4" w:space="0"/>
              <w:left w:val="single" w:color="auto" w:sz="4" w:space="0"/>
              <w:bottom w:val="single" w:color="auto" w:sz="4" w:space="0"/>
              <w:right w:val="single" w:color="auto" w:sz="4" w:space="0"/>
            </w:tcBorders>
            <w:vAlign w:val="center"/>
          </w:tcPr>
          <w:p w14:paraId="3AF3EAD7">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 xml:space="preserve">详见招标公告 </w:t>
            </w:r>
          </w:p>
        </w:tc>
      </w:tr>
      <w:tr w14:paraId="5E55F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72" w:type="dxa"/>
            <w:vMerge w:val="restart"/>
            <w:tcBorders>
              <w:top w:val="single" w:color="auto" w:sz="4" w:space="0"/>
              <w:left w:val="single" w:color="auto" w:sz="4" w:space="0"/>
              <w:bottom w:val="single" w:color="auto" w:sz="4" w:space="0"/>
              <w:right w:val="single" w:color="auto" w:sz="4" w:space="0"/>
            </w:tcBorders>
            <w:vAlign w:val="center"/>
          </w:tcPr>
          <w:p w14:paraId="4B3653FE">
            <w:pPr>
              <w:spacing w:line="440" w:lineRule="exact"/>
              <w:rPr>
                <w:rFonts w:hint="eastAsia" w:ascii="宋体" w:hAnsi="宋体"/>
                <w:color w:val="auto"/>
                <w:szCs w:val="21"/>
                <w:highlight w:val="none"/>
              </w:rPr>
            </w:pPr>
            <w:r>
              <w:rPr>
                <w:rFonts w:hint="eastAsia" w:ascii="宋体" w:hAnsi="宋体"/>
                <w:color w:val="auto"/>
                <w:szCs w:val="21"/>
                <w:highlight w:val="none"/>
              </w:rPr>
              <w:t>25.3（2）</w:t>
            </w:r>
          </w:p>
        </w:tc>
        <w:tc>
          <w:tcPr>
            <w:tcW w:w="2071" w:type="dxa"/>
            <w:tcBorders>
              <w:top w:val="single" w:color="auto" w:sz="4" w:space="0"/>
              <w:left w:val="single" w:color="auto" w:sz="4" w:space="0"/>
              <w:bottom w:val="single" w:color="auto" w:sz="4" w:space="0"/>
              <w:right w:val="single" w:color="auto" w:sz="4" w:space="0"/>
            </w:tcBorders>
            <w:vAlign w:val="center"/>
          </w:tcPr>
          <w:p w14:paraId="01C5E9C9">
            <w:pPr>
              <w:spacing w:line="440" w:lineRule="exact"/>
              <w:rPr>
                <w:rFonts w:hint="eastAsia" w:ascii="宋体" w:hAnsi="宋体"/>
                <w:color w:val="auto"/>
                <w:szCs w:val="21"/>
                <w:highlight w:val="none"/>
              </w:rPr>
            </w:pPr>
            <w:r>
              <w:rPr>
                <w:rFonts w:hint="eastAsia" w:ascii="宋体" w:hAnsi="宋体"/>
                <w:color w:val="auto"/>
                <w:szCs w:val="21"/>
                <w:highlight w:val="none"/>
              </w:rPr>
              <w:t>投标人信用查询渠道</w:t>
            </w:r>
          </w:p>
        </w:tc>
        <w:tc>
          <w:tcPr>
            <w:tcW w:w="6719" w:type="dxa"/>
            <w:tcBorders>
              <w:top w:val="single" w:color="auto" w:sz="4" w:space="0"/>
              <w:left w:val="single" w:color="auto" w:sz="4" w:space="0"/>
              <w:bottom w:val="single" w:color="auto" w:sz="4" w:space="0"/>
              <w:right w:val="single" w:color="auto" w:sz="4" w:space="0"/>
            </w:tcBorders>
            <w:vAlign w:val="center"/>
          </w:tcPr>
          <w:p w14:paraId="1B502C68">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776C9245">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tc>
      </w:tr>
      <w:tr w14:paraId="64F94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522A80ED">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442F7491">
            <w:pPr>
              <w:spacing w:line="440" w:lineRule="exact"/>
              <w:rPr>
                <w:rFonts w:hint="eastAsia" w:ascii="宋体" w:hAnsi="宋体"/>
                <w:color w:val="auto"/>
                <w:szCs w:val="21"/>
                <w:highlight w:val="none"/>
              </w:rPr>
            </w:pPr>
            <w:r>
              <w:rPr>
                <w:rFonts w:hint="eastAsia" w:ascii="宋体" w:hAnsi="宋体"/>
                <w:color w:val="auto"/>
                <w:szCs w:val="21"/>
                <w:highlight w:val="none"/>
              </w:rPr>
              <w:t>信用查询截止时点</w:t>
            </w:r>
          </w:p>
        </w:tc>
        <w:tc>
          <w:tcPr>
            <w:tcW w:w="6719" w:type="dxa"/>
            <w:tcBorders>
              <w:top w:val="single" w:color="auto" w:sz="4" w:space="0"/>
              <w:left w:val="single" w:color="auto" w:sz="4" w:space="0"/>
              <w:bottom w:val="single" w:color="auto" w:sz="4" w:space="0"/>
              <w:right w:val="single" w:color="auto" w:sz="4" w:space="0"/>
            </w:tcBorders>
            <w:vAlign w:val="center"/>
          </w:tcPr>
          <w:p w14:paraId="4C43293A">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资格审查结束前</w:t>
            </w:r>
          </w:p>
        </w:tc>
      </w:tr>
      <w:tr w14:paraId="579AB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54673294">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31CC4579">
            <w:pPr>
              <w:spacing w:line="44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p>
        </w:tc>
        <w:tc>
          <w:tcPr>
            <w:tcW w:w="6719" w:type="dxa"/>
            <w:tcBorders>
              <w:top w:val="single" w:color="auto" w:sz="4" w:space="0"/>
              <w:left w:val="single" w:color="auto" w:sz="4" w:space="0"/>
              <w:bottom w:val="single" w:color="auto" w:sz="4" w:space="0"/>
              <w:right w:val="single" w:color="auto" w:sz="4" w:space="0"/>
            </w:tcBorders>
            <w:vAlign w:val="center"/>
          </w:tcPr>
          <w:p w14:paraId="00F7D1B2">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在查询网站中直接截图查询记录，截图作为在“广西政府采购云”平台作为附件上传保存。</w:t>
            </w:r>
          </w:p>
        </w:tc>
      </w:tr>
      <w:tr w14:paraId="28818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77CE1D00">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3094DFB3">
            <w:pPr>
              <w:spacing w:line="440" w:lineRule="exact"/>
              <w:rPr>
                <w:rFonts w:hint="eastAsia" w:ascii="宋体" w:hAnsi="宋体"/>
                <w:color w:val="auto"/>
                <w:szCs w:val="21"/>
                <w:highlight w:val="none"/>
              </w:rPr>
            </w:pPr>
            <w:r>
              <w:rPr>
                <w:rFonts w:hint="eastAsia" w:ascii="宋体" w:hAnsi="宋体"/>
                <w:color w:val="auto"/>
                <w:szCs w:val="21"/>
                <w:highlight w:val="none"/>
              </w:rPr>
              <w:t>信用信息使用规则</w:t>
            </w:r>
          </w:p>
        </w:tc>
        <w:tc>
          <w:tcPr>
            <w:tcW w:w="6719" w:type="dxa"/>
            <w:tcBorders>
              <w:top w:val="single" w:color="auto" w:sz="4" w:space="0"/>
              <w:left w:val="single" w:color="auto" w:sz="4" w:space="0"/>
              <w:bottom w:val="single" w:color="auto" w:sz="4" w:space="0"/>
              <w:right w:val="single" w:color="auto" w:sz="4" w:space="0"/>
            </w:tcBorders>
            <w:vAlign w:val="center"/>
          </w:tcPr>
          <w:p w14:paraId="3208D115">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w:t>
            </w:r>
            <w:r>
              <w:rPr>
                <w:rFonts w:hint="eastAsia" w:ascii="宋体" w:hAnsi="宋体"/>
                <w:color w:val="auto"/>
                <w:szCs w:val="21"/>
                <w:highlight w:val="none"/>
                <w:lang w:eastAsia="zh-CN"/>
              </w:rPr>
              <w:t>投标人</w:t>
            </w:r>
            <w:r>
              <w:rPr>
                <w:rFonts w:hint="eastAsia" w:ascii="宋体" w:hAnsi="宋体"/>
                <w:color w:val="auto"/>
                <w:szCs w:val="21"/>
                <w:highlight w:val="none"/>
              </w:rPr>
              <w:t>，采购人或者采购代理机构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w:t>
            </w:r>
            <w:r>
              <w:rPr>
                <w:rFonts w:hint="eastAsia" w:ascii="宋体" w:hAnsi="宋体"/>
                <w:color w:val="auto"/>
                <w:szCs w:val="21"/>
                <w:highlight w:val="none"/>
                <w:lang w:eastAsia="zh-CN"/>
              </w:rPr>
              <w:t>投标人</w:t>
            </w:r>
            <w:r>
              <w:rPr>
                <w:rFonts w:hint="eastAsia" w:ascii="宋体" w:hAnsi="宋体"/>
                <w:color w:val="auto"/>
                <w:szCs w:val="21"/>
                <w:highlight w:val="none"/>
              </w:rPr>
              <w:t>的身份共同参加政府采购活动的，应当对所有联合体成员进行信用记录查询，联合体成员存在不良信用记录的，视同联合体存在不良信用记录。</w:t>
            </w:r>
          </w:p>
        </w:tc>
      </w:tr>
      <w:tr w14:paraId="74FC0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433CD1E8">
            <w:pPr>
              <w:spacing w:line="44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26.1</w:t>
            </w:r>
          </w:p>
        </w:tc>
        <w:tc>
          <w:tcPr>
            <w:tcW w:w="2071" w:type="dxa"/>
            <w:tcBorders>
              <w:top w:val="single" w:color="auto" w:sz="4" w:space="0"/>
              <w:left w:val="single" w:color="auto" w:sz="4" w:space="0"/>
              <w:bottom w:val="single" w:color="auto" w:sz="4" w:space="0"/>
              <w:right w:val="single" w:color="auto" w:sz="4" w:space="0"/>
            </w:tcBorders>
            <w:vAlign w:val="center"/>
          </w:tcPr>
          <w:p w14:paraId="43961686">
            <w:pPr>
              <w:keepNext/>
              <w:keepLines/>
              <w:spacing w:line="360" w:lineRule="auto"/>
              <w:rPr>
                <w:rFonts w:hint="eastAsia" w:ascii="宋体" w:hAnsi="宋体"/>
                <w:color w:val="auto"/>
                <w:szCs w:val="21"/>
                <w:highlight w:val="none"/>
              </w:rPr>
            </w:pPr>
            <w:r>
              <w:rPr>
                <w:rFonts w:hint="eastAsia" w:ascii="宋体" w:hAnsi="宋体"/>
                <w:color w:val="auto"/>
                <w:szCs w:val="21"/>
                <w:highlight w:val="none"/>
              </w:rPr>
              <w:t>评标委员会</w:t>
            </w:r>
          </w:p>
        </w:tc>
        <w:tc>
          <w:tcPr>
            <w:tcW w:w="6719" w:type="dxa"/>
            <w:tcBorders>
              <w:top w:val="single" w:color="auto" w:sz="4" w:space="0"/>
              <w:left w:val="single" w:color="auto" w:sz="4" w:space="0"/>
              <w:bottom w:val="single" w:color="auto" w:sz="4" w:space="0"/>
              <w:right w:val="single" w:color="auto" w:sz="4" w:space="0"/>
            </w:tcBorders>
            <w:vAlign w:val="center"/>
          </w:tcPr>
          <w:p w14:paraId="0B448D1E">
            <w:pPr>
              <w:keepNext/>
              <w:keepLines/>
              <w:autoSpaceDE w:val="0"/>
              <w:autoSpaceDN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ascii="宋体" w:hAnsi="宋体"/>
                <w:color w:val="auto"/>
                <w:szCs w:val="21"/>
                <w:highlight w:val="none"/>
                <w:u w:val="single"/>
              </w:rPr>
              <w:t>7</w:t>
            </w:r>
            <w:r>
              <w:rPr>
                <w:rFonts w:hint="eastAsia" w:ascii="宋体" w:hAnsi="宋体"/>
                <w:color w:val="auto"/>
                <w:szCs w:val="21"/>
                <w:highlight w:val="none"/>
              </w:rPr>
              <w:t>人或以上单数。</w:t>
            </w:r>
          </w:p>
        </w:tc>
      </w:tr>
      <w:tr w14:paraId="6CBE7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632377D5">
            <w:pPr>
              <w:spacing w:line="440" w:lineRule="exact"/>
              <w:rPr>
                <w:rFonts w:hint="eastAsia" w:ascii="宋体" w:hAnsi="宋体"/>
                <w:color w:val="auto"/>
                <w:szCs w:val="21"/>
                <w:highlight w:val="none"/>
              </w:rPr>
            </w:pPr>
            <w:r>
              <w:rPr>
                <w:rFonts w:hint="eastAsia" w:ascii="宋体" w:hAnsi="宋体"/>
                <w:color w:val="auto"/>
                <w:szCs w:val="21"/>
                <w:highlight w:val="none"/>
              </w:rPr>
              <w:t>29.1</w:t>
            </w:r>
          </w:p>
        </w:tc>
        <w:tc>
          <w:tcPr>
            <w:tcW w:w="2071" w:type="dxa"/>
            <w:tcBorders>
              <w:top w:val="single" w:color="auto" w:sz="4" w:space="0"/>
              <w:left w:val="single" w:color="auto" w:sz="4" w:space="0"/>
              <w:bottom w:val="single" w:color="auto" w:sz="4" w:space="0"/>
              <w:right w:val="single" w:color="auto" w:sz="4" w:space="0"/>
            </w:tcBorders>
            <w:vAlign w:val="center"/>
          </w:tcPr>
          <w:p w14:paraId="2DA68F25">
            <w:pPr>
              <w:spacing w:line="440" w:lineRule="exact"/>
              <w:rPr>
                <w:rFonts w:hint="eastAsia" w:ascii="宋体" w:hAnsi="宋体"/>
                <w:color w:val="auto"/>
                <w:szCs w:val="21"/>
                <w:highlight w:val="none"/>
              </w:rPr>
            </w:pPr>
            <w:r>
              <w:rPr>
                <w:rFonts w:hint="eastAsia" w:ascii="宋体" w:hAnsi="宋体"/>
                <w:color w:val="auto"/>
                <w:szCs w:val="21"/>
                <w:highlight w:val="none"/>
              </w:rPr>
              <w:t>评标方法</w:t>
            </w:r>
          </w:p>
        </w:tc>
        <w:tc>
          <w:tcPr>
            <w:tcW w:w="6719" w:type="dxa"/>
            <w:tcBorders>
              <w:top w:val="single" w:color="auto" w:sz="4" w:space="0"/>
              <w:left w:val="single" w:color="auto" w:sz="4" w:space="0"/>
              <w:bottom w:val="single" w:color="auto" w:sz="4" w:space="0"/>
              <w:right w:val="single" w:color="auto" w:sz="4" w:space="0"/>
            </w:tcBorders>
            <w:vAlign w:val="center"/>
          </w:tcPr>
          <w:p w14:paraId="131ACD1A">
            <w:pPr>
              <w:autoSpaceDE w:val="0"/>
              <w:autoSpaceDN w:val="0"/>
              <w:snapToGrid w:val="0"/>
              <w:spacing w:line="440" w:lineRule="exact"/>
              <w:textAlignment w:val="bottom"/>
              <w:rPr>
                <w:rFonts w:hint="eastAsia" w:ascii="宋体" w:hAnsi="宋体"/>
                <w:color w:val="auto"/>
                <w:szCs w:val="21"/>
                <w:highlight w:val="none"/>
              </w:rPr>
            </w:pPr>
            <w:r>
              <w:rPr>
                <w:rFonts w:hint="eastAsia" w:ascii="Ms" w:hAnsi="Ms" w:eastAsia="Ms" w:cs="Ms"/>
                <w:color w:val="auto"/>
                <w:szCs w:val="21"/>
                <w:highlight w:val="none"/>
              </w:rPr>
              <w:t>☑</w:t>
            </w:r>
            <w:r>
              <w:rPr>
                <w:rFonts w:hint="eastAsia" w:ascii="宋体" w:hAnsi="宋体"/>
                <w:color w:val="auto"/>
                <w:szCs w:val="21"/>
                <w:highlight w:val="none"/>
              </w:rPr>
              <w:t>综合评分法</w:t>
            </w:r>
          </w:p>
          <w:p w14:paraId="1384B46B">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7BC92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22648C6B">
            <w:pPr>
              <w:spacing w:line="400" w:lineRule="exact"/>
              <w:rPr>
                <w:rFonts w:hint="eastAsia"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w:t>
            </w:r>
          </w:p>
        </w:tc>
        <w:tc>
          <w:tcPr>
            <w:tcW w:w="2071" w:type="dxa"/>
            <w:tcBorders>
              <w:top w:val="single" w:color="auto" w:sz="4" w:space="0"/>
              <w:left w:val="single" w:color="auto" w:sz="4" w:space="0"/>
              <w:bottom w:val="single" w:color="auto" w:sz="4" w:space="0"/>
              <w:right w:val="single" w:color="auto" w:sz="4" w:space="0"/>
            </w:tcBorders>
            <w:shd w:val="clear" w:color="auto" w:fill="auto"/>
            <w:vAlign w:val="center"/>
          </w:tcPr>
          <w:p w14:paraId="2A127999">
            <w:pPr>
              <w:spacing w:line="400" w:lineRule="exact"/>
              <w:rPr>
                <w:rFonts w:hint="eastAsia" w:ascii="宋体" w:hAnsi="宋体"/>
                <w:color w:val="auto"/>
                <w:szCs w:val="21"/>
                <w:highlight w:val="none"/>
              </w:rPr>
            </w:pPr>
            <w:r>
              <w:rPr>
                <w:rFonts w:hint="eastAsia" w:ascii="宋体" w:hAnsi="宋体"/>
                <w:color w:val="auto"/>
                <w:szCs w:val="21"/>
                <w:highlight w:val="none"/>
              </w:rPr>
              <w:t>允许负偏离项</w:t>
            </w:r>
          </w:p>
        </w:tc>
        <w:tc>
          <w:tcPr>
            <w:tcW w:w="6719" w:type="dxa"/>
            <w:tcBorders>
              <w:top w:val="single" w:color="auto" w:sz="4" w:space="0"/>
              <w:left w:val="single" w:color="auto" w:sz="4" w:space="0"/>
              <w:bottom w:val="single" w:color="auto" w:sz="4" w:space="0"/>
              <w:right w:val="single" w:color="auto" w:sz="4" w:space="0"/>
            </w:tcBorders>
            <w:vAlign w:val="center"/>
          </w:tcPr>
          <w:p w14:paraId="6F55444F">
            <w:pPr>
              <w:autoSpaceDE w:val="0"/>
              <w:autoSpaceDN w:val="0"/>
              <w:snapToGrid w:val="0"/>
              <w:spacing w:line="440" w:lineRule="exact"/>
              <w:textAlignment w:val="bottom"/>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分标</w:t>
            </w:r>
            <w:r>
              <w:rPr>
                <w:rFonts w:hint="eastAsia" w:ascii="宋体" w:hAnsi="宋体" w:cs="宋体"/>
                <w:color w:val="auto"/>
                <w:szCs w:val="21"/>
                <w:highlight w:val="none"/>
                <w:lang w:val="en-US" w:eastAsia="zh-CN"/>
              </w:rPr>
              <w:t>1：</w:t>
            </w:r>
          </w:p>
          <w:p w14:paraId="05321C77">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s="宋体"/>
                <w:color w:val="auto"/>
                <w:szCs w:val="21"/>
                <w:highlight w:val="none"/>
              </w:rPr>
              <w:t>商务条款</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w:t>
            </w:r>
            <w:r>
              <w:rPr>
                <w:rFonts w:hint="eastAsia" w:ascii="宋体" w:hAnsi="宋体"/>
                <w:color w:val="auto"/>
                <w:szCs w:val="21"/>
                <w:highlight w:val="none"/>
              </w:rPr>
              <w:t>项。</w:t>
            </w:r>
          </w:p>
          <w:p w14:paraId="1C549831">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s="宋体"/>
                <w:color w:val="auto"/>
                <w:szCs w:val="21"/>
                <w:highlight w:val="none"/>
              </w:rPr>
              <w:t>技术需求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项。</w:t>
            </w:r>
          </w:p>
          <w:p w14:paraId="49B8AAAE">
            <w:pPr>
              <w:autoSpaceDE w:val="0"/>
              <w:autoSpaceDN w:val="0"/>
              <w:snapToGrid w:val="0"/>
              <w:spacing w:line="440" w:lineRule="exact"/>
              <w:textAlignment w:val="bottom"/>
              <w:rPr>
                <w:rFonts w:hint="eastAsia" w:ascii="宋体" w:hAnsi="宋体"/>
                <w:color w:val="auto"/>
                <w:szCs w:val="21"/>
                <w:highlight w:val="none"/>
                <w:lang w:val="en-US" w:eastAsia="zh-CN"/>
              </w:rPr>
            </w:pP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2：</w:t>
            </w:r>
          </w:p>
          <w:p w14:paraId="33934D27">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s="宋体"/>
                <w:color w:val="auto"/>
                <w:szCs w:val="21"/>
                <w:highlight w:val="none"/>
              </w:rPr>
              <w:t>商务条款</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w:t>
            </w:r>
            <w:r>
              <w:rPr>
                <w:rFonts w:hint="eastAsia" w:ascii="宋体" w:hAnsi="宋体"/>
                <w:color w:val="auto"/>
                <w:szCs w:val="21"/>
                <w:highlight w:val="none"/>
              </w:rPr>
              <w:t>项。</w:t>
            </w:r>
          </w:p>
          <w:p w14:paraId="31E77B53">
            <w:pPr>
              <w:autoSpaceDE w:val="0"/>
              <w:autoSpaceDN w:val="0"/>
              <w:snapToGrid w:val="0"/>
              <w:spacing w:line="440" w:lineRule="exact"/>
              <w:textAlignment w:val="bottom"/>
              <w:rPr>
                <w:rFonts w:hint="default" w:ascii="宋体" w:hAnsi="宋体"/>
                <w:color w:val="auto"/>
                <w:szCs w:val="21"/>
                <w:highlight w:val="none"/>
                <w:lang w:val="en-US" w:eastAsia="zh-CN"/>
              </w:rPr>
            </w:pPr>
            <w:r>
              <w:rPr>
                <w:rFonts w:hint="eastAsia" w:ascii="宋体" w:hAnsi="宋体" w:cs="宋体"/>
                <w:color w:val="auto"/>
                <w:szCs w:val="21"/>
                <w:highlight w:val="none"/>
              </w:rPr>
              <w:t>技术需求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6</w:t>
            </w:r>
            <w:r>
              <w:rPr>
                <w:rFonts w:hint="eastAsia" w:ascii="宋体" w:hAnsi="宋体"/>
                <w:color w:val="auto"/>
                <w:szCs w:val="21"/>
                <w:highlight w:val="none"/>
              </w:rPr>
              <w:t>项。</w:t>
            </w:r>
          </w:p>
        </w:tc>
      </w:tr>
      <w:tr w14:paraId="2B943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0899D620">
            <w:pPr>
              <w:spacing w:line="440" w:lineRule="exact"/>
              <w:rPr>
                <w:rFonts w:hint="eastAsia" w:ascii="宋体" w:hAnsi="宋体"/>
                <w:color w:val="auto"/>
                <w:szCs w:val="21"/>
                <w:highlight w:val="none"/>
              </w:rPr>
            </w:pPr>
            <w:r>
              <w:rPr>
                <w:rFonts w:hint="eastAsia" w:ascii="宋体" w:hAnsi="宋体"/>
                <w:color w:val="auto"/>
                <w:szCs w:val="21"/>
                <w:highlight w:val="none"/>
              </w:rPr>
              <w:t>30.1</w:t>
            </w:r>
          </w:p>
        </w:tc>
        <w:tc>
          <w:tcPr>
            <w:tcW w:w="2071" w:type="dxa"/>
            <w:tcBorders>
              <w:top w:val="single" w:color="auto" w:sz="4" w:space="0"/>
              <w:left w:val="single" w:color="auto" w:sz="4" w:space="0"/>
              <w:bottom w:val="single" w:color="auto" w:sz="4" w:space="0"/>
              <w:right w:val="single" w:color="auto" w:sz="4" w:space="0"/>
            </w:tcBorders>
            <w:vAlign w:val="center"/>
          </w:tcPr>
          <w:p w14:paraId="05383F81">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确定中标人时，出现中标候选人分数并列的情形，确定中标人方式 </w:t>
            </w:r>
          </w:p>
        </w:tc>
        <w:tc>
          <w:tcPr>
            <w:tcW w:w="6719" w:type="dxa"/>
            <w:tcBorders>
              <w:top w:val="single" w:color="auto" w:sz="4" w:space="0"/>
              <w:left w:val="single" w:color="auto" w:sz="4" w:space="0"/>
              <w:bottom w:val="single" w:color="auto" w:sz="4" w:space="0"/>
              <w:right w:val="single" w:color="auto" w:sz="4" w:space="0"/>
            </w:tcBorders>
            <w:vAlign w:val="center"/>
          </w:tcPr>
          <w:p w14:paraId="3C0DA77B">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□采用最低评标价法的，投标文件满足招标文件全部实质性要求且投标报价最低的投标人为排名第一的中标候选人； </w:t>
            </w:r>
          </w:p>
          <w:p w14:paraId="47A2DA68">
            <w:pPr>
              <w:autoSpaceDE w:val="0"/>
              <w:autoSpaceDN w:val="0"/>
              <w:snapToGrid w:val="0"/>
              <w:spacing w:line="440" w:lineRule="exact"/>
              <w:textAlignment w:val="bottom"/>
              <w:rPr>
                <w:rFonts w:hint="eastAsia" w:ascii="宋体" w:hAnsi="宋体"/>
                <w:b/>
                <w:color w:val="auto"/>
                <w:szCs w:val="21"/>
                <w:highlight w:val="none"/>
              </w:rPr>
            </w:pPr>
            <w:r>
              <w:rPr>
                <w:rFonts w:hint="eastAsia" w:ascii="Ms" w:hAnsi="Ms" w:eastAsia="Ms" w:cs="Ms"/>
                <w:color w:val="auto"/>
                <w:szCs w:val="21"/>
                <w:highlight w:val="none"/>
              </w:rPr>
              <w:t>☑</w:t>
            </w:r>
            <w:r>
              <w:rPr>
                <w:rFonts w:hint="eastAsia" w:ascii="宋体" w:hAnsi="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3F100C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2" w:type="dxa"/>
            <w:tcBorders>
              <w:top w:val="single" w:color="auto" w:sz="4" w:space="0"/>
              <w:left w:val="single" w:color="auto" w:sz="4" w:space="0"/>
              <w:bottom w:val="single" w:color="auto" w:sz="4" w:space="0"/>
              <w:right w:val="single" w:color="auto" w:sz="4" w:space="0"/>
            </w:tcBorders>
            <w:vAlign w:val="center"/>
          </w:tcPr>
          <w:p w14:paraId="3D699F39">
            <w:pPr>
              <w:spacing w:line="440" w:lineRule="exact"/>
              <w:rPr>
                <w:rFonts w:hint="eastAsia" w:ascii="宋体" w:hAnsi="宋体"/>
                <w:color w:val="auto"/>
                <w:szCs w:val="21"/>
                <w:highlight w:val="none"/>
              </w:rPr>
            </w:pPr>
            <w:r>
              <w:rPr>
                <w:rFonts w:hint="eastAsia" w:ascii="宋体" w:hAnsi="宋体"/>
                <w:color w:val="auto"/>
                <w:szCs w:val="21"/>
                <w:highlight w:val="none"/>
              </w:rPr>
              <w:t>35</w:t>
            </w:r>
          </w:p>
        </w:tc>
        <w:tc>
          <w:tcPr>
            <w:tcW w:w="2071" w:type="dxa"/>
            <w:tcBorders>
              <w:top w:val="single" w:color="auto" w:sz="4" w:space="0"/>
              <w:left w:val="single" w:color="auto" w:sz="4" w:space="0"/>
              <w:bottom w:val="single" w:color="auto" w:sz="4" w:space="0"/>
              <w:right w:val="single" w:color="auto" w:sz="4" w:space="0"/>
            </w:tcBorders>
            <w:vAlign w:val="center"/>
          </w:tcPr>
          <w:p w14:paraId="67DB401F">
            <w:pPr>
              <w:spacing w:line="440" w:lineRule="exact"/>
              <w:rPr>
                <w:rFonts w:hint="eastAsia" w:ascii="宋体" w:hAnsi="宋体"/>
                <w:color w:val="auto"/>
                <w:szCs w:val="21"/>
                <w:highlight w:val="none"/>
              </w:rPr>
            </w:pPr>
            <w:r>
              <w:rPr>
                <w:rFonts w:hint="eastAsia" w:ascii="宋体" w:hAnsi="宋体"/>
                <w:color w:val="auto"/>
                <w:szCs w:val="21"/>
                <w:highlight w:val="none"/>
              </w:rPr>
              <w:t>履约保证金金额</w:t>
            </w:r>
          </w:p>
        </w:tc>
        <w:tc>
          <w:tcPr>
            <w:tcW w:w="6719" w:type="dxa"/>
            <w:tcBorders>
              <w:top w:val="single" w:color="auto" w:sz="4" w:space="0"/>
              <w:left w:val="single" w:color="auto" w:sz="4" w:space="0"/>
              <w:bottom w:val="single" w:color="auto" w:sz="4" w:space="0"/>
              <w:right w:val="single" w:color="auto" w:sz="4" w:space="0"/>
            </w:tcBorders>
            <w:vAlign w:val="bottom"/>
          </w:tcPr>
          <w:p w14:paraId="5DC71EEF">
            <w:pPr>
              <w:autoSpaceDE w:val="0"/>
              <w:autoSpaceDN w:val="0"/>
              <w:spacing w:line="440" w:lineRule="exact"/>
              <w:textAlignment w:val="bottom"/>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1D4628B2">
            <w:pPr>
              <w:keepNext/>
              <w:keepLines/>
              <w:autoSpaceDE w:val="0"/>
              <w:autoSpaceDN w:val="0"/>
              <w:spacing w:line="360" w:lineRule="auto"/>
              <w:textAlignment w:val="bottom"/>
              <w:rPr>
                <w:rFonts w:hint="eastAsia" w:ascii="宋体" w:hAnsi="宋体" w:cs="宋体"/>
                <w:b/>
                <w:bCs/>
                <w:color w:val="auto"/>
                <w:szCs w:val="21"/>
                <w:highlight w:val="none"/>
              </w:rPr>
            </w:pPr>
            <w:r>
              <w:rPr>
                <w:rFonts w:hint="eastAsia" w:ascii="宋体" w:hAnsi="宋体" w:cs="宋体"/>
                <w:color w:val="auto"/>
                <w:szCs w:val="21"/>
                <w:highlight w:val="none"/>
              </w:rPr>
              <w:t>履约保证金金额：</w:t>
            </w:r>
            <w:r>
              <w:rPr>
                <w:rFonts w:hint="eastAsia" w:ascii="宋体" w:hAnsi="宋体" w:cs="宋体"/>
                <w:b/>
                <w:bCs/>
                <w:color w:val="auto"/>
                <w:szCs w:val="21"/>
                <w:highlight w:val="none"/>
                <w:u w:val="single"/>
              </w:rPr>
              <w:t>中标金额的5%（</w:t>
            </w:r>
            <w:r>
              <w:rPr>
                <w:rFonts w:hint="eastAsia" w:ascii="仿宋" w:hAnsi="仿宋" w:eastAsia="仿宋" w:cs="仿宋"/>
                <w:b/>
                <w:bCs/>
                <w:color w:val="auto"/>
                <w:szCs w:val="21"/>
                <w:highlight w:val="none"/>
                <w:u w:val="single"/>
              </w:rPr>
              <w:t>若中标人为中型企业则收取2%保证金，若中标人为小微企业则免于收取履约保证金</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rPr>
              <w:t>。</w:t>
            </w:r>
          </w:p>
          <w:p w14:paraId="5422CA30">
            <w:pPr>
              <w:keepNext/>
              <w:keepLines/>
              <w:autoSpaceDE w:val="0"/>
              <w:autoSpaceDN w:val="0"/>
              <w:spacing w:line="360" w:lineRule="auto"/>
              <w:textAlignment w:val="bottom"/>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eastAsia="zh-CN"/>
              </w:rPr>
              <w:t>履约金提交时间：中标公告发布后</w:t>
            </w:r>
            <w:r>
              <w:rPr>
                <w:rFonts w:hint="eastAsia" w:ascii="宋体" w:hAnsi="宋体" w:cs="宋体"/>
                <w:b/>
                <w:bCs/>
                <w:color w:val="auto"/>
                <w:szCs w:val="21"/>
                <w:highlight w:val="none"/>
                <w:lang w:val="en-US" w:eastAsia="zh-CN"/>
              </w:rPr>
              <w:t>7日内。</w:t>
            </w:r>
          </w:p>
          <w:p w14:paraId="0C7FD3A9">
            <w:pPr>
              <w:spacing w:line="44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w:t>
            </w:r>
          </w:p>
          <w:p w14:paraId="1A8FABF0">
            <w:pPr>
              <w:spacing w:line="440" w:lineRule="exact"/>
              <w:contextualSpacing/>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eastAsia="宋体" w:cs="宋体"/>
                <w:color w:val="auto"/>
                <w:sz w:val="21"/>
                <w:szCs w:val="21"/>
                <w:highlight w:val="none"/>
                <w:u w:val="single"/>
                <w:lang w:val="en-US" w:eastAsia="zh-CN"/>
              </w:rPr>
              <w:t>项目履约完成后15个工作日内，采购人</w:t>
            </w:r>
            <w:r>
              <w:rPr>
                <w:rFonts w:hint="eastAsia" w:ascii="宋体" w:hAnsi="宋体" w:cs="宋体"/>
                <w:color w:val="auto"/>
                <w:sz w:val="21"/>
                <w:szCs w:val="21"/>
                <w:highlight w:val="none"/>
                <w:u w:val="single"/>
                <w:lang w:val="en-US" w:eastAsia="zh-CN"/>
              </w:rPr>
              <w:t>根据中标人提交的退还申请材料，</w:t>
            </w:r>
            <w:r>
              <w:rPr>
                <w:rFonts w:hint="eastAsia" w:ascii="宋体" w:hAnsi="宋体" w:eastAsia="宋体" w:cs="宋体"/>
                <w:color w:val="auto"/>
                <w:sz w:val="21"/>
                <w:szCs w:val="21"/>
                <w:highlight w:val="none"/>
                <w:u w:val="single"/>
                <w:lang w:val="en-US" w:eastAsia="zh-CN"/>
              </w:rPr>
              <w:t>将履约保证金</w:t>
            </w:r>
            <w:r>
              <w:rPr>
                <w:rFonts w:hint="eastAsia" w:ascii="宋体" w:hAnsi="宋体" w:cs="宋体"/>
                <w:color w:val="auto"/>
                <w:sz w:val="21"/>
                <w:szCs w:val="21"/>
                <w:highlight w:val="none"/>
                <w:u w:val="single"/>
                <w:lang w:val="en-US" w:eastAsia="zh-CN"/>
              </w:rPr>
              <w:t>无息</w:t>
            </w:r>
            <w:r>
              <w:rPr>
                <w:rFonts w:hint="eastAsia" w:ascii="宋体" w:hAnsi="宋体" w:eastAsia="宋体" w:cs="宋体"/>
                <w:color w:val="auto"/>
                <w:sz w:val="21"/>
                <w:szCs w:val="21"/>
                <w:highlight w:val="none"/>
                <w:u w:val="single"/>
                <w:lang w:val="en-US" w:eastAsia="zh-CN"/>
              </w:rPr>
              <w:t>返还中标人。</w:t>
            </w:r>
          </w:p>
          <w:p w14:paraId="2F87500A">
            <w:pPr>
              <w:spacing w:line="440" w:lineRule="exact"/>
              <w:contextualSpacing/>
              <w:rPr>
                <w:rFonts w:ascii="宋体" w:hAnsi="宋体" w:cs="宋体"/>
                <w:color w:val="auto"/>
                <w:szCs w:val="21"/>
                <w:highlight w:val="none"/>
                <w:u w:val="single"/>
              </w:rPr>
            </w:pPr>
            <w:r>
              <w:rPr>
                <w:rFonts w:hint="eastAsia" w:ascii="宋体" w:hAnsi="宋体" w:cs="宋体"/>
                <w:color w:val="auto"/>
                <w:szCs w:val="21"/>
                <w:highlight w:val="none"/>
              </w:rPr>
              <w:t>履约保证金指定账户：</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后采购人提供。</w:t>
            </w:r>
          </w:p>
          <w:p w14:paraId="4E76F468">
            <w:pPr>
              <w:spacing w:line="44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341C3BDB">
            <w:pPr>
              <w:spacing w:line="440" w:lineRule="exact"/>
              <w:contextualSpacing/>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b/>
                <w:color w:val="auto"/>
                <w:szCs w:val="21"/>
                <w:highlight w:val="none"/>
              </w:rPr>
              <w:t xml:space="preserve"> </w:t>
            </w:r>
            <w:bookmarkStart w:id="79" w:name="_Hlk54170335"/>
            <w:r>
              <w:rPr>
                <w:rFonts w:hint="eastAsia" w:ascii="宋体" w:hAnsi="宋体"/>
                <w:b/>
                <w:color w:val="auto"/>
                <w:szCs w:val="21"/>
                <w:highlight w:val="none"/>
              </w:rPr>
              <w:t>根据《广西壮族自治区财政厅关于进一步发挥政府采购政策功能促进企业发展的通知》（桂财采〔2022〕30号）规定，采购文件要求中标或者成交</w:t>
            </w:r>
            <w:r>
              <w:rPr>
                <w:rFonts w:hint="eastAsia" w:ascii="宋体" w:hAnsi="宋体"/>
                <w:b/>
                <w:color w:val="auto"/>
                <w:szCs w:val="21"/>
                <w:highlight w:val="none"/>
                <w:lang w:eastAsia="zh-CN"/>
              </w:rPr>
              <w:t>投标人</w:t>
            </w:r>
            <w:r>
              <w:rPr>
                <w:rFonts w:hint="eastAsia" w:ascii="宋体" w:hAnsi="宋体"/>
                <w:b/>
                <w:color w:val="auto"/>
                <w:szCs w:val="21"/>
                <w:highlight w:val="none"/>
              </w:rPr>
              <w:t>提交履约保证金的，履约保证金数额不得超过政府采购合同金额的5%，对中小企业收取的履约保证金数额不得超过政府采购合同金额的2%。</w:t>
            </w:r>
            <w:bookmarkEnd w:id="79"/>
          </w:p>
          <w:p w14:paraId="56E4B52D">
            <w:pPr>
              <w:spacing w:line="440" w:lineRule="exact"/>
              <w:contextualSpacing/>
              <w:rPr>
                <w:rFonts w:hint="eastAsia"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履约保证金不足额缴纳的，或者银行、保险机构出具的保函额度不足的或者保函有效期低于合同履行期限（即签订采购合同之日起至履行完合同约定的权利及义务之日止）的，不予签订合同。</w:t>
            </w:r>
          </w:p>
          <w:p w14:paraId="09AE6987">
            <w:pPr>
              <w:spacing w:line="440" w:lineRule="exact"/>
              <w:contextualSpacing/>
              <w:rPr>
                <w:rFonts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采用银行、保险机构出具的保函的，必须为无条件保函，否则不予签订合同。</w:t>
            </w:r>
          </w:p>
          <w:p w14:paraId="5A82ADB8">
            <w:pPr>
              <w:autoSpaceDE w:val="0"/>
              <w:autoSpaceDN w:val="0"/>
              <w:snapToGrid w:val="0"/>
              <w:spacing w:line="440" w:lineRule="exact"/>
              <w:jc w:val="left"/>
              <w:textAlignment w:val="bottom"/>
              <w:rPr>
                <w:rFonts w:hint="eastAsia" w:ascii="宋体" w:hAnsi="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为联合体的，由联合体任意一方按规定提交的履约保证金，视为有效履约保证金。</w:t>
            </w:r>
          </w:p>
        </w:tc>
      </w:tr>
      <w:tr w14:paraId="655A0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7EE87132">
            <w:pPr>
              <w:spacing w:line="440" w:lineRule="exact"/>
              <w:rPr>
                <w:rFonts w:hint="eastAsia" w:ascii="宋体" w:hAnsi="宋体"/>
                <w:color w:val="auto"/>
                <w:szCs w:val="21"/>
                <w:highlight w:val="none"/>
              </w:rPr>
            </w:pPr>
            <w:r>
              <w:rPr>
                <w:rFonts w:hint="eastAsia" w:ascii="宋体" w:hAnsi="宋体"/>
                <w:color w:val="auto"/>
                <w:szCs w:val="21"/>
                <w:highlight w:val="none"/>
              </w:rPr>
              <w:t>36.1</w:t>
            </w:r>
          </w:p>
        </w:tc>
        <w:tc>
          <w:tcPr>
            <w:tcW w:w="2071" w:type="dxa"/>
            <w:tcBorders>
              <w:top w:val="single" w:color="auto" w:sz="4" w:space="0"/>
              <w:left w:val="single" w:color="auto" w:sz="4" w:space="0"/>
              <w:bottom w:val="single" w:color="auto" w:sz="4" w:space="0"/>
              <w:right w:val="single" w:color="auto" w:sz="4" w:space="0"/>
            </w:tcBorders>
            <w:vAlign w:val="center"/>
          </w:tcPr>
          <w:p w14:paraId="56A9186A">
            <w:pPr>
              <w:spacing w:line="440" w:lineRule="exact"/>
              <w:rPr>
                <w:rFonts w:hint="eastAsia" w:ascii="宋体" w:hAnsi="宋体"/>
                <w:color w:val="auto"/>
                <w:szCs w:val="21"/>
                <w:highlight w:val="none"/>
              </w:rPr>
            </w:pPr>
            <w:r>
              <w:rPr>
                <w:rFonts w:hint="eastAsia" w:ascii="宋体" w:hAnsi="宋体"/>
                <w:color w:val="auto"/>
                <w:szCs w:val="21"/>
                <w:highlight w:val="none"/>
              </w:rPr>
              <w:t>签订电子合同携带的材料</w:t>
            </w:r>
          </w:p>
        </w:tc>
        <w:tc>
          <w:tcPr>
            <w:tcW w:w="6719" w:type="dxa"/>
            <w:tcBorders>
              <w:top w:val="single" w:color="auto" w:sz="4" w:space="0"/>
              <w:left w:val="single" w:color="auto" w:sz="4" w:space="0"/>
              <w:bottom w:val="single" w:color="auto" w:sz="4" w:space="0"/>
              <w:right w:val="single" w:color="auto" w:sz="4" w:space="0"/>
            </w:tcBorders>
            <w:vAlign w:val="center"/>
          </w:tcPr>
          <w:p w14:paraId="6AEB2411">
            <w:pPr>
              <w:autoSpaceDE w:val="0"/>
              <w:autoSpaceDN w:val="0"/>
              <w:snapToGrid w:val="0"/>
              <w:spacing w:line="440" w:lineRule="exact"/>
              <w:textAlignment w:val="bottom"/>
              <w:rPr>
                <w:rFonts w:hint="eastAsia" w:ascii="宋体" w:hAnsi="宋体"/>
                <w:color w:val="auto"/>
                <w:szCs w:val="21"/>
                <w:highlight w:val="none"/>
              </w:rPr>
            </w:pPr>
            <w:r>
              <w:rPr>
                <w:rFonts w:hint="eastAsia" w:ascii="宋体" w:hAnsi="宋体"/>
                <w:color w:val="auto"/>
                <w:szCs w:val="21"/>
                <w:highlight w:val="none"/>
              </w:rPr>
              <w:t>签订合同携带的证明材料：委托代理人负责签订合同的，须携带授权委托书及委托代理人身份证原件等其他资格证件；法定代表人负责签订合同的，须携带法定代表人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3DF77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72" w:type="dxa"/>
            <w:vMerge w:val="restart"/>
            <w:tcBorders>
              <w:top w:val="single" w:color="auto" w:sz="4" w:space="0"/>
              <w:left w:val="single" w:color="auto" w:sz="4" w:space="0"/>
              <w:bottom w:val="single" w:color="auto" w:sz="4" w:space="0"/>
              <w:right w:val="single" w:color="auto" w:sz="4" w:space="0"/>
            </w:tcBorders>
            <w:vAlign w:val="center"/>
          </w:tcPr>
          <w:p w14:paraId="2E3EA3F8">
            <w:pPr>
              <w:spacing w:line="440" w:lineRule="exact"/>
              <w:rPr>
                <w:rFonts w:hint="eastAsia" w:ascii="宋体" w:hAnsi="宋体"/>
                <w:color w:val="auto"/>
                <w:szCs w:val="21"/>
                <w:highlight w:val="none"/>
              </w:rPr>
            </w:pPr>
            <w:r>
              <w:rPr>
                <w:rFonts w:hint="eastAsia" w:ascii="宋体" w:hAnsi="宋体"/>
                <w:color w:val="auto"/>
                <w:szCs w:val="21"/>
                <w:highlight w:val="none"/>
              </w:rPr>
              <w:t>38.2.1</w:t>
            </w:r>
          </w:p>
        </w:tc>
        <w:tc>
          <w:tcPr>
            <w:tcW w:w="2071" w:type="dxa"/>
            <w:tcBorders>
              <w:top w:val="single" w:color="auto" w:sz="4" w:space="0"/>
              <w:left w:val="single" w:color="auto" w:sz="4" w:space="0"/>
              <w:bottom w:val="single" w:color="auto" w:sz="4" w:space="0"/>
              <w:right w:val="single" w:color="auto" w:sz="4" w:space="0"/>
            </w:tcBorders>
            <w:vAlign w:val="center"/>
          </w:tcPr>
          <w:p w14:paraId="6C5F620C">
            <w:pPr>
              <w:spacing w:line="440" w:lineRule="exact"/>
              <w:rPr>
                <w:rFonts w:hint="eastAsia" w:ascii="宋体" w:hAnsi="宋体"/>
                <w:color w:val="auto"/>
                <w:szCs w:val="21"/>
                <w:highlight w:val="none"/>
              </w:rPr>
            </w:pPr>
            <w:r>
              <w:rPr>
                <w:rFonts w:hint="eastAsia" w:ascii="宋体" w:hAnsi="宋体"/>
                <w:color w:val="auto"/>
                <w:szCs w:val="21"/>
                <w:highlight w:val="none"/>
              </w:rPr>
              <w:t>接收质疑函方式</w:t>
            </w:r>
          </w:p>
        </w:tc>
        <w:tc>
          <w:tcPr>
            <w:tcW w:w="6719" w:type="dxa"/>
            <w:tcBorders>
              <w:top w:val="single" w:color="auto" w:sz="4" w:space="0"/>
              <w:left w:val="single" w:color="auto" w:sz="4" w:space="0"/>
              <w:bottom w:val="single" w:color="auto" w:sz="4" w:space="0"/>
              <w:right w:val="single" w:color="auto" w:sz="4" w:space="0"/>
            </w:tcBorders>
            <w:vAlign w:val="center"/>
          </w:tcPr>
          <w:p w14:paraId="2FC10930">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以书面形式</w:t>
            </w:r>
          </w:p>
        </w:tc>
      </w:tr>
      <w:tr w14:paraId="05137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76A46DCD">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657B0645">
            <w:pPr>
              <w:spacing w:line="440" w:lineRule="exact"/>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719" w:type="dxa"/>
            <w:tcBorders>
              <w:top w:val="single" w:color="auto" w:sz="4" w:space="0"/>
              <w:left w:val="single" w:color="auto" w:sz="4" w:space="0"/>
              <w:bottom w:val="single" w:color="auto" w:sz="4" w:space="0"/>
              <w:right w:val="single" w:color="auto" w:sz="4" w:space="0"/>
            </w:tcBorders>
            <w:vAlign w:val="center"/>
          </w:tcPr>
          <w:p w14:paraId="49FCE5E1">
            <w:pPr>
              <w:snapToGrid w:val="0"/>
              <w:spacing w:line="440" w:lineRule="exact"/>
              <w:rPr>
                <w:rFonts w:hint="eastAsia" w:ascii="宋体" w:hAnsi="宋体"/>
                <w:color w:val="auto"/>
                <w:szCs w:val="21"/>
                <w:highlight w:val="none"/>
              </w:rPr>
            </w:pPr>
            <w:r>
              <w:rPr>
                <w:rFonts w:hint="eastAsia" w:ascii="宋体" w:hAnsi="宋体"/>
                <w:color w:val="auto"/>
                <w:szCs w:val="21"/>
                <w:highlight w:val="none"/>
                <w:u w:val="single"/>
              </w:rPr>
              <w:t xml:space="preserve">（1）广西翔正项目管理有限公司 </w:t>
            </w:r>
            <w:r>
              <w:rPr>
                <w:rFonts w:hint="eastAsia" w:ascii="宋体" w:hAnsi="宋体"/>
                <w:color w:val="auto"/>
                <w:szCs w:val="21"/>
                <w:highlight w:val="none"/>
              </w:rPr>
              <w:t>；</w:t>
            </w:r>
          </w:p>
          <w:p w14:paraId="1F6203AF">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0771-3925351</w:t>
            </w:r>
            <w:r>
              <w:rPr>
                <w:rFonts w:hint="eastAsia" w:ascii="宋体" w:hAnsi="宋体"/>
                <w:color w:val="auto"/>
                <w:szCs w:val="21"/>
                <w:highlight w:val="none"/>
              </w:rPr>
              <w:t>，</w:t>
            </w:r>
          </w:p>
          <w:p w14:paraId="62AA6857">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Miss Sweetie"/>
                <w:color w:val="auto"/>
                <w:szCs w:val="21"/>
                <w:highlight w:val="none"/>
              </w:rPr>
              <w:t>：</w:t>
            </w:r>
            <w:r>
              <w:rPr>
                <w:rFonts w:hint="eastAsia" w:ascii="宋体" w:hAnsi="宋体"/>
                <w:color w:val="auto"/>
                <w:szCs w:val="21"/>
                <w:highlight w:val="none"/>
                <w:u w:val="single"/>
              </w:rPr>
              <w:t>南宁市兴宁区秀厢大道199号金源城（建兴路）金源CBD东城25楼11楼1110</w:t>
            </w:r>
            <w:r>
              <w:rPr>
                <w:rFonts w:hint="eastAsia" w:ascii="宋体" w:hAnsi="宋体"/>
                <w:color w:val="auto"/>
                <w:szCs w:val="21"/>
                <w:highlight w:val="none"/>
              </w:rPr>
              <w:t xml:space="preserve"> 室</w:t>
            </w:r>
          </w:p>
          <w:p w14:paraId="4E2F9A2E">
            <w:pPr>
              <w:snapToGrid w:val="0"/>
              <w:spacing w:line="440" w:lineRule="exact"/>
              <w:rPr>
                <w:rFonts w:hint="eastAsia" w:ascii="宋体" w:hAnsi="宋体"/>
                <w:color w:val="auto"/>
                <w:szCs w:val="21"/>
                <w:highlight w:val="none"/>
              </w:rPr>
            </w:pPr>
            <w:r>
              <w:rPr>
                <w:rFonts w:hint="eastAsia" w:ascii="宋体" w:hAnsi="宋体"/>
                <w:color w:val="auto"/>
                <w:szCs w:val="21"/>
                <w:highlight w:val="none"/>
                <w:u w:val="single"/>
              </w:rPr>
              <w:t>（2）</w:t>
            </w:r>
            <w:r>
              <w:rPr>
                <w:rFonts w:hint="eastAsia" w:ascii="宋体" w:hAnsi="宋体"/>
                <w:color w:val="auto"/>
                <w:szCs w:val="21"/>
                <w:highlight w:val="none"/>
                <w:u w:val="single"/>
                <w:lang w:eastAsia="zh-CN"/>
              </w:rPr>
              <w:t>广西壮族自治区公安厅</w:t>
            </w:r>
            <w:r>
              <w:rPr>
                <w:rFonts w:hint="eastAsia" w:ascii="宋体" w:hAnsi="宋体"/>
                <w:color w:val="auto"/>
                <w:szCs w:val="21"/>
                <w:highlight w:val="none"/>
              </w:rPr>
              <w:t>；</w:t>
            </w:r>
          </w:p>
          <w:p w14:paraId="360B227B">
            <w:pPr>
              <w:spacing w:line="400" w:lineRule="exact"/>
              <w:jc w:val="left"/>
              <w:rPr>
                <w:rFonts w:hint="default" w:ascii="宋体" w:hAnsi="宋体" w:eastAsia="宋体" w:cs="Times New Roman"/>
                <w:color w:val="auto"/>
                <w:szCs w:val="21"/>
                <w:highlight w:val="none"/>
                <w:lang w:val="en-US" w:eastAsia="zh-CN"/>
              </w:rPr>
            </w:pPr>
            <w:r>
              <w:rPr>
                <w:rFonts w:hint="eastAsia" w:ascii="宋体" w:hAnsi="宋体"/>
                <w:color w:val="auto"/>
                <w:szCs w:val="21"/>
                <w:highlight w:val="none"/>
              </w:rPr>
              <w:t>联系电话：</w:t>
            </w:r>
            <w:r>
              <w:rPr>
                <w:rFonts w:hint="eastAsia" w:ascii="宋体" w:hAnsi="宋体" w:eastAsia="宋体" w:cs="宋体"/>
                <w:color w:val="auto"/>
                <w:szCs w:val="21"/>
                <w:highlight w:val="none"/>
                <w:u w:val="single"/>
              </w:rPr>
              <w:t>07</w:t>
            </w:r>
            <w:r>
              <w:rPr>
                <w:rFonts w:hint="eastAsia" w:ascii="宋体" w:hAnsi="宋体" w:eastAsia="宋体" w:cs="Times New Roman"/>
                <w:color w:val="auto"/>
                <w:szCs w:val="21"/>
                <w:highlight w:val="none"/>
                <w:u w:val="single"/>
                <w:lang w:eastAsia="zh-CN"/>
              </w:rPr>
              <w:t>71-</w:t>
            </w:r>
            <w:r>
              <w:rPr>
                <w:rFonts w:hint="eastAsia" w:ascii="宋体" w:hAnsi="宋体" w:eastAsia="宋体" w:cs="Times New Roman"/>
                <w:color w:val="auto"/>
                <w:szCs w:val="21"/>
                <w:highlight w:val="none"/>
                <w:lang w:eastAsia="zh-CN"/>
              </w:rPr>
              <w:t>2893128</w:t>
            </w:r>
          </w:p>
          <w:p w14:paraId="43A4A152">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Miss Sweetie"/>
                <w:color w:val="auto"/>
                <w:szCs w:val="21"/>
                <w:highlight w:val="none"/>
              </w:rPr>
              <w:t>：</w:t>
            </w:r>
            <w:r>
              <w:rPr>
                <w:rFonts w:hint="eastAsia" w:ascii="宋体" w:hAnsi="宋体" w:cs="宋体"/>
                <w:color w:val="auto"/>
                <w:szCs w:val="21"/>
                <w:highlight w:val="none"/>
                <w:u w:val="single"/>
              </w:rPr>
              <w:t>广西壮族自治区南宁市青秀区佛子岭路1号</w:t>
            </w:r>
            <w:r>
              <w:rPr>
                <w:rFonts w:hint="eastAsia" w:ascii="宋体" w:hAnsi="宋体" w:cs="宋体"/>
                <w:color w:val="auto"/>
                <w:szCs w:val="21"/>
                <w:highlight w:val="none"/>
              </w:rPr>
              <w:t>。</w:t>
            </w:r>
          </w:p>
        </w:tc>
      </w:tr>
      <w:tr w14:paraId="1AA35F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558EBD17">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662EDDBD">
            <w:pPr>
              <w:spacing w:line="440" w:lineRule="exact"/>
              <w:rPr>
                <w:rFonts w:hint="eastAsia" w:ascii="宋体" w:hAnsi="宋体"/>
                <w:color w:val="auto"/>
                <w:szCs w:val="21"/>
                <w:highlight w:val="none"/>
              </w:rPr>
            </w:pPr>
            <w:r>
              <w:rPr>
                <w:rFonts w:hint="eastAsia" w:hAnsi="宋体"/>
                <w:color w:val="auto"/>
                <w:highlight w:val="none"/>
              </w:rPr>
              <w:t>现场提交质疑办理业务时间</w:t>
            </w:r>
          </w:p>
        </w:tc>
        <w:tc>
          <w:tcPr>
            <w:tcW w:w="6719" w:type="dxa"/>
            <w:tcBorders>
              <w:top w:val="single" w:color="auto" w:sz="4" w:space="0"/>
              <w:left w:val="single" w:color="auto" w:sz="4" w:space="0"/>
              <w:bottom w:val="single" w:color="auto" w:sz="4" w:space="0"/>
              <w:right w:val="single" w:color="auto" w:sz="4" w:space="0"/>
            </w:tcBorders>
            <w:vAlign w:val="center"/>
          </w:tcPr>
          <w:p w14:paraId="68A37B1D">
            <w:pPr>
              <w:snapToGrid w:val="0"/>
              <w:spacing w:line="440" w:lineRule="exact"/>
              <w:rPr>
                <w:rFonts w:hint="eastAsia" w:ascii="宋体" w:hAnsi="宋体"/>
                <w:color w:val="auto"/>
                <w:szCs w:val="21"/>
                <w:highlight w:val="none"/>
              </w:rPr>
            </w:pPr>
            <w:r>
              <w:rPr>
                <w:rFonts w:hint="eastAsia" w:hAnsi="宋体"/>
                <w:color w:val="auto"/>
                <w:highlight w:val="none"/>
              </w:rPr>
              <w:t>质疑期内每个工作日</w:t>
            </w:r>
            <w:r>
              <w:rPr>
                <w:rFonts w:ascii="Calibri" w:hAnsi="宋体"/>
                <w:color w:val="auto"/>
                <w:szCs w:val="22"/>
                <w:highlight w:val="none"/>
                <w:u w:val="single"/>
              </w:rPr>
              <w:t>9</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分到</w:t>
            </w:r>
            <w:r>
              <w:rPr>
                <w:rFonts w:ascii="Calibri" w:hAnsi="宋体"/>
                <w:color w:val="auto"/>
                <w:szCs w:val="22"/>
                <w:highlight w:val="none"/>
                <w:u w:val="single"/>
              </w:rPr>
              <w:t>12</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w:t>
            </w:r>
            <w:r>
              <w:rPr>
                <w:rFonts w:ascii="Calibri" w:hAnsi="宋体"/>
                <w:color w:val="auto"/>
                <w:szCs w:val="22"/>
                <w:highlight w:val="none"/>
                <w:u w:val="single"/>
              </w:rPr>
              <w:t>13</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分到</w:t>
            </w:r>
            <w:r>
              <w:rPr>
                <w:rFonts w:ascii="Calibri" w:hAnsi="宋体"/>
                <w:color w:val="auto"/>
                <w:szCs w:val="22"/>
                <w:highlight w:val="none"/>
                <w:u w:val="single"/>
              </w:rPr>
              <w:t>17</w:t>
            </w:r>
            <w:r>
              <w:rPr>
                <w:rFonts w:hint="eastAsia" w:ascii="Calibri" w:hAnsi="宋体"/>
                <w:color w:val="auto"/>
                <w:szCs w:val="22"/>
                <w:highlight w:val="none"/>
              </w:rPr>
              <w:t>时</w:t>
            </w:r>
            <w:r>
              <w:rPr>
                <w:rFonts w:ascii="Calibri" w:hAnsi="宋体"/>
                <w:color w:val="auto"/>
                <w:szCs w:val="22"/>
                <w:highlight w:val="none"/>
                <w:u w:val="single"/>
              </w:rPr>
              <w:t>00</w:t>
            </w:r>
            <w:r>
              <w:rPr>
                <w:rFonts w:hint="eastAsia" w:ascii="Calibri" w:hAnsi="宋体"/>
                <w:color w:val="auto"/>
                <w:szCs w:val="22"/>
                <w:highlight w:val="none"/>
              </w:rPr>
              <w:t>分</w:t>
            </w:r>
          </w:p>
        </w:tc>
      </w:tr>
      <w:tr w14:paraId="54C7E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72" w:type="dxa"/>
            <w:tcBorders>
              <w:top w:val="nil"/>
              <w:left w:val="single" w:color="auto" w:sz="4" w:space="0"/>
              <w:bottom w:val="single" w:color="auto" w:sz="4" w:space="0"/>
              <w:right w:val="single" w:color="auto" w:sz="4" w:space="0"/>
            </w:tcBorders>
            <w:vAlign w:val="center"/>
          </w:tcPr>
          <w:p w14:paraId="031272E0">
            <w:pPr>
              <w:spacing w:line="440" w:lineRule="exact"/>
              <w:rPr>
                <w:rFonts w:hint="eastAsia" w:ascii="宋体" w:hAnsi="宋体"/>
                <w:color w:val="auto"/>
                <w:szCs w:val="21"/>
                <w:highlight w:val="none"/>
              </w:rPr>
            </w:pPr>
            <w:r>
              <w:rPr>
                <w:rFonts w:hint="eastAsia" w:ascii="宋体" w:hAnsi="宋体"/>
                <w:color w:val="auto"/>
                <w:szCs w:val="21"/>
                <w:highlight w:val="none"/>
              </w:rPr>
              <w:t>38.3.1</w:t>
            </w:r>
          </w:p>
        </w:tc>
        <w:tc>
          <w:tcPr>
            <w:tcW w:w="2071" w:type="dxa"/>
            <w:tcBorders>
              <w:top w:val="single" w:color="auto" w:sz="4" w:space="0"/>
              <w:left w:val="single" w:color="auto" w:sz="4" w:space="0"/>
              <w:bottom w:val="single" w:color="auto" w:sz="4" w:space="0"/>
              <w:right w:val="single" w:color="auto" w:sz="4" w:space="0"/>
            </w:tcBorders>
            <w:vAlign w:val="center"/>
          </w:tcPr>
          <w:p w14:paraId="2D1A6B4D">
            <w:pPr>
              <w:spacing w:line="440" w:lineRule="exact"/>
              <w:rPr>
                <w:rFonts w:hint="eastAsia" w:hAnsi="宋体"/>
                <w:color w:val="auto"/>
                <w:highlight w:val="none"/>
              </w:rPr>
            </w:pPr>
            <w:r>
              <w:rPr>
                <w:rFonts w:hint="eastAsia" w:hAnsi="宋体"/>
                <w:color w:val="auto"/>
                <w:highlight w:val="none"/>
              </w:rPr>
              <w:t>投诉受理方式</w:t>
            </w:r>
          </w:p>
        </w:tc>
        <w:tc>
          <w:tcPr>
            <w:tcW w:w="6719" w:type="dxa"/>
            <w:tcBorders>
              <w:top w:val="single" w:color="auto" w:sz="4" w:space="0"/>
              <w:left w:val="single" w:color="auto" w:sz="4" w:space="0"/>
              <w:bottom w:val="single" w:color="auto" w:sz="4" w:space="0"/>
              <w:right w:val="single" w:color="auto" w:sz="4" w:space="0"/>
            </w:tcBorders>
            <w:vAlign w:val="center"/>
          </w:tcPr>
          <w:p w14:paraId="38750EA4">
            <w:pPr>
              <w:snapToGrid w:val="0"/>
              <w:spacing w:line="400" w:lineRule="exact"/>
              <w:rPr>
                <w:rFonts w:hint="eastAsia" w:hAnsi="宋体"/>
                <w:color w:val="auto"/>
                <w:highlight w:val="none"/>
              </w:rPr>
            </w:pPr>
            <w:r>
              <w:rPr>
                <w:rFonts w:hAnsi="宋体"/>
                <w:color w:val="auto"/>
                <w:highlight w:val="none"/>
              </w:rPr>
              <w:t>1</w:t>
            </w:r>
            <w:r>
              <w:rPr>
                <w:rFonts w:hint="eastAsia" w:hAnsi="宋体"/>
                <w:color w:val="auto"/>
                <w:highlight w:val="none"/>
              </w:rPr>
              <w:t>、受理方式：纸质方式受理，投诉书正、副本（经过质疑的事项才可投诉）。</w:t>
            </w:r>
          </w:p>
          <w:p w14:paraId="125656CB">
            <w:pPr>
              <w:snapToGrid w:val="0"/>
              <w:spacing w:line="400" w:lineRule="exact"/>
              <w:rPr>
                <w:rFonts w:hint="eastAsia" w:hAnsi="宋体"/>
                <w:color w:val="auto"/>
                <w:highlight w:val="none"/>
              </w:rPr>
            </w:pPr>
            <w:r>
              <w:rPr>
                <w:rFonts w:hAnsi="宋体"/>
                <w:color w:val="auto"/>
                <w:highlight w:val="none"/>
              </w:rPr>
              <w:t>2</w:t>
            </w:r>
            <w:r>
              <w:rPr>
                <w:rFonts w:hint="eastAsia" w:hAnsi="宋体"/>
                <w:color w:val="auto"/>
                <w:highlight w:val="none"/>
              </w:rPr>
              <w:t>、邮寄地址：</w:t>
            </w:r>
          </w:p>
          <w:p w14:paraId="555822AE">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名称：广西壮族自治区财政厅政府采购监督管理处</w:t>
            </w:r>
          </w:p>
          <w:p w14:paraId="6DE04053">
            <w:pPr>
              <w:keepNext/>
              <w:keepLines/>
              <w:spacing w:line="360" w:lineRule="auto"/>
              <w:rPr>
                <w:rFonts w:ascii="宋体" w:hAnsi="宋体" w:cs="宋体"/>
                <w:color w:val="auto"/>
                <w:szCs w:val="21"/>
                <w:highlight w:val="none"/>
              </w:rPr>
            </w:pPr>
            <w:r>
              <w:rPr>
                <w:rFonts w:hint="eastAsia" w:ascii="宋体" w:hAnsi="宋体" w:cs="宋体"/>
                <w:color w:val="auto"/>
                <w:szCs w:val="21"/>
                <w:highlight w:val="none"/>
              </w:rPr>
              <w:t>地址：南宁市青秀区桃源路69号</w:t>
            </w:r>
          </w:p>
          <w:p w14:paraId="4A2DE76E">
            <w:pPr>
              <w:snapToGrid w:val="0"/>
              <w:spacing w:line="440" w:lineRule="exact"/>
              <w:rPr>
                <w:rFonts w:hint="eastAsia" w:hAnsi="宋体"/>
                <w:color w:val="auto"/>
                <w:highlight w:val="none"/>
              </w:rPr>
            </w:pPr>
            <w:r>
              <w:rPr>
                <w:rFonts w:hint="eastAsia" w:ascii="宋体" w:hAnsi="宋体" w:cs="宋体"/>
                <w:color w:val="auto"/>
                <w:szCs w:val="21"/>
                <w:highlight w:val="none"/>
              </w:rPr>
              <w:t>联系电话：0771-5331544</w:t>
            </w:r>
          </w:p>
        </w:tc>
      </w:tr>
      <w:tr w14:paraId="5AC41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72" w:type="dxa"/>
            <w:vMerge w:val="restart"/>
            <w:tcBorders>
              <w:top w:val="single" w:color="auto" w:sz="4" w:space="0"/>
              <w:left w:val="single" w:color="auto" w:sz="4" w:space="0"/>
              <w:bottom w:val="single" w:color="auto" w:sz="4" w:space="0"/>
              <w:right w:val="single" w:color="auto" w:sz="4" w:space="0"/>
            </w:tcBorders>
            <w:vAlign w:val="center"/>
          </w:tcPr>
          <w:p w14:paraId="02983EF3">
            <w:pPr>
              <w:spacing w:line="44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39</w:t>
            </w:r>
          </w:p>
        </w:tc>
        <w:tc>
          <w:tcPr>
            <w:tcW w:w="2071" w:type="dxa"/>
            <w:tcBorders>
              <w:top w:val="single" w:color="auto" w:sz="4" w:space="0"/>
              <w:left w:val="single" w:color="auto" w:sz="4" w:space="0"/>
              <w:bottom w:val="single" w:color="auto" w:sz="4" w:space="0"/>
              <w:right w:val="single" w:color="auto" w:sz="4" w:space="0"/>
            </w:tcBorders>
            <w:vAlign w:val="center"/>
          </w:tcPr>
          <w:p w14:paraId="4130A0AD">
            <w:pPr>
              <w:spacing w:line="440" w:lineRule="exact"/>
              <w:rPr>
                <w:rFonts w:hint="eastAsia" w:ascii="宋体" w:hAnsi="宋体"/>
                <w:color w:val="auto"/>
                <w:szCs w:val="21"/>
                <w:highlight w:val="none"/>
              </w:rPr>
            </w:pPr>
            <w:r>
              <w:rPr>
                <w:rFonts w:hint="eastAsia" w:hAnsi="宋体" w:cs="宋体"/>
                <w:color w:val="auto"/>
                <w:highlight w:val="none"/>
              </w:rPr>
              <w:t>采购代理费支付方式</w:t>
            </w:r>
          </w:p>
        </w:tc>
        <w:tc>
          <w:tcPr>
            <w:tcW w:w="6719" w:type="dxa"/>
            <w:tcBorders>
              <w:top w:val="single" w:color="auto" w:sz="4" w:space="0"/>
              <w:left w:val="single" w:color="auto" w:sz="4" w:space="0"/>
              <w:bottom w:val="single" w:color="auto" w:sz="4" w:space="0"/>
              <w:right w:val="single" w:color="auto" w:sz="4" w:space="0"/>
            </w:tcBorders>
            <w:vAlign w:val="center"/>
          </w:tcPr>
          <w:p w14:paraId="1AFD2D8D">
            <w:pPr>
              <w:pStyle w:val="11"/>
              <w:snapToGrid w:val="0"/>
              <w:spacing w:line="440" w:lineRule="exact"/>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在领取中标通知书</w:t>
            </w:r>
            <w:r>
              <w:rPr>
                <w:rFonts w:hint="eastAsia" w:hAnsi="宋体" w:cs="宋体"/>
                <w:color w:val="auto"/>
                <w:sz w:val="21"/>
                <w:highlight w:val="none"/>
                <w:lang w:val="en-US" w:eastAsia="zh-CN"/>
              </w:rPr>
              <w:t>3日内</w:t>
            </w:r>
            <w:r>
              <w:rPr>
                <w:rFonts w:hint="eastAsia" w:hAnsi="宋体" w:cs="宋体"/>
                <w:color w:val="auto"/>
                <w:sz w:val="21"/>
                <w:highlight w:val="none"/>
              </w:rPr>
              <w:t>，一次性向采购代理机构支付。</w:t>
            </w:r>
          </w:p>
          <w:p w14:paraId="0041FED4">
            <w:pPr>
              <w:pStyle w:val="11"/>
              <w:snapToGrid w:val="0"/>
              <w:spacing w:line="440" w:lineRule="exact"/>
              <w:rPr>
                <w:rFonts w:hint="eastAsia" w:hAnsi="宋体" w:cs="宋体"/>
                <w:color w:val="auto"/>
                <w:sz w:val="21"/>
                <w:highlight w:val="none"/>
              </w:rPr>
            </w:pPr>
            <w:r>
              <w:rPr>
                <w:rFonts w:hint="eastAsia" w:hAnsi="宋体" w:cs="宋体"/>
                <w:color w:val="auto"/>
                <w:sz w:val="21"/>
                <w:highlight w:val="none"/>
              </w:rPr>
              <w:t>□采购人支付。</w:t>
            </w:r>
          </w:p>
          <w:p w14:paraId="26B36741">
            <w:pPr>
              <w:snapToGrid w:val="0"/>
              <w:spacing w:line="440" w:lineRule="exact"/>
              <w:rPr>
                <w:rFonts w:hint="eastAsia" w:ascii="宋体" w:hAnsi="宋体" w:cs="宋体"/>
                <w:color w:val="auto"/>
                <w:szCs w:val="20"/>
                <w:highlight w:val="none"/>
              </w:rPr>
            </w:pPr>
            <w:r>
              <w:rPr>
                <w:rFonts w:hint="eastAsia" w:hAnsi="宋体" w:cs="宋体"/>
                <w:color w:val="auto"/>
                <w:highlight w:val="none"/>
              </w:rPr>
              <w:t>□本项目不收取代理服务费。</w:t>
            </w:r>
          </w:p>
        </w:tc>
      </w:tr>
      <w:tr w14:paraId="02A93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786EBFE2">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3E24B130">
            <w:pPr>
              <w:spacing w:line="440" w:lineRule="exact"/>
              <w:rPr>
                <w:rFonts w:hint="eastAsia" w:ascii="宋体" w:hAnsi="宋体"/>
                <w:color w:val="auto"/>
                <w:szCs w:val="21"/>
                <w:highlight w:val="none"/>
              </w:rPr>
            </w:pPr>
            <w:r>
              <w:rPr>
                <w:rFonts w:hint="eastAsia" w:hAnsi="宋体" w:cs="宋体"/>
                <w:color w:val="auto"/>
                <w:szCs w:val="21"/>
                <w:highlight w:val="none"/>
              </w:rPr>
              <w:t>采购代理费收取标准</w:t>
            </w:r>
          </w:p>
        </w:tc>
        <w:tc>
          <w:tcPr>
            <w:tcW w:w="6719" w:type="dxa"/>
            <w:tcBorders>
              <w:top w:val="single" w:color="auto" w:sz="4" w:space="0"/>
              <w:left w:val="single" w:color="auto" w:sz="4" w:space="0"/>
              <w:bottom w:val="single" w:color="auto" w:sz="4" w:space="0"/>
              <w:right w:val="single" w:color="auto" w:sz="4" w:space="0"/>
            </w:tcBorders>
            <w:vAlign w:val="center"/>
          </w:tcPr>
          <w:p w14:paraId="716312FC">
            <w:pPr>
              <w:pStyle w:val="11"/>
              <w:keepNext/>
              <w:keepLines/>
              <w:spacing w:line="360" w:lineRule="auto"/>
              <w:rPr>
                <w:rFonts w:cs="宋体"/>
                <w:color w:val="auto"/>
                <w:sz w:val="21"/>
                <w:szCs w:val="21"/>
                <w:highlight w:val="none"/>
              </w:rPr>
            </w:pPr>
            <w:bookmarkStart w:id="80" w:name="PO_3000001866_PM025"/>
            <w:r>
              <w:rPr>
                <w:rFonts w:hint="eastAsia" w:ascii="MS PGothic" w:hAnsi="MS PGothic" w:eastAsia="MS PGothic" w:cs="MS PGothic"/>
                <w:color w:val="auto"/>
                <w:sz w:val="21"/>
                <w:szCs w:val="21"/>
                <w:highlight w:val="none"/>
              </w:rPr>
              <w:t>☑</w:t>
            </w:r>
            <w:r>
              <w:rPr>
                <w:rFonts w:hint="eastAsia" w:cs="宋体"/>
                <w:color w:val="auto"/>
                <w:sz w:val="21"/>
                <w:szCs w:val="21"/>
                <w:highlight w:val="none"/>
              </w:rPr>
              <w:t>以分标（☑中标金额/</w:t>
            </w:r>
            <w:r>
              <w:rPr>
                <w:rFonts w:hint="eastAsia" w:ascii="MS PGothic" w:hAnsi="MS PGothic" w:cs="MS PGothic"/>
                <w:color w:val="auto"/>
                <w:sz w:val="21"/>
                <w:szCs w:val="21"/>
                <w:highlight w:val="none"/>
              </w:rPr>
              <w:t>□</w:t>
            </w:r>
            <w:r>
              <w:rPr>
                <w:rFonts w:hint="eastAsia" w:cs="宋体"/>
                <w:color w:val="auto"/>
                <w:sz w:val="21"/>
                <w:szCs w:val="21"/>
                <w:highlight w:val="none"/>
              </w:rPr>
              <w:t>采购预算/□暂定中标金额/□其他</w:t>
            </w:r>
            <w:r>
              <w:rPr>
                <w:rFonts w:hint="eastAsia" w:cs="宋体"/>
                <w:color w:val="auto"/>
                <w:sz w:val="21"/>
                <w:szCs w:val="21"/>
                <w:highlight w:val="none"/>
                <w:u w:val="single"/>
              </w:rPr>
              <w:t xml:space="preserve">   </w:t>
            </w:r>
            <w:r>
              <w:rPr>
                <w:rFonts w:hint="eastAsia" w:cs="宋体"/>
                <w:color w:val="auto"/>
                <w:sz w:val="21"/>
                <w:szCs w:val="21"/>
                <w:highlight w:val="none"/>
              </w:rPr>
              <w:t>）为计费额，</w:t>
            </w:r>
            <w:r>
              <w:rPr>
                <w:rFonts w:hint="eastAsia" w:cs="宋体"/>
                <w:color w:val="auto"/>
                <w:kern w:val="0"/>
                <w:sz w:val="21"/>
                <w:szCs w:val="21"/>
                <w:highlight w:val="none"/>
              </w:rPr>
              <w:t>按本须知正文第</w:t>
            </w:r>
            <w:r>
              <w:rPr>
                <w:rFonts w:hint="eastAsia" w:cs="宋体"/>
                <w:color w:val="auto"/>
                <w:kern w:val="0"/>
                <w:sz w:val="21"/>
                <w:szCs w:val="21"/>
                <w:highlight w:val="none"/>
                <w:lang w:val="en-US" w:eastAsia="zh-CN"/>
              </w:rPr>
              <w:t>39</w:t>
            </w:r>
            <w:r>
              <w:rPr>
                <w:rFonts w:hint="eastAsia" w:cs="宋体"/>
                <w:color w:val="auto"/>
                <w:kern w:val="0"/>
                <w:sz w:val="21"/>
                <w:szCs w:val="21"/>
                <w:highlight w:val="none"/>
              </w:rPr>
              <w:t>.</w:t>
            </w:r>
            <w:r>
              <w:rPr>
                <w:rFonts w:hint="eastAsia" w:cs="宋体"/>
                <w:color w:val="auto"/>
                <w:kern w:val="0"/>
                <w:sz w:val="21"/>
                <w:szCs w:val="21"/>
                <w:highlight w:val="none"/>
                <w:lang w:val="en-US" w:eastAsia="zh-CN"/>
              </w:rPr>
              <w:t>3</w:t>
            </w:r>
            <w:r>
              <w:rPr>
                <w:rFonts w:hint="eastAsia" w:cs="宋体"/>
                <w:color w:val="auto"/>
                <w:kern w:val="0"/>
                <w:sz w:val="21"/>
                <w:szCs w:val="21"/>
                <w:highlight w:val="none"/>
              </w:rPr>
              <w:t>条规定的收费计算标准</w:t>
            </w:r>
            <w:r>
              <w:rPr>
                <w:rFonts w:hint="eastAsia" w:cs="宋体"/>
                <w:color w:val="auto"/>
                <w:sz w:val="21"/>
                <w:szCs w:val="21"/>
                <w:highlight w:val="none"/>
              </w:rPr>
              <w:t>（□货物招标/</w:t>
            </w:r>
            <w:r>
              <w:rPr>
                <w:rFonts w:hint="eastAsia" w:ascii="MS PGothic" w:hAnsi="MS PGothic" w:eastAsia="MS PGothic" w:cs="MS PGothic"/>
                <w:color w:val="auto"/>
                <w:sz w:val="21"/>
                <w:szCs w:val="21"/>
                <w:highlight w:val="none"/>
              </w:rPr>
              <w:t>☑</w:t>
            </w:r>
            <w:r>
              <w:rPr>
                <w:rFonts w:hint="eastAsia" w:cs="宋体"/>
                <w:color w:val="auto"/>
                <w:sz w:val="21"/>
                <w:szCs w:val="21"/>
                <w:highlight w:val="none"/>
              </w:rPr>
              <w:t>服务招标/□工程招标）采用差额定率累进法计算出收费基准价格，采购代理收费以（</w:t>
            </w:r>
            <w:r>
              <w:rPr>
                <w:rFonts w:hint="eastAsia" w:ascii="MS PGothic" w:hAnsi="MS PGothic" w:eastAsia="MS PGothic" w:cs="MS PGothic"/>
                <w:color w:val="auto"/>
                <w:sz w:val="21"/>
                <w:szCs w:val="21"/>
                <w:highlight w:val="none"/>
              </w:rPr>
              <w:t>☑</w:t>
            </w:r>
            <w:r>
              <w:rPr>
                <w:rFonts w:hint="eastAsia" w:cs="宋体"/>
                <w:color w:val="auto"/>
                <w:sz w:val="21"/>
                <w:szCs w:val="21"/>
                <w:highlight w:val="none"/>
              </w:rPr>
              <w:t>收费基准价格/□收费基准价格下浮</w:t>
            </w:r>
            <w:r>
              <w:rPr>
                <w:rFonts w:hint="eastAsia" w:cs="宋体"/>
                <w:color w:val="auto"/>
                <w:sz w:val="21"/>
                <w:szCs w:val="21"/>
                <w:highlight w:val="none"/>
                <w:u w:val="single"/>
              </w:rPr>
              <w:t xml:space="preserve">   %</w:t>
            </w:r>
            <w:r>
              <w:rPr>
                <w:rFonts w:hint="eastAsia" w:cs="宋体"/>
                <w:color w:val="auto"/>
                <w:sz w:val="21"/>
                <w:szCs w:val="21"/>
                <w:highlight w:val="none"/>
              </w:rPr>
              <w:t>/□收费基准价格上浮</w:t>
            </w:r>
            <w:r>
              <w:rPr>
                <w:rFonts w:hint="eastAsia" w:cs="宋体"/>
                <w:color w:val="auto"/>
                <w:sz w:val="21"/>
                <w:szCs w:val="21"/>
                <w:highlight w:val="none"/>
                <w:u w:val="single"/>
              </w:rPr>
              <w:t xml:space="preserve">   %</w:t>
            </w:r>
            <w:r>
              <w:rPr>
                <w:rFonts w:hint="eastAsia" w:cs="宋体"/>
                <w:color w:val="auto"/>
                <w:sz w:val="21"/>
                <w:szCs w:val="21"/>
                <w:highlight w:val="none"/>
              </w:rPr>
              <w:t>）收取。</w:t>
            </w:r>
          </w:p>
          <w:p w14:paraId="1E68DE62">
            <w:pPr>
              <w:snapToGrid w:val="0"/>
              <w:spacing w:line="440" w:lineRule="exact"/>
              <w:ind w:firstLine="210" w:firstLineChars="100"/>
              <w:rPr>
                <w:rFonts w:hint="eastAsia" w:ascii="宋体" w:hAnsi="宋体" w:cs="宋体"/>
                <w:color w:val="auto"/>
                <w:szCs w:val="21"/>
                <w:highlight w:val="none"/>
                <w:u w:val="single"/>
              </w:rPr>
            </w:pPr>
            <w:r>
              <w:rPr>
                <w:rFonts w:hint="eastAsia" w:cs="宋体"/>
                <w:color w:val="auto"/>
                <w:szCs w:val="21"/>
                <w:highlight w:val="none"/>
              </w:rPr>
              <w:t>□固定采购代理收费</w:t>
            </w:r>
            <w:r>
              <w:rPr>
                <w:rFonts w:hint="eastAsia" w:cs="宋体"/>
                <w:color w:val="auto"/>
                <w:szCs w:val="21"/>
                <w:highlight w:val="none"/>
                <w:u w:val="single"/>
              </w:rPr>
              <w:t xml:space="preserve">              。</w:t>
            </w:r>
            <w:bookmarkEnd w:id="80"/>
          </w:p>
        </w:tc>
      </w:tr>
      <w:tr w14:paraId="39ABD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3B2C8FB4">
            <w:pPr>
              <w:widowControl/>
              <w:spacing w:line="440" w:lineRule="exact"/>
              <w:jc w:val="left"/>
              <w:rPr>
                <w:rFonts w:hint="eastAsia" w:ascii="宋体" w:hAnsi="宋体"/>
                <w:color w:val="auto"/>
                <w:szCs w:val="21"/>
                <w:highlight w:val="none"/>
              </w:rPr>
            </w:pPr>
          </w:p>
        </w:tc>
        <w:tc>
          <w:tcPr>
            <w:tcW w:w="2071" w:type="dxa"/>
            <w:tcBorders>
              <w:top w:val="single" w:color="auto" w:sz="4" w:space="0"/>
              <w:left w:val="single" w:color="auto" w:sz="4" w:space="0"/>
              <w:bottom w:val="single" w:color="auto" w:sz="4" w:space="0"/>
              <w:right w:val="single" w:color="auto" w:sz="4" w:space="0"/>
            </w:tcBorders>
            <w:vAlign w:val="center"/>
          </w:tcPr>
          <w:p w14:paraId="5C222DA5">
            <w:pPr>
              <w:spacing w:line="440" w:lineRule="exact"/>
              <w:rPr>
                <w:rFonts w:hint="eastAsia" w:ascii="宋体" w:hAnsi="宋体"/>
                <w:color w:val="auto"/>
                <w:szCs w:val="21"/>
                <w:highlight w:val="none"/>
              </w:rPr>
            </w:pPr>
            <w:r>
              <w:rPr>
                <w:rFonts w:hint="eastAsia" w:hAnsi="宋体" w:cs="宋体"/>
                <w:color w:val="auto"/>
                <w:highlight w:val="none"/>
              </w:rPr>
              <w:t>代理服务费收款账户信息</w:t>
            </w:r>
          </w:p>
        </w:tc>
        <w:tc>
          <w:tcPr>
            <w:tcW w:w="6719" w:type="dxa"/>
            <w:tcBorders>
              <w:top w:val="single" w:color="auto" w:sz="4" w:space="0"/>
              <w:left w:val="single" w:color="auto" w:sz="4" w:space="0"/>
              <w:bottom w:val="single" w:color="auto" w:sz="4" w:space="0"/>
              <w:right w:val="single" w:color="auto" w:sz="4" w:space="0"/>
            </w:tcBorders>
            <w:vAlign w:val="center"/>
          </w:tcPr>
          <w:p w14:paraId="08664FAB">
            <w:pPr>
              <w:snapToGrid w:val="0"/>
              <w:spacing w:line="440" w:lineRule="exact"/>
              <w:rPr>
                <w:rFonts w:hint="eastAsia" w:hAnsi="宋体"/>
                <w:color w:val="auto"/>
                <w:highlight w:val="none"/>
              </w:rPr>
            </w:pPr>
            <w:r>
              <w:rPr>
                <w:rFonts w:hint="eastAsia" w:hAnsi="宋体"/>
                <w:color w:val="auto"/>
                <w:highlight w:val="none"/>
              </w:rPr>
              <w:t xml:space="preserve">账户名称：广西翔正项目管理有限公司 </w:t>
            </w:r>
          </w:p>
          <w:p w14:paraId="4CA2E9A0">
            <w:pPr>
              <w:snapToGrid w:val="0"/>
              <w:spacing w:line="440" w:lineRule="exact"/>
              <w:rPr>
                <w:rFonts w:hint="eastAsia" w:hAnsi="宋体"/>
                <w:color w:val="auto"/>
                <w:highlight w:val="none"/>
              </w:rPr>
            </w:pPr>
            <w:r>
              <w:rPr>
                <w:rFonts w:hint="eastAsia" w:hAnsi="宋体"/>
                <w:color w:val="auto"/>
                <w:highlight w:val="none"/>
              </w:rPr>
              <w:t xml:space="preserve">开户银行：中国工商银行南宁市建政支行 </w:t>
            </w:r>
          </w:p>
          <w:p w14:paraId="600C302A">
            <w:pPr>
              <w:snapToGrid w:val="0"/>
              <w:spacing w:line="440" w:lineRule="exact"/>
              <w:rPr>
                <w:rFonts w:hint="eastAsia" w:hAnsi="宋体"/>
                <w:color w:val="auto"/>
                <w:highlight w:val="none"/>
              </w:rPr>
            </w:pPr>
            <w:r>
              <w:rPr>
                <w:rFonts w:hint="eastAsia" w:hAnsi="宋体"/>
                <w:color w:val="auto"/>
                <w:highlight w:val="none"/>
              </w:rPr>
              <w:t xml:space="preserve">银行账号：2102107109300076992 </w:t>
            </w:r>
          </w:p>
          <w:p w14:paraId="22576435">
            <w:pPr>
              <w:snapToGrid w:val="0"/>
              <w:spacing w:line="440" w:lineRule="exact"/>
              <w:rPr>
                <w:rFonts w:hint="eastAsia" w:ascii="宋体" w:hAnsi="宋体" w:cs="宋体"/>
                <w:color w:val="auto"/>
                <w:szCs w:val="20"/>
                <w:highlight w:val="none"/>
              </w:rPr>
            </w:pPr>
            <w:r>
              <w:rPr>
                <w:rFonts w:hint="eastAsia" w:hAnsi="宋体"/>
                <w:color w:val="auto"/>
                <w:highlight w:val="none"/>
              </w:rPr>
              <w:t>开户行行号：102611010711</w:t>
            </w:r>
          </w:p>
        </w:tc>
      </w:tr>
      <w:tr w14:paraId="53ACF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463E46F1">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41.1</w:t>
            </w:r>
          </w:p>
        </w:tc>
        <w:tc>
          <w:tcPr>
            <w:tcW w:w="2071" w:type="dxa"/>
            <w:tcBorders>
              <w:top w:val="single" w:color="auto" w:sz="4" w:space="0"/>
              <w:left w:val="single" w:color="auto" w:sz="4" w:space="0"/>
              <w:bottom w:val="single" w:color="auto" w:sz="4" w:space="0"/>
              <w:right w:val="single" w:color="auto" w:sz="4" w:space="0"/>
            </w:tcBorders>
            <w:vAlign w:val="center"/>
          </w:tcPr>
          <w:p w14:paraId="046B9DEA">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解释</w:t>
            </w:r>
          </w:p>
        </w:tc>
        <w:tc>
          <w:tcPr>
            <w:tcW w:w="6719" w:type="dxa"/>
            <w:tcBorders>
              <w:top w:val="single" w:color="auto" w:sz="4" w:space="0"/>
              <w:left w:val="single" w:color="auto" w:sz="4" w:space="0"/>
              <w:bottom w:val="single" w:color="auto" w:sz="4" w:space="0"/>
              <w:right w:val="single" w:color="auto" w:sz="4" w:space="0"/>
            </w:tcBorders>
            <w:vAlign w:val="center"/>
          </w:tcPr>
          <w:p w14:paraId="62FDBB39">
            <w:pPr>
              <w:snapToGrid w:val="0"/>
              <w:spacing w:line="440" w:lineRule="exact"/>
              <w:rPr>
                <w:rFonts w:hint="eastAsia" w:ascii="宋体" w:hAnsi="宋体"/>
                <w:b/>
                <w:color w:val="auto"/>
                <w:szCs w:val="21"/>
                <w:highlight w:val="none"/>
              </w:rPr>
            </w:pPr>
            <w:r>
              <w:rPr>
                <w:rFonts w:hint="eastAsia" w:ascii="宋体" w:hAnsi="宋体"/>
                <w:b/>
                <w:color w:val="auto"/>
                <w:szCs w:val="21"/>
                <w:highlight w:val="none"/>
              </w:rPr>
              <w:t>解释权：</w:t>
            </w:r>
            <w:r>
              <w:rPr>
                <w:rFonts w:hint="eastAsia" w:ascii="宋体" w:hAnsi="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auto"/>
                <w:szCs w:val="21"/>
                <w:highlight w:val="none"/>
              </w:rPr>
              <w:t>，由采购人或者采购代理机构负责解释。</w:t>
            </w:r>
          </w:p>
          <w:p w14:paraId="00C78371">
            <w:pPr>
              <w:snapToGrid w:val="0"/>
              <w:spacing w:line="440" w:lineRule="exact"/>
              <w:rPr>
                <w:rFonts w:hint="eastAsia" w:ascii="宋体" w:hAnsi="宋体"/>
                <w:b/>
                <w:color w:val="auto"/>
                <w:szCs w:val="21"/>
                <w:highlight w:val="none"/>
              </w:rPr>
            </w:pPr>
            <w:r>
              <w:rPr>
                <w:rFonts w:hint="eastAsia" w:ascii="宋体" w:hAnsi="宋体"/>
                <w:b/>
                <w:color w:val="auto"/>
                <w:szCs w:val="21"/>
                <w:highlight w:val="none"/>
              </w:rPr>
              <w:t>法律责任：</w:t>
            </w:r>
          </w:p>
          <w:p w14:paraId="3391FB1F">
            <w:pPr>
              <w:numPr>
                <w:ilvl w:val="0"/>
                <w:numId w:val="6"/>
              </w:numPr>
              <w:snapToGrid w:val="0"/>
              <w:spacing w:line="440" w:lineRule="exact"/>
              <w:rPr>
                <w:rFonts w:hint="eastAsia" w:ascii="宋体" w:hAnsi="宋体"/>
                <w:color w:val="auto"/>
                <w:szCs w:val="21"/>
                <w:highlight w:val="none"/>
              </w:rPr>
            </w:pPr>
            <w:r>
              <w:rPr>
                <w:rFonts w:hint="eastAsia" w:ascii="宋体" w:hAnsi="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71595EF6">
            <w:pPr>
              <w:snapToGrid w:val="0"/>
              <w:spacing w:line="440" w:lineRule="exact"/>
              <w:rPr>
                <w:rFonts w:hint="eastAsia" w:ascii="宋体" w:hAnsi="宋体"/>
                <w:color w:val="auto"/>
                <w:szCs w:val="21"/>
                <w:highlight w:val="none"/>
              </w:rPr>
            </w:pPr>
            <w:r>
              <w:rPr>
                <w:rFonts w:hint="eastAsia" w:ascii="宋体" w:hAnsi="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D38E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2" w:type="dxa"/>
            <w:tcBorders>
              <w:top w:val="single" w:color="auto" w:sz="4" w:space="0"/>
              <w:left w:val="single" w:color="auto" w:sz="4" w:space="0"/>
              <w:bottom w:val="single" w:color="auto" w:sz="4" w:space="0"/>
              <w:right w:val="single" w:color="auto" w:sz="4" w:space="0"/>
            </w:tcBorders>
            <w:vAlign w:val="center"/>
          </w:tcPr>
          <w:p w14:paraId="384044F8">
            <w:pPr>
              <w:snapToGrid w:val="0"/>
              <w:spacing w:line="440" w:lineRule="exact"/>
              <w:jc w:val="center"/>
              <w:rPr>
                <w:rFonts w:hint="eastAsia" w:ascii="宋体" w:hAnsi="宋体"/>
                <w:color w:val="auto"/>
                <w:szCs w:val="21"/>
                <w:highlight w:val="none"/>
              </w:rPr>
            </w:pPr>
            <w:r>
              <w:rPr>
                <w:rFonts w:hint="eastAsia" w:ascii="宋体" w:hAnsi="宋体"/>
                <w:color w:val="auto"/>
                <w:szCs w:val="21"/>
                <w:highlight w:val="none"/>
              </w:rPr>
              <w:t>41.2</w:t>
            </w:r>
          </w:p>
        </w:tc>
        <w:tc>
          <w:tcPr>
            <w:tcW w:w="2071" w:type="dxa"/>
            <w:tcBorders>
              <w:top w:val="single" w:color="auto" w:sz="4" w:space="0"/>
              <w:left w:val="single" w:color="auto" w:sz="4" w:space="0"/>
              <w:bottom w:val="single" w:color="auto" w:sz="4" w:space="0"/>
              <w:right w:val="single" w:color="auto" w:sz="4" w:space="0"/>
            </w:tcBorders>
            <w:vAlign w:val="center"/>
          </w:tcPr>
          <w:p w14:paraId="1C3B44E8">
            <w:pPr>
              <w:snapToGrid w:val="0"/>
              <w:spacing w:line="440" w:lineRule="exact"/>
              <w:rPr>
                <w:rFonts w:hint="eastAsia" w:ascii="宋体" w:hAnsi="宋体"/>
                <w:color w:val="auto"/>
                <w:szCs w:val="21"/>
                <w:highlight w:val="none"/>
              </w:rPr>
            </w:pPr>
            <w:r>
              <w:rPr>
                <w:rFonts w:hint="eastAsia" w:ascii="宋体" w:hAnsi="宋体"/>
                <w:color w:val="auto"/>
                <w:szCs w:val="21"/>
                <w:highlight w:val="none"/>
              </w:rPr>
              <w:t>其他释义</w:t>
            </w:r>
          </w:p>
        </w:tc>
        <w:tc>
          <w:tcPr>
            <w:tcW w:w="6719" w:type="dxa"/>
            <w:tcBorders>
              <w:top w:val="single" w:color="auto" w:sz="4" w:space="0"/>
              <w:left w:val="single" w:color="auto" w:sz="4" w:space="0"/>
              <w:bottom w:val="single" w:color="auto" w:sz="4" w:space="0"/>
              <w:right w:val="single" w:color="auto" w:sz="4" w:space="0"/>
            </w:tcBorders>
            <w:vAlign w:val="center"/>
          </w:tcPr>
          <w:p w14:paraId="2FEAF53B">
            <w:pPr>
              <w:spacing w:line="440" w:lineRule="exact"/>
              <w:rPr>
                <w:rFonts w:hint="eastAsia"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1A115304">
            <w:pPr>
              <w:snapToGrid w:val="0"/>
              <w:spacing w:line="440" w:lineRule="exact"/>
              <w:rPr>
                <w:rFonts w:hint="eastAsia" w:ascii="宋体" w:hAnsi="宋体" w:cs="宋体"/>
                <w:b/>
                <w:bCs/>
                <w:color w:val="auto"/>
                <w:szCs w:val="20"/>
                <w:highlight w:val="none"/>
              </w:rPr>
            </w:pPr>
            <w:r>
              <w:rPr>
                <w:rFonts w:hint="eastAsia" w:ascii="宋体" w:hAnsi="宋体" w:cs="宋体"/>
                <w:b/>
                <w:bCs/>
                <w:color w:val="auto"/>
                <w:szCs w:val="20"/>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40BB60A">
            <w:pPr>
              <w:snapToGrid w:val="0"/>
              <w:spacing w:line="440" w:lineRule="exact"/>
              <w:rPr>
                <w:rFonts w:hint="eastAsia" w:ascii="宋体" w:hAnsi="宋体" w:cs="宋体"/>
                <w:b/>
                <w:bCs/>
                <w:color w:val="auto"/>
                <w:szCs w:val="20"/>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w:t>
            </w:r>
            <w:r>
              <w:rPr>
                <w:rFonts w:hint="eastAsia" w:ascii="宋体" w:hAnsi="宋体" w:cs="宋体"/>
                <w:b/>
                <w:bCs/>
                <w:color w:val="auto"/>
                <w:szCs w:val="20"/>
                <w:highlight w:val="none"/>
              </w:rPr>
              <w:t>4.自然人投标的，招标文件规定盖公章处由自然人摁手指指印。</w:t>
            </w:r>
          </w:p>
          <w:p w14:paraId="5B2E2FEE">
            <w:pPr>
              <w:spacing w:line="440" w:lineRule="exact"/>
              <w:jc w:val="left"/>
              <w:rPr>
                <w:rFonts w:hint="eastAsia" w:ascii="宋体" w:hAnsi="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3770A335">
      <w:pPr>
        <w:snapToGrid w:val="0"/>
        <w:rPr>
          <w:rFonts w:ascii="宋体" w:hAnsi="宋体"/>
          <w:color w:val="auto"/>
          <w:sz w:val="24"/>
          <w:szCs w:val="20"/>
          <w:highlight w:val="none"/>
        </w:rPr>
      </w:pPr>
    </w:p>
    <w:p w14:paraId="39DCE468">
      <w:pPr>
        <w:spacing w:line="360" w:lineRule="auto"/>
        <w:jc w:val="center"/>
        <w:rPr>
          <w:rFonts w:ascii="宋体" w:hAnsi="宋体" w:cs="宋体"/>
          <w:color w:val="auto"/>
          <w:highlight w:val="none"/>
        </w:rPr>
      </w:pPr>
      <w:r>
        <w:rPr>
          <w:color w:val="auto"/>
          <w:highlight w:val="none"/>
        </w:rPr>
        <w:br w:type="page"/>
      </w:r>
      <w:r>
        <w:rPr>
          <w:rFonts w:hint="eastAsia" w:ascii="宋体" w:hAnsi="宋体"/>
          <w:b/>
          <w:color w:val="auto"/>
          <w:sz w:val="32"/>
          <w:szCs w:val="32"/>
          <w:highlight w:val="none"/>
        </w:rPr>
        <w:t>投标人须知正文</w:t>
      </w:r>
    </w:p>
    <w:p w14:paraId="326E2489">
      <w:pPr>
        <w:spacing w:before="120" w:beforeLines="50" w:line="360" w:lineRule="auto"/>
        <w:jc w:val="center"/>
        <w:rPr>
          <w:rFonts w:ascii="宋体" w:hAnsi="宋体"/>
          <w:b/>
          <w:color w:val="auto"/>
          <w:sz w:val="24"/>
          <w:szCs w:val="32"/>
          <w:highlight w:val="none"/>
        </w:rPr>
      </w:pPr>
      <w:bookmarkStart w:id="81" w:name="OLE_LINK48"/>
      <w:bookmarkStart w:id="82" w:name="OLE_LINK49"/>
      <w:r>
        <w:rPr>
          <w:rFonts w:hint="eastAsia" w:ascii="宋体" w:hAnsi="宋体"/>
          <w:b/>
          <w:color w:val="auto"/>
          <w:sz w:val="24"/>
          <w:szCs w:val="32"/>
          <w:highlight w:val="none"/>
        </w:rPr>
        <w:t>一、总则</w:t>
      </w:r>
    </w:p>
    <w:p w14:paraId="41ACC858">
      <w:pPr>
        <w:pStyle w:val="4"/>
        <w:keepNext w:val="0"/>
        <w:keepLines w:val="0"/>
        <w:spacing w:before="0" w:after="0" w:line="400" w:lineRule="exact"/>
        <w:ind w:firstLine="422" w:firstLineChars="200"/>
        <w:jc w:val="left"/>
        <w:rPr>
          <w:rFonts w:ascii="宋体" w:hAnsi="宋体" w:cs="宋体"/>
          <w:color w:val="auto"/>
          <w:sz w:val="21"/>
          <w:szCs w:val="21"/>
          <w:highlight w:val="none"/>
        </w:rPr>
      </w:pPr>
      <w:bookmarkStart w:id="83" w:name="_Toc254970527"/>
      <w:bookmarkStart w:id="84" w:name="_Toc254970668"/>
      <w:r>
        <w:rPr>
          <w:rFonts w:hint="eastAsia" w:ascii="宋体" w:hAnsi="宋体" w:cs="宋体"/>
          <w:color w:val="auto"/>
          <w:sz w:val="21"/>
          <w:szCs w:val="21"/>
          <w:highlight w:val="none"/>
        </w:rPr>
        <w:t>1.适用范围</w:t>
      </w:r>
      <w:bookmarkEnd w:id="83"/>
      <w:bookmarkEnd w:id="84"/>
    </w:p>
    <w:p w14:paraId="1DAD15CF">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FFB9DF8">
      <w:pPr>
        <w:snapToGrid w:val="0"/>
        <w:spacing w:line="400" w:lineRule="exact"/>
        <w:ind w:firstLine="420" w:firstLineChars="200"/>
        <w:jc w:val="left"/>
        <w:rPr>
          <w:rFonts w:ascii="宋体" w:hAnsi="宋体" w:cs="宋体"/>
          <w:color w:val="auto"/>
          <w:spacing w:val="-6"/>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73F8435">
      <w:pPr>
        <w:pStyle w:val="4"/>
        <w:keepNext w:val="0"/>
        <w:keepLines w:val="0"/>
        <w:spacing w:before="0" w:after="0" w:line="400" w:lineRule="exact"/>
        <w:ind w:firstLine="422" w:firstLineChars="200"/>
        <w:jc w:val="left"/>
        <w:rPr>
          <w:rFonts w:ascii="宋体" w:hAnsi="宋体" w:cs="宋体"/>
          <w:color w:val="auto"/>
          <w:sz w:val="21"/>
          <w:szCs w:val="21"/>
          <w:highlight w:val="none"/>
        </w:rPr>
      </w:pPr>
      <w:bookmarkStart w:id="85" w:name="_Toc254970528"/>
      <w:bookmarkStart w:id="86" w:name="_Toc254970669"/>
      <w:r>
        <w:rPr>
          <w:rFonts w:hint="eastAsia" w:ascii="宋体" w:hAnsi="宋体" w:cs="宋体"/>
          <w:color w:val="auto"/>
          <w:sz w:val="21"/>
          <w:szCs w:val="21"/>
          <w:highlight w:val="none"/>
        </w:rPr>
        <w:t>2.定义</w:t>
      </w:r>
      <w:bookmarkEnd w:id="85"/>
      <w:bookmarkEnd w:id="86"/>
    </w:p>
    <w:p w14:paraId="2065E3BA">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2.1“采购人”是指依法进行政府采购的国家机关、事业单位、团体组织。</w:t>
      </w:r>
    </w:p>
    <w:p w14:paraId="0F76A1AF">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15042D8A">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2.3“</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”是指向采购人提供货物、工程或者服务的法人、其他组织或者自然人。</w:t>
      </w:r>
    </w:p>
    <w:p w14:paraId="146C9019">
      <w:pPr>
        <w:pStyle w:val="5"/>
        <w:spacing w:line="400" w:lineRule="exact"/>
        <w:ind w:firstLineChars="200"/>
        <w:jc w:val="lef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57CFCC33">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w:t>
      </w:r>
    </w:p>
    <w:p w14:paraId="4901D24C">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2.6“售后服务”是指商品出售以后所提供的各种服务，包含但不限于投标人须承担的备品备件、包装、运输、装卸、保险、货到就位以及安装、调试、培训、保修以及其他各种服务。</w:t>
      </w:r>
    </w:p>
    <w:p w14:paraId="767A3348">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2.7“书面形式”是指合同书、信件和数据电文（包括电报、电传、传真、电子数据交换和电子邮件）等可以有形地表现所载内容的形式。</w:t>
      </w:r>
    </w:p>
    <w:p w14:paraId="3A141817">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2.8“实质性要求”是指招标文件中已经指明不满足则投标无效的条款，或者不能负偏离的条款</w:t>
      </w:r>
      <w:r>
        <w:rPr>
          <w:rFonts w:hint="eastAsia" w:ascii="宋体" w:hAnsi="宋体" w:cs="宋体"/>
          <w:b w:val="0"/>
          <w:color w:val="auto"/>
          <w:sz w:val="21"/>
          <w:szCs w:val="21"/>
          <w:highlight w:val="none"/>
          <w:lang w:eastAsia="zh-CN"/>
        </w:rPr>
        <w:t>。</w:t>
      </w:r>
    </w:p>
    <w:p w14:paraId="31E05077">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“正偏离”，是指投标文件对招标文件“采购需求”中有关条款作出的响应优于条款要求并有利于采购人的情形。</w:t>
      </w:r>
    </w:p>
    <w:p w14:paraId="59D931AA">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5881ECB2">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bookmarkStart w:id="87" w:name="_Toc254970670"/>
      <w:bookmarkStart w:id="88" w:name="_Toc254970529"/>
    </w:p>
    <w:p w14:paraId="4EF1E6A1">
      <w:pPr>
        <w:pStyle w:val="4"/>
        <w:keepNext w:val="0"/>
        <w:keepLines w:val="0"/>
        <w:spacing w:before="0" w:after="0" w:line="4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w:t>
      </w:r>
      <w:bookmarkEnd w:id="87"/>
      <w:bookmarkEnd w:id="88"/>
      <w:r>
        <w:rPr>
          <w:rFonts w:hint="eastAsia" w:ascii="宋体" w:hAnsi="宋体" w:cs="宋体"/>
          <w:color w:val="auto"/>
          <w:sz w:val="21"/>
          <w:szCs w:val="21"/>
          <w:highlight w:val="none"/>
        </w:rPr>
        <w:t>申请人的资格要求：</w:t>
      </w:r>
    </w:p>
    <w:p w14:paraId="01A2F6D2">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申请人的资格要求详见“投标人须知前附表”。</w:t>
      </w:r>
    </w:p>
    <w:p w14:paraId="1AF5559C">
      <w:pPr>
        <w:pStyle w:val="4"/>
        <w:keepNext w:val="0"/>
        <w:keepLines w:val="0"/>
        <w:spacing w:before="0" w:after="0" w:line="400" w:lineRule="exact"/>
        <w:ind w:firstLine="422" w:firstLineChars="200"/>
        <w:jc w:val="left"/>
        <w:rPr>
          <w:rFonts w:ascii="宋体" w:hAnsi="宋体" w:cs="宋体"/>
          <w:color w:val="auto"/>
          <w:sz w:val="21"/>
          <w:szCs w:val="21"/>
          <w:highlight w:val="none"/>
        </w:rPr>
      </w:pPr>
      <w:bookmarkStart w:id="89" w:name="_Toc254970671"/>
      <w:bookmarkStart w:id="90" w:name="_Toc254970530"/>
      <w:r>
        <w:rPr>
          <w:rFonts w:hint="eastAsia" w:ascii="宋体" w:hAnsi="宋体" w:cs="宋体"/>
          <w:color w:val="auto"/>
          <w:sz w:val="21"/>
          <w:szCs w:val="21"/>
          <w:highlight w:val="none"/>
        </w:rPr>
        <w:t>4.投标委托</w:t>
      </w:r>
      <w:bookmarkEnd w:id="89"/>
      <w:bookmarkEnd w:id="90"/>
    </w:p>
    <w:p w14:paraId="6E88E779">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269CA01A">
      <w:pPr>
        <w:pStyle w:val="4"/>
        <w:keepNext w:val="0"/>
        <w:keepLines w:val="0"/>
        <w:spacing w:before="0" w:after="0" w:line="400" w:lineRule="exact"/>
        <w:ind w:firstLine="422" w:firstLineChars="200"/>
        <w:jc w:val="left"/>
        <w:rPr>
          <w:rFonts w:ascii="宋体" w:hAnsi="宋体" w:cs="宋体"/>
          <w:color w:val="auto"/>
          <w:sz w:val="21"/>
          <w:szCs w:val="21"/>
          <w:highlight w:val="none"/>
        </w:rPr>
      </w:pPr>
      <w:bookmarkStart w:id="91" w:name="_5.投标费用"/>
      <w:bookmarkEnd w:id="91"/>
      <w:bookmarkStart w:id="92" w:name="_Toc254970531"/>
      <w:bookmarkStart w:id="93" w:name="_Toc254970672"/>
      <w:r>
        <w:rPr>
          <w:rFonts w:hint="eastAsia" w:ascii="宋体" w:hAnsi="宋体" w:cs="宋体"/>
          <w:color w:val="auto"/>
          <w:sz w:val="21"/>
          <w:szCs w:val="21"/>
          <w:highlight w:val="none"/>
        </w:rPr>
        <w:t>5.投标费用</w:t>
      </w:r>
      <w:bookmarkEnd w:id="92"/>
      <w:bookmarkEnd w:id="93"/>
    </w:p>
    <w:p w14:paraId="625EBF94">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E085BAF">
      <w:pPr>
        <w:pStyle w:val="4"/>
        <w:keepNext w:val="0"/>
        <w:keepLines w:val="0"/>
        <w:spacing w:before="0" w:after="0" w:line="4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6.联合体投标</w:t>
      </w:r>
    </w:p>
    <w:p w14:paraId="5A816F41">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14589666">
      <w:pPr>
        <w:snapToGrid w:val="0"/>
        <w:spacing w:line="4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242FA8CC">
      <w:pPr>
        <w:pStyle w:val="4"/>
        <w:keepNext w:val="0"/>
        <w:keepLines w:val="0"/>
        <w:spacing w:before="0" w:after="0" w:line="400" w:lineRule="exact"/>
        <w:ind w:firstLine="420" w:firstLineChars="200"/>
        <w:jc w:val="left"/>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 xml:space="preserve">6.3 </w:t>
      </w:r>
      <w:bookmarkStart w:id="94" w:name="_Hlk65857072"/>
      <w:r>
        <w:rPr>
          <w:rFonts w:hint="eastAsia" w:ascii="宋体" w:hAnsi="宋体" w:cs="宋体"/>
          <w:b w:val="0"/>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cs="宋体"/>
          <w:b w:val="0"/>
          <w:bCs/>
          <w:color w:val="auto"/>
          <w:sz w:val="21"/>
          <w:szCs w:val="21"/>
          <w:highlight w:val="none"/>
          <w:lang w:val="en-US" w:eastAsia="zh-CN"/>
        </w:rPr>
        <w:t>4</w:t>
      </w:r>
      <w:r>
        <w:rPr>
          <w:rFonts w:hint="eastAsia" w:ascii="宋体" w:hAnsi="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6</w:t>
      </w:r>
      <w:r>
        <w:rPr>
          <w:rFonts w:hint="eastAsia" w:ascii="宋体" w:hAnsi="宋体" w:cs="宋体"/>
          <w:b w:val="0"/>
          <w:bCs/>
          <w:color w:val="auto"/>
          <w:sz w:val="21"/>
          <w:szCs w:val="21"/>
          <w:highlight w:val="none"/>
        </w:rPr>
        <w:t>%的扣除，用扣除后的价格参加评审。</w:t>
      </w:r>
      <w:bookmarkEnd w:id="94"/>
    </w:p>
    <w:p w14:paraId="5143F28B">
      <w:pPr>
        <w:pStyle w:val="4"/>
        <w:keepNext w:val="0"/>
        <w:keepLines w:val="0"/>
        <w:spacing w:before="0" w:after="0" w:line="4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7.转包与分包</w:t>
      </w:r>
    </w:p>
    <w:p w14:paraId="7326BFA9">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47D64915">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23DD66A">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6772C7CD">
      <w:pPr>
        <w:pStyle w:val="4"/>
        <w:keepNext w:val="0"/>
        <w:keepLines w:val="0"/>
        <w:spacing w:before="0" w:after="0" w:line="400" w:lineRule="exact"/>
        <w:ind w:firstLine="422" w:firstLineChars="200"/>
        <w:jc w:val="left"/>
        <w:rPr>
          <w:rFonts w:ascii="宋体" w:hAnsi="宋体" w:cs="宋体"/>
          <w:color w:val="auto"/>
          <w:sz w:val="21"/>
          <w:szCs w:val="21"/>
          <w:highlight w:val="none"/>
        </w:rPr>
      </w:pPr>
      <w:bookmarkStart w:id="95" w:name="_Toc254970673"/>
      <w:bookmarkStart w:id="96" w:name="_Toc254970532"/>
      <w:r>
        <w:rPr>
          <w:rFonts w:hint="eastAsia" w:ascii="宋体" w:hAnsi="宋体" w:cs="宋体"/>
          <w:color w:val="auto"/>
          <w:sz w:val="21"/>
          <w:szCs w:val="21"/>
          <w:highlight w:val="none"/>
        </w:rPr>
        <w:t>8.特别说明</w:t>
      </w:r>
      <w:bookmarkEnd w:id="95"/>
      <w:bookmarkEnd w:id="96"/>
    </w:p>
    <w:p w14:paraId="3846E31C">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bookmarkStart w:id="97" w:name="_8.1提供相同品牌产品且通过资格审查、符合性审查的不同投标人参加同一合"/>
      <w:bookmarkEnd w:id="97"/>
      <w:r>
        <w:rPr>
          <w:rFonts w:hint="eastAsia" w:ascii="宋体" w:hAnsi="宋体" w:cs="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w:t>
      </w:r>
    </w:p>
    <w:p w14:paraId="7AE1414A">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8.2投标人应仔细阅读招标文件的所有内容，按照招标文件的要求提交投标文件，并对所提供的全部资料的真实性承担法律责任。</w:t>
      </w:r>
    </w:p>
    <w:p w14:paraId="74D1C455">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7B021C5A">
      <w:pPr>
        <w:pStyle w:val="4"/>
        <w:keepNext w:val="0"/>
        <w:keepLines w:val="0"/>
        <w:spacing w:before="0" w:after="0" w:line="40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9.回避与串通投标</w:t>
      </w:r>
    </w:p>
    <w:p w14:paraId="5B9B7EFF">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9.1在政府采购活动中，采购人员及相关人员与</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有下列利害关系之一的，应当回避：</w:t>
      </w:r>
    </w:p>
    <w:p w14:paraId="26F63D95">
      <w:pPr>
        <w:pStyle w:val="11"/>
        <w:snapToGrid w:val="0"/>
        <w:spacing w:line="40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（1）参加采购活动前3年内与</w:t>
      </w:r>
      <w:r>
        <w:rPr>
          <w:rFonts w:hint="eastAsia" w:hAnsi="宋体" w:cs="宋体"/>
          <w:color w:val="auto"/>
          <w:kern w:val="2"/>
          <w:sz w:val="21"/>
          <w:highlight w:val="none"/>
          <w:lang w:eastAsia="zh-CN"/>
        </w:rPr>
        <w:t>投标人</w:t>
      </w:r>
      <w:r>
        <w:rPr>
          <w:rFonts w:hint="eastAsia" w:hAnsi="宋体" w:cs="宋体"/>
          <w:color w:val="auto"/>
          <w:kern w:val="2"/>
          <w:sz w:val="21"/>
          <w:highlight w:val="none"/>
        </w:rPr>
        <w:t>存在劳动关系；</w:t>
      </w:r>
    </w:p>
    <w:p w14:paraId="0C77F0C4">
      <w:pPr>
        <w:pStyle w:val="11"/>
        <w:snapToGrid w:val="0"/>
        <w:spacing w:line="40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（2）参加采购活动前3年内担任</w:t>
      </w:r>
      <w:r>
        <w:rPr>
          <w:rFonts w:hint="eastAsia" w:hAnsi="宋体" w:cs="宋体"/>
          <w:color w:val="auto"/>
          <w:kern w:val="2"/>
          <w:sz w:val="21"/>
          <w:highlight w:val="none"/>
          <w:lang w:eastAsia="zh-CN"/>
        </w:rPr>
        <w:t>投标人</w:t>
      </w:r>
      <w:r>
        <w:rPr>
          <w:rFonts w:hint="eastAsia" w:hAnsi="宋体" w:cs="宋体"/>
          <w:color w:val="auto"/>
          <w:kern w:val="2"/>
          <w:sz w:val="21"/>
          <w:highlight w:val="none"/>
        </w:rPr>
        <w:t>的董事、监事；</w:t>
      </w:r>
    </w:p>
    <w:p w14:paraId="09A737C3">
      <w:pPr>
        <w:pStyle w:val="11"/>
        <w:snapToGrid w:val="0"/>
        <w:spacing w:line="40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（3）参加采购活动前3年内是</w:t>
      </w:r>
      <w:r>
        <w:rPr>
          <w:rFonts w:hint="eastAsia" w:hAnsi="宋体" w:cs="宋体"/>
          <w:color w:val="auto"/>
          <w:kern w:val="2"/>
          <w:sz w:val="21"/>
          <w:highlight w:val="none"/>
          <w:lang w:eastAsia="zh-CN"/>
        </w:rPr>
        <w:t>投标人</w:t>
      </w:r>
      <w:r>
        <w:rPr>
          <w:rFonts w:hint="eastAsia" w:hAnsi="宋体" w:cs="宋体"/>
          <w:color w:val="auto"/>
          <w:kern w:val="2"/>
          <w:sz w:val="21"/>
          <w:highlight w:val="none"/>
        </w:rPr>
        <w:t>的控股股东或者实际控制人；</w:t>
      </w:r>
    </w:p>
    <w:p w14:paraId="70376E19">
      <w:pPr>
        <w:pStyle w:val="11"/>
        <w:snapToGrid w:val="0"/>
        <w:spacing w:line="40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（4）与</w:t>
      </w:r>
      <w:r>
        <w:rPr>
          <w:rFonts w:hint="eastAsia" w:hAnsi="宋体" w:cs="宋体"/>
          <w:color w:val="auto"/>
          <w:kern w:val="2"/>
          <w:sz w:val="21"/>
          <w:highlight w:val="none"/>
          <w:lang w:eastAsia="zh-CN"/>
        </w:rPr>
        <w:t>投标人</w:t>
      </w:r>
      <w:r>
        <w:rPr>
          <w:rFonts w:hint="eastAsia" w:hAnsi="宋体" w:cs="宋体"/>
          <w:color w:val="auto"/>
          <w:kern w:val="2"/>
          <w:sz w:val="21"/>
          <w:highlight w:val="none"/>
        </w:rPr>
        <w:t>的法定代表人或者负责人有夫妻、直系血亲、三代以内旁系血亲或者近姻亲关系；</w:t>
      </w:r>
    </w:p>
    <w:p w14:paraId="72E3E453">
      <w:pPr>
        <w:pStyle w:val="11"/>
        <w:snapToGrid w:val="0"/>
        <w:spacing w:line="40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（5）与</w:t>
      </w:r>
      <w:r>
        <w:rPr>
          <w:rFonts w:hint="eastAsia" w:hAnsi="宋体" w:cs="宋体"/>
          <w:color w:val="auto"/>
          <w:kern w:val="2"/>
          <w:sz w:val="21"/>
          <w:highlight w:val="none"/>
          <w:lang w:eastAsia="zh-CN"/>
        </w:rPr>
        <w:t>投标人</w:t>
      </w:r>
      <w:r>
        <w:rPr>
          <w:rFonts w:hint="eastAsia" w:hAnsi="宋体" w:cs="宋体"/>
          <w:color w:val="auto"/>
          <w:kern w:val="2"/>
          <w:sz w:val="21"/>
          <w:highlight w:val="none"/>
        </w:rPr>
        <w:t>有其他可能影响政府采购活动公平、公正进行的关系。</w:t>
      </w:r>
    </w:p>
    <w:p w14:paraId="53AC66AE">
      <w:pPr>
        <w:pStyle w:val="11"/>
        <w:snapToGrid w:val="0"/>
        <w:spacing w:line="40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lang w:eastAsia="zh-CN"/>
        </w:rPr>
        <w:t>投标人</w:t>
      </w:r>
      <w:r>
        <w:rPr>
          <w:rFonts w:hint="eastAsia" w:hAnsi="宋体" w:cs="宋体"/>
          <w:color w:val="auto"/>
          <w:kern w:val="2"/>
          <w:sz w:val="21"/>
          <w:highlight w:val="none"/>
        </w:rPr>
        <w:t>认为采购人员及相关人员与其他</w:t>
      </w:r>
      <w:r>
        <w:rPr>
          <w:rFonts w:hint="eastAsia" w:hAnsi="宋体" w:cs="宋体"/>
          <w:color w:val="auto"/>
          <w:kern w:val="2"/>
          <w:sz w:val="21"/>
          <w:highlight w:val="none"/>
          <w:lang w:eastAsia="zh-CN"/>
        </w:rPr>
        <w:t>投标人</w:t>
      </w:r>
      <w:r>
        <w:rPr>
          <w:rFonts w:hint="eastAsia" w:hAnsi="宋体" w:cs="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4F548902">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9.2有下列情形之一的视为投标人相互串通投标，投标文件将被视为无效：</w:t>
      </w:r>
    </w:p>
    <w:p w14:paraId="38997714">
      <w:pPr>
        <w:pStyle w:val="11"/>
        <w:snapToGrid w:val="0"/>
        <w:spacing w:line="40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（1）不同投标人的投标文件由同一单位或者个人编制；或者不同投标人报名的IP地址一致的；或者编制标书硬件设备CPU编号、硬盘编号、网卡地址一致的情况；</w:t>
      </w:r>
    </w:p>
    <w:p w14:paraId="0AA932E2">
      <w:pPr>
        <w:pStyle w:val="11"/>
        <w:snapToGrid w:val="0"/>
        <w:spacing w:line="40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（2）不同投标人委托同一单位或者个人办理投标事宜；</w:t>
      </w:r>
    </w:p>
    <w:p w14:paraId="570F9518">
      <w:pPr>
        <w:pStyle w:val="11"/>
        <w:snapToGrid w:val="0"/>
        <w:spacing w:line="40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（3）不同的投标人的投标文件载明的项目管理员为同一个人；</w:t>
      </w:r>
    </w:p>
    <w:p w14:paraId="0A11D05C">
      <w:pPr>
        <w:pStyle w:val="11"/>
        <w:snapToGrid w:val="0"/>
        <w:spacing w:line="40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（4）不同投标人的投标文件异常一致或者投标报价呈规律性差异；</w:t>
      </w:r>
    </w:p>
    <w:p w14:paraId="4A0D18A6">
      <w:pPr>
        <w:pStyle w:val="11"/>
        <w:snapToGrid w:val="0"/>
        <w:spacing w:line="40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（5）不同投标人的投标文件相互混装；</w:t>
      </w:r>
    </w:p>
    <w:p w14:paraId="4287AFFF">
      <w:pPr>
        <w:pStyle w:val="11"/>
        <w:snapToGrid w:val="0"/>
        <w:spacing w:line="40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（6）不同投标人的投标保证金从同一单位或者个人账户转出。</w:t>
      </w:r>
    </w:p>
    <w:p w14:paraId="31CA7576">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9.3</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有下列情形之一的，属于恶意串通行为，将报同级监督管理部门：</w:t>
      </w:r>
    </w:p>
    <w:p w14:paraId="71EA4828">
      <w:pPr>
        <w:pStyle w:val="11"/>
        <w:snapToGrid w:val="0"/>
        <w:spacing w:line="44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（1）</w:t>
      </w:r>
      <w:r>
        <w:rPr>
          <w:rFonts w:hint="eastAsia" w:hAnsi="宋体" w:cs="宋体"/>
          <w:color w:val="auto"/>
          <w:kern w:val="2"/>
          <w:sz w:val="21"/>
          <w:highlight w:val="none"/>
          <w:lang w:eastAsia="zh-CN"/>
        </w:rPr>
        <w:t>投标人</w:t>
      </w:r>
      <w:r>
        <w:rPr>
          <w:rFonts w:hint="eastAsia" w:hAnsi="宋体" w:cs="宋体"/>
          <w:color w:val="auto"/>
          <w:kern w:val="2"/>
          <w:sz w:val="21"/>
          <w:highlight w:val="none"/>
        </w:rPr>
        <w:t>直接或者间接从采购人或者采购代理机构处获得其他</w:t>
      </w:r>
      <w:r>
        <w:rPr>
          <w:rFonts w:hint="eastAsia" w:hAnsi="宋体" w:cs="宋体"/>
          <w:color w:val="auto"/>
          <w:kern w:val="2"/>
          <w:sz w:val="21"/>
          <w:highlight w:val="none"/>
          <w:lang w:eastAsia="zh-CN"/>
        </w:rPr>
        <w:t>投标人</w:t>
      </w:r>
      <w:r>
        <w:rPr>
          <w:rFonts w:hint="eastAsia" w:hAnsi="宋体" w:cs="宋体"/>
          <w:color w:val="auto"/>
          <w:kern w:val="2"/>
          <w:sz w:val="21"/>
          <w:highlight w:val="none"/>
        </w:rPr>
        <w:t>的相关信息并修改其投标文件或者</w:t>
      </w:r>
      <w:r>
        <w:rPr>
          <w:rFonts w:hint="eastAsia" w:hAnsi="宋体" w:cs="宋体"/>
          <w:color w:val="auto"/>
          <w:kern w:val="2"/>
          <w:sz w:val="21"/>
          <w:highlight w:val="none"/>
          <w:lang w:eastAsia="zh-CN"/>
        </w:rPr>
        <w:t>投标文件</w:t>
      </w:r>
      <w:r>
        <w:rPr>
          <w:rFonts w:hint="eastAsia" w:hAnsi="宋体" w:cs="宋体"/>
          <w:color w:val="auto"/>
          <w:kern w:val="2"/>
          <w:sz w:val="21"/>
          <w:highlight w:val="none"/>
        </w:rPr>
        <w:t>；</w:t>
      </w:r>
    </w:p>
    <w:p w14:paraId="79D26641">
      <w:pPr>
        <w:pStyle w:val="11"/>
        <w:snapToGrid w:val="0"/>
        <w:spacing w:line="44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（2）</w:t>
      </w:r>
      <w:r>
        <w:rPr>
          <w:rFonts w:hint="eastAsia" w:hAnsi="宋体" w:cs="宋体"/>
          <w:color w:val="auto"/>
          <w:kern w:val="2"/>
          <w:sz w:val="21"/>
          <w:highlight w:val="none"/>
          <w:lang w:eastAsia="zh-CN"/>
        </w:rPr>
        <w:t>投标人</w:t>
      </w:r>
      <w:r>
        <w:rPr>
          <w:rFonts w:hint="eastAsia" w:hAnsi="宋体" w:cs="宋体"/>
          <w:color w:val="auto"/>
          <w:kern w:val="2"/>
          <w:sz w:val="21"/>
          <w:highlight w:val="none"/>
        </w:rPr>
        <w:t>按照采购人或者采购代理机构的授意撤换、修改投标文件或者</w:t>
      </w:r>
      <w:r>
        <w:rPr>
          <w:rFonts w:hint="eastAsia" w:hAnsi="宋体" w:cs="宋体"/>
          <w:color w:val="auto"/>
          <w:kern w:val="2"/>
          <w:sz w:val="21"/>
          <w:highlight w:val="none"/>
          <w:lang w:eastAsia="zh-CN"/>
        </w:rPr>
        <w:t>投标文件</w:t>
      </w:r>
      <w:r>
        <w:rPr>
          <w:rFonts w:hint="eastAsia" w:hAnsi="宋体" w:cs="宋体"/>
          <w:color w:val="auto"/>
          <w:kern w:val="2"/>
          <w:sz w:val="21"/>
          <w:highlight w:val="none"/>
        </w:rPr>
        <w:t>；</w:t>
      </w:r>
    </w:p>
    <w:p w14:paraId="7A9A3355">
      <w:pPr>
        <w:pStyle w:val="11"/>
        <w:snapToGrid w:val="0"/>
        <w:spacing w:line="44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（3）</w:t>
      </w:r>
      <w:r>
        <w:rPr>
          <w:rFonts w:hint="eastAsia" w:hAnsi="宋体" w:cs="宋体"/>
          <w:color w:val="auto"/>
          <w:kern w:val="2"/>
          <w:sz w:val="21"/>
          <w:highlight w:val="none"/>
          <w:lang w:eastAsia="zh-CN"/>
        </w:rPr>
        <w:t>投标人</w:t>
      </w:r>
      <w:r>
        <w:rPr>
          <w:rFonts w:hint="eastAsia" w:hAnsi="宋体" w:cs="宋体"/>
          <w:color w:val="auto"/>
          <w:kern w:val="2"/>
          <w:sz w:val="21"/>
          <w:highlight w:val="none"/>
        </w:rPr>
        <w:t>之间协商报价、技术方案等投标文件或者</w:t>
      </w:r>
      <w:r>
        <w:rPr>
          <w:rFonts w:hint="eastAsia" w:hAnsi="宋体" w:cs="宋体"/>
          <w:color w:val="auto"/>
          <w:kern w:val="2"/>
          <w:sz w:val="21"/>
          <w:highlight w:val="none"/>
          <w:lang w:eastAsia="zh-CN"/>
        </w:rPr>
        <w:t>投标文件</w:t>
      </w:r>
      <w:r>
        <w:rPr>
          <w:rFonts w:hint="eastAsia" w:hAnsi="宋体" w:cs="宋体"/>
          <w:color w:val="auto"/>
          <w:kern w:val="2"/>
          <w:sz w:val="21"/>
          <w:highlight w:val="none"/>
        </w:rPr>
        <w:t>的实质性内容；</w:t>
      </w:r>
    </w:p>
    <w:p w14:paraId="2E7CB25E">
      <w:pPr>
        <w:pStyle w:val="11"/>
        <w:snapToGrid w:val="0"/>
        <w:spacing w:line="44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（4）属于同一集团、协会、商会等组织成员的</w:t>
      </w:r>
      <w:r>
        <w:rPr>
          <w:rFonts w:hint="eastAsia" w:hAnsi="宋体" w:cs="宋体"/>
          <w:color w:val="auto"/>
          <w:kern w:val="2"/>
          <w:sz w:val="21"/>
          <w:highlight w:val="none"/>
          <w:lang w:eastAsia="zh-CN"/>
        </w:rPr>
        <w:t>投标人</w:t>
      </w:r>
      <w:r>
        <w:rPr>
          <w:rFonts w:hint="eastAsia" w:hAnsi="宋体" w:cs="宋体"/>
          <w:color w:val="auto"/>
          <w:kern w:val="2"/>
          <w:sz w:val="21"/>
          <w:highlight w:val="none"/>
        </w:rPr>
        <w:t>按照该组织要求协同参加政府采购活动；</w:t>
      </w:r>
    </w:p>
    <w:p w14:paraId="4665500A">
      <w:pPr>
        <w:pStyle w:val="11"/>
        <w:snapToGrid w:val="0"/>
        <w:spacing w:line="44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（5）</w:t>
      </w:r>
      <w:r>
        <w:rPr>
          <w:rFonts w:hint="eastAsia" w:hAnsi="宋体" w:cs="宋体"/>
          <w:color w:val="auto"/>
          <w:kern w:val="2"/>
          <w:sz w:val="21"/>
          <w:highlight w:val="none"/>
          <w:lang w:eastAsia="zh-CN"/>
        </w:rPr>
        <w:t>投标人</w:t>
      </w:r>
      <w:r>
        <w:rPr>
          <w:rFonts w:hint="eastAsia" w:hAnsi="宋体" w:cs="宋体"/>
          <w:color w:val="auto"/>
          <w:kern w:val="2"/>
          <w:sz w:val="21"/>
          <w:highlight w:val="none"/>
        </w:rPr>
        <w:t>之间事先约定一致抬高或者压低投标报价，或者在招标项目中事先约定轮流以高价位或者低价位中标，或者事先约定由某一特定</w:t>
      </w:r>
      <w:r>
        <w:rPr>
          <w:rFonts w:hint="eastAsia" w:hAnsi="宋体" w:cs="宋体"/>
          <w:color w:val="auto"/>
          <w:kern w:val="2"/>
          <w:sz w:val="21"/>
          <w:highlight w:val="none"/>
          <w:lang w:eastAsia="zh-CN"/>
        </w:rPr>
        <w:t>投标人</w:t>
      </w:r>
      <w:r>
        <w:rPr>
          <w:rFonts w:hint="eastAsia" w:hAnsi="宋体" w:cs="宋体"/>
          <w:color w:val="auto"/>
          <w:kern w:val="2"/>
          <w:sz w:val="21"/>
          <w:highlight w:val="none"/>
        </w:rPr>
        <w:t>中标，然后再参加投标；</w:t>
      </w:r>
    </w:p>
    <w:p w14:paraId="1C26E914">
      <w:pPr>
        <w:pStyle w:val="11"/>
        <w:snapToGrid w:val="0"/>
        <w:spacing w:line="44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（6）</w:t>
      </w:r>
      <w:r>
        <w:rPr>
          <w:rFonts w:hint="eastAsia" w:hAnsi="宋体" w:cs="宋体"/>
          <w:color w:val="auto"/>
          <w:kern w:val="2"/>
          <w:sz w:val="21"/>
          <w:highlight w:val="none"/>
          <w:lang w:eastAsia="zh-CN"/>
        </w:rPr>
        <w:t>投标人</w:t>
      </w:r>
      <w:r>
        <w:rPr>
          <w:rFonts w:hint="eastAsia" w:hAnsi="宋体" w:cs="宋体"/>
          <w:color w:val="auto"/>
          <w:kern w:val="2"/>
          <w:sz w:val="21"/>
          <w:highlight w:val="none"/>
        </w:rPr>
        <w:t>之间商定部分</w:t>
      </w:r>
      <w:r>
        <w:rPr>
          <w:rFonts w:hint="eastAsia" w:hAnsi="宋体" w:cs="宋体"/>
          <w:color w:val="auto"/>
          <w:kern w:val="2"/>
          <w:sz w:val="21"/>
          <w:highlight w:val="none"/>
          <w:lang w:eastAsia="zh-CN"/>
        </w:rPr>
        <w:t>投标人</w:t>
      </w:r>
      <w:r>
        <w:rPr>
          <w:rFonts w:hint="eastAsia" w:hAnsi="宋体" w:cs="宋体"/>
          <w:color w:val="auto"/>
          <w:kern w:val="2"/>
          <w:sz w:val="21"/>
          <w:highlight w:val="none"/>
        </w:rPr>
        <w:t>放弃参加政府采购活动或者放弃中标；</w:t>
      </w:r>
    </w:p>
    <w:p w14:paraId="2AD6FE54">
      <w:pPr>
        <w:pStyle w:val="11"/>
        <w:snapToGrid w:val="0"/>
        <w:spacing w:line="44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（7）</w:t>
      </w:r>
      <w:r>
        <w:rPr>
          <w:rFonts w:hint="eastAsia" w:hAnsi="宋体" w:cs="宋体"/>
          <w:color w:val="auto"/>
          <w:kern w:val="2"/>
          <w:sz w:val="21"/>
          <w:highlight w:val="none"/>
          <w:lang w:eastAsia="zh-CN"/>
        </w:rPr>
        <w:t>投标人</w:t>
      </w:r>
      <w:r>
        <w:rPr>
          <w:rFonts w:hint="eastAsia" w:hAnsi="宋体" w:cs="宋体"/>
          <w:color w:val="auto"/>
          <w:kern w:val="2"/>
          <w:sz w:val="21"/>
          <w:highlight w:val="none"/>
        </w:rPr>
        <w:t>与采购人或者采购代理机构之间、</w:t>
      </w:r>
      <w:r>
        <w:rPr>
          <w:rFonts w:hint="eastAsia" w:hAnsi="宋体" w:cs="宋体"/>
          <w:color w:val="auto"/>
          <w:kern w:val="2"/>
          <w:sz w:val="21"/>
          <w:highlight w:val="none"/>
          <w:lang w:eastAsia="zh-CN"/>
        </w:rPr>
        <w:t>投标人</w:t>
      </w:r>
      <w:r>
        <w:rPr>
          <w:rFonts w:hint="eastAsia" w:hAnsi="宋体" w:cs="宋体"/>
          <w:color w:val="auto"/>
          <w:kern w:val="2"/>
          <w:sz w:val="21"/>
          <w:highlight w:val="none"/>
        </w:rPr>
        <w:t>相互之间，为谋求特定</w:t>
      </w:r>
      <w:r>
        <w:rPr>
          <w:rFonts w:hint="eastAsia" w:hAnsi="宋体" w:cs="宋体"/>
          <w:color w:val="auto"/>
          <w:kern w:val="2"/>
          <w:sz w:val="21"/>
          <w:highlight w:val="none"/>
          <w:lang w:eastAsia="zh-CN"/>
        </w:rPr>
        <w:t>投标人</w:t>
      </w:r>
      <w:r>
        <w:rPr>
          <w:rFonts w:hint="eastAsia" w:hAnsi="宋体" w:cs="宋体"/>
          <w:color w:val="auto"/>
          <w:kern w:val="2"/>
          <w:sz w:val="21"/>
          <w:highlight w:val="none"/>
        </w:rPr>
        <w:t>中标或者排斥其他</w:t>
      </w:r>
      <w:r>
        <w:rPr>
          <w:rFonts w:hint="eastAsia" w:hAnsi="宋体" w:cs="宋体"/>
          <w:color w:val="auto"/>
          <w:kern w:val="2"/>
          <w:sz w:val="21"/>
          <w:highlight w:val="none"/>
          <w:lang w:eastAsia="zh-CN"/>
        </w:rPr>
        <w:t>投标人</w:t>
      </w:r>
      <w:r>
        <w:rPr>
          <w:rFonts w:hint="eastAsia" w:hAnsi="宋体" w:cs="宋体"/>
          <w:color w:val="auto"/>
          <w:kern w:val="2"/>
          <w:sz w:val="21"/>
          <w:highlight w:val="none"/>
        </w:rPr>
        <w:t>的其他串通行为。</w:t>
      </w:r>
    </w:p>
    <w:p w14:paraId="20543B84">
      <w:pPr>
        <w:spacing w:before="120" w:beforeLines="50" w:line="360" w:lineRule="auto"/>
        <w:jc w:val="center"/>
        <w:rPr>
          <w:rFonts w:ascii="宋体" w:hAnsi="宋体"/>
          <w:b/>
          <w:color w:val="auto"/>
          <w:sz w:val="24"/>
          <w:szCs w:val="32"/>
          <w:highlight w:val="none"/>
        </w:rPr>
      </w:pPr>
      <w:bookmarkStart w:id="98" w:name="_Toc254970675"/>
      <w:bookmarkStart w:id="99" w:name="_Toc254970534"/>
      <w:r>
        <w:rPr>
          <w:rFonts w:hint="eastAsia" w:ascii="宋体" w:hAnsi="宋体"/>
          <w:b/>
          <w:color w:val="auto"/>
          <w:sz w:val="24"/>
          <w:szCs w:val="32"/>
          <w:highlight w:val="none"/>
        </w:rPr>
        <w:t>二、招标文件</w:t>
      </w:r>
      <w:bookmarkEnd w:id="98"/>
      <w:bookmarkEnd w:id="99"/>
    </w:p>
    <w:p w14:paraId="77BAC9A2">
      <w:pPr>
        <w:pStyle w:val="4"/>
        <w:keepNext w:val="0"/>
        <w:keepLines w:val="0"/>
        <w:spacing w:before="0" w:after="0" w:line="440" w:lineRule="exact"/>
        <w:ind w:firstLine="200"/>
        <w:jc w:val="left"/>
        <w:rPr>
          <w:rFonts w:ascii="宋体" w:hAnsi="宋体" w:cs="宋体"/>
          <w:color w:val="auto"/>
          <w:sz w:val="21"/>
          <w:szCs w:val="21"/>
          <w:highlight w:val="none"/>
        </w:rPr>
      </w:pPr>
      <w:r>
        <w:rPr>
          <w:rFonts w:hint="eastAsia" w:ascii="宋体" w:hAnsi="宋体" w:cs="宋体"/>
          <w:color w:val="auto"/>
          <w:sz w:val="21"/>
          <w:szCs w:val="21"/>
          <w:highlight w:val="none"/>
        </w:rPr>
        <w:t>10.招标文件的组成</w:t>
      </w:r>
    </w:p>
    <w:p w14:paraId="08A8466B">
      <w:pPr>
        <w:snapToGrid w:val="0"/>
        <w:spacing w:line="440" w:lineRule="exact"/>
        <w:ind w:firstLine="200"/>
        <w:jc w:val="left"/>
        <w:rPr>
          <w:rFonts w:ascii="宋体" w:hAnsi="宋体" w:cs="宋体"/>
          <w:color w:val="auto"/>
          <w:szCs w:val="21"/>
          <w:highlight w:val="none"/>
        </w:rPr>
      </w:pPr>
      <w:r>
        <w:rPr>
          <w:rFonts w:hint="eastAsia" w:ascii="宋体" w:hAnsi="宋体" w:cs="宋体"/>
          <w:color w:val="auto"/>
          <w:szCs w:val="21"/>
          <w:highlight w:val="none"/>
        </w:rPr>
        <w:t>（1）招标公告；</w:t>
      </w:r>
    </w:p>
    <w:p w14:paraId="1DD43B58">
      <w:pPr>
        <w:snapToGrid w:val="0"/>
        <w:spacing w:line="440" w:lineRule="exact"/>
        <w:ind w:firstLine="200"/>
        <w:jc w:val="left"/>
        <w:rPr>
          <w:rFonts w:ascii="宋体" w:hAnsi="宋体" w:cs="宋体"/>
          <w:color w:val="auto"/>
          <w:szCs w:val="21"/>
          <w:highlight w:val="none"/>
        </w:rPr>
      </w:pPr>
      <w:r>
        <w:rPr>
          <w:rFonts w:hint="eastAsia" w:ascii="宋体" w:hAnsi="宋体" w:cs="宋体"/>
          <w:color w:val="auto"/>
          <w:szCs w:val="21"/>
          <w:highlight w:val="none"/>
        </w:rPr>
        <w:t>（2）采购需求；</w:t>
      </w:r>
    </w:p>
    <w:p w14:paraId="5471479C">
      <w:pPr>
        <w:snapToGrid w:val="0"/>
        <w:spacing w:line="440" w:lineRule="exact"/>
        <w:ind w:firstLine="20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388308E1">
      <w:pPr>
        <w:snapToGrid w:val="0"/>
        <w:spacing w:line="440" w:lineRule="exact"/>
        <w:ind w:firstLine="20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4473563F">
      <w:pPr>
        <w:snapToGrid w:val="0"/>
        <w:spacing w:line="440" w:lineRule="exact"/>
        <w:ind w:firstLine="20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77AF76E6">
      <w:pPr>
        <w:snapToGrid w:val="0"/>
        <w:spacing w:line="440" w:lineRule="exact"/>
        <w:ind w:firstLine="20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49E638A9">
      <w:pPr>
        <w:pStyle w:val="4"/>
        <w:keepNext w:val="0"/>
        <w:keepLines w:val="0"/>
        <w:spacing w:before="0" w:after="0" w:line="440" w:lineRule="exact"/>
        <w:ind w:firstLine="200"/>
        <w:jc w:val="left"/>
        <w:rPr>
          <w:rFonts w:ascii="宋体" w:hAnsi="宋体" w:cs="宋体"/>
          <w:color w:val="auto"/>
          <w:sz w:val="21"/>
          <w:szCs w:val="21"/>
          <w:highlight w:val="none"/>
        </w:rPr>
      </w:pPr>
      <w:r>
        <w:rPr>
          <w:rFonts w:hint="eastAsia" w:ascii="宋体" w:hAnsi="宋体" w:cs="宋体"/>
          <w:color w:val="auto"/>
          <w:sz w:val="21"/>
          <w:szCs w:val="21"/>
          <w:highlight w:val="none"/>
        </w:rPr>
        <w:t>11.招标文件的澄清、修改、现场考察和答疑会</w:t>
      </w:r>
    </w:p>
    <w:p w14:paraId="1F95C788">
      <w:pPr>
        <w:pStyle w:val="4"/>
        <w:keepNext w:val="0"/>
        <w:keepLines w:val="0"/>
        <w:spacing w:before="0" w:after="0" w:line="440" w:lineRule="exact"/>
        <w:ind w:firstLine="315" w:firstLineChars="15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6CA2331">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15FCA0E">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11.2</w:t>
      </w:r>
      <w:bookmarkStart w:id="100" w:name="_Hlk53134511"/>
      <w:r>
        <w:rPr>
          <w:rFonts w:hint="eastAsia" w:hAnsi="宋体" w:cs="宋体"/>
          <w:color w:val="auto"/>
          <w:sz w:val="21"/>
          <w:highlight w:val="none"/>
        </w:rPr>
        <w:t>采购人或者采购代理机构可以在招标文件提供期限截止后，组织已获取招标文件的潜在投标人现场考察或者召开开标前答疑会，具体详见“投标人须知前附表”。</w:t>
      </w:r>
      <w:bookmarkEnd w:id="100"/>
    </w:p>
    <w:p w14:paraId="1EE0B06D">
      <w:pPr>
        <w:spacing w:before="120" w:beforeLines="50" w:line="360" w:lineRule="auto"/>
        <w:jc w:val="center"/>
        <w:rPr>
          <w:rFonts w:ascii="宋体" w:hAnsi="宋体"/>
          <w:b/>
          <w:color w:val="auto"/>
          <w:sz w:val="24"/>
          <w:szCs w:val="32"/>
          <w:highlight w:val="none"/>
        </w:rPr>
      </w:pPr>
      <w:bookmarkStart w:id="101" w:name="_Toc254970535"/>
      <w:bookmarkStart w:id="102" w:name="_Toc254970676"/>
      <w:r>
        <w:rPr>
          <w:rFonts w:hint="eastAsia" w:ascii="宋体" w:hAnsi="宋体"/>
          <w:b/>
          <w:color w:val="auto"/>
          <w:sz w:val="24"/>
          <w:szCs w:val="32"/>
          <w:highlight w:val="none"/>
        </w:rPr>
        <w:t>三、投标文件的编制</w:t>
      </w:r>
      <w:bookmarkEnd w:id="101"/>
      <w:bookmarkEnd w:id="102"/>
    </w:p>
    <w:p w14:paraId="1B78B77D">
      <w:pPr>
        <w:pStyle w:val="4"/>
        <w:keepNext w:val="0"/>
        <w:keepLines w:val="0"/>
        <w:spacing w:before="0" w:after="0" w:line="440" w:lineRule="exact"/>
        <w:ind w:firstLine="422" w:firstLineChars="200"/>
        <w:jc w:val="left"/>
        <w:rPr>
          <w:rFonts w:ascii="宋体" w:hAnsi="宋体" w:cs="宋体"/>
          <w:color w:val="auto"/>
          <w:sz w:val="21"/>
          <w:szCs w:val="21"/>
          <w:highlight w:val="none"/>
        </w:rPr>
      </w:pPr>
      <w:bookmarkStart w:id="103" w:name="_Toc254970536"/>
      <w:bookmarkStart w:id="104" w:name="_Toc254970677"/>
      <w:r>
        <w:rPr>
          <w:rFonts w:hint="eastAsia" w:ascii="宋体" w:hAnsi="宋体" w:cs="宋体"/>
          <w:color w:val="auto"/>
          <w:sz w:val="21"/>
          <w:szCs w:val="21"/>
          <w:highlight w:val="none"/>
        </w:rPr>
        <w:t>12.投标文件的编制原则</w:t>
      </w:r>
    </w:p>
    <w:p w14:paraId="39868E7E">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4FFBB9A1">
      <w:pPr>
        <w:pStyle w:val="4"/>
        <w:keepNext w:val="0"/>
        <w:keepLines w:val="0"/>
        <w:spacing w:before="0" w:after="0" w:line="44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13.投标文件的组成</w:t>
      </w:r>
      <w:bookmarkEnd w:id="103"/>
      <w:bookmarkEnd w:id="104"/>
    </w:p>
    <w:p w14:paraId="61AB0082">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投标文件由报价文件、资格证明文件、商务文件、技术文件四部分组成。</w:t>
      </w:r>
    </w:p>
    <w:p w14:paraId="5B364762">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bookmarkStart w:id="105" w:name="_13.1报价文件:_具体材料见“投标人须知前附表”。"/>
      <w:bookmarkEnd w:id="105"/>
      <w:r>
        <w:rPr>
          <w:rFonts w:hint="eastAsia" w:ascii="宋体" w:hAnsi="宋体" w:cs="宋体"/>
          <w:b w:val="0"/>
          <w:color w:val="auto"/>
          <w:sz w:val="21"/>
          <w:szCs w:val="21"/>
          <w:highlight w:val="none"/>
        </w:rPr>
        <w:t>（1）报价文件：具体材料见“投标人须知前附表”。</w:t>
      </w:r>
    </w:p>
    <w:p w14:paraId="7E412FE2">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bookmarkStart w:id="106" w:name="_13.2资格证明文件：具体材料见“投标人须知前附表”。"/>
      <w:bookmarkEnd w:id="106"/>
      <w:r>
        <w:rPr>
          <w:rFonts w:hint="eastAsia" w:ascii="宋体" w:hAnsi="宋体" w:cs="宋体"/>
          <w:b w:val="0"/>
          <w:color w:val="auto"/>
          <w:sz w:val="21"/>
          <w:szCs w:val="21"/>
          <w:highlight w:val="none"/>
        </w:rPr>
        <w:t>（2）资格证明文件：具体材料见“投标人须知前附表”。</w:t>
      </w:r>
    </w:p>
    <w:p w14:paraId="2B800CF9">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bookmarkStart w:id="107" w:name="_13.3商务文件:_具体材料见“投标人须知前附表”。"/>
      <w:bookmarkEnd w:id="107"/>
      <w:r>
        <w:rPr>
          <w:rFonts w:hint="eastAsia" w:ascii="宋体" w:hAnsi="宋体" w:cs="宋体"/>
          <w:b w:val="0"/>
          <w:color w:val="auto"/>
          <w:sz w:val="21"/>
          <w:szCs w:val="21"/>
          <w:highlight w:val="none"/>
        </w:rPr>
        <w:t>（3）商务文件：具体材料见“投标人须知前附表”。</w:t>
      </w:r>
    </w:p>
    <w:p w14:paraId="1A8A5D6C">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bookmarkStart w:id="108" w:name="_13.4技术文件：具体材料见“投标人须知前附表”。"/>
      <w:bookmarkEnd w:id="108"/>
      <w:r>
        <w:rPr>
          <w:rFonts w:hint="eastAsia" w:ascii="宋体" w:hAnsi="宋体" w:cs="宋体"/>
          <w:b w:val="0"/>
          <w:color w:val="auto"/>
          <w:sz w:val="21"/>
          <w:szCs w:val="21"/>
          <w:highlight w:val="none"/>
        </w:rPr>
        <w:t>（4）技术文件：具体材料见“投标人须知前附表”。</w:t>
      </w:r>
    </w:p>
    <w:p w14:paraId="1A293EAA">
      <w:pPr>
        <w:pStyle w:val="4"/>
        <w:keepNext w:val="0"/>
        <w:keepLines w:val="0"/>
        <w:spacing w:before="0" w:after="0" w:line="440" w:lineRule="exact"/>
        <w:ind w:firstLine="422" w:firstLineChars="200"/>
        <w:jc w:val="left"/>
        <w:rPr>
          <w:rFonts w:ascii="宋体" w:hAnsi="宋体" w:cs="宋体"/>
          <w:color w:val="auto"/>
          <w:sz w:val="21"/>
          <w:szCs w:val="21"/>
          <w:highlight w:val="none"/>
        </w:rPr>
      </w:pPr>
      <w:bookmarkStart w:id="109" w:name="_13.5投标文件电子版：具体材料见“投标人须知前附表”。"/>
      <w:bookmarkEnd w:id="109"/>
      <w:bookmarkStart w:id="110" w:name="_Toc254970537"/>
      <w:bookmarkStart w:id="111" w:name="_Toc254970678"/>
      <w:r>
        <w:rPr>
          <w:rFonts w:hint="eastAsia" w:ascii="宋体" w:hAnsi="宋体" w:cs="宋体"/>
          <w:color w:val="auto"/>
          <w:sz w:val="21"/>
          <w:szCs w:val="21"/>
          <w:highlight w:val="none"/>
        </w:rPr>
        <w:t>14.投标文件的语言及计量</w:t>
      </w:r>
      <w:bookmarkEnd w:id="110"/>
      <w:bookmarkEnd w:id="111"/>
    </w:p>
    <w:p w14:paraId="62BA1F47">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14.1语言文字</w:t>
      </w:r>
    </w:p>
    <w:p w14:paraId="18496FAD">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CCFAA4A">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6B0F91BE">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color w:val="auto"/>
          <w:sz w:val="21"/>
          <w:szCs w:val="21"/>
          <w:highlight w:val="none"/>
        </w:rPr>
        <w:t>否则视同未响应。</w:t>
      </w:r>
    </w:p>
    <w:p w14:paraId="0A9D0352">
      <w:pPr>
        <w:pStyle w:val="4"/>
        <w:keepNext w:val="0"/>
        <w:keepLines w:val="0"/>
        <w:spacing w:before="0" w:after="0" w:line="44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15.投标的风险</w:t>
      </w:r>
    </w:p>
    <w:p w14:paraId="0E9818CD">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51CC552C">
      <w:pPr>
        <w:pStyle w:val="4"/>
        <w:keepNext w:val="0"/>
        <w:keepLines w:val="0"/>
        <w:spacing w:before="0" w:after="0" w:line="440" w:lineRule="exact"/>
        <w:ind w:firstLine="422" w:firstLineChars="200"/>
        <w:jc w:val="left"/>
        <w:rPr>
          <w:rFonts w:ascii="宋体" w:hAnsi="宋体" w:cs="宋体"/>
          <w:color w:val="auto"/>
          <w:sz w:val="21"/>
          <w:szCs w:val="21"/>
          <w:highlight w:val="none"/>
        </w:rPr>
      </w:pPr>
      <w:bookmarkStart w:id="112" w:name="_Toc254970538"/>
      <w:bookmarkStart w:id="113" w:name="_Toc254970679"/>
      <w:r>
        <w:rPr>
          <w:rFonts w:hint="eastAsia" w:ascii="宋体" w:hAnsi="宋体" w:cs="宋体"/>
          <w:color w:val="auto"/>
          <w:sz w:val="21"/>
          <w:szCs w:val="21"/>
          <w:highlight w:val="none"/>
        </w:rPr>
        <w:t>16.投标报价</w:t>
      </w:r>
      <w:bookmarkEnd w:id="112"/>
      <w:bookmarkEnd w:id="113"/>
    </w:p>
    <w:p w14:paraId="65725A0C">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16.1投标报价应按“第六章　投标文件格式”中“开标一览表”格式填写。</w:t>
      </w:r>
    </w:p>
    <w:p w14:paraId="326E109E">
      <w:pPr>
        <w:pStyle w:val="11"/>
        <w:snapToGrid w:val="0"/>
        <w:spacing w:line="440" w:lineRule="exact"/>
        <w:ind w:firstLine="420" w:firstLineChars="200"/>
        <w:jc w:val="left"/>
        <w:rPr>
          <w:rFonts w:hAnsi="宋体" w:cs="宋体"/>
          <w:color w:val="auto"/>
          <w:sz w:val="21"/>
          <w:highlight w:val="none"/>
        </w:rPr>
      </w:pPr>
      <w:bookmarkStart w:id="114" w:name="_16.2投标报价具体定义见投标人须知前附表。"/>
      <w:bookmarkEnd w:id="114"/>
      <w:r>
        <w:rPr>
          <w:rFonts w:hint="eastAsia" w:hAnsi="宋体" w:cs="宋体"/>
          <w:color w:val="auto"/>
          <w:sz w:val="21"/>
          <w:highlight w:val="none"/>
        </w:rPr>
        <w:t>16.2投标报价具体包括内容详见“投标人须知前附表”。</w:t>
      </w:r>
    </w:p>
    <w:p w14:paraId="55F71AC3">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16.3投标人必须就所投每个分标的全部内容分别作完整唯一总价报价，不得存在漏项报价；投标人必须就所投分标的单项内容作唯一报价。</w:t>
      </w:r>
    </w:p>
    <w:p w14:paraId="38F51252">
      <w:pPr>
        <w:pStyle w:val="4"/>
        <w:keepNext w:val="0"/>
        <w:keepLines w:val="0"/>
        <w:spacing w:before="0" w:after="0" w:line="44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17.投标有效期</w:t>
      </w:r>
    </w:p>
    <w:p w14:paraId="754BB1B1">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bookmarkStart w:id="115" w:name="_17.1投标有效期应按“投标人须知中的前附表”规定的期限。"/>
      <w:bookmarkEnd w:id="115"/>
      <w:r>
        <w:rPr>
          <w:rFonts w:hint="eastAsia" w:ascii="宋体" w:hAnsi="宋体" w:cs="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6C3B0CC8">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16" w:name="_Toc254970540"/>
      <w:bookmarkStart w:id="117" w:name="_Toc254970681"/>
      <w:r>
        <w:rPr>
          <w:rFonts w:hint="eastAsia" w:ascii="宋体" w:hAnsi="宋体" w:cs="宋体"/>
          <w:b w:val="0"/>
          <w:color w:val="auto"/>
          <w:sz w:val="21"/>
          <w:szCs w:val="21"/>
          <w:highlight w:val="none"/>
        </w:rPr>
        <w:t>投标有效期应按规定的期限作出承诺，具体详见“投标人须知前附表”。</w:t>
      </w:r>
    </w:p>
    <w:p w14:paraId="585047F7">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17.3投标人的投标文件在投标有效期内均保持有效。</w:t>
      </w:r>
      <w:bookmarkEnd w:id="116"/>
      <w:bookmarkEnd w:id="117"/>
    </w:p>
    <w:p w14:paraId="3830337B">
      <w:pPr>
        <w:pStyle w:val="4"/>
        <w:keepNext w:val="0"/>
        <w:keepLines w:val="0"/>
        <w:spacing w:before="0" w:after="0" w:line="440" w:lineRule="exact"/>
        <w:ind w:firstLine="422" w:firstLineChars="200"/>
        <w:jc w:val="left"/>
        <w:rPr>
          <w:rFonts w:ascii="宋体" w:hAnsi="宋体" w:cs="宋体"/>
          <w:color w:val="auto"/>
          <w:sz w:val="21"/>
          <w:szCs w:val="21"/>
          <w:highlight w:val="none"/>
        </w:rPr>
      </w:pPr>
      <w:bookmarkStart w:id="118" w:name="_18.投标保证金"/>
      <w:bookmarkEnd w:id="118"/>
      <w:bookmarkStart w:id="119" w:name="_Toc254970541"/>
      <w:bookmarkStart w:id="120" w:name="_Toc254970682"/>
      <w:r>
        <w:rPr>
          <w:rFonts w:hint="eastAsia" w:ascii="宋体" w:hAnsi="宋体" w:cs="宋体"/>
          <w:color w:val="auto"/>
          <w:sz w:val="21"/>
          <w:szCs w:val="21"/>
          <w:highlight w:val="none"/>
        </w:rPr>
        <w:t>18.投标保证金</w:t>
      </w:r>
      <w:bookmarkEnd w:id="119"/>
      <w:bookmarkEnd w:id="120"/>
    </w:p>
    <w:p w14:paraId="193B4DC8">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18.1投标人须按“投标人须知前附表”的规定提交投标保证金。</w:t>
      </w:r>
    </w:p>
    <w:p w14:paraId="00154EEC">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35B48C4C">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未中标人的投标保证金自中标通知书发出之日起5个工作日内退还；中标人的投标保证金自政府采购合同签订之日起5个工作日内退还。</w:t>
      </w:r>
    </w:p>
    <w:p w14:paraId="0F450D36">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56E389C4">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18.4投标人有下列情形之一的，投标保证金将不予退还：</w:t>
      </w:r>
    </w:p>
    <w:p w14:paraId="7E653380">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0FB7BD4E">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1626F846">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28CA850C">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4ADCCCDB">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63BBB32C">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（6）法律法规规定的其他情形。</w:t>
      </w:r>
      <w:bookmarkStart w:id="121" w:name="_Toc254970542"/>
      <w:bookmarkStart w:id="122" w:name="_Toc254970683"/>
    </w:p>
    <w:p w14:paraId="73308110">
      <w:pPr>
        <w:pStyle w:val="4"/>
        <w:keepNext w:val="0"/>
        <w:keepLines w:val="0"/>
        <w:spacing w:before="0" w:after="0" w:line="44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19.投标文件的</w:t>
      </w:r>
      <w:bookmarkEnd w:id="121"/>
      <w:bookmarkEnd w:id="122"/>
      <w:r>
        <w:rPr>
          <w:rFonts w:hint="eastAsia" w:ascii="宋体" w:hAnsi="宋体" w:cs="宋体"/>
          <w:color w:val="auto"/>
          <w:sz w:val="21"/>
          <w:szCs w:val="21"/>
          <w:highlight w:val="none"/>
        </w:rPr>
        <w:t>编制</w:t>
      </w:r>
    </w:p>
    <w:p w14:paraId="1F1727B0">
      <w:pPr>
        <w:pStyle w:val="4"/>
        <w:keepNext w:val="0"/>
        <w:keepLines w:val="0"/>
        <w:spacing w:before="0" w:after="0" w:line="440" w:lineRule="exact"/>
        <w:ind w:firstLine="315" w:firstLineChars="15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投标人应先安装“政采云电子投标客户端”（请自行前往“政采云”平台进行下载），并按照本项目招标文件规定的格式和顺序和“政采云”平台的要求编制并加密。投标文件内容不完整、编排混乱导致投标文件被误读、漏读或者查找不到相关内容的，由此引发的后果由投标人承担。</w:t>
      </w:r>
    </w:p>
    <w:p w14:paraId="700C346D">
      <w:pPr>
        <w:pStyle w:val="4"/>
        <w:keepNext w:val="0"/>
        <w:keepLines w:val="0"/>
        <w:spacing w:before="0" w:after="0" w:line="440" w:lineRule="exact"/>
        <w:ind w:firstLine="315" w:firstLineChars="150"/>
        <w:jc w:val="left"/>
        <w:rPr>
          <w:rFonts w:ascii="宋体" w:hAnsi="宋体" w:cs="宋体"/>
          <w:b w:val="0"/>
          <w:color w:val="auto"/>
          <w:sz w:val="21"/>
          <w:szCs w:val="21"/>
          <w:highlight w:val="none"/>
        </w:rPr>
      </w:pPr>
      <w:bookmarkStart w:id="123" w:name="_19.2投标文件应按报价文件、资格证明文件、商务文件、技术文件分别编制"/>
      <w:bookmarkEnd w:id="123"/>
      <w:r>
        <w:rPr>
          <w:rFonts w:hint="eastAsia" w:ascii="宋体" w:hAnsi="宋体" w:cs="宋体"/>
          <w:b w:val="0"/>
          <w:color w:val="auto"/>
          <w:sz w:val="21"/>
          <w:szCs w:val="21"/>
          <w:highlight w:val="none"/>
        </w:rPr>
        <w:t>19.2为确保网上操作合法、有效和安全，投标人应当在投标截止时间前完成在“政采云”平台的身份认证，确保在电子投标过程中能够对相关数据电文进行加密和使用电子签章。</w:t>
      </w:r>
    </w:p>
    <w:p w14:paraId="414A0046">
      <w:pPr>
        <w:pStyle w:val="4"/>
        <w:keepNext w:val="0"/>
        <w:keepLines w:val="0"/>
        <w:spacing w:before="0" w:after="0" w:line="440" w:lineRule="exact"/>
        <w:ind w:firstLine="315" w:firstLineChars="15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cs="宋体"/>
          <w:bCs/>
          <w:color w:val="auto"/>
          <w:sz w:val="21"/>
          <w:szCs w:val="21"/>
          <w:highlight w:val="none"/>
        </w:rPr>
        <w:t>否则按无效投标处理</w:t>
      </w:r>
      <w:r>
        <w:rPr>
          <w:rFonts w:hint="eastAsia" w:ascii="宋体" w:hAnsi="宋体" w:cs="宋体"/>
          <w:b w:val="0"/>
          <w:color w:val="auto"/>
          <w:sz w:val="21"/>
          <w:szCs w:val="21"/>
          <w:highlight w:val="none"/>
        </w:rPr>
        <w:t>。</w:t>
      </w:r>
    </w:p>
    <w:p w14:paraId="7F5867B4">
      <w:pPr>
        <w:pStyle w:val="4"/>
        <w:keepNext w:val="0"/>
        <w:keepLines w:val="0"/>
        <w:spacing w:before="0" w:after="0" w:line="440" w:lineRule="exact"/>
        <w:ind w:firstLine="315" w:firstLineChars="15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19.4投标文件中标注的投标人名称应与主体资格证明（如营业执照或者事业单位法人证书或者执业许可证或者登记证书等）及公章一致，并与“政采云”中获取招标文件的投标人名称一致，投标人为自然人的，标注的投标人名称应与身份证姓名及签名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3CDB7D8C">
      <w:pPr>
        <w:pStyle w:val="4"/>
        <w:keepNext w:val="0"/>
        <w:keepLines w:val="0"/>
        <w:spacing w:before="0" w:after="0" w:line="440" w:lineRule="exact"/>
        <w:ind w:firstLine="315" w:firstLineChars="150"/>
        <w:jc w:val="left"/>
        <w:rPr>
          <w:rFonts w:ascii="宋体" w:hAnsi="宋体" w:cs="宋体"/>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7965127C">
      <w:pPr>
        <w:pStyle w:val="4"/>
        <w:keepNext w:val="0"/>
        <w:keepLines w:val="0"/>
        <w:spacing w:before="0" w:after="0" w:line="440" w:lineRule="exact"/>
        <w:ind w:firstLine="422" w:firstLineChars="200"/>
        <w:jc w:val="left"/>
        <w:rPr>
          <w:rFonts w:ascii="宋体" w:hAnsi="宋体" w:cs="宋体"/>
          <w:color w:val="auto"/>
          <w:szCs w:val="21"/>
          <w:highlight w:val="none"/>
        </w:rPr>
      </w:pPr>
      <w:r>
        <w:rPr>
          <w:rFonts w:hint="eastAsia" w:ascii="宋体" w:hAnsi="宋体" w:cs="宋体"/>
          <w:color w:val="auto"/>
          <w:sz w:val="21"/>
          <w:szCs w:val="21"/>
          <w:highlight w:val="none"/>
        </w:rPr>
        <w:t>20.电子备份投标文件</w:t>
      </w:r>
    </w:p>
    <w:p w14:paraId="7819B40D">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电子备份投标文件是指通过“政采云电子投标客户端”在线编制生成且后缀名为“bfbs”的文件，是否接受电子备份投标文件详见在“投标人须知前附表”。</w:t>
      </w:r>
    </w:p>
    <w:p w14:paraId="042A15DA">
      <w:pPr>
        <w:pStyle w:val="4"/>
        <w:keepNext w:val="0"/>
        <w:keepLines w:val="0"/>
        <w:spacing w:before="0" w:after="0" w:line="44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21.投标文件的提交</w:t>
      </w:r>
    </w:p>
    <w:p w14:paraId="42EDB5AC">
      <w:pPr>
        <w:spacing w:line="440" w:lineRule="exact"/>
        <w:ind w:firstLine="420" w:firstLineChars="200"/>
        <w:jc w:val="left"/>
        <w:rPr>
          <w:rFonts w:ascii="宋体" w:hAnsi="宋体" w:cs="宋体"/>
          <w:b/>
          <w:color w:val="auto"/>
          <w:szCs w:val="21"/>
          <w:highlight w:val="none"/>
        </w:rPr>
      </w:pPr>
      <w:bookmarkStart w:id="124" w:name="_21.1投标人必须在“投标人须知中的前附表”规定的投标文件接收时间和投"/>
      <w:bookmarkEnd w:id="124"/>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投标文件提交截止时间前将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color w:val="auto"/>
          <w:szCs w:val="21"/>
          <w:highlight w:val="none"/>
        </w:rPr>
        <w:t>“政采云”平台</w:t>
      </w:r>
      <w:r>
        <w:rPr>
          <w:rFonts w:hint="eastAsia" w:ascii="宋体" w:hAnsi="宋体" w:cs="宋体"/>
          <w:bCs/>
          <w:color w:val="auto"/>
          <w:szCs w:val="21"/>
          <w:highlight w:val="none"/>
        </w:rPr>
        <w:t>。</w:t>
      </w:r>
    </w:p>
    <w:p w14:paraId="62025C75">
      <w:pPr>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21.2未在规定时间内提交或者未按照招标文件要求加密的电子投标文件，“政采云”平台将拒收。</w:t>
      </w:r>
    </w:p>
    <w:p w14:paraId="10ED5AF6">
      <w:pPr>
        <w:pStyle w:val="4"/>
        <w:keepNext w:val="0"/>
        <w:keepLines w:val="0"/>
        <w:snapToGrid w:val="0"/>
        <w:spacing w:before="0" w:after="0" w:line="440" w:lineRule="exact"/>
        <w:ind w:firstLine="422" w:firstLineChars="200"/>
        <w:jc w:val="left"/>
        <w:rPr>
          <w:rFonts w:ascii="宋体" w:hAnsi="宋体" w:cs="宋体"/>
          <w:color w:val="auto"/>
          <w:szCs w:val="21"/>
          <w:highlight w:val="none"/>
        </w:rPr>
      </w:pPr>
      <w:r>
        <w:rPr>
          <w:rFonts w:hint="eastAsia" w:ascii="宋体" w:hAnsi="宋体" w:cs="宋体"/>
          <w:color w:val="auto"/>
          <w:sz w:val="21"/>
          <w:szCs w:val="21"/>
          <w:highlight w:val="none"/>
        </w:rPr>
        <w:t>22. 投标文件的补充、修改、撤回与退回</w:t>
      </w:r>
      <w:bookmarkStart w:id="125" w:name="_Toc254970543"/>
      <w:bookmarkStart w:id="126" w:name="_Toc254970684"/>
    </w:p>
    <w:p w14:paraId="138B94AD">
      <w:pPr>
        <w:pStyle w:val="24"/>
        <w:spacing w:before="0" w:line="440" w:lineRule="exact"/>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22.1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政采云”平台将予以拒收。（补充、修改或者撤回方式可登陆“政采云”平台，进入“服务中心”中查看“电子投标文件制作与投送教程”）</w:t>
      </w:r>
      <w:bookmarkEnd w:id="125"/>
      <w:bookmarkEnd w:id="126"/>
    </w:p>
    <w:p w14:paraId="54D51EC0">
      <w:pPr>
        <w:pStyle w:val="24"/>
        <w:spacing w:before="0" w:line="440" w:lineRule="exact"/>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22.2“政采云”平台收到投标文件后向</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补充、修改或者撤回投标文件外，任何单位和个人不得解密或提取投标文件。</w:t>
      </w:r>
    </w:p>
    <w:p w14:paraId="5415EDF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569EA298">
      <w:pPr>
        <w:spacing w:before="120" w:beforeLines="50" w:line="360" w:lineRule="auto"/>
        <w:jc w:val="center"/>
        <w:rPr>
          <w:rFonts w:ascii="宋体" w:hAnsi="宋体"/>
          <w:b/>
          <w:color w:val="auto"/>
          <w:sz w:val="24"/>
          <w:szCs w:val="32"/>
          <w:highlight w:val="none"/>
        </w:rPr>
      </w:pPr>
      <w:bookmarkStart w:id="127" w:name="_Toc254970544"/>
      <w:bookmarkStart w:id="128" w:name="_Toc254970685"/>
      <w:r>
        <w:rPr>
          <w:rFonts w:hint="eastAsia" w:ascii="宋体" w:hAnsi="宋体"/>
          <w:b/>
          <w:color w:val="auto"/>
          <w:sz w:val="24"/>
          <w:szCs w:val="32"/>
          <w:highlight w:val="none"/>
        </w:rPr>
        <w:t>四、开标</w:t>
      </w:r>
      <w:bookmarkEnd w:id="127"/>
      <w:bookmarkEnd w:id="128"/>
    </w:p>
    <w:p w14:paraId="0CB73F65">
      <w:pPr>
        <w:pStyle w:val="4"/>
        <w:keepNext w:val="0"/>
        <w:keepLines w:val="0"/>
        <w:snapToGrid w:val="0"/>
        <w:spacing w:before="0" w:after="0" w:line="440" w:lineRule="exact"/>
        <w:ind w:firstLine="422" w:firstLineChars="200"/>
        <w:jc w:val="left"/>
        <w:rPr>
          <w:rFonts w:ascii="宋体" w:hAnsi="宋体" w:cs="宋体"/>
          <w:color w:val="auto"/>
          <w:sz w:val="21"/>
          <w:szCs w:val="21"/>
          <w:highlight w:val="none"/>
        </w:rPr>
      </w:pPr>
      <w:bookmarkStart w:id="129" w:name="_23.开标时间和地点"/>
      <w:bookmarkEnd w:id="129"/>
      <w:r>
        <w:rPr>
          <w:rFonts w:hint="eastAsia" w:ascii="宋体" w:hAnsi="宋体" w:cs="宋体"/>
          <w:color w:val="auto"/>
          <w:sz w:val="21"/>
          <w:szCs w:val="21"/>
          <w:highlight w:val="none"/>
        </w:rPr>
        <w:t>23.开标时间和地点</w:t>
      </w:r>
    </w:p>
    <w:p w14:paraId="05FE1657">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开标时间及地点详见“投标人须知前附表”</w:t>
      </w:r>
    </w:p>
    <w:p w14:paraId="09C72E72">
      <w:pPr>
        <w:pStyle w:val="4"/>
        <w:keepNext w:val="0"/>
        <w:keepLines w:val="0"/>
        <w:snapToGrid w:val="0"/>
        <w:spacing w:before="0" w:after="0" w:line="44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24.开标程序</w:t>
      </w:r>
    </w:p>
    <w:p w14:paraId="7B019A05">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24.1提交投标文件截止时间止，投标人不足3家的，不得开标。</w:t>
      </w:r>
    </w:p>
    <w:p w14:paraId="7F73A84C">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24.2采购代理机构将按照招标文件规定的时间通过“政采云”平台组织线上开标活动，所有</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均应当准时在线参加，投标人因未在线参加开标而导致投标文件无法按时解密等一切后果由投标人自己承担。</w:t>
      </w:r>
    </w:p>
    <w:p w14:paraId="5C19D4FE">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24.3开标程序</w:t>
      </w:r>
    </w:p>
    <w:p w14:paraId="6B2AE9B6">
      <w:pPr>
        <w:spacing w:line="44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1）解密电子投标文件。“政采云”平台按开标时间自动提取所有投标文件。采购代理机构依托“政采云”平台向各投标人发出电子加密投标文件【开始解密】通知，由投标人按“投标人须知前附表”规定的时间内自行进行投标文件解密。投标人的法定代表人或其委托代理人须凭加密时所用</w:t>
      </w:r>
      <w:r>
        <w:rPr>
          <w:rFonts w:hint="eastAsia" w:ascii="宋体" w:hAnsi="宋体" w:cs="宋体"/>
          <w:color w:val="auto"/>
          <w:szCs w:val="21"/>
          <w:highlight w:val="none"/>
        </w:rPr>
        <w:t>的CA锁准时登录到“政采云”平台电子开标大厅签到并对电子投标文件解密。</w:t>
      </w:r>
      <w:r>
        <w:rPr>
          <w:rFonts w:hint="eastAsia" w:ascii="宋体" w:hAnsi="宋体" w:cs="宋体"/>
          <w:b/>
          <w:color w:val="auto"/>
          <w:szCs w:val="21"/>
          <w:highlight w:val="none"/>
        </w:rPr>
        <w:t>投标人未在规定的时间内解密投标文件或者解密失败的，投标人的投标文件作无效处理。</w:t>
      </w:r>
    </w:p>
    <w:p w14:paraId="6ABA68A4">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（2）电子唱标。投标文件解密结束，宣布的内容均在“政采云”平台远程开标大厅展示，具体详见“投标人须知前附表”；</w:t>
      </w:r>
    </w:p>
    <w:p w14:paraId="34612502">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6ECB3C1D">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B066B94">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（5）开标结束。</w:t>
      </w:r>
    </w:p>
    <w:p w14:paraId="2E7882CB">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特别说明：如遇“政采云”平台电子化开标或评审程序调整的，按调整后执行。</w:t>
      </w:r>
    </w:p>
    <w:p w14:paraId="41865A62">
      <w:pPr>
        <w:spacing w:before="120" w:beforeLines="50" w:line="360" w:lineRule="auto"/>
        <w:jc w:val="center"/>
        <w:rPr>
          <w:rFonts w:ascii="宋体" w:hAnsi="宋体"/>
          <w:b/>
          <w:color w:val="auto"/>
          <w:sz w:val="24"/>
          <w:szCs w:val="32"/>
          <w:highlight w:val="none"/>
        </w:rPr>
      </w:pPr>
      <w:r>
        <w:rPr>
          <w:rFonts w:hint="eastAsia" w:ascii="宋体" w:hAnsi="宋体"/>
          <w:b/>
          <w:color w:val="auto"/>
          <w:sz w:val="24"/>
          <w:szCs w:val="32"/>
          <w:highlight w:val="none"/>
        </w:rPr>
        <w:t>五、资格审查</w:t>
      </w:r>
    </w:p>
    <w:p w14:paraId="28B28809">
      <w:pPr>
        <w:pStyle w:val="4"/>
        <w:keepNext w:val="0"/>
        <w:keepLines w:val="0"/>
        <w:snapToGrid w:val="0"/>
        <w:spacing w:before="0" w:after="0" w:line="44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25.资格审查</w:t>
      </w:r>
    </w:p>
    <w:p w14:paraId="6AE6EB09">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 25.1开标结束后，采购人或者采购代理机构通过电子开评标系统依据招标文件对电子投标文件进行线上资格审查。</w:t>
      </w:r>
    </w:p>
    <w:p w14:paraId="4C7F1AC5">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4F41562A">
      <w:pPr>
        <w:pStyle w:val="4"/>
        <w:keepNext w:val="0"/>
        <w:keepLines w:val="0"/>
        <w:numPr>
          <w:ilvl w:val="0"/>
          <w:numId w:val="0"/>
        </w:numPr>
        <w:spacing w:before="0" w:after="0" w:line="440" w:lineRule="exact"/>
        <w:ind w:firstLine="422" w:firstLineChars="200"/>
        <w:jc w:val="left"/>
        <w:rPr>
          <w:rFonts w:ascii="宋体" w:hAnsi="宋体" w:cs="宋体"/>
          <w:color w:val="auto"/>
          <w:sz w:val="21"/>
          <w:szCs w:val="21"/>
          <w:highlight w:val="none"/>
        </w:rPr>
      </w:pPr>
      <w:bookmarkStart w:id="130" w:name="_25.3_投标人有下列情形之一的，资格审查不通过而导致其投标无效："/>
      <w:bookmarkEnd w:id="130"/>
      <w:r>
        <w:rPr>
          <w:rFonts w:hint="eastAsia" w:ascii="宋体" w:hAnsi="宋体" w:cs="宋体"/>
          <w:color w:val="auto"/>
          <w:sz w:val="21"/>
          <w:szCs w:val="21"/>
          <w:highlight w:val="none"/>
        </w:rPr>
        <w:t>25.3 投标人有下列情形之一的，资格审查不通过，作无效投标处理：</w:t>
      </w:r>
    </w:p>
    <w:p w14:paraId="18277E05">
      <w:pPr>
        <w:pStyle w:val="11"/>
        <w:snapToGrid w:val="0"/>
        <w:spacing w:line="440" w:lineRule="exact"/>
        <w:ind w:firstLine="422" w:firstLineChars="200"/>
        <w:jc w:val="left"/>
        <w:rPr>
          <w:rFonts w:hAnsi="宋体" w:cs="宋体"/>
          <w:b/>
          <w:color w:val="auto"/>
          <w:sz w:val="21"/>
          <w:highlight w:val="none"/>
        </w:rPr>
      </w:pPr>
      <w:r>
        <w:rPr>
          <w:rFonts w:hint="eastAsia" w:hAnsi="宋体" w:cs="宋体"/>
          <w:b/>
          <w:color w:val="auto"/>
          <w:sz w:val="21"/>
          <w:highlight w:val="none"/>
        </w:rPr>
        <w:t>（1）不具备招标文件中规定的资格要求的；</w:t>
      </w:r>
    </w:p>
    <w:p w14:paraId="035FF1AB">
      <w:pPr>
        <w:pStyle w:val="11"/>
        <w:snapToGrid w:val="0"/>
        <w:spacing w:line="440" w:lineRule="exact"/>
        <w:ind w:firstLine="422" w:firstLineChars="200"/>
        <w:jc w:val="left"/>
        <w:rPr>
          <w:rFonts w:hAnsi="宋体" w:cs="宋体"/>
          <w:b/>
          <w:color w:val="auto"/>
          <w:sz w:val="21"/>
          <w:highlight w:val="none"/>
        </w:rPr>
      </w:pPr>
      <w:r>
        <w:rPr>
          <w:rFonts w:hint="eastAsia" w:hAnsi="宋体" w:cs="宋体"/>
          <w:b/>
          <w:color w:val="auto"/>
          <w:sz w:val="21"/>
          <w:highlight w:val="none"/>
        </w:rPr>
        <w:t>（2）在“信用中国”网站（www.creditchina.gov.cn）、中国政府采购网（www.ccgp.gov.cn）被列入失信被执行人、</w:t>
      </w:r>
      <w:r>
        <w:rPr>
          <w:rFonts w:hint="eastAsia" w:hAnsi="宋体" w:cs="宋体"/>
          <w:b/>
          <w:color w:val="auto"/>
          <w:sz w:val="21"/>
          <w:highlight w:val="none"/>
          <w:lang w:eastAsia="zh-CN"/>
        </w:rPr>
        <w:t>重大税收违法失信主体</w:t>
      </w:r>
      <w:r>
        <w:rPr>
          <w:rFonts w:hint="eastAsia" w:hAnsi="宋体" w:cs="宋体"/>
          <w:b/>
          <w:color w:val="auto"/>
          <w:sz w:val="21"/>
          <w:highlight w:val="none"/>
        </w:rPr>
        <w:t>、政府采购严重违法失信行为记录名单及其他不符合《中华人民共和国政府采购法》第二十二条规定条件的；（注：其中信用查询规则见“投标人须知前附表”，“政采云”平台已与“信用中国”网站、中国政府采购网实现数据对接，可直接在线查询）</w:t>
      </w:r>
    </w:p>
    <w:p w14:paraId="56B9A1BD">
      <w:pPr>
        <w:pStyle w:val="11"/>
        <w:snapToGrid w:val="0"/>
        <w:spacing w:line="440" w:lineRule="exact"/>
        <w:ind w:firstLine="422" w:firstLineChars="200"/>
        <w:jc w:val="left"/>
        <w:rPr>
          <w:rFonts w:hAnsi="宋体" w:cs="宋体"/>
          <w:b/>
          <w:color w:val="auto"/>
          <w:sz w:val="21"/>
          <w:highlight w:val="none"/>
        </w:rPr>
      </w:pPr>
      <w:r>
        <w:rPr>
          <w:rFonts w:hint="eastAsia" w:hAnsi="宋体" w:cs="宋体"/>
          <w:b/>
          <w:color w:val="auto"/>
          <w:sz w:val="21"/>
          <w:highlight w:val="none"/>
        </w:rPr>
        <w:t>（3）同一合同项下的不同投标人，单位负责人为同一人或者存在直接控股、管理关系的；为本项目提供过整体设计、规范编制或者项目管理、监理、检测等服务的</w:t>
      </w:r>
      <w:r>
        <w:rPr>
          <w:rFonts w:hint="eastAsia" w:hAnsi="宋体" w:cs="宋体"/>
          <w:b/>
          <w:color w:val="auto"/>
          <w:sz w:val="21"/>
          <w:highlight w:val="none"/>
          <w:lang w:eastAsia="zh-CN"/>
        </w:rPr>
        <w:t>投标人</w:t>
      </w:r>
      <w:r>
        <w:rPr>
          <w:rFonts w:hint="eastAsia" w:hAnsi="宋体" w:cs="宋体"/>
          <w:b/>
          <w:color w:val="auto"/>
          <w:sz w:val="21"/>
          <w:highlight w:val="none"/>
        </w:rPr>
        <w:t>，再参加该采购项目的其他采购活动的；</w:t>
      </w:r>
    </w:p>
    <w:p w14:paraId="2BDA0FF7">
      <w:pPr>
        <w:pStyle w:val="11"/>
        <w:snapToGrid w:val="0"/>
        <w:spacing w:line="440" w:lineRule="exact"/>
        <w:ind w:firstLine="422" w:firstLineChars="200"/>
        <w:jc w:val="left"/>
        <w:rPr>
          <w:rFonts w:hAnsi="宋体" w:cs="宋体"/>
          <w:b/>
          <w:color w:val="auto"/>
          <w:sz w:val="21"/>
          <w:highlight w:val="none"/>
        </w:rPr>
      </w:pPr>
      <w:r>
        <w:rPr>
          <w:rFonts w:hint="eastAsia" w:hAnsi="宋体" w:cs="宋体"/>
          <w:b/>
          <w:color w:val="auto"/>
          <w:sz w:val="21"/>
          <w:highlight w:val="none"/>
        </w:rPr>
        <w:t>（4）投标文件中的资格证明文件缺少任一项“投标人须知前附表”资格证明文件规定“必须提供”的文件资料的；</w:t>
      </w:r>
    </w:p>
    <w:p w14:paraId="6725A448">
      <w:pPr>
        <w:pStyle w:val="11"/>
        <w:snapToGrid w:val="0"/>
        <w:spacing w:line="440" w:lineRule="exact"/>
        <w:ind w:firstLine="422" w:firstLineChars="200"/>
        <w:jc w:val="left"/>
        <w:rPr>
          <w:rFonts w:hAnsi="宋体" w:cs="宋体"/>
          <w:b/>
          <w:color w:val="auto"/>
          <w:sz w:val="21"/>
          <w:highlight w:val="none"/>
        </w:rPr>
      </w:pPr>
      <w:r>
        <w:rPr>
          <w:rFonts w:hint="eastAsia" w:hAnsi="宋体" w:cs="宋体"/>
          <w:b/>
          <w:color w:val="auto"/>
          <w:sz w:val="21"/>
          <w:highlight w:val="none"/>
        </w:rPr>
        <w:t>（5）投标文件中的资格证明文件出现任一项不符合“投标人须知前附表”资格证明文件规定“必须提供”的文件资料要求或者无效的。</w:t>
      </w:r>
    </w:p>
    <w:p w14:paraId="03E1E920">
      <w:pPr>
        <w:pStyle w:val="4"/>
        <w:keepNext w:val="0"/>
        <w:keepLines w:val="0"/>
        <w:spacing w:before="0" w:after="0" w:line="440" w:lineRule="exact"/>
        <w:ind w:firstLine="200"/>
        <w:jc w:val="left"/>
        <w:rPr>
          <w:rFonts w:ascii="宋体" w:hAnsi="宋体" w:cs="宋体"/>
          <w:b w:val="0"/>
          <w:color w:val="auto"/>
          <w:sz w:val="21"/>
          <w:szCs w:val="21"/>
          <w:highlight w:val="none"/>
        </w:rPr>
      </w:pPr>
      <w:r>
        <w:rPr>
          <w:rFonts w:hint="eastAsia" w:ascii="宋体" w:hAnsi="宋体" w:cs="宋体"/>
          <w:color w:val="auto"/>
          <w:sz w:val="21"/>
          <w:szCs w:val="21"/>
          <w:highlight w:val="none"/>
        </w:rPr>
        <w:t>25.4合格投标人不足3家的，不得评标。</w:t>
      </w:r>
    </w:p>
    <w:p w14:paraId="171BDA27">
      <w:pPr>
        <w:spacing w:before="120" w:beforeLines="50" w:line="360" w:lineRule="auto"/>
        <w:jc w:val="center"/>
        <w:rPr>
          <w:rFonts w:ascii="宋体" w:hAnsi="宋体"/>
          <w:b/>
          <w:color w:val="auto"/>
          <w:sz w:val="24"/>
          <w:szCs w:val="32"/>
          <w:highlight w:val="none"/>
        </w:rPr>
      </w:pPr>
      <w:r>
        <w:rPr>
          <w:rFonts w:hint="eastAsia" w:ascii="宋体" w:hAnsi="宋体"/>
          <w:b/>
          <w:color w:val="auto"/>
          <w:sz w:val="24"/>
          <w:szCs w:val="32"/>
          <w:highlight w:val="none"/>
        </w:rPr>
        <w:t>六、评标</w:t>
      </w:r>
    </w:p>
    <w:p w14:paraId="2DE0E1D8">
      <w:pPr>
        <w:pStyle w:val="4"/>
        <w:keepNext w:val="0"/>
        <w:keepLines w:val="0"/>
        <w:snapToGrid w:val="0"/>
        <w:spacing w:before="0" w:after="0" w:line="440" w:lineRule="exact"/>
        <w:ind w:firstLine="422" w:firstLineChars="200"/>
        <w:jc w:val="left"/>
        <w:rPr>
          <w:rFonts w:ascii="宋体" w:hAnsi="宋体" w:cs="宋体"/>
          <w:color w:val="auto"/>
          <w:sz w:val="21"/>
          <w:szCs w:val="21"/>
          <w:highlight w:val="none"/>
        </w:rPr>
      </w:pPr>
      <w:bookmarkStart w:id="131" w:name="_26.组建评标委员会"/>
      <w:bookmarkEnd w:id="131"/>
      <w:r>
        <w:rPr>
          <w:rFonts w:hint="eastAsia" w:ascii="宋体" w:hAnsi="宋体" w:cs="宋体"/>
          <w:color w:val="auto"/>
          <w:sz w:val="21"/>
          <w:szCs w:val="21"/>
          <w:highlight w:val="none"/>
        </w:rPr>
        <w:t>26.组建评标委员会</w:t>
      </w:r>
    </w:p>
    <w:p w14:paraId="6356D9B4">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26.1评标委员会由采购人代表和评审专家组成，具体人数详见“投标人须知前附表”，其中评审专家不得少于成员总数的三分之二。</w:t>
      </w:r>
    </w:p>
    <w:p w14:paraId="0D6292B8">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26.2参加过采购项目前期咨询论证的专家，不得参加该采购项目的评审活动。</w:t>
      </w:r>
    </w:p>
    <w:p w14:paraId="75DEB669">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26.3</w:t>
      </w:r>
      <w:r>
        <w:rPr>
          <w:rFonts w:hint="eastAsia" w:hAnsi="宋体" w:cs="宋体"/>
          <w:bCs/>
          <w:color w:val="auto"/>
          <w:sz w:val="21"/>
          <w:highlight w:val="none"/>
        </w:rPr>
        <w:t>采购代理机构应当基于“政采云”平台抽（选）取评审专家。</w:t>
      </w:r>
    </w:p>
    <w:p w14:paraId="7D33C3CD">
      <w:pPr>
        <w:pStyle w:val="4"/>
        <w:keepNext w:val="0"/>
        <w:keepLines w:val="0"/>
        <w:snapToGrid w:val="0"/>
        <w:spacing w:before="0" w:after="0" w:line="44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27.评标的依据</w:t>
      </w:r>
    </w:p>
    <w:p w14:paraId="51F638CA">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评标委员会以“第四章评标方法和评标标准”为依据对投标文件进行评审，没有规定的方法、评审因素和标准，不作为评标依据。</w:t>
      </w:r>
    </w:p>
    <w:p w14:paraId="3F2C39AB">
      <w:pPr>
        <w:pStyle w:val="4"/>
        <w:keepNext w:val="0"/>
        <w:keepLines w:val="0"/>
        <w:snapToGrid w:val="0"/>
        <w:spacing w:before="0" w:after="0" w:line="44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28.评标原则</w:t>
      </w:r>
    </w:p>
    <w:p w14:paraId="3370AC5A">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2A178DC">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28.2</w:t>
      </w:r>
      <w:bookmarkStart w:id="132" w:name="_28.3评标方法。本项目将按须知前附表规定的评标办法进行评标，具体评标"/>
      <w:bookmarkEnd w:id="132"/>
      <w:r>
        <w:rPr>
          <w:rFonts w:hint="eastAsia" w:hAnsi="宋体" w:cs="宋体"/>
          <w:color w:val="auto"/>
          <w:sz w:val="21"/>
          <w:highlight w:val="none"/>
        </w:rPr>
        <w:t>评委表决。评标委员会成员对需要共同认定的事项存在争议的，应当按照少数服从多数的原则作出结论。</w:t>
      </w:r>
    </w:p>
    <w:p w14:paraId="4563DC66">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5908159">
      <w:pPr>
        <w:pStyle w:val="11"/>
        <w:snapToGrid w:val="0"/>
        <w:spacing w:line="440" w:lineRule="exact"/>
        <w:ind w:firstLine="420" w:firstLineChars="200"/>
        <w:jc w:val="left"/>
        <w:rPr>
          <w:rFonts w:hAnsi="宋体" w:cs="宋体"/>
          <w:b/>
          <w:color w:val="auto"/>
          <w:sz w:val="21"/>
          <w:highlight w:val="none"/>
        </w:rPr>
      </w:pPr>
      <w:r>
        <w:rPr>
          <w:rFonts w:hint="eastAsia" w:hAnsi="宋体" w:cs="宋体"/>
          <w:color w:val="auto"/>
          <w:sz w:val="21"/>
          <w:highlight w:val="none"/>
        </w:rPr>
        <w:t>28.4评标过程的监控。本项目电子评标过程实行网上留痕、全程录音、录像监控，</w:t>
      </w:r>
      <w:r>
        <w:rPr>
          <w:rFonts w:hint="eastAsia" w:hAnsi="宋体" w:cs="宋体"/>
          <w:b/>
          <w:color w:val="auto"/>
          <w:sz w:val="21"/>
          <w:highlight w:val="none"/>
        </w:rPr>
        <w:t>投标人在评标过程中所进行的试图影响评标结果的不公正活动，可能导致其投标按无效处理。</w:t>
      </w:r>
    </w:p>
    <w:p w14:paraId="59E81CD7">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50513A5">
      <w:pPr>
        <w:pStyle w:val="4"/>
        <w:keepNext w:val="0"/>
        <w:keepLines w:val="0"/>
        <w:snapToGrid w:val="0"/>
        <w:spacing w:before="0" w:after="0" w:line="44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29.评标方法及中标候选人推荐</w:t>
      </w:r>
    </w:p>
    <w:p w14:paraId="779E66C1">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29.1本项目的评标方法详见“投标人须知前附表”。</w:t>
      </w:r>
    </w:p>
    <w:p w14:paraId="79D52BC9">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29.2 商务/技术要求允许负偏离的条款数详见“投标人须知前附表”。</w:t>
      </w:r>
    </w:p>
    <w:p w14:paraId="72795C71">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29.3 中标候选人推荐数量详见“投标人须知前附表”。</w:t>
      </w:r>
    </w:p>
    <w:p w14:paraId="4FD272B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29.4 电子交易活动的中止。采购过程中出现以下情形，导致电子交易平台无法正常运行，或者无法保证电子交易的公平、公正和安全时，采购代理机构可以中止电子交易活动：</w:t>
      </w:r>
    </w:p>
    <w:p w14:paraId="2995224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（1）电子交易平台发生故障而无法登录访问的；</w:t>
      </w:r>
    </w:p>
    <w:p w14:paraId="7652255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78EC1F8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4C48855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（4）病毒发作导致不能进行正常操作的；</w:t>
      </w:r>
    </w:p>
    <w:p w14:paraId="3CBF403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3621CD1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15C59460">
      <w:pPr>
        <w:spacing w:before="120" w:beforeLines="50" w:line="360" w:lineRule="auto"/>
        <w:jc w:val="center"/>
        <w:rPr>
          <w:rFonts w:ascii="宋体" w:hAnsi="宋体"/>
          <w:b/>
          <w:color w:val="auto"/>
          <w:sz w:val="24"/>
          <w:szCs w:val="32"/>
          <w:highlight w:val="none"/>
        </w:rPr>
      </w:pPr>
      <w:bookmarkStart w:id="133" w:name="_Toc254970546"/>
      <w:bookmarkStart w:id="134" w:name="_Toc254970687"/>
      <w:r>
        <w:rPr>
          <w:rFonts w:hint="eastAsia" w:ascii="宋体" w:hAnsi="宋体"/>
          <w:b/>
          <w:color w:val="auto"/>
          <w:sz w:val="24"/>
          <w:szCs w:val="32"/>
          <w:highlight w:val="none"/>
        </w:rPr>
        <w:t>七、</w:t>
      </w:r>
      <w:bookmarkEnd w:id="133"/>
      <w:bookmarkEnd w:id="134"/>
      <w:r>
        <w:rPr>
          <w:rFonts w:hint="eastAsia" w:ascii="宋体" w:hAnsi="宋体"/>
          <w:b/>
          <w:color w:val="auto"/>
          <w:sz w:val="24"/>
          <w:szCs w:val="32"/>
          <w:highlight w:val="none"/>
        </w:rPr>
        <w:t>中标和合同</w:t>
      </w:r>
    </w:p>
    <w:p w14:paraId="19A0E965">
      <w:pPr>
        <w:pStyle w:val="4"/>
        <w:keepNext w:val="0"/>
        <w:keepLines w:val="0"/>
        <w:snapToGrid w:val="0"/>
        <w:spacing w:before="0" w:after="0" w:line="440" w:lineRule="exact"/>
        <w:ind w:firstLine="422" w:firstLineChars="200"/>
        <w:jc w:val="left"/>
        <w:rPr>
          <w:rFonts w:ascii="宋体" w:hAnsi="宋体" w:cs="宋体"/>
          <w:color w:val="auto"/>
          <w:sz w:val="21"/>
          <w:szCs w:val="21"/>
          <w:highlight w:val="none"/>
        </w:rPr>
      </w:pPr>
      <w:bookmarkStart w:id="135" w:name="OLE_LINK61"/>
      <w:bookmarkStart w:id="136" w:name="OLE_LINK62"/>
      <w:r>
        <w:rPr>
          <w:rFonts w:hint="eastAsia" w:ascii="宋体" w:hAnsi="宋体" w:cs="宋体"/>
          <w:color w:val="auto"/>
          <w:sz w:val="21"/>
          <w:szCs w:val="21"/>
          <w:highlight w:val="none"/>
        </w:rPr>
        <w:t>30 确定中标人</w:t>
      </w:r>
    </w:p>
    <w:bookmarkEnd w:id="135"/>
    <w:bookmarkEnd w:id="136"/>
    <w:p w14:paraId="5AA94EA1">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bookmarkStart w:id="137" w:name="OLE_LINK59"/>
      <w:bookmarkStart w:id="138" w:name="OLE_LINK60"/>
      <w:r>
        <w:rPr>
          <w:rFonts w:hint="eastAsia" w:ascii="宋体" w:hAnsi="宋体" w:cs="宋体"/>
          <w:b w:val="0"/>
          <w:color w:val="auto"/>
          <w:sz w:val="21"/>
          <w:szCs w:val="21"/>
          <w:highlight w:val="none"/>
        </w:rPr>
        <w:t>30.1采购代理机构在评标结束之日起2个工作日内将评标报告送采购人，采购人在收到评标报告之日起5个工作日内，在评标报告确定的中标候选人名单中按顺序确定中标人。</w:t>
      </w:r>
    </w:p>
    <w:bookmarkEnd w:id="137"/>
    <w:bookmarkEnd w:id="138"/>
    <w:p w14:paraId="3522D1E5">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1"/>
          <w:szCs w:val="21"/>
          <w:highlight w:val="none"/>
        </w:rPr>
        <w:t>其他投标无效。</w:t>
      </w:r>
    </w:p>
    <w:p w14:paraId="7C97A827">
      <w:pPr>
        <w:pStyle w:val="4"/>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6B27D04C">
      <w:pPr>
        <w:pStyle w:val="11"/>
        <w:snapToGrid w:val="0"/>
        <w:spacing w:line="400" w:lineRule="exact"/>
        <w:ind w:firstLine="420" w:firstLineChars="200"/>
        <w:jc w:val="left"/>
        <w:rPr>
          <w:rFonts w:hAnsi="宋体" w:cs="宋体"/>
          <w:color w:val="auto"/>
          <w:kern w:val="2"/>
          <w:sz w:val="21"/>
          <w:highlight w:val="none"/>
        </w:rPr>
      </w:pPr>
      <w:r>
        <w:rPr>
          <w:rFonts w:hint="eastAsia" w:hAnsi="宋体" w:cs="宋体"/>
          <w:color w:val="auto"/>
          <w:kern w:val="2"/>
          <w:sz w:val="21"/>
          <w:highlight w:val="none"/>
        </w:rPr>
        <w:t>非单一产品采购项目，多家投标人提供的核心产品品牌相同的，</w:t>
      </w:r>
      <w:r>
        <w:rPr>
          <w:rFonts w:hint="eastAsia" w:hAnsi="宋体" w:cs="宋体"/>
          <w:color w:val="auto"/>
          <w:sz w:val="21"/>
          <w:highlight w:val="none"/>
        </w:rPr>
        <w:t>按前两款规定处理</w:t>
      </w:r>
      <w:r>
        <w:rPr>
          <w:rFonts w:hint="eastAsia" w:hAnsi="宋体" w:cs="宋体"/>
          <w:color w:val="auto"/>
          <w:kern w:val="2"/>
          <w:sz w:val="21"/>
          <w:highlight w:val="none"/>
        </w:rPr>
        <w:t>。</w:t>
      </w:r>
    </w:p>
    <w:p w14:paraId="5AB6C11B">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01208EE5">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71BD82F0">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（1）符合专业条件的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或者对招标文件作实质响应的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不足三家的；</w:t>
      </w:r>
    </w:p>
    <w:p w14:paraId="27164148">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169F284">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（3）投标人的报价均超过了采购预算，采购人不能支付的；</w:t>
      </w:r>
    </w:p>
    <w:p w14:paraId="6A5EC1EA">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58C9732C">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084BD520">
      <w:pPr>
        <w:snapToGrid w:val="0"/>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31.结果公告</w:t>
      </w:r>
    </w:p>
    <w:p w14:paraId="0380A576">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w:t>
      </w:r>
      <w:r>
        <w:rPr>
          <w:rFonts w:hint="eastAsia" w:ascii="宋体" w:hAnsi="宋体" w:cs="宋体"/>
          <w:b w:val="0"/>
          <w:color w:val="auto"/>
          <w:sz w:val="21"/>
          <w:szCs w:val="21"/>
          <w:highlight w:val="none"/>
          <w:lang w:eastAsia="zh-CN"/>
        </w:rPr>
        <w:t>重大税收违法失信主体</w:t>
      </w:r>
      <w:r>
        <w:rPr>
          <w:rFonts w:hint="eastAsia" w:ascii="宋体" w:hAnsi="宋体" w:cs="宋体"/>
          <w:b w:val="0"/>
          <w:color w:val="auto"/>
          <w:sz w:val="21"/>
          <w:szCs w:val="21"/>
          <w:highlight w:val="none"/>
        </w:rPr>
        <w:t>、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4530573">
      <w:pPr>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110D0CCE">
      <w:pPr>
        <w:pStyle w:val="4"/>
        <w:keepNext w:val="0"/>
        <w:keepLines w:val="0"/>
        <w:spacing w:before="0" w:after="0" w:line="440" w:lineRule="exact"/>
        <w:ind w:firstLine="420" w:firstLineChars="200"/>
        <w:jc w:val="left"/>
        <w:rPr>
          <w:rFonts w:ascii="宋体" w:hAnsi="宋体" w:cs="宋体"/>
          <w:color w:val="auto"/>
          <w:sz w:val="21"/>
          <w:szCs w:val="21"/>
          <w:highlight w:val="none"/>
        </w:rPr>
      </w:pPr>
      <w:r>
        <w:rPr>
          <w:rFonts w:hint="eastAsia" w:ascii="宋体" w:hAnsi="宋体" w:cs="宋体"/>
          <w:b w:val="0"/>
          <w:color w:val="auto"/>
          <w:sz w:val="21"/>
          <w:szCs w:val="21"/>
          <w:highlight w:val="none"/>
        </w:rPr>
        <w:t>31.2中标</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享受《政府采购促进中小企业发展管理办法》（财库〔2020〕46号）规定的中小企业扶持政策的，采购人、采购代理机构应当随中标结果公开中标</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的《中小企业声明函》。</w:t>
      </w:r>
    </w:p>
    <w:p w14:paraId="6997E40B">
      <w:pPr>
        <w:pStyle w:val="4"/>
        <w:keepNext w:val="0"/>
        <w:keepLines w:val="0"/>
        <w:spacing w:before="0" w:after="0" w:line="440" w:lineRule="exact"/>
        <w:ind w:firstLine="422" w:firstLineChars="200"/>
        <w:jc w:val="left"/>
        <w:rPr>
          <w:rFonts w:ascii="宋体" w:hAnsi="宋体" w:cs="宋体"/>
          <w:b w:val="0"/>
          <w:color w:val="auto"/>
          <w:sz w:val="21"/>
          <w:szCs w:val="21"/>
          <w:highlight w:val="none"/>
        </w:rPr>
      </w:pPr>
      <w:r>
        <w:rPr>
          <w:rFonts w:hint="eastAsia" w:ascii="宋体" w:hAnsi="宋体" w:cs="宋体"/>
          <w:color w:val="auto"/>
          <w:sz w:val="21"/>
          <w:szCs w:val="21"/>
          <w:highlight w:val="none"/>
        </w:rPr>
        <w:t>32.发出中标通知书</w:t>
      </w:r>
    </w:p>
    <w:p w14:paraId="0D8F9AA4">
      <w:pPr>
        <w:pStyle w:val="4"/>
        <w:keepNext w:val="0"/>
        <w:keepLines w:val="0"/>
        <w:spacing w:before="0" w:after="0" w:line="440" w:lineRule="exact"/>
        <w:ind w:firstLine="420" w:firstLineChars="200"/>
        <w:jc w:val="left"/>
        <w:rPr>
          <w:rFonts w:ascii="宋体" w:hAnsi="宋体" w:cs="宋体"/>
          <w:color w:val="auto"/>
          <w:sz w:val="21"/>
          <w:szCs w:val="21"/>
          <w:highlight w:val="none"/>
        </w:rPr>
      </w:pPr>
      <w:r>
        <w:rPr>
          <w:rFonts w:hint="eastAsia" w:ascii="宋体" w:hAnsi="宋体" w:cs="宋体"/>
          <w:b w:val="0"/>
          <w:color w:val="auto"/>
          <w:sz w:val="21"/>
          <w:szCs w:val="21"/>
          <w:highlight w:val="none"/>
        </w:rPr>
        <w:t>在发布中标公告的同时，采购代理机构向中标人通过“政采云”平台发出电子中标通知书。对未通过资格审查的投标人，应当告知其未通过的原因；采用综合评分办法评审的，还应当告知未中标人本人的评审得分与排序。</w:t>
      </w:r>
    </w:p>
    <w:p w14:paraId="13EDD756">
      <w:pPr>
        <w:pStyle w:val="4"/>
        <w:keepNext w:val="0"/>
        <w:keepLines w:val="0"/>
        <w:spacing w:before="0" w:after="0" w:line="440" w:lineRule="exact"/>
        <w:ind w:firstLine="422" w:firstLineChars="200"/>
        <w:jc w:val="left"/>
        <w:rPr>
          <w:rFonts w:ascii="宋体" w:hAnsi="宋体" w:cs="宋体"/>
          <w:b w:val="0"/>
          <w:color w:val="auto"/>
          <w:sz w:val="21"/>
          <w:szCs w:val="21"/>
          <w:highlight w:val="none"/>
        </w:rPr>
      </w:pPr>
      <w:r>
        <w:rPr>
          <w:rFonts w:hint="eastAsia" w:ascii="宋体" w:hAnsi="宋体" w:cs="宋体"/>
          <w:color w:val="auto"/>
          <w:sz w:val="21"/>
          <w:szCs w:val="21"/>
          <w:highlight w:val="none"/>
        </w:rPr>
        <w:t>33. 无义务解释未中标原因</w:t>
      </w:r>
    </w:p>
    <w:p w14:paraId="6D724B30">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采购代理机构无义务向未中标的投标人解释未中标原因。</w:t>
      </w:r>
    </w:p>
    <w:p w14:paraId="6B275125">
      <w:pPr>
        <w:pStyle w:val="4"/>
        <w:keepNext w:val="0"/>
        <w:keepLines w:val="0"/>
        <w:snapToGrid w:val="0"/>
        <w:spacing w:before="0" w:after="0" w:line="44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34.合同授予标准</w:t>
      </w:r>
    </w:p>
    <w:p w14:paraId="0BFF8D33">
      <w:pPr>
        <w:pStyle w:val="4"/>
        <w:keepNext w:val="0"/>
        <w:keepLines w:val="0"/>
        <w:snapToGrid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合同将授予被确定实质上响应招标文件要求，具备履行合同能力的中标人。</w:t>
      </w:r>
    </w:p>
    <w:p w14:paraId="6887A42B">
      <w:pPr>
        <w:pStyle w:val="4"/>
        <w:keepNext w:val="0"/>
        <w:keepLines w:val="0"/>
        <w:snapToGrid w:val="0"/>
        <w:spacing w:before="0" w:after="0" w:line="440" w:lineRule="exact"/>
        <w:ind w:firstLine="422"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35.履约保证金</w:t>
      </w:r>
    </w:p>
    <w:p w14:paraId="2D74A99E">
      <w:pPr>
        <w:pStyle w:val="4"/>
        <w:keepNext w:val="0"/>
        <w:keepLines w:val="0"/>
        <w:spacing w:before="0" w:after="0" w:line="440" w:lineRule="exact"/>
        <w:ind w:firstLine="315" w:firstLineChars="150"/>
        <w:jc w:val="left"/>
        <w:rPr>
          <w:rFonts w:ascii="宋体" w:hAnsi="宋体" w:cs="宋体"/>
          <w:b w:val="0"/>
          <w:color w:val="auto"/>
          <w:sz w:val="21"/>
          <w:szCs w:val="21"/>
          <w:highlight w:val="none"/>
        </w:rPr>
      </w:pPr>
      <w:bookmarkStart w:id="139" w:name="_39.1中标人须于签订合同前按本须知前附表规定的金额转账或电汇到指定账"/>
      <w:bookmarkEnd w:id="139"/>
      <w:r>
        <w:rPr>
          <w:rFonts w:hint="eastAsia" w:ascii="宋体" w:hAnsi="宋体" w:cs="宋体"/>
          <w:b w:val="0"/>
          <w:color w:val="auto"/>
          <w:sz w:val="21"/>
          <w:szCs w:val="21"/>
          <w:highlight w:val="none"/>
        </w:rPr>
        <w:t xml:space="preserve"> 35.1 履约保证金的金额、提交方式、退付的时间和条件详见“投标人须知前附表”。中标人未按规定提交履约保证金的，视为拒绝与采购人签订合同。</w:t>
      </w:r>
    </w:p>
    <w:p w14:paraId="1F7A83DC">
      <w:pPr>
        <w:pStyle w:val="4"/>
        <w:keepNext w:val="0"/>
        <w:keepLines w:val="0"/>
        <w:spacing w:before="0" w:after="0" w:line="440" w:lineRule="exact"/>
        <w:ind w:firstLine="315" w:firstLineChars="150"/>
        <w:jc w:val="left"/>
        <w:rPr>
          <w:rFonts w:ascii="宋体" w:hAnsi="宋体" w:cs="宋体"/>
          <w:color w:val="auto"/>
          <w:sz w:val="21"/>
          <w:szCs w:val="21"/>
          <w:highlight w:val="none"/>
        </w:rPr>
      </w:pPr>
      <w:r>
        <w:rPr>
          <w:rFonts w:hint="eastAsia" w:ascii="宋体" w:hAnsi="宋体" w:cs="宋体"/>
          <w:b w:val="0"/>
          <w:bCs/>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6AF4C70C">
      <w:pPr>
        <w:pStyle w:val="4"/>
        <w:keepNext w:val="0"/>
        <w:keepLines w:val="0"/>
        <w:spacing w:before="0" w:after="0" w:line="440" w:lineRule="exact"/>
        <w:ind w:firstLine="422" w:firstLineChars="200"/>
        <w:jc w:val="left"/>
        <w:rPr>
          <w:rFonts w:ascii="宋体" w:hAnsi="宋体" w:cs="宋体"/>
          <w:b w:val="0"/>
          <w:color w:val="auto"/>
          <w:sz w:val="21"/>
          <w:szCs w:val="21"/>
          <w:highlight w:val="none"/>
        </w:rPr>
      </w:pPr>
      <w:r>
        <w:rPr>
          <w:rFonts w:hint="eastAsia" w:ascii="宋体" w:hAnsi="宋体" w:cs="宋体"/>
          <w:color w:val="auto"/>
          <w:sz w:val="21"/>
          <w:szCs w:val="21"/>
          <w:highlight w:val="none"/>
        </w:rPr>
        <w:t>36.签订合同</w:t>
      </w:r>
      <w:bookmarkStart w:id="140" w:name="_40.1投标人接到中标通知书后，按须知前附表规定向采购人出示相关资格证"/>
      <w:bookmarkEnd w:id="140"/>
    </w:p>
    <w:p w14:paraId="1442B442">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bCs/>
          <w:color w:val="auto"/>
          <w:sz w:val="21"/>
          <w:szCs w:val="21"/>
          <w:highlight w:val="none"/>
        </w:rPr>
        <w:t>36.1</w:t>
      </w:r>
      <w:r>
        <w:rPr>
          <w:rFonts w:hint="eastAsia" w:ascii="宋体" w:hAnsi="宋体" w:cs="宋体"/>
          <w:b w:val="0"/>
          <w:color w:val="auto"/>
          <w:sz w:val="21"/>
          <w:szCs w:val="21"/>
          <w:highlight w:val="none"/>
        </w:rPr>
        <w:t>线下签订纸质合同：投标人领取中标通知书后，按“投标人须知前附表”规定向采购人出示相关证明材料，经采购人核验合格后方可签订合同。</w:t>
      </w:r>
      <w:r>
        <w:rPr>
          <w:rFonts w:hint="eastAsia" w:ascii="宋体" w:hAnsi="宋体" w:cs="宋体"/>
          <w:color w:val="auto"/>
          <w:kern w:val="0"/>
          <w:sz w:val="21"/>
          <w:szCs w:val="21"/>
          <w:highlight w:val="none"/>
          <w:lang w:val="zh-CN"/>
        </w:rPr>
        <w:t>如中标人为联合体的，由联合体成员各方法定代表人或其授权代表与采购人代表签订合同。</w:t>
      </w:r>
    </w:p>
    <w:p w14:paraId="28E28341">
      <w:pPr>
        <w:pStyle w:val="4"/>
        <w:keepNext w:val="0"/>
        <w:keepLines w:val="0"/>
        <w:numPr>
          <w:ilvl w:val="0"/>
          <w:numId w:val="0"/>
        </w:numPr>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36.2签订合同时间：按中标通知书规定的时间与采购人签订合同。</w:t>
      </w:r>
    </w:p>
    <w:p w14:paraId="381CA715">
      <w:pPr>
        <w:pStyle w:val="4"/>
        <w:keepNext w:val="0"/>
        <w:keepLines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36.3中标人拒绝签订政府采购合同（包括但不限于放弃中标、因不可抗力不能履行合同而放弃签订合同），采购人可以按照评审报告推荐的中标候选人名单排序，确定下一候选人为中标</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，也可以重新开展政府采购活动。如采购人无正当理由拒签合同的，给中标</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造成损失的，中标</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可追究采购人承担相应的法律责任。</w:t>
      </w:r>
    </w:p>
    <w:p w14:paraId="2EF5F28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36.4政府采购合同是政府采购项目验收的依据，中标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A22D96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36.5采购人或中标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6C67050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36.6如签订合同并生效后，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无故拒绝或延期，除按照合同条款处理外，将承担相应的法律责任。</w:t>
      </w:r>
    </w:p>
    <w:p w14:paraId="66190E5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36.7政府采购合同履行中，采购人需追加与合同标的相同的货物、工程或者服务的，在不改变合同其他条款的前提下，可以与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协商签订补充合同，但所有补充合同的采购金额不得超过原合同采购金额的10%。</w:t>
      </w:r>
      <w:bookmarkStart w:id="141" w:name="_41.政府采购合同公告"/>
      <w:bookmarkEnd w:id="141"/>
    </w:p>
    <w:p w14:paraId="40D26CC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37.政府采购合同公告</w:t>
      </w:r>
    </w:p>
    <w:p w14:paraId="4450E55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38FA9C2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38. 询问、质疑和投诉</w:t>
      </w:r>
    </w:p>
    <w:p w14:paraId="16FD4FC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38.1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对政府采购活动事项有疑问的，可以向采购人提出询问，采购人或者采购代理机构应当在3个工作日内对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依法提出的询问作出答复，但答复的内容不得涉及商业秘密。</w:t>
      </w:r>
    </w:p>
    <w:p w14:paraId="0B197013">
      <w:pPr>
        <w:pStyle w:val="4"/>
        <w:keepNext w:val="0"/>
        <w:keepLines w:val="0"/>
        <w:spacing w:before="0" w:after="0" w:line="440" w:lineRule="exact"/>
        <w:ind w:firstLine="315" w:firstLineChars="150"/>
        <w:jc w:val="left"/>
        <w:rPr>
          <w:rFonts w:ascii="宋体" w:hAnsi="宋体" w:cs="宋体"/>
          <w:b w:val="0"/>
          <w:color w:val="auto"/>
          <w:sz w:val="21"/>
          <w:szCs w:val="21"/>
          <w:highlight w:val="none"/>
        </w:rPr>
      </w:pPr>
      <w:r>
        <w:rPr>
          <w:rFonts w:hint="eastAsia" w:ascii="宋体" w:hAnsi="宋体" w:cs="宋体"/>
          <w:b w:val="0"/>
          <w:color w:val="auto"/>
          <w:sz w:val="21"/>
          <w:szCs w:val="21"/>
          <w:highlight w:val="none"/>
          <w:lang w:val="en-US" w:eastAsia="zh-CN"/>
        </w:rPr>
        <w:t xml:space="preserve"> </w:t>
      </w:r>
      <w:r>
        <w:rPr>
          <w:rFonts w:hint="eastAsia" w:ascii="宋体" w:hAnsi="宋体" w:cs="宋体"/>
          <w:b w:val="0"/>
          <w:color w:val="auto"/>
          <w:sz w:val="21"/>
          <w:szCs w:val="21"/>
          <w:highlight w:val="none"/>
        </w:rPr>
        <w:t>38.2</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46A4CF45">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1A7A2E3C">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3B44BE63">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（3）对中标结果提出质疑的，为中标结果公告期限届满之日。</w:t>
      </w:r>
    </w:p>
    <w:p w14:paraId="792D09A1">
      <w:pPr>
        <w:pStyle w:val="11"/>
        <w:snapToGrid w:val="0"/>
        <w:spacing w:line="440" w:lineRule="exact"/>
        <w:ind w:firstLine="420" w:firstLineChars="200"/>
        <w:jc w:val="left"/>
        <w:rPr>
          <w:rFonts w:hAnsi="宋体" w:cs="宋体"/>
          <w:color w:val="auto"/>
          <w:sz w:val="21"/>
          <w:highlight w:val="none"/>
        </w:rPr>
      </w:pPr>
      <w:r>
        <w:rPr>
          <w:rFonts w:hint="eastAsia" w:hAnsi="宋体" w:cs="宋体"/>
          <w:color w:val="auto"/>
          <w:sz w:val="21"/>
          <w:highlight w:val="none"/>
        </w:rPr>
        <w:t xml:space="preserve">38.3 </w:t>
      </w:r>
      <w:r>
        <w:rPr>
          <w:rFonts w:hint="eastAsia" w:hAnsi="宋体" w:cs="宋体"/>
          <w:bCs/>
          <w:color w:val="auto"/>
          <w:sz w:val="21"/>
          <w:highlight w:val="none"/>
          <w:lang w:eastAsia="zh-CN"/>
        </w:rPr>
        <w:t>投标人</w:t>
      </w:r>
      <w:r>
        <w:rPr>
          <w:rFonts w:hint="eastAsia" w:hAnsi="宋体" w:cs="宋体"/>
          <w:bCs/>
          <w:color w:val="auto"/>
          <w:sz w:val="21"/>
          <w:highlight w:val="none"/>
        </w:rPr>
        <w:t>提出质疑应当提交质疑函和必要的证明材料，针对同一采购程序环节的质疑必须在法定质疑期内一次性提出。质疑函应当包括下列内容（质疑函格式后附）：</w:t>
      </w:r>
    </w:p>
    <w:p w14:paraId="53EA3113">
      <w:pPr>
        <w:pStyle w:val="11"/>
        <w:snapToGrid w:val="0"/>
        <w:spacing w:line="440" w:lineRule="exact"/>
        <w:ind w:firstLine="420" w:firstLineChars="200"/>
        <w:jc w:val="left"/>
        <w:rPr>
          <w:rFonts w:hAnsi="宋体" w:cs="宋体"/>
          <w:bCs/>
          <w:color w:val="auto"/>
          <w:sz w:val="21"/>
          <w:highlight w:val="none"/>
        </w:rPr>
      </w:pPr>
      <w:r>
        <w:rPr>
          <w:rFonts w:hint="eastAsia" w:hAnsi="宋体" w:cs="宋体"/>
          <w:bCs/>
          <w:color w:val="auto"/>
          <w:sz w:val="21"/>
          <w:highlight w:val="none"/>
        </w:rPr>
        <w:t>（1）</w:t>
      </w:r>
      <w:r>
        <w:rPr>
          <w:rFonts w:hint="eastAsia" w:hAnsi="宋体" w:cs="宋体"/>
          <w:bCs/>
          <w:color w:val="auto"/>
          <w:sz w:val="21"/>
          <w:highlight w:val="none"/>
          <w:lang w:eastAsia="zh-CN"/>
        </w:rPr>
        <w:t>投标人</w:t>
      </w:r>
      <w:r>
        <w:rPr>
          <w:rFonts w:hint="eastAsia" w:hAnsi="宋体" w:cs="宋体"/>
          <w:bCs/>
          <w:color w:val="auto"/>
          <w:sz w:val="21"/>
          <w:highlight w:val="none"/>
        </w:rPr>
        <w:t>的姓名或者名称、地址、邮编、联系人及联系电话；</w:t>
      </w:r>
    </w:p>
    <w:p w14:paraId="7D6274D1">
      <w:pPr>
        <w:pStyle w:val="11"/>
        <w:snapToGrid w:val="0"/>
        <w:spacing w:line="440" w:lineRule="exact"/>
        <w:ind w:firstLine="420" w:firstLineChars="200"/>
        <w:jc w:val="left"/>
        <w:rPr>
          <w:rFonts w:hAnsi="宋体" w:cs="宋体"/>
          <w:bCs/>
          <w:color w:val="auto"/>
          <w:sz w:val="21"/>
          <w:highlight w:val="none"/>
        </w:rPr>
      </w:pPr>
      <w:r>
        <w:rPr>
          <w:rFonts w:hint="eastAsia" w:hAnsi="宋体" w:cs="宋体"/>
          <w:bCs/>
          <w:color w:val="auto"/>
          <w:sz w:val="21"/>
          <w:highlight w:val="none"/>
        </w:rPr>
        <w:t>（2）质疑项目的名称、编号；</w:t>
      </w:r>
    </w:p>
    <w:p w14:paraId="0FDBA794">
      <w:pPr>
        <w:pStyle w:val="11"/>
        <w:snapToGrid w:val="0"/>
        <w:spacing w:line="440" w:lineRule="exact"/>
        <w:ind w:firstLine="420" w:firstLineChars="200"/>
        <w:jc w:val="left"/>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4924CF4A">
      <w:pPr>
        <w:pStyle w:val="11"/>
        <w:snapToGrid w:val="0"/>
        <w:spacing w:line="440" w:lineRule="exact"/>
        <w:ind w:firstLine="420" w:firstLineChars="200"/>
        <w:jc w:val="left"/>
        <w:rPr>
          <w:rFonts w:hAnsi="宋体" w:cs="宋体"/>
          <w:bCs/>
          <w:color w:val="auto"/>
          <w:sz w:val="21"/>
          <w:highlight w:val="none"/>
        </w:rPr>
      </w:pPr>
      <w:r>
        <w:rPr>
          <w:rFonts w:hint="eastAsia" w:hAnsi="宋体" w:cs="宋体"/>
          <w:bCs/>
          <w:color w:val="auto"/>
          <w:sz w:val="21"/>
          <w:highlight w:val="none"/>
        </w:rPr>
        <w:t>（4）事实依据；</w:t>
      </w:r>
    </w:p>
    <w:p w14:paraId="597D29D3">
      <w:pPr>
        <w:pStyle w:val="11"/>
        <w:snapToGrid w:val="0"/>
        <w:spacing w:line="440" w:lineRule="exact"/>
        <w:ind w:firstLine="420" w:firstLineChars="200"/>
        <w:jc w:val="left"/>
        <w:rPr>
          <w:rFonts w:hAnsi="宋体" w:cs="宋体"/>
          <w:bCs/>
          <w:color w:val="auto"/>
          <w:sz w:val="21"/>
          <w:highlight w:val="none"/>
        </w:rPr>
      </w:pPr>
      <w:r>
        <w:rPr>
          <w:rFonts w:hint="eastAsia" w:hAnsi="宋体" w:cs="宋体"/>
          <w:bCs/>
          <w:color w:val="auto"/>
          <w:sz w:val="21"/>
          <w:highlight w:val="none"/>
        </w:rPr>
        <w:t>（5）必要的法律依据；</w:t>
      </w:r>
    </w:p>
    <w:p w14:paraId="22C3D953">
      <w:pPr>
        <w:pStyle w:val="11"/>
        <w:snapToGrid w:val="0"/>
        <w:spacing w:line="440" w:lineRule="exact"/>
        <w:ind w:firstLine="420" w:firstLineChars="200"/>
        <w:jc w:val="left"/>
        <w:rPr>
          <w:rFonts w:hAnsi="宋体" w:cs="宋体"/>
          <w:bCs/>
          <w:color w:val="auto"/>
          <w:sz w:val="21"/>
          <w:highlight w:val="none"/>
        </w:rPr>
      </w:pPr>
      <w:r>
        <w:rPr>
          <w:rFonts w:hint="eastAsia" w:hAnsi="宋体" w:cs="宋体"/>
          <w:bCs/>
          <w:color w:val="auto"/>
          <w:sz w:val="21"/>
          <w:highlight w:val="none"/>
        </w:rPr>
        <w:t>（6）提出质疑的日期。</w:t>
      </w:r>
    </w:p>
    <w:p w14:paraId="0CCD94C7">
      <w:pPr>
        <w:pStyle w:val="11"/>
        <w:snapToGrid w:val="0"/>
        <w:spacing w:line="440" w:lineRule="exact"/>
        <w:ind w:firstLine="420" w:firstLineChars="200"/>
        <w:jc w:val="left"/>
        <w:rPr>
          <w:rFonts w:hAnsi="宋体" w:cs="宋体"/>
          <w:bCs/>
          <w:color w:val="auto"/>
          <w:sz w:val="21"/>
          <w:highlight w:val="none"/>
        </w:rPr>
      </w:pPr>
      <w:r>
        <w:rPr>
          <w:rFonts w:hint="eastAsia" w:hAnsi="宋体" w:cs="宋体"/>
          <w:bCs/>
          <w:color w:val="auto"/>
          <w:sz w:val="21"/>
          <w:highlight w:val="none"/>
          <w:lang w:eastAsia="zh-CN"/>
        </w:rPr>
        <w:t>投标人</w:t>
      </w:r>
      <w:r>
        <w:rPr>
          <w:rFonts w:hint="eastAsia" w:hAnsi="宋体" w:cs="宋体"/>
          <w:bCs/>
          <w:color w:val="auto"/>
          <w:sz w:val="21"/>
          <w:highlight w:val="none"/>
        </w:rPr>
        <w:t>为自然人的，应当由本人签字；</w:t>
      </w:r>
      <w:r>
        <w:rPr>
          <w:rFonts w:hint="eastAsia" w:hAnsi="宋体" w:cs="宋体"/>
          <w:bCs/>
          <w:color w:val="auto"/>
          <w:sz w:val="21"/>
          <w:highlight w:val="none"/>
          <w:lang w:eastAsia="zh-CN"/>
        </w:rPr>
        <w:t>投标人</w:t>
      </w:r>
      <w:r>
        <w:rPr>
          <w:rFonts w:hint="eastAsia" w:hAnsi="宋体" w:cs="宋体"/>
          <w:bCs/>
          <w:color w:val="auto"/>
          <w:sz w:val="21"/>
          <w:highlight w:val="none"/>
        </w:rPr>
        <w:t>为法人或者其他组织的，应当由法定代表人、主要负责人，或者其委托代理人签字或者盖章，并加盖公章。</w:t>
      </w:r>
    </w:p>
    <w:p w14:paraId="529C5651">
      <w:pPr>
        <w:pStyle w:val="4"/>
        <w:keepNext w:val="0"/>
        <w:keepLines w:val="0"/>
        <w:snapToGrid w:val="0"/>
        <w:spacing w:before="0" w:after="0" w:line="440" w:lineRule="exact"/>
        <w:ind w:firstLine="420" w:firstLineChars="200"/>
        <w:jc w:val="left"/>
        <w:rPr>
          <w:rFonts w:ascii="宋体" w:hAnsi="宋体" w:cs="宋体"/>
          <w:b w:val="0"/>
          <w:bCs/>
          <w:color w:val="auto"/>
          <w:sz w:val="21"/>
          <w:szCs w:val="21"/>
          <w:highlight w:val="none"/>
        </w:rPr>
      </w:pPr>
      <w:r>
        <w:rPr>
          <w:rFonts w:hint="eastAsia" w:ascii="宋体" w:hAnsi="宋体" w:cs="宋体"/>
          <w:b w:val="0"/>
          <w:color w:val="auto"/>
          <w:sz w:val="21"/>
          <w:szCs w:val="21"/>
          <w:highlight w:val="none"/>
        </w:rPr>
        <w:t>3</w:t>
      </w:r>
      <w:r>
        <w:rPr>
          <w:rFonts w:hint="eastAsia" w:ascii="宋体" w:hAnsi="宋体" w:cs="宋体"/>
          <w:b w:val="0"/>
          <w:bCs/>
          <w:color w:val="auto"/>
          <w:sz w:val="21"/>
          <w:szCs w:val="21"/>
          <w:highlight w:val="none"/>
        </w:rPr>
        <w:t>8.4采购人、采购代理机构认为</w:t>
      </w:r>
      <w:r>
        <w:rPr>
          <w:rFonts w:hint="eastAsia" w:ascii="宋体" w:hAnsi="宋体" w:cs="宋体"/>
          <w:b w:val="0"/>
          <w:bCs/>
          <w:color w:val="auto"/>
          <w:sz w:val="21"/>
          <w:szCs w:val="21"/>
          <w:highlight w:val="none"/>
          <w:lang w:eastAsia="zh-CN"/>
        </w:rPr>
        <w:t>投标人</w:t>
      </w:r>
      <w:r>
        <w:rPr>
          <w:rFonts w:hint="eastAsia" w:ascii="宋体" w:hAnsi="宋体" w:cs="宋体"/>
          <w:b w:val="0"/>
          <w:bCs/>
          <w:color w:val="auto"/>
          <w:sz w:val="21"/>
          <w:szCs w:val="21"/>
          <w:highlight w:val="none"/>
        </w:rPr>
        <w:t>质疑不成立，或者成立但未对中标结果构成影响的，继续开展采购活动；认为</w:t>
      </w:r>
      <w:r>
        <w:rPr>
          <w:rFonts w:hint="eastAsia" w:ascii="宋体" w:hAnsi="宋体" w:cs="宋体"/>
          <w:b w:val="0"/>
          <w:bCs/>
          <w:color w:val="auto"/>
          <w:sz w:val="21"/>
          <w:szCs w:val="21"/>
          <w:highlight w:val="none"/>
          <w:lang w:eastAsia="zh-CN"/>
        </w:rPr>
        <w:t>投标人</w:t>
      </w:r>
      <w:r>
        <w:rPr>
          <w:rFonts w:hint="eastAsia" w:ascii="宋体" w:hAnsi="宋体" w:cs="宋体"/>
          <w:b w:val="0"/>
          <w:bCs/>
          <w:color w:val="auto"/>
          <w:sz w:val="21"/>
          <w:szCs w:val="21"/>
          <w:highlight w:val="none"/>
        </w:rPr>
        <w:t>质疑成立且影响或者可能影响中标结果的，按照下列情况处理：</w:t>
      </w:r>
    </w:p>
    <w:p w14:paraId="24EF312E">
      <w:pPr>
        <w:pStyle w:val="4"/>
        <w:keepNext w:val="0"/>
        <w:keepLines w:val="0"/>
        <w:snapToGrid w:val="0"/>
        <w:spacing w:before="0" w:after="0" w:line="440" w:lineRule="exact"/>
        <w:ind w:firstLine="420" w:firstLineChars="200"/>
        <w:jc w:val="left"/>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（一）对招标文件提出的质疑，依法通过澄清或者修改可以继续开展采购活动的，澄清或者修改招标文件后继续开展采购活动；否则应当修改招标文件后重新开展采购活动。</w:t>
      </w:r>
    </w:p>
    <w:p w14:paraId="3952878F">
      <w:pPr>
        <w:pStyle w:val="4"/>
        <w:keepNext w:val="0"/>
        <w:keepLines w:val="0"/>
        <w:snapToGrid w:val="0"/>
        <w:spacing w:before="0" w:after="0" w:line="440" w:lineRule="exact"/>
        <w:ind w:firstLine="420" w:firstLineChars="200"/>
        <w:jc w:val="left"/>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（二）对采购过程、中标结果提出的质疑，合格</w:t>
      </w:r>
      <w:r>
        <w:rPr>
          <w:rFonts w:hint="eastAsia" w:ascii="宋体" w:hAnsi="宋体" w:cs="宋体"/>
          <w:b w:val="0"/>
          <w:bCs/>
          <w:color w:val="auto"/>
          <w:sz w:val="21"/>
          <w:szCs w:val="21"/>
          <w:highlight w:val="none"/>
          <w:lang w:eastAsia="zh-CN"/>
        </w:rPr>
        <w:t>投标人</w:t>
      </w:r>
      <w:r>
        <w:rPr>
          <w:rFonts w:hint="eastAsia" w:ascii="宋体" w:hAnsi="宋体" w:cs="宋体"/>
          <w:b w:val="0"/>
          <w:bCs/>
          <w:color w:val="auto"/>
          <w:sz w:val="21"/>
          <w:szCs w:val="21"/>
          <w:highlight w:val="none"/>
        </w:rPr>
        <w:t>符合法定数量时，可以从合格的中标候选人中另行确定中标</w:t>
      </w:r>
      <w:r>
        <w:rPr>
          <w:rFonts w:hint="eastAsia" w:ascii="宋体" w:hAnsi="宋体" w:cs="宋体"/>
          <w:b w:val="0"/>
          <w:bCs/>
          <w:color w:val="auto"/>
          <w:sz w:val="21"/>
          <w:szCs w:val="21"/>
          <w:highlight w:val="none"/>
          <w:lang w:eastAsia="zh-CN"/>
        </w:rPr>
        <w:t>投标人</w:t>
      </w:r>
      <w:r>
        <w:rPr>
          <w:rFonts w:hint="eastAsia" w:ascii="宋体" w:hAnsi="宋体" w:cs="宋体"/>
          <w:b w:val="0"/>
          <w:bCs/>
          <w:color w:val="auto"/>
          <w:sz w:val="21"/>
          <w:szCs w:val="21"/>
          <w:highlight w:val="none"/>
        </w:rPr>
        <w:t>的，应当依法另行确定中标</w:t>
      </w:r>
      <w:r>
        <w:rPr>
          <w:rFonts w:hint="eastAsia" w:ascii="宋体" w:hAnsi="宋体" w:cs="宋体"/>
          <w:b w:val="0"/>
          <w:bCs/>
          <w:color w:val="auto"/>
          <w:sz w:val="21"/>
          <w:szCs w:val="21"/>
          <w:highlight w:val="none"/>
          <w:lang w:eastAsia="zh-CN"/>
        </w:rPr>
        <w:t>投标人</w:t>
      </w:r>
      <w:r>
        <w:rPr>
          <w:rFonts w:hint="eastAsia" w:ascii="宋体" w:hAnsi="宋体" w:cs="宋体"/>
          <w:b w:val="0"/>
          <w:bCs/>
          <w:color w:val="auto"/>
          <w:sz w:val="21"/>
          <w:szCs w:val="21"/>
          <w:highlight w:val="none"/>
        </w:rPr>
        <w:t>；否则应当重新开展采购活动。</w:t>
      </w:r>
    </w:p>
    <w:p w14:paraId="1A03F33D">
      <w:pPr>
        <w:pStyle w:val="4"/>
        <w:keepNext w:val="0"/>
        <w:keepLines w:val="0"/>
        <w:snapToGrid w:val="0"/>
        <w:spacing w:before="0" w:after="0" w:line="440" w:lineRule="exact"/>
        <w:ind w:firstLine="420" w:firstLineChars="200"/>
        <w:jc w:val="left"/>
        <w:rPr>
          <w:rFonts w:ascii="宋体" w:hAnsi="宋体" w:cs="宋体"/>
          <w:b w:val="0"/>
          <w:color w:val="auto"/>
          <w:sz w:val="21"/>
          <w:szCs w:val="21"/>
          <w:highlight w:val="none"/>
        </w:rPr>
      </w:pPr>
      <w:r>
        <w:rPr>
          <w:rFonts w:hint="eastAsia" w:ascii="宋体" w:hAnsi="宋体" w:cs="宋体"/>
          <w:b w:val="0"/>
          <w:bCs/>
          <w:color w:val="auto"/>
          <w:sz w:val="21"/>
          <w:szCs w:val="21"/>
          <w:highlight w:val="none"/>
        </w:rPr>
        <w:t>质疑答复导致中标结果改变的，采购人或者采购代理机构应当将有关情况书面报告本级财政部门。</w:t>
      </w:r>
    </w:p>
    <w:p w14:paraId="42D6809B">
      <w:pPr>
        <w:pStyle w:val="4"/>
        <w:keepNext w:val="0"/>
        <w:keepLines w:val="0"/>
        <w:snapToGrid w:val="0"/>
        <w:spacing w:before="0" w:after="0" w:line="440" w:lineRule="exact"/>
        <w:ind w:firstLine="420" w:firstLineChars="200"/>
        <w:jc w:val="left"/>
        <w:rPr>
          <w:rFonts w:ascii="宋体" w:hAnsi="宋体" w:cs="宋体"/>
          <w:color w:val="auto"/>
          <w:sz w:val="21"/>
          <w:szCs w:val="21"/>
          <w:highlight w:val="none"/>
        </w:rPr>
      </w:pPr>
      <w:r>
        <w:rPr>
          <w:rFonts w:hint="eastAsia" w:ascii="宋体" w:hAnsi="宋体" w:cs="宋体"/>
          <w:b w:val="0"/>
          <w:color w:val="auto"/>
          <w:sz w:val="21"/>
          <w:szCs w:val="21"/>
          <w:highlight w:val="none"/>
        </w:rPr>
        <w:t>38.5质疑</w:t>
      </w:r>
      <w:r>
        <w:rPr>
          <w:rFonts w:hint="eastAsia" w:ascii="宋体" w:hAnsi="宋体" w:cs="宋体"/>
          <w:b w:val="0"/>
          <w:color w:val="auto"/>
          <w:sz w:val="21"/>
          <w:szCs w:val="21"/>
          <w:highlight w:val="none"/>
          <w:lang w:eastAsia="zh-CN"/>
        </w:rPr>
        <w:t>投标人</w:t>
      </w:r>
      <w:r>
        <w:rPr>
          <w:rFonts w:hint="eastAsia" w:ascii="宋体" w:hAnsi="宋体" w:cs="宋体"/>
          <w:b w:val="0"/>
          <w:color w:val="auto"/>
          <w:sz w:val="21"/>
          <w:szCs w:val="21"/>
          <w:highlight w:val="none"/>
        </w:rPr>
        <w:t>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11E108F">
      <w:pPr>
        <w:spacing w:before="120" w:beforeLines="50" w:line="360" w:lineRule="auto"/>
        <w:jc w:val="center"/>
        <w:rPr>
          <w:rFonts w:ascii="宋体" w:hAnsi="宋体"/>
          <w:b/>
          <w:color w:val="auto"/>
          <w:sz w:val="24"/>
          <w:szCs w:val="32"/>
          <w:highlight w:val="none"/>
        </w:rPr>
      </w:pPr>
      <w:r>
        <w:rPr>
          <w:rFonts w:hint="eastAsia" w:ascii="宋体" w:hAnsi="宋体"/>
          <w:b/>
          <w:color w:val="auto"/>
          <w:sz w:val="24"/>
          <w:szCs w:val="32"/>
          <w:highlight w:val="none"/>
        </w:rPr>
        <w:t>八、其他事项</w:t>
      </w:r>
      <w:bookmarkStart w:id="142" w:name="_42.代理服务费"/>
      <w:bookmarkEnd w:id="142"/>
    </w:p>
    <w:p w14:paraId="5A3226AF">
      <w:pPr>
        <w:pStyle w:val="4"/>
        <w:keepNext w:val="0"/>
        <w:keepLines w:val="0"/>
        <w:snapToGrid w:val="0"/>
        <w:spacing w:before="0" w:after="0" w:line="440" w:lineRule="exact"/>
        <w:ind w:firstLine="420" w:firstLineChars="200"/>
        <w:jc w:val="left"/>
        <w:rPr>
          <w:rFonts w:ascii="宋体" w:hAnsi="宋体"/>
          <w:b w:val="0"/>
          <w:color w:val="auto"/>
          <w:sz w:val="21"/>
          <w:szCs w:val="21"/>
          <w:highlight w:val="none"/>
        </w:rPr>
      </w:pPr>
      <w:r>
        <w:rPr>
          <w:rFonts w:hint="eastAsia" w:ascii="宋体" w:hAnsi="宋体" w:cs="宋体"/>
          <w:b w:val="0"/>
          <w:color w:val="auto"/>
          <w:sz w:val="21"/>
          <w:szCs w:val="21"/>
          <w:highlight w:val="none"/>
        </w:rPr>
        <w:t>39.代理服务费</w:t>
      </w:r>
    </w:p>
    <w:p w14:paraId="4BB03BA6">
      <w:pPr>
        <w:pStyle w:val="4"/>
        <w:keepNext w:val="0"/>
        <w:keepLines w:val="0"/>
        <w:snapToGrid w:val="0"/>
        <w:spacing w:before="0" w:after="0" w:line="440" w:lineRule="exact"/>
        <w:ind w:firstLine="420" w:firstLineChars="200"/>
        <w:jc w:val="left"/>
        <w:rPr>
          <w:rFonts w:ascii="宋体" w:hAnsi="宋体"/>
          <w:b w:val="0"/>
          <w:color w:val="auto"/>
          <w:sz w:val="21"/>
          <w:szCs w:val="21"/>
          <w:highlight w:val="none"/>
        </w:rPr>
      </w:pPr>
      <w:r>
        <w:rPr>
          <w:rFonts w:ascii="宋体" w:hAnsi="宋体"/>
          <w:b w:val="0"/>
          <w:color w:val="auto"/>
          <w:sz w:val="21"/>
          <w:szCs w:val="21"/>
          <w:highlight w:val="none"/>
        </w:rPr>
        <w:t>3</w:t>
      </w:r>
      <w:r>
        <w:rPr>
          <w:rFonts w:hint="eastAsia" w:ascii="宋体" w:hAnsi="宋体"/>
          <w:b w:val="0"/>
          <w:color w:val="auto"/>
          <w:sz w:val="21"/>
          <w:szCs w:val="21"/>
          <w:highlight w:val="none"/>
        </w:rPr>
        <w:t>9</w:t>
      </w:r>
      <w:r>
        <w:rPr>
          <w:rFonts w:ascii="宋体" w:hAnsi="宋体"/>
          <w:b w:val="0"/>
          <w:color w:val="auto"/>
          <w:sz w:val="21"/>
          <w:szCs w:val="21"/>
          <w:highlight w:val="none"/>
        </w:rPr>
        <w:t>.1</w:t>
      </w:r>
      <w:r>
        <w:rPr>
          <w:rFonts w:hint="eastAsia" w:ascii="宋体" w:hAnsi="宋体" w:cs="宋体"/>
          <w:b w:val="0"/>
          <w:color w:val="auto"/>
          <w:kern w:val="0"/>
          <w:sz w:val="21"/>
          <w:szCs w:val="21"/>
          <w:highlight w:val="none"/>
        </w:rPr>
        <w:t>采购代理费支付方式、采购代理费收取标准、</w:t>
      </w:r>
      <w:r>
        <w:rPr>
          <w:rFonts w:hint="eastAsia" w:ascii="宋体" w:hAnsi="宋体"/>
          <w:b w:val="0"/>
          <w:color w:val="auto"/>
          <w:sz w:val="21"/>
          <w:szCs w:val="21"/>
          <w:highlight w:val="none"/>
        </w:rPr>
        <w:t>采购代理费收取银行账户详见“投标人须知前附表”，投标人为联合体的，可以由联合体中的一方或者多方共同交纳代理服务费。</w:t>
      </w:r>
    </w:p>
    <w:p w14:paraId="525BA3DF">
      <w:pPr>
        <w:spacing w:line="440" w:lineRule="exact"/>
        <w:ind w:firstLine="420" w:firstLineChars="200"/>
        <w:jc w:val="left"/>
        <w:rPr>
          <w:rFonts w:ascii="宋体" w:hAnsi="宋体" w:cs="Courier New"/>
          <w:color w:val="auto"/>
          <w:szCs w:val="21"/>
          <w:highlight w:val="none"/>
        </w:rPr>
      </w:pPr>
      <w:r>
        <w:rPr>
          <w:rFonts w:ascii="宋体" w:hAnsi="宋体" w:cs="Courier New"/>
          <w:color w:val="auto"/>
          <w:szCs w:val="21"/>
          <w:highlight w:val="none"/>
        </w:rPr>
        <w:t>3</w:t>
      </w:r>
      <w:r>
        <w:rPr>
          <w:rFonts w:hint="eastAsia" w:ascii="宋体" w:hAnsi="宋体" w:cs="Courier New"/>
          <w:color w:val="auto"/>
          <w:szCs w:val="21"/>
          <w:highlight w:val="none"/>
        </w:rPr>
        <w:t>9</w:t>
      </w:r>
      <w:r>
        <w:rPr>
          <w:rFonts w:ascii="宋体" w:hAnsi="宋体" w:cs="Courier New"/>
          <w:color w:val="auto"/>
          <w:szCs w:val="21"/>
          <w:highlight w:val="none"/>
        </w:rPr>
        <w:t>.2</w:t>
      </w:r>
      <w:r>
        <w:rPr>
          <w:rFonts w:hint="eastAsia" w:ascii="宋体" w:hAnsi="宋体" w:cs="Courier New"/>
          <w:color w:val="auto"/>
          <w:szCs w:val="21"/>
          <w:highlight w:val="none"/>
        </w:rPr>
        <w:t>至成交通知书发出后，招标代理流程即完成，后续由成交</w:t>
      </w:r>
      <w:r>
        <w:rPr>
          <w:rFonts w:hint="eastAsia" w:ascii="宋体" w:hAnsi="宋体" w:cs="Courier New"/>
          <w:color w:val="auto"/>
          <w:szCs w:val="21"/>
          <w:highlight w:val="none"/>
          <w:lang w:eastAsia="zh-CN"/>
        </w:rPr>
        <w:t>投标人</w:t>
      </w:r>
      <w:r>
        <w:rPr>
          <w:rFonts w:hint="eastAsia" w:ascii="宋体" w:hAnsi="宋体" w:cs="Courier New"/>
          <w:color w:val="auto"/>
          <w:szCs w:val="21"/>
          <w:highlight w:val="none"/>
        </w:rPr>
        <w:t>（含原成交</w:t>
      </w:r>
      <w:r>
        <w:rPr>
          <w:rFonts w:hint="eastAsia" w:ascii="宋体" w:hAnsi="宋体" w:cs="Courier New"/>
          <w:color w:val="auto"/>
          <w:szCs w:val="21"/>
          <w:highlight w:val="none"/>
          <w:lang w:eastAsia="zh-CN"/>
        </w:rPr>
        <w:t>投标人</w:t>
      </w:r>
      <w:r>
        <w:rPr>
          <w:rFonts w:hint="eastAsia" w:ascii="宋体" w:hAnsi="宋体" w:cs="Courier New"/>
          <w:color w:val="auto"/>
          <w:szCs w:val="21"/>
          <w:highlight w:val="none"/>
        </w:rPr>
        <w:t>）</w:t>
      </w:r>
      <w:r>
        <w:rPr>
          <w:rFonts w:hint="eastAsia" w:ascii="宋体" w:hAnsi="宋体" w:cs="Courier New"/>
          <w:color w:val="auto"/>
          <w:szCs w:val="21"/>
          <w:highlight w:val="none"/>
          <w:lang w:eastAsia="zh-CN"/>
        </w:rPr>
        <w:t>投标文件</w:t>
      </w:r>
      <w:r>
        <w:rPr>
          <w:rFonts w:hint="eastAsia" w:ascii="宋体" w:hAnsi="宋体" w:cs="Courier New"/>
          <w:color w:val="auto"/>
          <w:szCs w:val="21"/>
          <w:highlight w:val="none"/>
        </w:rPr>
        <w:t>原因导致质疑、响应提供虚假材料、合同履约引起的项目废标，该费用不予退还。</w:t>
      </w:r>
    </w:p>
    <w:p w14:paraId="034074D0">
      <w:pPr>
        <w:pStyle w:val="4"/>
        <w:keepNext w:val="0"/>
        <w:keepLines w:val="0"/>
        <w:spacing w:before="0" w:after="0" w:line="360" w:lineRule="auto"/>
        <w:ind w:left="420" w:leftChars="200"/>
        <w:rPr>
          <w:rFonts w:ascii="宋体" w:hAnsi="宋体"/>
          <w:b w:val="0"/>
          <w:color w:val="auto"/>
          <w:sz w:val="21"/>
          <w:szCs w:val="21"/>
          <w:highlight w:val="none"/>
        </w:rPr>
      </w:pPr>
      <w:r>
        <w:rPr>
          <w:rFonts w:ascii="宋体" w:hAnsi="宋体" w:cs="Courier New"/>
          <w:color w:val="auto"/>
          <w:sz w:val="21"/>
          <w:szCs w:val="21"/>
          <w:highlight w:val="none"/>
        </w:rPr>
        <w:t>3</w:t>
      </w:r>
      <w:r>
        <w:rPr>
          <w:rFonts w:hint="eastAsia" w:ascii="宋体" w:hAnsi="宋体" w:cs="Courier New"/>
          <w:color w:val="auto"/>
          <w:sz w:val="21"/>
          <w:szCs w:val="21"/>
          <w:highlight w:val="none"/>
        </w:rPr>
        <w:t>9</w:t>
      </w:r>
      <w:r>
        <w:rPr>
          <w:rFonts w:ascii="宋体" w:hAnsi="宋体" w:cs="Courier New"/>
          <w:color w:val="auto"/>
          <w:sz w:val="21"/>
          <w:szCs w:val="21"/>
          <w:highlight w:val="none"/>
        </w:rPr>
        <w:t>.</w:t>
      </w:r>
      <w:r>
        <w:rPr>
          <w:rFonts w:hint="eastAsia" w:ascii="宋体" w:hAnsi="宋体" w:cs="Courier New"/>
          <w:color w:val="auto"/>
          <w:sz w:val="21"/>
          <w:szCs w:val="21"/>
          <w:highlight w:val="none"/>
          <w:lang w:val="en-US" w:eastAsia="zh-CN"/>
        </w:rPr>
        <w:t>3</w:t>
      </w:r>
      <w:r>
        <w:rPr>
          <w:rFonts w:hint="eastAsia" w:ascii="宋体" w:hAnsi="宋体"/>
          <w:b w:val="0"/>
          <w:color w:val="auto"/>
          <w:sz w:val="21"/>
          <w:szCs w:val="21"/>
          <w:highlight w:val="none"/>
        </w:rPr>
        <w:t>代理服务收费标准：</w:t>
      </w:r>
    </w:p>
    <w:tbl>
      <w:tblPr>
        <w:tblStyle w:val="1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35E0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785513C8">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1DD31639">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66CC8DEA">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7FEF2A78">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18ECF297">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535B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7D50178">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Pr>
          <w:p w14:paraId="4101F39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1.5% </w:t>
            </w:r>
          </w:p>
        </w:tc>
        <w:tc>
          <w:tcPr>
            <w:tcW w:w="1687" w:type="dxa"/>
          </w:tcPr>
          <w:p w14:paraId="7E8F3384">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209CB966">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1.0% </w:t>
            </w:r>
          </w:p>
        </w:tc>
      </w:tr>
      <w:tr w14:paraId="73E5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ECC4422">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tcPr>
          <w:p w14:paraId="3FD7627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p>
        </w:tc>
        <w:tc>
          <w:tcPr>
            <w:tcW w:w="1687" w:type="dxa"/>
          </w:tcPr>
          <w:p w14:paraId="27A0993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1EDC29A5">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0.7% </w:t>
            </w:r>
          </w:p>
        </w:tc>
      </w:tr>
      <w:tr w14:paraId="4C52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D87678">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tcPr>
          <w:p w14:paraId="4B47462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0.8% </w:t>
            </w:r>
          </w:p>
        </w:tc>
        <w:tc>
          <w:tcPr>
            <w:tcW w:w="1687" w:type="dxa"/>
          </w:tcPr>
          <w:p w14:paraId="2E6DF17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42D9EC3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42EE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A80A80C">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tcPr>
          <w:p w14:paraId="6C6D2FA6">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p>
        </w:tc>
        <w:tc>
          <w:tcPr>
            <w:tcW w:w="1687" w:type="dxa"/>
          </w:tcPr>
          <w:p w14:paraId="6DC799FE">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7119293C">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0.35% </w:t>
            </w:r>
          </w:p>
        </w:tc>
      </w:tr>
      <w:tr w14:paraId="7B4D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7B2627D">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Pr>
          <w:p w14:paraId="2E85AE1F">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0.25% </w:t>
            </w:r>
          </w:p>
        </w:tc>
        <w:tc>
          <w:tcPr>
            <w:tcW w:w="1687" w:type="dxa"/>
          </w:tcPr>
          <w:p w14:paraId="6049FE26">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3D83150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1EA0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3E91B5B">
            <w:pP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tcPr>
          <w:p w14:paraId="34C01380">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Pr>
          <w:p w14:paraId="669B9376">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Pr>
          <w:p w14:paraId="73C8A30B">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119D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BF69D6E">
            <w:pP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tcPr>
          <w:p w14:paraId="28C19A63">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0.035%</w:t>
            </w:r>
          </w:p>
        </w:tc>
        <w:tc>
          <w:tcPr>
            <w:tcW w:w="1687" w:type="dxa"/>
          </w:tcPr>
          <w:p w14:paraId="690CE45F">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Pr>
          <w:p w14:paraId="0C106109">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4731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FD35EDC">
            <w:pP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tcPr>
          <w:p w14:paraId="04FB7F03">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87" w:type="dxa"/>
          </w:tcPr>
          <w:p w14:paraId="26F18E51">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Pr>
          <w:p w14:paraId="4E868FF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0FDE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86A3250">
            <w:pP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tcPr>
          <w:p w14:paraId="10AF1E62">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87" w:type="dxa"/>
          </w:tcPr>
          <w:p w14:paraId="0B5170A2">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Pr>
          <w:p w14:paraId="2EA69075">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6802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BD7EB1E">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Pr>
          <w:p w14:paraId="44D53237">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87" w:type="dxa"/>
          </w:tcPr>
          <w:p w14:paraId="4BC93F5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Pr>
          <w:p w14:paraId="3CA0B813">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5CD3CAA3">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p>
    <w:p w14:paraId="048002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7B9D91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75F6280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4340308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4CB9451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0F839326">
      <w:pPr>
        <w:pStyle w:val="11"/>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7368222D">
      <w:pPr>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40. 需要补充的其他内容</w:t>
      </w:r>
    </w:p>
    <w:p w14:paraId="6927317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40.1本招标文件解释规则详见“投标人须知前附表”。</w:t>
      </w:r>
    </w:p>
    <w:p w14:paraId="75974F71">
      <w:pPr>
        <w:pStyle w:val="11"/>
        <w:spacing w:line="440" w:lineRule="exact"/>
        <w:ind w:firstLine="420" w:firstLineChars="200"/>
        <w:contextualSpacing/>
        <w:jc w:val="left"/>
        <w:rPr>
          <w:rFonts w:hAnsi="宋体" w:cs="宋体"/>
          <w:color w:val="auto"/>
          <w:sz w:val="21"/>
          <w:highlight w:val="none"/>
        </w:rPr>
      </w:pPr>
      <w:r>
        <w:rPr>
          <w:rFonts w:hint="eastAsia" w:hAnsi="宋体" w:cs="宋体"/>
          <w:color w:val="auto"/>
          <w:sz w:val="21"/>
          <w:highlight w:val="none"/>
        </w:rPr>
        <w:t>40.2 其他事项详见“投标人须知前附表”。</w:t>
      </w:r>
    </w:p>
    <w:p w14:paraId="149CCF3E">
      <w:pPr>
        <w:pStyle w:val="11"/>
        <w:spacing w:line="440" w:lineRule="exact"/>
        <w:ind w:firstLine="420" w:firstLineChars="200"/>
        <w:contextualSpacing/>
        <w:jc w:val="left"/>
        <w:rPr>
          <w:rFonts w:hAnsi="宋体" w:cs="宋体"/>
          <w:color w:val="auto"/>
          <w:sz w:val="21"/>
          <w:highlight w:val="none"/>
        </w:rPr>
      </w:pPr>
      <w:r>
        <w:rPr>
          <w:rFonts w:hint="eastAsia" w:hAnsi="宋体" w:cs="宋体"/>
          <w:color w:val="auto"/>
          <w:sz w:val="21"/>
          <w:highlight w:val="none"/>
        </w:rPr>
        <w:t>40.3 如由于询问、质疑和投诉、验收环节，需要核实关于投标文件中的相关证明材料，投标人必须按照要求配合，否则按照虚假材料认定，并报告本级财政部门进行核实并按照规定作出相关处罚。</w:t>
      </w:r>
    </w:p>
    <w:p w14:paraId="376E731C">
      <w:pPr>
        <w:pStyle w:val="11"/>
        <w:spacing w:line="440" w:lineRule="exact"/>
        <w:ind w:firstLine="420" w:firstLineChars="200"/>
        <w:contextualSpacing/>
        <w:jc w:val="left"/>
        <w:rPr>
          <w:rFonts w:hAnsi="宋体" w:cs="宋体"/>
          <w:color w:val="auto"/>
          <w:sz w:val="21"/>
          <w:highlight w:val="none"/>
        </w:rPr>
      </w:pPr>
      <w:bookmarkStart w:id="143" w:name="_Hlk65857140"/>
      <w:r>
        <w:rPr>
          <w:rFonts w:hint="eastAsia" w:hAnsi="宋体" w:cs="宋体"/>
          <w:color w:val="auto"/>
          <w:sz w:val="21"/>
          <w:highlight w:val="none"/>
        </w:rPr>
        <w:t>40.4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hAnsi="宋体" w:cs="宋体"/>
          <w:color w:val="auto"/>
          <w:sz w:val="21"/>
          <w:highlight w:val="none"/>
          <w:lang w:eastAsia="zh-CN"/>
        </w:rPr>
        <w:t>投标人</w:t>
      </w:r>
      <w:r>
        <w:rPr>
          <w:rFonts w:hint="eastAsia" w:hAnsi="宋体" w:cs="宋体"/>
          <w:color w:val="auto"/>
          <w:sz w:val="21"/>
          <w:highlight w:val="none"/>
        </w:rPr>
        <w:t>提供的货物、工程或者服务符合下列情形的，享受本招标文件规定的中小企业扶持政策：</w:t>
      </w:r>
    </w:p>
    <w:p w14:paraId="1E261C9A">
      <w:pPr>
        <w:pStyle w:val="11"/>
        <w:spacing w:line="440" w:lineRule="exact"/>
        <w:ind w:firstLine="420" w:firstLineChars="200"/>
        <w:contextualSpacing/>
        <w:jc w:val="left"/>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BC74BB5">
      <w:pPr>
        <w:pStyle w:val="11"/>
        <w:spacing w:line="440" w:lineRule="exact"/>
        <w:ind w:firstLine="420" w:firstLineChars="200"/>
        <w:contextualSpacing/>
        <w:jc w:val="left"/>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7C608FBF">
      <w:pPr>
        <w:pStyle w:val="11"/>
        <w:spacing w:line="440" w:lineRule="exact"/>
        <w:ind w:firstLine="420" w:firstLineChars="200"/>
        <w:contextualSpacing/>
        <w:jc w:val="left"/>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380C977">
      <w:pPr>
        <w:pStyle w:val="11"/>
        <w:spacing w:line="440" w:lineRule="exact"/>
        <w:ind w:firstLine="420" w:firstLineChars="200"/>
        <w:contextualSpacing/>
        <w:jc w:val="left"/>
        <w:rPr>
          <w:rFonts w:hAnsi="宋体" w:cs="宋体"/>
          <w:color w:val="auto"/>
          <w:sz w:val="21"/>
          <w:highlight w:val="none"/>
        </w:rPr>
      </w:pPr>
      <w:r>
        <w:rPr>
          <w:rFonts w:hint="eastAsia" w:hAnsi="宋体" w:cs="宋体"/>
          <w:color w:val="auto"/>
          <w:sz w:val="21"/>
          <w:highlight w:val="none"/>
        </w:rPr>
        <w:t>在货物采购项目中，</w:t>
      </w:r>
      <w:r>
        <w:rPr>
          <w:rFonts w:hint="eastAsia" w:hAnsi="宋体" w:cs="宋体"/>
          <w:color w:val="auto"/>
          <w:sz w:val="21"/>
          <w:highlight w:val="none"/>
          <w:lang w:eastAsia="zh-CN"/>
        </w:rPr>
        <w:t>投标人</w:t>
      </w:r>
      <w:r>
        <w:rPr>
          <w:rFonts w:hint="eastAsia" w:hAnsi="宋体" w:cs="宋体"/>
          <w:color w:val="auto"/>
          <w:sz w:val="21"/>
          <w:highlight w:val="none"/>
        </w:rPr>
        <w:t>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69745AD">
      <w:pPr>
        <w:pStyle w:val="11"/>
        <w:spacing w:line="440" w:lineRule="exact"/>
        <w:ind w:firstLine="420" w:firstLineChars="200"/>
        <w:contextualSpacing/>
        <w:jc w:val="left"/>
        <w:rPr>
          <w:rFonts w:hAnsi="宋体" w:cs="宋体"/>
          <w:color w:val="auto"/>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3"/>
    </w:p>
    <w:bookmarkEnd w:id="81"/>
    <w:bookmarkEnd w:id="82"/>
    <w:p w14:paraId="594872E8">
      <w:pPr>
        <w:pStyle w:val="2"/>
        <w:keepNext w:val="0"/>
        <w:keepLines w:val="0"/>
        <w:tabs>
          <w:tab w:val="left" w:pos="0"/>
          <w:tab w:val="left" w:pos="3165"/>
          <w:tab w:val="center" w:pos="4153"/>
        </w:tabs>
        <w:autoSpaceDE w:val="0"/>
        <w:autoSpaceDN w:val="0"/>
        <w:adjustRightInd w:val="0"/>
        <w:spacing w:before="0" w:after="0" w:line="360" w:lineRule="auto"/>
        <w:rPr>
          <w:color w:val="auto"/>
          <w:highlight w:val="none"/>
        </w:rPr>
      </w:pPr>
      <w:bookmarkStart w:id="144" w:name="_Toc254970689"/>
      <w:bookmarkStart w:id="145" w:name="_Toc330456896"/>
      <w:bookmarkStart w:id="146" w:name="_Toc254970548"/>
      <w:r>
        <w:rPr>
          <w:color w:val="auto"/>
          <w:highlight w:val="none"/>
        </w:rPr>
        <w:br w:type="page"/>
      </w:r>
      <w:bookmarkStart w:id="147" w:name="_Toc105771721"/>
      <w:bookmarkStart w:id="148" w:name="_Toc21844"/>
      <w:r>
        <w:rPr>
          <w:rFonts w:hint="eastAsia"/>
          <w:color w:val="auto"/>
          <w:highlight w:val="none"/>
        </w:rPr>
        <w:t>第四章 评标方法及评标标准</w:t>
      </w:r>
      <w:bookmarkEnd w:id="144"/>
      <w:bookmarkEnd w:id="145"/>
      <w:bookmarkEnd w:id="146"/>
      <w:bookmarkEnd w:id="147"/>
      <w:bookmarkEnd w:id="148"/>
    </w:p>
    <w:p w14:paraId="3C61896C">
      <w:pPr>
        <w:pStyle w:val="11"/>
        <w:spacing w:line="360" w:lineRule="auto"/>
        <w:jc w:val="center"/>
        <w:outlineLvl w:val="1"/>
        <w:rPr>
          <w:rFonts w:hAnsi="宋体"/>
          <w:b/>
          <w:color w:val="auto"/>
          <w:sz w:val="32"/>
          <w:szCs w:val="32"/>
          <w:highlight w:val="none"/>
        </w:rPr>
      </w:pPr>
      <w:bookmarkStart w:id="149" w:name="_Toc10027"/>
      <w:bookmarkStart w:id="150" w:name="OLE_LINK39"/>
      <w:r>
        <w:rPr>
          <w:rFonts w:hint="eastAsia" w:hAnsi="宋体"/>
          <w:b/>
          <w:color w:val="auto"/>
          <w:sz w:val="32"/>
          <w:szCs w:val="32"/>
          <w:highlight w:val="none"/>
        </w:rPr>
        <w:t>一、评标方法</w:t>
      </w:r>
      <w:bookmarkEnd w:id="149"/>
    </w:p>
    <w:p w14:paraId="60853528">
      <w:pPr>
        <w:pStyle w:val="11"/>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17BE7B8A">
      <w:pPr>
        <w:pStyle w:val="11"/>
        <w:spacing w:line="360" w:lineRule="auto"/>
        <w:jc w:val="center"/>
        <w:outlineLvl w:val="1"/>
        <w:rPr>
          <w:rFonts w:hAnsi="宋体"/>
          <w:b/>
          <w:color w:val="auto"/>
          <w:sz w:val="32"/>
          <w:szCs w:val="32"/>
          <w:highlight w:val="none"/>
        </w:rPr>
      </w:pPr>
      <w:bookmarkStart w:id="151" w:name="_Toc6017"/>
      <w:r>
        <w:rPr>
          <w:rFonts w:hint="eastAsia" w:hAnsi="宋体"/>
          <w:b/>
          <w:color w:val="auto"/>
          <w:sz w:val="32"/>
          <w:szCs w:val="32"/>
          <w:highlight w:val="none"/>
        </w:rPr>
        <w:t>二、评标程序</w:t>
      </w:r>
      <w:bookmarkEnd w:id="151"/>
    </w:p>
    <w:p w14:paraId="11F4F485">
      <w:pPr>
        <w:spacing w:line="360" w:lineRule="auto"/>
        <w:ind w:firstLine="422" w:firstLineChars="200"/>
        <w:outlineLvl w:val="2"/>
        <w:rPr>
          <w:rFonts w:ascii="宋体" w:hAnsi="宋体" w:cs="Courier New"/>
          <w:b/>
          <w:color w:val="auto"/>
          <w:szCs w:val="21"/>
          <w:highlight w:val="none"/>
        </w:rPr>
      </w:pPr>
      <w:r>
        <w:rPr>
          <w:rFonts w:hint="eastAsia" w:ascii="宋体" w:hAnsi="宋体" w:cs="Courier New"/>
          <w:b/>
          <w:color w:val="auto"/>
          <w:szCs w:val="21"/>
          <w:highlight w:val="none"/>
        </w:rPr>
        <w:t>1.符合性审查</w:t>
      </w:r>
    </w:p>
    <w:p w14:paraId="361097E1">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评标委员会应当对符合资格的投标人的投标文件进行投标报价、商务、技术等实质性内容符合性审查，以确定其是否满足招标文件的实质性要求。</w:t>
      </w:r>
    </w:p>
    <w:p w14:paraId="3A1B1A59">
      <w:pPr>
        <w:spacing w:line="360" w:lineRule="auto"/>
        <w:ind w:firstLine="422" w:firstLineChars="200"/>
        <w:outlineLvl w:val="2"/>
        <w:rPr>
          <w:rFonts w:ascii="宋体" w:hAnsi="宋体" w:cs="Courier New"/>
          <w:b/>
          <w:color w:val="auto"/>
          <w:szCs w:val="21"/>
          <w:highlight w:val="none"/>
        </w:rPr>
      </w:pPr>
      <w:r>
        <w:rPr>
          <w:rFonts w:hint="eastAsia" w:ascii="宋体" w:hAnsi="宋体" w:cs="Courier New"/>
          <w:b/>
          <w:color w:val="auto"/>
          <w:szCs w:val="21"/>
          <w:highlight w:val="none"/>
        </w:rPr>
        <w:t>2.符合性审查不通过而导致投标无效的情形</w:t>
      </w:r>
    </w:p>
    <w:p w14:paraId="2B81BF28">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投标人的投标文件中存在对招标文件的任何实质性要求和条件的负偏离，将被视为投标无效。</w:t>
      </w:r>
    </w:p>
    <w:p w14:paraId="47388D16">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2.1在报价评审时，如发现下列情形之一的，将被视为投标无效：</w:t>
      </w:r>
    </w:p>
    <w:p w14:paraId="278369CC">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（1）报价文件未提供“投标人须知前附表”第13.1条规定中“必须提供”的文件资料的；</w:t>
      </w:r>
    </w:p>
    <w:p w14:paraId="3B79793F">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（2）未采用人民币报价或者未按照招标文件标明的币种报价的；</w:t>
      </w:r>
    </w:p>
    <w:p w14:paraId="18E114A7">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（3）各分标报价超出招标文件相应分标规定最高限价，或者超出相应分标采购预算金额的；</w:t>
      </w:r>
    </w:p>
    <w:p w14:paraId="4DC2E27E">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4）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165FFD60">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（5）修正后的报价，投标人不确认的；</w:t>
      </w:r>
    </w:p>
    <w:p w14:paraId="791FDD0B">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（6）投标人属于本章第5条第（2）项情形的。</w:t>
      </w:r>
    </w:p>
    <w:p w14:paraId="497BD23F">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（7）报价文件响应的标的数量及单位与招标文件要求实质性不一致的。</w:t>
      </w:r>
    </w:p>
    <w:p w14:paraId="286790DD">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2.2在商务评审时，如发现下列情形之一的，将被视为投标无效：</w:t>
      </w:r>
    </w:p>
    <w:p w14:paraId="07547CCB">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（1）投标文件未按招标文件要求签署、盖章的；</w:t>
      </w:r>
    </w:p>
    <w:p w14:paraId="12D09868">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（2）委托代理人未能出具有效身份证或者出具的身份证与授权委托书中的信息不符的；</w:t>
      </w:r>
    </w:p>
    <w:p w14:paraId="1DD9DAA6">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（3）为无效投标保证金的或者未按照招标文件的规定提交投标保证金的；</w:t>
      </w:r>
    </w:p>
    <w:p w14:paraId="78EE3901">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（4）投标文件未提供“投标人须知前附表”第13.1条规定中“必须提供”或者“委托时必须提供”的文件资料的；</w:t>
      </w:r>
    </w:p>
    <w:p w14:paraId="3B575FBA">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（5）商务要求评审允许负偏离的条款数超过“投标人须知前附表”规定项数的；</w:t>
      </w:r>
    </w:p>
    <w:p w14:paraId="5AC59E92">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（6）投标文件的实质性内容未使用中文表述、使用计量单位不符合招标文件要求的；</w:t>
      </w:r>
    </w:p>
    <w:p w14:paraId="1EFAB2F6">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（7）投标文件中的文件资料因填写不齐全或者内容虚假或者出现其他情形而导致被评标委员会认定无效的；</w:t>
      </w:r>
    </w:p>
    <w:p w14:paraId="54CE48FB">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（8）投标文件含有采购人不能接受的附加条件的；</w:t>
      </w:r>
    </w:p>
    <w:p w14:paraId="66C88CD1">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（9）属于投标人须知正文第9.2条情形的；</w:t>
      </w:r>
    </w:p>
    <w:p w14:paraId="5ABD65D6">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（10）投标文件标注的项目名称或者项目编号与招标文件标注的项目名称或者项目编号不一致的；</w:t>
      </w:r>
    </w:p>
    <w:p w14:paraId="6B44392C">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（11）招标文件明确不允许分包，投标文件拟分包的；</w:t>
      </w:r>
    </w:p>
    <w:p w14:paraId="04B55157">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（12）未响应招标文件实质性要求的；</w:t>
      </w:r>
    </w:p>
    <w:p w14:paraId="009320DD">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（13）法律、法规和招标文件规定的其他无效情形。</w:t>
      </w:r>
    </w:p>
    <w:p w14:paraId="7D0342B7">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2.3在技术评审时，如发现下列情形之一的，将被视为投标无效：</w:t>
      </w:r>
    </w:p>
    <w:p w14:paraId="1AA35AB0">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（1）技术要求评审允许负偏离的条款数超过“投标人须知前附表”规定项数的；</w:t>
      </w:r>
    </w:p>
    <w:p w14:paraId="661EFE80">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（2）投标文件未提供“投标人须知前附表”第13.1条规定中“必须提供”的文件资料的；</w:t>
      </w:r>
    </w:p>
    <w:p w14:paraId="71458EA1">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（3）虚假投标，或者出现其他情形而导致被评标委员会认定无效的；</w:t>
      </w:r>
    </w:p>
    <w:p w14:paraId="173DC218">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（4）招标文件未载明允许提供备选（替代）投标方案或明确不允许提供备选（替代）投标方案时，投标人提供了备选（替代）投标方案的；</w:t>
      </w:r>
    </w:p>
    <w:p w14:paraId="03F5E9EB">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（5）未响应招标文件实质性要求的。</w:t>
      </w:r>
    </w:p>
    <w:p w14:paraId="28B12B26">
      <w:pPr>
        <w:spacing w:line="360" w:lineRule="auto"/>
        <w:ind w:firstLine="422" w:firstLineChars="200"/>
        <w:outlineLvl w:val="2"/>
        <w:rPr>
          <w:rFonts w:ascii="宋体" w:hAnsi="宋体" w:cs="Courier New"/>
          <w:b/>
          <w:color w:val="auto"/>
          <w:szCs w:val="21"/>
          <w:highlight w:val="none"/>
        </w:rPr>
      </w:pPr>
      <w:r>
        <w:rPr>
          <w:rFonts w:hint="eastAsia" w:ascii="宋体" w:hAnsi="宋体" w:cs="Courier New"/>
          <w:b/>
          <w:color w:val="auto"/>
          <w:szCs w:val="21"/>
          <w:highlight w:val="none"/>
        </w:rPr>
        <w:t>3</w:t>
      </w:r>
      <w:r>
        <w:rPr>
          <w:rFonts w:ascii="宋体" w:hAnsi="宋体" w:cs="Courier New"/>
          <w:b/>
          <w:color w:val="auto"/>
          <w:szCs w:val="21"/>
          <w:highlight w:val="none"/>
        </w:rPr>
        <w:t>.</w:t>
      </w:r>
      <w:r>
        <w:rPr>
          <w:rFonts w:hint="eastAsia" w:ascii="宋体" w:hAnsi="宋体" w:cs="Courier New"/>
          <w:b/>
          <w:color w:val="auto"/>
          <w:szCs w:val="21"/>
          <w:highlight w:val="none"/>
        </w:rPr>
        <w:t>澄清补正</w:t>
      </w:r>
    </w:p>
    <w:p w14:paraId="6F24E49F">
      <w:pPr>
        <w:spacing w:line="360" w:lineRule="auto"/>
        <w:ind w:firstLine="420" w:firstLineChars="200"/>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329B812">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7C993C1">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7DA3E4A0">
      <w:pPr>
        <w:keepNext w:val="0"/>
        <w:keepLines w:val="0"/>
        <w:spacing w:before="0" w:after="0" w:line="360" w:lineRule="auto"/>
        <w:ind w:left="420" w:leftChars="200" w:firstLine="422" w:firstLineChars="200"/>
        <w:outlineLvl w:val="2"/>
        <w:rPr>
          <w:rFonts w:ascii="宋体" w:hAnsi="宋体"/>
          <w:b/>
          <w:bCs/>
          <w:color w:val="auto"/>
          <w:sz w:val="21"/>
          <w:szCs w:val="21"/>
          <w:highlight w:val="none"/>
        </w:rPr>
      </w:pPr>
      <w:r>
        <w:rPr>
          <w:rFonts w:ascii="宋体" w:hAnsi="宋体"/>
          <w:b/>
          <w:bCs/>
          <w:color w:val="auto"/>
          <w:sz w:val="21"/>
          <w:szCs w:val="21"/>
          <w:highlight w:val="none"/>
        </w:rPr>
        <w:t>4.</w:t>
      </w:r>
      <w:r>
        <w:rPr>
          <w:rFonts w:hint="eastAsia" w:ascii="宋体" w:hAnsi="宋体"/>
          <w:b/>
          <w:bCs/>
          <w:color w:val="auto"/>
          <w:sz w:val="21"/>
          <w:szCs w:val="21"/>
          <w:highlight w:val="none"/>
        </w:rPr>
        <w:t>投标文件修正</w:t>
      </w:r>
    </w:p>
    <w:p w14:paraId="0681CCE8">
      <w:pPr>
        <w:keepNext w:val="0"/>
        <w:keepLines w:val="0"/>
        <w:spacing w:before="0" w:after="0" w:line="360" w:lineRule="auto"/>
        <w:ind w:left="420" w:leftChars="200" w:firstLine="422" w:firstLineChars="200"/>
        <w:outlineLvl w:val="9"/>
        <w:rPr>
          <w:rFonts w:ascii="宋体" w:hAnsi="宋体"/>
          <w:b/>
          <w:bCs/>
          <w:color w:val="auto"/>
          <w:sz w:val="21"/>
          <w:szCs w:val="21"/>
          <w:highlight w:val="none"/>
        </w:rPr>
      </w:pPr>
      <w:r>
        <w:rPr>
          <w:rFonts w:ascii="宋体" w:hAnsi="宋体"/>
          <w:b/>
          <w:bCs/>
          <w:color w:val="auto"/>
          <w:sz w:val="21"/>
          <w:szCs w:val="21"/>
          <w:highlight w:val="none"/>
        </w:rPr>
        <w:t>4</w:t>
      </w:r>
      <w:r>
        <w:rPr>
          <w:rFonts w:hint="eastAsia" w:ascii="宋体" w:hAnsi="宋体"/>
          <w:b/>
          <w:bCs/>
          <w:color w:val="auto"/>
          <w:sz w:val="21"/>
          <w:szCs w:val="21"/>
          <w:highlight w:val="none"/>
        </w:rPr>
        <w:t>.1投标文件报价出现前后不一致的，按照下列规定修正：</w:t>
      </w:r>
    </w:p>
    <w:p w14:paraId="3D105EF3">
      <w:pPr>
        <w:pStyle w:val="11"/>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4E288DBB">
      <w:pPr>
        <w:pStyle w:val="11"/>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410744E3">
      <w:pPr>
        <w:pStyle w:val="11"/>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73A196E6">
      <w:pPr>
        <w:pStyle w:val="11"/>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5E1E6A7E">
      <w:pPr>
        <w:pStyle w:val="11"/>
        <w:snapToGrid w:val="0"/>
        <w:spacing w:line="360" w:lineRule="auto"/>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val="0"/>
          <w:color w:val="auto"/>
          <w:kern w:val="0"/>
          <w:sz w:val="21"/>
          <w:highlight w:val="none"/>
        </w:rPr>
        <w:t>其投标无效</w:t>
      </w:r>
      <w:r>
        <w:rPr>
          <w:rFonts w:hint="eastAsia" w:hAnsi="宋体"/>
          <w:color w:val="auto"/>
          <w:sz w:val="21"/>
          <w:highlight w:val="none"/>
        </w:rPr>
        <w:t>。</w:t>
      </w:r>
    </w:p>
    <w:p w14:paraId="4F0D5DDA">
      <w:pPr>
        <w:pStyle w:val="11"/>
        <w:keepNext w:val="0"/>
        <w:keepLines w:val="0"/>
        <w:numPr>
          <w:ilvl w:val="4"/>
          <w:numId w:val="0"/>
        </w:numPr>
        <w:snapToGrid w:val="0"/>
        <w:spacing w:before="0" w:after="0" w:line="360" w:lineRule="auto"/>
        <w:ind w:leftChars="0"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4.2经投标人确认修正后的报价若超过采购预算金额或者最高限价，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44E7BC89">
      <w:pPr>
        <w:pStyle w:val="11"/>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4.3经投标人确认修正后的报价作为签订合同的依据，并以此报价计算价格分。</w:t>
      </w:r>
    </w:p>
    <w:p w14:paraId="48D9FFA8">
      <w:pPr>
        <w:keepNext w:val="0"/>
        <w:keepLines w:val="0"/>
        <w:spacing w:before="0" w:after="0" w:line="360" w:lineRule="auto"/>
        <w:ind w:left="420" w:leftChars="200" w:firstLine="422" w:firstLineChars="200"/>
        <w:outlineLvl w:val="2"/>
        <w:rPr>
          <w:rFonts w:ascii="宋体" w:hAnsi="宋体"/>
          <w:b/>
          <w:bCs/>
          <w:color w:val="auto"/>
          <w:sz w:val="21"/>
          <w:szCs w:val="21"/>
          <w:highlight w:val="none"/>
        </w:rPr>
      </w:pPr>
      <w:r>
        <w:rPr>
          <w:rFonts w:ascii="宋体" w:hAnsi="宋体"/>
          <w:b/>
          <w:bCs/>
          <w:color w:val="auto"/>
          <w:sz w:val="21"/>
          <w:szCs w:val="21"/>
          <w:highlight w:val="none"/>
        </w:rPr>
        <w:t>5.</w:t>
      </w:r>
      <w:r>
        <w:rPr>
          <w:rFonts w:hint="eastAsia" w:ascii="宋体" w:hAnsi="宋体"/>
          <w:b/>
          <w:bCs/>
          <w:color w:val="auto"/>
          <w:sz w:val="21"/>
          <w:szCs w:val="21"/>
          <w:highlight w:val="none"/>
        </w:rPr>
        <w:t>比较与评价</w:t>
      </w:r>
    </w:p>
    <w:p w14:paraId="671A0F5E">
      <w:pPr>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5.1采用综合评分法的</w:t>
      </w:r>
    </w:p>
    <w:p w14:paraId="4602997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（1）评审委员会成员要根据政府采购法律法规和采购文件所载明的评审方法、标准进行评审。对</w:t>
      </w:r>
      <w:r>
        <w:rPr>
          <w:rFonts w:hint="eastAsia" w:ascii="宋体" w:hAnsi="宋体"/>
          <w:color w:val="auto"/>
          <w:szCs w:val="21"/>
          <w:highlight w:val="none"/>
          <w:lang w:eastAsia="zh-CN"/>
        </w:rPr>
        <w:t>投标人</w:t>
      </w:r>
      <w:r>
        <w:rPr>
          <w:rFonts w:hint="eastAsia" w:ascii="宋体" w:hAnsi="宋体"/>
          <w:color w:val="auto"/>
          <w:szCs w:val="21"/>
          <w:highlight w:val="none"/>
        </w:rPr>
        <w:t>的价格分等客观评分项的评分应当一致，对其他需要借助专业知识评判的主观评分项，应当严格按照评分细则公正评分。</w:t>
      </w:r>
    </w:p>
    <w:p w14:paraId="434A5FC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389209D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474C625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72446D5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2019DD6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3B08A34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F06DB06">
      <w:pPr>
        <w:pStyle w:val="11"/>
        <w:spacing w:line="360" w:lineRule="auto"/>
        <w:jc w:val="center"/>
        <w:outlineLvl w:val="1"/>
        <w:rPr>
          <w:rFonts w:hAnsi="宋体"/>
          <w:b/>
          <w:color w:val="auto"/>
          <w:sz w:val="32"/>
          <w:szCs w:val="32"/>
          <w:highlight w:val="none"/>
        </w:rPr>
      </w:pPr>
      <w:bookmarkStart w:id="152" w:name="_Toc12636"/>
      <w:r>
        <w:rPr>
          <w:rFonts w:hint="eastAsia" w:hAnsi="宋体"/>
          <w:b/>
          <w:color w:val="auto"/>
          <w:sz w:val="32"/>
          <w:szCs w:val="32"/>
          <w:highlight w:val="none"/>
        </w:rPr>
        <w:t>三、评标标准</w:t>
      </w:r>
      <w:bookmarkEnd w:id="152"/>
    </w:p>
    <w:p w14:paraId="49162D69">
      <w:pPr>
        <w:pStyle w:val="11"/>
        <w:spacing w:line="360" w:lineRule="auto"/>
        <w:ind w:firstLine="420"/>
        <w:rPr>
          <w:rFonts w:hint="eastAsia" w:hAnsi="宋体"/>
          <w:color w:val="auto"/>
          <w:sz w:val="21"/>
          <w:highlight w:val="none"/>
        </w:rPr>
      </w:pPr>
      <w:r>
        <w:rPr>
          <w:rFonts w:hint="eastAsia" w:hAnsi="宋体"/>
          <w:color w:val="auto"/>
          <w:sz w:val="21"/>
          <w:highlight w:val="none"/>
        </w:rPr>
        <w:t>（综合评分法，计分方法按四舍五入取至百分位）</w:t>
      </w:r>
    </w:p>
    <w:p w14:paraId="38BF100F">
      <w:pPr>
        <w:rPr>
          <w:rFonts w:hint="eastAsia" w:hAnsi="宋体"/>
          <w:b/>
          <w:bCs/>
          <w:color w:val="auto"/>
          <w:sz w:val="21"/>
          <w:highlight w:val="none"/>
          <w:lang w:val="en-US" w:eastAsia="zh-CN"/>
        </w:rPr>
      </w:pPr>
    </w:p>
    <w:p w14:paraId="71253AC2">
      <w:pPr>
        <w:outlineLvl w:val="0"/>
        <w:rPr>
          <w:rFonts w:hint="default"/>
          <w:color w:val="auto"/>
          <w:highlight w:val="none"/>
          <w:lang w:val="en-US" w:eastAsia="zh-CN"/>
        </w:rPr>
      </w:pPr>
      <w:bookmarkStart w:id="153" w:name="_Toc3562"/>
      <w:r>
        <w:rPr>
          <w:rFonts w:hint="eastAsia" w:hAnsi="宋体"/>
          <w:b/>
          <w:bCs/>
          <w:color w:val="auto"/>
          <w:sz w:val="21"/>
          <w:highlight w:val="none"/>
          <w:lang w:val="en-US" w:eastAsia="zh-CN"/>
        </w:rPr>
        <w:t>分标1：</w:t>
      </w:r>
      <w:bookmarkEnd w:id="153"/>
    </w:p>
    <w:p w14:paraId="351E8662">
      <w:pPr>
        <w:bidi w:val="0"/>
        <w:ind w:firstLine="525" w:firstLineChars="0"/>
        <w:jc w:val="left"/>
        <w:rPr>
          <w:rFonts w:hint="default"/>
          <w:color w:val="auto"/>
          <w:highlight w:val="none"/>
          <w:lang w:val="en-US" w:eastAsia="zh-CN"/>
        </w:rPr>
      </w:pPr>
    </w:p>
    <w:bookmarkEnd w:id="150"/>
    <w:tbl>
      <w:tblPr>
        <w:tblStyle w:val="18"/>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67"/>
        <w:gridCol w:w="695"/>
        <w:gridCol w:w="1786"/>
        <w:gridCol w:w="5619"/>
      </w:tblGrid>
      <w:tr w14:paraId="3931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noWrap w:val="0"/>
            <w:vAlign w:val="center"/>
          </w:tcPr>
          <w:p w14:paraId="780938FC">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067" w:type="dxa"/>
            <w:noWrap w:val="0"/>
            <w:vAlign w:val="center"/>
          </w:tcPr>
          <w:p w14:paraId="142A9474">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cs="宋体"/>
                <w:color w:val="auto"/>
                <w:szCs w:val="21"/>
                <w:highlight w:val="none"/>
              </w:rPr>
            </w:pPr>
            <w:r>
              <w:rPr>
                <w:rFonts w:hint="eastAsia" w:ascii="宋体" w:hAnsi="宋体" w:cs="宋体"/>
                <w:b/>
                <w:color w:val="auto"/>
                <w:szCs w:val="21"/>
                <w:highlight w:val="none"/>
              </w:rPr>
              <w:t>评审因素</w:t>
            </w:r>
          </w:p>
        </w:tc>
        <w:tc>
          <w:tcPr>
            <w:tcW w:w="695" w:type="dxa"/>
            <w:noWrap w:val="0"/>
            <w:vAlign w:val="center"/>
          </w:tcPr>
          <w:p w14:paraId="01BFDB4A">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分值</w:t>
            </w:r>
          </w:p>
        </w:tc>
        <w:tc>
          <w:tcPr>
            <w:tcW w:w="7405" w:type="dxa"/>
            <w:gridSpan w:val="2"/>
            <w:noWrap w:val="0"/>
            <w:vAlign w:val="center"/>
          </w:tcPr>
          <w:p w14:paraId="4B20F828">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评标标准</w:t>
            </w:r>
          </w:p>
        </w:tc>
      </w:tr>
      <w:tr w14:paraId="3F95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noWrap w:val="0"/>
            <w:vAlign w:val="center"/>
          </w:tcPr>
          <w:p w14:paraId="30ACA2F0">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1067" w:type="dxa"/>
            <w:noWrap w:val="0"/>
            <w:vAlign w:val="center"/>
          </w:tcPr>
          <w:p w14:paraId="697D6117">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投标报价</w:t>
            </w:r>
          </w:p>
        </w:tc>
        <w:tc>
          <w:tcPr>
            <w:tcW w:w="695" w:type="dxa"/>
            <w:noWrap w:val="0"/>
            <w:vAlign w:val="center"/>
          </w:tcPr>
          <w:p w14:paraId="774EA05C">
            <w:pPr>
              <w:keepNext/>
              <w:keepLines/>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eastAsia="zh-CN"/>
              </w:rPr>
              <w:t>分</w:t>
            </w:r>
          </w:p>
        </w:tc>
        <w:tc>
          <w:tcPr>
            <w:tcW w:w="7405" w:type="dxa"/>
            <w:gridSpan w:val="2"/>
            <w:noWrap w:val="0"/>
            <w:vAlign w:val="center"/>
          </w:tcPr>
          <w:p w14:paraId="56F1669C">
            <w:pPr>
              <w:keepNext/>
              <w:keepLines/>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（1）评标报价为投标人的投标报价进行政策性扣除后的价格，评标报价只是作为评标时使用。最终中标人的中标金额等于投标报价。</w:t>
            </w:r>
          </w:p>
          <w:p w14:paraId="5957782C">
            <w:pPr>
              <w:keepNext/>
              <w:keepLines/>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（2）政策性扣除计算方法：</w:t>
            </w:r>
          </w:p>
          <w:p w14:paraId="31BA0205">
            <w:pPr>
              <w:keepNext/>
              <w:keepLines/>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政府采购促进中小企业发展管理办法》（财库[2020]46号）规定条件且按该办法中规定的格式提供了《中小企业声明函》的小型和微型企业参与投标，对其最后报价给予10%的扣除，扣除后的价格为评标价，即评标价=投标价×（1-10%）；除上述情况外，评标价=投标价。</w:t>
            </w:r>
          </w:p>
          <w:p w14:paraId="0B4D228E">
            <w:pPr>
              <w:keepNext/>
              <w:keepLines/>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产品生产企业或服务提供企业按《关于政府采购支持监狱企业发展有关问题的通知》（财库[2014]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p>
          <w:p w14:paraId="01D7D299">
            <w:pPr>
              <w:keepNext/>
              <w:keepLines/>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产品生产单位或服务提供单位按《关于促进残疾人就业政府采购政策的通知》（财库〔2017〕141号）认定为残疾人福利性单位的，在政府采购活动中，残疾人福利性单位视同小型、微型企业。投标人应当提供该通知规定的投标产品生产单位或服务提供单位属于残疾人福利性单位的《残疾人福利性单位声明函》，不再提供《中小企业声明函》。</w:t>
            </w:r>
          </w:p>
          <w:p w14:paraId="7BF1352B">
            <w:pPr>
              <w:keepNext/>
              <w:keepLines/>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（3）以满足招标文件要求且评标价最低的投标人的评标价为评标基准价，其价格分为10分。</w:t>
            </w:r>
          </w:p>
          <w:p w14:paraId="5934BF7F">
            <w:pPr>
              <w:keepNext/>
              <w:keepLines/>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（4）某投标人价格分 = 投标人最低评标价（金额）/某投标人评标价（金额）×10分。</w:t>
            </w:r>
          </w:p>
        </w:tc>
      </w:tr>
      <w:tr w14:paraId="06AE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Merge w:val="restart"/>
            <w:noWrap w:val="0"/>
            <w:vAlign w:val="center"/>
          </w:tcPr>
          <w:p w14:paraId="4B9B35A3">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1067" w:type="dxa"/>
            <w:vMerge w:val="restart"/>
            <w:noWrap w:val="0"/>
            <w:vAlign w:val="center"/>
          </w:tcPr>
          <w:p w14:paraId="201E663E">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b/>
                <w:color w:val="auto"/>
                <w:szCs w:val="21"/>
                <w:highlight w:val="none"/>
                <w:lang w:eastAsia="zh-CN"/>
              </w:rPr>
            </w:pPr>
            <w:r>
              <w:rPr>
                <w:rFonts w:hint="eastAsia" w:ascii="宋体" w:hAnsi="宋体"/>
                <w:b/>
                <w:color w:val="auto"/>
                <w:szCs w:val="21"/>
                <w:highlight w:val="none"/>
                <w:lang w:eastAsia="zh-CN"/>
              </w:rPr>
              <w:t>技术分</w:t>
            </w:r>
          </w:p>
        </w:tc>
        <w:tc>
          <w:tcPr>
            <w:tcW w:w="695" w:type="dxa"/>
            <w:vMerge w:val="restart"/>
            <w:noWrap w:val="0"/>
            <w:vAlign w:val="center"/>
          </w:tcPr>
          <w:p w14:paraId="1392410A">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lang w:val="en-US" w:eastAsia="zh-CN"/>
              </w:rPr>
              <w:t>80</w:t>
            </w:r>
            <w:r>
              <w:rPr>
                <w:rFonts w:hint="eastAsia" w:ascii="宋体" w:hAnsi="宋体"/>
                <w:b/>
                <w:color w:val="auto"/>
                <w:szCs w:val="21"/>
                <w:highlight w:val="none"/>
              </w:rPr>
              <w:t>分</w:t>
            </w:r>
          </w:p>
        </w:tc>
        <w:tc>
          <w:tcPr>
            <w:tcW w:w="1786" w:type="dxa"/>
            <w:noWrap w:val="0"/>
            <w:vAlign w:val="center"/>
          </w:tcPr>
          <w:p w14:paraId="6C49737E">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技术功能响应分（满分</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分）</w:t>
            </w:r>
          </w:p>
        </w:tc>
        <w:tc>
          <w:tcPr>
            <w:tcW w:w="5619" w:type="dxa"/>
            <w:noWrap w:val="0"/>
            <w:vAlign w:val="center"/>
          </w:tcPr>
          <w:p w14:paraId="362DA050">
            <w:pPr>
              <w:pStyle w:val="11"/>
              <w:keepNext/>
              <w:keepLines/>
              <w:pageBreakBefore w:val="0"/>
              <w:widowControl/>
              <w:kinsoku/>
              <w:wordWrap/>
              <w:overflowPunct/>
              <w:topLinePunct w:val="0"/>
              <w:autoSpaceDE/>
              <w:autoSpaceDN/>
              <w:bidi w:val="0"/>
              <w:snapToGrid/>
              <w:spacing w:line="400" w:lineRule="exact"/>
              <w:rPr>
                <w:rFonts w:hint="eastAsia" w:ascii="宋体" w:hAnsi="宋体" w:eastAsia="宋体" w:cs="宋体"/>
                <w:b/>
                <w:color w:val="auto"/>
                <w:kern w:val="2"/>
                <w:sz w:val="21"/>
                <w:szCs w:val="21"/>
                <w:highlight w:val="none"/>
              </w:rPr>
            </w:pPr>
            <w:r>
              <w:rPr>
                <w:rFonts w:hint="eastAsia" w:ascii="宋体" w:hAnsi="宋体" w:eastAsia="宋体" w:cs="宋体"/>
                <w:color w:val="auto"/>
                <w:sz w:val="21"/>
                <w:szCs w:val="21"/>
                <w:highlight w:val="none"/>
              </w:rPr>
              <w:t>根据投标人所投产品技术参数，完全满足招标文件技术要求得3分，标▲代表最关键指标项，不满足该指标项投标文件将作无效处理；其他为一般指标项，出现一般指标项负偏离的每有一项扣1分，扣完为止。</w:t>
            </w:r>
          </w:p>
        </w:tc>
      </w:tr>
      <w:tr w14:paraId="7476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Merge w:val="continue"/>
            <w:noWrap w:val="0"/>
            <w:vAlign w:val="center"/>
          </w:tcPr>
          <w:p w14:paraId="7382AEAE">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1067" w:type="dxa"/>
            <w:vMerge w:val="continue"/>
            <w:noWrap w:val="0"/>
            <w:vAlign w:val="center"/>
          </w:tcPr>
          <w:p w14:paraId="72D683A5">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695" w:type="dxa"/>
            <w:vMerge w:val="continue"/>
            <w:noWrap w:val="0"/>
            <w:vAlign w:val="center"/>
          </w:tcPr>
          <w:p w14:paraId="6E687E81">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1786" w:type="dxa"/>
            <w:noWrap w:val="0"/>
            <w:vAlign w:val="center"/>
          </w:tcPr>
          <w:p w14:paraId="3C3CDA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技术方案分（满分</w:t>
            </w:r>
            <w:r>
              <w:rPr>
                <w:rFonts w:hint="eastAsia" w:ascii="宋体" w:hAnsi="宋体" w:eastAsia="宋体" w:cs="宋体"/>
                <w:b/>
                <w:color w:val="auto"/>
                <w:sz w:val="21"/>
                <w:szCs w:val="21"/>
                <w:highlight w:val="none"/>
              </w:rPr>
              <w:t>24</w:t>
            </w:r>
            <w:r>
              <w:rPr>
                <w:rFonts w:hint="eastAsia" w:ascii="宋体" w:hAnsi="宋体" w:eastAsia="宋体" w:cs="宋体"/>
                <w:b/>
                <w:color w:val="auto"/>
                <w:sz w:val="21"/>
                <w:szCs w:val="21"/>
                <w:highlight w:val="none"/>
                <w:lang w:eastAsia="zh-CN"/>
              </w:rPr>
              <w:t>）</w:t>
            </w:r>
          </w:p>
        </w:tc>
        <w:tc>
          <w:tcPr>
            <w:tcW w:w="5619" w:type="dxa"/>
            <w:shd w:val="clear" w:color="auto" w:fill="auto"/>
            <w:noWrap w:val="0"/>
            <w:vAlign w:val="center"/>
          </w:tcPr>
          <w:p w14:paraId="533ACA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投标人所提供方案的总体框架设计符合国家部</w:t>
            </w:r>
            <w:r>
              <w:rPr>
                <w:rFonts w:hint="eastAsia" w:ascii="宋体" w:hAnsi="宋体" w:cs="宋体"/>
                <w:color w:val="auto"/>
                <w:sz w:val="21"/>
                <w:szCs w:val="21"/>
                <w:highlight w:val="none"/>
                <w:lang w:val="en-US" w:eastAsia="zh-CN"/>
              </w:rPr>
              <w:t>局</w:t>
            </w:r>
            <w:r>
              <w:rPr>
                <w:rFonts w:hint="eastAsia" w:ascii="宋体" w:hAnsi="宋体" w:eastAsia="宋体" w:cs="宋体"/>
                <w:color w:val="auto"/>
                <w:sz w:val="21"/>
                <w:szCs w:val="21"/>
                <w:highlight w:val="none"/>
              </w:rPr>
              <w:t>及区厅相关标准和业务规范，对项目理解深刻、准确、思路清晰，具有良好的操作性及维护性。</w:t>
            </w:r>
          </w:p>
          <w:p w14:paraId="06B6D5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由评审小组在打分前根据供应商的技术方案情况评定打分， 达不到一档要求的不得分。</w:t>
            </w:r>
          </w:p>
          <w:p w14:paraId="286ED8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一档（6分）:</w:t>
            </w:r>
            <w:r>
              <w:rPr>
                <w:rFonts w:hint="eastAsia" w:ascii="宋体" w:hAnsi="宋体" w:eastAsia="宋体" w:cs="宋体"/>
                <w:color w:val="auto"/>
                <w:sz w:val="21"/>
                <w:szCs w:val="21"/>
                <w:highlight w:val="none"/>
              </w:rPr>
              <w:t>技术方案内容比较完整，有对项目建设背景、建设目标、建设内容的描述，方案内容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准确性、合理性及可行性比较简单。</w:t>
            </w:r>
          </w:p>
          <w:p w14:paraId="42EA73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二档（12分）</w:t>
            </w:r>
            <w:r>
              <w:rPr>
                <w:rFonts w:hint="eastAsia" w:ascii="宋体" w:hAnsi="宋体" w:eastAsia="宋体" w:cs="宋体"/>
                <w:color w:val="auto"/>
                <w:sz w:val="21"/>
                <w:szCs w:val="21"/>
                <w:highlight w:val="none"/>
              </w:rPr>
              <w:t>:在一档基础上，技术方案内容完整，满足采购需求；包括但不限于现状分析、需求分析、系统总体设计、系统详细设计、网络系统设计、安全系统设计、</w:t>
            </w:r>
            <w:r>
              <w:rPr>
                <w:rFonts w:hint="eastAsia" w:ascii="宋体" w:hAnsi="宋体" w:cs="宋体"/>
                <w:color w:val="auto"/>
                <w:sz w:val="21"/>
                <w:szCs w:val="21"/>
                <w:highlight w:val="none"/>
                <w:lang w:val="en-US" w:eastAsia="zh-CN"/>
              </w:rPr>
              <w:t>XC</w:t>
            </w:r>
            <w:r>
              <w:rPr>
                <w:rFonts w:hint="eastAsia" w:ascii="宋体" w:hAnsi="宋体" w:eastAsia="宋体" w:cs="宋体"/>
                <w:color w:val="auto"/>
                <w:sz w:val="21"/>
                <w:szCs w:val="21"/>
                <w:highlight w:val="none"/>
              </w:rPr>
              <w:t>适配方案、密码应用方案等内容；技术方案技术成熟先进，产品和技术的总体模型及层次清晰。</w:t>
            </w:r>
          </w:p>
          <w:p w14:paraId="2234B470">
            <w:pPr>
              <w:rPr>
                <w:color w:val="auto"/>
                <w:highlight w:val="none"/>
              </w:rPr>
            </w:pPr>
            <w:r>
              <w:rPr>
                <w:rFonts w:hint="eastAsia" w:ascii="宋体" w:hAnsi="宋体" w:eastAsia="宋体" w:cs="宋体"/>
                <w:b/>
                <w:bCs/>
                <w:color w:val="auto"/>
                <w:sz w:val="21"/>
                <w:szCs w:val="21"/>
                <w:highlight w:val="none"/>
              </w:rPr>
              <w:t>三档（18分）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在二档的基础上，技术方案详细、全面。层次清晰，对各个模块描述全面详实。系统总体设计中可以提供具体的总体架构图、业务架构图、应用架构图、数据架构图、数据流向图、系统部署架构图等并进行相应的描述，能够对项目的技术难点与特点进行分析描述；技术路线成熟</w:t>
            </w:r>
            <w:r>
              <w:rPr>
                <w:rFonts w:hint="eastAsia" w:ascii="宋体" w:hAnsi="宋体" w:cs="宋体"/>
                <w:color w:val="auto"/>
                <w:sz w:val="21"/>
                <w:szCs w:val="21"/>
                <w:highlight w:val="none"/>
                <w:lang w:eastAsia="zh-CN"/>
              </w:rPr>
              <w:t>。</w:t>
            </w:r>
          </w:p>
          <w:p w14:paraId="180BF3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四档（24分）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在三档的基础上，技术方案内容准确，合理性强，现状分析中可以对采购人基础设施以及与本次项目采购内容相关应用系统的建设现状进行详细分析描述，并针对现状分析项目的存在的主要问题；技术方案可以详细描述本次项目所建设的应用系统与采购</w:t>
            </w:r>
            <w:r>
              <w:rPr>
                <w:rFonts w:hint="eastAsia" w:ascii="宋体" w:hAnsi="宋体" w:cs="宋体"/>
                <w:color w:val="auto"/>
                <w:sz w:val="21"/>
                <w:szCs w:val="21"/>
                <w:highlight w:val="none"/>
                <w:lang w:eastAsia="zh-CN"/>
              </w:rPr>
              <w:t>需求</w:t>
            </w:r>
            <w:r>
              <w:rPr>
                <w:rFonts w:hint="eastAsia" w:ascii="宋体" w:hAnsi="宋体" w:eastAsia="宋体" w:cs="宋体"/>
                <w:color w:val="auto"/>
                <w:sz w:val="21"/>
                <w:szCs w:val="21"/>
                <w:highlight w:val="none"/>
              </w:rPr>
              <w:t>业务相关的其它应用系统的关系，并提供与采购</w:t>
            </w:r>
            <w:r>
              <w:rPr>
                <w:rFonts w:hint="eastAsia" w:ascii="宋体" w:hAnsi="宋体" w:cs="宋体"/>
                <w:color w:val="auto"/>
                <w:sz w:val="21"/>
                <w:szCs w:val="21"/>
                <w:highlight w:val="none"/>
                <w:lang w:eastAsia="zh-CN"/>
              </w:rPr>
              <w:t>需求</w:t>
            </w:r>
            <w:r>
              <w:rPr>
                <w:rFonts w:hint="eastAsia" w:ascii="宋体" w:hAnsi="宋体" w:eastAsia="宋体" w:cs="宋体"/>
                <w:color w:val="auto"/>
                <w:sz w:val="21"/>
                <w:szCs w:val="21"/>
                <w:highlight w:val="none"/>
              </w:rPr>
              <w:t>业务相关的其它应用系统协同设计方案。技术方案高度符合采购</w:t>
            </w:r>
            <w:r>
              <w:rPr>
                <w:rFonts w:hint="eastAsia" w:ascii="宋体" w:hAnsi="宋体" w:cs="宋体"/>
                <w:color w:val="auto"/>
                <w:sz w:val="21"/>
                <w:szCs w:val="21"/>
                <w:highlight w:val="none"/>
                <w:lang w:eastAsia="zh-CN"/>
              </w:rPr>
              <w:t>需求</w:t>
            </w:r>
            <w:r>
              <w:rPr>
                <w:rFonts w:hint="eastAsia" w:ascii="宋体" w:hAnsi="宋体" w:eastAsia="宋体" w:cs="宋体"/>
                <w:color w:val="auto"/>
                <w:sz w:val="21"/>
                <w:szCs w:val="21"/>
                <w:highlight w:val="none"/>
              </w:rPr>
              <w:t>的实际情况和需求</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w:t>
            </w:r>
          </w:p>
        </w:tc>
      </w:tr>
      <w:tr w14:paraId="0A32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Merge w:val="continue"/>
            <w:noWrap w:val="0"/>
            <w:vAlign w:val="center"/>
          </w:tcPr>
          <w:p w14:paraId="063118AE">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1067" w:type="dxa"/>
            <w:vMerge w:val="continue"/>
            <w:noWrap w:val="0"/>
            <w:vAlign w:val="center"/>
          </w:tcPr>
          <w:p w14:paraId="57C51967">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695" w:type="dxa"/>
            <w:vMerge w:val="continue"/>
            <w:noWrap w:val="0"/>
            <w:vAlign w:val="center"/>
          </w:tcPr>
          <w:p w14:paraId="571A2E72">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1786" w:type="dxa"/>
            <w:noWrap w:val="0"/>
            <w:vAlign w:val="center"/>
          </w:tcPr>
          <w:p w14:paraId="053674D5">
            <w:pPr>
              <w:keepNext/>
              <w:keepLines/>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kern w:val="2"/>
                <w:sz w:val="21"/>
                <w:szCs w:val="21"/>
                <w:highlight w:val="none"/>
              </w:rPr>
            </w:pPr>
            <w:r>
              <w:rPr>
                <w:rFonts w:hint="eastAsia" w:ascii="宋体" w:hAnsi="宋体" w:eastAsia="宋体" w:cs="宋体"/>
                <w:b/>
                <w:bCs/>
                <w:color w:val="auto"/>
                <w:sz w:val="21"/>
                <w:szCs w:val="21"/>
                <w:highlight w:val="none"/>
                <w:lang w:eastAsia="zh-CN"/>
              </w:rPr>
              <w:t>功能演示</w:t>
            </w:r>
            <w:r>
              <w:rPr>
                <w:rFonts w:hint="eastAsia" w:ascii="宋体" w:hAnsi="宋体" w:eastAsia="宋体" w:cs="宋体"/>
                <w:b/>
                <w:bCs/>
                <w:color w:val="auto"/>
                <w:sz w:val="21"/>
                <w:szCs w:val="21"/>
                <w:highlight w:val="none"/>
              </w:rPr>
              <w:t>分（满分</w:t>
            </w: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w:t>
            </w:r>
          </w:p>
        </w:tc>
        <w:tc>
          <w:tcPr>
            <w:tcW w:w="5619" w:type="dxa"/>
            <w:noWrap w:val="0"/>
            <w:vAlign w:val="center"/>
          </w:tcPr>
          <w:p w14:paraId="4C4EEEF7">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演示内容：6个板块（</w:t>
            </w:r>
            <w:r>
              <w:rPr>
                <w:rFonts w:hint="eastAsia" w:ascii="宋体" w:hAnsi="宋体" w:cs="宋体"/>
                <w:color w:val="auto"/>
                <w:sz w:val="21"/>
                <w:szCs w:val="21"/>
                <w:highlight w:val="none"/>
                <w:lang w:eastAsia="zh-CN"/>
              </w:rPr>
              <w:t>A助手</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B助手</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C助手</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D助手</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E图</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WLYMFDBC</w:t>
            </w:r>
            <w:r>
              <w:rPr>
                <w:rFonts w:hint="eastAsia" w:ascii="宋体" w:hAnsi="宋体" w:eastAsia="宋体" w:cs="宋体"/>
                <w:color w:val="auto"/>
                <w:sz w:val="21"/>
                <w:szCs w:val="21"/>
                <w:highlight w:val="none"/>
              </w:rPr>
              <w:t>系统），总时间</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分钟，在线演示，由投标人自行考虑各板块的演示时间。演示内容具体如下：</w:t>
            </w:r>
          </w:p>
          <w:p w14:paraId="556F5BBD">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cs="宋体"/>
                <w:b/>
                <w:bCs/>
                <w:color w:val="auto"/>
                <w:sz w:val="21"/>
                <w:szCs w:val="21"/>
                <w:highlight w:val="none"/>
                <w:lang w:eastAsia="zh-CN"/>
              </w:rPr>
              <w:t>A助手</w:t>
            </w:r>
            <w:r>
              <w:rPr>
                <w:rFonts w:hint="eastAsia" w:ascii="宋体" w:hAnsi="宋体" w:eastAsia="宋体" w:cs="宋体"/>
                <w:b/>
                <w:bCs/>
                <w:color w:val="auto"/>
                <w:sz w:val="21"/>
                <w:szCs w:val="21"/>
                <w:highlight w:val="none"/>
              </w:rPr>
              <w:t>（每个功能点</w:t>
            </w:r>
            <w:r>
              <w:rPr>
                <w:rFonts w:hint="eastAsia" w:ascii="宋体" w:hAnsi="宋体" w:eastAsia="宋体" w:cs="宋体"/>
                <w:b/>
                <w:bCs/>
                <w:color w:val="auto"/>
                <w:sz w:val="21"/>
                <w:szCs w:val="21"/>
                <w:highlight w:val="none"/>
                <w:lang w:val="en-US" w:eastAsia="zh-CN"/>
              </w:rPr>
              <w:t>采用真实系统进行演示并</w:t>
            </w:r>
            <w:r>
              <w:rPr>
                <w:rFonts w:hint="eastAsia" w:ascii="宋体" w:hAnsi="宋体" w:eastAsia="宋体" w:cs="宋体"/>
                <w:b/>
                <w:bCs/>
                <w:color w:val="auto"/>
                <w:sz w:val="21"/>
                <w:szCs w:val="21"/>
                <w:highlight w:val="none"/>
              </w:rPr>
              <w:t>完全满足得1分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采用</w:t>
            </w:r>
            <w:r>
              <w:rPr>
                <w:rFonts w:hint="eastAsia" w:ascii="宋体" w:hAnsi="宋体" w:eastAsia="宋体" w:cs="宋体"/>
                <w:b/>
                <w:bCs/>
                <w:color w:val="auto"/>
                <w:sz w:val="21"/>
                <w:szCs w:val="21"/>
                <w:highlight w:val="none"/>
              </w:rPr>
              <w:t>DEMO、视频、PPT等方式演示</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rPr>
              <w:t>完全满足</w:t>
            </w:r>
            <w:r>
              <w:rPr>
                <w:rFonts w:hint="eastAsia" w:ascii="宋体" w:hAnsi="宋体" w:eastAsia="宋体" w:cs="宋体"/>
                <w:b/>
                <w:bCs/>
                <w:color w:val="auto"/>
                <w:sz w:val="21"/>
                <w:szCs w:val="21"/>
                <w:highlight w:val="none"/>
                <w:lang w:val="en-US" w:eastAsia="zh-CN"/>
              </w:rPr>
              <w:t>得0.5分；</w:t>
            </w:r>
            <w:r>
              <w:rPr>
                <w:rFonts w:hint="eastAsia" w:ascii="宋体" w:hAnsi="宋体" w:eastAsia="宋体" w:cs="宋体"/>
                <w:b/>
                <w:bCs/>
                <w:color w:val="auto"/>
                <w:sz w:val="21"/>
                <w:szCs w:val="21"/>
                <w:highlight w:val="none"/>
              </w:rPr>
              <w:t>不满足</w:t>
            </w:r>
            <w:r>
              <w:rPr>
                <w:rFonts w:hint="eastAsia" w:ascii="宋体" w:hAnsi="宋体" w:eastAsia="宋体" w:cs="宋体"/>
                <w:b/>
                <w:bCs/>
                <w:color w:val="auto"/>
                <w:sz w:val="21"/>
                <w:szCs w:val="21"/>
                <w:highlight w:val="none"/>
                <w:lang w:val="en-US" w:eastAsia="zh-CN"/>
              </w:rPr>
              <w:t>或未演示</w:t>
            </w:r>
            <w:r>
              <w:rPr>
                <w:rFonts w:hint="eastAsia" w:ascii="宋体" w:hAnsi="宋体" w:eastAsia="宋体" w:cs="宋体"/>
                <w:b/>
                <w:bCs/>
                <w:color w:val="auto"/>
                <w:sz w:val="21"/>
                <w:szCs w:val="21"/>
                <w:highlight w:val="none"/>
              </w:rPr>
              <w:t>得0分，本项满分</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p>
          <w:p w14:paraId="0FDEED28">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应具备黑域名分类展示、时间范围筛选及域名特征展示功能；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满分1分）</w:t>
            </w:r>
          </w:p>
          <w:p w14:paraId="0308535B">
            <w:pPr>
              <w:pageBreakBefore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应具备基于成案域名同源分析的结果展示功能；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满分1分）</w:t>
            </w:r>
          </w:p>
          <w:p w14:paraId="3C071A9D">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cs="宋体"/>
                <w:b/>
                <w:bCs/>
                <w:color w:val="auto"/>
                <w:sz w:val="21"/>
                <w:szCs w:val="21"/>
                <w:highlight w:val="none"/>
                <w:lang w:eastAsia="zh-CN"/>
              </w:rPr>
              <w:t>B助手</w:t>
            </w:r>
            <w:r>
              <w:rPr>
                <w:rFonts w:hint="eastAsia" w:ascii="宋体" w:hAnsi="宋体" w:eastAsia="宋体" w:cs="宋体"/>
                <w:b/>
                <w:bCs/>
                <w:color w:val="auto"/>
                <w:sz w:val="21"/>
                <w:szCs w:val="21"/>
                <w:highlight w:val="none"/>
              </w:rPr>
              <w:t>（每个功能点</w:t>
            </w:r>
            <w:r>
              <w:rPr>
                <w:rFonts w:hint="eastAsia" w:ascii="宋体" w:hAnsi="宋体" w:eastAsia="宋体" w:cs="宋体"/>
                <w:b/>
                <w:bCs/>
                <w:color w:val="auto"/>
                <w:sz w:val="21"/>
                <w:szCs w:val="21"/>
                <w:highlight w:val="none"/>
                <w:lang w:val="en-US" w:eastAsia="zh-CN"/>
              </w:rPr>
              <w:t>采用真实系统进行演示并</w:t>
            </w:r>
            <w:r>
              <w:rPr>
                <w:rFonts w:hint="eastAsia" w:ascii="宋体" w:hAnsi="宋体" w:eastAsia="宋体" w:cs="宋体"/>
                <w:b/>
                <w:bCs/>
                <w:color w:val="auto"/>
                <w:sz w:val="21"/>
                <w:szCs w:val="21"/>
                <w:highlight w:val="none"/>
              </w:rPr>
              <w:t>完全满足得1分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采用</w:t>
            </w:r>
            <w:r>
              <w:rPr>
                <w:rFonts w:hint="eastAsia" w:ascii="宋体" w:hAnsi="宋体" w:eastAsia="宋体" w:cs="宋体"/>
                <w:b/>
                <w:bCs/>
                <w:color w:val="auto"/>
                <w:sz w:val="21"/>
                <w:szCs w:val="21"/>
                <w:highlight w:val="none"/>
              </w:rPr>
              <w:t>DEMO、视频、PPT等方式演示</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rPr>
              <w:t>完全满足</w:t>
            </w:r>
            <w:r>
              <w:rPr>
                <w:rFonts w:hint="eastAsia" w:ascii="宋体" w:hAnsi="宋体" w:eastAsia="宋体" w:cs="宋体"/>
                <w:b/>
                <w:bCs/>
                <w:color w:val="auto"/>
                <w:sz w:val="21"/>
                <w:szCs w:val="21"/>
                <w:highlight w:val="none"/>
                <w:lang w:val="en-US" w:eastAsia="zh-CN"/>
              </w:rPr>
              <w:t>得0.5分；</w:t>
            </w:r>
            <w:r>
              <w:rPr>
                <w:rFonts w:hint="eastAsia" w:ascii="宋体" w:hAnsi="宋体" w:eastAsia="宋体" w:cs="宋体"/>
                <w:b/>
                <w:bCs/>
                <w:color w:val="auto"/>
                <w:sz w:val="21"/>
                <w:szCs w:val="21"/>
                <w:highlight w:val="none"/>
              </w:rPr>
              <w:t>不满足</w:t>
            </w:r>
            <w:r>
              <w:rPr>
                <w:rFonts w:hint="eastAsia" w:ascii="宋体" w:hAnsi="宋体" w:eastAsia="宋体" w:cs="宋体"/>
                <w:b/>
                <w:bCs/>
                <w:color w:val="auto"/>
                <w:sz w:val="21"/>
                <w:szCs w:val="21"/>
                <w:highlight w:val="none"/>
                <w:lang w:val="en-US" w:eastAsia="zh-CN"/>
              </w:rPr>
              <w:t>或未演示</w:t>
            </w:r>
            <w:r>
              <w:rPr>
                <w:rFonts w:hint="eastAsia" w:ascii="宋体" w:hAnsi="宋体" w:eastAsia="宋体" w:cs="宋体"/>
                <w:b/>
                <w:bCs/>
                <w:color w:val="auto"/>
                <w:sz w:val="21"/>
                <w:szCs w:val="21"/>
                <w:highlight w:val="none"/>
              </w:rPr>
              <w:t>得0分，本项满分</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p>
          <w:p w14:paraId="34F6FBF9">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1.系统须具备按照</w:t>
            </w:r>
            <w:r>
              <w:rPr>
                <w:rFonts w:hint="eastAsia" w:ascii="宋体" w:hAnsi="宋体" w:cs="宋体"/>
                <w:color w:val="auto"/>
                <w:sz w:val="21"/>
                <w:szCs w:val="21"/>
                <w:highlight w:val="none"/>
                <w:lang w:eastAsia="zh-CN"/>
              </w:rPr>
              <w:t>DZ</w:t>
            </w:r>
            <w:r>
              <w:rPr>
                <w:rFonts w:hint="eastAsia" w:ascii="宋体" w:hAnsi="宋体" w:eastAsia="宋体" w:cs="宋体"/>
                <w:color w:val="auto"/>
                <w:sz w:val="21"/>
                <w:szCs w:val="21"/>
                <w:highlight w:val="none"/>
              </w:rPr>
              <w:t>案件的核心要素类型分别启动研判任务的能力。系统应集成</w:t>
            </w:r>
            <w:r>
              <w:rPr>
                <w:rFonts w:hint="eastAsia" w:ascii="宋体" w:hAnsi="宋体" w:cs="宋体"/>
                <w:color w:val="auto"/>
                <w:sz w:val="21"/>
                <w:szCs w:val="21"/>
                <w:highlight w:val="none"/>
                <w:lang w:eastAsia="zh-CN"/>
              </w:rPr>
              <w:t>DMX</w:t>
            </w:r>
            <w:r>
              <w:rPr>
                <w:rFonts w:hint="eastAsia" w:ascii="宋体" w:hAnsi="宋体" w:eastAsia="宋体" w:cs="宋体"/>
                <w:color w:val="auto"/>
                <w:sz w:val="21"/>
                <w:szCs w:val="21"/>
                <w:highlight w:val="none"/>
              </w:rPr>
              <w:t>能力，能够根据用户选择的要素自动理解研判意图，并智能规划出多层级、多步骤的研判任务；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满分1分）</w:t>
            </w:r>
          </w:p>
          <w:p w14:paraId="1D65DE50">
            <w:pPr>
              <w:pageBreakBefore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 w:val="21"/>
                <w:szCs w:val="21"/>
                <w:highlight w:val="none"/>
              </w:rPr>
              <w:t>2.系统必须将</w:t>
            </w:r>
            <w:r>
              <w:rPr>
                <w:rFonts w:hint="eastAsia" w:ascii="宋体" w:hAnsi="宋体" w:cs="宋体"/>
                <w:color w:val="auto"/>
                <w:sz w:val="21"/>
                <w:szCs w:val="21"/>
                <w:highlight w:val="none"/>
                <w:lang w:eastAsia="zh-CN"/>
              </w:rPr>
              <w:t>DMX</w:t>
            </w:r>
            <w:r>
              <w:rPr>
                <w:rFonts w:hint="eastAsia" w:ascii="宋体" w:hAnsi="宋体" w:eastAsia="宋体" w:cs="宋体"/>
                <w:color w:val="auto"/>
                <w:sz w:val="21"/>
                <w:szCs w:val="21"/>
                <w:highlight w:val="none"/>
              </w:rPr>
              <w:t>自主规划的研判路径以可视化的方式清晰呈现给用户。该可视化界面需确保所有自动生成的研判步骤均可审计、可追溯，用户能够一目了然地查看任务规划的逻辑、当前执行步骤；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满分1分）</w:t>
            </w:r>
          </w:p>
          <w:p w14:paraId="631A60E9">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w:t>
            </w:r>
            <w:r>
              <w:rPr>
                <w:rFonts w:hint="eastAsia" w:ascii="宋体" w:hAnsi="宋体" w:cs="宋体"/>
                <w:b/>
                <w:bCs/>
                <w:color w:val="auto"/>
                <w:sz w:val="21"/>
                <w:szCs w:val="21"/>
                <w:highlight w:val="none"/>
                <w:lang w:eastAsia="zh-CN"/>
              </w:rPr>
              <w:t>C助手</w:t>
            </w:r>
            <w:r>
              <w:rPr>
                <w:rFonts w:hint="eastAsia" w:ascii="宋体" w:hAnsi="宋体" w:eastAsia="宋体" w:cs="宋体"/>
                <w:b/>
                <w:bCs/>
                <w:color w:val="auto"/>
                <w:sz w:val="21"/>
                <w:szCs w:val="21"/>
                <w:highlight w:val="none"/>
              </w:rPr>
              <w:t>（每个功能点</w:t>
            </w:r>
            <w:r>
              <w:rPr>
                <w:rFonts w:hint="eastAsia" w:ascii="宋体" w:hAnsi="宋体" w:eastAsia="宋体" w:cs="宋体"/>
                <w:b/>
                <w:bCs/>
                <w:color w:val="auto"/>
                <w:sz w:val="21"/>
                <w:szCs w:val="21"/>
                <w:highlight w:val="none"/>
                <w:lang w:val="en-US" w:eastAsia="zh-CN"/>
              </w:rPr>
              <w:t>采用真实系统进行演示并</w:t>
            </w:r>
            <w:r>
              <w:rPr>
                <w:rFonts w:hint="eastAsia" w:ascii="宋体" w:hAnsi="宋体" w:eastAsia="宋体" w:cs="宋体"/>
                <w:b/>
                <w:bCs/>
                <w:color w:val="auto"/>
                <w:sz w:val="21"/>
                <w:szCs w:val="21"/>
                <w:highlight w:val="none"/>
              </w:rPr>
              <w:t>完全满足得</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采用</w:t>
            </w:r>
            <w:r>
              <w:rPr>
                <w:rFonts w:hint="eastAsia" w:ascii="宋体" w:hAnsi="宋体" w:eastAsia="宋体" w:cs="宋体"/>
                <w:b/>
                <w:bCs/>
                <w:color w:val="auto"/>
                <w:sz w:val="21"/>
                <w:szCs w:val="21"/>
                <w:highlight w:val="none"/>
              </w:rPr>
              <w:t>DEMO、视频、PPT等方式演示</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rPr>
              <w:t>完全满足</w:t>
            </w:r>
            <w:r>
              <w:rPr>
                <w:rFonts w:hint="eastAsia" w:ascii="宋体" w:hAnsi="宋体" w:eastAsia="宋体" w:cs="宋体"/>
                <w:b/>
                <w:bCs/>
                <w:color w:val="auto"/>
                <w:sz w:val="21"/>
                <w:szCs w:val="21"/>
                <w:highlight w:val="none"/>
                <w:lang w:val="en-US" w:eastAsia="zh-CN"/>
              </w:rPr>
              <w:t>得</w:t>
            </w:r>
            <w:r>
              <w:rPr>
                <w:rFonts w:hint="eastAsia" w:ascii="宋体" w:hAnsi="宋体" w:cs="宋体"/>
                <w:b/>
                <w:bCs/>
                <w:color w:val="auto"/>
                <w:sz w:val="21"/>
                <w:szCs w:val="21"/>
                <w:highlight w:val="none"/>
                <w:lang w:val="en-US" w:eastAsia="zh-CN"/>
              </w:rPr>
              <w:t>0.5</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rPr>
              <w:t>不满足</w:t>
            </w:r>
            <w:r>
              <w:rPr>
                <w:rFonts w:hint="eastAsia" w:ascii="宋体" w:hAnsi="宋体" w:eastAsia="宋体" w:cs="宋体"/>
                <w:b/>
                <w:bCs/>
                <w:color w:val="auto"/>
                <w:sz w:val="21"/>
                <w:szCs w:val="21"/>
                <w:highlight w:val="none"/>
                <w:lang w:val="en-US" w:eastAsia="zh-CN"/>
              </w:rPr>
              <w:t>或未演示</w:t>
            </w:r>
            <w:r>
              <w:rPr>
                <w:rFonts w:hint="eastAsia" w:ascii="宋体" w:hAnsi="宋体" w:eastAsia="宋体" w:cs="宋体"/>
                <w:b/>
                <w:bCs/>
                <w:color w:val="auto"/>
                <w:sz w:val="21"/>
                <w:szCs w:val="21"/>
                <w:highlight w:val="none"/>
              </w:rPr>
              <w:t>得0分，本项满分</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p>
          <w:p w14:paraId="4765D818">
            <w:pPr>
              <w:rPr>
                <w:color w:val="auto"/>
                <w:highlight w:val="none"/>
              </w:rPr>
            </w:pPr>
          </w:p>
          <w:p w14:paraId="464458C3">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1.系统应综合运用</w:t>
            </w:r>
            <w:r>
              <w:rPr>
                <w:rFonts w:hint="eastAsia" w:ascii="宋体" w:hAnsi="宋体" w:cs="宋体"/>
                <w:color w:val="auto"/>
                <w:sz w:val="21"/>
                <w:szCs w:val="21"/>
                <w:highlight w:val="none"/>
                <w:lang w:eastAsia="zh-CN"/>
              </w:rPr>
              <w:t>DMX</w:t>
            </w:r>
            <w:r>
              <w:rPr>
                <w:rFonts w:hint="eastAsia" w:ascii="宋体" w:hAnsi="宋体" w:eastAsia="宋体" w:cs="宋体"/>
                <w:color w:val="auto"/>
                <w:sz w:val="21"/>
                <w:szCs w:val="21"/>
                <w:highlight w:val="none"/>
              </w:rPr>
              <w:t>能力，基于所选案件类型（如</w:t>
            </w:r>
            <w:r>
              <w:rPr>
                <w:rFonts w:hint="eastAsia" w:ascii="宋体" w:hAnsi="宋体" w:cs="宋体"/>
                <w:color w:val="auto"/>
                <w:sz w:val="21"/>
                <w:szCs w:val="21"/>
                <w:highlight w:val="none"/>
                <w:lang w:eastAsia="zh-CN"/>
              </w:rPr>
              <w:t>DZ</w:t>
            </w:r>
            <w:r>
              <w:rPr>
                <w:rFonts w:hint="eastAsia" w:ascii="宋体" w:hAnsi="宋体" w:eastAsia="宋体" w:cs="宋体"/>
                <w:color w:val="auto"/>
                <w:sz w:val="21"/>
                <w:szCs w:val="21"/>
                <w:highlight w:val="none"/>
              </w:rPr>
              <w:t>案件）的特点，智能引导询问流程。在笔录撰写过程中，系统应能分析已录入的文本内容，并自动识别和提示遗漏的关键信息要素，辅助询问人完善笔录内容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3C0E36B">
            <w:pPr>
              <w:pageBreakBefore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 w:val="21"/>
                <w:szCs w:val="21"/>
                <w:highlight w:val="none"/>
              </w:rPr>
              <w:t>2.对笔录的完整度进行量化评估，生成完整性报告，指出在程序性事项、案件事实要素等方面是否存在缺失或不符合规范之处；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0EA8C1F6">
            <w:pPr>
              <w:rPr>
                <w:color w:val="auto"/>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.自动从笔录原文中提取并结构化展示关键信息，以及笔录中所有时间信息，并按照时间维度生成清晰的案件节点图，直观展示案件从开始、发展到结束的全过程；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4A036967">
            <w:pPr>
              <w:rPr>
                <w:color w:val="auto"/>
                <w:highlight w:val="none"/>
              </w:rPr>
            </w:pPr>
          </w:p>
          <w:p w14:paraId="0A04321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w:t>
            </w:r>
            <w:r>
              <w:rPr>
                <w:rFonts w:hint="eastAsia" w:ascii="宋体" w:hAnsi="宋体" w:cs="宋体"/>
                <w:b/>
                <w:bCs/>
                <w:color w:val="auto"/>
                <w:sz w:val="21"/>
                <w:szCs w:val="21"/>
                <w:highlight w:val="none"/>
                <w:lang w:eastAsia="zh-CN"/>
              </w:rPr>
              <w:t>D助手</w:t>
            </w:r>
            <w:r>
              <w:rPr>
                <w:rFonts w:hint="eastAsia" w:ascii="宋体" w:hAnsi="宋体" w:eastAsia="宋体" w:cs="宋体"/>
                <w:b/>
                <w:bCs/>
                <w:color w:val="auto"/>
                <w:sz w:val="21"/>
                <w:szCs w:val="21"/>
                <w:highlight w:val="none"/>
              </w:rPr>
              <w:t>（每个功能点</w:t>
            </w:r>
            <w:r>
              <w:rPr>
                <w:rFonts w:hint="eastAsia" w:ascii="宋体" w:hAnsi="宋体" w:eastAsia="宋体" w:cs="宋体"/>
                <w:b/>
                <w:bCs/>
                <w:color w:val="auto"/>
                <w:sz w:val="21"/>
                <w:szCs w:val="21"/>
                <w:highlight w:val="none"/>
                <w:lang w:val="en-US" w:eastAsia="zh-CN"/>
              </w:rPr>
              <w:t>采用真实系统进行演示并</w:t>
            </w:r>
            <w:r>
              <w:rPr>
                <w:rFonts w:hint="eastAsia" w:ascii="宋体" w:hAnsi="宋体" w:eastAsia="宋体" w:cs="宋体"/>
                <w:b/>
                <w:bCs/>
                <w:color w:val="auto"/>
                <w:sz w:val="21"/>
                <w:szCs w:val="21"/>
                <w:highlight w:val="none"/>
              </w:rPr>
              <w:t>完全满足得</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采用</w:t>
            </w:r>
            <w:r>
              <w:rPr>
                <w:rFonts w:hint="eastAsia" w:ascii="宋体" w:hAnsi="宋体" w:eastAsia="宋体" w:cs="宋体"/>
                <w:b/>
                <w:bCs/>
                <w:color w:val="auto"/>
                <w:sz w:val="21"/>
                <w:szCs w:val="21"/>
                <w:highlight w:val="none"/>
              </w:rPr>
              <w:t>DEMO、视频、PPT等方式演示</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rPr>
              <w:t>完全满足</w:t>
            </w:r>
            <w:r>
              <w:rPr>
                <w:rFonts w:hint="eastAsia" w:ascii="宋体" w:hAnsi="宋体" w:eastAsia="宋体" w:cs="宋体"/>
                <w:b/>
                <w:bCs/>
                <w:color w:val="auto"/>
                <w:sz w:val="21"/>
                <w:szCs w:val="21"/>
                <w:highlight w:val="none"/>
                <w:lang w:val="en-US" w:eastAsia="zh-CN"/>
              </w:rPr>
              <w:t>得0.5分；</w:t>
            </w:r>
            <w:r>
              <w:rPr>
                <w:rFonts w:hint="eastAsia" w:ascii="宋体" w:hAnsi="宋体" w:eastAsia="宋体" w:cs="宋体"/>
                <w:b/>
                <w:bCs/>
                <w:color w:val="auto"/>
                <w:sz w:val="21"/>
                <w:szCs w:val="21"/>
                <w:highlight w:val="none"/>
              </w:rPr>
              <w:t>不满足</w:t>
            </w:r>
            <w:r>
              <w:rPr>
                <w:rFonts w:hint="eastAsia" w:ascii="宋体" w:hAnsi="宋体" w:eastAsia="宋体" w:cs="宋体"/>
                <w:b/>
                <w:bCs/>
                <w:color w:val="auto"/>
                <w:sz w:val="21"/>
                <w:szCs w:val="21"/>
                <w:highlight w:val="none"/>
                <w:lang w:val="en-US" w:eastAsia="zh-CN"/>
              </w:rPr>
              <w:t>或未演示</w:t>
            </w:r>
            <w:r>
              <w:rPr>
                <w:rFonts w:hint="eastAsia" w:ascii="宋体" w:hAnsi="宋体" w:eastAsia="宋体" w:cs="宋体"/>
                <w:b/>
                <w:bCs/>
                <w:color w:val="auto"/>
                <w:sz w:val="21"/>
                <w:szCs w:val="21"/>
                <w:highlight w:val="none"/>
              </w:rPr>
              <w:t>得0分，本项满分</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p w14:paraId="4A35463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1.系统应设立独立的“</w:t>
            </w:r>
            <w:r>
              <w:rPr>
                <w:rFonts w:hint="eastAsia" w:ascii="宋体" w:hAnsi="宋体" w:cs="宋体"/>
                <w:color w:val="auto"/>
                <w:sz w:val="21"/>
                <w:szCs w:val="21"/>
                <w:highlight w:val="none"/>
                <w:lang w:val="en-US" w:eastAsia="zh-CN"/>
              </w:rPr>
              <w:t>JD</w:t>
            </w:r>
            <w:r>
              <w:rPr>
                <w:rFonts w:hint="eastAsia" w:ascii="宋体" w:hAnsi="宋体" w:eastAsia="宋体" w:cs="宋体"/>
                <w:color w:val="auto"/>
                <w:sz w:val="21"/>
                <w:szCs w:val="21"/>
                <w:highlight w:val="none"/>
              </w:rPr>
              <w:t>助手”看板，实现对</w:t>
            </w:r>
            <w:r>
              <w:rPr>
                <w:rFonts w:hint="eastAsia" w:ascii="宋体" w:hAnsi="宋体" w:cs="宋体"/>
                <w:color w:val="auto"/>
                <w:sz w:val="21"/>
                <w:szCs w:val="21"/>
                <w:highlight w:val="none"/>
                <w:lang w:eastAsia="zh-CN"/>
              </w:rPr>
              <w:t>DZ</w:t>
            </w:r>
            <w:r>
              <w:rPr>
                <w:rFonts w:hint="eastAsia" w:ascii="宋体" w:hAnsi="宋体" w:eastAsia="宋体" w:cs="宋体"/>
                <w:color w:val="auto"/>
                <w:sz w:val="21"/>
                <w:szCs w:val="21"/>
                <w:highlight w:val="none"/>
              </w:rPr>
              <w:t>案件信息及笔录制作情况的监督。看板需集中展示从案件受理、笔录制作、要素提取各环节的关键监督指标，生成报告，提供全局视野；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160D70B8">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2.应支持针对案件，从时间、承办单位等多维度，对各单位的笔录制作情况进行统计分析。统计指标须包括但不限于：笔录制作总量、平均制作时长，并能以图表形式直观展示；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2DC37A2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3.系统须自动对每一份已完成的笔录质量及使用情况进行扫描与评估，评估结果应量化（如完整性得分），并支持按单位、按地市进行统计排名；能定期（如按月、按季度）分析案件笔录质量。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2DD8EBF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4.系统应支持对基于笔录分析数据的折线图、饼状图、柱状图等多种手段的展示，清晰显示重要信息。系统应支持数据上图，通过地图方式展示数据内容，并可通过地市级筛选实现对各级单位数据的下钻分析。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4E7D36EF">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五、</w:t>
            </w:r>
            <w:r>
              <w:rPr>
                <w:rFonts w:hint="eastAsia" w:ascii="宋体" w:hAnsi="宋体" w:cs="宋体"/>
                <w:b/>
                <w:bCs/>
                <w:color w:val="auto"/>
                <w:sz w:val="21"/>
                <w:szCs w:val="21"/>
                <w:highlight w:val="none"/>
                <w:lang w:eastAsia="zh-CN"/>
              </w:rPr>
              <w:t>E图</w:t>
            </w:r>
            <w:r>
              <w:rPr>
                <w:rFonts w:hint="eastAsia" w:ascii="宋体" w:hAnsi="宋体" w:eastAsia="宋体" w:cs="宋体"/>
                <w:b/>
                <w:bCs/>
                <w:color w:val="auto"/>
                <w:sz w:val="21"/>
                <w:szCs w:val="21"/>
                <w:highlight w:val="none"/>
              </w:rPr>
              <w:t>（每个功能点</w:t>
            </w:r>
            <w:r>
              <w:rPr>
                <w:rFonts w:hint="eastAsia" w:ascii="宋体" w:hAnsi="宋体" w:eastAsia="宋体" w:cs="宋体"/>
                <w:b/>
                <w:bCs/>
                <w:color w:val="auto"/>
                <w:sz w:val="21"/>
                <w:szCs w:val="21"/>
                <w:highlight w:val="none"/>
                <w:lang w:val="en-US" w:eastAsia="zh-CN"/>
              </w:rPr>
              <w:t>采用真实系统进行演示并</w:t>
            </w:r>
            <w:r>
              <w:rPr>
                <w:rFonts w:hint="eastAsia" w:ascii="宋体" w:hAnsi="宋体" w:eastAsia="宋体" w:cs="宋体"/>
                <w:b/>
                <w:bCs/>
                <w:color w:val="auto"/>
                <w:sz w:val="21"/>
                <w:szCs w:val="21"/>
                <w:highlight w:val="none"/>
              </w:rPr>
              <w:t>完全满足得</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采用</w:t>
            </w:r>
            <w:r>
              <w:rPr>
                <w:rFonts w:hint="eastAsia" w:ascii="宋体" w:hAnsi="宋体" w:eastAsia="宋体" w:cs="宋体"/>
                <w:b/>
                <w:bCs/>
                <w:color w:val="auto"/>
                <w:sz w:val="21"/>
                <w:szCs w:val="21"/>
                <w:highlight w:val="none"/>
              </w:rPr>
              <w:t>DEMO、视频、PPT等方式演示</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rPr>
              <w:t>完全满足</w:t>
            </w:r>
            <w:r>
              <w:rPr>
                <w:rFonts w:hint="eastAsia" w:ascii="宋体" w:hAnsi="宋体" w:eastAsia="宋体" w:cs="宋体"/>
                <w:b/>
                <w:bCs/>
                <w:color w:val="auto"/>
                <w:sz w:val="21"/>
                <w:szCs w:val="21"/>
                <w:highlight w:val="none"/>
                <w:lang w:val="en-US" w:eastAsia="zh-CN"/>
              </w:rPr>
              <w:t>得0.5分；</w:t>
            </w:r>
            <w:r>
              <w:rPr>
                <w:rFonts w:hint="eastAsia" w:ascii="宋体" w:hAnsi="宋体" w:eastAsia="宋体" w:cs="宋体"/>
                <w:b/>
                <w:bCs/>
                <w:color w:val="auto"/>
                <w:sz w:val="21"/>
                <w:szCs w:val="21"/>
                <w:highlight w:val="none"/>
              </w:rPr>
              <w:t>不满足</w:t>
            </w:r>
            <w:r>
              <w:rPr>
                <w:rFonts w:hint="eastAsia" w:ascii="宋体" w:hAnsi="宋体" w:eastAsia="宋体" w:cs="宋体"/>
                <w:b/>
                <w:bCs/>
                <w:color w:val="auto"/>
                <w:sz w:val="21"/>
                <w:szCs w:val="21"/>
                <w:highlight w:val="none"/>
                <w:lang w:val="en-US" w:eastAsia="zh-CN"/>
              </w:rPr>
              <w:t>或未演示</w:t>
            </w:r>
            <w:r>
              <w:rPr>
                <w:rFonts w:hint="eastAsia" w:ascii="宋体" w:hAnsi="宋体" w:eastAsia="宋体" w:cs="宋体"/>
                <w:b/>
                <w:bCs/>
                <w:color w:val="auto"/>
                <w:sz w:val="21"/>
                <w:szCs w:val="21"/>
                <w:highlight w:val="none"/>
              </w:rPr>
              <w:t>得0分，本项满分</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p w14:paraId="0A509F28">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1.系统必须具备整合接入反</w:t>
            </w:r>
            <w:r>
              <w:rPr>
                <w:rFonts w:hint="eastAsia" w:ascii="宋体" w:hAnsi="宋体" w:cs="宋体"/>
                <w:color w:val="auto"/>
                <w:sz w:val="21"/>
                <w:szCs w:val="21"/>
                <w:highlight w:val="none"/>
                <w:lang w:eastAsia="zh-CN"/>
              </w:rPr>
              <w:t>DZ</w:t>
            </w:r>
            <w:r>
              <w:rPr>
                <w:rFonts w:hint="eastAsia" w:ascii="宋体" w:hAnsi="宋体" w:eastAsia="宋体" w:cs="宋体"/>
                <w:color w:val="auto"/>
                <w:sz w:val="21"/>
                <w:szCs w:val="21"/>
                <w:highlight w:val="none"/>
              </w:rPr>
              <w:t>业务全链条数据的能力，数据范围应至少覆盖预警劝阻、接警立案、笔录分析、受害人画像、引流渠道、窝点链路等关键环节；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68A4CF0E">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2.展示界面必须支持时间周期（年、月、日、自定义时段）进行数据查询；折线图、饼状图、柱状图等多种手段的展示，清晰显示重要信息；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7E652EB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3.系统应具备针对特定案件类型的深度分析数据规律的能力，对案件类型进行骗术核心逻辑与高发诱因解析，分析案件发生的四流特征，根据成案特征，提供潜在受害人预警，并为用户提供治理建议；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3DCEA5A7">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4.支持黑域名精准识别统计分析，通过AI助手智能分析并给出洞察建议；支持预警劝阻成效统计分析，通过AI助手智能分析并给出洞察建议。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3A6A7C8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w:t>
            </w:r>
            <w:r>
              <w:rPr>
                <w:rFonts w:hint="eastAsia" w:ascii="宋体" w:hAnsi="宋体" w:cs="宋体"/>
                <w:b/>
                <w:bCs/>
                <w:color w:val="auto"/>
                <w:sz w:val="21"/>
                <w:szCs w:val="21"/>
                <w:highlight w:val="none"/>
                <w:lang w:eastAsia="zh-CN"/>
              </w:rPr>
              <w:t>WLYMFDBC</w:t>
            </w:r>
            <w:r>
              <w:rPr>
                <w:rFonts w:hint="eastAsia" w:ascii="宋体" w:hAnsi="宋体" w:eastAsia="宋体" w:cs="宋体"/>
                <w:b/>
                <w:bCs/>
                <w:color w:val="auto"/>
                <w:sz w:val="21"/>
                <w:szCs w:val="21"/>
                <w:highlight w:val="none"/>
              </w:rPr>
              <w:t>系统（每个功能点</w:t>
            </w:r>
            <w:r>
              <w:rPr>
                <w:rFonts w:hint="eastAsia" w:ascii="宋体" w:hAnsi="宋体" w:eastAsia="宋体" w:cs="宋体"/>
                <w:b/>
                <w:bCs/>
                <w:color w:val="auto"/>
                <w:sz w:val="21"/>
                <w:szCs w:val="21"/>
                <w:highlight w:val="none"/>
                <w:lang w:val="en-US" w:eastAsia="zh-CN"/>
              </w:rPr>
              <w:t>采用真实系统进行演示并</w:t>
            </w:r>
            <w:r>
              <w:rPr>
                <w:rFonts w:hint="eastAsia" w:ascii="宋体" w:hAnsi="宋体" w:eastAsia="宋体" w:cs="宋体"/>
                <w:b/>
                <w:bCs/>
                <w:color w:val="auto"/>
                <w:sz w:val="21"/>
                <w:szCs w:val="21"/>
                <w:highlight w:val="none"/>
              </w:rPr>
              <w:t>完全满足得</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采用</w:t>
            </w:r>
            <w:r>
              <w:rPr>
                <w:rFonts w:hint="eastAsia" w:ascii="宋体" w:hAnsi="宋体" w:eastAsia="宋体" w:cs="宋体"/>
                <w:b/>
                <w:bCs/>
                <w:color w:val="auto"/>
                <w:sz w:val="21"/>
                <w:szCs w:val="21"/>
                <w:highlight w:val="none"/>
              </w:rPr>
              <w:t>DEMO、视频、PPT等方式演示</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rPr>
              <w:t>完全满足</w:t>
            </w:r>
            <w:r>
              <w:rPr>
                <w:rFonts w:hint="eastAsia" w:ascii="宋体" w:hAnsi="宋体" w:eastAsia="宋体" w:cs="宋体"/>
                <w:b/>
                <w:bCs/>
                <w:color w:val="auto"/>
                <w:sz w:val="21"/>
                <w:szCs w:val="21"/>
                <w:highlight w:val="none"/>
                <w:lang w:val="en-US" w:eastAsia="zh-CN"/>
              </w:rPr>
              <w:t>得0分；</w:t>
            </w:r>
            <w:r>
              <w:rPr>
                <w:rFonts w:hint="eastAsia" w:ascii="宋体" w:hAnsi="宋体" w:eastAsia="宋体" w:cs="宋体"/>
                <w:b/>
                <w:bCs/>
                <w:color w:val="auto"/>
                <w:sz w:val="21"/>
                <w:szCs w:val="21"/>
                <w:highlight w:val="none"/>
              </w:rPr>
              <w:t>不满足</w:t>
            </w:r>
            <w:r>
              <w:rPr>
                <w:rFonts w:hint="eastAsia" w:ascii="宋体" w:hAnsi="宋体" w:eastAsia="宋体" w:cs="宋体"/>
                <w:b/>
                <w:bCs/>
                <w:color w:val="auto"/>
                <w:sz w:val="21"/>
                <w:szCs w:val="21"/>
                <w:highlight w:val="none"/>
                <w:lang w:val="en-US" w:eastAsia="zh-CN"/>
              </w:rPr>
              <w:t>或未演示</w:t>
            </w:r>
            <w:r>
              <w:rPr>
                <w:rFonts w:hint="eastAsia" w:ascii="宋体" w:hAnsi="宋体" w:eastAsia="宋体" w:cs="宋体"/>
                <w:b/>
                <w:bCs/>
                <w:color w:val="auto"/>
                <w:sz w:val="21"/>
                <w:szCs w:val="21"/>
                <w:highlight w:val="none"/>
              </w:rPr>
              <w:t>得0分，本项满分</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p>
          <w:p w14:paraId="429E8EC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具备统计看板功能，能够对每日拨测结果进行统计。看板具备“首次封堵拨测情况”及“二次封堵拨测情况”等版块，包括下达封堵数、去重总数、封堵成功数、封堵失败数、封堵成功率、封堵称功率趋势、各运营商情况等指标，使用折线图、柱状图等直观展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满分1分）</w:t>
            </w:r>
          </w:p>
          <w:p w14:paraId="30333650">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2.具备拨测结果查询功能。支持一次性查询一个月的拨测结果，并且可以导出下载当前查询列表页面数据；支持下载任意日期的拨测情况总结报告文件，以及对应的封堵失败域名报表文件。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满分1分）</w:t>
            </w:r>
          </w:p>
          <w:p w14:paraId="73FF9B1F">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3.具备手动拨测任务功能。支持用户上传一批需拨测的域名文件后，能够完成拨测，并下载对应域名的拨测情况总结报告文件，以及其中封堵失败域名报表文件。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满分1分）</w:t>
            </w:r>
          </w:p>
          <w:p w14:paraId="2CC7083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4.具备拨测明细查询功能。支持查询拨测的域名/IP、完整拨测地址、下达封堵时间、拨测通道、拨测结果、来源、年份对拨测明细，并能导出下载列表页面数据。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满分1分）</w:t>
            </w:r>
          </w:p>
          <w:p w14:paraId="6DD8CB2E">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5.具备封堵统计功能。支持按照完整拨测地址对封堵次数、封堵失败次数进行统计；能够查看该地址每一次下达封堵时间、拨测完成时间、封堵结果及封堵失败运营商；支持导出每日封堵统计报表（包括域名来源、下达封堵总数、各网络通道拨测情况），以及封堵失败的域名明细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满分1分）</w:t>
            </w:r>
          </w:p>
        </w:tc>
      </w:tr>
      <w:tr w14:paraId="1C42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Merge w:val="continue"/>
            <w:noWrap w:val="0"/>
            <w:vAlign w:val="center"/>
          </w:tcPr>
          <w:p w14:paraId="33A4836D">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1067" w:type="dxa"/>
            <w:vMerge w:val="continue"/>
            <w:noWrap w:val="0"/>
            <w:vAlign w:val="center"/>
          </w:tcPr>
          <w:p w14:paraId="33522F95">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695" w:type="dxa"/>
            <w:vMerge w:val="continue"/>
            <w:noWrap w:val="0"/>
            <w:vAlign w:val="center"/>
          </w:tcPr>
          <w:p w14:paraId="0A91885A">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1786" w:type="dxa"/>
            <w:noWrap w:val="0"/>
            <w:vAlign w:val="center"/>
          </w:tcPr>
          <w:p w14:paraId="115B9A69">
            <w:pPr>
              <w:keepNext/>
              <w:keepLines/>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分（满分</w:t>
            </w:r>
            <w:r>
              <w:rPr>
                <w:rFonts w:hint="eastAsia" w:ascii="宋体" w:hAnsi="宋体" w:cs="宋体"/>
                <w:b/>
                <w:color w:val="auto"/>
                <w:sz w:val="21"/>
                <w:szCs w:val="21"/>
                <w:highlight w:val="none"/>
                <w:lang w:val="en-US" w:eastAsia="zh-CN"/>
              </w:rPr>
              <w:t>12</w:t>
            </w:r>
            <w:r>
              <w:rPr>
                <w:rFonts w:hint="eastAsia" w:ascii="宋体" w:hAnsi="宋体" w:eastAsia="宋体" w:cs="宋体"/>
                <w:b/>
                <w:color w:val="auto"/>
                <w:sz w:val="21"/>
                <w:szCs w:val="21"/>
                <w:highlight w:val="none"/>
              </w:rPr>
              <w:t>分）</w:t>
            </w:r>
          </w:p>
        </w:tc>
        <w:tc>
          <w:tcPr>
            <w:tcW w:w="5619" w:type="dxa"/>
            <w:shd w:val="clear" w:color="auto" w:fill="auto"/>
            <w:noWrap w:val="0"/>
            <w:vAlign w:val="center"/>
          </w:tcPr>
          <w:p w14:paraId="602BC40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由评审小组在打分前根据供应商的实施方案情况评定打分， 达不到一档要求的不得分。</w:t>
            </w:r>
          </w:p>
          <w:p w14:paraId="07E83DDF">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项目实施方案提供有实施管理、实施组织方案、实施进度管理、质量保证措施、项目风险控制、系统测试、试运行、验收等内容，实施过程中安排的实施团队符合招标文件人员配置要求。</w:t>
            </w:r>
          </w:p>
          <w:p w14:paraId="09DBCCA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在一档基础上项目实施方案提供项目组织架构管理及职责、实施进度管理管理方案有实施思路及实施进度安排；为满足项目机动性需要，实施过程中安排的实施团队优于招标文件人员配置要求。</w:t>
            </w:r>
          </w:p>
          <w:p w14:paraId="66506A8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三档（</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在二档基础上，项目实施方案具有实施重点和难点分析；项目组织架构设置和管理合理有详细的职责要求；实施进度管理管理方案合理可行，项目实施思路清晰、有详细的实施进度计划表，项目进度管理措施包括项目关键环境分析、项目人力资源分配、项目关键过程管理和策略控制、需要用户提供的支持等内容；项目风险控制方案详细，提供风险因素分析、风险评估防范及风险控制措施等内容；有详细的项目质量管理体系介绍及具体的项目质量管理体系建设内容，包括质量管理体系、质量管理人员配备、质量计划、实施过程及交付和售后质量控制的方法措施；具有实施团队成员的项目经验和素质能力介绍；具有可行性和实操性的项目实施合理化建议。项目实施方案内容详细且有针对性。</w:t>
            </w:r>
          </w:p>
          <w:p w14:paraId="7D8C1FB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四档（</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在三档的基础上，实施方案内容详细、全面、准确，针对性强，高度符合采购</w:t>
            </w:r>
            <w:r>
              <w:rPr>
                <w:rFonts w:hint="eastAsia" w:ascii="宋体" w:hAnsi="宋体" w:cs="宋体"/>
                <w:color w:val="auto"/>
                <w:sz w:val="21"/>
                <w:szCs w:val="21"/>
                <w:highlight w:val="none"/>
                <w:lang w:eastAsia="zh-CN"/>
              </w:rPr>
              <w:t>需求</w:t>
            </w:r>
            <w:r>
              <w:rPr>
                <w:rFonts w:hint="eastAsia" w:ascii="宋体" w:hAnsi="宋体" w:eastAsia="宋体" w:cs="宋体"/>
                <w:color w:val="auto"/>
                <w:sz w:val="21"/>
                <w:szCs w:val="21"/>
                <w:highlight w:val="none"/>
              </w:rPr>
              <w:t>的实际情况和需求</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w:t>
            </w:r>
          </w:p>
        </w:tc>
      </w:tr>
      <w:tr w14:paraId="4E6B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Merge w:val="continue"/>
            <w:noWrap w:val="0"/>
            <w:vAlign w:val="center"/>
          </w:tcPr>
          <w:p w14:paraId="3723DD24">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1067" w:type="dxa"/>
            <w:vMerge w:val="continue"/>
            <w:noWrap w:val="0"/>
            <w:vAlign w:val="center"/>
          </w:tcPr>
          <w:p w14:paraId="7AC94158">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695" w:type="dxa"/>
            <w:vMerge w:val="continue"/>
            <w:noWrap w:val="0"/>
            <w:vAlign w:val="center"/>
          </w:tcPr>
          <w:p w14:paraId="6FAAFC95">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1786" w:type="dxa"/>
            <w:noWrap w:val="0"/>
            <w:vAlign w:val="center"/>
          </w:tcPr>
          <w:p w14:paraId="21897390">
            <w:pPr>
              <w:keepNext/>
              <w:keepLines/>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bCs/>
                <w:color w:val="auto"/>
                <w:sz w:val="21"/>
                <w:szCs w:val="21"/>
                <w:highlight w:val="none"/>
                <w:lang w:eastAsia="zh-CN"/>
              </w:rPr>
              <w:t>实施团队</w:t>
            </w:r>
            <w:r>
              <w:rPr>
                <w:rFonts w:hint="eastAsia" w:ascii="宋体" w:hAnsi="宋体" w:eastAsia="宋体" w:cs="宋体"/>
                <w:b/>
                <w:bCs/>
                <w:color w:val="auto"/>
                <w:sz w:val="21"/>
                <w:szCs w:val="21"/>
                <w:highlight w:val="none"/>
              </w:rPr>
              <w:t>分（满分</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p>
        </w:tc>
        <w:tc>
          <w:tcPr>
            <w:tcW w:w="5619" w:type="dxa"/>
            <w:noWrap w:val="0"/>
            <w:vAlign w:val="center"/>
          </w:tcPr>
          <w:p w14:paraId="30EF2E10">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投标人针对本项目的实施团队人员应具备以下条件：</w:t>
            </w:r>
          </w:p>
          <w:p w14:paraId="032C0F3D">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项目负责人作为整个项目的总负责人，通过领导力、风险管理、项目规划、沟通协调以及团队建设等方面的能力，确保本次项目的成功实施和高质量完成，投标人为本项目拟配备的项目负责人具有人力资源和社会保障部门颁发的高级信息系统项目管理师</w:t>
            </w:r>
            <w:r>
              <w:rPr>
                <w:rFonts w:hint="eastAsia" w:ascii="宋体" w:hAnsi="宋体" w:eastAsia="宋体" w:cs="宋体"/>
                <w:color w:val="auto"/>
                <w:sz w:val="21"/>
                <w:szCs w:val="21"/>
                <w:highlight w:val="none"/>
                <w:lang w:eastAsia="zh-CN"/>
              </w:rPr>
              <w:t>资格证书</w:t>
            </w:r>
            <w:r>
              <w:rPr>
                <w:rFonts w:hint="eastAsia" w:ascii="宋体" w:hAnsi="宋体" w:eastAsia="宋体" w:cs="宋体"/>
                <w:color w:val="auto"/>
                <w:sz w:val="21"/>
                <w:szCs w:val="21"/>
                <w:highlight w:val="none"/>
              </w:rPr>
              <w:t>的得1分、具有高级系统架构设计师</w:t>
            </w:r>
            <w:r>
              <w:rPr>
                <w:rFonts w:hint="eastAsia" w:ascii="宋体" w:hAnsi="宋体" w:eastAsia="宋体" w:cs="宋体"/>
                <w:color w:val="auto"/>
                <w:sz w:val="21"/>
                <w:szCs w:val="21"/>
                <w:highlight w:val="none"/>
                <w:lang w:eastAsia="zh-CN"/>
              </w:rPr>
              <w:t>资格证书</w:t>
            </w:r>
            <w:r>
              <w:rPr>
                <w:rFonts w:hint="eastAsia" w:ascii="宋体" w:hAnsi="宋体" w:eastAsia="宋体" w:cs="宋体"/>
                <w:color w:val="auto"/>
                <w:sz w:val="21"/>
                <w:szCs w:val="21"/>
                <w:highlight w:val="none"/>
              </w:rPr>
              <w:t>的得1分，本项最多得2分。</w:t>
            </w:r>
          </w:p>
          <w:p w14:paraId="62FA811E">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项目经理需要从项目的初期准备到实施管理，再到项目收尾的各个阶段都进行全面、细致、严谨的管理。投标人为本项目拟配备的项目经理1人（不含项目负责人），项目经理具有人力资源和社会保障部门颁发的</w:t>
            </w:r>
            <w:r>
              <w:rPr>
                <w:rFonts w:hint="eastAsia" w:ascii="宋体" w:hAnsi="宋体" w:cs="宋体"/>
                <w:color w:val="auto"/>
                <w:sz w:val="21"/>
                <w:szCs w:val="21"/>
                <w:highlight w:val="none"/>
                <w:lang w:eastAsia="zh-CN"/>
              </w:rPr>
              <w:t>信息</w:t>
            </w:r>
            <w:r>
              <w:rPr>
                <w:rFonts w:hint="eastAsia" w:ascii="宋体" w:hAnsi="宋体" w:eastAsia="宋体" w:cs="宋体"/>
                <w:color w:val="auto"/>
                <w:sz w:val="21"/>
                <w:szCs w:val="21"/>
                <w:highlight w:val="none"/>
              </w:rPr>
              <w:t>项目管理类高级工程师职称证书的得2分，本项最多得2分。</w:t>
            </w:r>
          </w:p>
          <w:p w14:paraId="2C78A99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技术经理在项目实施过程中需要制定技术标准和技术规范、设计审核技术方案和文档、指导培训技术团队、管理信息技术团队以及与各部门协调配合提供信息技术支持。投标人为本项目拟配备的技术经理1人（不含项目负责人、项目经理），技术经理具有人力资源和社会保障部门颁发的高级信息系统项目管理师</w:t>
            </w:r>
            <w:r>
              <w:rPr>
                <w:rFonts w:hint="eastAsia" w:ascii="宋体" w:hAnsi="宋体" w:eastAsia="宋体" w:cs="宋体"/>
                <w:color w:val="auto"/>
                <w:sz w:val="21"/>
                <w:szCs w:val="21"/>
                <w:highlight w:val="none"/>
                <w:lang w:eastAsia="zh-CN"/>
              </w:rPr>
              <w:t>资格证书</w:t>
            </w:r>
            <w:r>
              <w:rPr>
                <w:rFonts w:hint="eastAsia" w:ascii="宋体" w:hAnsi="宋体" w:eastAsia="宋体" w:cs="宋体"/>
                <w:color w:val="auto"/>
                <w:sz w:val="21"/>
                <w:szCs w:val="21"/>
                <w:highlight w:val="none"/>
              </w:rPr>
              <w:t>的得1分、具有高级工程师职称证书的得1分，本项最多得2分。</w:t>
            </w:r>
          </w:p>
          <w:p w14:paraId="76FD1B7D">
            <w:pPr>
              <w:rPr>
                <w:color w:val="auto"/>
                <w:highlight w:val="none"/>
              </w:rPr>
            </w:pPr>
            <w:r>
              <w:rPr>
                <w:rFonts w:hint="eastAsia" w:ascii="宋体" w:hAnsi="宋体" w:eastAsia="宋体" w:cs="宋体"/>
                <w:color w:val="auto"/>
                <w:sz w:val="21"/>
                <w:szCs w:val="21"/>
                <w:highlight w:val="none"/>
              </w:rPr>
              <w:t>④</w:t>
            </w:r>
            <w:r>
              <w:rPr>
                <w:rFonts w:hint="eastAsia" w:ascii="宋体" w:hAnsi="宋体" w:cs="宋体"/>
                <w:color w:val="auto"/>
                <w:szCs w:val="21"/>
                <w:highlight w:val="none"/>
              </w:rPr>
              <w:t>为满足项目机动性需要，实施过程中安排的实施团队优于招标文件人员配置要求且有本地化实施人员不少于</w:t>
            </w:r>
            <w:r>
              <w:rPr>
                <w:rFonts w:hint="eastAsia" w:ascii="宋体" w:hAnsi="宋体" w:cs="宋体"/>
                <w:color w:val="auto"/>
                <w:szCs w:val="21"/>
                <w:highlight w:val="none"/>
                <w:lang w:eastAsia="zh-CN"/>
              </w:rPr>
              <w:t>1</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人的得1分；</w:t>
            </w:r>
            <w:r>
              <w:rPr>
                <w:rFonts w:hint="eastAsia" w:ascii="宋体" w:hAnsi="宋体" w:cs="宋体"/>
                <w:color w:val="auto"/>
                <w:szCs w:val="21"/>
                <w:highlight w:val="none"/>
                <w:lang w:eastAsia="zh-CN"/>
              </w:rPr>
              <w:t>驻场</w:t>
            </w:r>
            <w:r>
              <w:rPr>
                <w:rFonts w:hint="eastAsia" w:ascii="宋体" w:hAnsi="宋体" w:cs="宋体"/>
                <w:color w:val="auto"/>
                <w:szCs w:val="21"/>
                <w:highlight w:val="none"/>
              </w:rPr>
              <w:t>人员（不含项目负责人、项目经理和技术经理）不少于</w:t>
            </w: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人（不含本数），且实施人员中（不含项目负责人、项目经理和技术经理）至少5人具备信息安全工程师证书（CISE）、</w:t>
            </w:r>
          </w:p>
          <w:p w14:paraId="39F047CE">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人工智能训练师四级及以上、软件评测师、软件设计师、软件过程能力评估师、网络工程师、系统集成项目管理工程师、信息系统管理工程师、信息安全工程师、数据库系统工程师之一的（实施人员需涵盖上述所列所有专业证书）的得2分；</w:t>
            </w:r>
            <w:r>
              <w:rPr>
                <w:rFonts w:hint="eastAsia" w:ascii="宋体" w:hAnsi="宋体" w:cs="宋体"/>
                <w:color w:val="auto"/>
                <w:szCs w:val="21"/>
                <w:highlight w:val="none"/>
                <w:lang w:eastAsia="zh-CN"/>
              </w:rPr>
              <w:t>驻场</w:t>
            </w:r>
            <w:r>
              <w:rPr>
                <w:rFonts w:hint="eastAsia" w:ascii="宋体" w:hAnsi="宋体" w:cs="宋体"/>
                <w:color w:val="auto"/>
                <w:szCs w:val="21"/>
                <w:highlight w:val="none"/>
              </w:rPr>
              <w:t>人员（不含项目负责人、项目经理和技术经理）不少于</w:t>
            </w: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人（不含本数），且实施人员（不含项目负责人、项目经理和技术经理）中至少</w:t>
            </w:r>
            <w:r>
              <w:rPr>
                <w:rFonts w:hint="eastAsia" w:ascii="宋体" w:hAnsi="宋体" w:cs="宋体"/>
                <w:color w:val="auto"/>
                <w:szCs w:val="21"/>
                <w:highlight w:val="none"/>
                <w:lang w:eastAsia="zh-CN"/>
              </w:rPr>
              <w:t>9</w:t>
            </w:r>
            <w:r>
              <w:rPr>
                <w:rFonts w:hint="eastAsia" w:ascii="宋体" w:hAnsi="宋体" w:cs="宋体"/>
                <w:color w:val="auto"/>
                <w:szCs w:val="21"/>
                <w:highlight w:val="none"/>
              </w:rPr>
              <w:t>人具备信息安全工程师证书（CISE）、人工智能训练师四级及以上、软件评测师、软件设计师、软件过程能力评估师、网络工程师、系统集成项目管理工程师、信息系统管理工程师、信息安全工程师、数据库系统工程师之一且至少1人具备信息系统项目管理师证书、网络规划设计师、系统规划与管理师、系统分析师证书、系统架构设计师之一的（实施人员需涵盖上述所列所有专业证书）得3分。本项最多得3分</w:t>
            </w:r>
            <w:r>
              <w:rPr>
                <w:rFonts w:hint="eastAsia" w:ascii="宋体" w:hAnsi="宋体" w:eastAsia="宋体" w:cs="宋体"/>
                <w:color w:val="auto"/>
                <w:sz w:val="21"/>
                <w:szCs w:val="21"/>
                <w:highlight w:val="none"/>
              </w:rPr>
              <w:t>。</w:t>
            </w:r>
          </w:p>
          <w:p w14:paraId="60E58584">
            <w:pPr>
              <w:keepNext/>
              <w:keepLines/>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注：以上每个实施人员仅计算一次证书，投标人需在投标文件中提供相应人员</w:t>
            </w:r>
            <w:r>
              <w:rPr>
                <w:rFonts w:hint="eastAsia" w:ascii="宋体" w:hAnsi="宋体" w:eastAsia="宋体" w:cs="宋体"/>
                <w:b/>
                <w:bCs/>
                <w:color w:val="auto"/>
                <w:sz w:val="21"/>
                <w:szCs w:val="21"/>
                <w:highlight w:val="none"/>
                <w:lang w:eastAsia="zh-CN"/>
              </w:rPr>
              <w:t>资格证书</w:t>
            </w:r>
            <w:r>
              <w:rPr>
                <w:rFonts w:hint="eastAsia" w:ascii="宋体" w:hAnsi="宋体" w:eastAsia="宋体" w:cs="宋体"/>
                <w:b/>
                <w:bCs/>
                <w:color w:val="auto"/>
                <w:sz w:val="21"/>
                <w:szCs w:val="21"/>
                <w:highlight w:val="none"/>
              </w:rPr>
              <w:t>复印件、投标人为其缴纳的近一年内连续三个月的社保记录</w:t>
            </w:r>
            <w:r>
              <w:rPr>
                <w:rFonts w:hint="eastAsia" w:ascii="宋体" w:hAnsi="宋体" w:eastAsia="宋体" w:cs="宋体"/>
                <w:b/>
                <w:bCs/>
                <w:color w:val="auto"/>
                <w:sz w:val="21"/>
                <w:szCs w:val="21"/>
                <w:highlight w:val="none"/>
                <w:lang w:eastAsia="zh-CN"/>
              </w:rPr>
              <w:t>或签订的劳动合同</w:t>
            </w:r>
            <w:r>
              <w:rPr>
                <w:rFonts w:hint="eastAsia" w:ascii="宋体" w:hAnsi="宋体" w:eastAsia="宋体" w:cs="宋体"/>
                <w:b/>
                <w:bCs/>
                <w:color w:val="auto"/>
                <w:sz w:val="21"/>
                <w:szCs w:val="21"/>
                <w:highlight w:val="none"/>
              </w:rPr>
              <w:t>复印件（原件备查），否则不得分。</w:t>
            </w:r>
          </w:p>
        </w:tc>
      </w:tr>
      <w:tr w14:paraId="159A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Merge w:val="continue"/>
            <w:noWrap w:val="0"/>
            <w:vAlign w:val="center"/>
          </w:tcPr>
          <w:p w14:paraId="593EF8D2">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1067" w:type="dxa"/>
            <w:vMerge w:val="continue"/>
            <w:noWrap w:val="0"/>
            <w:vAlign w:val="center"/>
          </w:tcPr>
          <w:p w14:paraId="1BE7B22D">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695" w:type="dxa"/>
            <w:vMerge w:val="continue"/>
            <w:noWrap w:val="0"/>
            <w:vAlign w:val="center"/>
          </w:tcPr>
          <w:p w14:paraId="5DDB091F">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1786" w:type="dxa"/>
            <w:noWrap w:val="0"/>
            <w:vAlign w:val="center"/>
          </w:tcPr>
          <w:p w14:paraId="13CDAB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bCs/>
                <w:color w:val="auto"/>
                <w:sz w:val="21"/>
                <w:szCs w:val="21"/>
                <w:highlight w:val="none"/>
                <w:lang w:eastAsia="zh-CN"/>
              </w:rPr>
              <w:t>培训及售后服务（满分</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lang w:val="en-US" w:eastAsia="zh-CN"/>
              </w:rPr>
              <w:t>)</w:t>
            </w:r>
          </w:p>
        </w:tc>
        <w:tc>
          <w:tcPr>
            <w:tcW w:w="5619" w:type="dxa"/>
            <w:noWrap w:val="0"/>
            <w:vAlign w:val="center"/>
          </w:tcPr>
          <w:p w14:paraId="57FE0C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由评审小组在打分前根据供应商的售后服务方案评定打分。</w:t>
            </w:r>
          </w:p>
          <w:p w14:paraId="0FA2CD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售后服务方案并未针对采购文件商务要求进行实质性的细化，方案内容简单，提供有简单的培训计划和内容。</w:t>
            </w:r>
          </w:p>
          <w:p w14:paraId="265FBC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在一档基础上，售后服务方案内容包括服务内容、工作目标、服务标准、响应时间、服务方式、培训方案、服务质量保证等内容；售后服务方案内容比较清晰合理、措施得当、基本符合项目要求；售后服务团队合理配备具备专业知识的技术人员2-9人（均含本数）。</w:t>
            </w:r>
          </w:p>
          <w:p w14:paraId="1387E0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三档（</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在二档基础上，提供完善的售后服务管理流程，有良好的售后服务质量监督及保障机制；有良好的耗材及备品备件优惠措施；培训方案详细合理，有培训安排、培训内容、培训方式、培训教材、培训师资方面的描述；售后服务方案详细完整并且有合理性及可行性；拟投入售后服务团队合理配备具备专业知识的技术人员不少于20人，团队人员配置要求达到如下标准：高级系统架构设计师</w:t>
            </w:r>
            <w:r>
              <w:rPr>
                <w:rFonts w:hint="eastAsia" w:ascii="宋体" w:hAnsi="宋体" w:eastAsia="宋体" w:cs="宋体"/>
                <w:color w:val="auto"/>
                <w:sz w:val="21"/>
                <w:szCs w:val="21"/>
                <w:highlight w:val="none"/>
                <w:lang w:eastAsia="zh-CN"/>
              </w:rPr>
              <w:t>资格证书</w:t>
            </w:r>
            <w:r>
              <w:rPr>
                <w:rFonts w:hint="eastAsia" w:ascii="宋体" w:hAnsi="宋体" w:eastAsia="宋体" w:cs="宋体"/>
                <w:color w:val="auto"/>
                <w:sz w:val="21"/>
                <w:szCs w:val="21"/>
                <w:highlight w:val="none"/>
              </w:rPr>
              <w:t>（人力资源和社会保障部门颁发）的人员不少于2名；高级信息系统项目管理师</w:t>
            </w:r>
            <w:r>
              <w:rPr>
                <w:rFonts w:hint="eastAsia" w:ascii="宋体" w:hAnsi="宋体" w:eastAsia="宋体" w:cs="宋体"/>
                <w:color w:val="auto"/>
                <w:sz w:val="21"/>
                <w:szCs w:val="21"/>
                <w:highlight w:val="none"/>
                <w:lang w:eastAsia="zh-CN"/>
              </w:rPr>
              <w:t>资格证书</w:t>
            </w:r>
            <w:r>
              <w:rPr>
                <w:rFonts w:hint="eastAsia" w:ascii="宋体" w:hAnsi="宋体" w:eastAsia="宋体" w:cs="宋体"/>
                <w:color w:val="auto"/>
                <w:sz w:val="21"/>
                <w:szCs w:val="21"/>
                <w:highlight w:val="none"/>
              </w:rPr>
              <w:t>（人力资源和社会保障部门颁发）的人员不少于3名；中国信息安全测评中心注册的信息安全工程师（CISE）不少于1名。</w:t>
            </w:r>
          </w:p>
          <w:p w14:paraId="55C185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四档（</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：在三档基础上，售后服务方案内容详细、全面、准确，针对性强，高度符合采购</w:t>
            </w:r>
            <w:r>
              <w:rPr>
                <w:rFonts w:hint="eastAsia" w:ascii="宋体" w:hAnsi="宋体" w:cs="宋体"/>
                <w:color w:val="auto"/>
                <w:sz w:val="21"/>
                <w:szCs w:val="21"/>
                <w:highlight w:val="none"/>
                <w:lang w:eastAsia="zh-CN"/>
              </w:rPr>
              <w:t>需求</w:t>
            </w:r>
            <w:r>
              <w:rPr>
                <w:rFonts w:hint="eastAsia" w:ascii="宋体" w:hAnsi="宋体" w:eastAsia="宋体" w:cs="宋体"/>
                <w:color w:val="auto"/>
                <w:sz w:val="21"/>
                <w:szCs w:val="21"/>
                <w:highlight w:val="none"/>
              </w:rPr>
              <w:t>的实际情况和需求</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w:t>
            </w:r>
          </w:p>
          <w:p w14:paraId="186F57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sz w:val="21"/>
                <w:szCs w:val="21"/>
                <w:highlight w:val="none"/>
              </w:rPr>
              <w:t>注：售后服务人员与实施人员仅计算一次证书；投标人需在投标文件中提供相应人员资</w:t>
            </w:r>
            <w:r>
              <w:rPr>
                <w:rFonts w:hint="eastAsia" w:ascii="宋体" w:hAnsi="宋体" w:eastAsia="宋体" w:cs="宋体"/>
                <w:b/>
                <w:bCs/>
                <w:color w:val="auto"/>
                <w:sz w:val="21"/>
                <w:szCs w:val="21"/>
                <w:highlight w:val="none"/>
                <w:lang w:eastAsia="zh-CN"/>
              </w:rPr>
              <w:t>格</w:t>
            </w:r>
            <w:r>
              <w:rPr>
                <w:rFonts w:hint="eastAsia" w:ascii="宋体" w:hAnsi="宋体" w:eastAsia="宋体" w:cs="宋体"/>
                <w:b/>
                <w:bCs/>
                <w:color w:val="auto"/>
                <w:sz w:val="21"/>
                <w:szCs w:val="21"/>
                <w:highlight w:val="none"/>
              </w:rPr>
              <w:t>证书复印件、投标人为其缴纳的近一年内连续三个月的社保记录</w:t>
            </w:r>
            <w:r>
              <w:rPr>
                <w:rFonts w:hint="eastAsia" w:ascii="宋体" w:hAnsi="宋体" w:eastAsia="宋体" w:cs="宋体"/>
                <w:b/>
                <w:bCs/>
                <w:color w:val="auto"/>
                <w:sz w:val="21"/>
                <w:szCs w:val="21"/>
                <w:highlight w:val="none"/>
                <w:lang w:eastAsia="zh-CN"/>
              </w:rPr>
              <w:t>或签订的劳动合同</w:t>
            </w:r>
            <w:r>
              <w:rPr>
                <w:rFonts w:hint="eastAsia" w:ascii="宋体" w:hAnsi="宋体" w:eastAsia="宋体" w:cs="宋体"/>
                <w:b/>
                <w:bCs/>
                <w:color w:val="auto"/>
                <w:sz w:val="21"/>
                <w:szCs w:val="21"/>
                <w:highlight w:val="none"/>
              </w:rPr>
              <w:t>复印件（原件备查），否则不得分。</w:t>
            </w:r>
          </w:p>
        </w:tc>
      </w:tr>
      <w:tr w14:paraId="4DD1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Merge w:val="restart"/>
            <w:noWrap w:val="0"/>
            <w:vAlign w:val="center"/>
          </w:tcPr>
          <w:p w14:paraId="3E5E6E2D">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5B411C7B">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7208394E">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574CBAA5">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5B37590B">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13248D9C">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490000F8">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39070011">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53689FC0">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6BCF840D">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660915FA">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3</w:t>
            </w:r>
          </w:p>
          <w:p w14:paraId="45073AEC">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5B319AEC">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3A30A5DC">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32988FB2">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3C760F44">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24199F06">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4102273B">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6C6CD024">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p w14:paraId="3EF01E48">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1067" w:type="dxa"/>
            <w:vMerge w:val="restart"/>
            <w:noWrap w:val="0"/>
            <w:vAlign w:val="center"/>
          </w:tcPr>
          <w:p w14:paraId="07DEEF67">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eastAsia="zh-CN"/>
              </w:rPr>
            </w:pPr>
          </w:p>
          <w:p w14:paraId="1CBED75E">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eastAsia="zh-CN"/>
              </w:rPr>
            </w:pPr>
          </w:p>
          <w:p w14:paraId="0F2FE11A">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eastAsia="zh-CN"/>
              </w:rPr>
            </w:pPr>
          </w:p>
          <w:p w14:paraId="0D57DE3D">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eastAsia="zh-CN"/>
              </w:rPr>
            </w:pPr>
          </w:p>
          <w:p w14:paraId="1748E7D9">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eastAsia="zh-CN"/>
              </w:rPr>
            </w:pPr>
          </w:p>
          <w:p w14:paraId="25F20441">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eastAsia="zh-CN"/>
              </w:rPr>
            </w:pPr>
          </w:p>
          <w:p w14:paraId="1BC919C7">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eastAsia="zh-CN"/>
              </w:rPr>
            </w:pPr>
          </w:p>
          <w:p w14:paraId="3C63D584">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eastAsia="zh-CN"/>
              </w:rPr>
            </w:pPr>
          </w:p>
          <w:p w14:paraId="308F2D49">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eastAsia="zh-CN"/>
              </w:rPr>
            </w:pPr>
          </w:p>
          <w:p w14:paraId="1133E245">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eastAsia="zh-CN"/>
              </w:rPr>
            </w:pPr>
          </w:p>
          <w:p w14:paraId="1BCC9275">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b/>
                <w:color w:val="auto"/>
                <w:szCs w:val="21"/>
                <w:highlight w:val="none"/>
                <w:lang w:eastAsia="zh-CN"/>
              </w:rPr>
            </w:pPr>
            <w:r>
              <w:rPr>
                <w:rFonts w:hint="eastAsia" w:ascii="宋体" w:hAnsi="宋体"/>
                <w:b/>
                <w:color w:val="auto"/>
                <w:szCs w:val="21"/>
                <w:highlight w:val="none"/>
                <w:lang w:eastAsia="zh-CN"/>
              </w:rPr>
              <w:t>商务</w:t>
            </w:r>
            <w:r>
              <w:rPr>
                <w:rFonts w:ascii="宋体" w:hAnsi="宋体"/>
                <w:b/>
                <w:color w:val="auto"/>
                <w:szCs w:val="21"/>
                <w:highlight w:val="none"/>
              </w:rPr>
              <w:t>分</w:t>
            </w:r>
          </w:p>
        </w:tc>
        <w:tc>
          <w:tcPr>
            <w:tcW w:w="695" w:type="dxa"/>
            <w:vMerge w:val="restart"/>
            <w:noWrap w:val="0"/>
            <w:vAlign w:val="center"/>
          </w:tcPr>
          <w:p w14:paraId="506635D8">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val="en-US" w:eastAsia="zh-CN"/>
              </w:rPr>
            </w:pPr>
          </w:p>
          <w:p w14:paraId="79F03404">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val="en-US" w:eastAsia="zh-CN"/>
              </w:rPr>
            </w:pPr>
          </w:p>
          <w:p w14:paraId="3CBAF01E">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val="en-US" w:eastAsia="zh-CN"/>
              </w:rPr>
            </w:pPr>
          </w:p>
          <w:p w14:paraId="1824C951">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val="en-US" w:eastAsia="zh-CN"/>
              </w:rPr>
            </w:pPr>
          </w:p>
          <w:p w14:paraId="3D76C6EF">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val="en-US" w:eastAsia="zh-CN"/>
              </w:rPr>
            </w:pPr>
          </w:p>
          <w:p w14:paraId="13291B9B">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val="en-US" w:eastAsia="zh-CN"/>
              </w:rPr>
            </w:pPr>
          </w:p>
          <w:p w14:paraId="0EC8AA53">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val="en-US" w:eastAsia="zh-CN"/>
              </w:rPr>
            </w:pPr>
          </w:p>
          <w:p w14:paraId="7D6304C2">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val="en-US" w:eastAsia="zh-CN"/>
              </w:rPr>
            </w:pPr>
          </w:p>
          <w:p w14:paraId="40D664CD">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val="en-US" w:eastAsia="zh-CN"/>
              </w:rPr>
            </w:pPr>
          </w:p>
          <w:p w14:paraId="26AC030B">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val="en-US" w:eastAsia="zh-CN"/>
              </w:rPr>
            </w:pPr>
          </w:p>
          <w:p w14:paraId="72274B3C">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lang w:val="en-US" w:eastAsia="zh-CN"/>
              </w:rPr>
              <w:t>10</w:t>
            </w:r>
            <w:r>
              <w:rPr>
                <w:rFonts w:hint="eastAsia" w:ascii="宋体" w:hAnsi="宋体"/>
                <w:b/>
                <w:color w:val="auto"/>
                <w:szCs w:val="21"/>
                <w:highlight w:val="none"/>
              </w:rPr>
              <w:t>分</w:t>
            </w:r>
          </w:p>
        </w:tc>
        <w:tc>
          <w:tcPr>
            <w:tcW w:w="1786" w:type="dxa"/>
            <w:noWrap w:val="0"/>
            <w:vAlign w:val="center"/>
          </w:tcPr>
          <w:p w14:paraId="7E2FBF60">
            <w:pPr>
              <w:keepNext/>
              <w:keepLines/>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bCs/>
                <w:color w:val="auto"/>
                <w:sz w:val="21"/>
                <w:szCs w:val="21"/>
                <w:highlight w:val="none"/>
                <w:lang w:val="en-US" w:eastAsia="zh-CN"/>
              </w:rPr>
              <w:t>业绩分（满分1</w:t>
            </w:r>
            <w:r>
              <w:rPr>
                <w:rFonts w:hint="eastAsia" w:ascii="宋体" w:hAnsi="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lang w:val="en-US" w:eastAsia="zh-CN"/>
              </w:rPr>
              <w:t>）</w:t>
            </w:r>
          </w:p>
        </w:tc>
        <w:tc>
          <w:tcPr>
            <w:tcW w:w="5619" w:type="dxa"/>
            <w:noWrap w:val="0"/>
            <w:vAlign w:val="center"/>
          </w:tcPr>
          <w:p w14:paraId="2C91CA50">
            <w:pPr>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color w:val="auto"/>
                <w:sz w:val="21"/>
                <w:szCs w:val="21"/>
                <w:highlight w:val="none"/>
              </w:rPr>
              <w:t>投标人具备同类信息化项目经验，提供2022 年1月1日以来（以合同签订时间为准）的合同关键页（包括采购内容、签约日期、双方盖章）复印件加盖投标人公章，每提供一个得0.5分，此项满分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tc>
      </w:tr>
      <w:tr w14:paraId="77AA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30" w:type="dxa"/>
            <w:vMerge w:val="continue"/>
            <w:noWrap w:val="0"/>
            <w:vAlign w:val="center"/>
          </w:tcPr>
          <w:p w14:paraId="4AA83BBB">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rPr>
            </w:pPr>
          </w:p>
        </w:tc>
        <w:tc>
          <w:tcPr>
            <w:tcW w:w="1067" w:type="dxa"/>
            <w:vMerge w:val="continue"/>
            <w:noWrap w:val="0"/>
            <w:vAlign w:val="center"/>
          </w:tcPr>
          <w:p w14:paraId="71C4F01C">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b/>
                <w:color w:val="auto"/>
                <w:szCs w:val="21"/>
                <w:highlight w:val="none"/>
                <w:lang w:eastAsia="zh-CN"/>
              </w:rPr>
            </w:pPr>
          </w:p>
        </w:tc>
        <w:tc>
          <w:tcPr>
            <w:tcW w:w="695" w:type="dxa"/>
            <w:vMerge w:val="continue"/>
            <w:noWrap w:val="0"/>
            <w:vAlign w:val="center"/>
          </w:tcPr>
          <w:p w14:paraId="7AA8572B">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val="en-US" w:eastAsia="zh-CN"/>
              </w:rPr>
            </w:pPr>
          </w:p>
        </w:tc>
        <w:tc>
          <w:tcPr>
            <w:tcW w:w="1786" w:type="dxa"/>
            <w:noWrap w:val="0"/>
            <w:vAlign w:val="center"/>
          </w:tcPr>
          <w:p w14:paraId="168106F8">
            <w:pPr>
              <w:keepNext/>
              <w:keepLines/>
              <w:pageBreakBefore w:val="0"/>
              <w:widowControl/>
              <w:kinsoku/>
              <w:wordWrap/>
              <w:overflowPunct/>
              <w:topLinePunct w:val="0"/>
              <w:autoSpaceDE/>
              <w:autoSpaceDN/>
              <w:bidi w:val="0"/>
              <w:snapToGrid/>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技术力量分</w:t>
            </w:r>
          </w:p>
          <w:p w14:paraId="67D83AC5">
            <w:pPr>
              <w:keepNext/>
              <w:keepLines/>
              <w:pageBreakBefore w:val="0"/>
              <w:widowControl/>
              <w:kinsoku/>
              <w:wordWrap/>
              <w:overflowPunct/>
              <w:topLinePunct w:val="0"/>
              <w:autoSpaceDE/>
              <w:autoSpaceDN/>
              <w:bidi w:val="0"/>
              <w:snapToGrid/>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（满分</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分）</w:t>
            </w:r>
          </w:p>
          <w:p w14:paraId="4D9CB256">
            <w:pPr>
              <w:keepNext/>
              <w:keepLines/>
              <w:pageBreakBefore w:val="0"/>
              <w:widowControl/>
              <w:kinsoku/>
              <w:wordWrap/>
              <w:overflowPunct/>
              <w:topLinePunct w:val="0"/>
              <w:autoSpaceDE/>
              <w:autoSpaceDN/>
              <w:bidi w:val="0"/>
              <w:snapToGrid/>
              <w:spacing w:line="360" w:lineRule="auto"/>
              <w:jc w:val="center"/>
              <w:rPr>
                <w:rFonts w:hint="eastAsia" w:ascii="宋体" w:hAnsi="宋体" w:eastAsia="宋体" w:cs="宋体"/>
                <w:color w:val="auto"/>
                <w:sz w:val="21"/>
                <w:szCs w:val="21"/>
                <w:highlight w:val="none"/>
                <w:lang w:val="en-US" w:eastAsia="zh-CN"/>
              </w:rPr>
            </w:pPr>
          </w:p>
        </w:tc>
        <w:tc>
          <w:tcPr>
            <w:tcW w:w="5619" w:type="dxa"/>
            <w:noWrap w:val="0"/>
            <w:vAlign w:val="center"/>
          </w:tcPr>
          <w:p w14:paraId="24199FCE">
            <w:pPr>
              <w:keepNext/>
              <w:keepLines/>
              <w:pageBreakBefore w:val="0"/>
              <w:widowControl/>
              <w:kinsoku/>
              <w:wordWrap/>
              <w:overflowPunct/>
              <w:topLinePunct w:val="0"/>
              <w:autoSpaceDE/>
              <w:autoSpaceDN/>
              <w:bidi w:val="0"/>
              <w:snapToGrid/>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IS09001（质量管理体系）、ISO27001（信息安全体系）、</w:t>
            </w:r>
            <w:r>
              <w:rPr>
                <w:rFonts w:hint="eastAsia" w:ascii="宋体" w:hAnsi="宋体" w:eastAsia="宋体" w:cs="宋体"/>
                <w:color w:val="auto"/>
                <w:sz w:val="21"/>
                <w:szCs w:val="21"/>
                <w:highlight w:val="none"/>
                <w:lang w:val="en-US" w:eastAsia="zh-CN"/>
              </w:rPr>
              <w:t>ISO27701（隐私信息管理体系）、</w:t>
            </w:r>
            <w:r>
              <w:rPr>
                <w:rFonts w:hint="eastAsia" w:ascii="宋体" w:hAnsi="宋体" w:eastAsia="宋体" w:cs="宋体"/>
                <w:color w:val="auto"/>
                <w:sz w:val="21"/>
                <w:szCs w:val="21"/>
                <w:highlight w:val="none"/>
              </w:rPr>
              <w:t>ISO27017（</w:t>
            </w:r>
            <w:r>
              <w:rPr>
                <w:rFonts w:hint="eastAsia" w:ascii="宋体" w:hAnsi="宋体" w:eastAsia="宋体" w:cs="宋体"/>
                <w:color w:val="auto"/>
                <w:sz w:val="21"/>
                <w:szCs w:val="21"/>
                <w:highlight w:val="none"/>
                <w:lang w:val="en-US" w:eastAsia="zh-CN"/>
              </w:rPr>
              <w:t>云服务</w:t>
            </w:r>
            <w:r>
              <w:rPr>
                <w:rFonts w:hint="eastAsia" w:ascii="宋体" w:hAnsi="宋体" w:eastAsia="宋体" w:cs="宋体"/>
                <w:color w:val="auto"/>
                <w:sz w:val="21"/>
                <w:szCs w:val="21"/>
                <w:highlight w:val="none"/>
              </w:rPr>
              <w:t>信息安全管理体系）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ISO27032（网络空间安全管理体系）、</w:t>
            </w:r>
            <w:r>
              <w:rPr>
                <w:rFonts w:hint="eastAsia" w:ascii="宋体" w:hAnsi="宋体" w:eastAsia="宋体" w:cs="宋体"/>
                <w:color w:val="auto"/>
                <w:sz w:val="21"/>
                <w:szCs w:val="21"/>
                <w:highlight w:val="none"/>
              </w:rPr>
              <w:t>ISO20000（信息技术服务管理体系）</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每</w:t>
            </w:r>
            <w:r>
              <w:rPr>
                <w:rFonts w:hint="eastAsia" w:ascii="宋体" w:hAnsi="宋体" w:eastAsia="宋体" w:cs="宋体"/>
                <w:color w:val="auto"/>
                <w:sz w:val="21"/>
                <w:szCs w:val="21"/>
                <w:highlight w:val="none"/>
                <w:lang w:val="en-US" w:eastAsia="zh-CN"/>
              </w:rPr>
              <w:t>1个</w:t>
            </w:r>
            <w:r>
              <w:rPr>
                <w:rFonts w:hint="eastAsia" w:ascii="宋体" w:hAnsi="宋体" w:eastAsia="宋体" w:cs="宋体"/>
                <w:color w:val="auto"/>
                <w:sz w:val="21"/>
                <w:szCs w:val="21"/>
                <w:highlight w:val="none"/>
              </w:rPr>
              <w:t>证书的得</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分；此项满分</w:t>
            </w: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分。</w:t>
            </w:r>
          </w:p>
          <w:p w14:paraId="1B13FCBA">
            <w:pPr>
              <w:keepNext/>
              <w:keepLines/>
              <w:pageBreakBefore w:val="0"/>
              <w:widowControl/>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）为了保证项目的顺利交付及系统的稳定允许，考核投标人运维、管理和服务能力，投标人具备信息技术运行维护标准 ITSS 服务能力的得1分；投标人具有信息系统建设和服务能力等级二级及以上证书的得1分；此项满分2分。</w:t>
            </w:r>
          </w:p>
          <w:p w14:paraId="79B4F39F">
            <w:pPr>
              <w:keepNext/>
              <w:keepLines/>
              <w:pageBreakBefore w:val="0"/>
              <w:widowControl/>
              <w:kinsoku/>
              <w:wordWrap/>
              <w:overflowPunct/>
              <w:topLinePunct w:val="0"/>
              <w:autoSpaceDE/>
              <w:autoSpaceDN/>
              <w:bidi w:val="0"/>
              <w:snapToGri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）为了保证公安业务数据的安全性，投标人应具有相应的信息安全服务能力，如投标人具备信息系统安全集成服务资质三级及以上等级的得1分；投标人具备信息安全风险评</w:t>
            </w:r>
            <w:r>
              <w:rPr>
                <w:rFonts w:hint="eastAsia" w:ascii="宋体" w:hAnsi="宋体" w:eastAsia="宋体" w:cs="宋体"/>
                <w:color w:val="auto"/>
                <w:sz w:val="21"/>
                <w:szCs w:val="21"/>
                <w:highlight w:val="none"/>
                <w:lang w:val="en-US" w:eastAsia="zh-CN"/>
              </w:rPr>
              <w:t>估服务资质的得1分；此项满分2分。</w:t>
            </w:r>
          </w:p>
          <w:p w14:paraId="31F4847F">
            <w:pPr>
              <w:keepNext/>
              <w:keepLines/>
              <w:pageBreakBefore w:val="0"/>
              <w:widowControl/>
              <w:kinsoku/>
              <w:wordWrap/>
              <w:overflowPunct/>
              <w:topLinePunct w:val="0"/>
              <w:autoSpaceDE/>
              <w:autoSpaceDN/>
              <w:bidi w:val="0"/>
              <w:snapToGri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（4）为考核投标人软件开发实力，如投标人通过SPCA软件能力成熟度模型等级3级或4级的得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分，如投标人通过SPCA软件能力成熟度模型等级5级的得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分；此项满分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r>
      <w:tr w14:paraId="0337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noWrap w:val="0"/>
            <w:vAlign w:val="center"/>
          </w:tcPr>
          <w:p w14:paraId="22A46E18">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eastAsia="宋体"/>
                <w:b/>
                <w:color w:val="auto"/>
                <w:szCs w:val="21"/>
                <w:highlight w:val="none"/>
                <w:lang w:val="en-US" w:eastAsia="zh-CN"/>
              </w:rPr>
            </w:pPr>
            <w:r>
              <w:rPr>
                <w:rFonts w:hint="eastAsia" w:ascii="宋体" w:hAnsi="宋体"/>
                <w:b/>
                <w:color w:val="auto"/>
                <w:szCs w:val="21"/>
                <w:highlight w:val="none"/>
                <w:lang w:val="en-US" w:eastAsia="zh-CN"/>
              </w:rPr>
              <w:t>4</w:t>
            </w:r>
          </w:p>
        </w:tc>
        <w:tc>
          <w:tcPr>
            <w:tcW w:w="1762" w:type="dxa"/>
            <w:gridSpan w:val="2"/>
            <w:noWrap w:val="0"/>
            <w:vAlign w:val="center"/>
          </w:tcPr>
          <w:p w14:paraId="03028AF0">
            <w:pPr>
              <w:keepNext/>
              <w:keepLines/>
              <w:pageBreakBefore w:val="0"/>
              <w:widowControl/>
              <w:kinsoku/>
              <w:wordWrap/>
              <w:overflowPunct/>
              <w:topLinePunct w:val="0"/>
              <w:autoSpaceDE/>
              <w:autoSpaceDN/>
              <w:bidi w:val="0"/>
              <w:adjustRightInd w:val="0"/>
              <w:snapToGrid/>
              <w:spacing w:line="400" w:lineRule="exact"/>
              <w:jc w:val="center"/>
              <w:textAlignment w:val="baseline"/>
              <w:rPr>
                <w:rFonts w:hint="eastAsia" w:ascii="宋体" w:hAnsi="宋体"/>
                <w:b/>
                <w:color w:val="auto"/>
                <w:szCs w:val="21"/>
                <w:highlight w:val="none"/>
                <w:lang w:val="en-US" w:eastAsia="zh-CN"/>
              </w:rPr>
            </w:pPr>
            <w:r>
              <w:rPr>
                <w:rFonts w:hint="eastAsia"/>
                <w:b/>
                <w:bCs/>
                <w:color w:val="auto"/>
                <w:highlight w:val="none"/>
              </w:rPr>
              <w:t>信用管理考核分</w:t>
            </w:r>
          </w:p>
        </w:tc>
        <w:tc>
          <w:tcPr>
            <w:tcW w:w="1786" w:type="dxa"/>
            <w:noWrap w:val="0"/>
            <w:vAlign w:val="center"/>
          </w:tcPr>
          <w:p w14:paraId="54C27BFD">
            <w:pPr>
              <w:keepNext/>
              <w:keepLines/>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b/>
                <w:bCs/>
                <w:color w:val="auto"/>
                <w:sz w:val="20"/>
                <w:szCs w:val="22"/>
                <w:highlight w:val="none"/>
              </w:rPr>
              <w:t>-6-0分</w:t>
            </w:r>
          </w:p>
        </w:tc>
        <w:tc>
          <w:tcPr>
            <w:tcW w:w="5619" w:type="dxa"/>
            <w:noWrap w:val="0"/>
            <w:vAlign w:val="center"/>
          </w:tcPr>
          <w:p w14:paraId="19C0A725">
            <w:pPr>
              <w:keepNext/>
              <w:keepLines/>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color w:val="auto"/>
                <w:highlight w:val="none"/>
              </w:rPr>
              <w:t>投标人在截标日前一年内在政府采购活动中存在违约违规情形的（以财政部门书面认定材料为评分依据），每次扣除3分，最高扣6分。</w:t>
            </w:r>
            <w:r>
              <w:rPr>
                <w:rFonts w:hint="eastAsia" w:ascii="宋体" w:hAnsi="宋体"/>
                <w:bCs/>
                <w:color w:val="auto"/>
                <w:szCs w:val="21"/>
                <w:highlight w:val="none"/>
              </w:rPr>
              <w:t>(若存在违约违规情形，由投标人提供认定材料；若不存在违约违规情形，提供无违约违规情形承诺书（格式自拟），加盖公章。若在项目处于质疑期，被其他利害关系投标人质疑或监督管理部门查实在政府采购活动中存在违约违规情形的，采购人有权将以提供虚假材料谋取中标处理，报政府采购监督管理部门进行处罚)。</w:t>
            </w:r>
          </w:p>
        </w:tc>
      </w:tr>
      <w:tr w14:paraId="3813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897" w:type="dxa"/>
            <w:gridSpan w:val="5"/>
            <w:noWrap w:val="0"/>
            <w:vAlign w:val="center"/>
          </w:tcPr>
          <w:p w14:paraId="51AE5F6F">
            <w:pPr>
              <w:pStyle w:val="11"/>
              <w:keepNext/>
              <w:keepLines/>
              <w:pageBreakBefore w:val="0"/>
              <w:widowControl/>
              <w:kinsoku/>
              <w:wordWrap/>
              <w:overflowPunct/>
              <w:topLinePunct w:val="0"/>
              <w:autoSpaceDE/>
              <w:autoSpaceDN/>
              <w:bidi w:val="0"/>
              <w:snapToGrid/>
              <w:spacing w:line="400" w:lineRule="exact"/>
              <w:rPr>
                <w:rFonts w:hint="eastAsia" w:hAnsi="宋体" w:cs="Courier New"/>
                <w:bCs/>
                <w:color w:val="auto"/>
                <w:kern w:val="2"/>
                <w:sz w:val="21"/>
                <w:highlight w:val="none"/>
              </w:rPr>
            </w:pPr>
            <w:r>
              <w:rPr>
                <w:rFonts w:hint="eastAsia" w:hAnsi="宋体" w:cs="Courier New"/>
                <w:b/>
                <w:bCs/>
                <w:color w:val="auto"/>
                <w:kern w:val="2"/>
                <w:sz w:val="21"/>
                <w:highlight w:val="none"/>
              </w:rPr>
              <w:t>总得分=1+2+3</w:t>
            </w:r>
            <w:r>
              <w:rPr>
                <w:rFonts w:hint="eastAsia" w:hAnsi="宋体" w:cs="Courier New"/>
                <w:b/>
                <w:bCs/>
                <w:color w:val="auto"/>
                <w:kern w:val="2"/>
                <w:sz w:val="21"/>
                <w:highlight w:val="none"/>
                <w:lang w:val="en-US" w:eastAsia="zh-CN"/>
              </w:rPr>
              <w:t>+4</w:t>
            </w:r>
            <w:r>
              <w:rPr>
                <w:rFonts w:hint="eastAsia" w:hAnsi="宋体" w:cs="Courier New"/>
                <w:b/>
                <w:bCs/>
                <w:color w:val="auto"/>
                <w:kern w:val="2"/>
                <w:sz w:val="21"/>
                <w:highlight w:val="none"/>
              </w:rPr>
              <w:t>。</w:t>
            </w:r>
          </w:p>
        </w:tc>
      </w:tr>
    </w:tbl>
    <w:p w14:paraId="7F2E623F">
      <w:pPr>
        <w:rPr>
          <w:rFonts w:hint="eastAsia" w:hAnsi="宋体"/>
          <w:b/>
          <w:color w:val="auto"/>
          <w:sz w:val="32"/>
          <w:szCs w:val="32"/>
          <w:highlight w:val="none"/>
        </w:rPr>
      </w:pPr>
      <w:r>
        <w:rPr>
          <w:rFonts w:hint="eastAsia" w:hAnsi="宋体"/>
          <w:b/>
          <w:color w:val="auto"/>
          <w:sz w:val="32"/>
          <w:szCs w:val="32"/>
          <w:highlight w:val="none"/>
        </w:rPr>
        <w:br w:type="page"/>
      </w:r>
    </w:p>
    <w:p w14:paraId="369649F6">
      <w:pPr>
        <w:pStyle w:val="11"/>
        <w:spacing w:line="360" w:lineRule="auto"/>
        <w:jc w:val="left"/>
        <w:outlineLvl w:val="0"/>
        <w:rPr>
          <w:rFonts w:hint="default" w:hAnsi="宋体" w:eastAsia="宋体"/>
          <w:b/>
          <w:bCs/>
          <w:color w:val="auto"/>
          <w:sz w:val="28"/>
          <w:szCs w:val="28"/>
          <w:highlight w:val="none"/>
          <w:lang w:val="en-US" w:eastAsia="zh-CN"/>
        </w:rPr>
      </w:pPr>
      <w:bookmarkStart w:id="154" w:name="_Toc31187"/>
      <w:r>
        <w:rPr>
          <w:rFonts w:hint="eastAsia" w:hAnsi="宋体"/>
          <w:b/>
          <w:bCs/>
          <w:color w:val="auto"/>
          <w:sz w:val="28"/>
          <w:szCs w:val="28"/>
          <w:highlight w:val="none"/>
          <w:lang w:val="en-US" w:eastAsia="zh-CN"/>
        </w:rPr>
        <w:t>分标2：</w:t>
      </w:r>
      <w:bookmarkEnd w:id="154"/>
    </w:p>
    <w:tbl>
      <w:tblPr>
        <w:tblStyle w:val="18"/>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67"/>
        <w:gridCol w:w="695"/>
        <w:gridCol w:w="1786"/>
        <w:gridCol w:w="5619"/>
      </w:tblGrid>
      <w:tr w14:paraId="5F0B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noWrap w:val="0"/>
            <w:vAlign w:val="center"/>
          </w:tcPr>
          <w:p w14:paraId="0A07B539">
            <w:pPr>
              <w:adjustRightInd w:val="0"/>
              <w:spacing w:line="40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067" w:type="dxa"/>
            <w:noWrap w:val="0"/>
            <w:vAlign w:val="center"/>
          </w:tcPr>
          <w:p w14:paraId="27E97955">
            <w:pPr>
              <w:adjustRightInd w:val="0"/>
              <w:spacing w:line="400" w:lineRule="exact"/>
              <w:jc w:val="center"/>
              <w:textAlignment w:val="baseline"/>
              <w:rPr>
                <w:rFonts w:hint="eastAsia" w:ascii="宋体" w:hAnsi="宋体" w:cs="宋体"/>
                <w:color w:val="auto"/>
                <w:szCs w:val="21"/>
                <w:highlight w:val="none"/>
              </w:rPr>
            </w:pPr>
            <w:r>
              <w:rPr>
                <w:rFonts w:hint="eastAsia" w:ascii="宋体" w:hAnsi="宋体" w:cs="宋体"/>
                <w:b/>
                <w:color w:val="auto"/>
                <w:szCs w:val="21"/>
                <w:highlight w:val="none"/>
              </w:rPr>
              <w:t>评审因素</w:t>
            </w:r>
          </w:p>
        </w:tc>
        <w:tc>
          <w:tcPr>
            <w:tcW w:w="695" w:type="dxa"/>
            <w:noWrap w:val="0"/>
            <w:vAlign w:val="center"/>
          </w:tcPr>
          <w:p w14:paraId="525C2C1B">
            <w:pPr>
              <w:adjustRightInd w:val="0"/>
              <w:spacing w:line="40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分值</w:t>
            </w:r>
          </w:p>
        </w:tc>
        <w:tc>
          <w:tcPr>
            <w:tcW w:w="7405" w:type="dxa"/>
            <w:gridSpan w:val="2"/>
            <w:noWrap w:val="0"/>
            <w:vAlign w:val="center"/>
          </w:tcPr>
          <w:p w14:paraId="526C3C69">
            <w:pPr>
              <w:adjustRightInd w:val="0"/>
              <w:spacing w:line="40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评标标准</w:t>
            </w:r>
          </w:p>
        </w:tc>
      </w:tr>
      <w:tr w14:paraId="4A0A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325BA40C">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1</w:t>
            </w:r>
          </w:p>
        </w:tc>
        <w:tc>
          <w:tcPr>
            <w:tcW w:w="1067" w:type="dxa"/>
            <w:noWrap w:val="0"/>
            <w:vAlign w:val="center"/>
          </w:tcPr>
          <w:p w14:paraId="3FD73717">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投标报价</w:t>
            </w:r>
          </w:p>
        </w:tc>
        <w:tc>
          <w:tcPr>
            <w:tcW w:w="695" w:type="dxa"/>
            <w:noWrap w:val="0"/>
            <w:vAlign w:val="center"/>
          </w:tcPr>
          <w:p w14:paraId="5E4FF8BE">
            <w:pPr>
              <w:spacing w:line="400" w:lineRule="exact"/>
              <w:rPr>
                <w:rFonts w:hint="eastAsia" w:ascii="宋体" w:hAnsi="宋体" w:cs="仿宋"/>
                <w:b/>
                <w:bCs/>
                <w:color w:val="auto"/>
                <w:szCs w:val="21"/>
                <w:highlight w:val="none"/>
              </w:rPr>
            </w:pPr>
            <w:r>
              <w:rPr>
                <w:rFonts w:hint="eastAsia" w:ascii="宋体" w:hAnsi="宋体"/>
                <w:b/>
                <w:bCs/>
                <w:color w:val="auto"/>
                <w:szCs w:val="21"/>
                <w:highlight w:val="none"/>
                <w:lang w:val="en-US" w:eastAsia="zh-CN"/>
              </w:rPr>
              <w:t>30</w:t>
            </w:r>
            <w:r>
              <w:rPr>
                <w:rFonts w:hint="eastAsia" w:ascii="宋体" w:hAnsi="宋体"/>
                <w:b/>
                <w:bCs/>
                <w:color w:val="auto"/>
                <w:szCs w:val="21"/>
                <w:highlight w:val="none"/>
              </w:rPr>
              <w:t>分</w:t>
            </w:r>
          </w:p>
        </w:tc>
        <w:tc>
          <w:tcPr>
            <w:tcW w:w="7405" w:type="dxa"/>
            <w:gridSpan w:val="2"/>
            <w:noWrap w:val="0"/>
            <w:vAlign w:val="center"/>
          </w:tcPr>
          <w:p w14:paraId="4B800089">
            <w:pPr>
              <w:spacing w:line="360" w:lineRule="auto"/>
              <w:rPr>
                <w:rFonts w:ascii="宋体" w:hAnsi="宋体" w:cs="Courier New"/>
                <w:b/>
                <w:bCs/>
                <w:color w:val="auto"/>
                <w:szCs w:val="21"/>
                <w:highlight w:val="none"/>
              </w:rPr>
            </w:pPr>
            <w:r>
              <w:rPr>
                <w:rFonts w:hint="eastAsia" w:ascii="宋体" w:hAnsi="宋体" w:cs="Courier New"/>
                <w:b/>
                <w:bCs/>
                <w:color w:val="auto"/>
                <w:szCs w:val="21"/>
                <w:highlight w:val="none"/>
              </w:rPr>
              <w:t>一、政府采购政策扣除</w:t>
            </w:r>
          </w:p>
          <w:p w14:paraId="149B6C17">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（1）评标价为</w:t>
            </w:r>
            <w:r>
              <w:rPr>
                <w:rFonts w:hint="eastAsia" w:ascii="宋体" w:hAnsi="宋体"/>
                <w:bCs/>
                <w:color w:val="auto"/>
                <w:kern w:val="0"/>
                <w:szCs w:val="21"/>
                <w:highlight w:val="none"/>
                <w:lang w:eastAsia="zh-CN"/>
              </w:rPr>
              <w:t>投标人</w:t>
            </w:r>
            <w:r>
              <w:rPr>
                <w:rFonts w:hint="eastAsia" w:ascii="宋体" w:hAnsi="宋体"/>
                <w:bCs/>
                <w:color w:val="auto"/>
                <w:kern w:val="0"/>
                <w:szCs w:val="21"/>
                <w:highlight w:val="none"/>
              </w:rPr>
              <w:t>的投标报价进行政策性扣除后的价格，评标价只是作为评标时使用。最终成交人的成交金额＝投标报价。</w:t>
            </w:r>
          </w:p>
          <w:p w14:paraId="0BBF0E95">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（2）按照《政府采购促进中小企业发展管理办法》（财库[2020]46号）之规定，提供服务的</w:t>
            </w:r>
            <w:r>
              <w:rPr>
                <w:rFonts w:hint="eastAsia" w:ascii="宋体" w:hAnsi="宋体"/>
                <w:bCs/>
                <w:color w:val="auto"/>
                <w:kern w:val="0"/>
                <w:szCs w:val="21"/>
                <w:highlight w:val="none"/>
                <w:lang w:eastAsia="zh-CN"/>
              </w:rPr>
              <w:t>投标人</w:t>
            </w:r>
            <w:r>
              <w:rPr>
                <w:rFonts w:hint="eastAsia" w:ascii="宋体" w:hAnsi="宋体"/>
                <w:bCs/>
                <w:color w:val="auto"/>
                <w:kern w:val="0"/>
                <w:szCs w:val="21"/>
                <w:highlight w:val="none"/>
              </w:rPr>
              <w:t>为小型和微型企业，并在其</w:t>
            </w:r>
            <w:r>
              <w:rPr>
                <w:rFonts w:hint="eastAsia" w:ascii="宋体" w:hAnsi="宋体"/>
                <w:bCs/>
                <w:color w:val="auto"/>
                <w:kern w:val="0"/>
                <w:szCs w:val="21"/>
                <w:highlight w:val="none"/>
                <w:lang w:eastAsia="zh-CN"/>
              </w:rPr>
              <w:t>投标文件</w:t>
            </w:r>
            <w:r>
              <w:rPr>
                <w:rFonts w:hint="eastAsia" w:ascii="宋体" w:hAnsi="宋体"/>
                <w:bCs/>
                <w:color w:val="auto"/>
                <w:kern w:val="0"/>
                <w:szCs w:val="21"/>
                <w:highlight w:val="none"/>
              </w:rPr>
              <w:t>中提供《中小企业声明函》，对其投标价格给予</w:t>
            </w:r>
            <w:r>
              <w:rPr>
                <w:rFonts w:hint="eastAsia" w:ascii="宋体" w:hAnsi="宋体"/>
                <w:bCs/>
                <w:color w:val="auto"/>
                <w:kern w:val="0"/>
                <w:szCs w:val="21"/>
                <w:highlight w:val="none"/>
                <w:lang w:val="en-US" w:eastAsia="zh-CN"/>
              </w:rPr>
              <w:t>1</w:t>
            </w:r>
            <w:r>
              <w:rPr>
                <w:rFonts w:hint="eastAsia" w:ascii="宋体" w:hAnsi="宋体"/>
                <w:bCs/>
                <w:color w:val="auto"/>
                <w:kern w:val="0"/>
                <w:szCs w:val="21"/>
                <w:highlight w:val="none"/>
              </w:rPr>
              <w:t>0%的扣除。</w:t>
            </w:r>
          </w:p>
          <w:p w14:paraId="736D0E06">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3CE6B78A">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残疾人福利性单位声明函》，并对声明的真实性负责。残疾人福利性单位属于小型、微型企业的，不重复享受政策。</w:t>
            </w:r>
          </w:p>
          <w:p w14:paraId="11F073FB">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（5）政策性扣除计算方法。</w:t>
            </w:r>
          </w:p>
          <w:p w14:paraId="7A5969E6">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根据《政府采购促进中小企业发展管理办法》（财库〔2020〕46号）及桂财采〔2022〕30号《广西壮族自治区财政厅关于进一步发挥政府采购政策功能促进企业发展的通知》的规定，</w:t>
            </w:r>
            <w:r>
              <w:rPr>
                <w:rFonts w:hint="eastAsia" w:ascii="宋体" w:hAnsi="宋体"/>
                <w:bCs/>
                <w:color w:val="auto"/>
                <w:kern w:val="0"/>
                <w:szCs w:val="21"/>
                <w:highlight w:val="none"/>
                <w:lang w:eastAsia="zh-CN"/>
              </w:rPr>
              <w:t>投标人</w:t>
            </w:r>
            <w:r>
              <w:rPr>
                <w:rFonts w:hint="eastAsia" w:ascii="宋体" w:hAnsi="宋体"/>
                <w:bCs/>
                <w:color w:val="auto"/>
                <w:kern w:val="0"/>
                <w:szCs w:val="21"/>
                <w:highlight w:val="none"/>
              </w:rPr>
              <w:t>在其</w:t>
            </w:r>
            <w:r>
              <w:rPr>
                <w:rFonts w:hint="eastAsia" w:ascii="宋体" w:hAnsi="宋体"/>
                <w:bCs/>
                <w:color w:val="auto"/>
                <w:kern w:val="0"/>
                <w:szCs w:val="21"/>
                <w:highlight w:val="none"/>
                <w:lang w:eastAsia="zh-CN"/>
              </w:rPr>
              <w:t>投标文件</w:t>
            </w:r>
            <w:r>
              <w:rPr>
                <w:rFonts w:hint="eastAsia" w:ascii="宋体" w:hAnsi="宋体"/>
                <w:bCs/>
                <w:color w:val="auto"/>
                <w:kern w:val="0"/>
                <w:szCs w:val="21"/>
                <w:highlight w:val="none"/>
              </w:rPr>
              <w:t>中提供《中小企业声明函》，且其竞标全部货物由小微企业制造的，对</w:t>
            </w:r>
            <w:r>
              <w:rPr>
                <w:rFonts w:hint="eastAsia" w:ascii="宋体" w:hAnsi="宋体"/>
                <w:bCs/>
                <w:color w:val="auto"/>
                <w:kern w:val="0"/>
                <w:szCs w:val="21"/>
                <w:highlight w:val="none"/>
                <w:lang w:eastAsia="zh-CN"/>
              </w:rPr>
              <w:t>投标人</w:t>
            </w:r>
            <w:r>
              <w:rPr>
                <w:rFonts w:hint="eastAsia" w:ascii="宋体" w:hAnsi="宋体"/>
                <w:bCs/>
                <w:color w:val="auto"/>
                <w:kern w:val="0"/>
                <w:szCs w:val="21"/>
                <w:highlight w:val="none"/>
              </w:rPr>
              <w:t>的竞标报价给予20%的扣除，扣除后的价格为评审价，即评审价=竞标报价×（1-</w:t>
            </w:r>
            <w:r>
              <w:rPr>
                <w:rFonts w:hint="eastAsia" w:ascii="宋体" w:hAnsi="宋体"/>
                <w:bCs/>
                <w:color w:val="auto"/>
                <w:kern w:val="0"/>
                <w:szCs w:val="21"/>
                <w:highlight w:val="none"/>
                <w:lang w:val="en-US" w:eastAsia="zh-CN"/>
              </w:rPr>
              <w:t>1</w:t>
            </w:r>
            <w:r>
              <w:rPr>
                <w:rFonts w:hint="eastAsia" w:ascii="宋体" w:hAnsi="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范围为4%—6%） 的扣除，用扣除后的价格参加评审，扣除后的价格为评审价，即评审价=竞标报价×（1-</w:t>
            </w:r>
            <w:r>
              <w:rPr>
                <w:rFonts w:hint="eastAsia" w:ascii="宋体" w:hAnsi="宋体"/>
                <w:bCs/>
                <w:color w:val="auto"/>
                <w:kern w:val="0"/>
                <w:szCs w:val="21"/>
                <w:highlight w:val="none"/>
                <w:lang w:val="en-US" w:eastAsia="zh-CN"/>
              </w:rPr>
              <w:t>1</w:t>
            </w:r>
            <w:r>
              <w:rPr>
                <w:rFonts w:hint="eastAsia" w:ascii="宋体" w:hAnsi="宋体"/>
                <w:bCs/>
                <w:color w:val="auto"/>
                <w:kern w:val="0"/>
                <w:szCs w:val="21"/>
                <w:highlight w:val="none"/>
              </w:rPr>
              <w:t>0%）。</w:t>
            </w:r>
          </w:p>
          <w:p w14:paraId="78E854CD">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（6）以进入综合评分环节的有效</w:t>
            </w:r>
            <w:r>
              <w:rPr>
                <w:rFonts w:hint="eastAsia" w:ascii="宋体" w:hAnsi="宋体"/>
                <w:bCs/>
                <w:color w:val="auto"/>
                <w:kern w:val="0"/>
                <w:szCs w:val="21"/>
                <w:highlight w:val="none"/>
                <w:lang w:eastAsia="zh-CN"/>
              </w:rPr>
              <w:t>投标人</w:t>
            </w:r>
            <w:r>
              <w:rPr>
                <w:rFonts w:hint="eastAsia" w:ascii="宋体" w:hAnsi="宋体"/>
                <w:bCs/>
                <w:color w:val="auto"/>
                <w:kern w:val="0"/>
                <w:szCs w:val="21"/>
                <w:highlight w:val="none"/>
              </w:rPr>
              <w:t>报价的</w:t>
            </w:r>
            <w:r>
              <w:rPr>
                <w:rFonts w:hint="eastAsia" w:ascii="宋体" w:hAnsi="宋体"/>
                <w:bCs/>
                <w:color w:val="auto"/>
                <w:kern w:val="0"/>
                <w:szCs w:val="21"/>
                <w:highlight w:val="none"/>
                <w:lang w:eastAsia="zh-CN"/>
              </w:rPr>
              <w:t>最低</w:t>
            </w:r>
            <w:r>
              <w:rPr>
                <w:rFonts w:hint="eastAsia" w:ascii="宋体" w:hAnsi="宋体"/>
                <w:bCs/>
                <w:color w:val="auto"/>
                <w:kern w:val="0"/>
                <w:szCs w:val="21"/>
                <w:highlight w:val="none"/>
              </w:rPr>
              <w:t>为基准价，基准价报价分为</w:t>
            </w:r>
            <w:r>
              <w:rPr>
                <w:rFonts w:hint="eastAsia" w:ascii="宋体" w:hAnsi="宋体"/>
                <w:bCs/>
                <w:color w:val="auto"/>
                <w:kern w:val="0"/>
                <w:szCs w:val="21"/>
                <w:highlight w:val="none"/>
                <w:lang w:val="en-US" w:eastAsia="zh-CN"/>
              </w:rPr>
              <w:t>30</w:t>
            </w:r>
            <w:r>
              <w:rPr>
                <w:rFonts w:hint="eastAsia" w:ascii="宋体" w:hAnsi="宋体"/>
                <w:bCs/>
                <w:color w:val="auto"/>
                <w:kern w:val="0"/>
                <w:szCs w:val="21"/>
                <w:highlight w:val="none"/>
              </w:rPr>
              <w:t>分。</w:t>
            </w:r>
          </w:p>
          <w:p w14:paraId="3AE5632D">
            <w:pPr>
              <w:spacing w:line="360" w:lineRule="auto"/>
              <w:rPr>
                <w:rFonts w:ascii="宋体" w:hAnsi="宋体"/>
                <w:bCs/>
                <w:color w:val="auto"/>
                <w:kern w:val="0"/>
                <w:szCs w:val="21"/>
                <w:highlight w:val="none"/>
              </w:rPr>
            </w:pPr>
            <w:r>
              <w:rPr>
                <w:rFonts w:hint="eastAsia" w:ascii="宋体" w:hAnsi="宋体"/>
                <w:bCs/>
                <w:color w:val="auto"/>
                <w:kern w:val="0"/>
                <w:szCs w:val="21"/>
                <w:highlight w:val="none"/>
              </w:rPr>
              <w:t>（</w:t>
            </w:r>
            <w:r>
              <w:rPr>
                <w:rFonts w:hint="eastAsia" w:ascii="宋体" w:hAnsi="宋体"/>
                <w:bCs/>
                <w:color w:val="auto"/>
                <w:kern w:val="0"/>
                <w:szCs w:val="21"/>
                <w:highlight w:val="none"/>
                <w:lang w:val="en-US" w:eastAsia="zh-CN"/>
              </w:rPr>
              <w:t>7</w:t>
            </w:r>
            <w:r>
              <w:rPr>
                <w:rFonts w:hint="eastAsia" w:ascii="宋体" w:hAnsi="宋体"/>
                <w:bCs/>
                <w:color w:val="auto"/>
                <w:kern w:val="0"/>
                <w:szCs w:val="21"/>
                <w:highlight w:val="none"/>
              </w:rPr>
              <w:t>）</w:t>
            </w:r>
            <w:r>
              <w:rPr>
                <w:rFonts w:hint="eastAsia" w:ascii="宋体" w:hAnsi="宋体"/>
                <w:bCs/>
                <w:color w:val="auto"/>
                <w:kern w:val="0"/>
                <w:szCs w:val="21"/>
                <w:highlight w:val="none"/>
                <w:lang w:eastAsia="zh-CN"/>
              </w:rPr>
              <w:t>评审</w:t>
            </w:r>
            <w:r>
              <w:rPr>
                <w:rFonts w:hint="eastAsia" w:ascii="宋体" w:hAnsi="宋体"/>
                <w:bCs/>
                <w:color w:val="auto"/>
                <w:kern w:val="0"/>
                <w:szCs w:val="21"/>
                <w:highlight w:val="none"/>
              </w:rPr>
              <w:t>小组认为</w:t>
            </w:r>
            <w:r>
              <w:rPr>
                <w:rFonts w:hint="eastAsia" w:ascii="宋体" w:hAnsi="宋体"/>
                <w:bCs/>
                <w:color w:val="auto"/>
                <w:kern w:val="0"/>
                <w:szCs w:val="21"/>
                <w:highlight w:val="none"/>
                <w:lang w:eastAsia="zh-CN"/>
              </w:rPr>
              <w:t>投标人</w:t>
            </w:r>
            <w:r>
              <w:rPr>
                <w:rFonts w:hint="eastAsia" w:ascii="宋体" w:hAnsi="宋体"/>
                <w:bCs/>
                <w:color w:val="auto"/>
                <w:kern w:val="0"/>
                <w:szCs w:val="21"/>
                <w:highlight w:val="none"/>
              </w:rPr>
              <w:t>的报价明显低于其他通过符合性审查</w:t>
            </w:r>
            <w:r>
              <w:rPr>
                <w:rFonts w:hint="eastAsia" w:ascii="宋体" w:hAnsi="宋体"/>
                <w:bCs/>
                <w:color w:val="auto"/>
                <w:kern w:val="0"/>
                <w:szCs w:val="21"/>
                <w:highlight w:val="none"/>
                <w:lang w:eastAsia="zh-CN"/>
              </w:rPr>
              <w:t>投标人</w:t>
            </w:r>
            <w:r>
              <w:rPr>
                <w:rFonts w:hint="eastAsia" w:ascii="宋体" w:hAnsi="宋体"/>
                <w:bCs/>
                <w:color w:val="auto"/>
                <w:kern w:val="0"/>
                <w:szCs w:val="21"/>
                <w:highlight w:val="none"/>
              </w:rPr>
              <w:t>的报价，有可能影响产品质量或者不能诚信履约的，应当要求其在评标现场合理的时间内提供书面说明，必要时提交相关证明材料；</w:t>
            </w:r>
            <w:r>
              <w:rPr>
                <w:rFonts w:hint="eastAsia" w:ascii="宋体" w:hAnsi="宋体"/>
                <w:bCs/>
                <w:color w:val="auto"/>
                <w:kern w:val="0"/>
                <w:szCs w:val="21"/>
                <w:highlight w:val="none"/>
                <w:lang w:eastAsia="zh-CN"/>
              </w:rPr>
              <w:t>投标人</w:t>
            </w:r>
            <w:r>
              <w:rPr>
                <w:rFonts w:hint="eastAsia" w:ascii="宋体" w:hAnsi="宋体"/>
                <w:bCs/>
                <w:color w:val="auto"/>
                <w:kern w:val="0"/>
                <w:szCs w:val="21"/>
                <w:highlight w:val="none"/>
              </w:rPr>
              <w:t>不能证明其报价合理性的，</w:t>
            </w:r>
            <w:r>
              <w:rPr>
                <w:rFonts w:hint="eastAsia" w:ascii="宋体" w:hAnsi="宋体"/>
                <w:bCs/>
                <w:color w:val="auto"/>
                <w:kern w:val="0"/>
                <w:szCs w:val="21"/>
                <w:highlight w:val="none"/>
                <w:lang w:eastAsia="zh-CN"/>
              </w:rPr>
              <w:t>评审</w:t>
            </w:r>
            <w:r>
              <w:rPr>
                <w:rFonts w:hint="eastAsia" w:ascii="宋体" w:hAnsi="宋体"/>
                <w:bCs/>
                <w:color w:val="auto"/>
                <w:kern w:val="0"/>
                <w:szCs w:val="21"/>
                <w:highlight w:val="none"/>
              </w:rPr>
              <w:t>小组应当将其作为无效投标处理。提交的相关证明材料包括但不限于以下内容：本项目费用成本分析报告【包括管理成本、人工费成本（如人员工资、奖金、福利及差旅等费用）、技术成本、税收等所有成本及利润】等。</w:t>
            </w:r>
          </w:p>
          <w:p w14:paraId="3D633AA8">
            <w:pPr>
              <w:spacing w:line="360" w:lineRule="auto"/>
              <w:outlineLvl w:val="0"/>
              <w:rPr>
                <w:rFonts w:ascii="宋体" w:hAnsi="宋体"/>
                <w:b/>
                <w:color w:val="auto"/>
                <w:kern w:val="0"/>
                <w:szCs w:val="21"/>
                <w:highlight w:val="none"/>
              </w:rPr>
            </w:pPr>
            <w:bookmarkStart w:id="155" w:name="_Toc29073"/>
            <w:r>
              <w:rPr>
                <w:rFonts w:hint="eastAsia" w:ascii="宋体" w:hAnsi="宋体"/>
                <w:b/>
                <w:color w:val="auto"/>
                <w:kern w:val="0"/>
                <w:szCs w:val="21"/>
                <w:highlight w:val="none"/>
              </w:rPr>
              <w:t>二、报价分（满分</w:t>
            </w:r>
            <w:r>
              <w:rPr>
                <w:rFonts w:hint="eastAsia" w:ascii="宋体" w:hAnsi="宋体"/>
                <w:b/>
                <w:color w:val="auto"/>
                <w:kern w:val="0"/>
                <w:szCs w:val="21"/>
                <w:highlight w:val="none"/>
                <w:lang w:val="en-US" w:eastAsia="zh-CN"/>
              </w:rPr>
              <w:t>30</w:t>
            </w:r>
            <w:r>
              <w:rPr>
                <w:rFonts w:hint="eastAsia" w:ascii="宋体" w:hAnsi="宋体"/>
                <w:b/>
                <w:color w:val="auto"/>
                <w:kern w:val="0"/>
                <w:szCs w:val="21"/>
                <w:highlight w:val="none"/>
              </w:rPr>
              <w:t>分）</w:t>
            </w:r>
            <w:bookmarkEnd w:id="155"/>
          </w:p>
          <w:p w14:paraId="2BBEF07F">
            <w:pPr>
              <w:numPr>
                <w:ilvl w:val="0"/>
                <w:numId w:val="0"/>
              </w:numP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以满足招标文件要求且评标价最低的投标人的评标价为评标基准价，其价格分为30分。</w:t>
            </w:r>
          </w:p>
          <w:p w14:paraId="7BC38D0D">
            <w:pPr>
              <w:numPr>
                <w:ilvl w:val="0"/>
                <w:numId w:val="0"/>
              </w:numPr>
              <w:rPr>
                <w:rFonts w:hint="eastAsia" w:hAnsi="宋体" w:cs="Courier New"/>
                <w:bCs/>
                <w:color w:val="auto"/>
                <w:kern w:val="2"/>
                <w:sz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某投标人价格分 = 投标人最低评标价（金额）/某投标人评标价（金额）×30分。</w:t>
            </w:r>
          </w:p>
        </w:tc>
      </w:tr>
      <w:tr w14:paraId="0082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730" w:type="dxa"/>
            <w:vMerge w:val="restart"/>
            <w:noWrap w:val="0"/>
            <w:vAlign w:val="center"/>
          </w:tcPr>
          <w:p w14:paraId="2B39300B">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2</w:t>
            </w:r>
          </w:p>
        </w:tc>
        <w:tc>
          <w:tcPr>
            <w:tcW w:w="1067" w:type="dxa"/>
            <w:vMerge w:val="restart"/>
            <w:noWrap w:val="0"/>
            <w:vAlign w:val="center"/>
          </w:tcPr>
          <w:p w14:paraId="157B0D6E">
            <w:pPr>
              <w:adjustRightInd w:val="0"/>
              <w:spacing w:line="400" w:lineRule="exact"/>
              <w:jc w:val="center"/>
              <w:textAlignment w:val="baseline"/>
              <w:rPr>
                <w:rFonts w:hint="eastAsia" w:ascii="宋体" w:hAnsi="宋体" w:eastAsia="宋体"/>
                <w:b/>
                <w:color w:val="auto"/>
                <w:szCs w:val="21"/>
                <w:highlight w:val="none"/>
                <w:lang w:eastAsia="zh-CN"/>
              </w:rPr>
            </w:pPr>
            <w:r>
              <w:rPr>
                <w:rFonts w:hint="eastAsia" w:ascii="宋体" w:hAnsi="宋体"/>
                <w:b/>
                <w:color w:val="auto"/>
                <w:szCs w:val="21"/>
                <w:highlight w:val="none"/>
                <w:lang w:eastAsia="zh-CN"/>
              </w:rPr>
              <w:t>技术分</w:t>
            </w:r>
          </w:p>
        </w:tc>
        <w:tc>
          <w:tcPr>
            <w:tcW w:w="695" w:type="dxa"/>
            <w:vMerge w:val="restart"/>
            <w:noWrap w:val="0"/>
            <w:vAlign w:val="center"/>
          </w:tcPr>
          <w:p w14:paraId="71625287">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lang w:val="en-US" w:eastAsia="zh-CN"/>
              </w:rPr>
              <w:t>60</w:t>
            </w:r>
            <w:r>
              <w:rPr>
                <w:rFonts w:hint="eastAsia" w:ascii="宋体" w:hAnsi="宋体"/>
                <w:b/>
                <w:color w:val="auto"/>
                <w:szCs w:val="21"/>
                <w:highlight w:val="none"/>
              </w:rPr>
              <w:t>分</w:t>
            </w:r>
          </w:p>
        </w:tc>
        <w:tc>
          <w:tcPr>
            <w:tcW w:w="1786" w:type="dxa"/>
            <w:noWrap w:val="0"/>
            <w:vAlign w:val="center"/>
          </w:tcPr>
          <w:p w14:paraId="6EE9FAF4">
            <w:pPr>
              <w:adjustRightInd w:val="0"/>
              <w:spacing w:line="400" w:lineRule="exact"/>
              <w:jc w:val="both"/>
              <w:textAlignment w:val="baseline"/>
              <w:rPr>
                <w:rFonts w:hint="eastAsia" w:ascii="宋体" w:hAnsi="宋体"/>
                <w:b/>
                <w:color w:val="auto"/>
                <w:szCs w:val="21"/>
                <w:highlight w:val="none"/>
              </w:rPr>
            </w:pPr>
            <w:r>
              <w:rPr>
                <w:rFonts w:hint="eastAsia" w:ascii="宋体" w:hAnsi="宋体" w:eastAsia="宋体" w:cs="Times New Roman"/>
                <w:b/>
                <w:color w:val="auto"/>
                <w:sz w:val="21"/>
                <w:szCs w:val="21"/>
                <w:highlight w:val="none"/>
              </w:rPr>
              <w:t>技术功能响应分</w:t>
            </w:r>
            <w:r>
              <w:rPr>
                <w:rFonts w:hint="eastAsia" w:ascii="宋体" w:hAnsi="宋体" w:eastAsia="宋体" w:cs="Times New Roman"/>
                <w:b/>
                <w:color w:val="auto"/>
                <w:szCs w:val="21"/>
                <w:highlight w:val="none"/>
              </w:rPr>
              <w:t>（</w:t>
            </w:r>
            <w:r>
              <w:rPr>
                <w:rFonts w:hint="eastAsia" w:ascii="宋体" w:hAnsi="宋体"/>
                <w:b/>
                <w:color w:val="auto"/>
                <w:szCs w:val="21"/>
                <w:highlight w:val="none"/>
              </w:rPr>
              <w:t>满分</w:t>
            </w:r>
            <w:r>
              <w:rPr>
                <w:rFonts w:hint="eastAsia" w:ascii="宋体" w:hAnsi="宋体"/>
                <w:b/>
                <w:color w:val="auto"/>
                <w:szCs w:val="21"/>
                <w:highlight w:val="none"/>
                <w:lang w:val="en-US" w:eastAsia="zh-CN"/>
              </w:rPr>
              <w:t>3</w:t>
            </w:r>
            <w:r>
              <w:rPr>
                <w:rFonts w:hint="eastAsia" w:ascii="宋体" w:hAnsi="宋体"/>
                <w:b/>
                <w:color w:val="auto"/>
                <w:szCs w:val="21"/>
                <w:highlight w:val="none"/>
              </w:rPr>
              <w:t>分）</w:t>
            </w:r>
          </w:p>
        </w:tc>
        <w:tc>
          <w:tcPr>
            <w:tcW w:w="5619" w:type="dxa"/>
            <w:noWrap w:val="0"/>
            <w:vAlign w:val="center"/>
          </w:tcPr>
          <w:p w14:paraId="3A79ADD9">
            <w:pPr>
              <w:rPr>
                <w:color w:val="auto"/>
                <w:highlight w:val="none"/>
              </w:rPr>
            </w:pPr>
            <w:r>
              <w:rPr>
                <w:rFonts w:hint="eastAsia" w:ascii="宋体" w:hAnsi="宋体" w:eastAsia="宋体" w:cs="宋体"/>
                <w:color w:val="auto"/>
                <w:sz w:val="21"/>
                <w:szCs w:val="21"/>
                <w:highlight w:val="none"/>
              </w:rPr>
              <w:t>根据投标人所投产品技术参数，完全满足招标文件技术要求得3分，标▲代表最关键指标项，不满足该指标项投标文件将作无效处理；其他为一般指标项，出现一般指标项负偏离的每有一项扣</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分，扣完为止。</w:t>
            </w:r>
          </w:p>
          <w:p w14:paraId="09D7EF40">
            <w:pPr>
              <w:spacing w:line="360" w:lineRule="auto"/>
              <w:ind w:firstLineChars="0"/>
              <w:jc w:val="left"/>
              <w:rPr>
                <w:rFonts w:hint="eastAsia" w:hAnsi="宋体" w:cs="Courier New"/>
                <w:b/>
                <w:color w:val="auto"/>
                <w:kern w:val="2"/>
                <w:sz w:val="21"/>
                <w:highlight w:val="none"/>
              </w:rPr>
            </w:pPr>
          </w:p>
        </w:tc>
      </w:tr>
      <w:tr w14:paraId="3532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30" w:type="dxa"/>
            <w:vMerge w:val="continue"/>
            <w:noWrap w:val="0"/>
            <w:vAlign w:val="center"/>
          </w:tcPr>
          <w:p w14:paraId="1FF24454">
            <w:pPr>
              <w:adjustRightInd w:val="0"/>
              <w:spacing w:line="400" w:lineRule="exact"/>
              <w:jc w:val="center"/>
              <w:textAlignment w:val="baseline"/>
              <w:rPr>
                <w:rFonts w:hint="eastAsia" w:ascii="宋体" w:hAnsi="宋体"/>
                <w:b/>
                <w:color w:val="auto"/>
                <w:szCs w:val="21"/>
                <w:highlight w:val="none"/>
              </w:rPr>
            </w:pPr>
          </w:p>
        </w:tc>
        <w:tc>
          <w:tcPr>
            <w:tcW w:w="1067" w:type="dxa"/>
            <w:vMerge w:val="continue"/>
            <w:noWrap w:val="0"/>
            <w:vAlign w:val="center"/>
          </w:tcPr>
          <w:p w14:paraId="4E5449E2">
            <w:pPr>
              <w:adjustRightInd w:val="0"/>
              <w:spacing w:line="400" w:lineRule="exact"/>
              <w:jc w:val="center"/>
              <w:textAlignment w:val="baseline"/>
              <w:rPr>
                <w:rFonts w:hint="eastAsia" w:ascii="宋体" w:hAnsi="宋体"/>
                <w:b/>
                <w:color w:val="auto"/>
                <w:szCs w:val="21"/>
                <w:highlight w:val="none"/>
              </w:rPr>
            </w:pPr>
          </w:p>
        </w:tc>
        <w:tc>
          <w:tcPr>
            <w:tcW w:w="695" w:type="dxa"/>
            <w:vMerge w:val="continue"/>
            <w:noWrap w:val="0"/>
            <w:vAlign w:val="center"/>
          </w:tcPr>
          <w:p w14:paraId="784EA8FA">
            <w:pPr>
              <w:adjustRightInd w:val="0"/>
              <w:spacing w:line="400" w:lineRule="exact"/>
              <w:jc w:val="center"/>
              <w:textAlignment w:val="baseline"/>
              <w:rPr>
                <w:rFonts w:hint="eastAsia" w:ascii="宋体" w:hAnsi="宋体"/>
                <w:b/>
                <w:color w:val="auto"/>
                <w:szCs w:val="21"/>
                <w:highlight w:val="none"/>
              </w:rPr>
            </w:pPr>
          </w:p>
        </w:tc>
        <w:tc>
          <w:tcPr>
            <w:tcW w:w="1786" w:type="dxa"/>
            <w:noWrap w:val="0"/>
            <w:vAlign w:val="center"/>
          </w:tcPr>
          <w:p w14:paraId="3FE22351">
            <w:pPr>
              <w:adjustRightInd/>
              <w:spacing w:line="240" w:lineRule="auto"/>
              <w:jc w:val="left"/>
              <w:textAlignment w:val="auto"/>
              <w:rPr>
                <w:rFonts w:hint="eastAsia" w:ascii="宋体" w:hAnsi="宋体" w:cs="Courier New"/>
                <w:b w:val="0"/>
                <w:color w:val="auto"/>
                <w:szCs w:val="21"/>
                <w:highlight w:val="none"/>
              </w:rPr>
            </w:pPr>
            <w:r>
              <w:rPr>
                <w:rFonts w:hint="eastAsia" w:ascii="宋体" w:hAnsi="宋体" w:cs="Courier New"/>
                <w:b/>
                <w:bCs/>
                <w:color w:val="auto"/>
                <w:szCs w:val="21"/>
                <w:highlight w:val="none"/>
                <w:lang w:eastAsia="zh-CN"/>
              </w:rPr>
              <w:t>技术</w:t>
            </w:r>
            <w:r>
              <w:rPr>
                <w:rFonts w:hint="eastAsia" w:ascii="宋体" w:hAnsi="宋体" w:cs="Courier New"/>
                <w:b/>
                <w:bCs/>
                <w:color w:val="auto"/>
                <w:szCs w:val="21"/>
                <w:highlight w:val="none"/>
              </w:rPr>
              <w:t>方案分（满分</w:t>
            </w:r>
            <w:r>
              <w:rPr>
                <w:rFonts w:hint="eastAsia" w:ascii="宋体" w:hAnsi="宋体" w:cs="Courier New"/>
                <w:b/>
                <w:bCs/>
                <w:color w:val="auto"/>
                <w:szCs w:val="21"/>
                <w:highlight w:val="none"/>
                <w:lang w:val="en-US" w:eastAsia="zh-CN"/>
              </w:rPr>
              <w:t>15</w:t>
            </w:r>
            <w:r>
              <w:rPr>
                <w:rFonts w:hint="eastAsia" w:ascii="宋体" w:hAnsi="宋体" w:cs="Courier New"/>
                <w:b/>
                <w:bCs/>
                <w:color w:val="auto"/>
                <w:szCs w:val="21"/>
                <w:highlight w:val="none"/>
              </w:rPr>
              <w:t>分）</w:t>
            </w:r>
          </w:p>
        </w:tc>
        <w:tc>
          <w:tcPr>
            <w:tcW w:w="5619" w:type="dxa"/>
            <w:noWrap w:val="0"/>
            <w:vAlign w:val="center"/>
          </w:tcPr>
          <w:p w14:paraId="00E99085">
            <w:pPr>
              <w:spacing w:line="360" w:lineRule="auto"/>
              <w:ind w:firstLineChars="0"/>
              <w:jc w:val="left"/>
              <w:rPr>
                <w:rFonts w:hint="eastAsia" w:ascii="宋体" w:hAnsi="宋体" w:eastAsia="宋体" w:cs="Courier New"/>
                <w:b/>
                <w:bCs/>
                <w:color w:val="auto"/>
                <w:sz w:val="21"/>
                <w:szCs w:val="21"/>
                <w:highlight w:val="none"/>
                <w:lang w:val="en-US" w:eastAsia="zh-CN"/>
              </w:rPr>
            </w:pPr>
            <w:r>
              <w:rPr>
                <w:rFonts w:hint="eastAsia" w:ascii="宋体" w:hAnsi="宋体" w:eastAsia="宋体" w:cs="Courier New"/>
                <w:b/>
                <w:bCs/>
                <w:color w:val="auto"/>
                <w:sz w:val="21"/>
                <w:szCs w:val="21"/>
                <w:highlight w:val="none"/>
                <w:lang w:val="en-US" w:eastAsia="zh-CN"/>
              </w:rPr>
              <w:t>由评审小组在打分前根据</w:t>
            </w:r>
            <w:r>
              <w:rPr>
                <w:rFonts w:hint="eastAsia" w:ascii="宋体" w:hAnsi="宋体" w:cs="Courier New"/>
                <w:b/>
                <w:bCs/>
                <w:color w:val="auto"/>
                <w:sz w:val="21"/>
                <w:szCs w:val="21"/>
                <w:highlight w:val="none"/>
                <w:lang w:val="en-US" w:eastAsia="zh-CN"/>
              </w:rPr>
              <w:t>投标人</w:t>
            </w:r>
            <w:r>
              <w:rPr>
                <w:rFonts w:hint="eastAsia" w:ascii="宋体" w:hAnsi="宋体" w:eastAsia="宋体" w:cs="Courier New"/>
                <w:b/>
                <w:bCs/>
                <w:color w:val="auto"/>
                <w:sz w:val="21"/>
                <w:szCs w:val="21"/>
                <w:highlight w:val="none"/>
                <w:lang w:val="en-US" w:eastAsia="zh-CN"/>
              </w:rPr>
              <w:t>的技术方案情况评定打分， 达不到一档要求的不得分。</w:t>
            </w:r>
          </w:p>
          <w:p w14:paraId="1A06E978">
            <w:pPr>
              <w:spacing w:line="360" w:lineRule="auto"/>
              <w:ind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Courier New"/>
                <w:b/>
                <w:bCs/>
                <w:color w:val="auto"/>
                <w:sz w:val="21"/>
                <w:szCs w:val="21"/>
                <w:highlight w:val="none"/>
                <w:lang w:val="en-US" w:eastAsia="zh-CN"/>
              </w:rPr>
              <w:t>一档（5分）</w:t>
            </w:r>
            <w:r>
              <w:rPr>
                <w:rFonts w:hint="eastAsia" w:ascii="宋体" w:hAnsi="宋体" w:eastAsia="宋体" w:cs="Courier New"/>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技术方案内容比较完整，有对项目建设背景、建设目标、建设内容的描述，方案内容比较简单，准确性、合理性及可行性一般。</w:t>
            </w:r>
          </w:p>
          <w:p w14:paraId="31E58526">
            <w:pPr>
              <w:spacing w:line="360" w:lineRule="auto"/>
              <w:ind w:firstLineChars="0"/>
              <w:jc w:val="left"/>
              <w:rPr>
                <w:rFonts w:hint="eastAsia" w:ascii="宋体" w:hAnsi="宋体" w:eastAsia="宋体" w:cs="Courier New"/>
                <w:color w:val="auto"/>
                <w:sz w:val="21"/>
                <w:szCs w:val="21"/>
                <w:highlight w:val="none"/>
                <w:lang w:val="en-US" w:eastAsia="zh-CN"/>
              </w:rPr>
            </w:pPr>
            <w:r>
              <w:rPr>
                <w:rFonts w:hint="eastAsia" w:ascii="宋体" w:hAnsi="宋体" w:eastAsia="宋体" w:cs="Courier New"/>
                <w:b/>
                <w:bCs/>
                <w:color w:val="auto"/>
                <w:sz w:val="21"/>
                <w:szCs w:val="21"/>
                <w:highlight w:val="none"/>
                <w:lang w:val="en-US" w:eastAsia="zh-CN"/>
              </w:rPr>
              <w:t>二档（10分）</w:t>
            </w:r>
            <w:r>
              <w:rPr>
                <w:rFonts w:hint="eastAsia" w:ascii="宋体" w:hAnsi="宋体" w:eastAsia="宋体" w:cs="Courier New"/>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在一档基础上，技术方案内容完整，满足采购需求；包括但不限于现状分析、存在问题分析、需求分析、安全系统架构设计、部署架构设计等内容，能阐述清楚大模型安全风险评估服务流程；技术方案技术成熟先进，产品和技术的总体架构及层次清晰。</w:t>
            </w:r>
          </w:p>
          <w:p w14:paraId="5424827D">
            <w:pPr>
              <w:spacing w:line="360" w:lineRule="auto"/>
              <w:ind w:firstLineChars="0"/>
              <w:jc w:val="left"/>
              <w:rPr>
                <w:rFonts w:hint="eastAsia" w:ascii="宋体" w:hAnsi="宋体" w:eastAsia="宋体" w:cs="Courier New"/>
                <w:color w:val="auto"/>
                <w:sz w:val="21"/>
                <w:szCs w:val="21"/>
                <w:highlight w:val="none"/>
                <w:lang w:val="en-US" w:eastAsia="zh-CN"/>
              </w:rPr>
            </w:pPr>
            <w:r>
              <w:rPr>
                <w:rFonts w:hint="eastAsia" w:ascii="宋体" w:hAnsi="宋体" w:eastAsia="宋体" w:cs="Courier New"/>
                <w:b/>
                <w:bCs/>
                <w:color w:val="auto"/>
                <w:sz w:val="21"/>
                <w:szCs w:val="21"/>
                <w:highlight w:val="none"/>
                <w:lang w:val="en-US" w:eastAsia="zh-CN"/>
              </w:rPr>
              <w:t>三档（15分）：</w:t>
            </w:r>
            <w:r>
              <w:rPr>
                <w:rFonts w:hint="eastAsia" w:ascii="宋体" w:hAnsi="宋体" w:eastAsia="宋体" w:cs="宋体"/>
                <w:color w:val="auto"/>
                <w:sz w:val="21"/>
                <w:szCs w:val="21"/>
                <w:highlight w:val="none"/>
                <w:lang w:val="en-US" w:eastAsia="zh-CN"/>
              </w:rPr>
              <w:t>在二档的基础上，</w:t>
            </w:r>
            <w:r>
              <w:rPr>
                <w:rFonts w:hint="eastAsia" w:ascii="宋体" w:hAnsi="宋体" w:eastAsia="宋体" w:cs="宋体"/>
                <w:color w:val="auto"/>
                <w:sz w:val="21"/>
                <w:szCs w:val="21"/>
                <w:highlight w:val="none"/>
              </w:rPr>
              <w:t>技术方案内容详细，能从多角度进行需求分析，对项目总体有深刻认识。能详细阐述区厅</w:t>
            </w:r>
            <w:r>
              <w:rPr>
                <w:rFonts w:hint="eastAsia" w:ascii="宋体" w:hAnsi="宋体" w:eastAsia="宋体" w:cs="宋体"/>
                <w:color w:val="auto"/>
                <w:sz w:val="21"/>
                <w:szCs w:val="21"/>
                <w:highlight w:val="none"/>
                <w:lang w:val="en-US" w:eastAsia="zh-CN"/>
              </w:rPr>
              <w:t>大模型</w:t>
            </w:r>
            <w:r>
              <w:rPr>
                <w:rFonts w:hint="eastAsia" w:ascii="宋体" w:hAnsi="宋体" w:eastAsia="宋体" w:cs="宋体"/>
                <w:color w:val="auto"/>
                <w:sz w:val="21"/>
                <w:szCs w:val="21"/>
                <w:highlight w:val="none"/>
              </w:rPr>
              <w:t>安全体系总体架构，有完整的安全架构拓扑图，能阐述清楚各产品的功能及实现的方案，</w:t>
            </w:r>
            <w:r>
              <w:rPr>
                <w:rFonts w:hint="eastAsia" w:ascii="宋体" w:hAnsi="宋体" w:eastAsia="宋体" w:cs="宋体"/>
                <w:color w:val="auto"/>
                <w:sz w:val="21"/>
                <w:szCs w:val="21"/>
                <w:highlight w:val="none"/>
                <w:lang w:val="en-US" w:eastAsia="zh-CN"/>
              </w:rPr>
              <w:t>能阐述大模型安全网关、大模型内容鉴定一体机、大模型监测审计一体机的联动方案，描述数据安全管理一体机与流转数据监测一体机、现有的数据库审计系统、特权账号管理系统的联动方案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能对大模型安全评估服务的各个服务内容展开描述，包括内容安全评估、智能安全体评估、模型安全评估、组件安全评估以及运行环境评估，可提供大模型评估细则检查表以及评估报告样例说明。</w:t>
            </w:r>
          </w:p>
        </w:tc>
      </w:tr>
      <w:tr w14:paraId="1597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59F20162">
            <w:pPr>
              <w:adjustRightInd w:val="0"/>
              <w:spacing w:line="400" w:lineRule="exact"/>
              <w:jc w:val="center"/>
              <w:textAlignment w:val="baseline"/>
              <w:rPr>
                <w:rFonts w:hint="eastAsia" w:ascii="宋体" w:hAnsi="宋体"/>
                <w:b/>
                <w:color w:val="auto"/>
                <w:szCs w:val="21"/>
                <w:highlight w:val="none"/>
              </w:rPr>
            </w:pPr>
          </w:p>
        </w:tc>
        <w:tc>
          <w:tcPr>
            <w:tcW w:w="1067" w:type="dxa"/>
            <w:vMerge w:val="continue"/>
            <w:noWrap w:val="0"/>
            <w:vAlign w:val="center"/>
          </w:tcPr>
          <w:p w14:paraId="563AFE0B">
            <w:pPr>
              <w:adjustRightInd w:val="0"/>
              <w:spacing w:line="400" w:lineRule="exact"/>
              <w:jc w:val="center"/>
              <w:textAlignment w:val="baseline"/>
              <w:rPr>
                <w:rFonts w:hint="eastAsia" w:ascii="宋体" w:hAnsi="宋体"/>
                <w:b/>
                <w:color w:val="auto"/>
                <w:szCs w:val="21"/>
                <w:highlight w:val="none"/>
              </w:rPr>
            </w:pPr>
          </w:p>
        </w:tc>
        <w:tc>
          <w:tcPr>
            <w:tcW w:w="695" w:type="dxa"/>
            <w:vMerge w:val="continue"/>
            <w:noWrap w:val="0"/>
            <w:vAlign w:val="center"/>
          </w:tcPr>
          <w:p w14:paraId="44DB8C68">
            <w:pPr>
              <w:adjustRightInd w:val="0"/>
              <w:spacing w:line="400" w:lineRule="exact"/>
              <w:jc w:val="center"/>
              <w:textAlignment w:val="baseline"/>
              <w:rPr>
                <w:rFonts w:hint="eastAsia" w:ascii="宋体" w:hAnsi="宋体"/>
                <w:b/>
                <w:color w:val="auto"/>
                <w:szCs w:val="21"/>
                <w:highlight w:val="none"/>
              </w:rPr>
            </w:pPr>
          </w:p>
        </w:tc>
        <w:tc>
          <w:tcPr>
            <w:tcW w:w="1786" w:type="dxa"/>
            <w:noWrap w:val="0"/>
            <w:vAlign w:val="center"/>
          </w:tcPr>
          <w:p w14:paraId="02DCDCE6">
            <w:pPr>
              <w:widowControl/>
              <w:spacing w:line="360" w:lineRule="auto"/>
              <w:jc w:val="left"/>
              <w:rPr>
                <w:rFonts w:hint="eastAsia" w:ascii="宋体" w:hAnsi="宋体" w:eastAsia="宋体" w:cs="Courier New"/>
                <w:b w:val="0"/>
                <w:color w:val="auto"/>
                <w:kern w:val="2"/>
                <w:szCs w:val="21"/>
                <w:highlight w:val="none"/>
              </w:rPr>
            </w:pPr>
            <w:r>
              <w:rPr>
                <w:rFonts w:hint="eastAsia" w:ascii="宋体" w:hAnsi="宋体" w:eastAsia="宋体" w:cs="Courier New"/>
                <w:b/>
                <w:bCs/>
                <w:color w:val="auto"/>
                <w:szCs w:val="21"/>
                <w:highlight w:val="none"/>
                <w:lang w:eastAsia="zh-CN"/>
              </w:rPr>
              <w:t>功能演示</w:t>
            </w:r>
            <w:r>
              <w:rPr>
                <w:rFonts w:hint="eastAsia" w:ascii="宋体" w:hAnsi="宋体" w:eastAsia="宋体" w:cs="Courier New"/>
                <w:b/>
                <w:bCs/>
                <w:color w:val="auto"/>
                <w:szCs w:val="21"/>
                <w:highlight w:val="none"/>
              </w:rPr>
              <w:t>分（满分</w:t>
            </w:r>
            <w:r>
              <w:rPr>
                <w:rFonts w:hint="eastAsia" w:ascii="宋体" w:hAnsi="宋体" w:eastAsia="宋体" w:cs="Courier New"/>
                <w:b/>
                <w:bCs/>
                <w:color w:val="auto"/>
                <w:szCs w:val="21"/>
                <w:highlight w:val="none"/>
                <w:lang w:val="en-US" w:eastAsia="zh-CN"/>
              </w:rPr>
              <w:t>15</w:t>
            </w:r>
            <w:r>
              <w:rPr>
                <w:rFonts w:hint="eastAsia" w:ascii="宋体" w:hAnsi="宋体" w:eastAsia="宋体" w:cs="Courier New"/>
                <w:b/>
                <w:bCs/>
                <w:color w:val="auto"/>
                <w:szCs w:val="21"/>
                <w:highlight w:val="none"/>
              </w:rPr>
              <w:t>）</w:t>
            </w:r>
          </w:p>
        </w:tc>
        <w:tc>
          <w:tcPr>
            <w:tcW w:w="5619" w:type="dxa"/>
            <w:shd w:val="clear" w:color="auto" w:fill="auto"/>
            <w:noWrap w:val="0"/>
            <w:vAlign w:val="center"/>
          </w:tcPr>
          <w:p w14:paraId="321668E1">
            <w:pPr>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演示内容：四个板块（AI问答内容检查、AI问答数据保护、AI问答内容风险分析、数据安全管理），总时间</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分钟，在线演示，由投标人自行考虑各板块的演示时间。投标人需自行准备演示所需软硬件，如以DEMO、视频、PPT等方式演示或者不演示，均不得分。演示内容具体如下：</w:t>
            </w:r>
          </w:p>
          <w:p w14:paraId="2DDDD370">
            <w:pPr>
              <w:spacing w:line="360" w:lineRule="auto"/>
              <w:ind w:firstLine="0" w:firstLineChars="0"/>
              <w:jc w:val="left"/>
              <w:rPr>
                <w:rFonts w:hint="eastAsia" w:ascii="宋体" w:hAnsi="宋体" w:cs="Courier New"/>
                <w:b/>
                <w:bCs/>
                <w:color w:val="auto"/>
                <w:sz w:val="21"/>
                <w:szCs w:val="21"/>
                <w:highlight w:val="none"/>
                <w:lang w:val="en-US" w:eastAsia="zh-CN"/>
              </w:rPr>
            </w:pPr>
            <w:r>
              <w:rPr>
                <w:rFonts w:hint="eastAsia" w:ascii="宋体" w:hAnsi="宋体" w:eastAsia="宋体" w:cs="Courier New"/>
                <w:b/>
                <w:bCs/>
                <w:color w:val="auto"/>
                <w:sz w:val="21"/>
                <w:szCs w:val="21"/>
                <w:highlight w:val="none"/>
                <w:lang w:val="en-US" w:eastAsia="zh-CN"/>
              </w:rPr>
              <w:t>一、大模型应用管控（每个功能点完全满足得1分，部分满足或者不满足得0分，本项满分3分；）</w:t>
            </w:r>
          </w:p>
          <w:p w14:paraId="765824BC">
            <w:pPr>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1.AI提示词风险检测：检测提示词是否包含目标劫持攻击, 指令泄漏攻击, 反面诱导攻击, 角色扮演攻击等指令攻击语义。检测提示词是否包含涉暴涉恐涉政的危害国家安全内容，或包含涉及赌博、色情、毒品及其他违规违法内容。检测提示词是否包含以下敏感话题内容：涉及伦理道德, 涉及心理问题, 涉及身体伤害, 涉及隐私财产, 涉及偏见歧视, 包含辱骂脏话及其他危险敏感话题。</w:t>
            </w:r>
          </w:p>
          <w:p w14:paraId="7C31BF7B">
            <w:pPr>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2.AI生成内容风险检测：检测大模型生成内容是否包含涉暴涉恐涉政的危害国家安全内容，或包含涉及赌博、色情、毒品及其他违规违法内容。检测大模型生成内容是否包含错误的道德伦理价值观内容。</w:t>
            </w:r>
          </w:p>
          <w:p w14:paraId="4401A40A">
            <w:pPr>
              <w:spacing w:line="360" w:lineRule="auto"/>
              <w:ind w:firstLine="0" w:firstLineChars="0"/>
              <w:jc w:val="left"/>
              <w:rPr>
                <w:rFonts w:hint="eastAsia" w:ascii="宋体" w:hAnsi="宋体" w:eastAsia="宋体" w:cs="Courier New"/>
                <w:color w:val="auto"/>
                <w:sz w:val="21"/>
                <w:szCs w:val="21"/>
                <w:highlight w:val="none"/>
                <w:lang w:val="en-US" w:eastAsia="zh-CN"/>
              </w:rPr>
            </w:pPr>
            <w:r>
              <w:rPr>
                <w:rFonts w:hint="eastAsia" w:ascii="宋体" w:hAnsi="宋体" w:cs="Courier New"/>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AI问答内容过滤：支持还原业务系统接口报文并记录详记录完整的报文信息，包含：请求头、请求体、响应头、响应体和关联文件。同时能够在触发风险行为时（如敏感信息、攻击行为）即时进行阻塞，有效保护使用大模型应用过程中的安全隐患；</w:t>
            </w:r>
          </w:p>
          <w:p w14:paraId="30FD9EFA">
            <w:pPr>
              <w:spacing w:line="360" w:lineRule="auto"/>
              <w:ind w:firstLine="0" w:firstLineChars="0"/>
              <w:jc w:val="left"/>
              <w:rPr>
                <w:rFonts w:hint="eastAsia" w:ascii="宋体" w:hAnsi="宋体" w:eastAsia="宋体" w:cs="Courier New"/>
                <w:b/>
                <w:bCs/>
                <w:color w:val="auto"/>
                <w:sz w:val="21"/>
                <w:szCs w:val="21"/>
                <w:highlight w:val="none"/>
                <w:lang w:val="en-US" w:eastAsia="zh-CN"/>
              </w:rPr>
            </w:pPr>
            <w:r>
              <w:rPr>
                <w:rFonts w:hint="eastAsia" w:ascii="宋体" w:hAnsi="宋体" w:cs="Courier New"/>
                <w:b/>
                <w:bCs/>
                <w:color w:val="auto"/>
                <w:sz w:val="21"/>
                <w:szCs w:val="21"/>
                <w:highlight w:val="none"/>
                <w:lang w:val="en-US" w:eastAsia="zh-CN"/>
              </w:rPr>
              <w:t>二、</w:t>
            </w:r>
            <w:r>
              <w:rPr>
                <w:rFonts w:hint="eastAsia" w:ascii="宋体" w:hAnsi="宋体" w:eastAsia="宋体" w:cs="宋体"/>
                <w:b/>
                <w:bCs/>
                <w:color w:val="auto"/>
                <w:sz w:val="21"/>
                <w:szCs w:val="21"/>
                <w:highlight w:val="none"/>
                <w:lang w:val="en-US" w:eastAsia="zh-CN"/>
              </w:rPr>
              <w:t>AI问答数据保护（每个功能点完全满足得1.5分，部分满足或者不满足得0分，本项满分3分；）</w:t>
            </w:r>
          </w:p>
          <w:p w14:paraId="4A11FA42">
            <w:pPr>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Courier New"/>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AI问答敏感信息过滤：对AI应用提问回答内容进行审计及敏感信息检测。支持敏感信息自动识别，包含手机号、身份证号、护照号、地址、邮箱、银行卡号、统一社会信用代码、营业执照编号、组织机构代码、车牌号、车架号等常见的数十种敏感信息；对违规敏感信息的请求访问进行阻塞。</w:t>
            </w:r>
          </w:p>
          <w:p w14:paraId="680FFF1D">
            <w:pPr>
              <w:spacing w:line="360" w:lineRule="auto"/>
              <w:ind w:firstLine="0" w:firstLineChars="0"/>
              <w:jc w:val="left"/>
              <w:rPr>
                <w:rFonts w:hint="eastAsia" w:ascii="宋体" w:hAnsi="宋体" w:eastAsia="宋体" w:cs="Courier New"/>
                <w:color w:val="auto"/>
                <w:sz w:val="21"/>
                <w:szCs w:val="21"/>
                <w:highlight w:val="none"/>
                <w:lang w:val="en-US" w:eastAsia="zh-CN"/>
              </w:rPr>
            </w:pPr>
            <w:r>
              <w:rPr>
                <w:rFonts w:hint="eastAsia" w:ascii="宋体" w:hAnsi="宋体" w:cs="Courier New"/>
                <w:color w:val="auto"/>
                <w:sz w:val="21"/>
                <w:szCs w:val="21"/>
                <w:highlight w:val="none"/>
                <w:lang w:val="en-US" w:eastAsia="zh-CN"/>
              </w:rPr>
              <w:t>2、</w:t>
            </w:r>
            <w:r>
              <w:rPr>
                <w:rFonts w:hint="eastAsia" w:ascii="宋体" w:hAnsi="宋体" w:eastAsia="宋体" w:cs="宋体"/>
                <w:color w:val="auto"/>
                <w:sz w:val="21"/>
                <w:szCs w:val="21"/>
                <w:highlight w:val="none"/>
                <w:shd w:val="clear" w:color="auto" w:fill="auto"/>
                <w:lang w:val="en-US" w:eastAsia="zh-CN"/>
              </w:rPr>
              <w:t>AI问答动态脱敏：对AI应用提问回答内容敏感信息进行动态脱敏；支持敏感信息自动识别，包含手机号、身份证号、护照号、地址、邮箱、银行卡号、统一社会信用代码、营业执照编号、组织机构代码、车牌号、车架号等常见的数十种敏感信息；支持自定义敏感信息识别规则；内置电子邮箱仿真、电子邮箱可逆、电子邮箱屏蔽、中文地址仿真、中文地址可逆、中文地址屏蔽、中文地址分割等数十种脱敏算法。</w:t>
            </w:r>
          </w:p>
          <w:p w14:paraId="4505A30A">
            <w:pPr>
              <w:spacing w:line="360" w:lineRule="auto"/>
              <w:ind w:firstLine="0" w:firstLineChars="0"/>
              <w:jc w:val="left"/>
              <w:rPr>
                <w:rFonts w:hint="eastAsia" w:ascii="宋体" w:hAnsi="宋体" w:eastAsia="宋体" w:cs="Courier New"/>
                <w:b/>
                <w:bCs/>
                <w:color w:val="auto"/>
                <w:sz w:val="21"/>
                <w:szCs w:val="21"/>
                <w:highlight w:val="none"/>
                <w:lang w:val="en-US" w:eastAsia="zh-CN"/>
              </w:rPr>
            </w:pPr>
            <w:r>
              <w:rPr>
                <w:rFonts w:hint="eastAsia" w:ascii="宋体" w:hAnsi="宋体" w:cs="Courier New"/>
                <w:b/>
                <w:bCs/>
                <w:color w:val="auto"/>
                <w:sz w:val="21"/>
                <w:szCs w:val="21"/>
                <w:highlight w:val="none"/>
                <w:lang w:val="en-US" w:eastAsia="zh-CN"/>
              </w:rPr>
              <w:t>三、</w:t>
            </w:r>
            <w:r>
              <w:rPr>
                <w:rFonts w:hint="eastAsia" w:ascii="宋体" w:hAnsi="宋体" w:eastAsia="宋体" w:cs="宋体"/>
                <w:b/>
                <w:bCs/>
                <w:color w:val="auto"/>
                <w:sz w:val="21"/>
                <w:szCs w:val="21"/>
                <w:highlight w:val="none"/>
                <w:lang w:val="en-US" w:eastAsia="zh-CN"/>
              </w:rPr>
              <w:t>AI问答内容风险分析（每个功能点完全满足得1分，部分满足或者不满足得0分，本项满分3分；）</w:t>
            </w:r>
          </w:p>
          <w:p w14:paraId="5869B3A4">
            <w:pPr>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Courier New"/>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风险分析：支持基于主体、客体、时间、频次、数量、流量等维度的统计分析，对比分析和基线分析。</w:t>
            </w:r>
          </w:p>
          <w:p w14:paraId="667BC19A">
            <w:pPr>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Courier New"/>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行为风险分析:支持行为风险分析，对用户的访问时间，访问频次，访问敏感信息数量进行异常分析；支持预置规则和自定义分析规则。支持规则列表展示，支持启用/禁用，支持可编辑；支持接口白名单和用户白名单配置。</w:t>
            </w:r>
          </w:p>
          <w:p w14:paraId="7C01A788">
            <w:pPr>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Courier New"/>
                <w:color w:val="auto"/>
                <w:sz w:val="21"/>
                <w:szCs w:val="21"/>
                <w:highlight w:val="none"/>
                <w:lang w:val="en-US" w:eastAsia="zh-CN"/>
              </w:rPr>
              <w:t>3、</w:t>
            </w:r>
            <w:r>
              <w:rPr>
                <w:rFonts w:hint="eastAsia" w:ascii="宋体" w:hAnsi="宋体" w:eastAsia="宋体" w:cs="宋体"/>
                <w:b w:val="0"/>
                <w:bCs w:val="0"/>
                <w:color w:val="auto"/>
                <w:kern w:val="2"/>
                <w:sz w:val="21"/>
                <w:szCs w:val="21"/>
                <w:highlight w:val="none"/>
                <w:lang w:bidi="ar"/>
              </w:rPr>
              <w:t>事件溯源</w:t>
            </w:r>
            <w:r>
              <w:rPr>
                <w:rFonts w:hint="eastAsia" w:ascii="宋体" w:hAnsi="宋体" w:eastAsia="宋体" w:cs="宋体"/>
                <w:b w:val="0"/>
                <w:bCs w:val="0"/>
                <w:color w:val="auto"/>
                <w:kern w:val="2"/>
                <w:sz w:val="21"/>
                <w:szCs w:val="21"/>
                <w:highlight w:val="none"/>
                <w:lang w:val="en-US" w:eastAsia="zh-CN" w:bidi="ar"/>
              </w:rPr>
              <w:t>:</w:t>
            </w:r>
            <w:r>
              <w:rPr>
                <w:rFonts w:hint="eastAsia" w:ascii="宋体" w:hAnsi="宋体" w:eastAsia="宋体" w:cs="宋体"/>
                <w:color w:val="auto"/>
                <w:sz w:val="21"/>
                <w:szCs w:val="21"/>
                <w:highlight w:val="none"/>
                <w:lang w:val="en-US" w:eastAsia="zh-CN"/>
              </w:rPr>
              <w:t>支持基于用户身份追溯，可指定用户、时间条件和数据标签条件，追溯结果可以展示用户维度的敏感信息分布，风险事件分布，用户访问的应用域名和接口分布，以及用户访问敏感信息在时间轴上面的分布。</w:t>
            </w:r>
          </w:p>
          <w:p w14:paraId="0697DDB0">
            <w:pPr>
              <w:spacing w:line="360" w:lineRule="auto"/>
              <w:ind w:firstLine="0" w:firstLineChars="0"/>
              <w:jc w:val="left"/>
              <w:rPr>
                <w:rFonts w:hint="eastAsia" w:ascii="宋体" w:hAnsi="宋体" w:eastAsia="宋体" w:cs="Courier New"/>
                <w:b/>
                <w:bCs/>
                <w:color w:val="auto"/>
                <w:sz w:val="21"/>
                <w:szCs w:val="21"/>
                <w:highlight w:val="none"/>
                <w:lang w:val="en-US" w:eastAsia="zh-CN"/>
              </w:rPr>
            </w:pPr>
            <w:r>
              <w:rPr>
                <w:rFonts w:hint="eastAsia" w:ascii="宋体" w:hAnsi="宋体" w:cs="Courier New"/>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数据安全管理（每个功能点完全满足得1分，部分满足或者不满足得0分，本项满分6分；）</w:t>
            </w:r>
          </w:p>
          <w:p w14:paraId="4CFEEAC1">
            <w:pPr>
              <w:spacing w:line="360" w:lineRule="auto"/>
              <w:ind w:firstLine="0" w:firstLineChars="0"/>
              <w:jc w:val="left"/>
              <w:rPr>
                <w:rFonts w:hint="eastAsia" w:ascii="宋体" w:hAnsi="宋体" w:eastAsia="宋体" w:cs="Courier New"/>
                <w:color w:val="auto"/>
                <w:sz w:val="21"/>
                <w:szCs w:val="21"/>
                <w:highlight w:val="none"/>
                <w:lang w:val="en-US" w:eastAsia="zh-CN"/>
              </w:rPr>
            </w:pPr>
            <w:r>
              <w:rPr>
                <w:rFonts w:hint="eastAsia" w:ascii="宋体" w:hAnsi="宋体" w:cs="Courier New"/>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数据内容级的识别与打标：对于存储中的静态数据与使用的流动数据，可识别具体的数据内容，并进行一定的敏感数据打标，并针对静态数据和流动数据以全局视图进行展示。提供细粒度到敏感数据内容的全局视图，可直接展示具体的敏感数据内容如手机号“139*****009”、身份证号“2112*********55564”、家庭住址“广州*****港中路”。</w:t>
            </w:r>
          </w:p>
          <w:p w14:paraId="77938FEE">
            <w:pPr>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Courier New"/>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数据流动监测：每条数据访问日志均可查看其源IP、目标类型（应用、数据库）、IP地址、数据标签、敏感数据去重访问量、访问时间等信息，并可查看该访问日志的数据流转图。支持以链路的形式展示一段时间内的源IP通过应用访问数据库或者直接访问到数据库的行为，可以查看数据流转的节点、数据泄露的路径、访问者的源IP、访问时间和访问的数据内容等信息。</w:t>
            </w:r>
          </w:p>
          <w:p w14:paraId="5924BC81">
            <w:pPr>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Courier New"/>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数据内容级的监测与分析：对于存储中的静态数据与使用的流动数据，可识别具体的数据内容，并基于数据内容进行行为监测。</w:t>
            </w:r>
          </w:p>
          <w:p w14:paraId="46AF024C">
            <w:pPr>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Courier New"/>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数据安全事件溯源：支持基于告警信息自动生成数据安全事件；支持从安全事件入口，溯源展示关联身份信息、关联敏感数据信息、原始日志信息：支持在已知泄漏数据或数据片段情况下，将其作为线索进行溯源；输入检索条件后针对出现的多个可疑来源IP进行集中度聚合统计分析，如目的IP出现占比、资产名称出现比例等，从而方便运营人员去快速分析研判。</w:t>
            </w:r>
          </w:p>
          <w:p w14:paraId="55A8B36E">
            <w:pPr>
              <w:spacing w:line="360" w:lineRule="auto"/>
              <w:ind w:firstLine="0" w:firstLineChars="0"/>
              <w:jc w:val="left"/>
              <w:rPr>
                <w:rFonts w:hint="eastAsia" w:ascii="宋体" w:hAnsi="宋体" w:eastAsia="宋体" w:cs="Courier New"/>
                <w:color w:val="auto"/>
                <w:sz w:val="21"/>
                <w:szCs w:val="21"/>
                <w:highlight w:val="none"/>
                <w:lang w:val="en-US" w:eastAsia="zh-CN"/>
              </w:rPr>
            </w:pPr>
            <w:r>
              <w:rPr>
                <w:rFonts w:hint="eastAsia" w:ascii="宋体" w:hAnsi="宋体" w:cs="Courier New"/>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数据安全态势：通过图形化的方式展示单位中的风险和事件，以及他们的分布情况。包括最新风险、最新事件、事件类型分布、风险类型分布、危险趋势、资产风险等。通过图形化展示方式，帮助单位更好地了解风险和事件的分布情况。</w:t>
            </w:r>
          </w:p>
          <w:p w14:paraId="5F0A57A3">
            <w:pPr>
              <w:spacing w:line="360" w:lineRule="auto"/>
              <w:ind w:firstLine="0" w:firstLineChars="0"/>
              <w:jc w:val="left"/>
              <w:rPr>
                <w:rFonts w:hint="eastAsia" w:ascii="宋体" w:hAnsi="宋体" w:eastAsia="宋体" w:cs="Courier New"/>
                <w:color w:val="auto"/>
                <w:sz w:val="21"/>
                <w:szCs w:val="21"/>
                <w:highlight w:val="none"/>
                <w:lang w:val="en-US" w:eastAsia="zh-CN"/>
              </w:rPr>
            </w:pPr>
            <w:r>
              <w:rPr>
                <w:rFonts w:hint="eastAsia" w:ascii="宋体" w:hAnsi="宋体" w:eastAsia="宋体" w:cs="Courier New"/>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数据分布态势：通过图形化的方式展示单位内的数据分布情况，包含敏感数据的数据源和敏感数据的维度展示数据源的分布情况、敏感数据的类型、级别、新发现的包含敏感数据的库表等。</w:t>
            </w:r>
          </w:p>
        </w:tc>
      </w:tr>
      <w:tr w14:paraId="06C5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1BB4C1B6">
            <w:pPr>
              <w:adjustRightInd w:val="0"/>
              <w:spacing w:line="400" w:lineRule="exact"/>
              <w:jc w:val="center"/>
              <w:textAlignment w:val="baseline"/>
              <w:rPr>
                <w:rFonts w:hint="eastAsia" w:ascii="宋体" w:hAnsi="宋体"/>
                <w:b/>
                <w:color w:val="auto"/>
                <w:szCs w:val="21"/>
                <w:highlight w:val="none"/>
              </w:rPr>
            </w:pPr>
          </w:p>
        </w:tc>
        <w:tc>
          <w:tcPr>
            <w:tcW w:w="1067" w:type="dxa"/>
            <w:vMerge w:val="continue"/>
            <w:noWrap w:val="0"/>
            <w:vAlign w:val="center"/>
          </w:tcPr>
          <w:p w14:paraId="498C2CCE">
            <w:pPr>
              <w:adjustRightInd w:val="0"/>
              <w:spacing w:line="400" w:lineRule="exact"/>
              <w:jc w:val="center"/>
              <w:textAlignment w:val="baseline"/>
              <w:rPr>
                <w:rFonts w:hint="eastAsia" w:ascii="宋体" w:hAnsi="宋体"/>
                <w:b/>
                <w:color w:val="auto"/>
                <w:szCs w:val="21"/>
                <w:highlight w:val="none"/>
              </w:rPr>
            </w:pPr>
          </w:p>
        </w:tc>
        <w:tc>
          <w:tcPr>
            <w:tcW w:w="695" w:type="dxa"/>
            <w:vMerge w:val="continue"/>
            <w:noWrap w:val="0"/>
            <w:vAlign w:val="center"/>
          </w:tcPr>
          <w:p w14:paraId="697780F8">
            <w:pPr>
              <w:adjustRightInd w:val="0"/>
              <w:spacing w:line="400" w:lineRule="exact"/>
              <w:jc w:val="center"/>
              <w:textAlignment w:val="baseline"/>
              <w:rPr>
                <w:rFonts w:hint="eastAsia" w:ascii="宋体" w:hAnsi="宋体"/>
                <w:b/>
                <w:color w:val="auto"/>
                <w:szCs w:val="21"/>
                <w:highlight w:val="none"/>
              </w:rPr>
            </w:pPr>
          </w:p>
        </w:tc>
        <w:tc>
          <w:tcPr>
            <w:tcW w:w="1786" w:type="dxa"/>
            <w:noWrap w:val="0"/>
            <w:vAlign w:val="center"/>
          </w:tcPr>
          <w:p w14:paraId="04E5B7CF">
            <w:pPr>
              <w:widowControl/>
              <w:spacing w:line="400" w:lineRule="exact"/>
              <w:jc w:val="center"/>
              <w:rPr>
                <w:rFonts w:hint="eastAsia" w:ascii="宋体" w:hAnsi="宋体"/>
                <w:b/>
                <w:color w:val="auto"/>
                <w:szCs w:val="21"/>
                <w:highlight w:val="none"/>
              </w:rPr>
            </w:pPr>
            <w:r>
              <w:rPr>
                <w:rFonts w:hint="eastAsia" w:ascii="宋体" w:hAnsi="宋体"/>
                <w:b/>
                <w:color w:val="auto"/>
                <w:szCs w:val="21"/>
                <w:highlight w:val="none"/>
                <w:lang w:eastAsia="zh-CN"/>
              </w:rPr>
              <w:t>实施方案</w:t>
            </w:r>
            <w:r>
              <w:rPr>
                <w:rFonts w:hint="eastAsia" w:ascii="宋体" w:hAnsi="宋体"/>
                <w:b/>
                <w:color w:val="auto"/>
                <w:szCs w:val="21"/>
                <w:highlight w:val="none"/>
              </w:rPr>
              <w:t>分（满分</w:t>
            </w:r>
            <w:r>
              <w:rPr>
                <w:rFonts w:hint="eastAsia" w:ascii="宋体" w:hAnsi="宋体"/>
                <w:b/>
                <w:color w:val="auto"/>
                <w:szCs w:val="21"/>
                <w:highlight w:val="none"/>
                <w:lang w:val="en-US" w:eastAsia="zh-CN"/>
              </w:rPr>
              <w:t>15</w:t>
            </w:r>
            <w:r>
              <w:rPr>
                <w:rFonts w:hint="eastAsia" w:ascii="宋体" w:hAnsi="宋体"/>
                <w:b/>
                <w:color w:val="auto"/>
                <w:szCs w:val="21"/>
                <w:highlight w:val="none"/>
              </w:rPr>
              <w:t>分）</w:t>
            </w:r>
          </w:p>
        </w:tc>
        <w:tc>
          <w:tcPr>
            <w:tcW w:w="5619" w:type="dxa"/>
            <w:noWrap w:val="0"/>
            <w:vAlign w:val="center"/>
          </w:tcPr>
          <w:p w14:paraId="3E520193">
            <w:pPr>
              <w:spacing w:line="360" w:lineRule="auto"/>
              <w:ind w:firstLine="0" w:firstLineChars="0"/>
              <w:jc w:val="left"/>
              <w:rPr>
                <w:rFonts w:hint="eastAsia" w:ascii="宋体" w:hAnsi="宋体" w:eastAsia="宋体" w:cs="Courier New"/>
                <w:b/>
                <w:bCs/>
                <w:color w:val="auto"/>
                <w:sz w:val="21"/>
                <w:szCs w:val="21"/>
                <w:highlight w:val="none"/>
                <w:lang w:val="en-US" w:eastAsia="zh-CN"/>
              </w:rPr>
            </w:pPr>
            <w:r>
              <w:rPr>
                <w:rFonts w:hint="eastAsia" w:ascii="宋体" w:hAnsi="宋体" w:eastAsia="宋体" w:cs="Courier New"/>
                <w:color w:val="auto"/>
                <w:sz w:val="21"/>
                <w:szCs w:val="21"/>
                <w:highlight w:val="none"/>
                <w:lang w:val="en-US" w:eastAsia="zh-CN"/>
              </w:rPr>
              <w:t>由</w:t>
            </w:r>
            <w:r>
              <w:rPr>
                <w:rFonts w:hint="eastAsia" w:ascii="宋体" w:hAnsi="宋体" w:eastAsia="宋体" w:cs="Courier New"/>
                <w:b/>
                <w:bCs/>
                <w:color w:val="auto"/>
                <w:sz w:val="21"/>
                <w:szCs w:val="21"/>
                <w:highlight w:val="none"/>
                <w:lang w:val="en-US" w:eastAsia="zh-CN"/>
              </w:rPr>
              <w:t>评审小组在打分前根据</w:t>
            </w:r>
            <w:r>
              <w:rPr>
                <w:rFonts w:hint="eastAsia" w:ascii="宋体" w:hAnsi="宋体" w:cs="Courier New"/>
                <w:b/>
                <w:bCs/>
                <w:color w:val="auto"/>
                <w:sz w:val="21"/>
                <w:szCs w:val="21"/>
                <w:highlight w:val="none"/>
                <w:lang w:val="en-US" w:eastAsia="zh-CN"/>
              </w:rPr>
              <w:t>投标人</w:t>
            </w:r>
            <w:r>
              <w:rPr>
                <w:rFonts w:hint="eastAsia" w:ascii="宋体" w:hAnsi="宋体" w:eastAsia="宋体" w:cs="Courier New"/>
                <w:b/>
                <w:bCs/>
                <w:color w:val="auto"/>
                <w:sz w:val="21"/>
                <w:szCs w:val="21"/>
                <w:highlight w:val="none"/>
                <w:lang w:val="en-US" w:eastAsia="zh-CN"/>
              </w:rPr>
              <w:t>的实施方案情况评定打分， 达不到一档要求的不得分。</w:t>
            </w:r>
          </w:p>
          <w:p w14:paraId="708D3AF1">
            <w:pPr>
              <w:spacing w:line="36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Courier New"/>
                <w:b/>
                <w:bCs/>
                <w:color w:val="auto"/>
                <w:sz w:val="21"/>
                <w:szCs w:val="21"/>
                <w:highlight w:val="none"/>
                <w:lang w:val="en-US" w:eastAsia="zh-CN"/>
              </w:rPr>
              <w:t>一档（</w:t>
            </w:r>
            <w:r>
              <w:rPr>
                <w:rFonts w:hint="eastAsia" w:ascii="宋体" w:hAnsi="宋体" w:cs="Courier New"/>
                <w:b/>
                <w:bCs/>
                <w:color w:val="auto"/>
                <w:sz w:val="21"/>
                <w:szCs w:val="21"/>
                <w:highlight w:val="none"/>
                <w:lang w:val="en-US" w:eastAsia="zh-CN"/>
              </w:rPr>
              <w:t>5</w:t>
            </w:r>
            <w:r>
              <w:rPr>
                <w:rFonts w:hint="eastAsia" w:ascii="宋体" w:hAnsi="宋体" w:eastAsia="宋体" w:cs="Courier New"/>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项目实施方案提供有实施管理、实施组织方案、质量保证措施、项目风险控制、系统测试、试运行、验收等内容，实施过程中安排的实施团队符合招标文件人员配置要求，拟投入的大模型安全风险评估服务的技术负责人具备具备注册信息安全专业人员-渗透测试工程师认证（CISP-PTE），服务工程师2人具备注册信息安全专业人员-渗透测试工程师认证（CISP-PTE）。</w:t>
            </w:r>
          </w:p>
          <w:p w14:paraId="0A0C5126">
            <w:pPr>
              <w:spacing w:line="360" w:lineRule="auto"/>
              <w:ind w:firstLine="0" w:firstLineChars="0"/>
              <w:jc w:val="left"/>
              <w:rPr>
                <w:rFonts w:hint="eastAsia" w:ascii="宋体" w:hAnsi="宋体" w:eastAsia="宋体" w:cs="Courier New"/>
                <w:color w:val="auto"/>
                <w:sz w:val="21"/>
                <w:szCs w:val="21"/>
                <w:highlight w:val="none"/>
                <w:lang w:val="en-US" w:eastAsia="zh-CN"/>
              </w:rPr>
            </w:pPr>
            <w:r>
              <w:rPr>
                <w:rFonts w:hint="eastAsia" w:ascii="宋体" w:hAnsi="宋体" w:eastAsia="宋体" w:cs="Courier New"/>
                <w:b/>
                <w:bCs/>
                <w:color w:val="auto"/>
                <w:sz w:val="21"/>
                <w:szCs w:val="21"/>
                <w:highlight w:val="none"/>
                <w:lang w:val="en-US" w:eastAsia="zh-CN"/>
              </w:rPr>
              <w:t>二档（</w:t>
            </w:r>
            <w:r>
              <w:rPr>
                <w:rFonts w:hint="eastAsia" w:ascii="宋体" w:hAnsi="宋体" w:cs="Courier New"/>
                <w:b/>
                <w:bCs/>
                <w:color w:val="auto"/>
                <w:sz w:val="21"/>
                <w:szCs w:val="21"/>
                <w:highlight w:val="none"/>
                <w:lang w:val="en-US" w:eastAsia="zh-CN"/>
              </w:rPr>
              <w:t>10</w:t>
            </w:r>
            <w:r>
              <w:rPr>
                <w:rFonts w:hint="eastAsia" w:ascii="宋体" w:hAnsi="宋体" w:eastAsia="宋体" w:cs="Courier New"/>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在一档基础上，项目实施方案提供项目组织架构管理及职责、实施进度管理、项目保密管理、项目验收管理、有实施思路及实施进度安排；为满足项目机动性需要，实施过程中安排的实施团队优于招标文件人员配置要求，拟投入的大模型安全风险评估的的技术负责人具备注册信息安全专业人员-渗透测试专家认证（CISP-PTS），服务工程师4人具备注册信息安全专业人员-渗透测试专家认证（CISP-PTS）。</w:t>
            </w:r>
          </w:p>
          <w:p w14:paraId="6406EE44">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Courier New"/>
                <w:b/>
                <w:bCs/>
                <w:color w:val="auto"/>
                <w:sz w:val="21"/>
                <w:szCs w:val="21"/>
                <w:highlight w:val="none"/>
                <w:lang w:val="en-US" w:eastAsia="zh-CN"/>
              </w:rPr>
              <w:t>三档（</w:t>
            </w:r>
            <w:r>
              <w:rPr>
                <w:rFonts w:hint="eastAsia" w:ascii="宋体" w:hAnsi="宋体" w:cs="Courier New"/>
                <w:b/>
                <w:bCs/>
                <w:color w:val="auto"/>
                <w:sz w:val="21"/>
                <w:szCs w:val="21"/>
                <w:highlight w:val="none"/>
                <w:lang w:val="en-US" w:eastAsia="zh-CN"/>
              </w:rPr>
              <w:t>15</w:t>
            </w:r>
            <w:r>
              <w:rPr>
                <w:rFonts w:hint="eastAsia" w:ascii="宋体" w:hAnsi="宋体" w:eastAsia="宋体" w:cs="Courier New"/>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在二档基础上，项目实施方案具有实施重点和难点分析；项目组织架构设置和管理合理有详细的职责要求；有详细的实施进度计划表，项目进度管理措施包括项目关键环境分析、项目人力资源分配、项目关键过程管理和策略控制、需要用户提供的支持等内容；项目风险控制方案详细，提供风险因素分析、风险评估防范及风险控制措施等内容；拟投入的大模型安全风险评估的的技术负责人具备注册信息安全专业人员-渗透测试专家认证（CISP-PTS）服务以及人工智能安全专业人员（CAISP）认证，服务工程师6人具备注册信息安全专业人员-渗透测试专家认证（CISP-PTS）。</w:t>
            </w:r>
          </w:p>
          <w:p w14:paraId="130B9171">
            <w:pPr>
              <w:spacing w:line="360" w:lineRule="auto"/>
              <w:ind w:firstLine="0" w:firstLineChars="0"/>
              <w:jc w:val="left"/>
              <w:rPr>
                <w:rFonts w:hint="eastAsia" w:ascii="宋体" w:hAnsi="宋体" w:eastAsia="宋体" w:cs="Courier New"/>
                <w:color w:val="auto"/>
                <w:sz w:val="21"/>
                <w:szCs w:val="21"/>
                <w:highlight w:val="none"/>
                <w:lang w:val="en-US" w:eastAsia="zh-CN"/>
              </w:rPr>
            </w:pPr>
            <w:r>
              <w:rPr>
                <w:rFonts w:hint="eastAsia" w:ascii="宋体" w:hAnsi="宋体" w:eastAsia="宋体" w:cs="宋体"/>
                <w:b/>
                <w:bCs/>
                <w:color w:val="auto"/>
                <w:sz w:val="21"/>
                <w:szCs w:val="21"/>
                <w:highlight w:val="none"/>
              </w:rPr>
              <w:t>注：以上每个实施</w:t>
            </w:r>
            <w:r>
              <w:rPr>
                <w:rFonts w:hint="eastAsia" w:ascii="宋体" w:hAnsi="宋体" w:eastAsia="宋体" w:cs="宋体"/>
                <w:b/>
                <w:bCs/>
                <w:color w:val="auto"/>
                <w:sz w:val="21"/>
                <w:szCs w:val="21"/>
                <w:highlight w:val="none"/>
                <w:lang w:val="en-US" w:eastAsia="zh-CN"/>
              </w:rPr>
              <w:t>或服务</w:t>
            </w:r>
            <w:r>
              <w:rPr>
                <w:rFonts w:hint="eastAsia" w:ascii="宋体" w:hAnsi="宋体" w:eastAsia="宋体" w:cs="宋体"/>
                <w:b/>
                <w:bCs/>
                <w:color w:val="auto"/>
                <w:sz w:val="21"/>
                <w:szCs w:val="21"/>
                <w:highlight w:val="none"/>
              </w:rPr>
              <w:t>人员仅计算一次证书，投标人</w:t>
            </w:r>
            <w:r>
              <w:rPr>
                <w:rFonts w:hint="eastAsia" w:ascii="宋体" w:hAnsi="宋体" w:eastAsia="宋体" w:cs="宋体"/>
                <w:b/>
                <w:bCs/>
                <w:color w:val="auto"/>
                <w:sz w:val="21"/>
                <w:szCs w:val="21"/>
                <w:highlight w:val="none"/>
                <w:lang w:val="en-US" w:eastAsia="zh-CN"/>
              </w:rPr>
              <w:t>或核心产品生产厂商/服务厂商</w:t>
            </w:r>
            <w:r>
              <w:rPr>
                <w:rFonts w:hint="eastAsia" w:ascii="宋体" w:hAnsi="宋体" w:eastAsia="宋体" w:cs="宋体"/>
                <w:b/>
                <w:bCs/>
                <w:color w:val="auto"/>
                <w:sz w:val="21"/>
                <w:szCs w:val="21"/>
                <w:highlight w:val="none"/>
              </w:rPr>
              <w:t>需在投标文件中提供相应人员资质证书复印件、投标人</w:t>
            </w:r>
            <w:r>
              <w:rPr>
                <w:rFonts w:hint="eastAsia" w:ascii="宋体" w:hAnsi="宋体" w:eastAsia="宋体" w:cs="宋体"/>
                <w:b/>
                <w:bCs/>
                <w:color w:val="auto"/>
                <w:sz w:val="21"/>
                <w:szCs w:val="21"/>
                <w:highlight w:val="none"/>
                <w:lang w:val="en-US" w:eastAsia="zh-CN"/>
              </w:rPr>
              <w:t>或核心产品生产厂商/服务厂商</w:t>
            </w:r>
            <w:r>
              <w:rPr>
                <w:rFonts w:hint="eastAsia" w:ascii="宋体" w:hAnsi="宋体" w:eastAsia="宋体" w:cs="宋体"/>
                <w:b/>
                <w:bCs/>
                <w:color w:val="auto"/>
                <w:sz w:val="21"/>
                <w:szCs w:val="21"/>
                <w:highlight w:val="none"/>
              </w:rPr>
              <w:t>为其缴纳的近一年内连续三个月的社保</w:t>
            </w:r>
            <w:r>
              <w:rPr>
                <w:rFonts w:hint="eastAsia" w:ascii="宋体" w:hAnsi="宋体" w:eastAsia="宋体" w:cs="宋体"/>
                <w:b/>
                <w:bCs/>
                <w:color w:val="auto"/>
                <w:sz w:val="21"/>
                <w:szCs w:val="21"/>
                <w:highlight w:val="none"/>
                <w:lang w:eastAsia="zh-CN"/>
              </w:rPr>
              <w:t>证明材料</w:t>
            </w:r>
            <w:r>
              <w:rPr>
                <w:rFonts w:hint="eastAsia" w:ascii="宋体" w:hAnsi="宋体" w:eastAsia="宋体" w:cs="宋体"/>
                <w:b/>
                <w:bCs/>
                <w:color w:val="auto"/>
                <w:sz w:val="21"/>
                <w:szCs w:val="21"/>
                <w:highlight w:val="none"/>
                <w:lang w:val="en-US" w:eastAsia="zh-CN"/>
              </w:rPr>
              <w:t>或签订的劳动合同复印件</w:t>
            </w:r>
            <w:r>
              <w:rPr>
                <w:rFonts w:hint="eastAsia" w:ascii="宋体" w:hAnsi="宋体" w:eastAsia="宋体" w:cs="宋体"/>
                <w:b/>
                <w:bCs/>
                <w:color w:val="auto"/>
                <w:sz w:val="21"/>
                <w:szCs w:val="21"/>
                <w:highlight w:val="none"/>
              </w:rPr>
              <w:t>，否则不得分。</w:t>
            </w:r>
          </w:p>
        </w:tc>
      </w:tr>
      <w:tr w14:paraId="7F93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7535F322">
            <w:pPr>
              <w:adjustRightInd w:val="0"/>
              <w:spacing w:line="400" w:lineRule="exact"/>
              <w:jc w:val="center"/>
              <w:textAlignment w:val="baseline"/>
              <w:rPr>
                <w:rFonts w:hint="eastAsia" w:ascii="宋体" w:hAnsi="宋体"/>
                <w:b/>
                <w:color w:val="auto"/>
                <w:szCs w:val="21"/>
                <w:highlight w:val="none"/>
              </w:rPr>
            </w:pPr>
          </w:p>
        </w:tc>
        <w:tc>
          <w:tcPr>
            <w:tcW w:w="1067" w:type="dxa"/>
            <w:vMerge w:val="continue"/>
            <w:noWrap w:val="0"/>
            <w:vAlign w:val="center"/>
          </w:tcPr>
          <w:p w14:paraId="247A554C">
            <w:pPr>
              <w:adjustRightInd w:val="0"/>
              <w:spacing w:line="400" w:lineRule="exact"/>
              <w:jc w:val="center"/>
              <w:textAlignment w:val="baseline"/>
              <w:rPr>
                <w:rFonts w:hint="eastAsia" w:ascii="宋体" w:hAnsi="宋体"/>
                <w:b/>
                <w:color w:val="auto"/>
                <w:szCs w:val="21"/>
                <w:highlight w:val="none"/>
              </w:rPr>
            </w:pPr>
          </w:p>
        </w:tc>
        <w:tc>
          <w:tcPr>
            <w:tcW w:w="695" w:type="dxa"/>
            <w:vMerge w:val="continue"/>
            <w:noWrap w:val="0"/>
            <w:vAlign w:val="center"/>
          </w:tcPr>
          <w:p w14:paraId="46075848">
            <w:pPr>
              <w:adjustRightInd w:val="0"/>
              <w:spacing w:line="400" w:lineRule="exact"/>
              <w:jc w:val="center"/>
              <w:textAlignment w:val="baseline"/>
              <w:rPr>
                <w:rFonts w:hint="eastAsia" w:ascii="宋体" w:hAnsi="宋体"/>
                <w:b/>
                <w:color w:val="auto"/>
                <w:szCs w:val="21"/>
                <w:highlight w:val="none"/>
              </w:rPr>
            </w:pPr>
          </w:p>
        </w:tc>
        <w:tc>
          <w:tcPr>
            <w:tcW w:w="1786" w:type="dxa"/>
            <w:noWrap w:val="0"/>
            <w:vAlign w:val="center"/>
          </w:tcPr>
          <w:p w14:paraId="697F74AB">
            <w:pPr>
              <w:widowControl/>
              <w:spacing w:line="360" w:lineRule="auto"/>
              <w:jc w:val="left"/>
              <w:rPr>
                <w:rFonts w:hint="eastAsia" w:ascii="宋体" w:hAnsi="宋体" w:eastAsia="宋体" w:cs="Courier New"/>
                <w:b w:val="0"/>
                <w:color w:val="auto"/>
                <w:szCs w:val="21"/>
                <w:highlight w:val="none"/>
                <w:lang w:eastAsia="zh-CN"/>
              </w:rPr>
            </w:pPr>
            <w:r>
              <w:rPr>
                <w:rFonts w:hint="eastAsia" w:ascii="宋体" w:hAnsi="宋体" w:cs="Courier New"/>
                <w:b/>
                <w:bCs/>
                <w:color w:val="auto"/>
                <w:szCs w:val="21"/>
                <w:highlight w:val="none"/>
                <w:lang w:eastAsia="zh-CN"/>
              </w:rPr>
              <w:t>售后服务</w:t>
            </w:r>
            <w:r>
              <w:rPr>
                <w:rFonts w:hint="eastAsia" w:ascii="宋体" w:hAnsi="宋体" w:eastAsia="宋体" w:cs="Courier New"/>
                <w:b/>
                <w:bCs/>
                <w:color w:val="auto"/>
                <w:szCs w:val="21"/>
                <w:highlight w:val="none"/>
              </w:rPr>
              <w:t>分</w:t>
            </w:r>
            <w:r>
              <w:rPr>
                <w:rFonts w:hint="eastAsia" w:ascii="宋体" w:hAnsi="宋体" w:eastAsia="宋体" w:cs="Courier New"/>
                <w:b/>
                <w:bCs/>
                <w:color w:val="auto"/>
                <w:sz w:val="18"/>
                <w:szCs w:val="18"/>
                <w:highlight w:val="none"/>
              </w:rPr>
              <w:t>（满分</w:t>
            </w:r>
            <w:r>
              <w:rPr>
                <w:rFonts w:hint="eastAsia" w:ascii="宋体" w:hAnsi="宋体" w:cs="Courier New"/>
                <w:b/>
                <w:bCs/>
                <w:color w:val="auto"/>
                <w:sz w:val="18"/>
                <w:szCs w:val="18"/>
                <w:highlight w:val="none"/>
                <w:lang w:val="en-US" w:eastAsia="zh-CN"/>
              </w:rPr>
              <w:t>12</w:t>
            </w:r>
            <w:r>
              <w:rPr>
                <w:rFonts w:hint="eastAsia" w:ascii="宋体" w:hAnsi="宋体" w:eastAsia="宋体" w:cs="Courier New"/>
                <w:b/>
                <w:bCs/>
                <w:color w:val="auto"/>
                <w:sz w:val="18"/>
                <w:szCs w:val="18"/>
                <w:highlight w:val="none"/>
              </w:rPr>
              <w:t>分）</w:t>
            </w:r>
          </w:p>
        </w:tc>
        <w:tc>
          <w:tcPr>
            <w:tcW w:w="5619" w:type="dxa"/>
            <w:noWrap w:val="0"/>
            <w:vAlign w:val="center"/>
          </w:tcPr>
          <w:p w14:paraId="1666466E">
            <w:pPr>
              <w:spacing w:line="360" w:lineRule="auto"/>
              <w:ind w:firstLine="0" w:firstLineChars="0"/>
              <w:jc w:val="left"/>
              <w:rPr>
                <w:rFonts w:hint="eastAsia" w:ascii="宋体" w:hAnsi="宋体" w:eastAsia="宋体" w:cs="Courier New"/>
                <w:color w:val="auto"/>
                <w:sz w:val="21"/>
                <w:szCs w:val="21"/>
                <w:highlight w:val="none"/>
                <w:lang w:val="en-US" w:eastAsia="zh-CN"/>
              </w:rPr>
            </w:pPr>
            <w:r>
              <w:rPr>
                <w:rFonts w:hint="eastAsia" w:ascii="宋体" w:hAnsi="宋体" w:eastAsia="宋体" w:cs="Courier New"/>
                <w:color w:val="auto"/>
                <w:sz w:val="21"/>
                <w:szCs w:val="21"/>
                <w:highlight w:val="none"/>
                <w:lang w:val="en-US" w:eastAsia="zh-CN"/>
              </w:rPr>
              <w:t>由评审小组在打分前根据</w:t>
            </w:r>
            <w:r>
              <w:rPr>
                <w:rFonts w:hint="eastAsia" w:ascii="宋体" w:hAnsi="宋体" w:cs="Courier New"/>
                <w:color w:val="auto"/>
                <w:sz w:val="21"/>
                <w:szCs w:val="21"/>
                <w:highlight w:val="none"/>
                <w:lang w:val="en-US" w:eastAsia="zh-CN"/>
              </w:rPr>
              <w:t>投标人</w:t>
            </w:r>
            <w:r>
              <w:rPr>
                <w:rFonts w:hint="eastAsia" w:ascii="宋体" w:hAnsi="宋体" w:eastAsia="宋体" w:cs="Courier New"/>
                <w:color w:val="auto"/>
                <w:sz w:val="21"/>
                <w:szCs w:val="21"/>
                <w:highlight w:val="none"/>
                <w:lang w:val="en-US" w:eastAsia="zh-CN"/>
              </w:rPr>
              <w:t>的售后服务方案评定打分。</w:t>
            </w:r>
          </w:p>
          <w:p w14:paraId="29F1F045">
            <w:pPr>
              <w:spacing w:line="360" w:lineRule="auto"/>
              <w:ind w:firstLine="0" w:firstLineChars="0"/>
              <w:jc w:val="left"/>
              <w:rPr>
                <w:rFonts w:hint="eastAsia" w:ascii="宋体" w:hAnsi="宋体" w:eastAsia="宋体" w:cs="Courier New"/>
                <w:color w:val="auto"/>
                <w:sz w:val="21"/>
                <w:szCs w:val="21"/>
                <w:highlight w:val="none"/>
                <w:lang w:val="en-US" w:eastAsia="zh-CN"/>
              </w:rPr>
            </w:pPr>
            <w:r>
              <w:rPr>
                <w:rFonts w:hint="eastAsia" w:ascii="宋体" w:hAnsi="宋体" w:eastAsia="宋体" w:cs="Courier New"/>
                <w:b/>
                <w:bCs/>
                <w:color w:val="auto"/>
                <w:sz w:val="21"/>
                <w:szCs w:val="21"/>
                <w:highlight w:val="none"/>
                <w:lang w:val="en-US" w:eastAsia="zh-CN"/>
              </w:rPr>
              <w:t>一档（</w:t>
            </w:r>
            <w:r>
              <w:rPr>
                <w:rFonts w:hint="eastAsia" w:ascii="宋体" w:hAnsi="宋体" w:cs="Courier New"/>
                <w:b/>
                <w:bCs/>
                <w:color w:val="auto"/>
                <w:sz w:val="21"/>
                <w:szCs w:val="21"/>
                <w:highlight w:val="none"/>
                <w:lang w:val="en-US" w:eastAsia="zh-CN"/>
              </w:rPr>
              <w:t>4</w:t>
            </w:r>
            <w:r>
              <w:rPr>
                <w:rFonts w:hint="eastAsia" w:ascii="宋体" w:hAnsi="宋体" w:eastAsia="宋体" w:cs="Courier New"/>
                <w:b/>
                <w:bCs/>
                <w:color w:val="auto"/>
                <w:sz w:val="21"/>
                <w:szCs w:val="21"/>
                <w:highlight w:val="none"/>
                <w:lang w:val="en-US" w:eastAsia="zh-CN"/>
              </w:rPr>
              <w:t>分）：</w:t>
            </w:r>
            <w:r>
              <w:rPr>
                <w:rFonts w:hint="eastAsia" w:ascii="宋体" w:hAnsi="宋体" w:eastAsia="宋体" w:cs="宋体"/>
                <w:color w:val="auto"/>
                <w:sz w:val="21"/>
                <w:szCs w:val="21"/>
                <w:highlight w:val="none"/>
              </w:rPr>
              <w:t>售后服务方案</w:t>
            </w:r>
            <w:r>
              <w:rPr>
                <w:rFonts w:hint="eastAsia" w:ascii="宋体" w:hAnsi="宋体" w:eastAsia="宋体" w:cs="宋体"/>
                <w:color w:val="auto"/>
                <w:sz w:val="21"/>
                <w:szCs w:val="21"/>
                <w:highlight w:val="none"/>
                <w:lang w:val="en-US" w:eastAsia="zh-CN"/>
              </w:rPr>
              <w:t>包括服务内容，</w:t>
            </w:r>
            <w:r>
              <w:rPr>
                <w:rFonts w:hint="eastAsia" w:ascii="宋体" w:hAnsi="宋体" w:eastAsia="宋体" w:cs="宋体"/>
                <w:color w:val="auto"/>
                <w:sz w:val="21"/>
                <w:szCs w:val="21"/>
                <w:highlight w:val="none"/>
              </w:rPr>
              <w:t>提供具体、可行的到达故障现场时间、响应时间，</w:t>
            </w:r>
            <w:r>
              <w:rPr>
                <w:rFonts w:hint="eastAsia" w:ascii="宋体" w:hAnsi="宋体" w:eastAsia="宋体" w:cs="宋体"/>
                <w:color w:val="auto"/>
                <w:sz w:val="21"/>
                <w:szCs w:val="21"/>
                <w:highlight w:val="none"/>
                <w:lang w:val="en-US" w:eastAsia="zh-CN"/>
              </w:rPr>
              <w:t>完全</w:t>
            </w:r>
            <w:r>
              <w:rPr>
                <w:rFonts w:hint="eastAsia" w:ascii="宋体" w:hAnsi="宋体" w:eastAsia="宋体" w:cs="宋体"/>
                <w:color w:val="auto"/>
                <w:sz w:val="21"/>
                <w:szCs w:val="21"/>
                <w:highlight w:val="none"/>
              </w:rPr>
              <w:t>满足招标</w:t>
            </w:r>
            <w:r>
              <w:rPr>
                <w:rFonts w:hint="eastAsia" w:ascii="宋体" w:hAnsi="宋体" w:eastAsia="宋体" w:cs="宋体"/>
                <w:color w:val="auto"/>
                <w:sz w:val="21"/>
                <w:szCs w:val="21"/>
                <w:highlight w:val="none"/>
                <w:lang w:eastAsia="zh-CN"/>
              </w:rPr>
              <w:t>文件商务需求中</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“售后服务”。</w:t>
            </w:r>
          </w:p>
          <w:p w14:paraId="1EF2E951">
            <w:pPr>
              <w:spacing w:line="360" w:lineRule="auto"/>
              <w:ind w:firstLine="0" w:firstLineChars="0"/>
              <w:jc w:val="left"/>
              <w:rPr>
                <w:rFonts w:hint="eastAsia" w:ascii="宋体" w:hAnsi="宋体" w:eastAsia="宋体" w:cs="Courier New"/>
                <w:color w:val="auto"/>
                <w:sz w:val="21"/>
                <w:szCs w:val="21"/>
                <w:highlight w:val="none"/>
                <w:lang w:val="en-US" w:eastAsia="zh-CN"/>
              </w:rPr>
            </w:pPr>
            <w:r>
              <w:rPr>
                <w:rFonts w:hint="eastAsia" w:ascii="宋体" w:hAnsi="宋体" w:eastAsia="宋体" w:cs="Courier New"/>
                <w:b/>
                <w:bCs/>
                <w:color w:val="auto"/>
                <w:sz w:val="21"/>
                <w:szCs w:val="21"/>
                <w:highlight w:val="none"/>
                <w:lang w:val="en-US" w:eastAsia="zh-CN"/>
              </w:rPr>
              <w:t>二档（</w:t>
            </w:r>
            <w:r>
              <w:rPr>
                <w:rFonts w:hint="eastAsia" w:ascii="宋体" w:hAnsi="宋体" w:cs="Courier New"/>
                <w:b/>
                <w:bCs/>
                <w:color w:val="auto"/>
                <w:sz w:val="21"/>
                <w:szCs w:val="21"/>
                <w:highlight w:val="none"/>
                <w:lang w:val="en-US" w:eastAsia="zh-CN"/>
              </w:rPr>
              <w:t>8</w:t>
            </w:r>
            <w:r>
              <w:rPr>
                <w:rFonts w:hint="eastAsia" w:ascii="宋体" w:hAnsi="宋体" w:eastAsia="宋体" w:cs="Courier New"/>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在一档基础上，售后服务方案内容包括工作目标、服务标准、服务方式、培训方案、服务质量保证等内容；同时，提供提供网络安全应急响应服务方案，阐述网络安全应急响应详细服务流程，包含网络中断处置措施、安全事件发生处置措施、病毒大规模爆发处置措施等内容。</w:t>
            </w:r>
          </w:p>
          <w:p w14:paraId="3071DC43">
            <w:pPr>
              <w:spacing w:line="360" w:lineRule="auto"/>
              <w:ind w:firstLine="0" w:firstLineChars="0"/>
              <w:jc w:val="left"/>
              <w:rPr>
                <w:rFonts w:hint="eastAsia" w:ascii="宋体" w:hAnsi="宋体" w:eastAsia="宋体" w:cs="Courier New"/>
                <w:color w:val="auto"/>
                <w:sz w:val="21"/>
                <w:szCs w:val="21"/>
                <w:highlight w:val="none"/>
                <w:lang w:val="en-US" w:eastAsia="zh-CN"/>
              </w:rPr>
            </w:pPr>
            <w:r>
              <w:rPr>
                <w:rFonts w:hint="eastAsia" w:ascii="宋体" w:hAnsi="宋体" w:eastAsia="宋体" w:cs="Courier New"/>
                <w:b/>
                <w:bCs/>
                <w:color w:val="auto"/>
                <w:sz w:val="21"/>
                <w:szCs w:val="21"/>
                <w:highlight w:val="none"/>
                <w:lang w:val="en-US" w:eastAsia="zh-CN"/>
              </w:rPr>
              <w:t>三档（</w:t>
            </w:r>
            <w:r>
              <w:rPr>
                <w:rFonts w:hint="eastAsia" w:ascii="宋体" w:hAnsi="宋体" w:cs="Courier New"/>
                <w:b/>
                <w:bCs/>
                <w:color w:val="auto"/>
                <w:sz w:val="21"/>
                <w:szCs w:val="21"/>
                <w:highlight w:val="none"/>
                <w:lang w:val="en-US" w:eastAsia="zh-CN"/>
              </w:rPr>
              <w:t>12</w:t>
            </w:r>
            <w:r>
              <w:rPr>
                <w:rFonts w:hint="eastAsia" w:ascii="宋体" w:hAnsi="宋体" w:eastAsia="宋体" w:cs="Courier New"/>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在二档基础上，提供完善的售后服务管理流程，有良好的售后服务质量监督及保障机制；售后服务团队可提供自动化应急响应工具，能实现日志提取与固定、威胁统计、线索分析、关联分析、处置分析报告等功能，</w:t>
            </w:r>
            <w:r>
              <w:rPr>
                <w:rFonts w:hint="eastAsia" w:ascii="宋体" w:hAnsi="宋体" w:eastAsia="宋体" w:cs="宋体"/>
                <w:color w:val="auto"/>
                <w:sz w:val="21"/>
                <w:szCs w:val="21"/>
                <w:highlight w:val="none"/>
              </w:rPr>
              <w:t>方案中有工具上述的功能模块的说明及界面截图</w:t>
            </w:r>
            <w:r>
              <w:rPr>
                <w:rFonts w:hint="eastAsia" w:ascii="宋体" w:hAnsi="宋体" w:eastAsia="宋体" w:cs="宋体"/>
                <w:color w:val="auto"/>
                <w:sz w:val="21"/>
                <w:szCs w:val="21"/>
                <w:highlight w:val="none"/>
                <w:lang w:eastAsia="zh-CN"/>
              </w:rPr>
              <w:t>。</w:t>
            </w:r>
          </w:p>
        </w:tc>
      </w:tr>
      <w:tr w14:paraId="5F25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30" w:type="dxa"/>
            <w:vMerge w:val="restart"/>
            <w:noWrap w:val="0"/>
            <w:vAlign w:val="center"/>
          </w:tcPr>
          <w:p w14:paraId="79ADAB42">
            <w:pPr>
              <w:adjustRightInd w:val="0"/>
              <w:spacing w:line="400" w:lineRule="exact"/>
              <w:jc w:val="center"/>
              <w:textAlignment w:val="baseline"/>
              <w:rPr>
                <w:rFonts w:hint="eastAsia" w:ascii="宋体" w:hAnsi="宋体"/>
                <w:b/>
                <w:color w:val="auto"/>
                <w:szCs w:val="21"/>
                <w:highlight w:val="none"/>
              </w:rPr>
            </w:pPr>
            <w:r>
              <w:rPr>
                <w:rFonts w:hint="eastAsia" w:ascii="宋体" w:hAnsi="宋体"/>
                <w:b/>
                <w:color w:val="auto"/>
                <w:szCs w:val="21"/>
                <w:highlight w:val="none"/>
              </w:rPr>
              <w:t>3</w:t>
            </w:r>
          </w:p>
          <w:p w14:paraId="6A44AC96">
            <w:pPr>
              <w:adjustRightInd w:val="0"/>
              <w:spacing w:line="400" w:lineRule="exact"/>
              <w:jc w:val="center"/>
              <w:textAlignment w:val="baseline"/>
              <w:rPr>
                <w:rFonts w:hint="eastAsia" w:ascii="宋体" w:hAnsi="宋体"/>
                <w:b/>
                <w:color w:val="auto"/>
                <w:szCs w:val="21"/>
                <w:highlight w:val="none"/>
              </w:rPr>
            </w:pPr>
          </w:p>
        </w:tc>
        <w:tc>
          <w:tcPr>
            <w:tcW w:w="1067" w:type="dxa"/>
            <w:vMerge w:val="restart"/>
            <w:noWrap w:val="0"/>
            <w:vAlign w:val="center"/>
          </w:tcPr>
          <w:p w14:paraId="57714FEA">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lang w:eastAsia="zh-CN"/>
              </w:rPr>
              <w:t>商务</w:t>
            </w:r>
            <w:r>
              <w:rPr>
                <w:rFonts w:ascii="宋体" w:hAnsi="宋体"/>
                <w:b/>
                <w:color w:val="auto"/>
                <w:szCs w:val="21"/>
                <w:highlight w:val="none"/>
              </w:rPr>
              <w:t>分</w:t>
            </w:r>
          </w:p>
          <w:p w14:paraId="5CA5E7A2">
            <w:pPr>
              <w:adjustRightInd w:val="0"/>
              <w:spacing w:line="400" w:lineRule="exact"/>
              <w:jc w:val="center"/>
              <w:textAlignment w:val="baseline"/>
              <w:rPr>
                <w:rFonts w:hint="eastAsia" w:ascii="宋体" w:hAnsi="宋体" w:eastAsia="宋体"/>
                <w:b/>
                <w:color w:val="auto"/>
                <w:szCs w:val="21"/>
                <w:highlight w:val="none"/>
                <w:lang w:eastAsia="zh-CN"/>
              </w:rPr>
            </w:pPr>
          </w:p>
        </w:tc>
        <w:tc>
          <w:tcPr>
            <w:tcW w:w="695" w:type="dxa"/>
            <w:vMerge w:val="restart"/>
            <w:noWrap w:val="0"/>
            <w:vAlign w:val="center"/>
          </w:tcPr>
          <w:p w14:paraId="43B9D6DA">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lang w:val="en-US" w:eastAsia="zh-CN"/>
              </w:rPr>
              <w:t>10</w:t>
            </w:r>
            <w:r>
              <w:rPr>
                <w:rFonts w:hint="eastAsia" w:ascii="宋体" w:hAnsi="宋体"/>
                <w:b/>
                <w:color w:val="auto"/>
                <w:szCs w:val="21"/>
                <w:highlight w:val="none"/>
              </w:rPr>
              <w:t>分</w:t>
            </w:r>
          </w:p>
        </w:tc>
        <w:tc>
          <w:tcPr>
            <w:tcW w:w="7405" w:type="dxa"/>
            <w:gridSpan w:val="2"/>
            <w:noWrap w:val="0"/>
            <w:vAlign w:val="center"/>
          </w:tcPr>
          <w:p w14:paraId="514B56A1">
            <w:pPr>
              <w:spacing w:line="360" w:lineRule="auto"/>
              <w:ind w:firstLineChars="0"/>
              <w:jc w:val="left"/>
              <w:rPr>
                <w:rFonts w:hint="eastAsia" w:ascii="宋体" w:hAnsi="宋体" w:eastAsia="宋体" w:cs="Courier New"/>
                <w:b w:val="0"/>
                <w:bCs w:val="0"/>
                <w:color w:val="auto"/>
                <w:kern w:val="2"/>
                <w:sz w:val="21"/>
                <w:szCs w:val="21"/>
                <w:highlight w:val="none"/>
                <w:lang w:eastAsia="zh-CN"/>
              </w:rPr>
            </w:pPr>
            <w:r>
              <w:rPr>
                <w:rFonts w:hint="eastAsia" w:ascii="宋体" w:hAnsi="宋体" w:eastAsia="宋体" w:cs="Courier New"/>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投标人或者核心产品制造商具备同类网络安全项目经验，提供2022 年1月1日以来（以合同签订时间为准）的合同关键页（包括采购内容、签约日期、双方盖章）复印件加盖投标人公章，每提供一个得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分，此项满分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r>
      <w:tr w14:paraId="71A6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30" w:type="dxa"/>
            <w:vMerge w:val="continue"/>
            <w:noWrap w:val="0"/>
            <w:vAlign w:val="center"/>
          </w:tcPr>
          <w:p w14:paraId="20A2D631">
            <w:pPr>
              <w:rPr>
                <w:color w:val="auto"/>
                <w:highlight w:val="none"/>
              </w:rPr>
            </w:pPr>
          </w:p>
        </w:tc>
        <w:tc>
          <w:tcPr>
            <w:tcW w:w="1067" w:type="dxa"/>
            <w:vMerge w:val="continue"/>
            <w:noWrap w:val="0"/>
            <w:vAlign w:val="center"/>
          </w:tcPr>
          <w:p w14:paraId="3D3738C0">
            <w:pPr>
              <w:rPr>
                <w:color w:val="auto"/>
                <w:highlight w:val="none"/>
              </w:rPr>
            </w:pPr>
          </w:p>
        </w:tc>
        <w:tc>
          <w:tcPr>
            <w:tcW w:w="695" w:type="dxa"/>
            <w:vMerge w:val="continue"/>
            <w:noWrap w:val="0"/>
            <w:vAlign w:val="center"/>
          </w:tcPr>
          <w:p w14:paraId="528401D7">
            <w:pPr>
              <w:rPr>
                <w:color w:val="auto"/>
                <w:highlight w:val="none"/>
              </w:rPr>
            </w:pPr>
          </w:p>
        </w:tc>
        <w:tc>
          <w:tcPr>
            <w:tcW w:w="7405" w:type="dxa"/>
            <w:gridSpan w:val="2"/>
            <w:noWrap w:val="0"/>
            <w:vAlign w:val="center"/>
          </w:tcPr>
          <w:p w14:paraId="07D98359">
            <w:pPr>
              <w:spacing w:line="360" w:lineRule="auto"/>
              <w:jc w:val="left"/>
              <w:rPr>
                <w:rFonts w:hint="eastAsia" w:ascii="宋体" w:hAnsi="宋体" w:cs="Courier New"/>
                <w:color w:val="auto"/>
                <w:szCs w:val="21"/>
                <w:highlight w:val="none"/>
              </w:rPr>
            </w:pPr>
            <w:r>
              <w:rPr>
                <w:rFonts w:hint="eastAsia" w:ascii="宋体" w:hAnsi="宋体" w:eastAsia="宋体" w:cs="Courier New"/>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投标人或者核心产品制造商具备IS09001（质量管理体系）、ISO27001（信息安全体系）、ISO20000（信息技术服务管理体系）、ISO27701（隐私信息管理体系）</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每提供一个证书复印件得0.5分，此项满分2分。</w:t>
            </w:r>
          </w:p>
        </w:tc>
      </w:tr>
      <w:tr w14:paraId="4A66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30" w:type="dxa"/>
            <w:vMerge w:val="continue"/>
            <w:noWrap w:val="0"/>
            <w:vAlign w:val="center"/>
          </w:tcPr>
          <w:p w14:paraId="635A7BB3">
            <w:pPr>
              <w:rPr>
                <w:color w:val="auto"/>
                <w:highlight w:val="none"/>
              </w:rPr>
            </w:pPr>
          </w:p>
        </w:tc>
        <w:tc>
          <w:tcPr>
            <w:tcW w:w="1067" w:type="dxa"/>
            <w:vMerge w:val="continue"/>
            <w:noWrap w:val="0"/>
            <w:vAlign w:val="center"/>
          </w:tcPr>
          <w:p w14:paraId="70378CB4">
            <w:pPr>
              <w:rPr>
                <w:color w:val="auto"/>
                <w:highlight w:val="none"/>
              </w:rPr>
            </w:pPr>
          </w:p>
        </w:tc>
        <w:tc>
          <w:tcPr>
            <w:tcW w:w="695" w:type="dxa"/>
            <w:vMerge w:val="continue"/>
            <w:noWrap w:val="0"/>
            <w:vAlign w:val="center"/>
          </w:tcPr>
          <w:p w14:paraId="5601FC4D">
            <w:pPr>
              <w:rPr>
                <w:color w:val="auto"/>
                <w:highlight w:val="none"/>
              </w:rPr>
            </w:pPr>
          </w:p>
        </w:tc>
        <w:tc>
          <w:tcPr>
            <w:tcW w:w="7405" w:type="dxa"/>
            <w:gridSpan w:val="2"/>
            <w:noWrap w:val="0"/>
            <w:vAlign w:val="center"/>
          </w:tcPr>
          <w:p w14:paraId="365CC516">
            <w:pPr>
              <w:spacing w:line="360" w:lineRule="auto"/>
              <w:jc w:val="left"/>
              <w:rPr>
                <w:rFonts w:hint="eastAsia" w:ascii="宋体" w:hAnsi="宋体" w:cs="Courier New"/>
                <w:color w:val="auto"/>
                <w:szCs w:val="21"/>
                <w:highlight w:val="none"/>
              </w:rPr>
            </w:pPr>
            <w:r>
              <w:rPr>
                <w:rFonts w:hint="eastAsia" w:ascii="宋体" w:hAnsi="宋体" w:eastAsia="宋体" w:cs="Courier New"/>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投标人或者核心产品制造商具备较强的漏洞挖掘能力，2022-2024年任意一年每向国家信息安全漏洞共享平台CNVD提交漏洞数10000个/年计</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分（跨年度漏洞数不累积计分）。提供CNVD出具的证明材料，此项满分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r>
      <w:tr w14:paraId="2BEA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30" w:type="dxa"/>
            <w:vMerge w:val="continue"/>
            <w:noWrap w:val="0"/>
            <w:vAlign w:val="center"/>
          </w:tcPr>
          <w:p w14:paraId="19827A17">
            <w:pPr>
              <w:rPr>
                <w:color w:val="auto"/>
                <w:highlight w:val="none"/>
              </w:rPr>
            </w:pPr>
          </w:p>
        </w:tc>
        <w:tc>
          <w:tcPr>
            <w:tcW w:w="1067" w:type="dxa"/>
            <w:vMerge w:val="continue"/>
            <w:noWrap w:val="0"/>
            <w:vAlign w:val="center"/>
          </w:tcPr>
          <w:p w14:paraId="4172664C">
            <w:pPr>
              <w:rPr>
                <w:color w:val="auto"/>
                <w:highlight w:val="none"/>
              </w:rPr>
            </w:pPr>
          </w:p>
        </w:tc>
        <w:tc>
          <w:tcPr>
            <w:tcW w:w="695" w:type="dxa"/>
            <w:vMerge w:val="continue"/>
            <w:noWrap w:val="0"/>
            <w:vAlign w:val="center"/>
          </w:tcPr>
          <w:p w14:paraId="5FD19AEB">
            <w:pPr>
              <w:rPr>
                <w:color w:val="auto"/>
                <w:highlight w:val="none"/>
              </w:rPr>
            </w:pPr>
          </w:p>
        </w:tc>
        <w:tc>
          <w:tcPr>
            <w:tcW w:w="7405" w:type="dxa"/>
            <w:gridSpan w:val="2"/>
            <w:noWrap w:val="0"/>
            <w:vAlign w:val="center"/>
          </w:tcPr>
          <w:p w14:paraId="72118C86">
            <w:pPr>
              <w:spacing w:line="360" w:lineRule="auto"/>
              <w:jc w:val="left"/>
              <w:rPr>
                <w:rFonts w:hint="eastAsia" w:ascii="宋体" w:hAnsi="宋体" w:cs="Courier New"/>
                <w:color w:val="auto"/>
                <w:szCs w:val="21"/>
                <w:highlight w:val="none"/>
              </w:rPr>
            </w:pPr>
            <w:r>
              <w:rPr>
                <w:rFonts w:hint="eastAsia" w:ascii="宋体" w:hAnsi="宋体" w:eastAsia="宋体" w:cs="Courier New"/>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投标人或者核心产品制造商具备DSMM数据安全能力成熟度认证证书，三级</w:t>
            </w:r>
            <w:r>
              <w:rPr>
                <w:rFonts w:hint="eastAsia" w:ascii="宋体" w:hAnsi="宋体" w:cs="宋体"/>
                <w:color w:val="auto"/>
                <w:sz w:val="21"/>
                <w:szCs w:val="21"/>
                <w:highlight w:val="none"/>
                <w:lang w:val="en-US" w:eastAsia="zh-CN"/>
              </w:rPr>
              <w:t>及以上</w:t>
            </w:r>
            <w:r>
              <w:rPr>
                <w:rFonts w:hint="eastAsia" w:ascii="宋体" w:hAnsi="宋体" w:eastAsia="宋体" w:cs="宋体"/>
                <w:color w:val="auto"/>
                <w:sz w:val="21"/>
                <w:szCs w:val="21"/>
                <w:highlight w:val="none"/>
                <w:lang w:val="en-US" w:eastAsia="zh-CN"/>
              </w:rPr>
              <w:t>可得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分，二级可得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分，一级</w:t>
            </w:r>
            <w:r>
              <w:rPr>
                <w:rFonts w:hint="eastAsia" w:ascii="宋体" w:hAnsi="宋体" w:cs="宋体"/>
                <w:color w:val="auto"/>
                <w:sz w:val="21"/>
                <w:szCs w:val="21"/>
                <w:highlight w:val="none"/>
                <w:lang w:val="en-US" w:eastAsia="zh-CN"/>
              </w:rPr>
              <w:t>可</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分，此项满分2分。</w:t>
            </w:r>
          </w:p>
        </w:tc>
      </w:tr>
      <w:tr w14:paraId="218E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30" w:type="dxa"/>
            <w:vMerge w:val="continue"/>
            <w:noWrap w:val="0"/>
            <w:vAlign w:val="center"/>
          </w:tcPr>
          <w:p w14:paraId="776B38FE">
            <w:pPr>
              <w:rPr>
                <w:color w:val="auto"/>
                <w:highlight w:val="none"/>
              </w:rPr>
            </w:pPr>
          </w:p>
        </w:tc>
        <w:tc>
          <w:tcPr>
            <w:tcW w:w="1067" w:type="dxa"/>
            <w:vMerge w:val="continue"/>
            <w:noWrap w:val="0"/>
            <w:vAlign w:val="center"/>
          </w:tcPr>
          <w:p w14:paraId="027D67F0">
            <w:pPr>
              <w:rPr>
                <w:color w:val="auto"/>
                <w:highlight w:val="none"/>
              </w:rPr>
            </w:pPr>
          </w:p>
        </w:tc>
        <w:tc>
          <w:tcPr>
            <w:tcW w:w="695" w:type="dxa"/>
            <w:vMerge w:val="continue"/>
            <w:noWrap w:val="0"/>
            <w:vAlign w:val="center"/>
          </w:tcPr>
          <w:p w14:paraId="68F7D3D4">
            <w:pPr>
              <w:rPr>
                <w:color w:val="auto"/>
                <w:highlight w:val="none"/>
              </w:rPr>
            </w:pPr>
          </w:p>
        </w:tc>
        <w:tc>
          <w:tcPr>
            <w:tcW w:w="7405" w:type="dxa"/>
            <w:gridSpan w:val="2"/>
            <w:noWrap w:val="0"/>
            <w:vAlign w:val="center"/>
          </w:tcPr>
          <w:p w14:paraId="4F330858">
            <w:pPr>
              <w:spacing w:line="360" w:lineRule="auto"/>
              <w:jc w:val="left"/>
              <w:rPr>
                <w:rFonts w:hint="eastAsia" w:ascii="宋体" w:hAnsi="宋体" w:cs="Courier New"/>
                <w:color w:val="auto"/>
                <w:szCs w:val="21"/>
                <w:highlight w:val="none"/>
              </w:rPr>
            </w:pPr>
            <w:r>
              <w:rPr>
                <w:rFonts w:hint="eastAsia" w:ascii="宋体" w:hAnsi="宋体" w:eastAsia="宋体" w:cs="Courier New"/>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投标人或者核心产品制造商具备较强APT检测分析能力，每针对一个APT组织发布分析报道一份计</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分，最高计2分，提供产品生产厂商官网对APT组织分析报道链接和截图证明（报道中需包含APT组织编号，以组织编号为准计算数量，同一个组织编号仅计算一次），此项满分2分。</w:t>
            </w:r>
          </w:p>
        </w:tc>
      </w:tr>
      <w:tr w14:paraId="638B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Merge w:val="continue"/>
            <w:noWrap w:val="0"/>
            <w:vAlign w:val="center"/>
          </w:tcPr>
          <w:p w14:paraId="4B3B004E">
            <w:pPr>
              <w:adjustRightInd w:val="0"/>
              <w:spacing w:line="400" w:lineRule="exact"/>
              <w:jc w:val="center"/>
              <w:textAlignment w:val="baseline"/>
              <w:rPr>
                <w:rFonts w:hint="eastAsia" w:ascii="宋体" w:hAnsi="宋体"/>
                <w:b/>
                <w:color w:val="auto"/>
                <w:szCs w:val="21"/>
                <w:highlight w:val="none"/>
              </w:rPr>
            </w:pPr>
          </w:p>
        </w:tc>
        <w:tc>
          <w:tcPr>
            <w:tcW w:w="1067" w:type="dxa"/>
            <w:vMerge w:val="continue"/>
            <w:noWrap w:val="0"/>
            <w:vAlign w:val="center"/>
          </w:tcPr>
          <w:p w14:paraId="06F8530C">
            <w:pPr>
              <w:adjustRightInd w:val="0"/>
              <w:spacing w:line="400" w:lineRule="exact"/>
              <w:jc w:val="center"/>
              <w:textAlignment w:val="baseline"/>
              <w:rPr>
                <w:rFonts w:hint="eastAsia" w:ascii="宋体" w:hAnsi="宋体" w:eastAsia="宋体"/>
                <w:b/>
                <w:color w:val="auto"/>
                <w:szCs w:val="21"/>
                <w:highlight w:val="none"/>
                <w:lang w:eastAsia="zh-CN"/>
              </w:rPr>
            </w:pPr>
          </w:p>
        </w:tc>
        <w:tc>
          <w:tcPr>
            <w:tcW w:w="695" w:type="dxa"/>
            <w:noWrap w:val="0"/>
            <w:vAlign w:val="center"/>
          </w:tcPr>
          <w:p w14:paraId="10505BE6">
            <w:pPr>
              <w:adjustRightInd w:val="0"/>
              <w:spacing w:line="400" w:lineRule="exact"/>
              <w:jc w:val="center"/>
              <w:textAlignment w:val="baseline"/>
              <w:rPr>
                <w:rFonts w:hint="eastAsia" w:ascii="宋体" w:hAnsi="宋体"/>
                <w:b/>
                <w:color w:val="auto"/>
                <w:szCs w:val="21"/>
                <w:highlight w:val="none"/>
              </w:rPr>
            </w:pPr>
            <w:r>
              <w:rPr>
                <w:rFonts w:hint="eastAsia"/>
                <w:b/>
                <w:bCs/>
                <w:color w:val="auto"/>
                <w:sz w:val="20"/>
                <w:szCs w:val="22"/>
                <w:highlight w:val="none"/>
              </w:rPr>
              <w:t>-6-0分</w:t>
            </w:r>
          </w:p>
        </w:tc>
        <w:tc>
          <w:tcPr>
            <w:tcW w:w="1786" w:type="dxa"/>
            <w:noWrap w:val="0"/>
            <w:vAlign w:val="center"/>
          </w:tcPr>
          <w:p w14:paraId="661ABA42">
            <w:pPr>
              <w:spacing w:line="400" w:lineRule="exact"/>
              <w:jc w:val="left"/>
              <w:rPr>
                <w:rFonts w:hint="default" w:ascii="宋体" w:hAnsi="宋体" w:eastAsia="宋体" w:cs="Times New Roman"/>
                <w:b w:val="0"/>
                <w:color w:val="auto"/>
                <w:kern w:val="0"/>
                <w:szCs w:val="21"/>
                <w:highlight w:val="none"/>
              </w:rPr>
            </w:pPr>
            <w:r>
              <w:rPr>
                <w:rFonts w:hint="eastAsia"/>
                <w:b/>
                <w:bCs/>
                <w:color w:val="auto"/>
                <w:highlight w:val="none"/>
              </w:rPr>
              <w:t>信用管理考核分</w:t>
            </w:r>
          </w:p>
        </w:tc>
        <w:tc>
          <w:tcPr>
            <w:tcW w:w="5619" w:type="dxa"/>
            <w:noWrap w:val="0"/>
            <w:vAlign w:val="center"/>
          </w:tcPr>
          <w:p w14:paraId="6353D722">
            <w:pPr>
              <w:spacing w:line="400" w:lineRule="exact"/>
              <w:jc w:val="left"/>
              <w:rPr>
                <w:rFonts w:hint="default" w:ascii="宋体" w:hAnsi="宋体" w:eastAsia="宋体" w:cs="Times New Roman"/>
                <w:color w:val="auto"/>
                <w:kern w:val="0"/>
                <w:szCs w:val="21"/>
                <w:highlight w:val="none"/>
              </w:rPr>
            </w:pPr>
            <w:r>
              <w:rPr>
                <w:rFonts w:hint="eastAsia"/>
                <w:color w:val="auto"/>
                <w:highlight w:val="none"/>
              </w:rPr>
              <w:t>投标人在截标日前一年内在政府采购活动中存在违约违规情形的（以财政部门书面认定材料为评分依据），每次扣除3分，最高扣6分。</w:t>
            </w:r>
            <w:r>
              <w:rPr>
                <w:rFonts w:hint="eastAsia" w:ascii="宋体" w:hAnsi="宋体"/>
                <w:bCs/>
                <w:color w:val="auto"/>
                <w:szCs w:val="21"/>
                <w:highlight w:val="none"/>
              </w:rPr>
              <w:t>(若存在违约违规情形，由投标人提供认定材料；若不存在违约违规情形，提供无违约违规情形承诺书（格式自拟），加盖公章。若在项目处于质疑期，被其他利害关系投标人质疑或监督管理部门查实在政府采购活动中存在违约违规情形的，采购人有权将以提供虚假材料谋取中标处理，报政府采购监督管理部门进行处罚)。</w:t>
            </w:r>
          </w:p>
        </w:tc>
      </w:tr>
      <w:tr w14:paraId="1CFD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7" w:type="dxa"/>
            <w:gridSpan w:val="5"/>
            <w:noWrap w:val="0"/>
            <w:vAlign w:val="center"/>
          </w:tcPr>
          <w:p w14:paraId="1EDE3D8D">
            <w:pPr>
              <w:pStyle w:val="11"/>
              <w:spacing w:line="400" w:lineRule="exact"/>
              <w:rPr>
                <w:rFonts w:hint="eastAsia" w:hAnsi="宋体" w:cs="Courier New"/>
                <w:bCs/>
                <w:color w:val="auto"/>
                <w:kern w:val="2"/>
                <w:sz w:val="21"/>
                <w:highlight w:val="none"/>
              </w:rPr>
            </w:pPr>
            <w:r>
              <w:rPr>
                <w:rFonts w:hint="eastAsia" w:hAnsi="宋体" w:cs="Courier New"/>
                <w:b/>
                <w:bCs/>
                <w:color w:val="auto"/>
                <w:kern w:val="2"/>
                <w:sz w:val="21"/>
                <w:highlight w:val="none"/>
              </w:rPr>
              <w:t>总得分=1+2+3。</w:t>
            </w:r>
          </w:p>
        </w:tc>
      </w:tr>
    </w:tbl>
    <w:p w14:paraId="6B81D457">
      <w:pPr>
        <w:rPr>
          <w:rFonts w:hint="eastAsia" w:hAnsi="宋体"/>
          <w:b/>
          <w:color w:val="auto"/>
          <w:sz w:val="32"/>
          <w:szCs w:val="32"/>
          <w:highlight w:val="none"/>
        </w:rPr>
      </w:pPr>
      <w:r>
        <w:rPr>
          <w:rFonts w:hint="eastAsia" w:hAnsi="宋体"/>
          <w:b/>
          <w:color w:val="auto"/>
          <w:sz w:val="32"/>
          <w:szCs w:val="32"/>
          <w:highlight w:val="none"/>
        </w:rPr>
        <w:br w:type="page"/>
      </w:r>
    </w:p>
    <w:p w14:paraId="597A64FB">
      <w:pPr>
        <w:pStyle w:val="11"/>
        <w:spacing w:line="360" w:lineRule="auto"/>
        <w:jc w:val="center"/>
        <w:outlineLvl w:val="1"/>
        <w:rPr>
          <w:rFonts w:hAnsi="宋体"/>
          <w:b/>
          <w:color w:val="auto"/>
          <w:sz w:val="32"/>
          <w:szCs w:val="32"/>
          <w:highlight w:val="none"/>
        </w:rPr>
      </w:pPr>
      <w:bookmarkStart w:id="156" w:name="_Toc22363"/>
      <w:r>
        <w:rPr>
          <w:rFonts w:hint="eastAsia" w:hAnsi="宋体"/>
          <w:b/>
          <w:color w:val="auto"/>
          <w:sz w:val="32"/>
          <w:szCs w:val="32"/>
          <w:highlight w:val="none"/>
        </w:rPr>
        <w:t>四、中标候选人推荐</w:t>
      </w:r>
      <w:bookmarkEnd w:id="156"/>
    </w:p>
    <w:p w14:paraId="26CE2A50">
      <w:pPr>
        <w:pStyle w:val="11"/>
        <w:spacing w:line="360" w:lineRule="auto"/>
        <w:contextualSpacing/>
        <w:rPr>
          <w:rFonts w:hAnsi="宋体" w:cs="宋体"/>
          <w:b/>
          <w:bCs/>
          <w:color w:val="auto"/>
          <w:sz w:val="24"/>
          <w:szCs w:val="24"/>
          <w:highlight w:val="none"/>
        </w:rPr>
      </w:pPr>
      <w:r>
        <w:rPr>
          <w:rFonts w:hint="eastAsia" w:hAnsi="宋体" w:cs="宋体"/>
          <w:b/>
          <w:bCs/>
          <w:color w:val="auto"/>
          <w:sz w:val="24"/>
          <w:szCs w:val="24"/>
          <w:highlight w:val="none"/>
        </w:rPr>
        <w:t>（一）综合评分法</w:t>
      </w:r>
    </w:p>
    <w:p w14:paraId="70332A49">
      <w:pPr>
        <w:pStyle w:val="11"/>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1.评标委员会根据原始评标记录和评标结果编写评标报告，并通过电子交易平台向采购人、采购代理机构提交。</w:t>
      </w:r>
    </w:p>
    <w:p w14:paraId="3575CA45">
      <w:pPr>
        <w:pStyle w:val="11"/>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2.评标委员会将按评审后得分由高到低顺序排列，出现中标候选人并列的情形，采购人按以下的方式确定中标人：（总得分相同时，按“</w:t>
      </w:r>
      <w:r>
        <w:rPr>
          <w:rFonts w:hint="eastAsia" w:hAnsi="宋体" w:cs="宋体"/>
          <w:color w:val="auto"/>
          <w:sz w:val="21"/>
          <w:highlight w:val="none"/>
          <w:lang w:eastAsia="zh-CN"/>
        </w:rPr>
        <w:t>投标人</w:t>
      </w:r>
      <w:r>
        <w:rPr>
          <w:rFonts w:hint="eastAsia" w:hAnsi="宋体" w:cs="宋体"/>
          <w:color w:val="auto"/>
          <w:sz w:val="21"/>
          <w:highlight w:val="none"/>
        </w:rPr>
        <w:t>须知前附表”第30.1条规定的顺序确定）,并编写评审报告。</w:t>
      </w:r>
    </w:p>
    <w:p w14:paraId="285B0DE7">
      <w:pPr>
        <w:spacing w:before="120" w:beforeLines="50" w:after="120" w:afterLines="50" w:line="400" w:lineRule="exact"/>
        <w:rPr>
          <w:rFonts w:ascii="宋体" w:hAnsi="宋体" w:cs="宋体"/>
          <w:b/>
          <w:color w:val="auto"/>
          <w:sz w:val="24"/>
          <w:highlight w:val="none"/>
        </w:rPr>
      </w:pPr>
    </w:p>
    <w:p w14:paraId="25D30F5F">
      <w:pPr>
        <w:spacing w:before="120" w:beforeLines="50" w:after="120" w:afterLines="50" w:line="400" w:lineRule="exact"/>
        <w:rPr>
          <w:rFonts w:ascii="宋体" w:hAnsi="宋体" w:cs="宋体"/>
          <w:b/>
          <w:color w:val="auto"/>
          <w:sz w:val="24"/>
          <w:highlight w:val="none"/>
        </w:rPr>
      </w:pPr>
    </w:p>
    <w:p w14:paraId="7497A111">
      <w:pPr>
        <w:pStyle w:val="2"/>
        <w:keepNext w:val="0"/>
        <w:keepLines w:val="0"/>
        <w:tabs>
          <w:tab w:val="left" w:pos="0"/>
          <w:tab w:val="left" w:pos="3165"/>
          <w:tab w:val="center" w:pos="4153"/>
        </w:tabs>
        <w:autoSpaceDE w:val="0"/>
        <w:autoSpaceDN w:val="0"/>
        <w:adjustRightInd w:val="0"/>
        <w:spacing w:before="0" w:after="0" w:line="360" w:lineRule="auto"/>
        <w:rPr>
          <w:rFonts w:hint="eastAsia"/>
          <w:color w:val="auto"/>
          <w:highlight w:val="none"/>
        </w:rPr>
      </w:pPr>
      <w:r>
        <w:rPr>
          <w:color w:val="auto"/>
          <w:highlight w:val="none"/>
        </w:rPr>
        <w:br w:type="page"/>
      </w:r>
      <w:bookmarkStart w:id="157" w:name="_Toc159"/>
      <w:bookmarkStart w:id="158" w:name="_Toc105771722"/>
      <w:r>
        <w:rPr>
          <w:rFonts w:hint="eastAsia"/>
          <w:color w:val="auto"/>
          <w:highlight w:val="none"/>
        </w:rPr>
        <w:t>第五章 拟签订的合同文本</w:t>
      </w:r>
      <w:bookmarkEnd w:id="157"/>
      <w:bookmarkEnd w:id="158"/>
    </w:p>
    <w:p w14:paraId="32B5079A">
      <w:pPr>
        <w:rPr>
          <w:rFonts w:hint="eastAsia"/>
          <w:color w:val="auto"/>
          <w:highlight w:val="none"/>
        </w:rPr>
      </w:pPr>
    </w:p>
    <w:p w14:paraId="17A067C6">
      <w:pPr>
        <w:pStyle w:val="9"/>
        <w:keepNext w:val="0"/>
        <w:keepLines w:val="0"/>
        <w:pageBreakBefore w:val="0"/>
        <w:widowControl w:val="0"/>
        <w:kinsoku/>
        <w:wordWrap/>
        <w:overflowPunct/>
        <w:topLinePunct w:val="0"/>
        <w:autoSpaceDE/>
        <w:autoSpaceDN/>
        <w:bidi w:val="0"/>
        <w:adjustRightInd/>
        <w:snapToGrid/>
        <w:textAlignment w:val="auto"/>
        <w:outlineLvl w:val="0"/>
        <w:rPr>
          <w:rFonts w:hint="default" w:eastAsia="宋体"/>
          <w:color w:val="auto"/>
          <w:sz w:val="30"/>
          <w:szCs w:val="30"/>
          <w:highlight w:val="none"/>
          <w:lang w:val="en-US" w:eastAsia="zh-CN"/>
        </w:rPr>
      </w:pPr>
      <w:bookmarkStart w:id="159" w:name="_Toc28636"/>
      <w:r>
        <w:rPr>
          <w:rFonts w:hint="eastAsia"/>
          <w:color w:val="auto"/>
          <w:sz w:val="30"/>
          <w:szCs w:val="30"/>
          <w:highlight w:val="none"/>
          <w:lang w:eastAsia="zh-CN"/>
        </w:rPr>
        <w:t>分标</w:t>
      </w:r>
      <w:r>
        <w:rPr>
          <w:rFonts w:hint="eastAsia"/>
          <w:color w:val="auto"/>
          <w:sz w:val="30"/>
          <w:szCs w:val="30"/>
          <w:highlight w:val="none"/>
          <w:lang w:val="en-US" w:eastAsia="zh-CN"/>
        </w:rPr>
        <w:t>1：</w:t>
      </w:r>
      <w:bookmarkEnd w:id="159"/>
    </w:p>
    <w:p w14:paraId="2F86180C">
      <w:pPr>
        <w:spacing w:line="480" w:lineRule="auto"/>
        <w:ind w:firstLine="420"/>
        <w:jc w:val="center"/>
        <w:outlineLvl w:val="1"/>
        <w:rPr>
          <w:rFonts w:hint="eastAsia" w:ascii="宋体" w:hAnsi="宋体"/>
          <w:b/>
          <w:bCs/>
          <w:color w:val="auto"/>
          <w:sz w:val="72"/>
          <w:szCs w:val="20"/>
          <w:highlight w:val="none"/>
        </w:rPr>
      </w:pPr>
      <w:bookmarkStart w:id="160" w:name="_Toc12342"/>
      <w:r>
        <w:rPr>
          <w:rFonts w:hint="eastAsia" w:ascii="宋体" w:hAnsi="宋体"/>
          <w:b/>
          <w:bCs/>
          <w:color w:val="auto"/>
          <w:sz w:val="72"/>
          <w:szCs w:val="20"/>
          <w:highlight w:val="none"/>
        </w:rPr>
        <w:t>政府采购合同</w:t>
      </w:r>
      <w:bookmarkEnd w:id="160"/>
    </w:p>
    <w:p w14:paraId="5D5E87CB">
      <w:pPr>
        <w:pStyle w:val="9"/>
        <w:rPr>
          <w:rFonts w:hint="eastAsia" w:ascii="宋体" w:hAnsi="宋体"/>
          <w:b/>
          <w:bCs/>
          <w:color w:val="auto"/>
          <w:sz w:val="72"/>
          <w:szCs w:val="20"/>
          <w:highlight w:val="none"/>
        </w:rPr>
      </w:pPr>
    </w:p>
    <w:p w14:paraId="50E32030">
      <w:pPr>
        <w:rPr>
          <w:rFonts w:hint="eastAsia" w:ascii="宋体" w:hAnsi="宋体"/>
          <w:b/>
          <w:bCs/>
          <w:color w:val="auto"/>
          <w:sz w:val="72"/>
          <w:szCs w:val="20"/>
          <w:highlight w:val="none"/>
        </w:rPr>
      </w:pPr>
    </w:p>
    <w:p w14:paraId="6416AF5C">
      <w:pPr>
        <w:pStyle w:val="9"/>
        <w:rPr>
          <w:color w:val="auto"/>
          <w:highlight w:val="none"/>
        </w:rPr>
      </w:pPr>
    </w:p>
    <w:p w14:paraId="2757DB55">
      <w:pPr>
        <w:rPr>
          <w:color w:val="auto"/>
          <w:highlight w:val="none"/>
        </w:rPr>
      </w:pPr>
    </w:p>
    <w:p w14:paraId="11AF772C">
      <w:pPr>
        <w:tabs>
          <w:tab w:val="left" w:pos="5640"/>
        </w:tabs>
        <w:snapToGrid w:val="0"/>
        <w:spacing w:line="360" w:lineRule="auto"/>
        <w:ind w:left="1673" w:leftChars="32" w:hanging="1606" w:hangingChars="500"/>
        <w:jc w:val="left"/>
        <w:outlineLvl w:val="2"/>
        <w:rPr>
          <w:rFonts w:ascii="宋体" w:hAnsi="宋体"/>
          <w:b/>
          <w:bCs/>
          <w:color w:val="auto"/>
          <w:sz w:val="32"/>
          <w:szCs w:val="32"/>
          <w:highlight w:val="none"/>
        </w:rPr>
      </w:pPr>
      <w:r>
        <w:rPr>
          <w:rFonts w:hint="eastAsia" w:ascii="宋体" w:hAnsi="宋体"/>
          <w:b/>
          <w:bCs/>
          <w:color w:val="auto"/>
          <w:sz w:val="32"/>
          <w:szCs w:val="32"/>
          <w:highlight w:val="none"/>
        </w:rPr>
        <w:t xml:space="preserve">项目名称： </w:t>
      </w:r>
    </w:p>
    <w:p w14:paraId="74A6D9BF">
      <w:pPr>
        <w:tabs>
          <w:tab w:val="left" w:pos="5640"/>
        </w:tabs>
        <w:snapToGrid w:val="0"/>
        <w:spacing w:line="360" w:lineRule="auto"/>
        <w:ind w:left="1673" w:leftChars="32" w:hanging="1606" w:hangingChars="500"/>
        <w:jc w:val="left"/>
        <w:outlineLvl w:val="2"/>
        <w:rPr>
          <w:rFonts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2F1EA0C1">
      <w:pPr>
        <w:tabs>
          <w:tab w:val="left" w:pos="5640"/>
        </w:tabs>
        <w:snapToGrid w:val="0"/>
        <w:spacing w:line="360" w:lineRule="auto"/>
        <w:ind w:left="1673" w:leftChars="32" w:hanging="1606" w:hangingChars="500"/>
        <w:jc w:val="left"/>
        <w:outlineLvl w:val="2"/>
        <w:rPr>
          <w:rFonts w:ascii="宋体" w:hAnsi="宋体"/>
          <w:b/>
          <w:bCs/>
          <w:color w:val="auto"/>
          <w:sz w:val="32"/>
          <w:szCs w:val="32"/>
          <w:highlight w:val="none"/>
        </w:rPr>
      </w:pPr>
      <w:r>
        <w:rPr>
          <w:rFonts w:hint="eastAsia" w:ascii="宋体" w:hAnsi="宋体"/>
          <w:b/>
          <w:bCs/>
          <w:color w:val="auto"/>
          <w:sz w:val="32"/>
          <w:szCs w:val="32"/>
          <w:highlight w:val="none"/>
        </w:rPr>
        <w:t xml:space="preserve">采购计划文号： </w:t>
      </w:r>
    </w:p>
    <w:p w14:paraId="32CCDA0A">
      <w:pPr>
        <w:tabs>
          <w:tab w:val="left" w:pos="5640"/>
        </w:tabs>
        <w:snapToGrid w:val="0"/>
        <w:spacing w:line="360" w:lineRule="auto"/>
        <w:ind w:left="1673" w:leftChars="32" w:hanging="1606" w:hangingChars="500"/>
        <w:jc w:val="left"/>
        <w:outlineLvl w:val="2"/>
        <w:rPr>
          <w:rFonts w:ascii="宋体" w:hAnsi="宋体"/>
          <w:b/>
          <w:bCs/>
          <w:color w:val="auto"/>
          <w:sz w:val="32"/>
          <w:szCs w:val="32"/>
          <w:highlight w:val="none"/>
        </w:rPr>
      </w:pPr>
      <w:r>
        <w:rPr>
          <w:rFonts w:hint="eastAsia" w:ascii="宋体" w:hAnsi="宋体"/>
          <w:b/>
          <w:bCs/>
          <w:color w:val="auto"/>
          <w:sz w:val="32"/>
          <w:szCs w:val="32"/>
          <w:highlight w:val="none"/>
        </w:rPr>
        <w:t xml:space="preserve">合同编号： </w:t>
      </w:r>
    </w:p>
    <w:p w14:paraId="589EB603">
      <w:pPr>
        <w:tabs>
          <w:tab w:val="left" w:pos="2835"/>
        </w:tabs>
        <w:spacing w:line="360" w:lineRule="auto"/>
        <w:jc w:val="left"/>
        <w:rPr>
          <w:rFonts w:ascii="宋体" w:hAnsi="Courier New"/>
          <w:b/>
          <w:color w:val="auto"/>
          <w:sz w:val="30"/>
          <w:szCs w:val="30"/>
          <w:highlight w:val="none"/>
        </w:rPr>
      </w:pPr>
    </w:p>
    <w:p w14:paraId="5F7DAED8">
      <w:pPr>
        <w:tabs>
          <w:tab w:val="left" w:pos="2835"/>
        </w:tabs>
        <w:spacing w:line="360" w:lineRule="auto"/>
        <w:jc w:val="left"/>
        <w:rPr>
          <w:rFonts w:ascii="宋体" w:hAnsi="Courier New"/>
          <w:b/>
          <w:color w:val="auto"/>
          <w:sz w:val="30"/>
          <w:szCs w:val="30"/>
          <w:highlight w:val="none"/>
        </w:rPr>
      </w:pPr>
    </w:p>
    <w:p w14:paraId="5C7CE72A">
      <w:pPr>
        <w:pStyle w:val="9"/>
        <w:rPr>
          <w:color w:val="auto"/>
          <w:highlight w:val="none"/>
        </w:rPr>
      </w:pPr>
    </w:p>
    <w:p w14:paraId="069E992B">
      <w:pPr>
        <w:rPr>
          <w:color w:val="auto"/>
          <w:highlight w:val="none"/>
        </w:rPr>
      </w:pPr>
    </w:p>
    <w:p w14:paraId="4143A7A4">
      <w:pPr>
        <w:tabs>
          <w:tab w:val="left" w:pos="2835"/>
        </w:tabs>
        <w:spacing w:line="360" w:lineRule="auto"/>
        <w:jc w:val="left"/>
        <w:rPr>
          <w:rFonts w:ascii="宋体" w:hAnsi="Courier New"/>
          <w:b/>
          <w:color w:val="auto"/>
          <w:sz w:val="30"/>
          <w:szCs w:val="30"/>
          <w:highlight w:val="none"/>
        </w:rPr>
      </w:pPr>
    </w:p>
    <w:p w14:paraId="7793D941">
      <w:pPr>
        <w:spacing w:line="360" w:lineRule="auto"/>
        <w:ind w:left="178" w:leftChars="85" w:firstLine="480"/>
        <w:outlineLvl w:val="2"/>
        <w:rPr>
          <w:rFonts w:hint="default" w:eastAsia="宋体"/>
          <w:b/>
          <w:color w:val="auto"/>
          <w:sz w:val="36"/>
          <w:szCs w:val="36"/>
          <w:highlight w:val="none"/>
          <w:lang w:val="en-US" w:eastAsia="zh-CN"/>
        </w:rPr>
      </w:pPr>
      <w:r>
        <w:rPr>
          <w:rFonts w:hint="eastAsia"/>
          <w:b/>
          <w:color w:val="auto"/>
          <w:sz w:val="36"/>
          <w:szCs w:val="36"/>
          <w:highlight w:val="none"/>
        </w:rPr>
        <w:t>采购单位：</w:t>
      </w:r>
      <w:r>
        <w:rPr>
          <w:rFonts w:hint="eastAsia"/>
          <w:b/>
          <w:color w:val="auto"/>
          <w:sz w:val="36"/>
          <w:szCs w:val="36"/>
          <w:highlight w:val="none"/>
          <w:u w:val="single"/>
          <w:lang w:val="en-US" w:eastAsia="zh-CN"/>
        </w:rPr>
        <w:t xml:space="preserve">                  </w:t>
      </w:r>
    </w:p>
    <w:p w14:paraId="34A9F714">
      <w:pPr>
        <w:spacing w:line="360" w:lineRule="auto"/>
        <w:ind w:left="178" w:leftChars="85" w:firstLine="480"/>
        <w:outlineLvl w:val="2"/>
        <w:rPr>
          <w:b/>
          <w:color w:val="auto"/>
          <w:sz w:val="36"/>
          <w:szCs w:val="36"/>
          <w:highlight w:val="none"/>
          <w:u w:val="single"/>
        </w:rPr>
      </w:pPr>
      <w:r>
        <w:rPr>
          <w:rFonts w:hint="eastAsia"/>
          <w:b/>
          <w:color w:val="auto"/>
          <w:sz w:val="36"/>
          <w:szCs w:val="36"/>
          <w:highlight w:val="none"/>
        </w:rPr>
        <w:t>供 应 商：</w:t>
      </w:r>
      <w:r>
        <w:rPr>
          <w:rFonts w:hint="eastAsia"/>
          <w:color w:val="auto"/>
          <w:sz w:val="36"/>
          <w:szCs w:val="36"/>
          <w:highlight w:val="none"/>
          <w:u w:val="single"/>
        </w:rPr>
        <w:t xml:space="preserve">                    </w:t>
      </w:r>
    </w:p>
    <w:p w14:paraId="457F5359">
      <w:pPr>
        <w:tabs>
          <w:tab w:val="left" w:pos="2835"/>
        </w:tabs>
        <w:spacing w:line="400" w:lineRule="exact"/>
        <w:ind w:left="798" w:leftChars="380" w:firstLine="86" w:firstLineChars="31"/>
        <w:jc w:val="left"/>
        <w:rPr>
          <w:rFonts w:ascii="宋体" w:hAnsi="Courier New"/>
          <w:color w:val="auto"/>
          <w:sz w:val="28"/>
          <w:szCs w:val="28"/>
          <w:highlight w:val="none"/>
        </w:rPr>
      </w:pPr>
    </w:p>
    <w:p w14:paraId="34F872B7">
      <w:pPr>
        <w:keepNext/>
        <w:keepLines/>
        <w:spacing w:line="360" w:lineRule="auto"/>
        <w:jc w:val="center"/>
        <w:rPr>
          <w:rFonts w:ascii="宋体" w:hAnsi="宋体" w:cs="宋体"/>
          <w:color w:val="auto"/>
          <w:sz w:val="24"/>
          <w:highlight w:val="none"/>
        </w:rPr>
      </w:pPr>
      <w:r>
        <w:rPr>
          <w:rFonts w:hint="eastAsia" w:ascii="宋体" w:hAnsi="宋体" w:cs="宋体"/>
          <w:color w:val="auto"/>
          <w:szCs w:val="21"/>
          <w:highlight w:val="none"/>
          <w:lang w:bidi="ar"/>
        </w:rPr>
        <w:t>合同使用说明：根据《中华人民共和国政府采购法》《中华人民共和国民法典》等法律法规规定，</w:t>
      </w:r>
    </w:p>
    <w:p w14:paraId="0F40ED45">
      <w:pPr>
        <w:tabs>
          <w:tab w:val="left" w:pos="2835"/>
        </w:tabs>
        <w:spacing w:line="360" w:lineRule="auto"/>
        <w:ind w:left="798" w:leftChars="380" w:firstLine="65" w:firstLineChars="31"/>
        <w:jc w:val="left"/>
        <w:rPr>
          <w:rFonts w:ascii="宋体" w:hAnsi="Courier New"/>
          <w:color w:val="auto"/>
          <w:sz w:val="28"/>
          <w:szCs w:val="28"/>
          <w:highlight w:val="none"/>
        </w:rPr>
      </w:pPr>
      <w:r>
        <w:rPr>
          <w:rFonts w:hint="eastAsia" w:ascii="宋体" w:hAnsi="宋体" w:cs="宋体"/>
          <w:color w:val="auto"/>
          <w:szCs w:val="21"/>
          <w:highlight w:val="none"/>
          <w:lang w:bidi="ar"/>
        </w:rPr>
        <w:t>按照招标文件规定条款和中标人投标文件及其承诺，甲乙双方签订本合同。</w:t>
      </w:r>
    </w:p>
    <w:p w14:paraId="7A9108D7">
      <w:pPr>
        <w:pStyle w:val="11"/>
        <w:spacing w:line="360" w:lineRule="auto"/>
        <w:jc w:val="center"/>
        <w:rPr>
          <w:rStyle w:val="25"/>
          <w:b/>
          <w:color w:val="auto"/>
          <w:sz w:val="44"/>
          <w:szCs w:val="44"/>
          <w:highlight w:val="none"/>
        </w:rPr>
        <w:sectPr>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docGrid w:linePitch="331" w:charSpace="0"/>
        </w:sectPr>
      </w:pPr>
    </w:p>
    <w:p w14:paraId="55373956">
      <w:pPr>
        <w:rPr>
          <w:rStyle w:val="25"/>
          <w:rFonts w:hint="eastAsia"/>
          <w:b/>
          <w:color w:val="auto"/>
          <w:sz w:val="44"/>
          <w:szCs w:val="44"/>
          <w:highlight w:val="none"/>
        </w:rPr>
      </w:pPr>
    </w:p>
    <w:p w14:paraId="58DFC23F">
      <w:pPr>
        <w:pStyle w:val="11"/>
        <w:jc w:val="center"/>
        <w:rPr>
          <w:rStyle w:val="25"/>
          <w:rFonts w:hint="eastAsia"/>
          <w:b/>
          <w:color w:val="auto"/>
          <w:sz w:val="44"/>
          <w:szCs w:val="44"/>
          <w:highlight w:val="none"/>
        </w:rPr>
      </w:pPr>
    </w:p>
    <w:p w14:paraId="152CB06B">
      <w:pPr>
        <w:pStyle w:val="11"/>
        <w:jc w:val="center"/>
        <w:rPr>
          <w:rStyle w:val="25"/>
          <w:rFonts w:hint="eastAsia"/>
          <w:b/>
          <w:color w:val="auto"/>
          <w:sz w:val="44"/>
          <w:szCs w:val="44"/>
          <w:highlight w:val="none"/>
        </w:rPr>
      </w:pPr>
      <w:r>
        <w:rPr>
          <w:rStyle w:val="25"/>
          <w:rFonts w:hint="eastAsia"/>
          <w:b/>
          <w:color w:val="auto"/>
          <w:sz w:val="44"/>
          <w:szCs w:val="44"/>
          <w:highlight w:val="none"/>
        </w:rPr>
        <w:t>目  录</w:t>
      </w:r>
    </w:p>
    <w:p w14:paraId="4FCE0973">
      <w:pPr>
        <w:pStyle w:val="11"/>
        <w:jc w:val="center"/>
        <w:rPr>
          <w:rStyle w:val="25"/>
          <w:rFonts w:hint="eastAsia"/>
          <w:b/>
          <w:color w:val="auto"/>
          <w:sz w:val="44"/>
          <w:szCs w:val="44"/>
          <w:highlight w:val="none"/>
        </w:rPr>
      </w:pPr>
    </w:p>
    <w:p w14:paraId="6019FA29">
      <w:pPr>
        <w:pStyle w:val="11"/>
        <w:jc w:val="center"/>
        <w:rPr>
          <w:rStyle w:val="25"/>
          <w:rFonts w:hint="eastAsia"/>
          <w:b/>
          <w:color w:val="auto"/>
          <w:sz w:val="44"/>
          <w:szCs w:val="44"/>
          <w:highlight w:val="none"/>
        </w:rPr>
      </w:pPr>
    </w:p>
    <w:p w14:paraId="789BFA5C">
      <w:pPr>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rPr>
        <w:t>一、采购合同文本</w:t>
      </w:r>
    </w:p>
    <w:p w14:paraId="42393F71">
      <w:pPr>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二</w:t>
      </w:r>
      <w:r>
        <w:rPr>
          <w:rFonts w:hint="eastAsia" w:ascii="宋体" w:hAnsi="宋体" w:cs="宋体"/>
          <w:b/>
          <w:color w:val="auto"/>
          <w:sz w:val="30"/>
          <w:szCs w:val="30"/>
          <w:highlight w:val="none"/>
        </w:rPr>
        <w:t>、合同附件</w:t>
      </w:r>
    </w:p>
    <w:p w14:paraId="1F31A305">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中标通知书</w:t>
      </w:r>
    </w:p>
    <w:p w14:paraId="0474961D">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项目采购需求</w:t>
      </w:r>
      <w:r>
        <w:rPr>
          <w:rFonts w:hint="eastAsia" w:ascii="宋体" w:hAnsi="宋体" w:cs="宋体"/>
          <w:color w:val="auto"/>
          <w:sz w:val="28"/>
          <w:szCs w:val="28"/>
          <w:highlight w:val="none"/>
          <w:lang w:val="en-US" w:eastAsia="zh-CN"/>
        </w:rPr>
        <w:t>一览表</w:t>
      </w:r>
    </w:p>
    <w:p w14:paraId="61D27E17">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采购文件的更改通知（如有）</w:t>
      </w:r>
    </w:p>
    <w:p w14:paraId="7FA4C5D8">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投标函</w:t>
      </w:r>
    </w:p>
    <w:p w14:paraId="17A9770F">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开标一览表</w:t>
      </w:r>
    </w:p>
    <w:p w14:paraId="4A1A4A22">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技术需求偏离表、商务条款偏离表</w:t>
      </w:r>
    </w:p>
    <w:p w14:paraId="2AC223ED">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中标人澄清函（如有）</w:t>
      </w:r>
    </w:p>
    <w:p w14:paraId="4C4E553F">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中小企业声明函等（如有）</w:t>
      </w:r>
    </w:p>
    <w:p w14:paraId="3FA51756">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其他材料</w:t>
      </w:r>
    </w:p>
    <w:p w14:paraId="122A9AF1">
      <w:pPr>
        <w:rPr>
          <w:color w:val="auto"/>
          <w:highlight w:val="none"/>
        </w:rPr>
      </w:pPr>
    </w:p>
    <w:p w14:paraId="16A44AE8">
      <w:pPr>
        <w:pStyle w:val="9"/>
        <w:rPr>
          <w:rFonts w:hint="eastAsia"/>
          <w:color w:val="auto"/>
          <w:highlight w:val="none"/>
        </w:rPr>
      </w:pPr>
      <w:bookmarkStart w:id="161" w:name="_Hlk55381736"/>
    </w:p>
    <w:p w14:paraId="0052D6B8">
      <w:pPr>
        <w:pStyle w:val="9"/>
        <w:rPr>
          <w:rFonts w:hint="eastAsia"/>
          <w:color w:val="auto"/>
          <w:highlight w:val="none"/>
        </w:rPr>
      </w:pPr>
    </w:p>
    <w:p w14:paraId="25ACEBFF">
      <w:pPr>
        <w:rPr>
          <w:rFonts w:hint="eastAsia"/>
          <w:color w:val="auto"/>
          <w:highlight w:val="none"/>
        </w:rPr>
      </w:pPr>
    </w:p>
    <w:p w14:paraId="696431FF">
      <w:pPr>
        <w:pStyle w:val="9"/>
        <w:rPr>
          <w:rFonts w:hint="eastAsia"/>
          <w:color w:val="auto"/>
          <w:highlight w:val="none"/>
        </w:rPr>
      </w:pPr>
    </w:p>
    <w:p w14:paraId="6B03CAB5">
      <w:pPr>
        <w:rPr>
          <w:rFonts w:hint="eastAsia"/>
          <w:color w:val="auto"/>
          <w:highlight w:val="none"/>
        </w:rPr>
      </w:pPr>
    </w:p>
    <w:p w14:paraId="45448146">
      <w:pPr>
        <w:pStyle w:val="9"/>
        <w:rPr>
          <w:rFonts w:hint="eastAsia"/>
          <w:color w:val="auto"/>
          <w:highlight w:val="none"/>
        </w:rPr>
      </w:pPr>
    </w:p>
    <w:p w14:paraId="30F57D9F">
      <w:pPr>
        <w:rPr>
          <w:rFonts w:hint="eastAsia"/>
          <w:color w:val="auto"/>
          <w:highlight w:val="none"/>
        </w:rPr>
      </w:pPr>
    </w:p>
    <w:p w14:paraId="3D8F0B37">
      <w:pPr>
        <w:pStyle w:val="9"/>
        <w:rPr>
          <w:rFonts w:hint="eastAsia"/>
          <w:color w:val="auto"/>
          <w:highlight w:val="none"/>
        </w:rPr>
      </w:pPr>
    </w:p>
    <w:p w14:paraId="1F40D44E">
      <w:pPr>
        <w:rPr>
          <w:rFonts w:hint="eastAsia"/>
          <w:color w:val="auto"/>
          <w:highlight w:val="none"/>
        </w:rPr>
      </w:pPr>
    </w:p>
    <w:p w14:paraId="6771F946">
      <w:pPr>
        <w:pStyle w:val="9"/>
        <w:rPr>
          <w:rFonts w:hint="eastAsia"/>
          <w:color w:val="auto"/>
          <w:highlight w:val="none"/>
        </w:rPr>
      </w:pPr>
    </w:p>
    <w:p w14:paraId="78D79DD8">
      <w:pPr>
        <w:rPr>
          <w:rFonts w:hint="eastAsia"/>
          <w:color w:val="auto"/>
          <w:highlight w:val="none"/>
        </w:rPr>
      </w:pPr>
    </w:p>
    <w:p w14:paraId="65C77BA6">
      <w:pPr>
        <w:pStyle w:val="9"/>
        <w:rPr>
          <w:rFonts w:hint="eastAsia"/>
          <w:color w:val="auto"/>
          <w:highlight w:val="none"/>
        </w:rPr>
      </w:pPr>
    </w:p>
    <w:p w14:paraId="63254FFC">
      <w:pPr>
        <w:rPr>
          <w:rFonts w:hint="eastAsia"/>
          <w:color w:val="auto"/>
          <w:highlight w:val="none"/>
        </w:rPr>
      </w:pPr>
    </w:p>
    <w:p w14:paraId="3D64431B">
      <w:pPr>
        <w:pStyle w:val="9"/>
        <w:rPr>
          <w:rFonts w:hint="eastAsia"/>
          <w:color w:val="auto"/>
          <w:highlight w:val="none"/>
        </w:rPr>
      </w:pPr>
    </w:p>
    <w:p w14:paraId="1326FD63">
      <w:pPr>
        <w:rPr>
          <w:rFonts w:hint="eastAsia"/>
          <w:color w:val="auto"/>
          <w:highlight w:val="none"/>
        </w:rPr>
      </w:pPr>
    </w:p>
    <w:p w14:paraId="5E5F59BF">
      <w:pPr>
        <w:pStyle w:val="9"/>
        <w:rPr>
          <w:rFonts w:hint="eastAsia"/>
          <w:color w:val="auto"/>
          <w:highlight w:val="none"/>
        </w:rPr>
      </w:pPr>
    </w:p>
    <w:p w14:paraId="1FC68792">
      <w:pPr>
        <w:rPr>
          <w:color w:val="auto"/>
          <w:highlight w:val="none"/>
        </w:rPr>
      </w:pPr>
    </w:p>
    <w:bookmarkEnd w:id="161"/>
    <w:p w14:paraId="6CF13077">
      <w:pPr>
        <w:snapToGrid w:val="0"/>
        <w:spacing w:line="400" w:lineRule="exact"/>
        <w:jc w:val="center"/>
        <w:outlineLvl w:val="2"/>
        <w:rPr>
          <w:rFonts w:hint="eastAsia" w:ascii="宋体" w:hAnsi="宋体" w:cs="宋体"/>
          <w:b/>
          <w:bCs/>
          <w:color w:val="auto"/>
          <w:sz w:val="32"/>
          <w:szCs w:val="32"/>
          <w:highlight w:val="none"/>
        </w:rPr>
      </w:pPr>
      <w:bookmarkStart w:id="162" w:name="_Toc105771723"/>
      <w:r>
        <w:rPr>
          <w:rFonts w:hint="eastAsia" w:ascii="宋体" w:hAnsi="宋体" w:cs="宋体"/>
          <w:b/>
          <w:bCs/>
          <w:color w:val="auto"/>
          <w:sz w:val="32"/>
          <w:szCs w:val="32"/>
          <w:highlight w:val="none"/>
        </w:rPr>
        <w:t>合同文本</w:t>
      </w:r>
    </w:p>
    <w:p w14:paraId="68F56B83">
      <w:pPr>
        <w:pStyle w:val="9"/>
        <w:rPr>
          <w:rFonts w:hint="eastAsia"/>
          <w:color w:val="auto"/>
          <w:highlight w:val="none"/>
        </w:rPr>
      </w:pPr>
    </w:p>
    <w:p w14:paraId="5F9E8BA8">
      <w:pPr>
        <w:pStyle w:val="9"/>
        <w:ind w:firstLine="5880" w:firstLineChars="2800"/>
        <w:rPr>
          <w:rFonts w:hint="eastAsia"/>
          <w:color w:val="auto"/>
          <w:highlight w:val="none"/>
        </w:rPr>
      </w:pPr>
      <w:r>
        <w:rPr>
          <w:rFonts w:hint="eastAsia"/>
          <w:color w:val="auto"/>
          <w:highlight w:val="none"/>
        </w:rPr>
        <w:t>合同编号：</w:t>
      </w:r>
    </w:p>
    <w:p w14:paraId="1F6F6280">
      <w:pPr>
        <w:rPr>
          <w:rFonts w:hint="eastAsia"/>
          <w:color w:val="auto"/>
          <w:highlight w:val="none"/>
        </w:rPr>
      </w:pPr>
    </w:p>
    <w:p w14:paraId="5CF37930">
      <w:pPr>
        <w:spacing w:line="440" w:lineRule="exact"/>
        <w:ind w:right="800"/>
        <w:rPr>
          <w:rFonts w:hint="eastAsia"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1060574">
      <w:pPr>
        <w:spacing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26DE4A0">
      <w:pPr>
        <w:spacing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p w14:paraId="39B35FF1">
      <w:pPr>
        <w:spacing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5D181608">
      <w:pPr>
        <w:spacing w:line="440" w:lineRule="exact"/>
        <w:ind w:firstLine="420" w:firstLineChars="200"/>
        <w:rPr>
          <w:rFonts w:hint="eastAsia" w:ascii="宋体" w:hAnsi="宋体" w:cs="宋体"/>
          <w:color w:val="auto"/>
          <w:szCs w:val="21"/>
          <w:highlight w:val="none"/>
        </w:rPr>
      </w:pPr>
    </w:p>
    <w:p w14:paraId="44A3DE7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根据《中华人民共和国政府采购法》、《中华人民共和国民法典》等法律、法规规定，按照招标文件规定条款和乙方投标文件及其承诺，甲乙双方签订本合同。</w:t>
      </w:r>
    </w:p>
    <w:p w14:paraId="02683A91">
      <w:pPr>
        <w:keepNext w:val="0"/>
        <w:keepLines w:val="0"/>
        <w:pageBreakBefore w:val="0"/>
        <w:widowControl w:val="0"/>
        <w:kinsoku/>
        <w:wordWrap/>
        <w:overflowPunct/>
        <w:topLinePunct w:val="0"/>
        <w:autoSpaceDE/>
        <w:autoSpaceDN/>
        <w:bidi w:val="0"/>
        <w:adjustRightInd/>
        <w:snapToGrid/>
        <w:spacing w:before="0" w:after="0" w:line="440" w:lineRule="exact"/>
        <w:ind w:left="420" w:leftChars="200"/>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第一条　合同标的</w:t>
      </w:r>
    </w:p>
    <w:p w14:paraId="011A446B">
      <w:pPr>
        <w:numPr>
          <w:ilvl w:val="0"/>
          <w:numId w:val="0"/>
        </w:numPr>
        <w:spacing w:line="440" w:lineRule="exact"/>
        <w:ind w:leftChars="0"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标的内容：</w:t>
      </w:r>
    </w:p>
    <w:tbl>
      <w:tblPr>
        <w:tblStyle w:val="18"/>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230"/>
        <w:gridCol w:w="2113"/>
        <w:gridCol w:w="1660"/>
        <w:gridCol w:w="1920"/>
        <w:gridCol w:w="1272"/>
      </w:tblGrid>
      <w:tr w14:paraId="6BE1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20271D9A">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序号</w:t>
            </w:r>
          </w:p>
        </w:tc>
        <w:tc>
          <w:tcPr>
            <w:tcW w:w="2230" w:type="dxa"/>
            <w:tcBorders>
              <w:top w:val="single" w:color="auto" w:sz="4" w:space="0"/>
              <w:left w:val="single" w:color="auto" w:sz="4" w:space="0"/>
              <w:bottom w:val="single" w:color="auto" w:sz="4" w:space="0"/>
              <w:right w:val="single" w:color="auto" w:sz="4" w:space="0"/>
            </w:tcBorders>
            <w:vAlign w:val="center"/>
          </w:tcPr>
          <w:p w14:paraId="04EF1F22">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标的名称</w:t>
            </w:r>
          </w:p>
        </w:tc>
        <w:tc>
          <w:tcPr>
            <w:tcW w:w="2113" w:type="dxa"/>
            <w:tcBorders>
              <w:top w:val="single" w:color="auto" w:sz="4" w:space="0"/>
              <w:left w:val="single" w:color="auto" w:sz="4" w:space="0"/>
              <w:bottom w:val="single" w:color="auto" w:sz="4" w:space="0"/>
              <w:right w:val="single" w:color="auto" w:sz="4" w:space="0"/>
            </w:tcBorders>
            <w:vAlign w:val="center"/>
          </w:tcPr>
          <w:p w14:paraId="6E65D3FF">
            <w:pPr>
              <w:spacing w:line="400" w:lineRule="exact"/>
              <w:jc w:val="center"/>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rPr>
              <w:t>数量</w:t>
            </w:r>
            <w:r>
              <w:rPr>
                <w:rFonts w:hint="eastAsia" w:ascii="宋体" w:hAnsi="宋体"/>
                <w:color w:val="auto"/>
                <w:sz w:val="22"/>
                <w:szCs w:val="22"/>
                <w:highlight w:val="none"/>
                <w:lang w:val="en-US" w:eastAsia="zh-CN"/>
              </w:rPr>
              <w:t>及单位</w:t>
            </w:r>
          </w:p>
        </w:tc>
        <w:tc>
          <w:tcPr>
            <w:tcW w:w="1660" w:type="dxa"/>
            <w:tcBorders>
              <w:top w:val="single" w:color="auto" w:sz="4" w:space="0"/>
              <w:left w:val="single" w:color="auto" w:sz="4" w:space="0"/>
              <w:bottom w:val="single" w:color="auto" w:sz="4" w:space="0"/>
              <w:right w:val="single" w:color="auto" w:sz="4" w:space="0"/>
            </w:tcBorders>
            <w:vAlign w:val="center"/>
          </w:tcPr>
          <w:p w14:paraId="570A9A51">
            <w:pPr>
              <w:spacing w:line="400" w:lineRule="exact"/>
              <w:jc w:val="center"/>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单价（元）</w:t>
            </w:r>
          </w:p>
        </w:tc>
        <w:tc>
          <w:tcPr>
            <w:tcW w:w="1920" w:type="dxa"/>
            <w:tcBorders>
              <w:top w:val="single" w:color="auto" w:sz="4" w:space="0"/>
              <w:left w:val="single" w:color="auto" w:sz="4" w:space="0"/>
              <w:bottom w:val="single" w:color="auto" w:sz="4" w:space="0"/>
              <w:right w:val="single" w:color="auto" w:sz="4" w:space="0"/>
            </w:tcBorders>
            <w:vAlign w:val="center"/>
          </w:tcPr>
          <w:p w14:paraId="0DA011A9">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单项合价（元）</w:t>
            </w:r>
          </w:p>
        </w:tc>
        <w:tc>
          <w:tcPr>
            <w:tcW w:w="1272" w:type="dxa"/>
            <w:tcBorders>
              <w:top w:val="single" w:color="auto" w:sz="4" w:space="0"/>
              <w:left w:val="single" w:color="auto" w:sz="4" w:space="0"/>
              <w:bottom w:val="single" w:color="auto" w:sz="4" w:space="0"/>
              <w:right w:val="single" w:color="auto" w:sz="4" w:space="0"/>
            </w:tcBorders>
            <w:vAlign w:val="center"/>
          </w:tcPr>
          <w:p w14:paraId="725FB8A0">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备注</w:t>
            </w:r>
          </w:p>
        </w:tc>
      </w:tr>
      <w:tr w14:paraId="145D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71372478">
            <w:pPr>
              <w:spacing w:line="400" w:lineRule="exact"/>
              <w:rPr>
                <w:rFonts w:ascii="宋体" w:hAnsi="宋体"/>
                <w:color w:val="auto"/>
                <w:sz w:val="22"/>
                <w:szCs w:val="22"/>
                <w:highlight w:val="none"/>
              </w:rPr>
            </w:pPr>
            <w:r>
              <w:rPr>
                <w:rFonts w:ascii="宋体" w:hAnsi="宋体"/>
                <w:color w:val="auto"/>
                <w:sz w:val="22"/>
                <w:szCs w:val="22"/>
                <w:highlight w:val="none"/>
              </w:rPr>
              <w:t>1</w:t>
            </w:r>
          </w:p>
        </w:tc>
        <w:tc>
          <w:tcPr>
            <w:tcW w:w="2230" w:type="dxa"/>
            <w:tcBorders>
              <w:top w:val="single" w:color="auto" w:sz="4" w:space="0"/>
              <w:left w:val="single" w:color="auto" w:sz="4" w:space="0"/>
              <w:bottom w:val="single" w:color="auto" w:sz="4" w:space="0"/>
              <w:right w:val="single" w:color="auto" w:sz="4" w:space="0"/>
            </w:tcBorders>
            <w:vAlign w:val="center"/>
          </w:tcPr>
          <w:p w14:paraId="73A66217">
            <w:pPr>
              <w:spacing w:line="400" w:lineRule="exact"/>
              <w:jc w:val="left"/>
              <w:rPr>
                <w:rFonts w:ascii="宋体" w:hAnsi="宋体"/>
                <w:color w:val="auto"/>
                <w:sz w:val="22"/>
                <w:szCs w:val="22"/>
                <w:highlight w:val="none"/>
              </w:rPr>
            </w:pPr>
            <w:r>
              <w:rPr>
                <w:rFonts w:hint="eastAsia" w:ascii="宋体" w:hAnsi="宋体"/>
                <w:color w:val="auto"/>
                <w:sz w:val="22"/>
                <w:szCs w:val="22"/>
                <w:highlight w:val="none"/>
                <w:lang w:eastAsia="zh-CN"/>
              </w:rPr>
              <w:t>309项目</w:t>
            </w:r>
            <w:r>
              <w:rPr>
                <w:rFonts w:hint="eastAsia" w:ascii="宋体" w:hAnsi="宋体"/>
                <w:color w:val="auto"/>
                <w:sz w:val="22"/>
                <w:szCs w:val="22"/>
                <w:highlight w:val="none"/>
              </w:rPr>
              <w:t>A部分</w:t>
            </w:r>
          </w:p>
        </w:tc>
        <w:tc>
          <w:tcPr>
            <w:tcW w:w="2113" w:type="dxa"/>
            <w:tcBorders>
              <w:top w:val="single" w:color="auto" w:sz="4" w:space="0"/>
              <w:left w:val="single" w:color="auto" w:sz="4" w:space="0"/>
              <w:bottom w:val="single" w:color="auto" w:sz="4" w:space="0"/>
              <w:right w:val="single" w:color="auto" w:sz="4" w:space="0"/>
            </w:tcBorders>
            <w:vAlign w:val="center"/>
          </w:tcPr>
          <w:p w14:paraId="0C346612">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lang w:val="en-US" w:eastAsia="zh-CN"/>
              </w:rPr>
              <w:t>1项</w:t>
            </w:r>
          </w:p>
        </w:tc>
        <w:tc>
          <w:tcPr>
            <w:tcW w:w="1660" w:type="dxa"/>
            <w:tcBorders>
              <w:top w:val="single" w:color="auto" w:sz="4" w:space="0"/>
              <w:left w:val="single" w:color="auto" w:sz="4" w:space="0"/>
              <w:bottom w:val="single" w:color="auto" w:sz="4" w:space="0"/>
              <w:right w:val="single" w:color="auto" w:sz="4" w:space="0"/>
            </w:tcBorders>
            <w:vAlign w:val="center"/>
          </w:tcPr>
          <w:p w14:paraId="58CCA1CD">
            <w:pPr>
              <w:spacing w:line="400" w:lineRule="exact"/>
              <w:rPr>
                <w:rFonts w:ascii="宋体" w:hAnsi="宋体"/>
                <w:color w:val="auto"/>
                <w:sz w:val="22"/>
                <w:szCs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02B90FA9">
            <w:pPr>
              <w:spacing w:line="400" w:lineRule="exact"/>
              <w:rPr>
                <w:rFonts w:ascii="宋体" w:hAnsi="宋体"/>
                <w:color w:val="auto"/>
                <w:sz w:val="22"/>
                <w:szCs w:val="22"/>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8CE6FF5">
            <w:pPr>
              <w:spacing w:line="400" w:lineRule="exact"/>
              <w:rPr>
                <w:rFonts w:ascii="宋体" w:hAnsi="宋体"/>
                <w:color w:val="auto"/>
                <w:sz w:val="22"/>
                <w:szCs w:val="22"/>
                <w:highlight w:val="none"/>
              </w:rPr>
            </w:pPr>
          </w:p>
        </w:tc>
      </w:tr>
      <w:tr w14:paraId="407D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17DF2516">
            <w:pPr>
              <w:spacing w:line="400" w:lineRule="exact"/>
              <w:rPr>
                <w:rFonts w:ascii="宋体" w:hAnsi="宋体"/>
                <w:color w:val="auto"/>
                <w:sz w:val="22"/>
                <w:szCs w:val="22"/>
                <w:highlight w:val="none"/>
              </w:rPr>
            </w:pPr>
            <w:r>
              <w:rPr>
                <w:rFonts w:hint="eastAsia" w:ascii="宋体" w:hAnsi="宋体"/>
                <w:color w:val="auto"/>
                <w:sz w:val="22"/>
                <w:szCs w:val="22"/>
                <w:highlight w:val="none"/>
              </w:rPr>
              <w:t>2</w:t>
            </w:r>
          </w:p>
        </w:tc>
        <w:tc>
          <w:tcPr>
            <w:tcW w:w="2230" w:type="dxa"/>
            <w:tcBorders>
              <w:top w:val="single" w:color="auto" w:sz="4" w:space="0"/>
              <w:left w:val="single" w:color="auto" w:sz="4" w:space="0"/>
              <w:bottom w:val="single" w:color="auto" w:sz="4" w:space="0"/>
              <w:right w:val="single" w:color="auto" w:sz="4" w:space="0"/>
            </w:tcBorders>
            <w:vAlign w:val="center"/>
          </w:tcPr>
          <w:p w14:paraId="76F3CF7B">
            <w:pPr>
              <w:keepNext w:val="0"/>
              <w:keepLines w:val="0"/>
              <w:widowControl/>
              <w:suppressLineNumbers w:val="0"/>
              <w:jc w:val="both"/>
              <w:textAlignment w:val="center"/>
              <w:rPr>
                <w:rFonts w:ascii="宋体" w:hAnsi="宋体"/>
                <w:color w:val="auto"/>
                <w:sz w:val="22"/>
                <w:szCs w:val="22"/>
                <w:highlight w:val="none"/>
              </w:rPr>
            </w:pPr>
            <w:r>
              <w:rPr>
                <w:rFonts w:hint="eastAsia" w:ascii="宋体" w:hAnsi="宋体" w:eastAsia="宋体" w:cs="宋体"/>
                <w:i w:val="0"/>
                <w:iCs w:val="0"/>
                <w:color w:val="auto"/>
                <w:kern w:val="0"/>
                <w:sz w:val="24"/>
                <w:szCs w:val="24"/>
                <w:highlight w:val="none"/>
                <w:u w:val="none"/>
                <w:lang w:val="en-US" w:eastAsia="zh-CN" w:bidi="ar"/>
              </w:rPr>
              <w:t>网络安全等级保护测评服务</w:t>
            </w:r>
          </w:p>
        </w:tc>
        <w:tc>
          <w:tcPr>
            <w:tcW w:w="2113" w:type="dxa"/>
            <w:tcBorders>
              <w:top w:val="single" w:color="auto" w:sz="4" w:space="0"/>
              <w:left w:val="single" w:color="auto" w:sz="4" w:space="0"/>
              <w:bottom w:val="single" w:color="auto" w:sz="4" w:space="0"/>
              <w:right w:val="single" w:color="auto" w:sz="4" w:space="0"/>
            </w:tcBorders>
            <w:vAlign w:val="center"/>
          </w:tcPr>
          <w:p w14:paraId="7DE4CD63">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lang w:val="en-US" w:eastAsia="zh-CN"/>
              </w:rPr>
              <w:t>1项</w:t>
            </w:r>
          </w:p>
        </w:tc>
        <w:tc>
          <w:tcPr>
            <w:tcW w:w="1660" w:type="dxa"/>
            <w:tcBorders>
              <w:top w:val="single" w:color="auto" w:sz="4" w:space="0"/>
              <w:left w:val="single" w:color="auto" w:sz="4" w:space="0"/>
              <w:bottom w:val="single" w:color="auto" w:sz="4" w:space="0"/>
              <w:right w:val="single" w:color="auto" w:sz="4" w:space="0"/>
            </w:tcBorders>
            <w:vAlign w:val="center"/>
          </w:tcPr>
          <w:p w14:paraId="7F525059">
            <w:pPr>
              <w:spacing w:line="400" w:lineRule="exact"/>
              <w:rPr>
                <w:rFonts w:ascii="宋体" w:hAnsi="宋体"/>
                <w:color w:val="auto"/>
                <w:sz w:val="22"/>
                <w:szCs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3422481F">
            <w:pPr>
              <w:spacing w:line="400" w:lineRule="exact"/>
              <w:rPr>
                <w:rFonts w:ascii="宋体" w:hAnsi="宋体"/>
                <w:color w:val="auto"/>
                <w:sz w:val="22"/>
                <w:szCs w:val="22"/>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B4CE9A3">
            <w:pPr>
              <w:spacing w:line="400" w:lineRule="exact"/>
              <w:rPr>
                <w:rFonts w:ascii="宋体" w:hAnsi="宋体"/>
                <w:color w:val="auto"/>
                <w:sz w:val="22"/>
                <w:szCs w:val="22"/>
                <w:highlight w:val="none"/>
              </w:rPr>
            </w:pPr>
          </w:p>
        </w:tc>
      </w:tr>
      <w:tr w14:paraId="7E20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79DD8A77">
            <w:pPr>
              <w:spacing w:line="400" w:lineRule="exact"/>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3</w:t>
            </w:r>
          </w:p>
        </w:tc>
        <w:tc>
          <w:tcPr>
            <w:tcW w:w="2230" w:type="dxa"/>
            <w:tcBorders>
              <w:top w:val="single" w:color="auto" w:sz="4" w:space="0"/>
              <w:left w:val="single" w:color="auto" w:sz="4" w:space="0"/>
              <w:bottom w:val="single" w:color="auto" w:sz="4" w:space="0"/>
              <w:right w:val="single" w:color="auto" w:sz="4" w:space="0"/>
            </w:tcBorders>
            <w:vAlign w:val="center"/>
          </w:tcPr>
          <w:p w14:paraId="10AB5719">
            <w:pPr>
              <w:keepNext w:val="0"/>
              <w:keepLines w:val="0"/>
              <w:widowControl/>
              <w:suppressLineNumbers w:val="0"/>
              <w:jc w:val="both"/>
              <w:textAlignment w:val="center"/>
              <w:rPr>
                <w:rFonts w:ascii="宋体" w:hAnsi="宋体"/>
                <w:color w:val="auto"/>
                <w:sz w:val="22"/>
                <w:szCs w:val="22"/>
                <w:highlight w:val="none"/>
              </w:rPr>
            </w:pPr>
            <w:r>
              <w:rPr>
                <w:rFonts w:hint="eastAsia" w:ascii="宋体" w:hAnsi="宋体" w:eastAsia="宋体" w:cs="宋体"/>
                <w:i w:val="0"/>
                <w:iCs w:val="0"/>
                <w:color w:val="auto"/>
                <w:kern w:val="0"/>
                <w:sz w:val="24"/>
                <w:szCs w:val="24"/>
                <w:highlight w:val="none"/>
                <w:u w:val="none"/>
                <w:lang w:val="en-US" w:eastAsia="zh-CN" w:bidi="ar"/>
              </w:rPr>
              <w:t>商用密码应用安全性评估服务</w:t>
            </w:r>
          </w:p>
        </w:tc>
        <w:tc>
          <w:tcPr>
            <w:tcW w:w="2113" w:type="dxa"/>
            <w:tcBorders>
              <w:top w:val="single" w:color="auto" w:sz="4" w:space="0"/>
              <w:left w:val="single" w:color="auto" w:sz="4" w:space="0"/>
              <w:bottom w:val="single" w:color="auto" w:sz="4" w:space="0"/>
              <w:right w:val="single" w:color="auto" w:sz="4" w:space="0"/>
            </w:tcBorders>
            <w:vAlign w:val="center"/>
          </w:tcPr>
          <w:p w14:paraId="40039251">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lang w:val="en-US" w:eastAsia="zh-CN"/>
              </w:rPr>
              <w:t>1项</w:t>
            </w:r>
          </w:p>
        </w:tc>
        <w:tc>
          <w:tcPr>
            <w:tcW w:w="1660" w:type="dxa"/>
            <w:tcBorders>
              <w:top w:val="single" w:color="auto" w:sz="4" w:space="0"/>
              <w:left w:val="single" w:color="auto" w:sz="4" w:space="0"/>
              <w:bottom w:val="single" w:color="auto" w:sz="4" w:space="0"/>
              <w:right w:val="single" w:color="auto" w:sz="4" w:space="0"/>
            </w:tcBorders>
            <w:vAlign w:val="center"/>
          </w:tcPr>
          <w:p w14:paraId="5EF8C7FE">
            <w:pPr>
              <w:spacing w:line="400" w:lineRule="exact"/>
              <w:rPr>
                <w:rFonts w:ascii="宋体" w:hAnsi="宋体"/>
                <w:color w:val="auto"/>
                <w:sz w:val="22"/>
                <w:szCs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7B7B6FA4">
            <w:pPr>
              <w:spacing w:line="400" w:lineRule="exact"/>
              <w:rPr>
                <w:rFonts w:ascii="宋体" w:hAnsi="宋体"/>
                <w:color w:val="auto"/>
                <w:sz w:val="22"/>
                <w:szCs w:val="22"/>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D840160">
            <w:pPr>
              <w:spacing w:line="400" w:lineRule="exact"/>
              <w:rPr>
                <w:rFonts w:ascii="宋体" w:hAnsi="宋体"/>
                <w:color w:val="auto"/>
                <w:sz w:val="22"/>
                <w:szCs w:val="22"/>
                <w:highlight w:val="none"/>
              </w:rPr>
            </w:pPr>
          </w:p>
        </w:tc>
      </w:tr>
      <w:tr w14:paraId="5849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3BAE61FC">
            <w:pPr>
              <w:spacing w:line="400" w:lineRule="exact"/>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4</w:t>
            </w:r>
          </w:p>
        </w:tc>
        <w:tc>
          <w:tcPr>
            <w:tcW w:w="2230" w:type="dxa"/>
            <w:tcBorders>
              <w:top w:val="single" w:color="auto" w:sz="4" w:space="0"/>
              <w:left w:val="single" w:color="auto" w:sz="4" w:space="0"/>
              <w:bottom w:val="single" w:color="auto" w:sz="4" w:space="0"/>
              <w:right w:val="single" w:color="auto" w:sz="4" w:space="0"/>
            </w:tcBorders>
            <w:vAlign w:val="center"/>
          </w:tcPr>
          <w:p w14:paraId="569D347A">
            <w:pPr>
              <w:keepNext w:val="0"/>
              <w:keepLines w:val="0"/>
              <w:widowControl/>
              <w:suppressLineNumbers w:val="0"/>
              <w:jc w:val="both"/>
              <w:textAlignment w:val="center"/>
              <w:rPr>
                <w:rFonts w:ascii="宋体" w:hAnsi="宋体"/>
                <w:color w:val="auto"/>
                <w:sz w:val="22"/>
                <w:szCs w:val="22"/>
                <w:highlight w:val="none"/>
              </w:rPr>
            </w:pPr>
            <w:r>
              <w:rPr>
                <w:rFonts w:hint="eastAsia" w:ascii="宋体" w:hAnsi="宋体" w:eastAsia="宋体" w:cs="宋体"/>
                <w:i w:val="0"/>
                <w:iCs w:val="0"/>
                <w:color w:val="auto"/>
                <w:kern w:val="0"/>
                <w:sz w:val="24"/>
                <w:szCs w:val="24"/>
                <w:highlight w:val="none"/>
                <w:u w:val="none"/>
                <w:lang w:val="en-US" w:eastAsia="zh-CN" w:bidi="ar"/>
              </w:rPr>
              <w:t>第三方测评服务</w:t>
            </w:r>
          </w:p>
        </w:tc>
        <w:tc>
          <w:tcPr>
            <w:tcW w:w="2113" w:type="dxa"/>
            <w:tcBorders>
              <w:top w:val="single" w:color="auto" w:sz="4" w:space="0"/>
              <w:left w:val="single" w:color="auto" w:sz="4" w:space="0"/>
              <w:bottom w:val="single" w:color="auto" w:sz="4" w:space="0"/>
              <w:right w:val="single" w:color="auto" w:sz="4" w:space="0"/>
            </w:tcBorders>
            <w:vAlign w:val="center"/>
          </w:tcPr>
          <w:p w14:paraId="39DA4882">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lang w:val="en-US" w:eastAsia="zh-CN"/>
              </w:rPr>
              <w:t>1项</w:t>
            </w:r>
          </w:p>
        </w:tc>
        <w:tc>
          <w:tcPr>
            <w:tcW w:w="1660" w:type="dxa"/>
            <w:tcBorders>
              <w:top w:val="single" w:color="auto" w:sz="4" w:space="0"/>
              <w:left w:val="single" w:color="auto" w:sz="4" w:space="0"/>
              <w:bottom w:val="single" w:color="auto" w:sz="4" w:space="0"/>
              <w:right w:val="single" w:color="auto" w:sz="4" w:space="0"/>
            </w:tcBorders>
            <w:vAlign w:val="center"/>
          </w:tcPr>
          <w:p w14:paraId="2C296DC5">
            <w:pPr>
              <w:spacing w:line="400" w:lineRule="exact"/>
              <w:rPr>
                <w:rFonts w:ascii="宋体" w:hAnsi="宋体"/>
                <w:color w:val="auto"/>
                <w:sz w:val="22"/>
                <w:szCs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776F0D21">
            <w:pPr>
              <w:spacing w:line="400" w:lineRule="exact"/>
              <w:rPr>
                <w:rFonts w:ascii="宋体" w:hAnsi="宋体"/>
                <w:color w:val="auto"/>
                <w:sz w:val="22"/>
                <w:szCs w:val="22"/>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370A32D">
            <w:pPr>
              <w:spacing w:line="400" w:lineRule="exact"/>
              <w:rPr>
                <w:rFonts w:ascii="宋体" w:hAnsi="宋体"/>
                <w:color w:val="auto"/>
                <w:sz w:val="22"/>
                <w:szCs w:val="22"/>
                <w:highlight w:val="none"/>
              </w:rPr>
            </w:pPr>
          </w:p>
        </w:tc>
      </w:tr>
      <w:tr w14:paraId="5519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943" w:type="dxa"/>
            <w:gridSpan w:val="6"/>
            <w:tcBorders>
              <w:top w:val="single" w:color="auto" w:sz="4" w:space="0"/>
              <w:left w:val="single" w:color="auto" w:sz="4" w:space="0"/>
              <w:bottom w:val="single" w:color="auto" w:sz="4" w:space="0"/>
              <w:right w:val="single" w:color="auto" w:sz="4" w:space="0"/>
            </w:tcBorders>
            <w:vAlign w:val="center"/>
          </w:tcPr>
          <w:p w14:paraId="164A3F98">
            <w:pPr>
              <w:spacing w:line="400" w:lineRule="exact"/>
              <w:rPr>
                <w:rFonts w:hint="eastAsia" w:ascii="宋体" w:hAnsi="宋体"/>
                <w:color w:val="auto"/>
                <w:sz w:val="22"/>
                <w:szCs w:val="22"/>
                <w:highlight w:val="none"/>
              </w:rPr>
            </w:pPr>
            <w:r>
              <w:rPr>
                <w:rFonts w:hint="eastAsia" w:ascii="宋体" w:hAnsi="宋体"/>
                <w:color w:val="auto"/>
                <w:sz w:val="22"/>
                <w:szCs w:val="22"/>
                <w:highlight w:val="none"/>
              </w:rPr>
              <w:t>报价合计（包含所有费用）：（大写）</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（￥元）</w:t>
            </w:r>
          </w:p>
        </w:tc>
      </w:tr>
      <w:tr w14:paraId="562C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943" w:type="dxa"/>
            <w:gridSpan w:val="6"/>
            <w:tcBorders>
              <w:top w:val="single" w:color="auto" w:sz="4" w:space="0"/>
              <w:left w:val="single" w:color="auto" w:sz="4" w:space="0"/>
              <w:bottom w:val="single" w:color="auto" w:sz="4" w:space="0"/>
              <w:right w:val="single" w:color="auto" w:sz="4" w:space="0"/>
            </w:tcBorders>
            <w:vAlign w:val="center"/>
          </w:tcPr>
          <w:p w14:paraId="1832376F">
            <w:pPr>
              <w:spacing w:line="400" w:lineRule="exact"/>
              <w:rPr>
                <w:rFonts w:hint="eastAsia" w:ascii="宋体" w:hAnsi="宋体"/>
                <w:color w:val="auto"/>
                <w:sz w:val="22"/>
                <w:szCs w:val="22"/>
                <w:highlight w:val="none"/>
              </w:rPr>
            </w:pPr>
            <w:r>
              <w:rPr>
                <w:rFonts w:hint="eastAsia" w:ascii="宋体" w:hAnsi="宋体"/>
                <w:color w:val="auto"/>
                <w:sz w:val="22"/>
                <w:szCs w:val="22"/>
                <w:highlight w:val="none"/>
                <w:lang w:eastAsia="zh-CN"/>
              </w:rPr>
              <w:t>服务期限</w:t>
            </w:r>
            <w:r>
              <w:rPr>
                <w:rFonts w:hint="eastAsia" w:ascii="宋体" w:hAnsi="宋体"/>
                <w:color w:val="auto"/>
                <w:sz w:val="22"/>
                <w:szCs w:val="22"/>
                <w:highlight w:val="none"/>
              </w:rPr>
              <w:t xml:space="preserve">： </w:t>
            </w:r>
          </w:p>
        </w:tc>
      </w:tr>
      <w:tr w14:paraId="1092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943" w:type="dxa"/>
            <w:gridSpan w:val="6"/>
            <w:tcBorders>
              <w:top w:val="single" w:color="auto" w:sz="4" w:space="0"/>
              <w:left w:val="single" w:color="auto" w:sz="4" w:space="0"/>
              <w:bottom w:val="single" w:color="auto" w:sz="4" w:space="0"/>
              <w:right w:val="single" w:color="auto" w:sz="4" w:space="0"/>
            </w:tcBorders>
            <w:vAlign w:val="center"/>
          </w:tcPr>
          <w:p w14:paraId="60E83C08">
            <w:pPr>
              <w:spacing w:line="400" w:lineRule="exact"/>
              <w:rPr>
                <w:rFonts w:hint="eastAsia" w:ascii="宋体" w:hAnsi="宋体"/>
                <w:color w:val="auto"/>
                <w:sz w:val="22"/>
                <w:szCs w:val="22"/>
                <w:highlight w:val="none"/>
              </w:rPr>
            </w:pPr>
            <w:r>
              <w:rPr>
                <w:rFonts w:hint="eastAsia" w:ascii="宋体" w:hAnsi="宋体"/>
                <w:color w:val="auto"/>
                <w:sz w:val="22"/>
                <w:szCs w:val="22"/>
                <w:highlight w:val="none"/>
                <w:lang w:eastAsia="zh-CN"/>
              </w:rPr>
              <w:t>服务</w:t>
            </w:r>
            <w:r>
              <w:rPr>
                <w:rFonts w:hint="eastAsia" w:ascii="宋体" w:hAnsi="宋体"/>
                <w:color w:val="auto"/>
                <w:sz w:val="22"/>
                <w:szCs w:val="22"/>
                <w:highlight w:val="none"/>
              </w:rPr>
              <w:t xml:space="preserve">地点： </w:t>
            </w:r>
          </w:p>
        </w:tc>
      </w:tr>
    </w:tbl>
    <w:p w14:paraId="0FD95B54">
      <w:pPr>
        <w:numPr>
          <w:ilvl w:val="0"/>
          <w:numId w:val="0"/>
        </w:numPr>
        <w:spacing w:line="440" w:lineRule="exact"/>
        <w:ind w:leftChars="0"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详见附件：</w:t>
      </w:r>
      <w:r>
        <w:rPr>
          <w:rFonts w:hint="eastAsia" w:ascii="宋体" w:hAnsi="宋体" w:cs="宋体"/>
          <w:color w:val="auto"/>
          <w:szCs w:val="21"/>
          <w:highlight w:val="none"/>
          <w:u w:val="single"/>
          <w:lang w:val="en-US" w:eastAsia="zh-CN"/>
        </w:rPr>
        <w:t>采购文件一览表、</w:t>
      </w:r>
      <w:r>
        <w:rPr>
          <w:rFonts w:hint="eastAsia" w:ascii="宋体" w:hAnsi="宋体" w:cs="宋体"/>
          <w:color w:val="auto"/>
          <w:szCs w:val="21"/>
          <w:highlight w:val="none"/>
          <w:u w:val="single"/>
        </w:rPr>
        <w:t>技术需求偏离表、商务条款偏离表。</w:t>
      </w:r>
    </w:p>
    <w:p w14:paraId="2797B2F3">
      <w:pPr>
        <w:keepNext w:val="0"/>
        <w:keepLines w:val="0"/>
        <w:pageBreakBefore w:val="0"/>
        <w:widowControl w:val="0"/>
        <w:numPr>
          <w:ilvl w:val="4"/>
          <w:numId w:val="0"/>
        </w:numPr>
        <w:kinsoku/>
        <w:wordWrap/>
        <w:overflowPunct/>
        <w:topLinePunct w:val="0"/>
        <w:autoSpaceDE/>
        <w:autoSpaceDN/>
        <w:bidi w:val="0"/>
        <w:adjustRightInd/>
        <w:snapToGrid/>
        <w:spacing w:before="0" w:after="0" w:line="440" w:lineRule="exact"/>
        <w:ind w:firstLine="420" w:firstLineChars="200"/>
        <w:textAlignment w:val="auto"/>
        <w:outlineLvl w:val="9"/>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合同合计金额包括:满足本次投标全部采购需求所应提供的服务，以及伴随的</w:t>
      </w:r>
      <w:r>
        <w:rPr>
          <w:rFonts w:hint="eastAsia" w:ascii="宋体" w:hAnsi="宋体" w:cs="宋体"/>
          <w:b w:val="0"/>
          <w:color w:val="auto"/>
          <w:kern w:val="2"/>
          <w:sz w:val="21"/>
          <w:szCs w:val="21"/>
          <w:highlight w:val="none"/>
          <w:lang w:val="en-US" w:eastAsia="zh-CN" w:bidi="ar-SA"/>
        </w:rPr>
        <w:t>设备</w:t>
      </w:r>
      <w:r>
        <w:rPr>
          <w:rFonts w:hint="eastAsia" w:ascii="宋体" w:hAnsi="宋体" w:eastAsia="宋体" w:cs="宋体"/>
          <w:b w:val="0"/>
          <w:color w:val="auto"/>
          <w:kern w:val="2"/>
          <w:sz w:val="21"/>
          <w:szCs w:val="21"/>
          <w:highlight w:val="none"/>
          <w:lang w:val="en-US" w:eastAsia="zh-CN" w:bidi="ar-SA"/>
        </w:rPr>
        <w:t>和工程（如有）的价格；包含投标服务、</w:t>
      </w:r>
      <w:r>
        <w:rPr>
          <w:rFonts w:hint="eastAsia" w:ascii="宋体" w:hAnsi="宋体" w:cs="宋体"/>
          <w:b w:val="0"/>
          <w:color w:val="auto"/>
          <w:kern w:val="2"/>
          <w:sz w:val="21"/>
          <w:szCs w:val="21"/>
          <w:highlight w:val="none"/>
          <w:lang w:val="en-US" w:eastAsia="zh-CN" w:bidi="ar-SA"/>
        </w:rPr>
        <w:t>设备</w:t>
      </w:r>
      <w:r>
        <w:rPr>
          <w:rFonts w:hint="eastAsia" w:ascii="宋体" w:hAnsi="宋体" w:eastAsia="宋体" w:cs="宋体"/>
          <w:b w:val="0"/>
          <w:color w:val="auto"/>
          <w:kern w:val="2"/>
          <w:sz w:val="21"/>
          <w:szCs w:val="21"/>
          <w:highlight w:val="none"/>
          <w:lang w:val="en-US" w:eastAsia="zh-CN" w:bidi="ar-SA"/>
        </w:rPr>
        <w:t>、工程的成本、运输（含保险）、安装（如有）、调试、检验、技术服务、培训、税费等所有费用。</w:t>
      </w:r>
    </w:p>
    <w:p w14:paraId="388E4DAA">
      <w:pPr>
        <w:pStyle w:val="4"/>
        <w:keepNext w:val="0"/>
        <w:keepLines w:val="0"/>
        <w:spacing w:before="0" w:after="0" w:line="44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第二条　质量保证</w:t>
      </w:r>
    </w:p>
    <w:p w14:paraId="1CC6F30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w:t>
      </w:r>
      <w:r>
        <w:rPr>
          <w:rFonts w:hint="eastAsia" w:ascii="宋体" w:hAnsi="宋体" w:cs="宋体"/>
          <w:color w:val="auto"/>
          <w:szCs w:val="21"/>
          <w:highlight w:val="none"/>
          <w:lang w:eastAsia="zh-Hans"/>
        </w:rPr>
        <w:t>设备、</w:t>
      </w:r>
      <w:r>
        <w:rPr>
          <w:rFonts w:hint="eastAsia" w:ascii="宋体" w:hAnsi="宋体" w:cs="宋体"/>
          <w:color w:val="auto"/>
          <w:szCs w:val="21"/>
          <w:highlight w:val="none"/>
        </w:rPr>
        <w:t>服务及服务内容</w:t>
      </w:r>
      <w:r>
        <w:rPr>
          <w:rFonts w:hint="eastAsia" w:ascii="宋体" w:hAnsi="宋体" w:cs="宋体"/>
          <w:color w:val="auto"/>
          <w:szCs w:val="21"/>
          <w:highlight w:val="none"/>
          <w:lang w:eastAsia="zh-Hans"/>
        </w:rPr>
        <w:t>、数量、质量等</w:t>
      </w:r>
      <w:r>
        <w:rPr>
          <w:rFonts w:hint="eastAsia" w:ascii="宋体" w:hAnsi="宋体" w:cs="宋体"/>
          <w:color w:val="auto"/>
          <w:szCs w:val="21"/>
          <w:highlight w:val="none"/>
        </w:rPr>
        <w:t>必须与投标文件承诺相一致，有国家强制性标准的，还必须符合国家强制性标准的规定，没有国家强制性标准但有其他强制性标准的，必须符合其他强制性标准的规定。</w:t>
      </w:r>
    </w:p>
    <w:p w14:paraId="76C5DABC">
      <w:pPr>
        <w:pStyle w:val="4"/>
        <w:keepNext w:val="0"/>
        <w:keepLines w:val="0"/>
        <w:spacing w:before="0" w:after="0" w:line="44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第三条　权利保证</w:t>
      </w:r>
    </w:p>
    <w:p w14:paraId="4DB02BD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w:t>
      </w:r>
      <w:r>
        <w:rPr>
          <w:rFonts w:hint="eastAsia" w:ascii="宋体" w:hAnsi="宋体" w:cs="宋体"/>
          <w:color w:val="auto"/>
          <w:szCs w:val="21"/>
          <w:highlight w:val="none"/>
          <w:lang w:eastAsia="zh-Hans"/>
        </w:rPr>
        <w:t>设备、</w:t>
      </w:r>
      <w:r>
        <w:rPr>
          <w:rFonts w:hint="eastAsia" w:ascii="宋体" w:hAnsi="宋体" w:cs="宋体"/>
          <w:color w:val="auto"/>
          <w:szCs w:val="21"/>
          <w:highlight w:val="none"/>
        </w:rPr>
        <w:t>服务</w:t>
      </w:r>
      <w:r>
        <w:rPr>
          <w:rFonts w:hint="eastAsia" w:ascii="宋体" w:hAnsi="宋体" w:cs="宋体"/>
          <w:color w:val="auto"/>
          <w:szCs w:val="21"/>
          <w:highlight w:val="none"/>
          <w:lang w:eastAsia="zh-Hans"/>
        </w:rPr>
        <w:t>及服务成果</w:t>
      </w:r>
      <w:r>
        <w:rPr>
          <w:rFonts w:hint="eastAsia" w:ascii="宋体" w:hAnsi="宋体" w:cs="宋体"/>
          <w:color w:val="auto"/>
          <w:szCs w:val="21"/>
          <w:highlight w:val="none"/>
        </w:rPr>
        <w:t>不会侵犯任何第三方的专利权、商标权、工业设计权等知识产权及其他合法权利。</w:t>
      </w:r>
    </w:p>
    <w:p w14:paraId="7653DE6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2、所交付设备、服务及服务成果的所有权完全属于乙方且无任何抵押、查封等产权瑕疵。如乙方所交付服务及其成果有产权瑕疵的，视为乙方违约，按照本合同第</w:t>
      </w:r>
      <w:r>
        <w:rPr>
          <w:rFonts w:hint="eastAsia" w:ascii="宋体" w:hAnsi="宋体" w:cs="宋体"/>
          <w:color w:val="auto"/>
          <w:szCs w:val="21"/>
          <w:highlight w:val="none"/>
          <w:lang w:eastAsia="zh-Hans"/>
        </w:rPr>
        <w:t>十</w:t>
      </w:r>
      <w:r>
        <w:rPr>
          <w:rFonts w:hint="eastAsia" w:ascii="宋体" w:hAnsi="宋体" w:cs="宋体"/>
          <w:color w:val="auto"/>
          <w:szCs w:val="21"/>
          <w:highlight w:val="none"/>
        </w:rPr>
        <w:t>条第</w:t>
      </w:r>
      <w:r>
        <w:rPr>
          <w:rFonts w:ascii="宋体" w:hAnsi="宋体" w:cs="宋体"/>
          <w:color w:val="auto"/>
          <w:szCs w:val="21"/>
          <w:highlight w:val="none"/>
        </w:rPr>
        <w:t>8</w:t>
      </w:r>
      <w:r>
        <w:rPr>
          <w:rFonts w:hint="eastAsia" w:ascii="宋体" w:hAnsi="宋体" w:cs="宋体"/>
          <w:color w:val="auto"/>
          <w:szCs w:val="21"/>
          <w:highlight w:val="none"/>
        </w:rPr>
        <w:t>点的约定处理。</w:t>
      </w:r>
    </w:p>
    <w:p w14:paraId="1CA37DAA">
      <w:pPr>
        <w:spacing w:line="440" w:lineRule="exact"/>
        <w:ind w:firstLine="420" w:firstLineChars="200"/>
        <w:rPr>
          <w:rFonts w:hint="eastAsia" w:ascii="宋体" w:hAnsi="宋体" w:cs="宋体"/>
          <w:color w:val="auto"/>
          <w:szCs w:val="21"/>
          <w:highlight w:val="none"/>
          <w:lang w:eastAsia="zh-Hans"/>
        </w:rPr>
      </w:pPr>
      <w:r>
        <w:rPr>
          <w:rFonts w:ascii="宋体" w:hAnsi="宋体" w:cs="宋体"/>
          <w:color w:val="auto"/>
          <w:szCs w:val="21"/>
          <w:highlight w:val="none"/>
        </w:rPr>
        <w:t>3</w:t>
      </w:r>
      <w:r>
        <w:rPr>
          <w:rFonts w:hint="eastAsia" w:ascii="宋体" w:hAnsi="宋体" w:cs="宋体"/>
          <w:color w:val="auto"/>
          <w:szCs w:val="21"/>
          <w:highlight w:val="none"/>
          <w:lang w:eastAsia="zh-Hans"/>
        </w:rPr>
        <w:t>、乙方应按招标文件或</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lang w:eastAsia="zh-Hans"/>
        </w:rPr>
        <w:t>规定的时间向甲方提供使用设备和服务成果的有关技术资料。</w:t>
      </w:r>
    </w:p>
    <w:p w14:paraId="2D4116DB">
      <w:pPr>
        <w:spacing w:line="44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E4F1D0B">
      <w:pPr>
        <w:pStyle w:val="4"/>
        <w:keepNext w:val="0"/>
        <w:keepLines w:val="0"/>
        <w:spacing w:before="0" w:after="0" w:line="44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第四条</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交付和验收</w:t>
      </w:r>
    </w:p>
    <w:p w14:paraId="40C4E0D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1、交付时间：</w:t>
      </w:r>
      <w:r>
        <w:rPr>
          <w:rFonts w:hint="eastAsia" w:ascii="宋体" w:hAnsi="宋体" w:cs="宋体"/>
          <w:color w:val="auto"/>
          <w:szCs w:val="21"/>
          <w:highlight w:val="none"/>
          <w:u w:val="single"/>
        </w:rPr>
        <w:t xml:space="preserve"> </w:t>
      </w:r>
      <w:r>
        <w:rPr>
          <w:rFonts w:hint="eastAsia" w:ascii="宋体" w:hAnsi="宋体" w:eastAsia="宋体" w:cs="Times New Roman"/>
          <w:color w:val="auto"/>
          <w:kern w:val="2"/>
          <w:szCs w:val="21"/>
          <w:highlight w:val="none"/>
          <w:lang w:bidi="ar"/>
        </w:rPr>
        <w:t>自签订合同之日起180天内完成系统开发、部署上线并完成初步验收；项目竣工后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，交付地点：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广西区内</w:t>
      </w:r>
      <w:r>
        <w:rPr>
          <w:rFonts w:hint="eastAsia" w:ascii="宋体" w:hAnsi="宋体" w:cs="宋体"/>
          <w:color w:val="auto"/>
          <w:szCs w:val="21"/>
          <w:highlight w:val="none"/>
          <w:u w:val="single"/>
          <w:lang w:eastAsia="zh-CN"/>
        </w:rPr>
        <w:t>采购人指定地点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C332CEC">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维保期</w:t>
      </w:r>
      <w:r>
        <w:rPr>
          <w:rFonts w:hint="eastAsia" w:ascii="宋体" w:hAnsi="宋体" w:cs="宋体"/>
          <w:color w:val="auto"/>
          <w:szCs w:val="21"/>
          <w:highlight w:val="none"/>
        </w:rPr>
        <w:t>：</w:t>
      </w:r>
      <w:r>
        <w:rPr>
          <w:rFonts w:hint="eastAsia" w:ascii="宋体" w:hAnsi="宋体" w:eastAsia="宋体" w:cs="Times New Roman"/>
          <w:color w:val="auto"/>
          <w:kern w:val="2"/>
          <w:szCs w:val="21"/>
          <w:highlight w:val="none"/>
          <w:lang w:bidi="ar"/>
        </w:rPr>
        <w:t>进入维保服务期间，维保期一年</w:t>
      </w:r>
      <w:r>
        <w:rPr>
          <w:rFonts w:hint="eastAsia" w:ascii="宋体" w:hAnsi="宋体"/>
          <w:color w:val="auto"/>
          <w:szCs w:val="21"/>
          <w:highlight w:val="none"/>
        </w:rPr>
        <w:t>。</w:t>
      </w:r>
    </w:p>
    <w:p w14:paraId="5A474924">
      <w:pPr>
        <w:spacing w:line="44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Hans"/>
        </w:rPr>
        <w:t>、</w:t>
      </w:r>
      <w:r>
        <w:rPr>
          <w:rFonts w:hint="eastAsia" w:ascii="宋体" w:hAnsi="宋体" w:cs="宋体"/>
          <w:color w:val="auto"/>
          <w:szCs w:val="21"/>
          <w:highlight w:val="none"/>
        </w:rPr>
        <w:t>乙方提供不符合招投标文件和本合同规定的</w:t>
      </w:r>
      <w:r>
        <w:rPr>
          <w:rFonts w:hint="eastAsia" w:ascii="宋体" w:hAnsi="宋体" w:cs="宋体"/>
          <w:color w:val="auto"/>
          <w:szCs w:val="21"/>
          <w:highlight w:val="none"/>
          <w:lang w:eastAsia="zh-Hans"/>
        </w:rPr>
        <w:t>设备和</w:t>
      </w:r>
      <w:r>
        <w:rPr>
          <w:rFonts w:hint="eastAsia" w:ascii="宋体" w:hAnsi="宋体" w:cs="宋体"/>
          <w:color w:val="auto"/>
          <w:szCs w:val="21"/>
          <w:highlight w:val="none"/>
        </w:rPr>
        <w:t>服务成果，甲方有权拒绝接受。</w:t>
      </w:r>
    </w:p>
    <w:p w14:paraId="31C1C14D">
      <w:pPr>
        <w:spacing w:line="440" w:lineRule="exact"/>
        <w:ind w:firstLine="420" w:firstLineChars="200"/>
        <w:rPr>
          <w:rFonts w:ascii="宋体" w:hAnsi="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lang w:eastAsia="zh-Hans"/>
        </w:rPr>
        <w:t>、</w:t>
      </w:r>
      <w:r>
        <w:rPr>
          <w:rFonts w:hint="eastAsia" w:ascii="宋体" w:hAnsi="宋体"/>
          <w:color w:val="auto"/>
          <w:szCs w:val="21"/>
          <w:highlight w:val="none"/>
        </w:rPr>
        <w:t>乙方应对提交的</w:t>
      </w:r>
      <w:r>
        <w:rPr>
          <w:rFonts w:hint="eastAsia" w:ascii="宋体" w:hAnsi="宋体" w:cs="宋体"/>
          <w:color w:val="auto"/>
          <w:szCs w:val="21"/>
          <w:highlight w:val="none"/>
          <w:lang w:eastAsia="zh-Hans"/>
        </w:rPr>
        <w:t>设备和</w:t>
      </w:r>
      <w:r>
        <w:rPr>
          <w:rFonts w:hint="eastAsia" w:ascii="宋体" w:hAnsi="宋体"/>
          <w:color w:val="auto"/>
          <w:szCs w:val="21"/>
          <w:highlight w:val="none"/>
        </w:rPr>
        <w:t>服务成果作出全面检查和整理，并列出清单，作为甲方验收和使用的技术条件依据，清单应随提交的服务成果交给甲方。</w:t>
      </w:r>
    </w:p>
    <w:p w14:paraId="19D703D8">
      <w:pPr>
        <w:spacing w:line="440" w:lineRule="exact"/>
        <w:ind w:firstLine="420" w:firstLineChars="200"/>
        <w:rPr>
          <w:rFonts w:hint="eastAsia" w:ascii="宋体" w:hAnsi="宋体"/>
          <w:color w:val="auto"/>
          <w:szCs w:val="21"/>
          <w:highlight w:val="none"/>
        </w:rPr>
      </w:pPr>
      <w:bookmarkStart w:id="163" w:name="_Hlk50577947"/>
      <w:r>
        <w:rPr>
          <w:rFonts w:ascii="宋体" w:hAnsi="宋体"/>
          <w:color w:val="auto"/>
          <w:szCs w:val="21"/>
          <w:highlight w:val="none"/>
        </w:rPr>
        <w:t>5</w:t>
      </w:r>
      <w:r>
        <w:rPr>
          <w:rFonts w:hint="eastAsia" w:ascii="宋体" w:hAnsi="宋体"/>
          <w:color w:val="auto"/>
          <w:szCs w:val="21"/>
          <w:highlight w:val="none"/>
          <w:lang w:eastAsia="zh-Hans"/>
        </w:rPr>
        <w:t>、</w:t>
      </w:r>
      <w:r>
        <w:rPr>
          <w:rFonts w:hint="eastAsia" w:ascii="宋体" w:hAnsi="宋体"/>
          <w:color w:val="auto"/>
          <w:szCs w:val="21"/>
          <w:highlight w:val="none"/>
        </w:rPr>
        <w:t>甲乙双方应按照</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广西公安厅信息化项目管理办法</w:t>
      </w:r>
      <w:r>
        <w:rPr>
          <w:rFonts w:hint="eastAsia" w:ascii="宋体" w:hAnsi="宋体"/>
          <w:color w:val="auto"/>
          <w:szCs w:val="21"/>
          <w:highlight w:val="none"/>
          <w:lang w:eastAsia="zh-CN"/>
        </w:rPr>
        <w:t>》、</w:t>
      </w:r>
      <w:r>
        <w:rPr>
          <w:rFonts w:hint="eastAsia" w:ascii="宋体" w:hAnsi="宋体"/>
          <w:color w:val="auto"/>
          <w:szCs w:val="21"/>
          <w:highlight w:val="none"/>
        </w:rPr>
        <w:t>《广西壮族自治区政府采购项目履约验收管理办法》</w:t>
      </w:r>
      <w:r>
        <w:rPr>
          <w:rFonts w:hint="eastAsia" w:ascii="宋体" w:hAnsi="宋体"/>
          <w:color w:val="auto"/>
          <w:szCs w:val="21"/>
          <w:highlight w:val="none"/>
          <w:lang w:eastAsia="zh-CN"/>
        </w:rPr>
        <w:t>、</w:t>
      </w:r>
      <w:r>
        <w:rPr>
          <w:rFonts w:hint="eastAsia" w:ascii="宋体" w:hAnsi="宋体"/>
          <w:color w:val="auto"/>
          <w:szCs w:val="21"/>
          <w:highlight w:val="none"/>
        </w:rPr>
        <w:t>双方合同、投标文件</w:t>
      </w:r>
      <w:r>
        <w:rPr>
          <w:rFonts w:hint="eastAsia" w:ascii="宋体" w:hAnsi="宋体"/>
          <w:color w:val="auto"/>
          <w:szCs w:val="21"/>
          <w:highlight w:val="none"/>
          <w:lang w:val="en-US" w:eastAsia="zh-CN"/>
        </w:rPr>
        <w:t>及广西</w:t>
      </w:r>
      <w:r>
        <w:rPr>
          <w:rFonts w:hint="eastAsia" w:ascii="宋体" w:hAnsi="宋体"/>
          <w:color w:val="auto"/>
          <w:szCs w:val="21"/>
          <w:highlight w:val="none"/>
        </w:rPr>
        <w:t>公安厅验收标准进行验收。</w:t>
      </w:r>
    </w:p>
    <w:p w14:paraId="7509BA99">
      <w:pPr>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lang w:eastAsia="zh-Hans"/>
        </w:rPr>
        <w:t>、</w:t>
      </w:r>
      <w:r>
        <w:rPr>
          <w:rFonts w:hint="eastAsia" w:ascii="宋体" w:hAnsi="宋体"/>
          <w:color w:val="auto"/>
          <w:szCs w:val="21"/>
          <w:highlight w:val="none"/>
        </w:rPr>
        <w:t>乙方交付服务成果前应对</w:t>
      </w:r>
      <w:r>
        <w:rPr>
          <w:rFonts w:hint="eastAsia" w:ascii="宋体" w:hAnsi="宋体" w:cs="宋体"/>
          <w:color w:val="auto"/>
          <w:szCs w:val="21"/>
          <w:highlight w:val="none"/>
          <w:lang w:eastAsia="zh-Hans"/>
        </w:rPr>
        <w:t>设备、</w:t>
      </w:r>
      <w:r>
        <w:rPr>
          <w:rFonts w:hint="eastAsia" w:ascii="宋体" w:hAnsi="宋体"/>
          <w:color w:val="auto"/>
          <w:szCs w:val="21"/>
          <w:highlight w:val="none"/>
        </w:rPr>
        <w:t>服务成果作出全面检查和对验收文件进行整理，并列出清单，作为甲方</w:t>
      </w:r>
      <w:r>
        <w:rPr>
          <w:rFonts w:hint="eastAsia" w:ascii="宋体" w:hAnsi="宋体"/>
          <w:color w:val="auto"/>
          <w:szCs w:val="21"/>
          <w:highlight w:val="none"/>
          <w:lang w:eastAsia="zh-Hans"/>
        </w:rPr>
        <w:t>对设备、</w:t>
      </w:r>
      <w:r>
        <w:rPr>
          <w:rFonts w:hint="eastAsia" w:ascii="宋体" w:hAnsi="宋体"/>
          <w:color w:val="auto"/>
          <w:szCs w:val="21"/>
          <w:highlight w:val="none"/>
        </w:rPr>
        <w:t>服务成果验收和使用的技术条件依据，检验的结果应随服务成果交甲方。</w:t>
      </w:r>
    </w:p>
    <w:p w14:paraId="70765BFE">
      <w:pPr>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lang w:eastAsia="zh-Hans"/>
        </w:rPr>
        <w:t>、</w:t>
      </w:r>
      <w:r>
        <w:rPr>
          <w:rFonts w:hint="eastAsia" w:ascii="宋体" w:hAnsi="宋体"/>
          <w:color w:val="auto"/>
          <w:szCs w:val="21"/>
          <w:highlight w:val="none"/>
        </w:rPr>
        <w:t>验收费用均由乙方负责。</w:t>
      </w:r>
      <w:bookmarkEnd w:id="163"/>
    </w:p>
    <w:p w14:paraId="4755ACDE">
      <w:pPr>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lang w:eastAsia="zh-Hans"/>
        </w:rPr>
        <w:t>、甲方在初步验收或者最终验收过程中如发现乙方提供的服务成果不满足投标文件及本合同规定的，可暂缓向乙方付款，直到乙方及时完善并提交相应的服务成果且经甲方验收合格后，方可办理付款</w:t>
      </w:r>
      <w:r>
        <w:rPr>
          <w:rFonts w:hint="eastAsia" w:ascii="宋体" w:hAnsi="宋体"/>
          <w:color w:val="auto"/>
          <w:szCs w:val="21"/>
          <w:highlight w:val="none"/>
        </w:rPr>
        <w:t>。</w:t>
      </w:r>
    </w:p>
    <w:p w14:paraId="4DD2C151">
      <w:pPr>
        <w:spacing w:line="440" w:lineRule="exact"/>
        <w:ind w:firstLine="420" w:firstLineChars="200"/>
        <w:rPr>
          <w:rFonts w:hint="eastAsia" w:ascii="宋体" w:hAnsi="宋体"/>
          <w:color w:val="auto"/>
          <w:szCs w:val="21"/>
          <w:highlight w:val="none"/>
          <w:u w:val="single"/>
          <w:lang w:eastAsia="zh-Hans"/>
        </w:rPr>
      </w:pPr>
      <w:r>
        <w:rPr>
          <w:rFonts w:ascii="宋体" w:hAnsi="宋体"/>
          <w:color w:val="auto"/>
          <w:szCs w:val="21"/>
          <w:highlight w:val="none"/>
        </w:rPr>
        <w:t>9</w:t>
      </w:r>
      <w:r>
        <w:rPr>
          <w:rFonts w:hint="eastAsia" w:ascii="宋体" w:hAnsi="宋体"/>
          <w:color w:val="auto"/>
          <w:szCs w:val="21"/>
          <w:highlight w:val="none"/>
          <w:lang w:eastAsia="zh-Hans"/>
        </w:rPr>
        <w:t>、</w:t>
      </w:r>
      <w:r>
        <w:rPr>
          <w:rFonts w:hint="eastAsia" w:ascii="宋体" w:hAnsi="宋体"/>
          <w:color w:val="auto"/>
          <w:szCs w:val="21"/>
          <w:highlight w:val="none"/>
        </w:rPr>
        <w:t>甲方对验收有异议的，乙方应自收到甲方</w:t>
      </w:r>
      <w:r>
        <w:rPr>
          <w:rFonts w:hint="eastAsia" w:ascii="宋体" w:hAnsi="宋体"/>
          <w:color w:val="auto"/>
          <w:szCs w:val="21"/>
          <w:highlight w:val="none"/>
          <w:lang w:eastAsia="zh-Hans"/>
        </w:rPr>
        <w:t>提出的</w:t>
      </w:r>
      <w:r>
        <w:rPr>
          <w:rFonts w:hint="eastAsia" w:ascii="宋体" w:hAnsi="宋体"/>
          <w:color w:val="auto"/>
          <w:szCs w:val="21"/>
          <w:highlight w:val="none"/>
        </w:rPr>
        <w:t>异议后</w:t>
      </w:r>
      <w:r>
        <w:rPr>
          <w:rFonts w:hint="eastAsia" w:ascii="宋体" w:hAnsi="宋体"/>
          <w:color w:val="auto"/>
          <w:szCs w:val="21"/>
          <w:highlight w:val="none"/>
          <w:lang w:eastAsia="zh-Hans"/>
        </w:rPr>
        <w:t>五个工作日内予以解决，</w:t>
      </w:r>
      <w:r>
        <w:rPr>
          <w:rFonts w:hint="eastAsia" w:ascii="宋体" w:hAnsi="宋体"/>
          <w:color w:val="auto"/>
          <w:szCs w:val="21"/>
          <w:highlight w:val="none"/>
          <w:u w:val="single"/>
          <w:lang w:eastAsia="zh-Hans"/>
        </w:rPr>
        <w:t>否则视为验收不通过。</w:t>
      </w:r>
    </w:p>
    <w:p w14:paraId="38429971">
      <w:pPr>
        <w:pStyle w:val="17"/>
        <w:spacing w:after="0" w:line="440" w:lineRule="exact"/>
        <w:ind w:firstLineChars="200"/>
        <w:rPr>
          <w:rFonts w:hint="eastAsia" w:ascii="宋体" w:hAnsi="宋体" w:eastAsia="宋体" w:cs="Times New Roman"/>
          <w:color w:val="auto"/>
          <w:szCs w:val="21"/>
          <w:highlight w:val="none"/>
          <w:u w:val="single"/>
          <w:lang w:eastAsia="zh-Hans"/>
        </w:rPr>
      </w:pPr>
      <w:r>
        <w:rPr>
          <w:rFonts w:ascii="宋体" w:hAnsi="宋体"/>
          <w:color w:val="auto"/>
          <w:szCs w:val="21"/>
          <w:highlight w:val="none"/>
          <w:u w:val="single"/>
          <w:lang w:eastAsia="zh-Hans"/>
        </w:rPr>
        <w:t>10</w:t>
      </w:r>
      <w:r>
        <w:rPr>
          <w:rFonts w:hint="eastAsia" w:ascii="宋体" w:hAnsi="宋体"/>
          <w:color w:val="auto"/>
          <w:szCs w:val="21"/>
          <w:highlight w:val="none"/>
          <w:u w:val="single"/>
          <w:lang w:eastAsia="zh-Hans"/>
        </w:rPr>
        <w:t>、若在签署最终验收文件后12周内，由于乙方的原因，该项目有一条及以上达不到本项目招标文件规定的技术及服务要求时，乙方应在</w:t>
      </w:r>
      <w:r>
        <w:rPr>
          <w:rFonts w:hint="eastAsia" w:ascii="宋体" w:hAnsi="宋体"/>
          <w:color w:val="auto"/>
          <w:szCs w:val="21"/>
          <w:highlight w:val="none"/>
          <w:u w:val="single"/>
          <w:lang w:val="en-US" w:eastAsia="zh-CN"/>
        </w:rPr>
        <w:t>甲方规定的时间内</w:t>
      </w:r>
      <w:r>
        <w:rPr>
          <w:rFonts w:hint="eastAsia" w:ascii="宋体" w:hAnsi="宋体"/>
          <w:color w:val="auto"/>
          <w:szCs w:val="21"/>
          <w:highlight w:val="none"/>
          <w:u w:val="single"/>
          <w:lang w:eastAsia="zh-Hans"/>
        </w:rPr>
        <w:t>采取有效措施，使该项目完全达到规定的技术及服务要求，在此期间的一切费用由乙方承担，如在此期间内仍达不到规定的技术性及服务要求</w:t>
      </w:r>
      <w:r>
        <w:rPr>
          <w:rFonts w:hint="eastAsia" w:ascii="宋体" w:hAnsi="宋体" w:eastAsia="宋体" w:cs="Times New Roman"/>
          <w:color w:val="auto"/>
          <w:szCs w:val="21"/>
          <w:highlight w:val="none"/>
          <w:u w:val="single"/>
          <w:lang w:eastAsia="zh-Hans"/>
        </w:rPr>
        <w:t>时，将按合同中相应条款执行。</w:t>
      </w:r>
    </w:p>
    <w:p w14:paraId="17CC320D">
      <w:pPr>
        <w:pStyle w:val="17"/>
        <w:spacing w:after="0" w:line="440" w:lineRule="exact"/>
        <w:ind w:firstLineChars="200"/>
        <w:rPr>
          <w:rFonts w:hint="eastAsia" w:ascii="宋体" w:hAnsi="宋体" w:eastAsia="宋体" w:cs="Times New Roman"/>
          <w:color w:val="auto"/>
          <w:szCs w:val="21"/>
          <w:highlight w:val="none"/>
          <w:u w:val="single"/>
          <w:lang w:eastAsia="zh-Hans"/>
        </w:rPr>
      </w:pPr>
      <w:r>
        <w:rPr>
          <w:rFonts w:hint="eastAsia" w:ascii="宋体" w:hAnsi="宋体" w:eastAsia="宋体" w:cs="Times New Roman"/>
          <w:color w:val="auto"/>
          <w:szCs w:val="21"/>
          <w:highlight w:val="none"/>
          <w:u w:val="none"/>
          <w:lang w:val="en-US" w:eastAsia="zh-CN"/>
        </w:rPr>
        <w:t>11.</w:t>
      </w:r>
      <w:r>
        <w:rPr>
          <w:rFonts w:hint="eastAsia" w:ascii="宋体" w:hAnsi="宋体" w:eastAsia="宋体" w:cs="Times New Roman"/>
          <w:color w:val="auto"/>
          <w:szCs w:val="21"/>
          <w:highlight w:val="none"/>
          <w:u w:val="none"/>
          <w:lang w:eastAsia="zh-Hans"/>
        </w:rPr>
        <w:t xml:space="preserve">其他验收约定：  </w:t>
      </w:r>
      <w:r>
        <w:rPr>
          <w:rFonts w:hint="eastAsia" w:ascii="宋体" w:hAnsi="宋体" w:eastAsia="宋体" w:cs="Times New Roman"/>
          <w:color w:val="auto"/>
          <w:szCs w:val="21"/>
          <w:highlight w:val="none"/>
          <w:u w:val="single"/>
          <w:lang w:eastAsia="zh-Hans"/>
        </w:rPr>
        <w:t>（按采购文件要求）   。</w:t>
      </w:r>
    </w:p>
    <w:p w14:paraId="4622D3EB">
      <w:pPr>
        <w:pStyle w:val="4"/>
        <w:keepNext w:val="0"/>
        <w:keepLines w:val="0"/>
        <w:spacing w:before="0" w:after="0" w:line="44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五</w:t>
      </w:r>
      <w:r>
        <w:rPr>
          <w:rFonts w:hint="eastAsia" w:ascii="宋体" w:hAnsi="宋体" w:cs="宋体"/>
          <w:color w:val="auto"/>
          <w:sz w:val="21"/>
          <w:szCs w:val="21"/>
          <w:highlight w:val="none"/>
        </w:rPr>
        <w:t>条</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付款方式</w:t>
      </w:r>
    </w:p>
    <w:p w14:paraId="043CA61D">
      <w:pPr>
        <w:keepNext w:val="0"/>
        <w:keepLines w:val="0"/>
        <w:snapToGrid w:val="0"/>
        <w:spacing w:before="0" w:after="0" w:line="360" w:lineRule="auto"/>
        <w:ind w:left="420" w:leftChars="200" w:firstLine="420" w:firstLineChars="200"/>
        <w:outlineLvl w:val="9"/>
        <w:rPr>
          <w:rFonts w:hint="eastAsia" w:ascii="宋体" w:hAnsi="宋体" w:eastAsia="宋体" w:cs="Times New Roman"/>
          <w:b w:val="0"/>
          <w:bCs w:val="0"/>
          <w:color w:val="auto"/>
          <w:kern w:val="2"/>
          <w:sz w:val="21"/>
          <w:szCs w:val="21"/>
          <w:highlight w:val="none"/>
          <w:u w:val="single"/>
          <w:lang w:val="en-US" w:eastAsia="zh-Hans" w:bidi="ar-SA"/>
        </w:rPr>
      </w:pPr>
      <w:r>
        <w:rPr>
          <w:rFonts w:hint="eastAsia" w:ascii="宋体" w:hAnsi="宋体" w:eastAsia="宋体" w:cs="Times New Roman"/>
          <w:b w:val="0"/>
          <w:bCs w:val="0"/>
          <w:color w:val="auto"/>
          <w:kern w:val="2"/>
          <w:sz w:val="21"/>
          <w:szCs w:val="21"/>
          <w:highlight w:val="none"/>
          <w:u w:val="single"/>
          <w:lang w:val="en-US" w:eastAsia="zh-CN" w:bidi="ar-SA"/>
        </w:rPr>
        <w:t>(1)</w:t>
      </w:r>
      <w:r>
        <w:rPr>
          <w:rFonts w:hint="eastAsia" w:ascii="宋体" w:hAnsi="宋体" w:eastAsia="宋体" w:cs="Times New Roman"/>
          <w:b w:val="0"/>
          <w:bCs w:val="0"/>
          <w:color w:val="auto"/>
          <w:kern w:val="2"/>
          <w:sz w:val="21"/>
          <w:szCs w:val="21"/>
          <w:highlight w:val="none"/>
          <w:u w:val="single"/>
          <w:lang w:val="en-US" w:eastAsia="zh-Hans" w:bidi="ar-SA"/>
        </w:rPr>
        <w:t>本项目签订合同后15个工作日内，采购人向中标人支付合同总金额的30%作为合同首付款。</w:t>
      </w:r>
    </w:p>
    <w:p w14:paraId="1D923292">
      <w:pPr>
        <w:keepNext w:val="0"/>
        <w:keepLines w:val="0"/>
        <w:snapToGrid w:val="0"/>
        <w:spacing w:before="0" w:after="0" w:line="360" w:lineRule="auto"/>
        <w:ind w:left="420" w:leftChars="200" w:firstLine="420" w:firstLineChars="200"/>
        <w:outlineLvl w:val="9"/>
        <w:rPr>
          <w:rFonts w:hint="eastAsia" w:ascii="宋体" w:hAnsi="宋体" w:eastAsia="宋体" w:cs="Times New Roman"/>
          <w:b w:val="0"/>
          <w:bCs w:val="0"/>
          <w:color w:val="auto"/>
          <w:kern w:val="2"/>
          <w:sz w:val="21"/>
          <w:szCs w:val="21"/>
          <w:highlight w:val="none"/>
          <w:u w:val="single"/>
          <w:lang w:val="en-US" w:eastAsia="zh-Hans" w:bidi="ar-SA"/>
        </w:rPr>
      </w:pPr>
      <w:r>
        <w:rPr>
          <w:rFonts w:hint="eastAsia" w:ascii="宋体" w:hAnsi="宋体" w:eastAsia="宋体" w:cs="Times New Roman"/>
          <w:b w:val="0"/>
          <w:bCs w:val="0"/>
          <w:color w:val="auto"/>
          <w:kern w:val="2"/>
          <w:sz w:val="21"/>
          <w:szCs w:val="21"/>
          <w:highlight w:val="none"/>
          <w:u w:val="single"/>
          <w:lang w:val="en-US" w:eastAsia="zh-CN" w:bidi="ar-SA"/>
        </w:rPr>
        <w:t>(2)</w:t>
      </w:r>
      <w:r>
        <w:rPr>
          <w:rFonts w:hint="eastAsia" w:ascii="宋体" w:hAnsi="宋体" w:eastAsia="宋体" w:cs="Times New Roman"/>
          <w:b w:val="0"/>
          <w:bCs w:val="0"/>
          <w:color w:val="auto"/>
          <w:kern w:val="2"/>
          <w:sz w:val="21"/>
          <w:szCs w:val="21"/>
          <w:highlight w:val="none"/>
          <w:u w:val="single"/>
          <w:lang w:val="en-US" w:eastAsia="zh-Hans" w:bidi="ar-SA"/>
        </w:rPr>
        <w:t>项目完成建设并实现项目整体建设目标后，统一将本项目向自治区公安厅科信办提请初步验收及档案专项验收，初步验收及档案专项验收通过后，采购人在本项目中标人提出付款申请后15个工作日内向中标人支付30%的合同款。</w:t>
      </w:r>
    </w:p>
    <w:p w14:paraId="28A3159F">
      <w:pPr>
        <w:keepNext w:val="0"/>
        <w:keepLines w:val="0"/>
        <w:snapToGrid w:val="0"/>
        <w:spacing w:before="0" w:after="0" w:line="360" w:lineRule="auto"/>
        <w:ind w:left="420" w:leftChars="200" w:firstLine="420" w:firstLineChars="200"/>
        <w:outlineLvl w:val="9"/>
        <w:rPr>
          <w:rFonts w:hint="eastAsia" w:ascii="宋体" w:hAnsi="宋体" w:cs="宋体"/>
          <w:b w:val="0"/>
          <w:bCs w:val="0"/>
          <w:color w:val="auto"/>
          <w:sz w:val="21"/>
          <w:szCs w:val="21"/>
          <w:highlight w:val="none"/>
        </w:rPr>
      </w:pPr>
      <w:r>
        <w:rPr>
          <w:rFonts w:hint="eastAsia" w:ascii="宋体" w:hAnsi="宋体" w:eastAsia="宋体" w:cs="Times New Roman"/>
          <w:b w:val="0"/>
          <w:bCs w:val="0"/>
          <w:color w:val="auto"/>
          <w:kern w:val="2"/>
          <w:sz w:val="21"/>
          <w:szCs w:val="21"/>
          <w:highlight w:val="none"/>
          <w:u w:val="single"/>
          <w:lang w:val="en-US" w:eastAsia="zh-CN" w:bidi="ar-SA"/>
        </w:rPr>
        <w:t>(3)</w:t>
      </w:r>
      <w:r>
        <w:rPr>
          <w:rFonts w:hint="eastAsia" w:ascii="宋体" w:hAnsi="宋体" w:eastAsia="宋体" w:cs="Times New Roman"/>
          <w:b w:val="0"/>
          <w:bCs w:val="0"/>
          <w:color w:val="auto"/>
          <w:kern w:val="2"/>
          <w:sz w:val="21"/>
          <w:szCs w:val="21"/>
          <w:highlight w:val="none"/>
          <w:u w:val="single"/>
          <w:lang w:val="en-US" w:eastAsia="zh-Hans" w:bidi="ar-SA"/>
        </w:rPr>
        <w:t>自治区公安厅科信办组织将项目报广西壮族自治区大数据发展局提请开展竣工验收，在竣工验收通过后，采购人在本项目中标人提出付款申请后15个工作日内向中标人支付</w:t>
      </w:r>
      <w:r>
        <w:rPr>
          <w:rFonts w:hint="eastAsia" w:ascii="宋体" w:hAnsi="宋体" w:eastAsia="宋体" w:cs="Times New Roman"/>
          <w:b w:val="0"/>
          <w:bCs w:val="0"/>
          <w:color w:val="auto"/>
          <w:kern w:val="2"/>
          <w:sz w:val="21"/>
          <w:szCs w:val="21"/>
          <w:highlight w:val="none"/>
          <w:u w:val="single"/>
          <w:lang w:val="en-US" w:eastAsia="zh-CN" w:bidi="ar-SA"/>
        </w:rPr>
        <w:t>4</w:t>
      </w:r>
      <w:r>
        <w:rPr>
          <w:rFonts w:hint="eastAsia" w:ascii="宋体" w:hAnsi="宋体" w:eastAsia="宋体" w:cs="Times New Roman"/>
          <w:b w:val="0"/>
          <w:bCs w:val="0"/>
          <w:color w:val="auto"/>
          <w:kern w:val="2"/>
          <w:sz w:val="21"/>
          <w:szCs w:val="21"/>
          <w:highlight w:val="none"/>
          <w:u w:val="single"/>
          <w:lang w:val="en-US" w:eastAsia="zh-Hans" w:bidi="ar-SA"/>
        </w:rPr>
        <w:t>0%的合同款。</w:t>
      </w:r>
    </w:p>
    <w:p w14:paraId="220A1C43">
      <w:pPr>
        <w:spacing w:line="360" w:lineRule="auto"/>
        <w:ind w:firstLine="840" w:firstLineChars="400"/>
        <w:rPr>
          <w:rFonts w:hint="eastAsia" w:ascii="宋体" w:hAnsi="宋体" w:eastAsia="宋体" w:cs="宋体"/>
          <w:b w:val="0"/>
          <w:bCs w:val="0"/>
          <w:color w:val="auto"/>
          <w:kern w:val="0"/>
          <w:sz w:val="21"/>
          <w:szCs w:val="21"/>
          <w:highlight w:val="none"/>
          <w:u w:val="single"/>
          <w:lang w:eastAsia="zh-CN" w:bidi="ar"/>
        </w:rPr>
      </w:pPr>
      <w:r>
        <w:rPr>
          <w:rFonts w:hint="eastAsia" w:ascii="宋体" w:hAnsi="宋体" w:cs="宋体"/>
          <w:b w:val="0"/>
          <w:bCs w:val="0"/>
          <w:color w:val="auto"/>
          <w:kern w:val="0"/>
          <w:sz w:val="21"/>
          <w:szCs w:val="21"/>
          <w:highlight w:val="none"/>
          <w:u w:val="single"/>
          <w:lang w:val="en-US" w:eastAsia="zh-CN" w:bidi="ar"/>
        </w:rPr>
        <w:t>(4)</w:t>
      </w:r>
      <w:r>
        <w:rPr>
          <w:rFonts w:hint="eastAsia" w:ascii="宋体" w:hAnsi="宋体" w:cs="宋体"/>
          <w:b w:val="0"/>
          <w:bCs w:val="0"/>
          <w:color w:val="auto"/>
          <w:kern w:val="0"/>
          <w:sz w:val="21"/>
          <w:szCs w:val="21"/>
          <w:highlight w:val="none"/>
          <w:u w:val="single"/>
          <w:lang w:bidi="ar"/>
        </w:rPr>
        <w:t>采购人付款前，中标人应向采购人提供与支付金额相符的有效发票，且收款方、出具发票方、合同乙方均必须与中标人名称一致</w:t>
      </w:r>
      <w:r>
        <w:rPr>
          <w:rFonts w:hint="eastAsia" w:ascii="宋体" w:hAnsi="宋体" w:cs="宋体"/>
          <w:b w:val="0"/>
          <w:bCs w:val="0"/>
          <w:color w:val="auto"/>
          <w:kern w:val="0"/>
          <w:sz w:val="21"/>
          <w:szCs w:val="21"/>
          <w:highlight w:val="none"/>
          <w:u w:val="single"/>
          <w:lang w:eastAsia="zh-CN" w:bidi="ar"/>
        </w:rPr>
        <w:t>的约定</w:t>
      </w:r>
      <w:r>
        <w:rPr>
          <w:rFonts w:hint="eastAsia" w:ascii="宋体" w:hAnsi="宋体" w:eastAsia="宋体" w:cs="宋体"/>
          <w:b w:val="0"/>
          <w:bCs w:val="0"/>
          <w:color w:val="auto"/>
          <w:kern w:val="0"/>
          <w:sz w:val="21"/>
          <w:szCs w:val="21"/>
          <w:highlight w:val="none"/>
          <w:u w:val="single"/>
          <w:lang w:eastAsia="zh-CN" w:bidi="ar"/>
        </w:rPr>
        <w:t>。</w:t>
      </w:r>
    </w:p>
    <w:p w14:paraId="16B53D55">
      <w:pPr>
        <w:pStyle w:val="4"/>
        <w:keepNext w:val="0"/>
        <w:keepLines w:val="0"/>
        <w:spacing w:before="0" w:after="0" w:line="44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六</w:t>
      </w:r>
      <w:r>
        <w:rPr>
          <w:rFonts w:hint="eastAsia" w:ascii="宋体" w:hAnsi="宋体" w:cs="宋体"/>
          <w:color w:val="auto"/>
          <w:sz w:val="21"/>
          <w:szCs w:val="21"/>
          <w:highlight w:val="none"/>
        </w:rPr>
        <w:t>条　履约保证金</w:t>
      </w:r>
    </w:p>
    <w:p w14:paraId="3E0D0A5E">
      <w:pPr>
        <w:autoSpaceDE w:val="0"/>
        <w:autoSpaceDN w:val="0"/>
        <w:spacing w:line="440" w:lineRule="exact"/>
        <w:ind w:firstLine="424" w:firstLineChars="202"/>
        <w:textAlignment w:val="bottom"/>
        <w:rPr>
          <w:rFonts w:hint="eastAsia" w:ascii="宋体" w:hAnsi="宋体" w:cs="宋体"/>
          <w:color w:val="auto"/>
          <w:szCs w:val="21"/>
          <w:highlight w:val="none"/>
        </w:rPr>
      </w:pPr>
      <w:r>
        <w:rPr>
          <w:rFonts w:hint="eastAsia" w:ascii="宋体" w:hAnsi="宋体" w:cs="宋体"/>
          <w:color w:val="auto"/>
          <w:szCs w:val="21"/>
          <w:highlight w:val="none"/>
        </w:rPr>
        <w:t>1、履约保证金金额：按中标总金额的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877D678">
      <w:pPr>
        <w:autoSpaceDE w:val="0"/>
        <w:autoSpaceDN w:val="0"/>
        <w:spacing w:line="440" w:lineRule="exact"/>
        <w:ind w:firstLine="424" w:firstLineChars="202"/>
        <w:textAlignment w:val="bottom"/>
        <w:rPr>
          <w:rFonts w:hint="eastAsia" w:ascii="宋体" w:hAnsi="宋体" w:cs="宋体"/>
          <w:color w:val="auto"/>
          <w:szCs w:val="21"/>
          <w:highlight w:val="none"/>
        </w:rPr>
      </w:pPr>
      <w:r>
        <w:rPr>
          <w:rFonts w:hint="eastAsia" w:ascii="宋体" w:hAnsi="宋体" w:cs="宋体"/>
          <w:color w:val="auto"/>
          <w:szCs w:val="21"/>
          <w:highlight w:val="none"/>
        </w:rPr>
        <w:t>2、履约保证金递交方式：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银行转帐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EC92929">
      <w:pPr>
        <w:autoSpaceDE w:val="0"/>
        <w:autoSpaceDN w:val="0"/>
        <w:spacing w:line="440" w:lineRule="exact"/>
        <w:ind w:firstLine="424" w:firstLineChars="202"/>
        <w:textAlignment w:val="bottom"/>
        <w:rPr>
          <w:rFonts w:hint="eastAsia" w:ascii="宋体" w:hAnsi="宋体" w:cs="宋体"/>
          <w:color w:val="auto"/>
          <w:szCs w:val="21"/>
          <w:highlight w:val="none"/>
        </w:rPr>
      </w:pPr>
      <w:r>
        <w:rPr>
          <w:rFonts w:hint="eastAsia" w:ascii="宋体" w:hAnsi="宋体" w:cs="宋体"/>
          <w:color w:val="auto"/>
          <w:szCs w:val="21"/>
          <w:highlight w:val="none"/>
        </w:rPr>
        <w:t>3、履约保证金退付方式、时间条件：</w:t>
      </w:r>
      <w:r>
        <w:rPr>
          <w:rFonts w:hint="eastAsia" w:ascii="宋体" w:hAnsi="宋体" w:cs="宋体"/>
          <w:color w:val="auto"/>
          <w:szCs w:val="21"/>
          <w:highlight w:val="none"/>
          <w:u w:val="single"/>
        </w:rPr>
        <w:t xml:space="preserve">  （按采购文件要求）  </w:t>
      </w:r>
      <w:r>
        <w:rPr>
          <w:rFonts w:hint="eastAsia" w:ascii="宋体" w:hAnsi="宋体" w:cs="宋体"/>
          <w:color w:val="auto"/>
          <w:szCs w:val="21"/>
          <w:highlight w:val="none"/>
        </w:rPr>
        <w:t>。</w:t>
      </w:r>
    </w:p>
    <w:p w14:paraId="48F85523">
      <w:pPr>
        <w:autoSpaceDE w:val="0"/>
        <w:autoSpaceDN w:val="0"/>
        <w:spacing w:line="440" w:lineRule="exact"/>
        <w:ind w:firstLine="424" w:firstLineChars="202"/>
        <w:textAlignment w:val="bottom"/>
        <w:rPr>
          <w:rFonts w:hint="eastAsia" w:ascii="宋体" w:hAnsi="宋体" w:cs="宋体"/>
          <w:color w:val="auto"/>
          <w:szCs w:val="21"/>
          <w:highlight w:val="none"/>
        </w:rPr>
      </w:pPr>
      <w:r>
        <w:rPr>
          <w:rFonts w:hint="eastAsia" w:ascii="宋体" w:hAnsi="宋体" w:cs="宋体"/>
          <w:color w:val="auto"/>
          <w:szCs w:val="21"/>
          <w:highlight w:val="none"/>
        </w:rPr>
        <w:t>4、在履约保证金到期退还前，若乙方的开户名称、开户银行、账号有变动的，以书面形式通知甲方，否则由此产生的后果由乙方自负。</w:t>
      </w:r>
    </w:p>
    <w:p w14:paraId="37D3A9F1">
      <w:pPr>
        <w:autoSpaceDE w:val="0"/>
        <w:autoSpaceDN w:val="0"/>
        <w:spacing w:line="440" w:lineRule="exact"/>
        <w:ind w:firstLine="424" w:firstLineChars="202"/>
        <w:textAlignment w:val="bottom"/>
        <w:rPr>
          <w:rFonts w:hint="eastAsia" w:ascii="宋体" w:hAnsi="宋体" w:cs="宋体"/>
          <w:color w:val="auto"/>
          <w:szCs w:val="21"/>
          <w:highlight w:val="none"/>
        </w:rPr>
      </w:pPr>
      <w:r>
        <w:rPr>
          <w:rFonts w:hint="eastAsia" w:ascii="宋体" w:hAnsi="宋体" w:cs="宋体"/>
          <w:color w:val="auto"/>
          <w:szCs w:val="21"/>
          <w:highlight w:val="none"/>
        </w:rPr>
        <w:t>5、存在以下行为的，履约保证金不予退还：</w:t>
      </w:r>
    </w:p>
    <w:p w14:paraId="0AE58600">
      <w:pPr>
        <w:autoSpaceDE w:val="0"/>
        <w:autoSpaceDN w:val="0"/>
        <w:spacing w:line="440" w:lineRule="exact"/>
        <w:ind w:firstLine="424" w:firstLineChars="202"/>
        <w:textAlignment w:val="bottom"/>
        <w:rPr>
          <w:rFonts w:hint="eastAsia" w:ascii="宋体" w:hAnsi="宋体" w:cs="宋体"/>
          <w:color w:val="auto"/>
          <w:szCs w:val="21"/>
          <w:highlight w:val="none"/>
        </w:rPr>
      </w:pPr>
      <w:r>
        <w:rPr>
          <w:rFonts w:hint="eastAsia" w:ascii="宋体" w:hAnsi="宋体" w:cs="宋体"/>
          <w:color w:val="auto"/>
          <w:szCs w:val="21"/>
          <w:highlight w:val="none"/>
        </w:rPr>
        <w:t>（1）乙方造成重大事故的；</w:t>
      </w:r>
    </w:p>
    <w:p w14:paraId="537B8B43">
      <w:pPr>
        <w:autoSpaceDE w:val="0"/>
        <w:autoSpaceDN w:val="0"/>
        <w:spacing w:line="440" w:lineRule="exact"/>
        <w:ind w:firstLine="424" w:firstLineChars="202"/>
        <w:textAlignment w:val="bottom"/>
        <w:rPr>
          <w:rFonts w:hint="eastAsia" w:ascii="宋体" w:hAnsi="宋体" w:cs="宋体"/>
          <w:color w:val="auto"/>
          <w:szCs w:val="21"/>
          <w:highlight w:val="none"/>
        </w:rPr>
      </w:pPr>
      <w:r>
        <w:rPr>
          <w:rFonts w:hint="eastAsia" w:ascii="宋体" w:hAnsi="宋体" w:cs="宋体"/>
          <w:color w:val="auto"/>
          <w:szCs w:val="21"/>
          <w:highlight w:val="none"/>
        </w:rPr>
        <w:t>（2）乙方未按本合同和投标文件中规定的服务承诺提供服务的；</w:t>
      </w:r>
    </w:p>
    <w:p w14:paraId="61B1214F">
      <w:pPr>
        <w:autoSpaceDE w:val="0"/>
        <w:autoSpaceDN w:val="0"/>
        <w:spacing w:line="440" w:lineRule="exact"/>
        <w:ind w:firstLine="424" w:firstLineChars="202"/>
        <w:textAlignment w:val="bottom"/>
        <w:rPr>
          <w:rFonts w:hint="eastAsia" w:ascii="宋体" w:hAnsi="宋体" w:cs="宋体"/>
          <w:color w:val="auto"/>
          <w:szCs w:val="21"/>
          <w:highlight w:val="none"/>
        </w:rPr>
      </w:pPr>
      <w:r>
        <w:rPr>
          <w:rFonts w:hint="eastAsia" w:ascii="宋体" w:hAnsi="宋体" w:cs="宋体"/>
          <w:color w:val="auto"/>
          <w:szCs w:val="21"/>
          <w:highlight w:val="none"/>
        </w:rPr>
        <w:t>（3）在合同履约期间，乙方主动提出解除合同（如果因不可抗力因素造成的除外）的。</w:t>
      </w:r>
    </w:p>
    <w:p w14:paraId="413190BF">
      <w:pPr>
        <w:spacing w:line="440" w:lineRule="exact"/>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6、如甲方不能按时退还履约保证金的，每逾期一日，按甲方应付合同款的3‰向乙方支付违约金。</w:t>
      </w:r>
    </w:p>
    <w:p w14:paraId="720CEE4A">
      <w:pPr>
        <w:pStyle w:val="4"/>
        <w:keepNext w:val="0"/>
        <w:keepLines w:val="0"/>
        <w:spacing w:before="0" w:after="0" w:line="44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七</w:t>
      </w:r>
      <w:r>
        <w:rPr>
          <w:rFonts w:hint="eastAsia" w:ascii="宋体" w:hAnsi="宋体" w:cs="宋体"/>
          <w:color w:val="auto"/>
          <w:sz w:val="21"/>
          <w:szCs w:val="21"/>
          <w:highlight w:val="none"/>
        </w:rPr>
        <w:t>条  税费</w:t>
      </w:r>
    </w:p>
    <w:p w14:paraId="6E87EEC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73AA5B51">
      <w:pPr>
        <w:pStyle w:val="4"/>
        <w:keepNext w:val="0"/>
        <w:keepLines w:val="0"/>
        <w:spacing w:before="0" w:after="0" w:line="44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八</w:t>
      </w:r>
      <w:r>
        <w:rPr>
          <w:rFonts w:hint="eastAsia" w:ascii="宋体" w:hAnsi="宋体" w:cs="宋体"/>
          <w:color w:val="auto"/>
          <w:sz w:val="21"/>
          <w:szCs w:val="21"/>
          <w:highlight w:val="none"/>
        </w:rPr>
        <w:t>条　</w:t>
      </w:r>
      <w:r>
        <w:rPr>
          <w:rFonts w:hint="eastAsia" w:ascii="宋体" w:hAnsi="宋体" w:cs="宋体"/>
          <w:color w:val="auto"/>
          <w:sz w:val="21"/>
          <w:szCs w:val="21"/>
          <w:highlight w:val="none"/>
          <w:lang w:eastAsia="zh-Hans"/>
        </w:rPr>
        <w:t>服务成果质量保证及售后服务</w:t>
      </w:r>
    </w:p>
    <w:p w14:paraId="4FC9CDE6">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Hans"/>
        </w:rPr>
        <w:t>、</w:t>
      </w:r>
      <w:r>
        <w:rPr>
          <w:rFonts w:hint="eastAsia" w:ascii="宋体" w:hAnsi="宋体"/>
          <w:color w:val="auto"/>
          <w:szCs w:val="21"/>
          <w:highlight w:val="none"/>
        </w:rPr>
        <w:t>乙方应按招标文件规定的采购内容，其数量、项目要求(技术参数需求)等质量必须为合格的</w:t>
      </w:r>
      <w:r>
        <w:rPr>
          <w:rFonts w:hint="eastAsia" w:ascii="宋体" w:hAnsi="宋体"/>
          <w:color w:val="auto"/>
          <w:szCs w:val="21"/>
          <w:highlight w:val="none"/>
          <w:lang w:eastAsia="zh-Hans"/>
        </w:rPr>
        <w:t>设备、服务和</w:t>
      </w:r>
      <w:r>
        <w:rPr>
          <w:rFonts w:hint="eastAsia" w:ascii="宋体" w:hAnsi="宋体"/>
          <w:color w:val="auto"/>
          <w:szCs w:val="21"/>
          <w:highlight w:val="none"/>
        </w:rPr>
        <w:t>服务成果。乙方提供服务成果的</w:t>
      </w:r>
      <w:r>
        <w:rPr>
          <w:rFonts w:hint="eastAsia" w:ascii="宋体" w:hAnsi="宋体"/>
          <w:color w:val="auto"/>
          <w:szCs w:val="21"/>
          <w:highlight w:val="none"/>
          <w:lang w:val="en-US" w:eastAsia="zh-CN"/>
        </w:rPr>
        <w:t>维保期</w:t>
      </w:r>
      <w:r>
        <w:rPr>
          <w:rFonts w:hint="eastAsia" w:ascii="宋体" w:hAnsi="宋体"/>
          <w:color w:val="auto"/>
          <w:szCs w:val="21"/>
          <w:highlight w:val="none"/>
        </w:rPr>
        <w:t>按交付服务成果最终验收合格之日起计（</w:t>
      </w:r>
      <w:r>
        <w:rPr>
          <w:rFonts w:hint="eastAsia" w:ascii="宋体" w:hAnsi="宋体"/>
          <w:color w:val="auto"/>
          <w:szCs w:val="21"/>
          <w:highlight w:val="none"/>
          <w:lang w:eastAsia="zh-Hans"/>
        </w:rPr>
        <w:t>如有</w:t>
      </w:r>
      <w:r>
        <w:rPr>
          <w:rFonts w:hint="eastAsia" w:ascii="宋体" w:hAnsi="宋体"/>
          <w:color w:val="auto"/>
          <w:szCs w:val="21"/>
          <w:highlight w:val="none"/>
        </w:rPr>
        <w:t>）。在保证期内因</w:t>
      </w:r>
      <w:r>
        <w:rPr>
          <w:rFonts w:hint="eastAsia" w:ascii="宋体" w:hAnsi="宋体"/>
          <w:color w:val="auto"/>
          <w:szCs w:val="21"/>
          <w:highlight w:val="none"/>
          <w:lang w:eastAsia="zh-Hans"/>
        </w:rPr>
        <w:t>设备和服务</w:t>
      </w:r>
      <w:r>
        <w:rPr>
          <w:rFonts w:hint="eastAsia" w:ascii="宋体" w:hAnsi="宋体"/>
          <w:color w:val="auto"/>
          <w:szCs w:val="21"/>
          <w:highlight w:val="none"/>
        </w:rPr>
        <w:t>本身的质量问题发生故障，乙方应对</w:t>
      </w:r>
      <w:r>
        <w:rPr>
          <w:rFonts w:hint="eastAsia" w:ascii="宋体" w:hAnsi="宋体"/>
          <w:color w:val="auto"/>
          <w:szCs w:val="21"/>
          <w:highlight w:val="none"/>
          <w:lang w:eastAsia="zh-Hans"/>
        </w:rPr>
        <w:t>设备和</w:t>
      </w:r>
      <w:r>
        <w:rPr>
          <w:rFonts w:hint="eastAsia" w:ascii="宋体" w:hAnsi="宋体"/>
          <w:color w:val="auto"/>
          <w:szCs w:val="21"/>
          <w:highlight w:val="none"/>
        </w:rPr>
        <w:t>服务出现的问题负责处理解决并承担一切费用。对达不到技术要求者，根据实际情况，经双方协商，可按以下办法处理：</w:t>
      </w:r>
    </w:p>
    <w:p w14:paraId="6091F62F">
      <w:pPr>
        <w:pStyle w:val="11"/>
        <w:spacing w:line="440" w:lineRule="exact"/>
        <w:ind w:firstLine="420" w:firstLineChars="200"/>
        <w:rPr>
          <w:rFonts w:hint="eastAsia" w:hAnsi="宋体"/>
          <w:color w:val="auto"/>
          <w:sz w:val="21"/>
          <w:highlight w:val="none"/>
        </w:rPr>
      </w:pPr>
      <w:r>
        <w:rPr>
          <w:rFonts w:hint="eastAsia" w:hAnsi="宋体"/>
          <w:color w:val="auto"/>
          <w:sz w:val="21"/>
          <w:highlight w:val="none"/>
        </w:rPr>
        <w:t>⑴更换：由乙方承担所发生的全部费用。</w:t>
      </w:r>
    </w:p>
    <w:p w14:paraId="6EAC4F08">
      <w:pPr>
        <w:pStyle w:val="11"/>
        <w:spacing w:line="440" w:lineRule="exact"/>
        <w:ind w:firstLine="420"/>
        <w:rPr>
          <w:rFonts w:hint="eastAsia" w:hAnsi="宋体"/>
          <w:color w:val="auto"/>
          <w:sz w:val="21"/>
          <w:highlight w:val="none"/>
        </w:rPr>
      </w:pPr>
      <w:r>
        <w:rPr>
          <w:rFonts w:hint="eastAsia" w:hAnsi="宋体"/>
          <w:color w:val="auto"/>
          <w:sz w:val="21"/>
          <w:highlight w:val="none"/>
        </w:rPr>
        <w:t>⑵贬值处理：由甲乙双方合议定价。</w:t>
      </w:r>
    </w:p>
    <w:p w14:paraId="115F2E4A">
      <w:pPr>
        <w:pStyle w:val="11"/>
        <w:spacing w:line="440" w:lineRule="exact"/>
        <w:ind w:firstLine="420"/>
        <w:rPr>
          <w:rFonts w:hAnsi="宋体"/>
          <w:color w:val="auto"/>
          <w:sz w:val="21"/>
          <w:highlight w:val="none"/>
        </w:rPr>
      </w:pPr>
      <w:r>
        <w:rPr>
          <w:rFonts w:hint="eastAsia" w:hAnsi="宋体"/>
          <w:color w:val="auto"/>
          <w:sz w:val="21"/>
          <w:highlight w:val="none"/>
        </w:rPr>
        <w:t>⑶退</w:t>
      </w:r>
      <w:r>
        <w:rPr>
          <w:rFonts w:hint="eastAsia" w:hAnsi="宋体"/>
          <w:color w:val="auto"/>
          <w:sz w:val="21"/>
          <w:highlight w:val="none"/>
          <w:lang w:eastAsia="zh-Hans"/>
        </w:rPr>
        <w:t>费</w:t>
      </w:r>
      <w:r>
        <w:rPr>
          <w:rFonts w:hint="eastAsia" w:hAnsi="宋体"/>
          <w:color w:val="auto"/>
          <w:sz w:val="21"/>
          <w:highlight w:val="none"/>
        </w:rPr>
        <w:t>处理：乙方应退还甲方支付的合同款，同时应承担</w:t>
      </w:r>
      <w:r>
        <w:rPr>
          <w:rFonts w:hint="eastAsia" w:hAnsi="宋体"/>
          <w:color w:val="auto"/>
          <w:sz w:val="21"/>
          <w:highlight w:val="none"/>
          <w:lang w:eastAsia="zh-Hans"/>
        </w:rPr>
        <w:t>因此产生的全部</w:t>
      </w:r>
      <w:r>
        <w:rPr>
          <w:rFonts w:hint="eastAsia" w:hAnsi="宋体"/>
          <w:color w:val="auto"/>
          <w:sz w:val="21"/>
          <w:highlight w:val="none"/>
        </w:rPr>
        <w:t>直接费用（运输、保险、检验、货款利息及银行手续费等）。</w:t>
      </w:r>
    </w:p>
    <w:p w14:paraId="076ADFE4">
      <w:pPr>
        <w:spacing w:line="44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Hans"/>
        </w:rPr>
        <w:t>、</w:t>
      </w:r>
      <w:r>
        <w:rPr>
          <w:rFonts w:hint="eastAsia" w:ascii="宋体" w:hAnsi="宋体"/>
          <w:color w:val="auto"/>
          <w:szCs w:val="21"/>
          <w:highlight w:val="none"/>
        </w:rPr>
        <w:t>乙方应按照国家有关法律法规和“三包”规定以及招投标文件和本合同所附的《服务承诺》，为甲方提供售后服务。</w:t>
      </w:r>
    </w:p>
    <w:p w14:paraId="16A55AE1">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Hans"/>
        </w:rPr>
        <w:t>、</w:t>
      </w:r>
      <w:r>
        <w:rPr>
          <w:rFonts w:hint="eastAsia" w:ascii="宋体" w:hAnsi="宋体"/>
          <w:color w:val="auto"/>
          <w:szCs w:val="21"/>
          <w:highlight w:val="none"/>
        </w:rPr>
        <w:t>乙方提供的服务承诺和售后服务及质量保证等其它具体约定事项。（见合同附件）</w:t>
      </w:r>
    </w:p>
    <w:p w14:paraId="50AF3C12">
      <w:pPr>
        <w:pStyle w:val="4"/>
        <w:keepNext w:val="0"/>
        <w:keepLines w:val="0"/>
        <w:spacing w:before="0" w:after="0" w:line="44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lang w:eastAsia="zh-Hans"/>
        </w:rPr>
        <w:t>第</w:t>
      </w:r>
      <w:r>
        <w:rPr>
          <w:rFonts w:hint="eastAsia" w:ascii="宋体" w:hAnsi="宋体" w:cs="宋体"/>
          <w:color w:val="auto"/>
          <w:sz w:val="21"/>
          <w:szCs w:val="21"/>
          <w:highlight w:val="none"/>
          <w:lang w:val="en-US" w:eastAsia="zh-CN"/>
        </w:rPr>
        <w:t>九</w:t>
      </w:r>
      <w:r>
        <w:rPr>
          <w:rFonts w:hint="eastAsia" w:ascii="宋体" w:hAnsi="宋体" w:cs="宋体"/>
          <w:color w:val="auto"/>
          <w:sz w:val="21"/>
          <w:szCs w:val="21"/>
          <w:highlight w:val="none"/>
          <w:lang w:eastAsia="zh-Hans"/>
        </w:rPr>
        <w:t>条</w:t>
      </w:r>
      <w:r>
        <w:rPr>
          <w:rFonts w:ascii="宋体" w:hAnsi="宋体" w:cs="宋体"/>
          <w:color w:val="auto"/>
          <w:sz w:val="21"/>
          <w:szCs w:val="21"/>
          <w:highlight w:val="none"/>
          <w:lang w:eastAsia="zh-Hans"/>
        </w:rPr>
        <w:t xml:space="preserve"> </w:t>
      </w:r>
      <w:r>
        <w:rPr>
          <w:rFonts w:hint="eastAsia" w:ascii="宋体" w:hAnsi="宋体" w:cs="宋体"/>
          <w:color w:val="auto"/>
          <w:sz w:val="21"/>
          <w:szCs w:val="21"/>
          <w:highlight w:val="none"/>
        </w:rPr>
        <w:t>违约责任</w:t>
      </w:r>
    </w:p>
    <w:p w14:paraId="6C531808">
      <w:pPr>
        <w:numPr>
          <w:ilvl w:val="0"/>
          <w:numId w:val="8"/>
        </w:num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在合同履行期间，甲方要求终止或解除合同，乙方未开始工作的，甲方不予以支付任何费用。</w:t>
      </w:r>
    </w:p>
    <w:p w14:paraId="271ABE92">
      <w:pPr>
        <w:numPr>
          <w:ilvl w:val="0"/>
          <w:numId w:val="8"/>
        </w:numPr>
        <w:spacing w:line="440" w:lineRule="exact"/>
        <w:ind w:firstLine="420" w:firstLineChars="200"/>
        <w:rPr>
          <w:rFonts w:ascii="宋体" w:hAnsi="宋体"/>
          <w:color w:val="auto"/>
          <w:szCs w:val="21"/>
          <w:highlight w:val="none"/>
        </w:rPr>
      </w:pPr>
      <w:r>
        <w:rPr>
          <w:rFonts w:hint="eastAsia" w:ascii="宋体" w:hAnsi="宋体" w:cs="宋体"/>
          <w:color w:val="auto"/>
          <w:szCs w:val="21"/>
          <w:highlight w:val="none"/>
        </w:rPr>
        <w:t>如果乙方没有按照合同规定的时间交货或提供服务，甲方可要求乙方支付违约金，违约金按每周迟交货物或未提供服务交货价的0.5%计收。</w:t>
      </w:r>
    </w:p>
    <w:p w14:paraId="143D0F88">
      <w:pPr>
        <w:spacing w:line="44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所提供的设备和服务成果的数量、技术参数要求(技术参数需求)、质量等不符合合同要求的，应无条件及时整改；乙方在甲方规定期限内不能完成整改的或无正当理由拒绝整改或经整改后仍不能达到甲方要求的，甲方有权终止合同，并按整改不通过部分总价的10%计算违约金。</w:t>
      </w:r>
    </w:p>
    <w:p w14:paraId="0956D902">
      <w:pPr>
        <w:spacing w:line="44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bookmarkStart w:id="164" w:name="_Hlk50579011"/>
      <w:r>
        <w:rPr>
          <w:rFonts w:hint="eastAsia" w:ascii="宋体" w:hAnsi="宋体" w:cs="宋体"/>
          <w:color w:val="auto"/>
          <w:szCs w:val="21"/>
          <w:highlight w:val="none"/>
        </w:rPr>
        <w:t>乙方未按本合同和投标文件中规定的服务承诺提供售后服务的，且经甲方提醒后仍未及时提供售后服务的，每出现一次，乙方应按本合同合计金额 0.03%向甲方支付违约金。</w:t>
      </w:r>
      <w:bookmarkEnd w:id="164"/>
    </w:p>
    <w:p w14:paraId="2EDE9DE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、除因甲方自身原因外，乙方操作造成甲方系统数据丢失、泄密的，应按合同金额的10%支付违约金，违约金不足以弥补甲方损失的，还应支付赔偿金。</w:t>
      </w:r>
    </w:p>
    <w:p w14:paraId="7E37C44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、如乙方违反合同约定的信息安全及保密要求，每违反一次收取合同金额 0.2%的违约金，累计不超过合同金额的 10%，违约金不足以弥补甲方实际损失的，还应支付赔偿金。</w:t>
      </w:r>
    </w:p>
    <w:p w14:paraId="55C90A7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、未经甲方同意，乙方不能就所中标的项目进行分包、转包，如发现乙方有分包、转包现象，甲方有权解除合同，不再支付未付款项，并要求乙方支付合同总价款 10%的违约金。如因此给甲方造成损失的，还应赔偿甲方损失。</w:t>
      </w:r>
    </w:p>
    <w:p w14:paraId="6C67FBF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Hans"/>
        </w:rPr>
        <w:t>、乙方提供的服务成果如侵犯了第三方合法权益而引发的任何纠纷或诉讼，均由乙方负责交涉并承担全部责任。甲方有权解除合同，合同金额没有支付的，不再支付；已经支付的，甲方有权追回，且乙方应按合同金额 10%承担违约金，造成甲方损失的，还应赔偿甲方损失。</w:t>
      </w:r>
    </w:p>
    <w:p w14:paraId="2C1752C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Hans"/>
        </w:rPr>
        <w:t>、</w:t>
      </w:r>
      <w:r>
        <w:rPr>
          <w:rFonts w:hint="eastAsia" w:ascii="宋体" w:hAnsi="宋体" w:cs="宋体"/>
          <w:color w:val="auto"/>
          <w:szCs w:val="21"/>
          <w:highlight w:val="none"/>
        </w:rPr>
        <w:t>由于</w:t>
      </w:r>
      <w:r>
        <w:rPr>
          <w:rFonts w:hint="eastAsia" w:ascii="宋体" w:hAnsi="宋体" w:cs="宋体"/>
          <w:color w:val="auto"/>
          <w:szCs w:val="21"/>
          <w:highlight w:val="none"/>
          <w:lang w:eastAsia="zh-Hans"/>
        </w:rPr>
        <w:t>乙方</w:t>
      </w:r>
      <w:r>
        <w:rPr>
          <w:rFonts w:hint="eastAsia" w:ascii="宋体" w:hAnsi="宋体" w:cs="宋体"/>
          <w:color w:val="auto"/>
          <w:szCs w:val="21"/>
          <w:highlight w:val="none"/>
        </w:rPr>
        <w:t>管理失误造成较大事故的，甲方有权利终止合同，并要求乙方赔偿其造成的损失并不</w:t>
      </w:r>
      <w:r>
        <w:rPr>
          <w:rFonts w:hint="eastAsia" w:ascii="宋体" w:hAnsi="宋体" w:cs="宋体"/>
          <w:color w:val="auto"/>
          <w:szCs w:val="21"/>
          <w:highlight w:val="none"/>
          <w:lang w:eastAsia="zh-Hans"/>
        </w:rPr>
        <w:t>予</w:t>
      </w:r>
      <w:r>
        <w:rPr>
          <w:rFonts w:hint="eastAsia" w:ascii="宋体" w:hAnsi="宋体" w:cs="宋体"/>
          <w:color w:val="auto"/>
          <w:szCs w:val="21"/>
          <w:highlight w:val="none"/>
        </w:rPr>
        <w:t>退还履约保证金。</w:t>
      </w:r>
    </w:p>
    <w:p w14:paraId="294B052F">
      <w:pPr>
        <w:spacing w:line="440" w:lineRule="exact"/>
        <w:ind w:firstLine="420" w:firstLineChars="200"/>
        <w:rPr>
          <w:rFonts w:hint="eastAsia" w:ascii="宋体" w:hAnsi="宋体"/>
          <w:color w:val="auto"/>
          <w:szCs w:val="21"/>
          <w:highlight w:val="none"/>
          <w:lang w:eastAsia="zh-Hans"/>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Hans"/>
        </w:rPr>
        <w:t>、</w:t>
      </w:r>
      <w:r>
        <w:rPr>
          <w:rFonts w:hint="eastAsia" w:ascii="宋体" w:hAnsi="宋体"/>
          <w:color w:val="auto"/>
          <w:szCs w:val="21"/>
          <w:highlight w:val="none"/>
        </w:rPr>
        <w:t>本条所称损失是指一方因另一方违约而遭受的全部经济损失（包括但不限于直接损失、间接损失及实现债权的费用，如诉讼费、律师费、差旅费、调查费、财产保全责任险保险费等）</w:t>
      </w:r>
      <w:r>
        <w:rPr>
          <w:rFonts w:hint="eastAsia" w:ascii="宋体" w:hAnsi="宋体"/>
          <w:color w:val="auto"/>
          <w:szCs w:val="21"/>
          <w:highlight w:val="none"/>
          <w:lang w:eastAsia="zh-Hans"/>
        </w:rPr>
        <w:t>。</w:t>
      </w:r>
    </w:p>
    <w:p w14:paraId="51CFE170">
      <w:pPr>
        <w:spacing w:line="440" w:lineRule="exact"/>
        <w:ind w:firstLine="420" w:firstLineChars="200"/>
        <w:rPr>
          <w:rFonts w:hint="eastAsia" w:ascii="宋体" w:hAnsi="宋体"/>
          <w:color w:val="auto"/>
          <w:szCs w:val="21"/>
          <w:highlight w:val="none"/>
          <w:lang w:eastAsia="zh-Hans"/>
        </w:rPr>
      </w:pPr>
      <w:r>
        <w:rPr>
          <w:rFonts w:hint="eastAsia" w:ascii="宋体" w:hAnsi="宋体"/>
          <w:color w:val="auto"/>
          <w:szCs w:val="21"/>
          <w:highlight w:val="none"/>
          <w:lang w:val="en-US" w:eastAsia="zh-CN"/>
        </w:rPr>
        <w:t>11</w:t>
      </w:r>
      <w:r>
        <w:rPr>
          <w:rFonts w:hint="eastAsia" w:ascii="宋体" w:hAnsi="宋体"/>
          <w:color w:val="auto"/>
          <w:szCs w:val="21"/>
          <w:highlight w:val="none"/>
          <w:lang w:eastAsia="zh-Hans"/>
        </w:rPr>
        <w:t>、</w:t>
      </w:r>
      <w:r>
        <w:rPr>
          <w:rFonts w:hint="eastAsia" w:ascii="宋体" w:hAnsi="宋体"/>
          <w:color w:val="auto"/>
          <w:szCs w:val="21"/>
          <w:highlight w:val="none"/>
        </w:rPr>
        <w:t>甲方有权从未付价款和履约保证金中先行扣除乙方应支付的违约金、赔偿金，不足另补。</w:t>
      </w:r>
    </w:p>
    <w:p w14:paraId="31857DA0">
      <w:pPr>
        <w:pStyle w:val="4"/>
        <w:keepNext w:val="0"/>
        <w:keepLines w:val="0"/>
        <w:spacing w:before="0" w:after="0" w:line="44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第十条  不可抗力事件处理</w:t>
      </w:r>
    </w:p>
    <w:p w14:paraId="58F50A6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2CC23D7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r>
        <w:rPr>
          <w:rFonts w:hint="eastAsia" w:ascii="宋体" w:hAnsi="宋体" w:cs="宋体"/>
          <w:color w:val="auto"/>
          <w:szCs w:val="21"/>
          <w:highlight w:val="none"/>
          <w:lang w:val="en-US" w:eastAsia="zh-CN"/>
        </w:rPr>
        <w:t>或相关证明材料</w:t>
      </w:r>
      <w:r>
        <w:rPr>
          <w:rFonts w:hint="eastAsia" w:ascii="宋体" w:hAnsi="宋体" w:cs="宋体"/>
          <w:color w:val="auto"/>
          <w:szCs w:val="21"/>
          <w:highlight w:val="none"/>
        </w:rPr>
        <w:t>。</w:t>
      </w:r>
    </w:p>
    <w:p w14:paraId="7EE3680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27265DAB">
      <w:pPr>
        <w:pStyle w:val="4"/>
        <w:keepNext w:val="0"/>
        <w:keepLines w:val="0"/>
        <w:spacing w:before="0" w:after="0" w:line="44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第十</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rPr>
        <w:t>条  合同争议解决</w:t>
      </w:r>
    </w:p>
    <w:p w14:paraId="37B6DCC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0B0BD99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2、因履行本合同引起的或者与本合同有关的争议，甲乙双方应首先通过友好协商解决，如果协商不能解决，可向甲方所在地有管辖权人民法院提起诉讼。</w:t>
      </w:r>
    </w:p>
    <w:p w14:paraId="3FA4AE9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3D554CDB">
      <w:pPr>
        <w:pStyle w:val="4"/>
        <w:keepNext w:val="0"/>
        <w:keepLines w:val="0"/>
        <w:spacing w:before="0" w:after="0" w:line="44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第十</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条  合同生效及其它</w:t>
      </w:r>
    </w:p>
    <w:p w14:paraId="55F9FD3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1、合同经双方法定代表人（负责人）或者授权代表签字并加盖单位公章后生效（委托代理人签字的需后附法定代表人（负责人）授权委托书，格式自拟）。</w:t>
      </w:r>
    </w:p>
    <w:p w14:paraId="0C45F7F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2、合同执行中涉及采购资金和采购内容修改或者补充的，须签书面补充协议报财政部门备案，方可作为主合同不可分割的一部分。</w:t>
      </w:r>
    </w:p>
    <w:p w14:paraId="6373B4D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3、本合同未尽事宜，遵照《民法典》有关条文执行。</w:t>
      </w:r>
    </w:p>
    <w:p w14:paraId="4642E8CA">
      <w:pPr>
        <w:pStyle w:val="4"/>
        <w:keepNext w:val="0"/>
        <w:keepLines w:val="0"/>
        <w:spacing w:before="0" w:after="0" w:line="44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第十</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条　合同的变更、终止与转让</w:t>
      </w:r>
    </w:p>
    <w:p w14:paraId="474261B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5141383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23E44B36">
      <w:pPr>
        <w:pStyle w:val="4"/>
        <w:keepNext w:val="0"/>
        <w:keepLines w:val="0"/>
        <w:spacing w:before="0" w:after="0" w:line="440" w:lineRule="exact"/>
        <w:ind w:left="42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第十</w:t>
      </w:r>
      <w:r>
        <w:rPr>
          <w:rFonts w:hint="eastAsia" w:ascii="宋体" w:hAnsi="宋体" w:cs="宋体"/>
          <w:color w:val="auto"/>
          <w:sz w:val="21"/>
          <w:szCs w:val="21"/>
          <w:highlight w:val="none"/>
          <w:lang w:val="en-US" w:eastAsia="zh-CN"/>
        </w:rPr>
        <w:t>四</w:t>
      </w:r>
      <w:r>
        <w:rPr>
          <w:rFonts w:hint="eastAsia" w:ascii="宋体" w:hAnsi="宋体" w:cs="宋体"/>
          <w:color w:val="auto"/>
          <w:sz w:val="21"/>
          <w:szCs w:val="21"/>
          <w:highlight w:val="none"/>
        </w:rPr>
        <w:t>条　签订本合同依据</w:t>
      </w:r>
    </w:p>
    <w:p w14:paraId="52F050EF">
      <w:pPr>
        <w:pStyle w:val="11"/>
        <w:spacing w:line="440" w:lineRule="exact"/>
        <w:ind w:left="420" w:leftChars="200"/>
        <w:outlineLvl w:val="1"/>
        <w:rPr>
          <w:rFonts w:hint="eastAsia" w:hAnsi="宋体" w:cs="宋体"/>
          <w:color w:val="auto"/>
          <w:sz w:val="21"/>
          <w:highlight w:val="none"/>
        </w:rPr>
      </w:pPr>
      <w:bookmarkStart w:id="165" w:name="_Toc5987"/>
      <w:r>
        <w:rPr>
          <w:rFonts w:hint="eastAsia" w:hAnsi="宋体" w:cs="宋体"/>
          <w:color w:val="auto"/>
          <w:sz w:val="21"/>
          <w:highlight w:val="none"/>
        </w:rPr>
        <w:t>1.中标通知书</w:t>
      </w:r>
      <w:bookmarkEnd w:id="165"/>
    </w:p>
    <w:p w14:paraId="455AE504">
      <w:pPr>
        <w:pStyle w:val="11"/>
        <w:spacing w:line="440" w:lineRule="exact"/>
        <w:ind w:left="420" w:leftChars="200"/>
        <w:outlineLvl w:val="1"/>
        <w:rPr>
          <w:rFonts w:hint="eastAsia" w:hAnsi="宋体" w:cs="宋体"/>
          <w:color w:val="auto"/>
          <w:sz w:val="21"/>
          <w:highlight w:val="none"/>
        </w:rPr>
      </w:pPr>
      <w:bookmarkStart w:id="166" w:name="_Toc12767"/>
      <w:r>
        <w:rPr>
          <w:rFonts w:hint="eastAsia" w:hAnsi="宋体" w:cs="宋体"/>
          <w:color w:val="auto"/>
          <w:sz w:val="21"/>
          <w:highlight w:val="none"/>
        </w:rPr>
        <w:t>2.投标文件</w:t>
      </w:r>
      <w:bookmarkEnd w:id="166"/>
    </w:p>
    <w:p w14:paraId="583BF507">
      <w:pPr>
        <w:pStyle w:val="11"/>
        <w:spacing w:line="440" w:lineRule="exact"/>
        <w:ind w:left="420" w:leftChars="200"/>
        <w:outlineLvl w:val="1"/>
        <w:rPr>
          <w:rFonts w:hint="eastAsia" w:hAnsi="宋体" w:cs="宋体"/>
          <w:color w:val="auto"/>
          <w:sz w:val="21"/>
          <w:highlight w:val="none"/>
        </w:rPr>
      </w:pPr>
      <w:bookmarkStart w:id="167" w:name="_Toc22616"/>
      <w:r>
        <w:rPr>
          <w:rFonts w:hint="eastAsia" w:hAnsi="宋体" w:cs="宋体"/>
          <w:color w:val="auto"/>
          <w:sz w:val="21"/>
          <w:highlight w:val="none"/>
        </w:rPr>
        <w:t>3.中标人澄清函（如有）</w:t>
      </w:r>
      <w:bookmarkEnd w:id="167"/>
    </w:p>
    <w:p w14:paraId="65769AB9">
      <w:pPr>
        <w:pStyle w:val="11"/>
        <w:spacing w:line="440" w:lineRule="exact"/>
        <w:ind w:left="420" w:leftChars="200"/>
        <w:outlineLvl w:val="1"/>
        <w:rPr>
          <w:rFonts w:hint="eastAsia" w:hAnsi="宋体" w:cs="宋体"/>
          <w:color w:val="auto"/>
          <w:sz w:val="21"/>
          <w:highlight w:val="none"/>
        </w:rPr>
      </w:pPr>
      <w:bookmarkStart w:id="168" w:name="_Toc4435"/>
      <w:r>
        <w:rPr>
          <w:rFonts w:hint="eastAsia" w:hAnsi="宋体" w:cs="宋体"/>
          <w:color w:val="auto"/>
          <w:sz w:val="21"/>
          <w:highlight w:val="none"/>
        </w:rPr>
        <w:t>4.招标文件</w:t>
      </w:r>
      <w:bookmarkEnd w:id="168"/>
    </w:p>
    <w:p w14:paraId="6C652CA3">
      <w:pPr>
        <w:pStyle w:val="11"/>
        <w:spacing w:line="440" w:lineRule="exact"/>
        <w:ind w:left="420" w:leftChars="200"/>
        <w:outlineLvl w:val="1"/>
        <w:rPr>
          <w:rFonts w:hint="eastAsia" w:hAnsi="宋体" w:cs="宋体"/>
          <w:color w:val="auto"/>
          <w:sz w:val="21"/>
          <w:highlight w:val="none"/>
        </w:rPr>
      </w:pPr>
      <w:bookmarkStart w:id="169" w:name="_Toc30367"/>
      <w:r>
        <w:rPr>
          <w:rFonts w:hint="eastAsia" w:hAnsi="宋体" w:cs="宋体"/>
          <w:color w:val="auto"/>
          <w:sz w:val="21"/>
          <w:highlight w:val="none"/>
        </w:rPr>
        <w:t>5.其他</w:t>
      </w:r>
      <w:r>
        <w:rPr>
          <w:rFonts w:hint="eastAsia" w:hAnsi="宋体" w:cs="宋体"/>
          <w:color w:val="auto"/>
          <w:sz w:val="21"/>
          <w:highlight w:val="none"/>
          <w:lang w:val="en-US" w:eastAsia="zh-CN"/>
        </w:rPr>
        <w:t>招投标过程中的相关</w:t>
      </w:r>
      <w:r>
        <w:rPr>
          <w:rFonts w:hint="eastAsia" w:hAnsi="宋体" w:cs="宋体"/>
          <w:color w:val="auto"/>
          <w:sz w:val="21"/>
          <w:highlight w:val="none"/>
        </w:rPr>
        <w:t>材料</w:t>
      </w:r>
      <w:bookmarkEnd w:id="169"/>
    </w:p>
    <w:p w14:paraId="3C5EF0BF">
      <w:pPr>
        <w:pStyle w:val="4"/>
        <w:keepNext w:val="0"/>
        <w:keepLines w:val="0"/>
        <w:spacing w:before="0" w:after="0" w:line="440" w:lineRule="exact"/>
        <w:ind w:firstLine="422" w:firstLineChars="200"/>
        <w:rPr>
          <w:rFonts w:hint="eastAsia" w:ascii="宋体" w:hAnsi="宋体" w:cs="宋体"/>
          <w:b w:val="0"/>
          <w:bCs/>
          <w:color w:val="auto"/>
          <w:sz w:val="21"/>
          <w:szCs w:val="21"/>
          <w:highlight w:val="none"/>
        </w:rPr>
      </w:pPr>
      <w:r>
        <w:rPr>
          <w:rFonts w:hint="eastAsia" w:ascii="宋体" w:hAnsi="宋体" w:cs="宋体"/>
          <w:color w:val="auto"/>
          <w:sz w:val="21"/>
          <w:szCs w:val="21"/>
          <w:highlight w:val="none"/>
        </w:rPr>
        <w:t>第十</w:t>
      </w:r>
      <w:r>
        <w:rPr>
          <w:rFonts w:hint="eastAsia" w:ascii="宋体" w:hAnsi="宋体" w:cs="宋体"/>
          <w:color w:val="auto"/>
          <w:sz w:val="21"/>
          <w:szCs w:val="21"/>
          <w:highlight w:val="none"/>
          <w:lang w:val="en-US" w:eastAsia="zh-CN"/>
        </w:rPr>
        <w:t>五</w:t>
      </w:r>
      <w:r>
        <w:rPr>
          <w:rFonts w:hint="eastAsia" w:ascii="宋体" w:hAnsi="宋体" w:cs="宋体"/>
          <w:color w:val="auto"/>
          <w:sz w:val="21"/>
          <w:szCs w:val="21"/>
          <w:highlight w:val="none"/>
        </w:rPr>
        <w:t>条　</w:t>
      </w:r>
      <w:r>
        <w:rPr>
          <w:rFonts w:hint="eastAsia" w:ascii="宋体" w:hAnsi="宋体" w:cs="宋体"/>
          <w:b w:val="0"/>
          <w:bCs/>
          <w:color w:val="auto"/>
          <w:sz w:val="21"/>
          <w:szCs w:val="21"/>
          <w:highlight w:val="none"/>
        </w:rPr>
        <w:t>本合同一式</w:t>
      </w:r>
      <w:r>
        <w:rPr>
          <w:rFonts w:hint="eastAsia" w:ascii="宋体" w:hAnsi="宋体" w:cs="宋体"/>
          <w:b w:val="0"/>
          <w:bCs/>
          <w:color w:val="auto"/>
          <w:sz w:val="21"/>
          <w:szCs w:val="21"/>
          <w:highlight w:val="none"/>
          <w:u w:val="single"/>
        </w:rPr>
        <w:t xml:space="preserve">  玖  </w:t>
      </w:r>
      <w:r>
        <w:rPr>
          <w:rFonts w:hint="eastAsia" w:ascii="宋体" w:hAnsi="宋体" w:cs="宋体"/>
          <w:b w:val="0"/>
          <w:bCs/>
          <w:color w:val="auto"/>
          <w:sz w:val="21"/>
          <w:szCs w:val="21"/>
          <w:highlight w:val="none"/>
        </w:rPr>
        <w:t>份，具有同等法律效力，采购代理机构</w:t>
      </w:r>
      <w:r>
        <w:rPr>
          <w:rFonts w:hint="eastAsia" w:ascii="宋体" w:hAnsi="宋体" w:cs="宋体"/>
          <w:b w:val="0"/>
          <w:bCs/>
          <w:color w:val="auto"/>
          <w:sz w:val="21"/>
          <w:szCs w:val="21"/>
          <w:highlight w:val="none"/>
          <w:u w:val="single"/>
          <w:lang w:val="en-US" w:eastAsia="zh-CN"/>
        </w:rPr>
        <w:t xml:space="preserve"> </w:t>
      </w:r>
      <w:r>
        <w:rPr>
          <w:rFonts w:hint="eastAsia" w:ascii="宋体" w:hAnsi="宋体" w:cs="宋体"/>
          <w:b w:val="0"/>
          <w:bCs/>
          <w:color w:val="auto"/>
          <w:sz w:val="21"/>
          <w:szCs w:val="21"/>
          <w:highlight w:val="none"/>
          <w:u w:val="single"/>
          <w:lang w:eastAsia="zh-CN"/>
        </w:rPr>
        <w:t>壹</w:t>
      </w:r>
      <w:r>
        <w:rPr>
          <w:rFonts w:hint="eastAsia" w:ascii="宋体" w:hAnsi="宋体" w:cs="宋体"/>
          <w:b w:val="0"/>
          <w:bCs/>
          <w:color w:val="auto"/>
          <w:sz w:val="21"/>
          <w:szCs w:val="21"/>
          <w:highlight w:val="none"/>
          <w:u w:val="single"/>
          <w:lang w:val="en-US" w:eastAsia="zh-CN"/>
        </w:rPr>
        <w:t xml:space="preserve"> </w:t>
      </w:r>
      <w:r>
        <w:rPr>
          <w:rFonts w:hint="eastAsia" w:ascii="宋体" w:hAnsi="宋体" w:cs="宋体"/>
          <w:b w:val="0"/>
          <w:bCs/>
          <w:color w:val="auto"/>
          <w:sz w:val="21"/>
          <w:szCs w:val="21"/>
          <w:highlight w:val="none"/>
        </w:rPr>
        <w:t>份，甲</w:t>
      </w:r>
      <w:r>
        <w:rPr>
          <w:rFonts w:hint="eastAsia" w:ascii="宋体" w:hAnsi="宋体" w:cs="宋体"/>
          <w:b w:val="0"/>
          <w:bCs/>
          <w:color w:val="auto"/>
          <w:sz w:val="21"/>
          <w:szCs w:val="21"/>
          <w:highlight w:val="none"/>
          <w:u w:val="single"/>
          <w:lang w:val="en-US" w:eastAsia="zh-CN"/>
        </w:rPr>
        <w:t xml:space="preserve"> </w:t>
      </w:r>
      <w:r>
        <w:rPr>
          <w:rFonts w:hint="eastAsia" w:ascii="宋体" w:hAnsi="宋体" w:cs="宋体"/>
          <w:b w:val="0"/>
          <w:bCs/>
          <w:color w:val="auto"/>
          <w:sz w:val="21"/>
          <w:szCs w:val="21"/>
          <w:highlight w:val="none"/>
          <w:u w:val="single"/>
        </w:rPr>
        <w:t>陆</w:t>
      </w:r>
      <w:r>
        <w:rPr>
          <w:rFonts w:hint="eastAsia" w:ascii="宋体" w:hAnsi="宋体" w:cs="宋体"/>
          <w:b w:val="0"/>
          <w:bCs/>
          <w:color w:val="auto"/>
          <w:sz w:val="21"/>
          <w:szCs w:val="21"/>
          <w:highlight w:val="none"/>
          <w:u w:val="single"/>
          <w:lang w:val="en-US" w:eastAsia="zh-CN"/>
        </w:rPr>
        <w:t xml:space="preserve"> </w:t>
      </w:r>
      <w:r>
        <w:rPr>
          <w:rFonts w:hint="eastAsia" w:ascii="宋体" w:hAnsi="宋体" w:cs="宋体"/>
          <w:b w:val="0"/>
          <w:bCs/>
          <w:color w:val="auto"/>
          <w:sz w:val="21"/>
          <w:szCs w:val="21"/>
          <w:highlight w:val="none"/>
          <w:lang w:val="en-US" w:eastAsia="zh-CN"/>
        </w:rPr>
        <w:t>份，</w:t>
      </w:r>
      <w:r>
        <w:rPr>
          <w:rFonts w:hint="eastAsia" w:ascii="宋体" w:hAnsi="宋体" w:cs="宋体"/>
          <w:b w:val="0"/>
          <w:bCs/>
          <w:color w:val="auto"/>
          <w:sz w:val="21"/>
          <w:szCs w:val="21"/>
          <w:highlight w:val="none"/>
        </w:rPr>
        <w:t>乙</w:t>
      </w:r>
      <w:r>
        <w:rPr>
          <w:rFonts w:hint="eastAsia" w:ascii="宋体" w:hAnsi="宋体" w:cs="宋体"/>
          <w:b w:val="0"/>
          <w:bCs/>
          <w:color w:val="auto"/>
          <w:sz w:val="21"/>
          <w:szCs w:val="21"/>
          <w:highlight w:val="none"/>
          <w:u w:val="single"/>
          <w:lang w:val="en-US" w:eastAsia="zh-CN"/>
        </w:rPr>
        <w:t xml:space="preserve"> 贰 </w:t>
      </w:r>
      <w:r>
        <w:rPr>
          <w:rFonts w:hint="eastAsia" w:ascii="宋体" w:hAnsi="宋体" w:cs="宋体"/>
          <w:b w:val="0"/>
          <w:bCs/>
          <w:color w:val="auto"/>
          <w:sz w:val="21"/>
          <w:szCs w:val="21"/>
          <w:highlight w:val="none"/>
          <w:u w:val="none"/>
          <w:lang w:val="en-US" w:eastAsia="zh-CN"/>
        </w:rPr>
        <w:t>份</w:t>
      </w:r>
      <w:r>
        <w:rPr>
          <w:rFonts w:hint="eastAsia" w:ascii="宋体" w:hAnsi="宋体" w:cs="宋体"/>
          <w:b w:val="0"/>
          <w:bCs/>
          <w:color w:val="auto"/>
          <w:sz w:val="21"/>
          <w:szCs w:val="21"/>
          <w:highlight w:val="none"/>
        </w:rPr>
        <w:t>。</w:t>
      </w:r>
    </w:p>
    <w:p w14:paraId="0CE78E0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本合同自签订之日起2个工作日内，甲方应当将采购合同在同级财政部门指定的媒体上公告。</w:t>
      </w:r>
    </w:p>
    <w:tbl>
      <w:tblPr>
        <w:tblStyle w:val="18"/>
        <w:tblpPr w:leftFromText="180" w:rightFromText="180" w:vertAnchor="text" w:horzAnchor="margin" w:tblpXSpec="center" w:tblpY="2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45ED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2AA7166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甲方：（章）</w:t>
            </w:r>
          </w:p>
          <w:p w14:paraId="355CD463">
            <w:pPr>
              <w:spacing w:line="440" w:lineRule="exact"/>
              <w:rPr>
                <w:rFonts w:hint="eastAsia" w:ascii="宋体" w:hAnsi="宋体" w:cs="宋体"/>
                <w:color w:val="auto"/>
                <w:szCs w:val="21"/>
                <w:highlight w:val="none"/>
              </w:rPr>
            </w:pPr>
          </w:p>
          <w:p w14:paraId="5B20EFD5">
            <w:pPr>
              <w:spacing w:line="440" w:lineRule="exact"/>
              <w:rPr>
                <w:rFonts w:hint="eastAsia" w:ascii="宋体" w:hAnsi="宋体" w:cs="宋体"/>
                <w:color w:val="auto"/>
                <w:szCs w:val="21"/>
                <w:highlight w:val="none"/>
              </w:rPr>
            </w:pPr>
          </w:p>
          <w:p w14:paraId="5D6C6391">
            <w:pPr>
              <w:spacing w:line="440" w:lineRule="exact"/>
              <w:ind w:firstLine="945" w:firstLineChars="450"/>
              <w:jc w:val="right"/>
              <w:rPr>
                <w:rFonts w:hint="eastAsia" w:ascii="宋体" w:hAnsi="宋体" w:cs="宋体"/>
                <w:color w:val="auto"/>
                <w:szCs w:val="21"/>
                <w:highlight w:val="none"/>
              </w:rPr>
            </w:pPr>
          </w:p>
          <w:p w14:paraId="583ADBB9">
            <w:pPr>
              <w:spacing w:line="440" w:lineRule="exact"/>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54481C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1E698D6A">
            <w:pPr>
              <w:spacing w:line="440" w:lineRule="exact"/>
              <w:rPr>
                <w:rFonts w:hint="eastAsia" w:ascii="宋体" w:hAnsi="宋体" w:cs="宋体"/>
                <w:color w:val="auto"/>
                <w:szCs w:val="21"/>
                <w:highlight w:val="none"/>
              </w:rPr>
            </w:pPr>
          </w:p>
          <w:p w14:paraId="15A2BDA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6DEBE05">
            <w:pPr>
              <w:spacing w:line="440" w:lineRule="exact"/>
              <w:jc w:val="right"/>
              <w:rPr>
                <w:rFonts w:hint="eastAsia" w:ascii="宋体" w:hAnsi="宋体" w:cs="宋体"/>
                <w:color w:val="auto"/>
                <w:szCs w:val="21"/>
                <w:highlight w:val="none"/>
              </w:rPr>
            </w:pPr>
          </w:p>
          <w:p w14:paraId="13E2CE92">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548E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1A4FDB3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405FEF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单位地址： </w:t>
            </w:r>
          </w:p>
        </w:tc>
      </w:tr>
      <w:tr w14:paraId="36C9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15B18E1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747623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法定代表人（负责人）：</w:t>
            </w:r>
          </w:p>
        </w:tc>
      </w:tr>
      <w:tr w14:paraId="7A99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59CDE45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（或）委托代理人：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6A0D54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（或）委托代理人：</w:t>
            </w:r>
          </w:p>
        </w:tc>
      </w:tr>
      <w:tr w14:paraId="4A0B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1005E21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03BD84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4783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4826FF7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654D80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开户银行： </w:t>
            </w:r>
          </w:p>
        </w:tc>
      </w:tr>
      <w:tr w14:paraId="4005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24370A3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5C447C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572D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27B73DF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8ED0E2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2AB40585">
      <w:pP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br w:type="page"/>
      </w:r>
    </w:p>
    <w:p w14:paraId="75881B25">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0"/>
        <w:rPr>
          <w:rFonts w:hint="default" w:ascii="宋体" w:hAnsi="宋体" w:eastAsia="宋体" w:cs="宋体"/>
          <w:b/>
          <w:bCs/>
          <w:color w:val="auto"/>
          <w:sz w:val="32"/>
          <w:szCs w:val="32"/>
          <w:highlight w:val="none"/>
          <w:lang w:val="en-US" w:eastAsia="zh-CN"/>
        </w:rPr>
      </w:pPr>
      <w:bookmarkStart w:id="170" w:name="_Toc5558"/>
      <w:r>
        <w:rPr>
          <w:rFonts w:hint="eastAsia" w:ascii="宋体" w:hAnsi="宋体" w:cs="宋体"/>
          <w:b/>
          <w:bCs/>
          <w:color w:val="auto"/>
          <w:sz w:val="32"/>
          <w:szCs w:val="32"/>
          <w:highlight w:val="none"/>
          <w:lang w:eastAsia="zh-CN"/>
        </w:rPr>
        <w:t>分标</w:t>
      </w:r>
      <w:r>
        <w:rPr>
          <w:rFonts w:hint="eastAsia" w:ascii="宋体" w:hAnsi="宋体" w:cs="宋体"/>
          <w:b/>
          <w:bCs/>
          <w:color w:val="auto"/>
          <w:sz w:val="32"/>
          <w:szCs w:val="32"/>
          <w:highlight w:val="none"/>
          <w:lang w:val="en-US" w:eastAsia="zh-CN"/>
        </w:rPr>
        <w:t>2：</w:t>
      </w:r>
      <w:bookmarkEnd w:id="170"/>
    </w:p>
    <w:p w14:paraId="12E77940">
      <w:pPr>
        <w:spacing w:line="480" w:lineRule="auto"/>
        <w:ind w:firstLine="420"/>
        <w:jc w:val="center"/>
        <w:outlineLvl w:val="1"/>
        <w:rPr>
          <w:rFonts w:hint="eastAsia" w:ascii="宋体" w:hAnsi="宋体"/>
          <w:b/>
          <w:bCs/>
          <w:color w:val="auto"/>
          <w:sz w:val="72"/>
          <w:szCs w:val="20"/>
          <w:highlight w:val="none"/>
        </w:rPr>
      </w:pPr>
      <w:bookmarkStart w:id="171" w:name="_Toc3183"/>
      <w:r>
        <w:rPr>
          <w:rFonts w:hint="eastAsia" w:ascii="宋体" w:hAnsi="宋体"/>
          <w:b/>
          <w:bCs/>
          <w:color w:val="auto"/>
          <w:sz w:val="72"/>
          <w:szCs w:val="20"/>
          <w:highlight w:val="none"/>
        </w:rPr>
        <w:t>政府采购合同</w:t>
      </w:r>
      <w:bookmarkEnd w:id="171"/>
    </w:p>
    <w:p w14:paraId="45A75930">
      <w:pPr>
        <w:pStyle w:val="9"/>
        <w:rPr>
          <w:rFonts w:hint="eastAsia" w:ascii="宋体" w:hAnsi="宋体"/>
          <w:b/>
          <w:bCs/>
          <w:color w:val="auto"/>
          <w:sz w:val="72"/>
          <w:szCs w:val="20"/>
          <w:highlight w:val="none"/>
        </w:rPr>
      </w:pPr>
    </w:p>
    <w:p w14:paraId="00491FE1">
      <w:pPr>
        <w:rPr>
          <w:rFonts w:hint="eastAsia" w:ascii="宋体" w:hAnsi="宋体"/>
          <w:b/>
          <w:bCs/>
          <w:color w:val="auto"/>
          <w:sz w:val="72"/>
          <w:szCs w:val="20"/>
          <w:highlight w:val="none"/>
        </w:rPr>
      </w:pPr>
    </w:p>
    <w:p w14:paraId="5A7CDBBC">
      <w:pPr>
        <w:pStyle w:val="9"/>
        <w:rPr>
          <w:color w:val="auto"/>
          <w:highlight w:val="none"/>
        </w:rPr>
      </w:pPr>
    </w:p>
    <w:p w14:paraId="2EFD8AAA">
      <w:pPr>
        <w:rPr>
          <w:color w:val="auto"/>
          <w:highlight w:val="none"/>
        </w:rPr>
      </w:pPr>
    </w:p>
    <w:p w14:paraId="568F501D">
      <w:pPr>
        <w:tabs>
          <w:tab w:val="left" w:pos="5640"/>
        </w:tabs>
        <w:snapToGrid w:val="0"/>
        <w:spacing w:line="360" w:lineRule="auto"/>
        <w:ind w:left="1673" w:leftChars="32" w:hanging="1606" w:hangingChars="500"/>
        <w:jc w:val="left"/>
        <w:outlineLvl w:val="2"/>
        <w:rPr>
          <w:rFonts w:ascii="宋体" w:hAnsi="宋体"/>
          <w:b/>
          <w:bCs/>
          <w:color w:val="auto"/>
          <w:sz w:val="32"/>
          <w:szCs w:val="32"/>
          <w:highlight w:val="none"/>
        </w:rPr>
      </w:pPr>
      <w:r>
        <w:rPr>
          <w:rFonts w:hint="eastAsia" w:ascii="宋体" w:hAnsi="宋体"/>
          <w:b/>
          <w:bCs/>
          <w:color w:val="auto"/>
          <w:sz w:val="32"/>
          <w:szCs w:val="32"/>
          <w:highlight w:val="none"/>
        </w:rPr>
        <w:t xml:space="preserve">项目名称： </w:t>
      </w:r>
    </w:p>
    <w:p w14:paraId="09329A2E">
      <w:pPr>
        <w:tabs>
          <w:tab w:val="left" w:pos="5640"/>
        </w:tabs>
        <w:snapToGrid w:val="0"/>
        <w:spacing w:line="360" w:lineRule="auto"/>
        <w:ind w:left="1673" w:leftChars="32" w:hanging="1606" w:hangingChars="500"/>
        <w:jc w:val="left"/>
        <w:outlineLvl w:val="2"/>
        <w:rPr>
          <w:rFonts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0651C3BC">
      <w:pPr>
        <w:tabs>
          <w:tab w:val="left" w:pos="5640"/>
        </w:tabs>
        <w:snapToGrid w:val="0"/>
        <w:spacing w:line="360" w:lineRule="auto"/>
        <w:ind w:left="1673" w:leftChars="32" w:hanging="1606" w:hangingChars="500"/>
        <w:jc w:val="left"/>
        <w:outlineLvl w:val="2"/>
        <w:rPr>
          <w:rFonts w:ascii="宋体" w:hAnsi="宋体"/>
          <w:b/>
          <w:bCs/>
          <w:color w:val="auto"/>
          <w:sz w:val="32"/>
          <w:szCs w:val="32"/>
          <w:highlight w:val="none"/>
        </w:rPr>
      </w:pPr>
      <w:r>
        <w:rPr>
          <w:rFonts w:hint="eastAsia" w:ascii="宋体" w:hAnsi="宋体"/>
          <w:b/>
          <w:bCs/>
          <w:color w:val="auto"/>
          <w:sz w:val="32"/>
          <w:szCs w:val="32"/>
          <w:highlight w:val="none"/>
        </w:rPr>
        <w:t xml:space="preserve">采购计划文号： </w:t>
      </w:r>
    </w:p>
    <w:p w14:paraId="5DFB57B4">
      <w:pPr>
        <w:tabs>
          <w:tab w:val="left" w:pos="5640"/>
        </w:tabs>
        <w:snapToGrid w:val="0"/>
        <w:spacing w:line="360" w:lineRule="auto"/>
        <w:ind w:left="1673" w:leftChars="32" w:hanging="1606" w:hangingChars="500"/>
        <w:jc w:val="left"/>
        <w:outlineLvl w:val="2"/>
        <w:rPr>
          <w:rFonts w:ascii="宋体" w:hAnsi="宋体"/>
          <w:b/>
          <w:bCs/>
          <w:color w:val="auto"/>
          <w:sz w:val="32"/>
          <w:szCs w:val="32"/>
          <w:highlight w:val="none"/>
        </w:rPr>
      </w:pPr>
      <w:r>
        <w:rPr>
          <w:rFonts w:hint="eastAsia" w:ascii="宋体" w:hAnsi="宋体"/>
          <w:b/>
          <w:bCs/>
          <w:color w:val="auto"/>
          <w:sz w:val="32"/>
          <w:szCs w:val="32"/>
          <w:highlight w:val="none"/>
        </w:rPr>
        <w:t xml:space="preserve">合同编号： </w:t>
      </w:r>
    </w:p>
    <w:p w14:paraId="56E1EA71">
      <w:pPr>
        <w:tabs>
          <w:tab w:val="left" w:pos="2835"/>
        </w:tabs>
        <w:spacing w:line="360" w:lineRule="auto"/>
        <w:jc w:val="left"/>
        <w:rPr>
          <w:rFonts w:ascii="宋体" w:hAnsi="Courier New"/>
          <w:b/>
          <w:color w:val="auto"/>
          <w:sz w:val="30"/>
          <w:szCs w:val="30"/>
          <w:highlight w:val="none"/>
        </w:rPr>
      </w:pPr>
    </w:p>
    <w:p w14:paraId="652F285A">
      <w:pPr>
        <w:tabs>
          <w:tab w:val="left" w:pos="2835"/>
        </w:tabs>
        <w:spacing w:line="360" w:lineRule="auto"/>
        <w:jc w:val="left"/>
        <w:rPr>
          <w:rFonts w:ascii="宋体" w:hAnsi="Courier New"/>
          <w:b/>
          <w:color w:val="auto"/>
          <w:sz w:val="30"/>
          <w:szCs w:val="30"/>
          <w:highlight w:val="none"/>
        </w:rPr>
      </w:pPr>
    </w:p>
    <w:p w14:paraId="14BC90FD">
      <w:pPr>
        <w:pStyle w:val="9"/>
        <w:rPr>
          <w:color w:val="auto"/>
          <w:highlight w:val="none"/>
        </w:rPr>
      </w:pPr>
    </w:p>
    <w:p w14:paraId="4B77123F">
      <w:pPr>
        <w:rPr>
          <w:color w:val="auto"/>
          <w:highlight w:val="none"/>
        </w:rPr>
      </w:pPr>
    </w:p>
    <w:p w14:paraId="7766FD3E">
      <w:pPr>
        <w:tabs>
          <w:tab w:val="left" w:pos="2835"/>
        </w:tabs>
        <w:spacing w:line="360" w:lineRule="auto"/>
        <w:jc w:val="left"/>
        <w:rPr>
          <w:rFonts w:ascii="宋体" w:hAnsi="Courier New"/>
          <w:b/>
          <w:color w:val="auto"/>
          <w:sz w:val="30"/>
          <w:szCs w:val="30"/>
          <w:highlight w:val="none"/>
        </w:rPr>
      </w:pPr>
    </w:p>
    <w:p w14:paraId="1B1FEA55">
      <w:pPr>
        <w:spacing w:line="360" w:lineRule="auto"/>
        <w:ind w:left="178" w:leftChars="85" w:firstLine="480"/>
        <w:outlineLvl w:val="2"/>
        <w:rPr>
          <w:rFonts w:hint="default" w:eastAsia="宋体"/>
          <w:b/>
          <w:color w:val="auto"/>
          <w:sz w:val="36"/>
          <w:szCs w:val="36"/>
          <w:highlight w:val="none"/>
          <w:lang w:val="en-US" w:eastAsia="zh-CN"/>
        </w:rPr>
      </w:pPr>
      <w:r>
        <w:rPr>
          <w:rFonts w:hint="eastAsia"/>
          <w:b/>
          <w:color w:val="auto"/>
          <w:sz w:val="36"/>
          <w:szCs w:val="36"/>
          <w:highlight w:val="none"/>
        </w:rPr>
        <w:t>采购单位：</w:t>
      </w:r>
      <w:r>
        <w:rPr>
          <w:rFonts w:hint="eastAsia"/>
          <w:b/>
          <w:color w:val="auto"/>
          <w:sz w:val="36"/>
          <w:szCs w:val="36"/>
          <w:highlight w:val="none"/>
          <w:u w:val="single"/>
          <w:lang w:val="en-US" w:eastAsia="zh-CN"/>
        </w:rPr>
        <w:t xml:space="preserve">                  </w:t>
      </w:r>
    </w:p>
    <w:p w14:paraId="4772601B">
      <w:pPr>
        <w:spacing w:line="360" w:lineRule="auto"/>
        <w:ind w:left="178" w:leftChars="85" w:firstLine="480"/>
        <w:outlineLvl w:val="2"/>
        <w:rPr>
          <w:b/>
          <w:color w:val="auto"/>
          <w:sz w:val="36"/>
          <w:szCs w:val="36"/>
          <w:highlight w:val="none"/>
          <w:u w:val="single"/>
        </w:rPr>
      </w:pPr>
      <w:r>
        <w:rPr>
          <w:rFonts w:hint="eastAsia"/>
          <w:b/>
          <w:color w:val="auto"/>
          <w:sz w:val="36"/>
          <w:szCs w:val="36"/>
          <w:highlight w:val="none"/>
        </w:rPr>
        <w:t>供 应 商：</w:t>
      </w:r>
      <w:r>
        <w:rPr>
          <w:rFonts w:hint="eastAsia"/>
          <w:color w:val="auto"/>
          <w:sz w:val="36"/>
          <w:szCs w:val="36"/>
          <w:highlight w:val="none"/>
          <w:u w:val="single"/>
        </w:rPr>
        <w:t xml:space="preserve">                    </w:t>
      </w:r>
    </w:p>
    <w:p w14:paraId="61AEDF37">
      <w:pPr>
        <w:tabs>
          <w:tab w:val="left" w:pos="2835"/>
        </w:tabs>
        <w:spacing w:line="400" w:lineRule="exact"/>
        <w:ind w:left="798" w:leftChars="380" w:firstLine="86" w:firstLineChars="31"/>
        <w:jc w:val="left"/>
        <w:rPr>
          <w:rFonts w:ascii="宋体" w:hAnsi="Courier New"/>
          <w:color w:val="auto"/>
          <w:sz w:val="28"/>
          <w:szCs w:val="28"/>
          <w:highlight w:val="none"/>
        </w:rPr>
      </w:pPr>
    </w:p>
    <w:p w14:paraId="4002E07C">
      <w:pPr>
        <w:keepNext/>
        <w:keepLines/>
        <w:spacing w:line="360" w:lineRule="auto"/>
        <w:jc w:val="center"/>
        <w:rPr>
          <w:rFonts w:ascii="宋体" w:hAnsi="宋体" w:cs="宋体"/>
          <w:color w:val="auto"/>
          <w:sz w:val="24"/>
          <w:highlight w:val="none"/>
        </w:rPr>
      </w:pPr>
      <w:r>
        <w:rPr>
          <w:rFonts w:hint="eastAsia" w:ascii="宋体" w:hAnsi="宋体" w:cs="宋体"/>
          <w:color w:val="auto"/>
          <w:szCs w:val="21"/>
          <w:highlight w:val="none"/>
          <w:lang w:bidi="ar"/>
        </w:rPr>
        <w:t>合同使用说明：根据《中华人民共和国政府采购法》《中华人民共和国民法典》等法律法规规定，</w:t>
      </w:r>
    </w:p>
    <w:p w14:paraId="733644AC">
      <w:pPr>
        <w:tabs>
          <w:tab w:val="left" w:pos="2835"/>
        </w:tabs>
        <w:spacing w:line="360" w:lineRule="auto"/>
        <w:ind w:left="798" w:leftChars="380" w:firstLine="65" w:firstLineChars="31"/>
        <w:jc w:val="left"/>
        <w:rPr>
          <w:rFonts w:ascii="宋体" w:hAnsi="Courier New"/>
          <w:color w:val="auto"/>
          <w:sz w:val="28"/>
          <w:szCs w:val="28"/>
          <w:highlight w:val="none"/>
        </w:rPr>
      </w:pPr>
      <w:r>
        <w:rPr>
          <w:rFonts w:hint="eastAsia" w:ascii="宋体" w:hAnsi="宋体" w:cs="宋体"/>
          <w:color w:val="auto"/>
          <w:szCs w:val="21"/>
          <w:highlight w:val="none"/>
          <w:lang w:bidi="ar"/>
        </w:rPr>
        <w:t>按照招标文件规定条款和中标人投标文件及其承诺，甲乙双方签订本合同。</w:t>
      </w:r>
    </w:p>
    <w:p w14:paraId="0C0B6E9A">
      <w:pPr>
        <w:pStyle w:val="11"/>
        <w:spacing w:line="360" w:lineRule="auto"/>
        <w:jc w:val="center"/>
        <w:rPr>
          <w:rStyle w:val="25"/>
          <w:b/>
          <w:color w:val="auto"/>
          <w:sz w:val="44"/>
          <w:szCs w:val="44"/>
          <w:highlight w:val="none"/>
        </w:rPr>
        <w:sectPr>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docGrid w:linePitch="331" w:charSpace="0"/>
        </w:sectPr>
      </w:pPr>
    </w:p>
    <w:p w14:paraId="5F6F0EE2">
      <w:pPr>
        <w:rPr>
          <w:rStyle w:val="25"/>
          <w:rFonts w:hint="eastAsia"/>
          <w:b/>
          <w:color w:val="auto"/>
          <w:sz w:val="44"/>
          <w:szCs w:val="44"/>
          <w:highlight w:val="none"/>
        </w:rPr>
      </w:pPr>
    </w:p>
    <w:p w14:paraId="728F24E2">
      <w:pPr>
        <w:pStyle w:val="11"/>
        <w:jc w:val="center"/>
        <w:rPr>
          <w:rStyle w:val="25"/>
          <w:rFonts w:hint="eastAsia"/>
          <w:b/>
          <w:color w:val="auto"/>
          <w:sz w:val="44"/>
          <w:szCs w:val="44"/>
          <w:highlight w:val="none"/>
        </w:rPr>
      </w:pPr>
      <w:r>
        <w:rPr>
          <w:rStyle w:val="25"/>
          <w:rFonts w:hint="eastAsia"/>
          <w:b/>
          <w:color w:val="auto"/>
          <w:sz w:val="44"/>
          <w:szCs w:val="44"/>
          <w:highlight w:val="none"/>
        </w:rPr>
        <w:t>目  录</w:t>
      </w:r>
    </w:p>
    <w:p w14:paraId="72B44785">
      <w:pPr>
        <w:pStyle w:val="11"/>
        <w:jc w:val="center"/>
        <w:rPr>
          <w:rStyle w:val="25"/>
          <w:rFonts w:hint="eastAsia"/>
          <w:b/>
          <w:color w:val="auto"/>
          <w:sz w:val="44"/>
          <w:szCs w:val="44"/>
          <w:highlight w:val="none"/>
        </w:rPr>
      </w:pPr>
    </w:p>
    <w:p w14:paraId="17CA84F7">
      <w:pPr>
        <w:pStyle w:val="11"/>
        <w:jc w:val="center"/>
        <w:rPr>
          <w:rStyle w:val="25"/>
          <w:rFonts w:hint="eastAsia"/>
          <w:b/>
          <w:color w:val="auto"/>
          <w:sz w:val="44"/>
          <w:szCs w:val="44"/>
          <w:highlight w:val="none"/>
        </w:rPr>
      </w:pPr>
    </w:p>
    <w:p w14:paraId="08339018">
      <w:pPr>
        <w:spacing w:line="360" w:lineRule="auto"/>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一、采购合同文本</w:t>
      </w:r>
    </w:p>
    <w:p w14:paraId="4ADF3D1D">
      <w:pPr>
        <w:spacing w:line="360" w:lineRule="auto"/>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二</w:t>
      </w:r>
      <w:r>
        <w:rPr>
          <w:rFonts w:hint="eastAsia" w:ascii="宋体" w:hAnsi="宋体" w:cs="宋体"/>
          <w:b/>
          <w:color w:val="auto"/>
          <w:sz w:val="30"/>
          <w:szCs w:val="30"/>
          <w:highlight w:val="none"/>
        </w:rPr>
        <w:t>、合同附件</w:t>
      </w:r>
    </w:p>
    <w:p w14:paraId="48A89553">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中标通知书</w:t>
      </w:r>
    </w:p>
    <w:p w14:paraId="22AC1657">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项目采购需求</w:t>
      </w:r>
      <w:r>
        <w:rPr>
          <w:rFonts w:hint="eastAsia" w:ascii="宋体" w:hAnsi="宋体" w:cs="宋体"/>
          <w:color w:val="auto"/>
          <w:sz w:val="28"/>
          <w:szCs w:val="28"/>
          <w:highlight w:val="none"/>
          <w:lang w:val="en-US" w:eastAsia="zh-CN"/>
        </w:rPr>
        <w:t>一览表</w:t>
      </w:r>
    </w:p>
    <w:p w14:paraId="150F3FF0">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采购文件的更改通知（如有）</w:t>
      </w:r>
    </w:p>
    <w:p w14:paraId="6F5E2E9E">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投标函</w:t>
      </w:r>
    </w:p>
    <w:p w14:paraId="20028E2A">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开标一览表</w:t>
      </w:r>
    </w:p>
    <w:p w14:paraId="58C88408">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技术需求偏离表、商务条款偏离表</w:t>
      </w:r>
    </w:p>
    <w:p w14:paraId="09EA09F2">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中标人澄清函（如有）</w:t>
      </w:r>
    </w:p>
    <w:p w14:paraId="58A3C519">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中小企业声明函等（如有）</w:t>
      </w:r>
    </w:p>
    <w:p w14:paraId="5E349EB4">
      <w:pPr>
        <w:numPr>
          <w:ilvl w:val="0"/>
          <w:numId w:val="7"/>
        </w:num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其他材料</w:t>
      </w:r>
    </w:p>
    <w:p w14:paraId="367E3321">
      <w:pPr>
        <w:rPr>
          <w:color w:val="auto"/>
          <w:highlight w:val="none"/>
        </w:rPr>
      </w:pPr>
    </w:p>
    <w:p w14:paraId="0381FFC0">
      <w:pPr>
        <w:pStyle w:val="9"/>
        <w:rPr>
          <w:rFonts w:hint="eastAsia"/>
          <w:color w:val="auto"/>
          <w:highlight w:val="none"/>
        </w:rPr>
      </w:pPr>
    </w:p>
    <w:p w14:paraId="77832130">
      <w:pPr>
        <w:pStyle w:val="9"/>
        <w:rPr>
          <w:rFonts w:hint="eastAsia"/>
          <w:color w:val="auto"/>
          <w:highlight w:val="none"/>
        </w:rPr>
      </w:pPr>
    </w:p>
    <w:p w14:paraId="3D09BF6F">
      <w:pPr>
        <w:rPr>
          <w:rFonts w:hint="eastAsia"/>
          <w:color w:val="auto"/>
          <w:highlight w:val="none"/>
        </w:rPr>
      </w:pPr>
      <w:r>
        <w:rPr>
          <w:rFonts w:hint="eastAsia"/>
          <w:color w:val="auto"/>
          <w:highlight w:val="none"/>
        </w:rPr>
        <w:br w:type="page"/>
      </w:r>
    </w:p>
    <w:p w14:paraId="64BD2571">
      <w:pPr>
        <w:rPr>
          <w:rFonts w:hint="eastAsia"/>
          <w:color w:val="auto"/>
          <w:highlight w:val="none"/>
        </w:rPr>
      </w:pPr>
    </w:p>
    <w:p w14:paraId="2649B013">
      <w:pPr>
        <w:pStyle w:val="9"/>
        <w:rPr>
          <w:rFonts w:hint="eastAsia"/>
          <w:color w:val="auto"/>
          <w:highlight w:val="none"/>
        </w:rPr>
      </w:pPr>
    </w:p>
    <w:p w14:paraId="7919CA6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2"/>
        <w:rPr>
          <w:rFonts w:hint="eastAsia" w:ascii="宋体" w:hAnsi="宋体"/>
          <w:b/>
          <w:bCs/>
          <w:color w:val="auto"/>
          <w:sz w:val="32"/>
          <w:szCs w:val="32"/>
          <w:highlight w:val="none"/>
        </w:rPr>
      </w:pPr>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rPr>
        <w:t>广西壮族自治区政府采购合同》</w:t>
      </w:r>
    </w:p>
    <w:p w14:paraId="0016E60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2"/>
        <w:rPr>
          <w:rFonts w:hint="eastAsia" w:ascii="宋体" w:hAnsi="宋体"/>
          <w:b/>
          <w:bCs/>
          <w:color w:val="auto"/>
          <w:sz w:val="32"/>
          <w:szCs w:val="32"/>
          <w:highlight w:val="none"/>
        </w:rPr>
      </w:pPr>
      <w:r>
        <w:rPr>
          <w:rFonts w:hint="eastAsia" w:ascii="宋体" w:hAnsi="宋体"/>
          <w:b/>
          <w:color w:val="auto"/>
          <w:sz w:val="32"/>
          <w:szCs w:val="32"/>
          <w:highlight w:val="none"/>
        </w:rPr>
        <w:t>文本</w:t>
      </w:r>
    </w:p>
    <w:p w14:paraId="374AB538">
      <w:pPr>
        <w:keepNext w:val="0"/>
        <w:keepLines w:val="0"/>
        <w:pageBreakBefore w:val="0"/>
        <w:widowControl w:val="0"/>
        <w:kinsoku/>
        <w:wordWrap/>
        <w:overflowPunct/>
        <w:topLinePunct w:val="0"/>
        <w:autoSpaceDE/>
        <w:autoSpaceDN/>
        <w:bidi w:val="0"/>
        <w:adjustRightInd/>
        <w:snapToGrid w:val="0"/>
        <w:spacing w:line="400" w:lineRule="exact"/>
        <w:ind w:right="480" w:firstLine="5250" w:firstLineChars="2500"/>
        <w:textAlignment w:val="auto"/>
        <w:outlineLvl w:val="9"/>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3FF75BCD">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eastAsia" w:ascii="宋体" w:hAnsi="宋体"/>
          <w:color w:val="auto"/>
          <w:szCs w:val="21"/>
          <w:highlight w:val="none"/>
        </w:rPr>
      </w:pPr>
    </w:p>
    <w:p w14:paraId="4D49E7C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5D9561D0">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招  标  编  号</w:t>
      </w:r>
      <w:r>
        <w:rPr>
          <w:rFonts w:hint="eastAsia" w:ascii="宋体" w:hAnsi="宋体"/>
          <w:color w:val="auto"/>
          <w:szCs w:val="21"/>
          <w:highlight w:val="none"/>
          <w:u w:val="single"/>
        </w:rPr>
        <w:t xml:space="preserve">             </w:t>
      </w:r>
    </w:p>
    <w:p w14:paraId="1C154799">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7B8A8D94">
      <w:pPr>
        <w:keepNext w:val="0"/>
        <w:keepLines w:val="0"/>
        <w:pageBreakBefore w:val="0"/>
        <w:widowControl w:val="0"/>
        <w:kinsoku/>
        <w:wordWrap/>
        <w:overflowPunct/>
        <w:topLinePunct w:val="0"/>
        <w:autoSpaceDE/>
        <w:autoSpaceDN/>
        <w:bidi w:val="0"/>
        <w:adjustRightInd/>
        <w:spacing w:line="360" w:lineRule="auto"/>
        <w:textAlignment w:val="auto"/>
        <w:outlineLvl w:val="9"/>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 xml:space="preserve"> （是/否）</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12793C9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根据《中华人民共和国政府采购法》、《中华人民共和国民法典》等法律、法规规定，按照招标文件（采购文件）规定条款和中标（成交）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承诺，甲乙双方签订本合同。</w:t>
      </w:r>
    </w:p>
    <w:p w14:paraId="632E98DD">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0A90085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1D36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noWrap w:val="0"/>
            <w:vAlign w:val="center"/>
          </w:tcPr>
          <w:p w14:paraId="421CA84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33" w:type="dxa"/>
            <w:noWrap w:val="0"/>
            <w:vAlign w:val="center"/>
          </w:tcPr>
          <w:p w14:paraId="185FA48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059" w:type="dxa"/>
            <w:noWrap w:val="0"/>
            <w:vAlign w:val="center"/>
          </w:tcPr>
          <w:p w14:paraId="65E61CF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商标品牌</w:t>
            </w:r>
          </w:p>
        </w:tc>
        <w:tc>
          <w:tcPr>
            <w:tcW w:w="1233" w:type="dxa"/>
            <w:noWrap w:val="0"/>
            <w:vAlign w:val="center"/>
          </w:tcPr>
          <w:p w14:paraId="60335AF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210" w:type="dxa"/>
            <w:noWrap w:val="0"/>
            <w:vAlign w:val="center"/>
          </w:tcPr>
          <w:p w14:paraId="5153AA6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生产厂家</w:t>
            </w:r>
          </w:p>
        </w:tc>
        <w:tc>
          <w:tcPr>
            <w:tcW w:w="908" w:type="dxa"/>
            <w:noWrap w:val="0"/>
            <w:vAlign w:val="center"/>
          </w:tcPr>
          <w:p w14:paraId="6917AF0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  量</w:t>
            </w:r>
          </w:p>
        </w:tc>
        <w:tc>
          <w:tcPr>
            <w:tcW w:w="668" w:type="dxa"/>
            <w:noWrap w:val="0"/>
            <w:vAlign w:val="center"/>
          </w:tcPr>
          <w:p w14:paraId="02B87B4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947" w:type="dxa"/>
            <w:noWrap w:val="0"/>
            <w:vAlign w:val="center"/>
          </w:tcPr>
          <w:p w14:paraId="685C7A7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价</w:t>
            </w:r>
          </w:p>
          <w:p w14:paraId="469F0FE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189" w:type="dxa"/>
            <w:noWrap w:val="0"/>
            <w:vAlign w:val="center"/>
          </w:tcPr>
          <w:p w14:paraId="6CE7B09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  额</w:t>
            </w:r>
          </w:p>
          <w:p w14:paraId="715D559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22B3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1A7143D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3" w:type="dxa"/>
            <w:noWrap w:val="0"/>
            <w:vAlign w:val="center"/>
          </w:tcPr>
          <w:p w14:paraId="4B093712">
            <w:pPr>
              <w:snapToGrid w:val="0"/>
              <w:spacing w:line="360" w:lineRule="auto"/>
              <w:jc w:val="center"/>
              <w:rPr>
                <w:rFonts w:hint="eastAsia" w:ascii="宋体" w:hAnsi="宋体" w:eastAsia="宋体" w:cs="宋体"/>
                <w:color w:val="auto"/>
                <w:sz w:val="21"/>
                <w:szCs w:val="21"/>
                <w:highlight w:val="none"/>
              </w:rPr>
            </w:pPr>
          </w:p>
        </w:tc>
        <w:tc>
          <w:tcPr>
            <w:tcW w:w="1059" w:type="dxa"/>
            <w:noWrap w:val="0"/>
            <w:vAlign w:val="center"/>
          </w:tcPr>
          <w:p w14:paraId="7E0334EE">
            <w:pPr>
              <w:snapToGrid w:val="0"/>
              <w:spacing w:line="360" w:lineRule="auto"/>
              <w:jc w:val="center"/>
              <w:rPr>
                <w:rFonts w:hint="eastAsia" w:ascii="宋体" w:hAnsi="宋体" w:eastAsia="宋体" w:cs="宋体"/>
                <w:color w:val="auto"/>
                <w:sz w:val="21"/>
                <w:szCs w:val="21"/>
                <w:highlight w:val="none"/>
              </w:rPr>
            </w:pPr>
          </w:p>
        </w:tc>
        <w:tc>
          <w:tcPr>
            <w:tcW w:w="1233" w:type="dxa"/>
            <w:noWrap w:val="0"/>
            <w:vAlign w:val="center"/>
          </w:tcPr>
          <w:p w14:paraId="569D696B">
            <w:pPr>
              <w:snapToGrid w:val="0"/>
              <w:spacing w:line="360" w:lineRule="auto"/>
              <w:jc w:val="center"/>
              <w:rPr>
                <w:rFonts w:hint="eastAsia" w:ascii="宋体" w:hAnsi="宋体" w:eastAsia="宋体" w:cs="宋体"/>
                <w:color w:val="auto"/>
                <w:sz w:val="21"/>
                <w:szCs w:val="21"/>
                <w:highlight w:val="none"/>
              </w:rPr>
            </w:pPr>
          </w:p>
        </w:tc>
        <w:tc>
          <w:tcPr>
            <w:tcW w:w="1210" w:type="dxa"/>
            <w:noWrap w:val="0"/>
            <w:vAlign w:val="top"/>
          </w:tcPr>
          <w:p w14:paraId="415BAF86">
            <w:pPr>
              <w:snapToGrid w:val="0"/>
              <w:spacing w:line="360" w:lineRule="auto"/>
              <w:jc w:val="center"/>
              <w:rPr>
                <w:rFonts w:hint="eastAsia" w:ascii="宋体" w:hAnsi="宋体" w:eastAsia="宋体" w:cs="宋体"/>
                <w:color w:val="auto"/>
                <w:sz w:val="21"/>
                <w:szCs w:val="21"/>
                <w:highlight w:val="none"/>
              </w:rPr>
            </w:pPr>
          </w:p>
        </w:tc>
        <w:tc>
          <w:tcPr>
            <w:tcW w:w="908" w:type="dxa"/>
            <w:noWrap w:val="0"/>
            <w:vAlign w:val="top"/>
          </w:tcPr>
          <w:p w14:paraId="03A29F8B">
            <w:pPr>
              <w:snapToGrid w:val="0"/>
              <w:spacing w:line="360" w:lineRule="auto"/>
              <w:jc w:val="center"/>
              <w:rPr>
                <w:rFonts w:hint="eastAsia" w:ascii="宋体" w:hAnsi="宋体" w:eastAsia="宋体" w:cs="宋体"/>
                <w:color w:val="auto"/>
                <w:sz w:val="21"/>
                <w:szCs w:val="21"/>
                <w:highlight w:val="none"/>
              </w:rPr>
            </w:pPr>
          </w:p>
        </w:tc>
        <w:tc>
          <w:tcPr>
            <w:tcW w:w="668" w:type="dxa"/>
            <w:noWrap w:val="0"/>
            <w:vAlign w:val="top"/>
          </w:tcPr>
          <w:p w14:paraId="058C2986">
            <w:pPr>
              <w:snapToGrid w:val="0"/>
              <w:spacing w:line="360" w:lineRule="auto"/>
              <w:jc w:val="center"/>
              <w:rPr>
                <w:rFonts w:hint="eastAsia" w:ascii="宋体" w:hAnsi="宋体" w:eastAsia="宋体" w:cs="宋体"/>
                <w:color w:val="auto"/>
                <w:sz w:val="21"/>
                <w:szCs w:val="21"/>
                <w:highlight w:val="none"/>
              </w:rPr>
            </w:pPr>
          </w:p>
        </w:tc>
        <w:tc>
          <w:tcPr>
            <w:tcW w:w="947" w:type="dxa"/>
            <w:noWrap w:val="0"/>
            <w:vAlign w:val="center"/>
          </w:tcPr>
          <w:p w14:paraId="02AF1739">
            <w:pPr>
              <w:snapToGrid w:val="0"/>
              <w:spacing w:line="360" w:lineRule="auto"/>
              <w:jc w:val="center"/>
              <w:rPr>
                <w:rFonts w:hint="eastAsia" w:ascii="宋体" w:hAnsi="宋体" w:eastAsia="宋体" w:cs="宋体"/>
                <w:color w:val="auto"/>
                <w:sz w:val="21"/>
                <w:szCs w:val="21"/>
                <w:highlight w:val="none"/>
              </w:rPr>
            </w:pPr>
          </w:p>
        </w:tc>
        <w:tc>
          <w:tcPr>
            <w:tcW w:w="1189" w:type="dxa"/>
            <w:noWrap w:val="0"/>
            <w:vAlign w:val="center"/>
          </w:tcPr>
          <w:p w14:paraId="27C37B52">
            <w:pPr>
              <w:snapToGrid w:val="0"/>
              <w:spacing w:line="360" w:lineRule="auto"/>
              <w:jc w:val="center"/>
              <w:rPr>
                <w:rFonts w:hint="eastAsia" w:ascii="宋体" w:hAnsi="宋体" w:eastAsia="宋体" w:cs="宋体"/>
                <w:color w:val="auto"/>
                <w:sz w:val="21"/>
                <w:szCs w:val="21"/>
                <w:highlight w:val="none"/>
              </w:rPr>
            </w:pPr>
          </w:p>
        </w:tc>
      </w:tr>
      <w:tr w14:paraId="1A1F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5E633DC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3" w:type="dxa"/>
            <w:noWrap w:val="0"/>
            <w:vAlign w:val="center"/>
          </w:tcPr>
          <w:p w14:paraId="7A5CCE5B">
            <w:pPr>
              <w:snapToGrid w:val="0"/>
              <w:spacing w:line="360" w:lineRule="auto"/>
              <w:jc w:val="center"/>
              <w:rPr>
                <w:rFonts w:hint="eastAsia" w:ascii="宋体" w:hAnsi="宋体" w:eastAsia="宋体" w:cs="宋体"/>
                <w:color w:val="auto"/>
                <w:sz w:val="21"/>
                <w:szCs w:val="21"/>
                <w:highlight w:val="none"/>
              </w:rPr>
            </w:pPr>
          </w:p>
        </w:tc>
        <w:tc>
          <w:tcPr>
            <w:tcW w:w="1059" w:type="dxa"/>
            <w:noWrap w:val="0"/>
            <w:vAlign w:val="center"/>
          </w:tcPr>
          <w:p w14:paraId="160CA06F">
            <w:pPr>
              <w:snapToGrid w:val="0"/>
              <w:spacing w:line="360" w:lineRule="auto"/>
              <w:jc w:val="center"/>
              <w:rPr>
                <w:rFonts w:hint="eastAsia" w:ascii="宋体" w:hAnsi="宋体" w:eastAsia="宋体" w:cs="宋体"/>
                <w:color w:val="auto"/>
                <w:sz w:val="21"/>
                <w:szCs w:val="21"/>
                <w:highlight w:val="none"/>
              </w:rPr>
            </w:pPr>
          </w:p>
        </w:tc>
        <w:tc>
          <w:tcPr>
            <w:tcW w:w="1233" w:type="dxa"/>
            <w:noWrap w:val="0"/>
            <w:vAlign w:val="center"/>
          </w:tcPr>
          <w:p w14:paraId="066041C6">
            <w:pPr>
              <w:snapToGrid w:val="0"/>
              <w:spacing w:line="360" w:lineRule="auto"/>
              <w:jc w:val="center"/>
              <w:rPr>
                <w:rFonts w:hint="eastAsia" w:ascii="宋体" w:hAnsi="宋体" w:eastAsia="宋体" w:cs="宋体"/>
                <w:color w:val="auto"/>
                <w:sz w:val="21"/>
                <w:szCs w:val="21"/>
                <w:highlight w:val="none"/>
              </w:rPr>
            </w:pPr>
          </w:p>
        </w:tc>
        <w:tc>
          <w:tcPr>
            <w:tcW w:w="1210" w:type="dxa"/>
            <w:noWrap w:val="0"/>
            <w:vAlign w:val="top"/>
          </w:tcPr>
          <w:p w14:paraId="1A9883FC">
            <w:pPr>
              <w:snapToGrid w:val="0"/>
              <w:spacing w:line="360" w:lineRule="auto"/>
              <w:jc w:val="center"/>
              <w:rPr>
                <w:rFonts w:hint="eastAsia" w:ascii="宋体" w:hAnsi="宋体" w:eastAsia="宋体" w:cs="宋体"/>
                <w:color w:val="auto"/>
                <w:sz w:val="21"/>
                <w:szCs w:val="21"/>
                <w:highlight w:val="none"/>
              </w:rPr>
            </w:pPr>
          </w:p>
        </w:tc>
        <w:tc>
          <w:tcPr>
            <w:tcW w:w="908" w:type="dxa"/>
            <w:noWrap w:val="0"/>
            <w:vAlign w:val="top"/>
          </w:tcPr>
          <w:p w14:paraId="4BB4BEB4">
            <w:pPr>
              <w:snapToGrid w:val="0"/>
              <w:spacing w:line="360" w:lineRule="auto"/>
              <w:jc w:val="center"/>
              <w:rPr>
                <w:rFonts w:hint="eastAsia" w:ascii="宋体" w:hAnsi="宋体" w:eastAsia="宋体" w:cs="宋体"/>
                <w:color w:val="auto"/>
                <w:sz w:val="21"/>
                <w:szCs w:val="21"/>
                <w:highlight w:val="none"/>
              </w:rPr>
            </w:pPr>
          </w:p>
        </w:tc>
        <w:tc>
          <w:tcPr>
            <w:tcW w:w="668" w:type="dxa"/>
            <w:noWrap w:val="0"/>
            <w:vAlign w:val="top"/>
          </w:tcPr>
          <w:p w14:paraId="63A03A49">
            <w:pPr>
              <w:snapToGrid w:val="0"/>
              <w:spacing w:line="360" w:lineRule="auto"/>
              <w:jc w:val="center"/>
              <w:rPr>
                <w:rFonts w:hint="eastAsia" w:ascii="宋体" w:hAnsi="宋体" w:eastAsia="宋体" w:cs="宋体"/>
                <w:color w:val="auto"/>
                <w:sz w:val="21"/>
                <w:szCs w:val="21"/>
                <w:highlight w:val="none"/>
              </w:rPr>
            </w:pPr>
          </w:p>
        </w:tc>
        <w:tc>
          <w:tcPr>
            <w:tcW w:w="947" w:type="dxa"/>
            <w:noWrap w:val="0"/>
            <w:vAlign w:val="center"/>
          </w:tcPr>
          <w:p w14:paraId="0291414C">
            <w:pPr>
              <w:snapToGrid w:val="0"/>
              <w:spacing w:line="360" w:lineRule="auto"/>
              <w:jc w:val="center"/>
              <w:rPr>
                <w:rFonts w:hint="eastAsia" w:ascii="宋体" w:hAnsi="宋体" w:eastAsia="宋体" w:cs="宋体"/>
                <w:color w:val="auto"/>
                <w:sz w:val="21"/>
                <w:szCs w:val="21"/>
                <w:highlight w:val="none"/>
              </w:rPr>
            </w:pPr>
          </w:p>
        </w:tc>
        <w:tc>
          <w:tcPr>
            <w:tcW w:w="1189" w:type="dxa"/>
            <w:noWrap w:val="0"/>
            <w:vAlign w:val="center"/>
          </w:tcPr>
          <w:p w14:paraId="55925137">
            <w:pPr>
              <w:snapToGrid w:val="0"/>
              <w:spacing w:line="360" w:lineRule="auto"/>
              <w:jc w:val="center"/>
              <w:rPr>
                <w:rFonts w:hint="eastAsia" w:ascii="宋体" w:hAnsi="宋体" w:eastAsia="宋体" w:cs="宋体"/>
                <w:color w:val="auto"/>
                <w:sz w:val="21"/>
                <w:szCs w:val="21"/>
                <w:highlight w:val="none"/>
              </w:rPr>
            </w:pPr>
          </w:p>
        </w:tc>
      </w:tr>
      <w:tr w14:paraId="2BF1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2CBCA60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33" w:type="dxa"/>
            <w:noWrap w:val="0"/>
            <w:vAlign w:val="center"/>
          </w:tcPr>
          <w:p w14:paraId="3C2A80E2">
            <w:pPr>
              <w:snapToGrid w:val="0"/>
              <w:spacing w:line="360" w:lineRule="auto"/>
              <w:jc w:val="center"/>
              <w:rPr>
                <w:rFonts w:hint="eastAsia" w:ascii="宋体" w:hAnsi="宋体" w:eastAsia="宋体" w:cs="宋体"/>
                <w:color w:val="auto"/>
                <w:sz w:val="21"/>
                <w:szCs w:val="21"/>
                <w:highlight w:val="none"/>
              </w:rPr>
            </w:pPr>
          </w:p>
        </w:tc>
        <w:tc>
          <w:tcPr>
            <w:tcW w:w="1059" w:type="dxa"/>
            <w:noWrap w:val="0"/>
            <w:vAlign w:val="center"/>
          </w:tcPr>
          <w:p w14:paraId="1AAC8E47">
            <w:pPr>
              <w:snapToGrid w:val="0"/>
              <w:spacing w:line="360" w:lineRule="auto"/>
              <w:jc w:val="center"/>
              <w:rPr>
                <w:rFonts w:hint="eastAsia" w:ascii="宋体" w:hAnsi="宋体" w:eastAsia="宋体" w:cs="宋体"/>
                <w:color w:val="auto"/>
                <w:sz w:val="21"/>
                <w:szCs w:val="21"/>
                <w:highlight w:val="none"/>
              </w:rPr>
            </w:pPr>
          </w:p>
        </w:tc>
        <w:tc>
          <w:tcPr>
            <w:tcW w:w="1233" w:type="dxa"/>
            <w:noWrap w:val="0"/>
            <w:vAlign w:val="center"/>
          </w:tcPr>
          <w:p w14:paraId="1DEE5A81">
            <w:pPr>
              <w:snapToGrid w:val="0"/>
              <w:spacing w:line="360" w:lineRule="auto"/>
              <w:jc w:val="center"/>
              <w:rPr>
                <w:rFonts w:hint="eastAsia" w:ascii="宋体" w:hAnsi="宋体" w:eastAsia="宋体" w:cs="宋体"/>
                <w:color w:val="auto"/>
                <w:sz w:val="21"/>
                <w:szCs w:val="21"/>
                <w:highlight w:val="none"/>
              </w:rPr>
            </w:pPr>
          </w:p>
        </w:tc>
        <w:tc>
          <w:tcPr>
            <w:tcW w:w="1210" w:type="dxa"/>
            <w:noWrap w:val="0"/>
            <w:vAlign w:val="top"/>
          </w:tcPr>
          <w:p w14:paraId="27185323">
            <w:pPr>
              <w:snapToGrid w:val="0"/>
              <w:spacing w:line="360" w:lineRule="auto"/>
              <w:jc w:val="center"/>
              <w:rPr>
                <w:rFonts w:hint="eastAsia" w:ascii="宋体" w:hAnsi="宋体" w:eastAsia="宋体" w:cs="宋体"/>
                <w:color w:val="auto"/>
                <w:sz w:val="21"/>
                <w:szCs w:val="21"/>
                <w:highlight w:val="none"/>
              </w:rPr>
            </w:pPr>
          </w:p>
        </w:tc>
        <w:tc>
          <w:tcPr>
            <w:tcW w:w="908" w:type="dxa"/>
            <w:noWrap w:val="0"/>
            <w:vAlign w:val="top"/>
          </w:tcPr>
          <w:p w14:paraId="4D203ADC">
            <w:pPr>
              <w:snapToGrid w:val="0"/>
              <w:spacing w:line="360" w:lineRule="auto"/>
              <w:jc w:val="center"/>
              <w:rPr>
                <w:rFonts w:hint="eastAsia" w:ascii="宋体" w:hAnsi="宋体" w:eastAsia="宋体" w:cs="宋体"/>
                <w:color w:val="auto"/>
                <w:sz w:val="21"/>
                <w:szCs w:val="21"/>
                <w:highlight w:val="none"/>
              </w:rPr>
            </w:pPr>
          </w:p>
        </w:tc>
        <w:tc>
          <w:tcPr>
            <w:tcW w:w="668" w:type="dxa"/>
            <w:noWrap w:val="0"/>
            <w:vAlign w:val="top"/>
          </w:tcPr>
          <w:p w14:paraId="5D58B9A9">
            <w:pPr>
              <w:snapToGrid w:val="0"/>
              <w:spacing w:line="360" w:lineRule="auto"/>
              <w:jc w:val="center"/>
              <w:rPr>
                <w:rFonts w:hint="eastAsia" w:ascii="宋体" w:hAnsi="宋体" w:eastAsia="宋体" w:cs="宋体"/>
                <w:color w:val="auto"/>
                <w:sz w:val="21"/>
                <w:szCs w:val="21"/>
                <w:highlight w:val="none"/>
              </w:rPr>
            </w:pPr>
          </w:p>
        </w:tc>
        <w:tc>
          <w:tcPr>
            <w:tcW w:w="947" w:type="dxa"/>
            <w:noWrap w:val="0"/>
            <w:vAlign w:val="center"/>
          </w:tcPr>
          <w:p w14:paraId="2A422047">
            <w:pPr>
              <w:snapToGrid w:val="0"/>
              <w:spacing w:line="360" w:lineRule="auto"/>
              <w:jc w:val="center"/>
              <w:rPr>
                <w:rFonts w:hint="eastAsia" w:ascii="宋体" w:hAnsi="宋体" w:eastAsia="宋体" w:cs="宋体"/>
                <w:color w:val="auto"/>
                <w:sz w:val="21"/>
                <w:szCs w:val="21"/>
                <w:highlight w:val="none"/>
              </w:rPr>
            </w:pPr>
          </w:p>
        </w:tc>
        <w:tc>
          <w:tcPr>
            <w:tcW w:w="1189" w:type="dxa"/>
            <w:noWrap w:val="0"/>
            <w:vAlign w:val="center"/>
          </w:tcPr>
          <w:p w14:paraId="2CCD4611">
            <w:pPr>
              <w:snapToGrid w:val="0"/>
              <w:spacing w:line="360" w:lineRule="auto"/>
              <w:jc w:val="center"/>
              <w:rPr>
                <w:rFonts w:hint="eastAsia" w:ascii="宋体" w:hAnsi="宋体" w:eastAsia="宋体" w:cs="宋体"/>
                <w:color w:val="auto"/>
                <w:sz w:val="21"/>
                <w:szCs w:val="21"/>
                <w:highlight w:val="none"/>
              </w:rPr>
            </w:pPr>
          </w:p>
        </w:tc>
      </w:tr>
      <w:tr w14:paraId="0861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56" w:type="dxa"/>
            <w:gridSpan w:val="9"/>
            <w:noWrap w:val="0"/>
            <w:vAlign w:val="center"/>
          </w:tcPr>
          <w:p w14:paraId="5EC151F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人民币合计金额（大写）                          （小写）                 </w:t>
            </w:r>
          </w:p>
        </w:tc>
      </w:tr>
    </w:tbl>
    <w:p w14:paraId="125BAE47">
      <w:pPr>
        <w:snapToGrid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2.合同合计金额包括货物的所有费用，包括采购、运输、劳务、管理、利润、税金、保险、协调、培训、售后服务、配送产品以及所有的不定因素的风险等。</w:t>
      </w:r>
    </w:p>
    <w:p w14:paraId="7FA3AB4C">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　质量要求</w:t>
      </w:r>
    </w:p>
    <w:p w14:paraId="516C15A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1.乙方所提供的产品名称、商标品牌、生产厂家、规格型号、技术参数等质量必须与招标文件规定及投标文件承诺相一致。乙方提供的节能和环保产品必须是列入政府采购品目清单的产品。</w:t>
      </w:r>
    </w:p>
    <w:p w14:paraId="00A81E77">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2.乙方所提供的货物必须是全新、未使用的原装产品，且在正常安装、使用和保养条件下，其使用寿命期内各项指标均达到招标文件规定或者投标文件承诺的质量要求。</w:t>
      </w:r>
    </w:p>
    <w:p w14:paraId="2681E027">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　权利保证</w:t>
      </w:r>
    </w:p>
    <w:p w14:paraId="0FFBCEF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1.乙方应保证所提供货物在使用时不会侵犯任何第三方的专利权、商标权、工业设计权或者其他权利。</w:t>
      </w:r>
    </w:p>
    <w:p w14:paraId="79A2C47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2.乙方应按招标文件规定或者投标文件承诺的时间向甲方提供使用货物的有关技术资料。</w:t>
      </w:r>
    </w:p>
    <w:p w14:paraId="2A45820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34C11FB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4.乙方保证将要交付的货物的所有权完全属于乙方且无任何抵押、质押、查封等产权瑕疵。</w:t>
      </w:r>
    </w:p>
    <w:p w14:paraId="2CAF667C">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包装和运输</w:t>
      </w:r>
    </w:p>
    <w:p w14:paraId="278085A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1.乙方提供的货物均应按招标文件规定或者投标文件承诺的要求的包装材料、包装标准、包装方式进行包装，每一包装单元内应附详细的装箱单和质量合格证。</w:t>
      </w:r>
    </w:p>
    <w:p w14:paraId="1D8877D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2.货物的运输方式：</w:t>
      </w:r>
      <w:r>
        <w:rPr>
          <w:rFonts w:hint="eastAsia" w:ascii="宋体" w:hAnsi="宋体" w:eastAsia="宋体" w:cs="宋体"/>
          <w:color w:val="auto"/>
          <w:sz w:val="21"/>
          <w:szCs w:val="21"/>
          <w:highlight w:val="none"/>
          <w:u w:val="single"/>
        </w:rPr>
        <w:t xml:space="preserve">             。</w:t>
      </w:r>
    </w:p>
    <w:p w14:paraId="01C41AC5">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3.乙方负责货物运输，货物运输合理损耗及计算方法：</w:t>
      </w:r>
      <w:r>
        <w:rPr>
          <w:rFonts w:hint="eastAsia" w:ascii="宋体" w:hAnsi="宋体" w:eastAsia="宋体" w:cs="宋体"/>
          <w:color w:val="auto"/>
          <w:sz w:val="21"/>
          <w:szCs w:val="21"/>
          <w:highlight w:val="none"/>
          <w:u w:val="single"/>
        </w:rPr>
        <w:t xml:space="preserve">                 。</w:t>
      </w:r>
    </w:p>
    <w:p w14:paraId="0D5BBF58">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　交付和验收</w:t>
      </w:r>
    </w:p>
    <w:p w14:paraId="5449921C">
      <w:pPr>
        <w:spacing w:line="560" w:lineRule="exact"/>
        <w:ind w:firstLine="420" w:firstLineChars="200"/>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1.交付时间：</w:t>
      </w:r>
      <w:r>
        <w:rPr>
          <w:rFonts w:hint="eastAsia" w:ascii="宋体" w:hAnsi="宋体" w:eastAsia="宋体" w:cs="宋体"/>
          <w:color w:val="auto"/>
          <w:sz w:val="21"/>
          <w:szCs w:val="21"/>
          <w:highlight w:val="none"/>
          <w:u w:val="single"/>
          <w:lang w:eastAsia="zh-CN"/>
        </w:rPr>
        <w:t>自签订合同之日起</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eastAsia="zh-CN"/>
        </w:rPr>
        <w:t>个月内，安装调试完毕并交付使用；项目竣工后，进入维保服务期间，维保期三年。</w:t>
      </w:r>
    </w:p>
    <w:p w14:paraId="259D256D">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交付地点：</w:t>
      </w:r>
      <w:r>
        <w:rPr>
          <w:rFonts w:hint="eastAsia" w:ascii="宋体" w:hAnsi="宋体" w:eastAsia="宋体" w:cs="宋体"/>
          <w:color w:val="auto"/>
          <w:kern w:val="2"/>
          <w:sz w:val="21"/>
          <w:szCs w:val="21"/>
          <w:highlight w:val="none"/>
          <w:u w:val="single"/>
          <w:lang w:bidi="ar"/>
        </w:rPr>
        <w:t>广西南宁市（采购人指定地点）</w:t>
      </w:r>
      <w:r>
        <w:rPr>
          <w:rFonts w:hint="eastAsia" w:ascii="宋体" w:hAnsi="宋体" w:eastAsia="宋体" w:cs="宋体"/>
          <w:color w:val="auto"/>
          <w:sz w:val="21"/>
          <w:szCs w:val="21"/>
          <w:highlight w:val="none"/>
          <w:u w:val="single"/>
        </w:rPr>
        <w:t xml:space="preserve"> 。</w:t>
      </w:r>
    </w:p>
    <w:p w14:paraId="09EAD08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2.乙方提供不符合招标文件规定或者投标文件承诺的和本合同规定的货物，甲方有权拒绝接受。</w:t>
      </w:r>
    </w:p>
    <w:p w14:paraId="65D8A16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2A6F963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4.甲方应当在到货（安装、调试完）后七个工作日内进行验收，逾期不验收的，乙方可视同验收合格。验收合格后由甲乙双方签署货物验收单并加盖采购人公章，甲乙双方各执一份。</w:t>
      </w:r>
    </w:p>
    <w:p w14:paraId="3309E9E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162020C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6.甲方对验收有异议的，在验收后五个工作日内以书面形式向乙方提出，乙方应自收到甲方书面异议后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日内及时予以解决。</w:t>
      </w:r>
    </w:p>
    <w:p w14:paraId="01A4CAE2">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安装和培训</w:t>
      </w:r>
    </w:p>
    <w:p w14:paraId="27B7126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1.甲方应提供必要安装条件（如场地、电源、水源等）。</w:t>
      </w:r>
    </w:p>
    <w:p w14:paraId="1E0FFFCA">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2.乙方投标文件承诺负责甲方有关人员的培训。培训时间、地点：</w:t>
      </w:r>
      <w:r>
        <w:rPr>
          <w:rFonts w:hint="eastAsia" w:ascii="宋体" w:hAnsi="宋体" w:eastAsia="宋体" w:cs="宋体"/>
          <w:color w:val="auto"/>
          <w:sz w:val="21"/>
          <w:szCs w:val="21"/>
          <w:highlight w:val="none"/>
          <w:u w:val="single"/>
        </w:rPr>
        <w:t xml:space="preserve">                   。</w:t>
      </w:r>
    </w:p>
    <w:p w14:paraId="091D397F">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售后服务、质保期</w:t>
      </w:r>
    </w:p>
    <w:p w14:paraId="234B321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1.乙方应按照国家有关法律法规和“三包”规定以及本合同所附的《服务承诺》，为甲方提供售后服务。</w:t>
      </w:r>
    </w:p>
    <w:p w14:paraId="49790B30">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2.货物质保期：</w:t>
      </w:r>
      <w:r>
        <w:rPr>
          <w:rFonts w:hint="eastAsia" w:ascii="宋体" w:hAnsi="宋体" w:eastAsia="宋体" w:cs="宋体"/>
          <w:color w:val="auto"/>
          <w:sz w:val="21"/>
          <w:szCs w:val="21"/>
          <w:highlight w:val="none"/>
          <w:u w:val="single"/>
        </w:rPr>
        <w:t xml:space="preserve">                                          。</w:t>
      </w:r>
    </w:p>
    <w:p w14:paraId="50CFF7F5">
      <w:pPr>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3.乙方提供的服务承诺和售后服务及质保期责任等其它具体约定事项。（见合同附件）</w:t>
      </w:r>
    </w:p>
    <w:p w14:paraId="1F18E82B">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第八条　付款方式</w:t>
      </w:r>
    </w:p>
    <w:p w14:paraId="61E2604E">
      <w:pPr>
        <w:snapToGrid w:val="0"/>
        <w:spacing w:line="360" w:lineRule="auto"/>
        <w:ind w:firstLine="420" w:firstLineChars="200"/>
        <w:rPr>
          <w:rFonts w:hint="eastAsia" w:ascii="宋体" w:hAnsi="宋体" w:eastAsia="宋体" w:cs="宋体"/>
          <w:color w:val="auto"/>
          <w:kern w:val="2"/>
          <w:sz w:val="21"/>
          <w:szCs w:val="21"/>
          <w:highlight w:val="none"/>
          <w:u w:val="single"/>
          <w:lang w:eastAsia="zh-CN" w:bidi="ar"/>
        </w:rPr>
      </w:pPr>
      <w:r>
        <w:rPr>
          <w:rFonts w:hint="eastAsia" w:ascii="宋体" w:hAnsi="宋体" w:eastAsia="宋体" w:cs="宋体"/>
          <w:color w:val="auto"/>
          <w:kern w:val="2"/>
          <w:sz w:val="21"/>
          <w:szCs w:val="21"/>
          <w:highlight w:val="none"/>
          <w:u w:val="single"/>
          <w:lang w:eastAsia="zh-CN" w:bidi="ar"/>
        </w:rPr>
        <w:t>1.本项目签订合同后15个工作日内，采购人向中标人支付合同总金额15%的作为合同预付款。</w:t>
      </w:r>
    </w:p>
    <w:p w14:paraId="50654E29">
      <w:pPr>
        <w:snapToGrid w:val="0"/>
        <w:spacing w:line="360" w:lineRule="auto"/>
        <w:ind w:firstLine="420" w:firstLineChars="200"/>
        <w:rPr>
          <w:rFonts w:hint="eastAsia" w:ascii="宋体" w:hAnsi="宋体" w:eastAsia="宋体" w:cs="宋体"/>
          <w:color w:val="auto"/>
          <w:kern w:val="2"/>
          <w:sz w:val="21"/>
          <w:szCs w:val="21"/>
          <w:highlight w:val="none"/>
          <w:u w:val="single"/>
          <w:lang w:eastAsia="zh-CN" w:bidi="ar"/>
        </w:rPr>
      </w:pPr>
      <w:r>
        <w:rPr>
          <w:rFonts w:hint="eastAsia" w:ascii="宋体" w:hAnsi="宋体" w:eastAsia="宋体" w:cs="宋体"/>
          <w:color w:val="auto"/>
          <w:kern w:val="2"/>
          <w:sz w:val="21"/>
          <w:szCs w:val="21"/>
          <w:highlight w:val="none"/>
          <w:u w:val="single"/>
          <w:lang w:eastAsia="zh-CN" w:bidi="ar"/>
        </w:rPr>
        <w:t>2.本项目经项目单位组织初步验收通过后，采购人在中标人提出付款申请后15个工作日内向中标人支付45%的合同款。</w:t>
      </w:r>
    </w:p>
    <w:p w14:paraId="0DFA070F">
      <w:pPr>
        <w:snapToGrid w:val="0"/>
        <w:spacing w:line="360" w:lineRule="auto"/>
        <w:ind w:firstLine="420" w:firstLineChars="200"/>
        <w:rPr>
          <w:rFonts w:hint="eastAsia" w:ascii="宋体" w:hAnsi="宋体" w:eastAsia="宋体" w:cs="宋体"/>
          <w:color w:val="auto"/>
          <w:kern w:val="2"/>
          <w:sz w:val="21"/>
          <w:szCs w:val="21"/>
          <w:highlight w:val="none"/>
          <w:u w:val="single"/>
          <w:lang w:eastAsia="zh-CN" w:bidi="ar"/>
        </w:rPr>
      </w:pPr>
      <w:r>
        <w:rPr>
          <w:rFonts w:hint="eastAsia" w:ascii="宋体" w:hAnsi="宋体" w:eastAsia="宋体" w:cs="宋体"/>
          <w:color w:val="auto"/>
          <w:kern w:val="2"/>
          <w:sz w:val="21"/>
          <w:szCs w:val="21"/>
          <w:highlight w:val="none"/>
          <w:u w:val="single"/>
          <w:lang w:eastAsia="zh-CN" w:bidi="ar"/>
        </w:rPr>
        <w:t>3.建设单位完成建设后，向厅科信办提请初步验收，初步验收通过后，采购人在本项目中标人提出付款申请后15个工作日内向中标人支付30%的合同款。</w:t>
      </w:r>
    </w:p>
    <w:p w14:paraId="70093C03">
      <w:pPr>
        <w:snapToGrid w:val="0"/>
        <w:spacing w:line="360" w:lineRule="auto"/>
        <w:ind w:firstLine="420" w:firstLineChars="200"/>
        <w:rPr>
          <w:rFonts w:hint="eastAsia" w:ascii="宋体" w:hAnsi="宋体" w:eastAsia="宋体" w:cs="宋体"/>
          <w:color w:val="auto"/>
          <w:kern w:val="2"/>
          <w:sz w:val="21"/>
          <w:szCs w:val="21"/>
          <w:highlight w:val="none"/>
          <w:u w:val="single"/>
          <w:lang w:eastAsia="zh-CN" w:bidi="ar"/>
        </w:rPr>
      </w:pPr>
      <w:r>
        <w:rPr>
          <w:rFonts w:hint="eastAsia" w:ascii="宋体" w:hAnsi="宋体" w:eastAsia="宋体" w:cs="宋体"/>
          <w:color w:val="auto"/>
          <w:kern w:val="2"/>
          <w:sz w:val="21"/>
          <w:szCs w:val="21"/>
          <w:highlight w:val="none"/>
          <w:u w:val="single"/>
          <w:lang w:eastAsia="zh-CN" w:bidi="ar"/>
        </w:rPr>
        <w:t>4.厅科信办组织将项目报广西壮族自治区大数据发展局提请开展竣工验收，在竣工验收通过后，采购人在本项目中标人提出付款申请后15个工作日内向中标人支付10%的合同款。</w:t>
      </w:r>
    </w:p>
    <w:p w14:paraId="1F00F23B">
      <w:pPr>
        <w:snapToGrid w:val="0"/>
        <w:spacing w:line="360" w:lineRule="auto"/>
        <w:ind w:firstLine="420"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color w:val="auto"/>
          <w:kern w:val="2"/>
          <w:sz w:val="21"/>
          <w:szCs w:val="21"/>
          <w:highlight w:val="none"/>
          <w:u w:val="single"/>
          <w:lang w:eastAsia="zh-CN" w:bidi="ar"/>
        </w:rPr>
        <w:t xml:space="preserve">5.采购人付款前，中标人应向采购人提供与支付金额相符的有效发票，且收款方、出具发票方、合同乙方均必须与中标人名称一致。 </w:t>
      </w:r>
    </w:p>
    <w:p w14:paraId="32461E38">
      <w:pPr>
        <w:snapToGrid w:val="0"/>
        <w:spacing w:line="360" w:lineRule="auto"/>
        <w:ind w:left="-61" w:leftChars="-29" w:firstLine="517" w:firstLineChars="24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履约保证金</w:t>
      </w:r>
    </w:p>
    <w:p w14:paraId="6D7F4C4D">
      <w:pPr>
        <w:autoSpaceDE w:val="0"/>
        <w:autoSpaceDN w:val="0"/>
        <w:snapToGrid w:val="0"/>
        <w:spacing w:line="360" w:lineRule="auto"/>
        <w:ind w:firstLine="424" w:firstLineChars="20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14:paraId="59626FB0">
      <w:pPr>
        <w:autoSpaceDE w:val="0"/>
        <w:autoSpaceDN w:val="0"/>
        <w:snapToGrid w:val="0"/>
        <w:spacing w:line="360" w:lineRule="auto"/>
        <w:ind w:firstLine="424" w:firstLineChars="20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履约保证金递交方式：银行转账、支票、汇票、本票或者金融、担保机构出具的保函等非现金方式。</w:t>
      </w:r>
    </w:p>
    <w:p w14:paraId="1F5305FD">
      <w:pPr>
        <w:autoSpaceDE w:val="0"/>
        <w:autoSpaceDN w:val="0"/>
        <w:snapToGrid w:val="0"/>
        <w:spacing w:line="360" w:lineRule="auto"/>
        <w:ind w:firstLine="424" w:firstLineChars="202"/>
        <w:textAlignment w:val="bottom"/>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履约保证金退付方式、时间及条件：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02025177">
      <w:pPr>
        <w:autoSpaceDE w:val="0"/>
        <w:autoSpaceDN w:val="0"/>
        <w:snapToGrid w:val="0"/>
        <w:spacing w:line="360" w:lineRule="auto"/>
        <w:ind w:firstLine="424" w:firstLineChars="202"/>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签订合同后，如中标人不按双方签订的合同规定履约，则没收其全部履约保证金，履约保证金不足以赔偿损失的，按实际损失赔偿。</w:t>
      </w:r>
    </w:p>
    <w:p w14:paraId="22D9FC9F">
      <w:pPr>
        <w:snapToGrid w:val="0"/>
        <w:spacing w:line="360" w:lineRule="auto"/>
        <w:ind w:left="-61" w:firstLine="51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税费</w:t>
      </w:r>
    </w:p>
    <w:p w14:paraId="0C3148D3">
      <w:pPr>
        <w:snapToGrid w:val="0"/>
        <w:spacing w:line="360" w:lineRule="auto"/>
        <w:ind w:left="-61" w:firstLine="5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本合同执行中相关的一切税费均由乙方负担，合同另有约定的除外。</w:t>
      </w:r>
    </w:p>
    <w:p w14:paraId="3539F97B">
      <w:pPr>
        <w:snapToGrid w:val="0"/>
        <w:spacing w:line="360" w:lineRule="auto"/>
        <w:ind w:left="-61" w:firstLine="514"/>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第十一条  质量保证及售后服务</w:t>
      </w:r>
    </w:p>
    <w:p w14:paraId="66F0CAEE">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eastAsia="宋体" w:cs="宋体"/>
          <w:color w:val="auto"/>
          <w:kern w:val="0"/>
          <w:sz w:val="21"/>
          <w:szCs w:val="21"/>
          <w:highlight w:val="none"/>
        </w:rPr>
        <w:t>乙方应按招标文件规定的产品名称、商标品牌、生产厂家、规格型号、技术参数、质量标准向甲方提供未经使用的全新产品。不符合要求的，根据实际情况，经双方协商，可按以下办法处理：</w:t>
      </w:r>
    </w:p>
    <w:p w14:paraId="3E205C71">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⑴更换：由乙方承担所发生的全部费用。</w:t>
      </w:r>
    </w:p>
    <w:p w14:paraId="2B3DB97A">
      <w:pPr>
        <w:snapToGrid w:val="0"/>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⑵贬值处理：由甲乙双方合议定价。</w:t>
      </w:r>
    </w:p>
    <w:p w14:paraId="7475C2ED">
      <w:pPr>
        <w:snapToGrid w:val="0"/>
        <w:spacing w:line="360" w:lineRule="auto"/>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⑶退货处理：乙方应退还甲方支付的合同款，同时应承担该货物的直接费用（运输、保险、检验、货款利息及银行手续费等）。</w:t>
      </w:r>
    </w:p>
    <w:p w14:paraId="43AD1CC4">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2.如在使用过程中发生质量问题，乙方在接到甲方通知后到达甲方现场处理的时间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小时内。</w:t>
      </w:r>
    </w:p>
    <w:p w14:paraId="54B8E905">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3.在质保期内，乙方应对货物出现的质量及安全问题负责处理解决并承担一切费用。</w:t>
      </w:r>
    </w:p>
    <w:p w14:paraId="7BC0287A">
      <w:pPr>
        <w:snapToGrid w:val="0"/>
        <w:spacing w:line="360" w:lineRule="auto"/>
        <w:ind w:left="-61" w:firstLine="514"/>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第十二条  调试和验收</w:t>
      </w:r>
    </w:p>
    <w:p w14:paraId="26AD47E0">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甲方对乙方提交的货物依据招标文件上的技术规格要求和国家有关质量标准进行现场初步验收，外观、说明书符合招标文件技术要求的，给予签收，初步验收不合格的不予签收。货到后，甲方应当在到货后七个工作日内进行验收。</w:t>
      </w:r>
    </w:p>
    <w:p w14:paraId="048BDB36">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2.乙方交货前应对产品作出全面检查和对验收文件进行整理，并列出清单，作为甲方收货验收和使用的技术条件依据，检验的结果应随货物交甲方。</w:t>
      </w:r>
    </w:p>
    <w:p w14:paraId="5DC70F43">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3.甲方对乙方提供的货物在使用前进行调试时，乙方需负责安装并培训甲方的使用操作人员，并协助甲方一起调试，直到符合技术要求，甲方才做最终验收。</w:t>
      </w:r>
    </w:p>
    <w:p w14:paraId="52A63333">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4.对技术复杂的货物，甲方应请国家认可的专业检测机构参与初步验收及最终验收，并由其出具质量检测报告。</w:t>
      </w:r>
    </w:p>
    <w:p w14:paraId="661531A7">
      <w:pPr>
        <w:snapToGrid w:val="0"/>
        <w:spacing w:line="360" w:lineRule="auto"/>
        <w:ind w:left="-61" w:firstLine="5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验收时乙方必须在现场，验收完毕后作出验收结果报告；验收费用按招标文件约定承担方负责。</w:t>
      </w:r>
    </w:p>
    <w:p w14:paraId="326756F7">
      <w:pPr>
        <w:snapToGrid w:val="0"/>
        <w:spacing w:line="360" w:lineRule="auto"/>
        <w:ind w:firstLine="413" w:firstLineChars="196"/>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第十三条  货物包装、发运及运输</w:t>
      </w:r>
    </w:p>
    <w:p w14:paraId="1CC1BC73">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1.乙方应在货物发运前对其进行满足运输距离、防潮、防震、防锈和防破损装卸等要求包装，以保证货物安全运达甲方指定地点。</w:t>
      </w:r>
    </w:p>
    <w:p w14:paraId="4EE8E8E9">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使用说明书（货物属于进口产品的，供货时应同时附上中文使用说明书）、质量检验证明书、随配附件和工具以及清单一并附于货物内。</w:t>
      </w:r>
    </w:p>
    <w:p w14:paraId="14E28837">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3.乙方在货物发运手续办理完毕后二十四小时内或者货到甲方四十八小时前通知甲方，以准备接货。</w:t>
      </w:r>
    </w:p>
    <w:p w14:paraId="76AC651A">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4.货物在交付甲方前发生的风险均由乙方负责。</w:t>
      </w:r>
    </w:p>
    <w:p w14:paraId="6629EFA6">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5.货物在规</w:t>
      </w:r>
      <w:r>
        <w:rPr>
          <w:rFonts w:hint="eastAsia" w:ascii="宋体" w:hAnsi="宋体" w:eastAsia="宋体" w:cs="宋体"/>
          <w:color w:val="auto"/>
          <w:spacing w:val="-8"/>
          <w:kern w:val="0"/>
          <w:sz w:val="21"/>
          <w:szCs w:val="21"/>
          <w:highlight w:val="none"/>
        </w:rPr>
        <w:t>定的交付期限内由乙方送达甲方指定的地点视为交付，乙方同时需通知甲方货物已送达。</w:t>
      </w:r>
    </w:p>
    <w:p w14:paraId="6E6BEC06">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违约责任</w:t>
      </w:r>
    </w:p>
    <w:p w14:paraId="483293CD">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4FA61BB5">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2.乙方提供的货物如侵犯了第三方合法权益而引发的任何纠纷或者诉讼，均由乙方负责交涉并承担全部责任。</w:t>
      </w:r>
    </w:p>
    <w:p w14:paraId="2058C8E2">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3.因包装、运输引起的货物损坏，按质量不合格处罚。</w:t>
      </w:r>
    </w:p>
    <w:p w14:paraId="2EACE7E4">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4.甲方无故延期接收货物、乙方逾期交货的，每天向对方偿付违约货款额3‰违约金，但违约金累计不得超过违约货款额5%，超过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3BC9D44F">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 乙方未按本合同和投标文件中规定的服务承诺提供售后服务的，乙方应按本合同合计金额 5%向甲方支付违约金。</w:t>
      </w:r>
    </w:p>
    <w:p w14:paraId="12A030A3">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 乙方提供的货物在质量保证期内，因设计、工艺或者材料的缺陷和其它质量原因造成的问题，由乙方负责，费用从余款或者履约保证金中扣除，不足另补。</w:t>
      </w:r>
    </w:p>
    <w:p w14:paraId="4296B1D0">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 甲乙双方有其它违约行为的，由违约方向对方支付违约内容涉及货款额的5%，违约内容涉及货款额的5%不足以赔偿经济损失的按实际赔偿。</w:t>
      </w:r>
    </w:p>
    <w:p w14:paraId="2854A85E">
      <w:pPr>
        <w:snapToGrid w:val="0"/>
        <w:spacing w:line="360" w:lineRule="auto"/>
        <w:ind w:firstLine="413" w:firstLineChars="196"/>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第十五条  不可抗力事件处理</w:t>
      </w:r>
    </w:p>
    <w:p w14:paraId="14313734">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1.在合同有效期内，任何一方因不可抗力事件导致不能履行合同，则合同履行期可延长，其延长期与不可抗力影响期相同。</w:t>
      </w:r>
    </w:p>
    <w:p w14:paraId="5DE864E0">
      <w:pPr>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2.不可抗力事件发生后，应立即通知对方，并寄送有关权威机构出具的证明。</w:t>
      </w:r>
    </w:p>
    <w:p w14:paraId="3257406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00CEA8A1">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第十六条  合同争议解决</w:t>
      </w:r>
    </w:p>
    <w:p w14:paraId="6DCFC7F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1.因货物质量问题发生争议的，应邀请国家认可的质量检测机构对货物质量进行鉴定。货物符合标准的，鉴定费由甲方承担；货物不符合标准的，鉴定费由乙方承担。</w:t>
      </w:r>
    </w:p>
    <w:p w14:paraId="6BD18EA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2.因履行本合同引起的或者与本合同有关的争议，甲乙双方应首先通过友好协商解决，如果协商不能解决，可向甲方所在地有管辖权的人民法院提起诉讼。</w:t>
      </w:r>
    </w:p>
    <w:p w14:paraId="5BC2D496">
      <w:pPr>
        <w:snapToGrid w:val="0"/>
        <w:spacing w:line="360" w:lineRule="auto"/>
        <w:ind w:left="-61" w:firstLine="5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3.诉讼期间，本合同继续履行。</w:t>
      </w:r>
    </w:p>
    <w:p w14:paraId="37688A0C">
      <w:pPr>
        <w:snapToGrid w:val="0"/>
        <w:spacing w:line="360" w:lineRule="auto"/>
        <w:ind w:firstLine="413" w:firstLineChars="196"/>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第十七条  合同生效及其它</w:t>
      </w:r>
    </w:p>
    <w:p w14:paraId="533BD5A2">
      <w:pPr>
        <w:snapToGrid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1.合同经双方法定代表人或者委托代理人签字并加盖单位公章后生效。</w:t>
      </w:r>
    </w:p>
    <w:p w14:paraId="58EB224E">
      <w:pPr>
        <w:snapToGrid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2.合同执行中涉及采购资金和采购内容修改或者补充的，须经财政部门审批，并签书面补充协议报财政部门备案，方可作为主合同不可分割的一部分。</w:t>
      </w:r>
    </w:p>
    <w:p w14:paraId="007B9387">
      <w:pPr>
        <w:snapToGrid w:val="0"/>
        <w:spacing w:line="360" w:lineRule="auto"/>
        <w:ind w:left="420" w:left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3.本合同未尽事宜，遵照《中华人民共和国民法典》有关条文执行。</w:t>
      </w:r>
    </w:p>
    <w:p w14:paraId="10EF673F">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第十八条　合同的变更、终止与转让</w:t>
      </w:r>
    </w:p>
    <w:p w14:paraId="60574A6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除《中华人民共和国政府采购法》第五十条规定的情形外，本合同一经签订，甲乙双方不得擅自变更、中止或者终止。</w:t>
      </w:r>
    </w:p>
    <w:p w14:paraId="1BBAD412">
      <w:pPr>
        <w:snapToGrid w:val="0"/>
        <w:spacing w:line="360" w:lineRule="auto"/>
        <w:ind w:left="-61" w:firstLine="5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乙方不得擅自转让（无进口资格的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委托进口货物除外）其应履行的合同义务。</w:t>
      </w:r>
    </w:p>
    <w:p w14:paraId="451C17A1">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第十九条　</w:t>
      </w:r>
      <w:r>
        <w:rPr>
          <w:rFonts w:hint="eastAsia" w:ascii="宋体" w:hAnsi="宋体" w:eastAsia="宋体" w:cs="宋体"/>
          <w:color w:val="auto"/>
          <w:spacing w:val="-2"/>
          <w:kern w:val="0"/>
          <w:sz w:val="21"/>
          <w:szCs w:val="21"/>
          <w:highlight w:val="none"/>
        </w:rPr>
        <w:t>本</w:t>
      </w:r>
      <w:r>
        <w:rPr>
          <w:rFonts w:hint="eastAsia" w:ascii="宋体" w:hAnsi="宋体" w:eastAsia="宋体" w:cs="宋体"/>
          <w:color w:val="auto"/>
          <w:kern w:val="0"/>
          <w:sz w:val="21"/>
          <w:szCs w:val="21"/>
          <w:highlight w:val="none"/>
        </w:rPr>
        <w:t>合同书</w:t>
      </w:r>
      <w:r>
        <w:rPr>
          <w:rFonts w:hint="eastAsia" w:ascii="宋体" w:hAnsi="宋体" w:eastAsia="宋体" w:cs="宋体"/>
          <w:color w:val="auto"/>
          <w:spacing w:val="-2"/>
          <w:kern w:val="0"/>
          <w:sz w:val="21"/>
          <w:szCs w:val="21"/>
          <w:highlight w:val="none"/>
        </w:rPr>
        <w:t>与</w:t>
      </w:r>
      <w:r>
        <w:rPr>
          <w:rFonts w:hint="eastAsia" w:ascii="宋体" w:hAnsi="宋体" w:eastAsia="宋体" w:cs="宋体"/>
          <w:color w:val="auto"/>
          <w:kern w:val="0"/>
          <w:sz w:val="21"/>
          <w:szCs w:val="21"/>
          <w:highlight w:val="none"/>
        </w:rPr>
        <w:t>下</w:t>
      </w:r>
      <w:r>
        <w:rPr>
          <w:rFonts w:hint="eastAsia" w:ascii="宋体" w:hAnsi="宋体" w:eastAsia="宋体" w:cs="宋体"/>
          <w:color w:val="auto"/>
          <w:spacing w:val="-2"/>
          <w:kern w:val="0"/>
          <w:sz w:val="21"/>
          <w:szCs w:val="21"/>
          <w:highlight w:val="none"/>
        </w:rPr>
        <w:t>列</w:t>
      </w:r>
      <w:r>
        <w:rPr>
          <w:rFonts w:hint="eastAsia" w:ascii="宋体" w:hAnsi="宋体" w:eastAsia="宋体" w:cs="宋体"/>
          <w:color w:val="auto"/>
          <w:kern w:val="0"/>
          <w:sz w:val="21"/>
          <w:szCs w:val="21"/>
          <w:highlight w:val="none"/>
        </w:rPr>
        <w:t>文</w:t>
      </w:r>
      <w:r>
        <w:rPr>
          <w:rFonts w:hint="eastAsia" w:ascii="宋体" w:hAnsi="宋体" w:eastAsia="宋体" w:cs="宋体"/>
          <w:color w:val="auto"/>
          <w:spacing w:val="-2"/>
          <w:kern w:val="0"/>
          <w:sz w:val="21"/>
          <w:szCs w:val="21"/>
          <w:highlight w:val="none"/>
        </w:rPr>
        <w:t>件一</w:t>
      </w:r>
      <w:r>
        <w:rPr>
          <w:rFonts w:hint="eastAsia" w:ascii="宋体" w:hAnsi="宋体" w:eastAsia="宋体" w:cs="宋体"/>
          <w:color w:val="auto"/>
          <w:kern w:val="0"/>
          <w:sz w:val="21"/>
          <w:szCs w:val="21"/>
          <w:highlight w:val="none"/>
        </w:rPr>
        <w:t>起构</w:t>
      </w:r>
      <w:r>
        <w:rPr>
          <w:rFonts w:hint="eastAsia" w:ascii="宋体" w:hAnsi="宋体" w:eastAsia="宋体" w:cs="宋体"/>
          <w:color w:val="auto"/>
          <w:spacing w:val="-2"/>
          <w:kern w:val="0"/>
          <w:sz w:val="21"/>
          <w:szCs w:val="21"/>
          <w:highlight w:val="none"/>
        </w:rPr>
        <w:t>成</w:t>
      </w:r>
      <w:r>
        <w:rPr>
          <w:rFonts w:hint="eastAsia" w:ascii="宋体" w:hAnsi="宋体" w:eastAsia="宋体" w:cs="宋体"/>
          <w:color w:val="auto"/>
          <w:kern w:val="0"/>
          <w:sz w:val="21"/>
          <w:szCs w:val="21"/>
          <w:highlight w:val="none"/>
        </w:rPr>
        <w:t>合</w:t>
      </w:r>
      <w:r>
        <w:rPr>
          <w:rFonts w:hint="eastAsia" w:ascii="宋体" w:hAnsi="宋体" w:eastAsia="宋体" w:cs="宋体"/>
          <w:color w:val="auto"/>
          <w:spacing w:val="-2"/>
          <w:kern w:val="0"/>
          <w:sz w:val="21"/>
          <w:szCs w:val="21"/>
          <w:highlight w:val="none"/>
        </w:rPr>
        <w:t>同</w:t>
      </w:r>
      <w:r>
        <w:rPr>
          <w:rFonts w:hint="eastAsia" w:ascii="宋体" w:hAnsi="宋体" w:eastAsia="宋体" w:cs="宋体"/>
          <w:color w:val="auto"/>
          <w:kern w:val="0"/>
          <w:sz w:val="21"/>
          <w:szCs w:val="21"/>
          <w:highlight w:val="none"/>
        </w:rPr>
        <w:t>文</w:t>
      </w:r>
      <w:r>
        <w:rPr>
          <w:rFonts w:hint="eastAsia" w:ascii="宋体" w:hAnsi="宋体" w:eastAsia="宋体" w:cs="宋体"/>
          <w:color w:val="auto"/>
          <w:spacing w:val="-2"/>
          <w:kern w:val="0"/>
          <w:sz w:val="21"/>
          <w:szCs w:val="21"/>
          <w:highlight w:val="none"/>
        </w:rPr>
        <w:t>件</w:t>
      </w:r>
    </w:p>
    <w:p w14:paraId="094D6379">
      <w:pPr>
        <w:snapToGrid w:val="0"/>
        <w:spacing w:line="360" w:lineRule="auto"/>
        <w:ind w:left="420" w:left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通知书；</w:t>
      </w:r>
    </w:p>
    <w:p w14:paraId="32599955">
      <w:pPr>
        <w:snapToGrid w:val="0"/>
        <w:spacing w:line="360" w:lineRule="auto"/>
        <w:ind w:left="420" w:left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竞标声明</w:t>
      </w:r>
      <w:r>
        <w:rPr>
          <w:rFonts w:hint="eastAsia" w:ascii="宋体" w:hAnsi="宋体" w:eastAsia="宋体" w:cs="宋体"/>
          <w:color w:val="auto"/>
          <w:kern w:val="0"/>
          <w:sz w:val="21"/>
          <w:szCs w:val="21"/>
          <w:highlight w:val="none"/>
        </w:rPr>
        <w:t>函；</w:t>
      </w:r>
    </w:p>
    <w:p w14:paraId="267B6C77">
      <w:pPr>
        <w:snapToGrid w:val="0"/>
        <w:spacing w:line="360" w:lineRule="auto"/>
        <w:ind w:left="420" w:left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3.商务</w:t>
      </w:r>
      <w:r>
        <w:rPr>
          <w:rFonts w:hint="eastAsia" w:ascii="宋体" w:hAnsi="宋体" w:eastAsia="宋体" w:cs="宋体"/>
          <w:color w:val="auto"/>
          <w:kern w:val="0"/>
          <w:sz w:val="21"/>
          <w:szCs w:val="21"/>
          <w:highlight w:val="none"/>
          <w:lang w:eastAsia="zh-CN"/>
        </w:rPr>
        <w:t>要求</w:t>
      </w:r>
      <w:r>
        <w:rPr>
          <w:rFonts w:hint="eastAsia" w:ascii="宋体" w:hAnsi="宋体" w:eastAsia="宋体" w:cs="宋体"/>
          <w:color w:val="auto"/>
          <w:kern w:val="0"/>
          <w:sz w:val="21"/>
          <w:szCs w:val="21"/>
          <w:highlight w:val="none"/>
        </w:rPr>
        <w:t>偏离表</w:t>
      </w:r>
      <w:r>
        <w:rPr>
          <w:rFonts w:hint="eastAsia" w:ascii="宋体" w:hAnsi="宋体" w:eastAsia="宋体" w:cs="宋体"/>
          <w:color w:val="auto"/>
          <w:kern w:val="0"/>
          <w:sz w:val="21"/>
          <w:szCs w:val="21"/>
          <w:highlight w:val="none"/>
          <w:lang w:eastAsia="zh-CN"/>
        </w:rPr>
        <w:t>；</w:t>
      </w:r>
    </w:p>
    <w:p w14:paraId="681128F7">
      <w:pPr>
        <w:snapToGrid w:val="0"/>
        <w:spacing w:line="360" w:lineRule="auto"/>
        <w:ind w:left="420" w:left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4.技术要求</w:t>
      </w:r>
      <w:r>
        <w:rPr>
          <w:rFonts w:hint="eastAsia" w:ascii="宋体" w:hAnsi="宋体" w:eastAsia="宋体" w:cs="宋体"/>
          <w:color w:val="auto"/>
          <w:kern w:val="0"/>
          <w:sz w:val="21"/>
          <w:szCs w:val="21"/>
          <w:highlight w:val="none"/>
        </w:rPr>
        <w:t>偏离表；</w:t>
      </w:r>
    </w:p>
    <w:p w14:paraId="63C0EC0A">
      <w:pPr>
        <w:snapToGrid w:val="0"/>
        <w:spacing w:line="360" w:lineRule="auto"/>
        <w:ind w:left="420" w:left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.采购需求；</w:t>
      </w:r>
    </w:p>
    <w:p w14:paraId="0300600E">
      <w:pPr>
        <w:snapToGrid w:val="0"/>
        <w:spacing w:line="360" w:lineRule="auto"/>
        <w:ind w:left="420" w:left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.其他合同文件。</w:t>
      </w:r>
    </w:p>
    <w:p w14:paraId="568CF49C">
      <w:pPr>
        <w:snapToGrid w:val="0"/>
        <w:spacing w:line="360" w:lineRule="auto"/>
        <w:ind w:left="-61" w:firstLine="514"/>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.上述合同文件互相补充和解释。如果合同文件之间存在矛盾或者不一致之处，以上述文件 的排列顺序在先者为准。</w:t>
      </w:r>
    </w:p>
    <w:p w14:paraId="21095DF4">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outlineLvl w:val="9"/>
        <w:rPr>
          <w:rFonts w:ascii="宋体" w:hAnsi="宋体"/>
          <w:color w:val="auto"/>
          <w:szCs w:val="21"/>
          <w:highlight w:val="none"/>
        </w:rPr>
      </w:pPr>
      <w:r>
        <w:rPr>
          <w:rFonts w:hint="eastAsia" w:ascii="宋体" w:hAnsi="宋体" w:eastAsia="宋体" w:cs="宋体"/>
          <w:b/>
          <w:color w:val="auto"/>
          <w:sz w:val="21"/>
          <w:szCs w:val="21"/>
          <w:highlight w:val="none"/>
        </w:rPr>
        <w:t>第二十条　</w:t>
      </w:r>
      <w:r>
        <w:rPr>
          <w:rFonts w:hint="eastAsia" w:ascii="宋体" w:hAnsi="宋体"/>
          <w:color w:val="auto"/>
          <w:szCs w:val="21"/>
          <w:highlight w:val="none"/>
        </w:rPr>
        <w:t>本合同一式</w:t>
      </w:r>
      <w:r>
        <w:rPr>
          <w:rFonts w:hint="eastAsia" w:ascii="宋体" w:hAnsi="宋体"/>
          <w:color w:val="auto"/>
          <w:szCs w:val="21"/>
          <w:highlight w:val="none"/>
          <w:lang w:eastAsia="zh-CN"/>
        </w:rPr>
        <w:t>伍</w:t>
      </w:r>
      <w:r>
        <w:rPr>
          <w:rFonts w:hint="eastAsia" w:ascii="宋体" w:hAnsi="宋体"/>
          <w:color w:val="auto"/>
          <w:szCs w:val="21"/>
          <w:highlight w:val="none"/>
        </w:rPr>
        <w:t>份，具有同等法律效力，、采购代理机构各一份，甲方</w:t>
      </w:r>
      <w:r>
        <w:rPr>
          <w:rFonts w:hint="eastAsia" w:ascii="宋体" w:hAnsi="宋体"/>
          <w:color w:val="auto"/>
          <w:szCs w:val="21"/>
          <w:highlight w:val="none"/>
          <w:lang w:eastAsia="zh-CN"/>
        </w:rPr>
        <w:t>贰</w:t>
      </w:r>
      <w:r>
        <w:rPr>
          <w:rFonts w:hint="eastAsia" w:ascii="宋体" w:hAnsi="宋体"/>
          <w:color w:val="auto"/>
          <w:szCs w:val="21"/>
          <w:highlight w:val="none"/>
        </w:rPr>
        <w:t>份，乙方</w:t>
      </w:r>
      <w:r>
        <w:rPr>
          <w:rFonts w:hint="eastAsia" w:ascii="宋体" w:hAnsi="宋体"/>
          <w:color w:val="auto"/>
          <w:szCs w:val="21"/>
          <w:highlight w:val="none"/>
          <w:lang w:eastAsia="zh-CN"/>
        </w:rPr>
        <w:t>贰</w:t>
      </w:r>
      <w:r>
        <w:rPr>
          <w:rFonts w:hint="eastAsia" w:ascii="宋体" w:hAnsi="宋体"/>
          <w:color w:val="auto"/>
          <w:szCs w:val="21"/>
          <w:highlight w:val="none"/>
        </w:rPr>
        <w:t>份（可根据需要另增加）。</w:t>
      </w:r>
    </w:p>
    <w:p w14:paraId="178145D7">
      <w:pPr>
        <w:snapToGrid w:val="0"/>
        <w:spacing w:line="360" w:lineRule="auto"/>
        <w:ind w:left="-61" w:firstLine="514"/>
        <w:rPr>
          <w:rFonts w:hint="eastAsia" w:ascii="宋体" w:hAnsi="宋体" w:eastAsia="宋体" w:cs="宋体"/>
          <w:color w:val="auto"/>
          <w:sz w:val="21"/>
          <w:szCs w:val="21"/>
          <w:highlight w:val="none"/>
        </w:rPr>
      </w:pPr>
      <w:r>
        <w:rPr>
          <w:rFonts w:hint="eastAsia" w:ascii="宋体" w:hAnsi="宋体" w:cs="Courier New"/>
          <w:color w:val="auto"/>
          <w:szCs w:val="21"/>
          <w:highlight w:val="none"/>
        </w:rPr>
        <w:t>本合同自签订之日起2个工作日内，甲方应当将政府采购合同在广西壮族自治区政府采购网上公告（涉密除外）。</w:t>
      </w:r>
    </w:p>
    <w:tbl>
      <w:tblPr>
        <w:tblStyle w:val="1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822"/>
      </w:tblGrid>
      <w:tr w14:paraId="6CBA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376A0DA9">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甲方（章）     </w:t>
            </w:r>
            <w:r>
              <w:rPr>
                <w:rFonts w:hint="eastAsia" w:ascii="宋体" w:hAnsi="宋体" w:eastAsia="宋体" w:cs="宋体"/>
                <w:color w:val="auto"/>
                <w:sz w:val="21"/>
                <w:szCs w:val="21"/>
                <w:highlight w:val="none"/>
              </w:rPr>
              <w:t xml:space="preserve">    </w:t>
            </w:r>
          </w:p>
          <w:p w14:paraId="742E3A1C">
            <w:pPr>
              <w:snapToGrid w:val="0"/>
              <w:spacing w:before="120" w:line="360" w:lineRule="auto"/>
              <w:ind w:firstLine="945" w:firstLineChars="4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12DB42B7">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乙方（章）</w:t>
            </w:r>
            <w:r>
              <w:rPr>
                <w:rFonts w:hint="eastAsia" w:ascii="宋体" w:hAnsi="宋体" w:eastAsia="宋体" w:cs="宋体"/>
                <w:color w:val="auto"/>
                <w:sz w:val="21"/>
                <w:szCs w:val="21"/>
                <w:highlight w:val="none"/>
              </w:rPr>
              <w:t xml:space="preserve">              </w:t>
            </w:r>
          </w:p>
          <w:p w14:paraId="08BB331B">
            <w:pPr>
              <w:snapToGrid w:val="0"/>
              <w:spacing w:before="120"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6872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75FB4DDE">
            <w:pPr>
              <w:snapToGrid w:val="0"/>
              <w:spacing w:before="12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单位地址：</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3197A3AA">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721B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1374991A">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6C52B3FB">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013B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48D6334A">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064BF7B1">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0795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6491AC86">
            <w:pPr>
              <w:snapToGrid w:val="0"/>
              <w:spacing w:before="12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519AA02C">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73BA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06E68ECC">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21E00F68">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4262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436AC07B">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val="en-US" w:eastAsia="zh-CN"/>
              </w:rPr>
              <w:t xml:space="preserve"> </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2E64DFF5">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3245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70E213F1">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lang w:val="en-US" w:eastAsia="zh-CN"/>
              </w:rPr>
              <w:t xml:space="preserve"> </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3F5ED289">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67B6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38" w:type="dxa"/>
            <w:tcBorders>
              <w:top w:val="single" w:color="auto" w:sz="4" w:space="0"/>
              <w:left w:val="single" w:color="auto" w:sz="4" w:space="0"/>
              <w:bottom w:val="single" w:color="auto" w:sz="4" w:space="0"/>
              <w:right w:val="single" w:color="auto" w:sz="4" w:space="0"/>
            </w:tcBorders>
            <w:noWrap w:val="0"/>
            <w:vAlign w:val="center"/>
          </w:tcPr>
          <w:p w14:paraId="41980BD3">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822" w:type="dxa"/>
            <w:tcBorders>
              <w:top w:val="single" w:color="auto" w:sz="4" w:space="0"/>
              <w:left w:val="single" w:color="auto" w:sz="4" w:space="0"/>
              <w:bottom w:val="single" w:color="auto" w:sz="4" w:space="0"/>
              <w:right w:val="single" w:color="auto" w:sz="4" w:space="0"/>
            </w:tcBorders>
            <w:noWrap w:val="0"/>
            <w:vAlign w:val="center"/>
          </w:tcPr>
          <w:p w14:paraId="5FB214E0">
            <w:pPr>
              <w:snapToGrid w:val="0"/>
              <w:spacing w:before="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bl>
    <w:p w14:paraId="00EF2C18">
      <w:pPr>
        <w:pStyle w:val="5"/>
        <w:rPr>
          <w:rFonts w:hint="eastAsia" w:ascii="宋体" w:hAnsi="宋体" w:eastAsia="宋体" w:cs="宋体"/>
          <w:color w:val="auto"/>
          <w:sz w:val="21"/>
          <w:szCs w:val="21"/>
          <w:highlight w:val="none"/>
          <w:lang w:val="zh-CN" w:eastAsia="zh-CN"/>
        </w:rPr>
      </w:pPr>
    </w:p>
    <w:p w14:paraId="0C82154B">
      <w:pPr>
        <w:pStyle w:val="5"/>
        <w:rPr>
          <w:rFonts w:hint="eastAsia" w:ascii="宋体" w:hAnsi="宋体" w:eastAsia="宋体" w:cs="宋体"/>
          <w:color w:val="auto"/>
          <w:sz w:val="21"/>
          <w:szCs w:val="21"/>
          <w:highlight w:val="none"/>
          <w:lang w:val="zh-CN" w:eastAsia="zh-CN"/>
        </w:rPr>
      </w:pPr>
    </w:p>
    <w:p w14:paraId="2413FD9E">
      <w:pP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br w:type="page"/>
      </w:r>
    </w:p>
    <w:p w14:paraId="6E99C3AE">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1"/>
        <w:rPr>
          <w:rFonts w:hint="eastAsia" w:ascii="宋体" w:hAnsi="宋体"/>
          <w:b/>
          <w:color w:val="auto"/>
          <w:sz w:val="36"/>
          <w:szCs w:val="36"/>
          <w:highlight w:val="none"/>
        </w:rPr>
      </w:pPr>
      <w:bookmarkStart w:id="172" w:name="_Toc10620"/>
      <w:r>
        <w:rPr>
          <w:rFonts w:hint="eastAsia" w:ascii="宋体" w:hAnsi="宋体"/>
          <w:b/>
          <w:color w:val="auto"/>
          <w:sz w:val="36"/>
          <w:szCs w:val="36"/>
          <w:highlight w:val="none"/>
        </w:rPr>
        <w:t>合 同 附 件</w:t>
      </w:r>
      <w:bookmarkEnd w:id="172"/>
    </w:p>
    <w:p w14:paraId="20424CF2">
      <w:pPr>
        <w:snapToGrid w:val="0"/>
        <w:rPr>
          <w:rFonts w:hint="eastAsia" w:ascii="宋体" w:hAnsi="宋体"/>
          <w:color w:val="auto"/>
          <w:szCs w:val="21"/>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5"/>
        <w:gridCol w:w="4725"/>
      </w:tblGrid>
      <w:tr w14:paraId="60D3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04BF65D3">
            <w:pPr>
              <w:snapToGrid w:val="0"/>
              <w:rPr>
                <w:rFonts w:hint="eastAsia" w:ascii="宋体" w:hAnsi="宋体"/>
                <w:snapToGrid w:val="0"/>
                <w:color w:val="auto"/>
                <w:kern w:val="0"/>
                <w:szCs w:val="21"/>
                <w:highlight w:val="none"/>
              </w:rPr>
            </w:pPr>
          </w:p>
          <w:p w14:paraId="66EA2100">
            <w:pPr>
              <w:snapToGrid w:val="0"/>
              <w:rPr>
                <w:rFonts w:hint="eastAsia" w:ascii="宋体" w:hAnsi="宋体"/>
                <w:color w:val="auto"/>
                <w:szCs w:val="21"/>
                <w:highlight w:val="none"/>
              </w:rPr>
            </w:pPr>
            <w:r>
              <w:rPr>
                <w:rFonts w:hint="eastAsia"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承诺具体事项：</w:t>
            </w:r>
          </w:p>
        </w:tc>
      </w:tr>
      <w:tr w14:paraId="04ED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78745612">
            <w:pPr>
              <w:snapToGrid w:val="0"/>
              <w:rPr>
                <w:rFonts w:hint="eastAsia" w:ascii="宋体" w:hAnsi="宋体"/>
                <w:snapToGrid w:val="0"/>
                <w:color w:val="auto"/>
                <w:kern w:val="0"/>
                <w:szCs w:val="21"/>
                <w:highlight w:val="none"/>
              </w:rPr>
            </w:pPr>
          </w:p>
          <w:p w14:paraId="1B2E3A5E">
            <w:pPr>
              <w:snapToGrid w:val="0"/>
              <w:rPr>
                <w:rFonts w:hint="eastAsia" w:ascii="宋体" w:hAnsi="宋体"/>
                <w:color w:val="auto"/>
                <w:szCs w:val="21"/>
                <w:highlight w:val="none"/>
              </w:rPr>
            </w:pPr>
            <w:r>
              <w:rPr>
                <w:rFonts w:hint="eastAsia" w:ascii="宋体" w:hAnsi="宋体"/>
                <w:snapToGrid w:val="0"/>
                <w:color w:val="auto"/>
                <w:kern w:val="0"/>
                <w:szCs w:val="21"/>
                <w:highlight w:val="none"/>
              </w:rPr>
              <w:t>2、售后服务具体事项：</w:t>
            </w:r>
          </w:p>
        </w:tc>
      </w:tr>
      <w:tr w14:paraId="6CB1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535A8219">
            <w:pPr>
              <w:snapToGrid w:val="0"/>
              <w:rPr>
                <w:rFonts w:hint="eastAsia" w:ascii="宋体" w:hAnsi="宋体"/>
                <w:snapToGrid w:val="0"/>
                <w:color w:val="auto"/>
                <w:kern w:val="0"/>
                <w:szCs w:val="21"/>
                <w:highlight w:val="none"/>
              </w:rPr>
            </w:pPr>
          </w:p>
          <w:p w14:paraId="7C7D6A65">
            <w:pPr>
              <w:snapToGrid w:val="0"/>
              <w:rPr>
                <w:rFonts w:hint="eastAsia" w:ascii="宋体" w:hAnsi="宋体"/>
                <w:color w:val="auto"/>
                <w:szCs w:val="21"/>
                <w:highlight w:val="none"/>
              </w:rPr>
            </w:pPr>
            <w:r>
              <w:rPr>
                <w:rFonts w:hint="eastAsia" w:ascii="宋体" w:hAnsi="宋体"/>
                <w:snapToGrid w:val="0"/>
                <w:color w:val="auto"/>
                <w:kern w:val="0"/>
                <w:szCs w:val="21"/>
                <w:highlight w:val="none"/>
              </w:rPr>
              <w:t>3、质保期责任：</w:t>
            </w:r>
          </w:p>
        </w:tc>
      </w:tr>
      <w:tr w14:paraId="1E2D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noWrap w:val="0"/>
            <w:vAlign w:val="top"/>
          </w:tcPr>
          <w:p w14:paraId="4BC809CE">
            <w:pPr>
              <w:snapToGrid w:val="0"/>
              <w:rPr>
                <w:rFonts w:hint="eastAsia" w:ascii="宋体" w:hAnsi="宋体"/>
                <w:snapToGrid w:val="0"/>
                <w:color w:val="auto"/>
                <w:kern w:val="0"/>
                <w:szCs w:val="21"/>
                <w:highlight w:val="none"/>
              </w:rPr>
            </w:pPr>
          </w:p>
          <w:p w14:paraId="19DD3BB0">
            <w:pPr>
              <w:snapToGrid w:val="0"/>
              <w:rPr>
                <w:rFonts w:hint="eastAsia" w:ascii="宋体" w:hAnsi="宋体"/>
                <w:color w:val="auto"/>
                <w:szCs w:val="21"/>
                <w:highlight w:val="none"/>
              </w:rPr>
            </w:pPr>
            <w:r>
              <w:rPr>
                <w:rFonts w:hint="eastAsia" w:ascii="宋体" w:hAnsi="宋体"/>
                <w:snapToGrid w:val="0"/>
                <w:color w:val="auto"/>
                <w:kern w:val="0"/>
                <w:szCs w:val="21"/>
                <w:highlight w:val="none"/>
              </w:rPr>
              <w:t>4、其他具体事项：</w:t>
            </w:r>
          </w:p>
        </w:tc>
      </w:tr>
      <w:tr w14:paraId="577F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4815" w:type="dxa"/>
            <w:noWrap w:val="0"/>
            <w:vAlign w:val="center"/>
          </w:tcPr>
          <w:p w14:paraId="497933AB">
            <w:pPr>
              <w:ind w:firstLine="482"/>
              <w:rPr>
                <w:rFonts w:hint="eastAsia" w:ascii="宋体" w:hAnsi="宋体"/>
                <w:color w:val="auto"/>
                <w:szCs w:val="21"/>
                <w:highlight w:val="none"/>
              </w:rPr>
            </w:pPr>
            <w:r>
              <w:rPr>
                <w:rFonts w:hint="eastAsia" w:ascii="宋体" w:hAnsi="宋体"/>
                <w:color w:val="auto"/>
                <w:szCs w:val="21"/>
                <w:highlight w:val="none"/>
              </w:rPr>
              <w:t>甲方（章）</w:t>
            </w:r>
          </w:p>
          <w:p w14:paraId="224A88D5">
            <w:pPr>
              <w:ind w:firstLine="482"/>
              <w:rPr>
                <w:rFonts w:hint="eastAsia" w:ascii="宋体" w:hAnsi="宋体"/>
                <w:color w:val="auto"/>
                <w:szCs w:val="21"/>
                <w:highlight w:val="none"/>
              </w:rPr>
            </w:pPr>
          </w:p>
          <w:p w14:paraId="116A3FE0">
            <w:pPr>
              <w:ind w:firstLine="482"/>
              <w:rPr>
                <w:rFonts w:hint="eastAsia" w:ascii="宋体" w:hAnsi="宋体"/>
                <w:color w:val="auto"/>
                <w:szCs w:val="21"/>
                <w:highlight w:val="none"/>
              </w:rPr>
            </w:pPr>
          </w:p>
          <w:p w14:paraId="40BED9E7">
            <w:pPr>
              <w:ind w:firstLine="482"/>
              <w:rPr>
                <w:rFonts w:hint="eastAsia" w:ascii="宋体" w:hAnsi="宋体"/>
                <w:color w:val="auto"/>
                <w:szCs w:val="21"/>
                <w:highlight w:val="none"/>
              </w:rPr>
            </w:pPr>
          </w:p>
          <w:p w14:paraId="7C7356D0">
            <w:pPr>
              <w:ind w:firstLine="482"/>
              <w:rPr>
                <w:rFonts w:hint="eastAsia" w:ascii="宋体" w:hAnsi="宋体"/>
                <w:color w:val="auto"/>
                <w:szCs w:val="21"/>
                <w:highlight w:val="none"/>
              </w:rPr>
            </w:pPr>
          </w:p>
          <w:p w14:paraId="3D4C3053">
            <w:pPr>
              <w:ind w:firstLine="482"/>
              <w:rPr>
                <w:rFonts w:hint="eastAsia" w:ascii="宋体" w:hAnsi="宋体"/>
                <w:color w:val="auto"/>
                <w:szCs w:val="21"/>
                <w:highlight w:val="none"/>
              </w:rPr>
            </w:pPr>
          </w:p>
          <w:p w14:paraId="09533C49">
            <w:pPr>
              <w:ind w:firstLine="482"/>
              <w:rPr>
                <w:rFonts w:hint="eastAsia" w:ascii="宋体" w:hAnsi="宋体"/>
                <w:color w:val="auto"/>
                <w:szCs w:val="21"/>
                <w:highlight w:val="none"/>
              </w:rPr>
            </w:pPr>
          </w:p>
          <w:p w14:paraId="00905B64">
            <w:pPr>
              <w:ind w:firstLine="482"/>
              <w:rPr>
                <w:rFonts w:hint="eastAsia" w:ascii="宋体" w:hAnsi="宋体"/>
                <w:color w:val="auto"/>
                <w:szCs w:val="21"/>
                <w:highlight w:val="none"/>
              </w:rPr>
            </w:pPr>
            <w:r>
              <w:rPr>
                <w:rFonts w:hint="eastAsia" w:ascii="宋体" w:hAnsi="宋体"/>
                <w:color w:val="auto"/>
                <w:szCs w:val="21"/>
                <w:highlight w:val="none"/>
              </w:rPr>
              <w:t xml:space="preserve">                 年   月   日 </w:t>
            </w:r>
          </w:p>
        </w:tc>
        <w:tc>
          <w:tcPr>
            <w:tcW w:w="4725" w:type="dxa"/>
            <w:noWrap w:val="0"/>
            <w:vAlign w:val="center"/>
          </w:tcPr>
          <w:p w14:paraId="7BDB2F75">
            <w:pPr>
              <w:ind w:firstLine="482"/>
              <w:rPr>
                <w:rFonts w:hint="eastAsia" w:ascii="宋体" w:hAnsi="宋体"/>
                <w:color w:val="auto"/>
                <w:szCs w:val="21"/>
                <w:highlight w:val="none"/>
              </w:rPr>
            </w:pPr>
            <w:r>
              <w:rPr>
                <w:rFonts w:hint="eastAsia" w:ascii="宋体" w:hAnsi="宋体"/>
                <w:color w:val="auto"/>
                <w:szCs w:val="21"/>
                <w:highlight w:val="none"/>
              </w:rPr>
              <w:t>乙方（章）</w:t>
            </w:r>
          </w:p>
          <w:p w14:paraId="23AF5DA1">
            <w:pPr>
              <w:ind w:firstLine="482"/>
              <w:rPr>
                <w:rFonts w:hint="eastAsia" w:ascii="宋体" w:hAnsi="宋体"/>
                <w:color w:val="auto"/>
                <w:szCs w:val="21"/>
                <w:highlight w:val="none"/>
              </w:rPr>
            </w:pPr>
          </w:p>
          <w:p w14:paraId="3D74C4BD">
            <w:pPr>
              <w:ind w:firstLine="482"/>
              <w:rPr>
                <w:rFonts w:hint="eastAsia" w:ascii="宋体" w:hAnsi="宋体"/>
                <w:color w:val="auto"/>
                <w:szCs w:val="21"/>
                <w:highlight w:val="none"/>
              </w:rPr>
            </w:pPr>
          </w:p>
          <w:p w14:paraId="004C791E">
            <w:pPr>
              <w:ind w:firstLine="482"/>
              <w:rPr>
                <w:rFonts w:hint="eastAsia" w:ascii="宋体" w:hAnsi="宋体"/>
                <w:color w:val="auto"/>
                <w:szCs w:val="21"/>
                <w:highlight w:val="none"/>
              </w:rPr>
            </w:pPr>
          </w:p>
          <w:p w14:paraId="5D47210D">
            <w:pPr>
              <w:ind w:firstLine="482"/>
              <w:rPr>
                <w:rFonts w:hint="eastAsia" w:ascii="宋体" w:hAnsi="宋体"/>
                <w:color w:val="auto"/>
                <w:szCs w:val="21"/>
                <w:highlight w:val="none"/>
              </w:rPr>
            </w:pPr>
          </w:p>
          <w:p w14:paraId="08CD119C">
            <w:pPr>
              <w:ind w:firstLine="482"/>
              <w:rPr>
                <w:rFonts w:hint="eastAsia" w:ascii="宋体" w:hAnsi="宋体"/>
                <w:color w:val="auto"/>
                <w:szCs w:val="21"/>
                <w:highlight w:val="none"/>
              </w:rPr>
            </w:pPr>
          </w:p>
          <w:p w14:paraId="39F7A585">
            <w:pPr>
              <w:ind w:firstLine="482"/>
              <w:rPr>
                <w:rFonts w:hint="eastAsia" w:ascii="宋体" w:hAnsi="宋体"/>
                <w:color w:val="auto"/>
                <w:szCs w:val="21"/>
                <w:highlight w:val="none"/>
              </w:rPr>
            </w:pPr>
          </w:p>
          <w:p w14:paraId="4B86D40D">
            <w:pPr>
              <w:ind w:firstLine="482"/>
              <w:rPr>
                <w:rFonts w:hint="eastAsia" w:ascii="宋体" w:hAnsi="宋体"/>
                <w:color w:val="auto"/>
                <w:szCs w:val="21"/>
                <w:highlight w:val="none"/>
              </w:rPr>
            </w:pPr>
            <w:r>
              <w:rPr>
                <w:rFonts w:hint="eastAsia" w:ascii="宋体" w:hAnsi="宋体"/>
                <w:color w:val="auto"/>
                <w:szCs w:val="21"/>
                <w:highlight w:val="none"/>
              </w:rPr>
              <w:t xml:space="preserve">                年   月   日</w:t>
            </w:r>
          </w:p>
        </w:tc>
      </w:tr>
    </w:tbl>
    <w:p w14:paraId="3E20892A">
      <w:pPr>
        <w:snapToGrid w:val="0"/>
        <w:rPr>
          <w:rFonts w:hint="eastAsia" w:ascii="宋体" w:hAnsi="宋体"/>
          <w:color w:val="auto"/>
          <w:szCs w:val="21"/>
          <w:highlight w:val="none"/>
        </w:rPr>
      </w:pPr>
    </w:p>
    <w:p w14:paraId="1E36B363">
      <w:pPr>
        <w:snapToGrid w:val="0"/>
        <w:jc w:val="left"/>
        <w:rPr>
          <w:rFonts w:ascii="宋体" w:hAnsi="宋体"/>
          <w:color w:val="auto"/>
          <w:szCs w:val="21"/>
          <w:highlight w:val="none"/>
        </w:rPr>
      </w:pPr>
      <w:r>
        <w:rPr>
          <w:rFonts w:hint="eastAsia" w:ascii="宋体" w:hAnsi="宋体"/>
          <w:color w:val="auto"/>
          <w:szCs w:val="21"/>
          <w:highlight w:val="none"/>
        </w:rPr>
        <w:t>注：售后服务事项填不下时可另加附页</w:t>
      </w:r>
    </w:p>
    <w:p w14:paraId="592EA842">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_GB2312" w:cs="仿宋"/>
          <w:b/>
          <w:bCs/>
          <w:color w:val="auto"/>
          <w:kern w:val="0"/>
          <w:sz w:val="36"/>
          <w:szCs w:val="36"/>
          <w:highlight w:val="none"/>
        </w:rPr>
      </w:pPr>
      <w:r>
        <w:rPr>
          <w:color w:val="auto"/>
          <w:highlight w:val="none"/>
        </w:rPr>
        <w:br w:type="page"/>
      </w:r>
      <w:r>
        <w:rPr>
          <w:rFonts w:hint="eastAsia" w:ascii="仿宋" w:hAnsi="仿宋" w:eastAsia="仿宋_GB2312" w:cs="仿宋"/>
          <w:b/>
          <w:bCs/>
          <w:color w:val="auto"/>
          <w:kern w:val="0"/>
          <w:sz w:val="36"/>
          <w:szCs w:val="36"/>
          <w:highlight w:val="none"/>
        </w:rPr>
        <w:t>政府采购项目</w:t>
      </w:r>
      <w:r>
        <w:rPr>
          <w:rFonts w:hint="eastAsia" w:ascii="仿宋" w:hAnsi="仿宋" w:eastAsia="仿宋_GB2312" w:cs="仿宋"/>
          <w:color w:val="auto"/>
          <w:kern w:val="0"/>
          <w:sz w:val="36"/>
          <w:szCs w:val="36"/>
          <w:highlight w:val="none"/>
        </w:rPr>
        <w:t>合同验收报告（格式）</w:t>
      </w:r>
    </w:p>
    <w:p w14:paraId="5A70D7F5">
      <w:pPr>
        <w:widowControl/>
        <w:snapToGrid w:val="0"/>
        <w:spacing w:before="100" w:beforeAutospacing="1" w:after="100" w:afterAutospacing="1" w:line="44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根据政府采购合同（采购合同编号：　　）的约定，我单位对</w:t>
      </w:r>
      <w:r>
        <w:rPr>
          <w:rFonts w:hint="eastAsia" w:ascii="仿宋" w:hAnsi="仿宋" w:eastAsia="仿宋_GB2312" w:cs="仿宋"/>
          <w:color w:val="auto"/>
          <w:kern w:val="0"/>
          <w:sz w:val="24"/>
          <w:highlight w:val="none"/>
          <w:u w:val="single"/>
        </w:rPr>
        <w:t>（项目名称）　　　　</w:t>
      </w:r>
      <w:r>
        <w:rPr>
          <w:rFonts w:hint="eastAsia" w:ascii="仿宋" w:hAnsi="仿宋" w:eastAsia="仿宋_GB2312" w:cs="仿宋"/>
          <w:color w:val="auto"/>
          <w:kern w:val="0"/>
          <w:sz w:val="24"/>
          <w:highlight w:val="none"/>
        </w:rPr>
        <w:t>政府采购项目中标（或成交）</w:t>
      </w:r>
      <w:r>
        <w:rPr>
          <w:rFonts w:hint="eastAsia" w:ascii="仿宋" w:hAnsi="仿宋" w:eastAsia="仿宋_GB2312" w:cs="仿宋"/>
          <w:color w:val="auto"/>
          <w:kern w:val="0"/>
          <w:sz w:val="24"/>
          <w:highlight w:val="none"/>
          <w:lang w:eastAsia="zh-CN"/>
        </w:rPr>
        <w:t>投标人</w:t>
      </w:r>
      <w:r>
        <w:rPr>
          <w:rFonts w:hint="eastAsia" w:ascii="仿宋" w:hAnsi="仿宋" w:eastAsia="仿宋_GB2312" w:cs="仿宋"/>
          <w:color w:val="auto"/>
          <w:kern w:val="0"/>
          <w:sz w:val="24"/>
          <w:highlight w:val="none"/>
          <w:u w:val="single"/>
        </w:rPr>
        <w:t>（公司名称）　　　　</w:t>
      </w:r>
      <w:r>
        <w:rPr>
          <w:rFonts w:hint="eastAsia" w:ascii="仿宋" w:hAnsi="仿宋" w:eastAsia="仿宋_GB2312" w:cs="仿宋"/>
          <w:color w:val="auto"/>
          <w:kern w:val="0"/>
          <w:sz w:val="24"/>
          <w:highlight w:val="none"/>
        </w:rPr>
        <w:t>提供的货物（或服务）进行了验收，验收情况如下：</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19"/>
        <w:gridCol w:w="1963"/>
        <w:gridCol w:w="1579"/>
        <w:gridCol w:w="1862"/>
        <w:gridCol w:w="660"/>
        <w:gridCol w:w="338"/>
        <w:gridCol w:w="1779"/>
      </w:tblGrid>
      <w:tr w14:paraId="78E923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482" w:type="dxa"/>
            <w:gridSpan w:val="2"/>
            <w:tcBorders>
              <w:top w:val="single" w:color="auto" w:sz="8" w:space="0"/>
              <w:left w:val="single" w:color="auto" w:sz="8" w:space="0"/>
              <w:bottom w:val="single" w:color="auto" w:sz="8" w:space="0"/>
              <w:right w:val="single" w:color="auto" w:sz="8" w:space="0"/>
            </w:tcBorders>
            <w:noWrap w:val="0"/>
            <w:vAlign w:val="center"/>
          </w:tcPr>
          <w:p w14:paraId="17380CE2">
            <w:pPr>
              <w:widowControl/>
              <w:snapToGrid w:val="0"/>
              <w:ind w:left="-3"/>
              <w:jc w:val="center"/>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验收方式：</w:t>
            </w:r>
          </w:p>
        </w:tc>
        <w:tc>
          <w:tcPr>
            <w:tcW w:w="6218" w:type="dxa"/>
            <w:gridSpan w:val="5"/>
            <w:tcBorders>
              <w:top w:val="single" w:color="auto" w:sz="8" w:space="0"/>
              <w:left w:val="single" w:color="auto" w:sz="8" w:space="0"/>
              <w:bottom w:val="single" w:color="auto" w:sz="8" w:space="0"/>
              <w:right w:val="single" w:color="auto" w:sz="8" w:space="0"/>
            </w:tcBorders>
            <w:noWrap w:val="0"/>
            <w:vAlign w:val="center"/>
          </w:tcPr>
          <w:p w14:paraId="1D2DEA4D">
            <w:pPr>
              <w:widowControl/>
              <w:snapToGrid w:val="0"/>
              <w:ind w:left="-3"/>
              <w:jc w:val="center"/>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□自行验收         □联合验收</w:t>
            </w:r>
          </w:p>
        </w:tc>
      </w:tr>
      <w:tr w14:paraId="47000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7A2F8B19">
            <w:pPr>
              <w:widowControl/>
              <w:snapToGrid w:val="0"/>
              <w:jc w:val="center"/>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序号</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6B0EA487">
            <w:pPr>
              <w:widowControl/>
              <w:snapToGrid w:val="0"/>
              <w:ind w:left="-3"/>
              <w:jc w:val="center"/>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048FDD9F">
            <w:pPr>
              <w:widowControl/>
              <w:snapToGrid w:val="0"/>
              <w:ind w:left="-3"/>
              <w:jc w:val="center"/>
              <w:rPr>
                <w:rFonts w:hint="eastAsia" w:ascii="仿宋" w:hAnsi="仿宋" w:eastAsia="仿宋_GB2312" w:cs="仿宋"/>
                <w:color w:val="auto"/>
                <w:kern w:val="0"/>
                <w:sz w:val="24"/>
                <w:highlight w:val="none"/>
              </w:rPr>
            </w:pPr>
            <w:r>
              <w:rPr>
                <w:rFonts w:hint="eastAsia" w:ascii="仿宋" w:hAnsi="仿宋" w:eastAsia="仿宋_GB2312" w:cs="仿宋"/>
                <w:color w:val="auto"/>
                <w:kern w:val="0"/>
                <w:sz w:val="24"/>
                <w:highlight w:val="none"/>
              </w:rPr>
              <w:t>货物型号规格、标准及配置</w:t>
            </w:r>
          </w:p>
          <w:p w14:paraId="133C1A7E">
            <w:pPr>
              <w:widowControl/>
              <w:snapToGrid w:val="0"/>
              <w:jc w:val="center"/>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（或服务内容、标准）</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3E6CFEE1">
            <w:pPr>
              <w:widowControl/>
              <w:snapToGrid w:val="0"/>
              <w:jc w:val="center"/>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数量</w:t>
            </w:r>
          </w:p>
        </w:tc>
        <w:tc>
          <w:tcPr>
            <w:tcW w:w="1779" w:type="dxa"/>
            <w:tcBorders>
              <w:top w:val="single" w:color="auto" w:sz="8" w:space="0"/>
              <w:left w:val="single" w:color="auto" w:sz="8" w:space="0"/>
              <w:bottom w:val="single" w:color="auto" w:sz="8" w:space="0"/>
              <w:right w:val="single" w:color="auto" w:sz="8" w:space="0"/>
            </w:tcBorders>
            <w:noWrap w:val="0"/>
            <w:vAlign w:val="center"/>
          </w:tcPr>
          <w:p w14:paraId="37A542D8">
            <w:pPr>
              <w:widowControl/>
              <w:snapToGrid w:val="0"/>
              <w:ind w:left="-3"/>
              <w:jc w:val="center"/>
              <w:rPr>
                <w:rFonts w:hint="eastAsia" w:ascii="仿宋" w:hAnsi="仿宋" w:eastAsia="仿宋_GB2312" w:cs="仿宋"/>
                <w:color w:val="auto"/>
                <w:kern w:val="0"/>
                <w:sz w:val="24"/>
                <w:highlight w:val="none"/>
              </w:rPr>
            </w:pPr>
            <w:r>
              <w:rPr>
                <w:rFonts w:hint="eastAsia" w:ascii="仿宋" w:hAnsi="仿宋" w:eastAsia="仿宋_GB2312" w:cs="仿宋"/>
                <w:color w:val="auto"/>
                <w:kern w:val="0"/>
                <w:sz w:val="24"/>
                <w:highlight w:val="none"/>
              </w:rPr>
              <w:t>与合同约定</w:t>
            </w:r>
          </w:p>
          <w:p w14:paraId="14512096">
            <w:pPr>
              <w:widowControl/>
              <w:snapToGrid w:val="0"/>
              <w:ind w:left="-3"/>
              <w:jc w:val="center"/>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是否一致</w:t>
            </w:r>
          </w:p>
        </w:tc>
      </w:tr>
      <w:tr w14:paraId="64E3B6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33F334BB">
            <w:pPr>
              <w:widowControl/>
              <w:snapToGrid w:val="0"/>
              <w:ind w:left="-3" w:firstLine="576"/>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66B8E9BF">
            <w:pPr>
              <w:widowControl/>
              <w:snapToGrid w:val="0"/>
              <w:ind w:left="-3" w:firstLine="576"/>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6C106636">
            <w:pPr>
              <w:widowControl/>
              <w:snapToGrid w:val="0"/>
              <w:ind w:left="-3" w:firstLine="576"/>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1580B51C">
            <w:pPr>
              <w:widowControl/>
              <w:snapToGrid w:val="0"/>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1779" w:type="dxa"/>
            <w:tcBorders>
              <w:top w:val="single" w:color="auto" w:sz="8" w:space="0"/>
              <w:left w:val="single" w:color="auto" w:sz="8" w:space="0"/>
              <w:bottom w:val="single" w:color="auto" w:sz="8" w:space="0"/>
              <w:right w:val="single" w:color="auto" w:sz="8" w:space="0"/>
            </w:tcBorders>
            <w:noWrap w:val="0"/>
            <w:vAlign w:val="center"/>
          </w:tcPr>
          <w:p w14:paraId="63742231">
            <w:pPr>
              <w:widowControl/>
              <w:snapToGrid w:val="0"/>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r>
      <w:tr w14:paraId="360E9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6D3ECCD5">
            <w:pPr>
              <w:widowControl/>
              <w:snapToGrid w:val="0"/>
              <w:ind w:left="-3" w:firstLine="576"/>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3F62F87E">
            <w:pPr>
              <w:widowControl/>
              <w:snapToGrid w:val="0"/>
              <w:ind w:left="-3" w:firstLine="576"/>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1CF6FBC0">
            <w:pPr>
              <w:widowControl/>
              <w:snapToGrid w:val="0"/>
              <w:ind w:left="-3" w:firstLine="576"/>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411EDCE5">
            <w:pPr>
              <w:widowControl/>
              <w:snapToGrid w:val="0"/>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1779" w:type="dxa"/>
            <w:tcBorders>
              <w:top w:val="single" w:color="auto" w:sz="8" w:space="0"/>
              <w:left w:val="single" w:color="auto" w:sz="8" w:space="0"/>
              <w:bottom w:val="single" w:color="auto" w:sz="8" w:space="0"/>
              <w:right w:val="single" w:color="auto" w:sz="8" w:space="0"/>
            </w:tcBorders>
            <w:noWrap w:val="0"/>
            <w:vAlign w:val="center"/>
          </w:tcPr>
          <w:p w14:paraId="543D465D">
            <w:pPr>
              <w:widowControl/>
              <w:snapToGrid w:val="0"/>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r>
      <w:tr w14:paraId="652437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206B7D56">
            <w:pPr>
              <w:widowControl/>
              <w:snapToGrid w:val="0"/>
              <w:ind w:left="-3" w:firstLine="576"/>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7A05DED0">
            <w:pPr>
              <w:widowControl/>
              <w:snapToGrid w:val="0"/>
              <w:ind w:left="-3" w:firstLine="576"/>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7279E706">
            <w:pPr>
              <w:widowControl/>
              <w:snapToGrid w:val="0"/>
              <w:ind w:left="-3" w:firstLine="576"/>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0467BFFC">
            <w:pPr>
              <w:widowControl/>
              <w:snapToGrid w:val="0"/>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1779" w:type="dxa"/>
            <w:tcBorders>
              <w:top w:val="single" w:color="auto" w:sz="8" w:space="0"/>
              <w:left w:val="single" w:color="auto" w:sz="8" w:space="0"/>
              <w:bottom w:val="single" w:color="auto" w:sz="8" w:space="0"/>
              <w:right w:val="single" w:color="auto" w:sz="8" w:space="0"/>
            </w:tcBorders>
            <w:noWrap w:val="0"/>
            <w:vAlign w:val="center"/>
          </w:tcPr>
          <w:p w14:paraId="217B0840">
            <w:pPr>
              <w:widowControl/>
              <w:snapToGrid w:val="0"/>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r>
      <w:tr w14:paraId="22DA17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2F1C8DA6">
            <w:pPr>
              <w:widowControl/>
              <w:snapToGrid w:val="0"/>
              <w:ind w:left="-3" w:firstLine="576"/>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1963" w:type="dxa"/>
            <w:tcBorders>
              <w:top w:val="single" w:color="auto" w:sz="8" w:space="0"/>
              <w:left w:val="single" w:color="auto" w:sz="8" w:space="0"/>
              <w:bottom w:val="single" w:color="auto" w:sz="8" w:space="0"/>
              <w:right w:val="single" w:color="auto" w:sz="8" w:space="0"/>
            </w:tcBorders>
            <w:noWrap w:val="0"/>
            <w:vAlign w:val="center"/>
          </w:tcPr>
          <w:p w14:paraId="79BA2D45">
            <w:pPr>
              <w:widowControl/>
              <w:snapToGrid w:val="0"/>
              <w:ind w:left="-3" w:firstLine="576"/>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40C249A8">
            <w:pPr>
              <w:widowControl/>
              <w:snapToGrid w:val="0"/>
              <w:ind w:left="-3" w:firstLine="576"/>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298CD38F">
            <w:pPr>
              <w:widowControl/>
              <w:snapToGrid w:val="0"/>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c>
          <w:tcPr>
            <w:tcW w:w="1779" w:type="dxa"/>
            <w:tcBorders>
              <w:top w:val="single" w:color="auto" w:sz="8" w:space="0"/>
              <w:left w:val="single" w:color="auto" w:sz="8" w:space="0"/>
              <w:bottom w:val="single" w:color="auto" w:sz="8" w:space="0"/>
              <w:right w:val="single" w:color="auto" w:sz="8" w:space="0"/>
            </w:tcBorders>
            <w:noWrap w:val="0"/>
            <w:vAlign w:val="center"/>
          </w:tcPr>
          <w:p w14:paraId="6B0F2375">
            <w:pPr>
              <w:widowControl/>
              <w:snapToGrid w:val="0"/>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r>
      <w:tr w14:paraId="6AB59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251BE549">
            <w:pPr>
              <w:widowControl/>
              <w:snapToGrid w:val="0"/>
              <w:ind w:left="-3" w:firstLine="576"/>
              <w:jc w:val="left"/>
              <w:rPr>
                <w:rFonts w:hint="eastAsia" w:ascii="仿宋" w:hAnsi="仿宋" w:eastAsia="仿宋" w:cs="仿宋"/>
                <w:color w:val="auto"/>
                <w:kern w:val="0"/>
                <w:sz w:val="24"/>
                <w:highlight w:val="none"/>
              </w:rPr>
            </w:pPr>
          </w:p>
        </w:tc>
        <w:tc>
          <w:tcPr>
            <w:tcW w:w="1963" w:type="dxa"/>
            <w:tcBorders>
              <w:top w:val="single" w:color="auto" w:sz="8" w:space="0"/>
              <w:left w:val="single" w:color="auto" w:sz="8" w:space="0"/>
              <w:bottom w:val="single" w:color="auto" w:sz="8" w:space="0"/>
              <w:right w:val="single" w:color="auto" w:sz="8" w:space="0"/>
            </w:tcBorders>
            <w:noWrap w:val="0"/>
            <w:vAlign w:val="center"/>
          </w:tcPr>
          <w:p w14:paraId="1758A78D">
            <w:pPr>
              <w:widowControl/>
              <w:snapToGrid w:val="0"/>
              <w:ind w:left="-3" w:firstLine="576"/>
              <w:jc w:val="left"/>
              <w:rPr>
                <w:rFonts w:hint="eastAsia" w:ascii="仿宋" w:hAnsi="仿宋" w:eastAsia="仿宋" w:cs="仿宋"/>
                <w:color w:val="auto"/>
                <w:kern w:val="0"/>
                <w:sz w:val="24"/>
                <w:highlight w:val="none"/>
              </w:rPr>
            </w:pP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538076C3">
            <w:pPr>
              <w:widowControl/>
              <w:snapToGrid w:val="0"/>
              <w:ind w:left="-3" w:firstLine="576"/>
              <w:jc w:val="left"/>
              <w:rPr>
                <w:rFonts w:hint="eastAsia" w:ascii="仿宋" w:hAnsi="仿宋" w:eastAsia="仿宋" w:cs="仿宋"/>
                <w:color w:val="auto"/>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0B171655">
            <w:pPr>
              <w:widowControl/>
              <w:snapToGrid w:val="0"/>
              <w:jc w:val="left"/>
              <w:rPr>
                <w:rFonts w:hint="eastAsia" w:ascii="仿宋" w:hAnsi="仿宋" w:eastAsia="仿宋" w:cs="仿宋"/>
                <w:color w:val="auto"/>
                <w:kern w:val="0"/>
                <w:sz w:val="24"/>
                <w:highlight w:val="none"/>
              </w:rPr>
            </w:pPr>
          </w:p>
        </w:tc>
        <w:tc>
          <w:tcPr>
            <w:tcW w:w="1779" w:type="dxa"/>
            <w:tcBorders>
              <w:top w:val="single" w:color="auto" w:sz="8" w:space="0"/>
              <w:left w:val="single" w:color="auto" w:sz="8" w:space="0"/>
              <w:bottom w:val="single" w:color="auto" w:sz="8" w:space="0"/>
              <w:right w:val="single" w:color="auto" w:sz="8" w:space="0"/>
            </w:tcBorders>
            <w:noWrap w:val="0"/>
            <w:vAlign w:val="center"/>
          </w:tcPr>
          <w:p w14:paraId="57ABAE59">
            <w:pPr>
              <w:widowControl/>
              <w:snapToGrid w:val="0"/>
              <w:jc w:val="left"/>
              <w:rPr>
                <w:rFonts w:hint="eastAsia" w:ascii="仿宋" w:hAnsi="仿宋" w:eastAsia="仿宋" w:cs="仿宋"/>
                <w:color w:val="auto"/>
                <w:kern w:val="0"/>
                <w:sz w:val="24"/>
                <w:highlight w:val="none"/>
              </w:rPr>
            </w:pPr>
          </w:p>
        </w:tc>
      </w:tr>
      <w:tr w14:paraId="0EC361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713815C4">
            <w:pPr>
              <w:widowControl/>
              <w:snapToGrid w:val="0"/>
              <w:ind w:left="-3" w:firstLine="576"/>
              <w:jc w:val="left"/>
              <w:rPr>
                <w:rFonts w:hint="eastAsia" w:ascii="仿宋" w:hAnsi="仿宋" w:eastAsia="仿宋" w:cs="仿宋"/>
                <w:color w:val="auto"/>
                <w:kern w:val="0"/>
                <w:sz w:val="24"/>
                <w:highlight w:val="none"/>
              </w:rPr>
            </w:pPr>
          </w:p>
        </w:tc>
        <w:tc>
          <w:tcPr>
            <w:tcW w:w="1963" w:type="dxa"/>
            <w:tcBorders>
              <w:top w:val="single" w:color="auto" w:sz="8" w:space="0"/>
              <w:left w:val="single" w:color="auto" w:sz="8" w:space="0"/>
              <w:bottom w:val="single" w:color="auto" w:sz="8" w:space="0"/>
              <w:right w:val="single" w:color="auto" w:sz="8" w:space="0"/>
            </w:tcBorders>
            <w:noWrap w:val="0"/>
            <w:vAlign w:val="center"/>
          </w:tcPr>
          <w:p w14:paraId="4A0241A9">
            <w:pPr>
              <w:widowControl/>
              <w:snapToGrid w:val="0"/>
              <w:ind w:left="-3" w:firstLine="576"/>
              <w:jc w:val="left"/>
              <w:rPr>
                <w:rFonts w:hint="eastAsia" w:ascii="仿宋" w:hAnsi="仿宋" w:eastAsia="仿宋" w:cs="仿宋"/>
                <w:color w:val="auto"/>
                <w:kern w:val="0"/>
                <w:sz w:val="24"/>
                <w:highlight w:val="none"/>
              </w:rPr>
            </w:pP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59ED11F0">
            <w:pPr>
              <w:widowControl/>
              <w:snapToGrid w:val="0"/>
              <w:ind w:left="-3" w:firstLine="576"/>
              <w:jc w:val="left"/>
              <w:rPr>
                <w:rFonts w:hint="eastAsia" w:ascii="仿宋" w:hAnsi="仿宋" w:eastAsia="仿宋" w:cs="仿宋"/>
                <w:color w:val="auto"/>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2C229EA8">
            <w:pPr>
              <w:widowControl/>
              <w:snapToGrid w:val="0"/>
              <w:jc w:val="left"/>
              <w:rPr>
                <w:rFonts w:hint="eastAsia" w:ascii="仿宋" w:hAnsi="仿宋" w:eastAsia="仿宋" w:cs="仿宋"/>
                <w:color w:val="auto"/>
                <w:kern w:val="0"/>
                <w:sz w:val="24"/>
                <w:highlight w:val="none"/>
              </w:rPr>
            </w:pPr>
          </w:p>
        </w:tc>
        <w:tc>
          <w:tcPr>
            <w:tcW w:w="1779" w:type="dxa"/>
            <w:tcBorders>
              <w:top w:val="single" w:color="auto" w:sz="8" w:space="0"/>
              <w:left w:val="single" w:color="auto" w:sz="8" w:space="0"/>
              <w:bottom w:val="single" w:color="auto" w:sz="8" w:space="0"/>
              <w:right w:val="single" w:color="auto" w:sz="8" w:space="0"/>
            </w:tcBorders>
            <w:noWrap w:val="0"/>
            <w:vAlign w:val="center"/>
          </w:tcPr>
          <w:p w14:paraId="52B19408">
            <w:pPr>
              <w:widowControl/>
              <w:snapToGrid w:val="0"/>
              <w:jc w:val="left"/>
              <w:rPr>
                <w:rFonts w:hint="eastAsia" w:ascii="仿宋" w:hAnsi="仿宋" w:eastAsia="仿宋" w:cs="仿宋"/>
                <w:color w:val="auto"/>
                <w:kern w:val="0"/>
                <w:sz w:val="24"/>
                <w:highlight w:val="none"/>
              </w:rPr>
            </w:pPr>
          </w:p>
        </w:tc>
      </w:tr>
      <w:tr w14:paraId="4B853E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4D30F63C">
            <w:pPr>
              <w:widowControl/>
              <w:snapToGrid w:val="0"/>
              <w:ind w:left="-3" w:firstLine="576"/>
              <w:jc w:val="left"/>
              <w:rPr>
                <w:rFonts w:hint="eastAsia" w:ascii="仿宋" w:hAnsi="仿宋" w:eastAsia="仿宋" w:cs="仿宋"/>
                <w:color w:val="auto"/>
                <w:kern w:val="0"/>
                <w:sz w:val="24"/>
                <w:highlight w:val="none"/>
              </w:rPr>
            </w:pPr>
          </w:p>
        </w:tc>
        <w:tc>
          <w:tcPr>
            <w:tcW w:w="1963" w:type="dxa"/>
            <w:tcBorders>
              <w:top w:val="single" w:color="auto" w:sz="8" w:space="0"/>
              <w:left w:val="single" w:color="auto" w:sz="8" w:space="0"/>
              <w:bottom w:val="single" w:color="auto" w:sz="8" w:space="0"/>
              <w:right w:val="single" w:color="auto" w:sz="8" w:space="0"/>
            </w:tcBorders>
            <w:noWrap w:val="0"/>
            <w:vAlign w:val="center"/>
          </w:tcPr>
          <w:p w14:paraId="4899EA01">
            <w:pPr>
              <w:widowControl/>
              <w:snapToGrid w:val="0"/>
              <w:ind w:left="-3" w:firstLine="576"/>
              <w:jc w:val="left"/>
              <w:rPr>
                <w:rFonts w:hint="eastAsia" w:ascii="仿宋" w:hAnsi="仿宋" w:eastAsia="仿宋" w:cs="仿宋"/>
                <w:color w:val="auto"/>
                <w:kern w:val="0"/>
                <w:sz w:val="24"/>
                <w:highlight w:val="none"/>
              </w:rPr>
            </w:pP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1E16AC3B">
            <w:pPr>
              <w:widowControl/>
              <w:snapToGrid w:val="0"/>
              <w:ind w:left="-3" w:firstLine="576"/>
              <w:jc w:val="left"/>
              <w:rPr>
                <w:rFonts w:hint="eastAsia" w:ascii="仿宋" w:hAnsi="仿宋" w:eastAsia="仿宋" w:cs="仿宋"/>
                <w:color w:val="auto"/>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66DED4B4">
            <w:pPr>
              <w:widowControl/>
              <w:snapToGrid w:val="0"/>
              <w:jc w:val="left"/>
              <w:rPr>
                <w:rFonts w:hint="eastAsia" w:ascii="仿宋" w:hAnsi="仿宋" w:eastAsia="仿宋" w:cs="仿宋"/>
                <w:color w:val="auto"/>
                <w:kern w:val="0"/>
                <w:sz w:val="24"/>
                <w:highlight w:val="none"/>
              </w:rPr>
            </w:pPr>
          </w:p>
        </w:tc>
        <w:tc>
          <w:tcPr>
            <w:tcW w:w="1779" w:type="dxa"/>
            <w:tcBorders>
              <w:top w:val="single" w:color="auto" w:sz="8" w:space="0"/>
              <w:left w:val="single" w:color="auto" w:sz="8" w:space="0"/>
              <w:bottom w:val="single" w:color="auto" w:sz="8" w:space="0"/>
              <w:right w:val="single" w:color="auto" w:sz="8" w:space="0"/>
            </w:tcBorders>
            <w:noWrap w:val="0"/>
            <w:vAlign w:val="center"/>
          </w:tcPr>
          <w:p w14:paraId="2CDB45DB">
            <w:pPr>
              <w:widowControl/>
              <w:snapToGrid w:val="0"/>
              <w:jc w:val="left"/>
              <w:rPr>
                <w:rFonts w:hint="eastAsia" w:ascii="仿宋" w:hAnsi="仿宋" w:eastAsia="仿宋" w:cs="仿宋"/>
                <w:color w:val="auto"/>
                <w:kern w:val="0"/>
                <w:sz w:val="24"/>
                <w:highlight w:val="none"/>
              </w:rPr>
            </w:pPr>
          </w:p>
        </w:tc>
      </w:tr>
      <w:tr w14:paraId="753E90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190A2860">
            <w:pPr>
              <w:widowControl/>
              <w:snapToGrid w:val="0"/>
              <w:ind w:left="-3" w:firstLine="576"/>
              <w:jc w:val="left"/>
              <w:rPr>
                <w:rFonts w:hint="eastAsia" w:ascii="仿宋" w:hAnsi="仿宋" w:eastAsia="仿宋" w:cs="仿宋"/>
                <w:color w:val="auto"/>
                <w:kern w:val="0"/>
                <w:sz w:val="24"/>
                <w:highlight w:val="none"/>
              </w:rPr>
            </w:pPr>
          </w:p>
        </w:tc>
        <w:tc>
          <w:tcPr>
            <w:tcW w:w="1963" w:type="dxa"/>
            <w:tcBorders>
              <w:top w:val="single" w:color="auto" w:sz="8" w:space="0"/>
              <w:left w:val="single" w:color="auto" w:sz="8" w:space="0"/>
              <w:bottom w:val="single" w:color="auto" w:sz="8" w:space="0"/>
              <w:right w:val="single" w:color="auto" w:sz="8" w:space="0"/>
            </w:tcBorders>
            <w:noWrap w:val="0"/>
            <w:vAlign w:val="center"/>
          </w:tcPr>
          <w:p w14:paraId="7C546556">
            <w:pPr>
              <w:widowControl/>
              <w:snapToGrid w:val="0"/>
              <w:ind w:left="-3" w:firstLine="576"/>
              <w:jc w:val="left"/>
              <w:rPr>
                <w:rFonts w:hint="eastAsia" w:ascii="仿宋" w:hAnsi="仿宋" w:eastAsia="仿宋" w:cs="仿宋"/>
                <w:color w:val="auto"/>
                <w:kern w:val="0"/>
                <w:sz w:val="24"/>
                <w:highlight w:val="none"/>
              </w:rPr>
            </w:pP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4F0FBBA0">
            <w:pPr>
              <w:widowControl/>
              <w:snapToGrid w:val="0"/>
              <w:ind w:left="-3" w:firstLine="576"/>
              <w:jc w:val="left"/>
              <w:rPr>
                <w:rFonts w:hint="eastAsia" w:ascii="仿宋" w:hAnsi="仿宋" w:eastAsia="仿宋" w:cs="仿宋"/>
                <w:color w:val="auto"/>
                <w:kern w:val="0"/>
                <w:sz w:val="24"/>
                <w:highlight w:val="none"/>
              </w:rPr>
            </w:pP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7046CF5D">
            <w:pPr>
              <w:widowControl/>
              <w:snapToGrid w:val="0"/>
              <w:jc w:val="left"/>
              <w:rPr>
                <w:rFonts w:hint="eastAsia" w:ascii="仿宋" w:hAnsi="仿宋" w:eastAsia="仿宋" w:cs="仿宋"/>
                <w:color w:val="auto"/>
                <w:kern w:val="0"/>
                <w:sz w:val="24"/>
                <w:highlight w:val="none"/>
              </w:rPr>
            </w:pPr>
          </w:p>
        </w:tc>
        <w:tc>
          <w:tcPr>
            <w:tcW w:w="1779" w:type="dxa"/>
            <w:tcBorders>
              <w:top w:val="single" w:color="auto" w:sz="8" w:space="0"/>
              <w:left w:val="single" w:color="auto" w:sz="8" w:space="0"/>
              <w:bottom w:val="single" w:color="auto" w:sz="8" w:space="0"/>
              <w:right w:val="single" w:color="auto" w:sz="8" w:space="0"/>
            </w:tcBorders>
            <w:noWrap w:val="0"/>
            <w:vAlign w:val="center"/>
          </w:tcPr>
          <w:p w14:paraId="36C58277">
            <w:pPr>
              <w:widowControl/>
              <w:snapToGrid w:val="0"/>
              <w:jc w:val="left"/>
              <w:rPr>
                <w:rFonts w:hint="eastAsia" w:ascii="仿宋" w:hAnsi="仿宋" w:eastAsia="仿宋" w:cs="仿宋"/>
                <w:color w:val="auto"/>
                <w:kern w:val="0"/>
                <w:sz w:val="24"/>
                <w:highlight w:val="none"/>
              </w:rPr>
            </w:pPr>
          </w:p>
        </w:tc>
      </w:tr>
      <w:tr w14:paraId="2F52A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19" w:type="dxa"/>
            <w:tcBorders>
              <w:top w:val="single" w:color="auto" w:sz="8" w:space="0"/>
              <w:left w:val="single" w:color="auto" w:sz="8" w:space="0"/>
              <w:bottom w:val="single" w:color="auto" w:sz="8" w:space="0"/>
              <w:right w:val="single" w:color="auto" w:sz="8" w:space="0"/>
            </w:tcBorders>
            <w:noWrap w:val="0"/>
            <w:vAlign w:val="center"/>
          </w:tcPr>
          <w:p w14:paraId="675762BD">
            <w:pPr>
              <w:widowControl/>
              <w:snapToGrid w:val="0"/>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实际供货日期</w:t>
            </w:r>
          </w:p>
        </w:tc>
        <w:tc>
          <w:tcPr>
            <w:tcW w:w="3542" w:type="dxa"/>
            <w:gridSpan w:val="2"/>
            <w:tcBorders>
              <w:top w:val="single" w:color="auto" w:sz="8" w:space="0"/>
              <w:left w:val="single" w:color="auto" w:sz="8" w:space="0"/>
              <w:bottom w:val="single" w:color="auto" w:sz="8" w:space="0"/>
              <w:right w:val="single" w:color="auto" w:sz="8" w:space="0"/>
            </w:tcBorders>
            <w:noWrap w:val="0"/>
            <w:vAlign w:val="center"/>
          </w:tcPr>
          <w:p w14:paraId="478802AE">
            <w:pPr>
              <w:snapToGrid w:val="0"/>
              <w:jc w:val="left"/>
              <w:rPr>
                <w:rFonts w:hint="eastAsia" w:ascii="仿宋" w:hAnsi="仿宋" w:eastAsia="仿宋" w:cs="仿宋"/>
                <w:color w:val="auto"/>
                <w:kern w:val="0"/>
                <w:sz w:val="24"/>
                <w:highlight w:val="none"/>
              </w:rPr>
            </w:pPr>
          </w:p>
        </w:tc>
        <w:tc>
          <w:tcPr>
            <w:tcW w:w="2522" w:type="dxa"/>
            <w:gridSpan w:val="2"/>
            <w:tcBorders>
              <w:top w:val="single" w:color="auto" w:sz="8" w:space="0"/>
              <w:left w:val="single" w:color="auto" w:sz="8" w:space="0"/>
              <w:bottom w:val="single" w:color="auto" w:sz="8" w:space="0"/>
              <w:right w:val="single" w:color="auto" w:sz="8" w:space="0"/>
            </w:tcBorders>
            <w:noWrap w:val="0"/>
            <w:vAlign w:val="center"/>
          </w:tcPr>
          <w:p w14:paraId="214D4519">
            <w:pPr>
              <w:snapToGrid w:val="0"/>
              <w:ind w:left="215"/>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合同交货验收日期</w:t>
            </w:r>
          </w:p>
        </w:tc>
        <w:tc>
          <w:tcPr>
            <w:tcW w:w="2117" w:type="dxa"/>
            <w:gridSpan w:val="2"/>
            <w:tcBorders>
              <w:top w:val="single" w:color="auto" w:sz="8" w:space="0"/>
              <w:left w:val="single" w:color="auto" w:sz="8" w:space="0"/>
              <w:bottom w:val="single" w:color="auto" w:sz="8" w:space="0"/>
              <w:right w:val="single" w:color="auto" w:sz="8" w:space="0"/>
            </w:tcBorders>
            <w:noWrap w:val="0"/>
            <w:vAlign w:val="center"/>
          </w:tcPr>
          <w:p w14:paraId="674759F2">
            <w:pPr>
              <w:snapToGrid w:val="0"/>
              <w:jc w:val="left"/>
              <w:rPr>
                <w:rFonts w:hint="eastAsia" w:ascii="仿宋" w:hAnsi="仿宋" w:eastAsia="仿宋" w:cs="仿宋"/>
                <w:color w:val="auto"/>
                <w:kern w:val="0"/>
                <w:sz w:val="24"/>
                <w:highlight w:val="none"/>
              </w:rPr>
            </w:pPr>
          </w:p>
        </w:tc>
      </w:tr>
      <w:tr w14:paraId="11681B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218BCD">
            <w:pPr>
              <w:widowControl/>
              <w:snapToGrid w:val="0"/>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验收具体内容</w:t>
            </w:r>
          </w:p>
        </w:tc>
        <w:tc>
          <w:tcPr>
            <w:tcW w:w="8181"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95D330">
            <w:pPr>
              <w:widowControl/>
              <w:snapToGrid w:val="0"/>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(按招标采购文件、投标文件及验收方案等。可附件)</w:t>
            </w:r>
          </w:p>
        </w:tc>
      </w:tr>
      <w:tr w14:paraId="318225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9" w:hRule="atLeast"/>
          <w:jc w:val="center"/>
        </w:trPr>
        <w:tc>
          <w:tcPr>
            <w:tcW w:w="15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6535BA">
            <w:pPr>
              <w:widowControl/>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验收小组意见</w:t>
            </w:r>
          </w:p>
        </w:tc>
        <w:tc>
          <w:tcPr>
            <w:tcW w:w="8181" w:type="dxa"/>
            <w:gridSpan w:val="6"/>
            <w:tcBorders>
              <w:top w:val="single" w:color="auto" w:sz="8" w:space="0"/>
              <w:left w:val="single" w:color="auto" w:sz="8" w:space="0"/>
              <w:bottom w:val="single" w:color="auto" w:sz="8" w:space="0"/>
              <w:right w:val="single" w:color="auto" w:sz="8" w:space="0"/>
            </w:tcBorders>
            <w:noWrap w:val="0"/>
            <w:vAlign w:val="center"/>
          </w:tcPr>
          <w:p w14:paraId="65F746CE">
            <w:pPr>
              <w:widowControl/>
              <w:jc w:val="left"/>
              <w:rPr>
                <w:rFonts w:hint="eastAsia" w:ascii="仿宋" w:hAnsi="仿宋" w:eastAsia="仿宋_GB2312" w:cs="仿宋"/>
                <w:color w:val="auto"/>
                <w:kern w:val="0"/>
                <w:sz w:val="24"/>
                <w:highlight w:val="none"/>
              </w:rPr>
            </w:pPr>
            <w:r>
              <w:rPr>
                <w:rFonts w:hint="eastAsia" w:ascii="仿宋" w:hAnsi="仿宋" w:eastAsia="仿宋_GB2312" w:cs="仿宋"/>
                <w:color w:val="auto"/>
                <w:kern w:val="0"/>
                <w:sz w:val="24"/>
                <w:highlight w:val="none"/>
              </w:rPr>
              <w:t> </w:t>
            </w:r>
          </w:p>
          <w:p w14:paraId="0514E0E6">
            <w:pPr>
              <w:widowControl/>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 </w:t>
            </w:r>
          </w:p>
        </w:tc>
      </w:tr>
      <w:tr w14:paraId="68508B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4D4EA7">
            <w:pPr>
              <w:widowControl/>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验收小组成员签字：</w:t>
            </w:r>
          </w:p>
        </w:tc>
      </w:tr>
      <w:tr w14:paraId="034A3C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C8D7A6">
            <w:pPr>
              <w:widowControl/>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参与验收其他或监督人员签字：</w:t>
            </w:r>
          </w:p>
        </w:tc>
      </w:tr>
      <w:tr w14:paraId="6C6BA9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5061"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646C97">
            <w:pPr>
              <w:widowControl/>
              <w:jc w:val="left"/>
              <w:rPr>
                <w:rFonts w:hint="eastAsia" w:ascii="仿宋" w:hAnsi="仿宋" w:eastAsia="仿宋_GB2312" w:cs="仿宋"/>
                <w:color w:val="auto"/>
                <w:kern w:val="0"/>
                <w:sz w:val="24"/>
                <w:highlight w:val="none"/>
              </w:rPr>
            </w:pPr>
            <w:r>
              <w:rPr>
                <w:rFonts w:hint="eastAsia" w:ascii="仿宋" w:hAnsi="仿宋" w:eastAsia="仿宋_GB2312" w:cs="仿宋"/>
                <w:color w:val="auto"/>
                <w:kern w:val="0"/>
                <w:sz w:val="24"/>
                <w:highlight w:val="none"/>
                <w:lang w:eastAsia="zh-CN"/>
              </w:rPr>
              <w:t>投标人</w:t>
            </w:r>
            <w:r>
              <w:rPr>
                <w:rFonts w:hint="eastAsia" w:ascii="仿宋" w:hAnsi="仿宋" w:eastAsia="仿宋_GB2312" w:cs="仿宋"/>
                <w:color w:val="auto"/>
                <w:kern w:val="0"/>
                <w:sz w:val="24"/>
                <w:highlight w:val="none"/>
              </w:rPr>
              <w:t>签字或盖章：</w:t>
            </w:r>
          </w:p>
          <w:p w14:paraId="555F6D8E">
            <w:pPr>
              <w:widowControl/>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联系方式：         年 月 日</w:t>
            </w:r>
          </w:p>
        </w:tc>
        <w:tc>
          <w:tcPr>
            <w:tcW w:w="4639" w:type="dxa"/>
            <w:gridSpan w:val="4"/>
            <w:tcBorders>
              <w:top w:val="single" w:color="auto" w:sz="8" w:space="0"/>
              <w:left w:val="single" w:color="auto" w:sz="8" w:space="0"/>
              <w:bottom w:val="single" w:color="auto" w:sz="8" w:space="0"/>
              <w:right w:val="single" w:color="auto" w:sz="8" w:space="0"/>
            </w:tcBorders>
            <w:noWrap w:val="0"/>
            <w:vAlign w:val="center"/>
          </w:tcPr>
          <w:p w14:paraId="13ADC2CF">
            <w:pPr>
              <w:widowControl/>
              <w:jc w:val="left"/>
              <w:rPr>
                <w:rFonts w:hint="eastAsia" w:ascii="仿宋" w:hAnsi="仿宋" w:eastAsia="仿宋_GB2312" w:cs="仿宋"/>
                <w:color w:val="auto"/>
                <w:kern w:val="0"/>
                <w:sz w:val="24"/>
                <w:highlight w:val="none"/>
              </w:rPr>
            </w:pPr>
            <w:r>
              <w:rPr>
                <w:rFonts w:hint="eastAsia" w:ascii="仿宋" w:hAnsi="仿宋" w:eastAsia="仿宋_GB2312" w:cs="仿宋"/>
                <w:color w:val="auto"/>
                <w:kern w:val="0"/>
                <w:sz w:val="24"/>
                <w:highlight w:val="none"/>
              </w:rPr>
              <w:t> 采购单位盖章：</w:t>
            </w:r>
          </w:p>
          <w:p w14:paraId="63C44DE7">
            <w:pPr>
              <w:widowControl/>
              <w:ind w:firstLine="2119"/>
              <w:jc w:val="left"/>
              <w:rPr>
                <w:rFonts w:hint="eastAsia" w:ascii="仿宋" w:hAnsi="仿宋" w:eastAsia="仿宋" w:cs="仿宋"/>
                <w:color w:val="auto"/>
                <w:kern w:val="0"/>
                <w:sz w:val="24"/>
                <w:highlight w:val="none"/>
              </w:rPr>
            </w:pPr>
            <w:r>
              <w:rPr>
                <w:rFonts w:hint="eastAsia" w:ascii="仿宋" w:hAnsi="仿宋" w:eastAsia="仿宋_GB2312" w:cs="仿宋"/>
                <w:color w:val="auto"/>
                <w:kern w:val="0"/>
                <w:sz w:val="24"/>
                <w:highlight w:val="none"/>
              </w:rPr>
              <w:t>年 月 日</w:t>
            </w:r>
          </w:p>
        </w:tc>
      </w:tr>
    </w:tbl>
    <w:p w14:paraId="7847630C">
      <w:pPr>
        <w:pStyle w:val="5"/>
        <w:rPr>
          <w:color w:val="auto"/>
          <w:sz w:val="32"/>
          <w:szCs w:val="32"/>
          <w:highlight w:val="none"/>
        </w:rPr>
      </w:pPr>
      <w:r>
        <w:rPr>
          <w:rFonts w:hint="eastAsia" w:ascii="仿宋" w:hAnsi="仿宋" w:eastAsia="仿宋_GB2312" w:cs="仿宋"/>
          <w:color w:val="auto"/>
          <w:kern w:val="0"/>
          <w:sz w:val="18"/>
          <w:szCs w:val="18"/>
          <w:highlight w:val="none"/>
        </w:rPr>
        <w:t>备注：本报告单一式4份（采购单位1份、</w:t>
      </w:r>
      <w:r>
        <w:rPr>
          <w:rFonts w:hint="eastAsia" w:ascii="仿宋" w:hAnsi="仿宋" w:eastAsia="仿宋_GB2312" w:cs="仿宋"/>
          <w:color w:val="auto"/>
          <w:kern w:val="0"/>
          <w:sz w:val="18"/>
          <w:szCs w:val="18"/>
          <w:highlight w:val="none"/>
          <w:lang w:eastAsia="zh-CN"/>
        </w:rPr>
        <w:t>投标人</w:t>
      </w:r>
      <w:r>
        <w:rPr>
          <w:rFonts w:hint="eastAsia" w:ascii="仿宋" w:hAnsi="仿宋" w:eastAsia="仿宋_GB2312" w:cs="仿宋"/>
          <w:color w:val="auto"/>
          <w:kern w:val="0"/>
          <w:sz w:val="18"/>
          <w:szCs w:val="18"/>
          <w:highlight w:val="none"/>
        </w:rPr>
        <w:t>1份、采购监督部门备案1份、采购代理机构1份）。</w:t>
      </w:r>
    </w:p>
    <w:p w14:paraId="1C95C934">
      <w:pPr>
        <w:snapToGrid w:val="0"/>
        <w:spacing w:line="480" w:lineRule="auto"/>
        <w:rPr>
          <w:rFonts w:hint="eastAsia" w:ascii="宋体" w:hAnsi="宋体"/>
          <w:bCs/>
          <w:color w:val="auto"/>
          <w:sz w:val="32"/>
          <w:szCs w:val="32"/>
          <w:highlight w:val="none"/>
        </w:rPr>
      </w:pPr>
    </w:p>
    <w:p w14:paraId="1BFD86EE">
      <w:pPr>
        <w:pStyle w:val="2"/>
        <w:jc w:val="center"/>
        <w:outlineLvl w:val="9"/>
        <w:rPr>
          <w:rFonts w:hint="eastAsia"/>
          <w:color w:val="auto"/>
          <w:highlight w:val="none"/>
        </w:rPr>
        <w:sectPr>
          <w:pgSz w:w="11906" w:h="16838"/>
          <w:pgMar w:top="1134" w:right="1134" w:bottom="1134" w:left="1134" w:header="851" w:footer="567" w:gutter="0"/>
          <w:cols w:space="720" w:num="1"/>
          <w:titlePg/>
          <w:rtlGutter w:val="0"/>
          <w:docGrid w:linePitch="312" w:charSpace="0"/>
        </w:sectPr>
      </w:pPr>
    </w:p>
    <w:p w14:paraId="5F4BF5BB">
      <w:pPr>
        <w:pStyle w:val="2"/>
        <w:keepNext w:val="0"/>
        <w:keepLines w:val="0"/>
        <w:tabs>
          <w:tab w:val="left" w:pos="0"/>
          <w:tab w:val="left" w:pos="3165"/>
          <w:tab w:val="center" w:pos="4153"/>
        </w:tabs>
        <w:autoSpaceDE w:val="0"/>
        <w:autoSpaceDN w:val="0"/>
        <w:adjustRightInd w:val="0"/>
        <w:spacing w:before="0" w:after="0" w:line="360" w:lineRule="auto"/>
        <w:rPr>
          <w:color w:val="auto"/>
          <w:highlight w:val="none"/>
        </w:rPr>
      </w:pPr>
      <w:bookmarkStart w:id="173" w:name="_Toc5919"/>
      <w:r>
        <w:rPr>
          <w:rFonts w:hint="eastAsia"/>
          <w:color w:val="auto"/>
          <w:highlight w:val="none"/>
        </w:rPr>
        <w:t>第六章 投标文件格式</w:t>
      </w:r>
      <w:bookmarkEnd w:id="162"/>
      <w:bookmarkEnd w:id="173"/>
    </w:p>
    <w:p w14:paraId="46632175">
      <w:pPr>
        <w:outlineLvl w:val="1"/>
        <w:rPr>
          <w:rFonts w:ascii="宋体" w:hAnsi="宋体" w:cs="宋体"/>
          <w:b/>
          <w:color w:val="auto"/>
          <w:sz w:val="28"/>
          <w:szCs w:val="28"/>
          <w:highlight w:val="none"/>
        </w:rPr>
      </w:pPr>
      <w:bookmarkStart w:id="174" w:name="_Toc26248"/>
      <w:bookmarkStart w:id="175" w:name="_Toc19686836"/>
      <w:bookmarkStart w:id="176" w:name="_Toc254970557"/>
      <w:bookmarkStart w:id="177" w:name="_Toc254970698"/>
      <w:r>
        <w:rPr>
          <w:rFonts w:hint="eastAsia" w:ascii="宋体" w:hAnsi="宋体" w:cs="宋体"/>
          <w:b/>
          <w:color w:val="auto"/>
          <w:sz w:val="28"/>
          <w:szCs w:val="28"/>
          <w:highlight w:val="none"/>
        </w:rPr>
        <w:t>一、报价文件格式</w:t>
      </w:r>
      <w:bookmarkEnd w:id="174"/>
      <w:bookmarkEnd w:id="175"/>
    </w:p>
    <w:p w14:paraId="58A7E2F8">
      <w:pPr>
        <w:snapToGrid w:val="0"/>
        <w:spacing w:before="120" w:beforeLines="50" w:after="50" w:line="360" w:lineRule="auto"/>
        <w:ind w:left="142"/>
        <w:jc w:val="left"/>
        <w:outlineLvl w:val="2"/>
        <w:rPr>
          <w:rFonts w:ascii="宋体" w:hAnsi="宋体" w:cs="宋体"/>
          <w:b/>
          <w:color w:val="auto"/>
          <w:sz w:val="24"/>
          <w:highlight w:val="none"/>
        </w:rPr>
      </w:pPr>
      <w:r>
        <w:rPr>
          <w:rFonts w:hint="eastAsia" w:ascii="宋体" w:hAnsi="宋体" w:cs="宋体"/>
          <w:b/>
          <w:color w:val="auto"/>
          <w:sz w:val="24"/>
          <w:highlight w:val="none"/>
        </w:rPr>
        <w:t>1. 报价文件封面格式：</w:t>
      </w:r>
    </w:p>
    <w:p w14:paraId="61A28BE3">
      <w:pPr>
        <w:snapToGrid w:val="0"/>
        <w:spacing w:before="120" w:beforeLines="50" w:after="50" w:line="360" w:lineRule="auto"/>
        <w:ind w:left="142"/>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66BDD70B">
      <w:pPr>
        <w:snapToGrid w:val="0"/>
        <w:spacing w:before="120" w:beforeLines="50" w:after="50" w:line="400" w:lineRule="exact"/>
        <w:jc w:val="left"/>
        <w:rPr>
          <w:rFonts w:ascii="宋体" w:hAnsi="宋体" w:cs="宋体"/>
          <w:bCs/>
          <w:color w:val="auto"/>
          <w:sz w:val="48"/>
          <w:szCs w:val="48"/>
          <w:highlight w:val="none"/>
        </w:rPr>
      </w:pPr>
    </w:p>
    <w:p w14:paraId="75AC9F0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outlineLvl w:val="0"/>
        <w:rPr>
          <w:rFonts w:ascii="宋体" w:hAnsi="宋体" w:cs="宋体"/>
          <w:b/>
          <w:color w:val="auto"/>
          <w:sz w:val="44"/>
          <w:szCs w:val="44"/>
          <w:highlight w:val="none"/>
        </w:rPr>
      </w:pPr>
      <w:bookmarkStart w:id="178" w:name="_Toc15174"/>
      <w:r>
        <w:rPr>
          <w:rFonts w:hint="eastAsia" w:ascii="宋体" w:hAnsi="宋体" w:cs="宋体"/>
          <w:b/>
          <w:color w:val="auto"/>
          <w:sz w:val="44"/>
          <w:szCs w:val="44"/>
          <w:highlight w:val="none"/>
        </w:rPr>
        <w:t>第一</w:t>
      </w:r>
      <w:r>
        <w:rPr>
          <w:rFonts w:hint="eastAsia" w:ascii="宋体" w:hAnsi="宋体" w:cs="宋体"/>
          <w:b/>
          <w:color w:val="auto"/>
          <w:sz w:val="44"/>
          <w:szCs w:val="44"/>
          <w:highlight w:val="none"/>
          <w:lang w:eastAsia="zh-CN"/>
        </w:rPr>
        <w:t>节</w:t>
      </w:r>
      <w:r>
        <w:rPr>
          <w:rFonts w:hint="eastAsia" w:ascii="宋体" w:hAnsi="宋体" w:cs="宋体"/>
          <w:b/>
          <w:color w:val="auto"/>
          <w:sz w:val="44"/>
          <w:szCs w:val="44"/>
          <w:highlight w:val="none"/>
        </w:rPr>
        <w:t xml:space="preserve"> 报价文件</w:t>
      </w:r>
      <w:bookmarkEnd w:id="178"/>
    </w:p>
    <w:p w14:paraId="4BAB4DCC">
      <w:pPr>
        <w:snapToGrid w:val="0"/>
        <w:spacing w:before="120" w:beforeLines="50" w:after="50" w:line="400" w:lineRule="exact"/>
        <w:rPr>
          <w:rFonts w:ascii="宋体" w:hAnsi="宋体" w:cs="宋体"/>
          <w:bCs/>
          <w:color w:val="auto"/>
          <w:sz w:val="24"/>
          <w:szCs w:val="20"/>
          <w:highlight w:val="none"/>
        </w:rPr>
      </w:pPr>
    </w:p>
    <w:p w14:paraId="166970FA">
      <w:pPr>
        <w:snapToGrid w:val="0"/>
        <w:spacing w:before="120" w:beforeLines="50" w:after="50" w:line="400" w:lineRule="exact"/>
        <w:ind w:left="840" w:leftChars="400"/>
        <w:rPr>
          <w:rFonts w:ascii="宋体" w:hAnsi="宋体" w:cs="宋体"/>
          <w:bCs/>
          <w:color w:val="auto"/>
          <w:sz w:val="24"/>
          <w:szCs w:val="20"/>
          <w:highlight w:val="none"/>
        </w:rPr>
      </w:pPr>
    </w:p>
    <w:p w14:paraId="3B964D8A">
      <w:pPr>
        <w:snapToGrid w:val="0"/>
        <w:spacing w:before="120" w:beforeLines="50" w:after="50" w:line="400" w:lineRule="exact"/>
        <w:ind w:left="840" w:leftChars="400" w:firstLine="360" w:firstLineChars="150"/>
        <w:rPr>
          <w:rFonts w:ascii="宋体" w:hAnsi="宋体"/>
          <w:bCs/>
          <w:color w:val="auto"/>
          <w:sz w:val="24"/>
          <w:highlight w:val="none"/>
          <w:u w:val="single"/>
        </w:rPr>
      </w:pPr>
      <w:r>
        <w:rPr>
          <w:rFonts w:hint="eastAsia" w:ascii="宋体" w:hAnsi="宋体"/>
          <w:bCs/>
          <w:color w:val="auto"/>
          <w:sz w:val="24"/>
          <w:highlight w:val="none"/>
        </w:rPr>
        <w:t>项目名称：</w:t>
      </w:r>
    </w:p>
    <w:p w14:paraId="0F2D1D76">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项目编号：</w:t>
      </w:r>
    </w:p>
    <w:p w14:paraId="0A09D4F4">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3A7789E4">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20CBF4A3">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59CF9579">
      <w:pPr>
        <w:snapToGrid w:val="0"/>
        <w:spacing w:before="120" w:beforeLines="50" w:after="50" w:line="400" w:lineRule="exact"/>
        <w:rPr>
          <w:rFonts w:ascii="宋体" w:hAnsi="宋体" w:cs="宋体"/>
          <w:color w:val="auto"/>
          <w:sz w:val="24"/>
          <w:highlight w:val="none"/>
        </w:rPr>
      </w:pPr>
    </w:p>
    <w:p w14:paraId="25C75B6D">
      <w:pPr>
        <w:snapToGrid w:val="0"/>
        <w:spacing w:before="120" w:beforeLines="50" w:after="50" w:line="400" w:lineRule="exact"/>
        <w:rPr>
          <w:rFonts w:ascii="宋体" w:hAnsi="宋体" w:cs="宋体"/>
          <w:color w:val="auto"/>
          <w:sz w:val="24"/>
          <w:highlight w:val="none"/>
        </w:rPr>
      </w:pPr>
    </w:p>
    <w:p w14:paraId="2D73E70D">
      <w:pPr>
        <w:snapToGrid w:val="0"/>
        <w:spacing w:before="120" w:beforeLines="50" w:after="50" w:line="400" w:lineRule="exact"/>
        <w:jc w:val="center"/>
        <w:rPr>
          <w:rFonts w:ascii="宋体" w:hAnsi="宋体" w:cs="宋体"/>
          <w:color w:val="auto"/>
          <w:sz w:val="24"/>
          <w:highlight w:val="none"/>
        </w:rPr>
      </w:pPr>
      <w:r>
        <w:rPr>
          <w:rFonts w:hint="eastAsia" w:ascii="宋体" w:hAnsi="宋体" w:cs="宋体"/>
          <w:color w:val="auto"/>
          <w:sz w:val="24"/>
          <w:highlight w:val="none"/>
        </w:rPr>
        <w:t>年月日</w:t>
      </w:r>
    </w:p>
    <w:p w14:paraId="126704AD">
      <w:pPr>
        <w:snapToGrid w:val="0"/>
        <w:spacing w:before="120" w:beforeLines="50" w:after="50" w:line="360" w:lineRule="auto"/>
        <w:jc w:val="left"/>
        <w:outlineLvl w:val="2"/>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5DCCF14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7EF22C6A">
      <w:pPr>
        <w:snapToGrid w:val="0"/>
        <w:spacing w:before="120" w:beforeLines="50" w:after="50"/>
        <w:rPr>
          <w:rFonts w:ascii="宋体" w:hAnsi="宋体" w:cs="宋体"/>
          <w:b/>
          <w:color w:val="auto"/>
          <w:sz w:val="24"/>
          <w:highlight w:val="none"/>
        </w:rPr>
      </w:pPr>
    </w:p>
    <w:p w14:paraId="08AC645D">
      <w:pPr>
        <w:snapToGrid w:val="0"/>
        <w:spacing w:before="120" w:beforeLines="50" w:after="50"/>
        <w:rPr>
          <w:rFonts w:ascii="宋体" w:hAnsi="宋体" w:cs="宋体"/>
          <w:b/>
          <w:color w:val="auto"/>
          <w:sz w:val="24"/>
          <w:highlight w:val="none"/>
        </w:rPr>
      </w:pPr>
    </w:p>
    <w:p w14:paraId="021DC7C8">
      <w:pPr>
        <w:snapToGrid w:val="0"/>
        <w:spacing w:before="120" w:beforeLines="50" w:after="50"/>
        <w:rPr>
          <w:rFonts w:ascii="宋体" w:hAnsi="宋体" w:cs="宋体"/>
          <w:b/>
          <w:color w:val="auto"/>
          <w:sz w:val="24"/>
          <w:highlight w:val="none"/>
        </w:rPr>
      </w:pPr>
    </w:p>
    <w:p w14:paraId="347A8742">
      <w:pPr>
        <w:snapToGrid w:val="0"/>
        <w:spacing w:before="120" w:beforeLines="50" w:after="50"/>
        <w:ind w:left="142"/>
        <w:jc w:val="left"/>
        <w:outlineLvl w:val="2"/>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3.投标函格式：</w:t>
      </w:r>
    </w:p>
    <w:p w14:paraId="387A03AB">
      <w:pPr>
        <w:snapToGrid w:val="0"/>
        <w:spacing w:before="50" w:after="50"/>
        <w:jc w:val="center"/>
        <w:outlineLvl w:val="2"/>
        <w:rPr>
          <w:rFonts w:ascii="宋体" w:hAnsi="宋体" w:cs="宋体"/>
          <w:b/>
          <w:color w:val="auto"/>
          <w:sz w:val="32"/>
          <w:highlight w:val="none"/>
        </w:rPr>
      </w:pPr>
      <w:r>
        <w:rPr>
          <w:rFonts w:hint="eastAsia" w:ascii="宋体" w:hAnsi="宋体" w:cs="宋体"/>
          <w:b/>
          <w:color w:val="auto"/>
          <w:sz w:val="32"/>
          <w:highlight w:val="none"/>
        </w:rPr>
        <w:t>投标函</w:t>
      </w:r>
    </w:p>
    <w:p w14:paraId="12FEDD2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56E2714">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（项目编号：）的招标公告，签字代表（姓名）经正式授权并代表投标人（投标人名称）提交投标文件。</w:t>
      </w:r>
    </w:p>
    <w:p w14:paraId="4830842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42BB702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951BA8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0748A5D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3.本投标有效期自投标截止之日起日。</w:t>
      </w:r>
    </w:p>
    <w:p w14:paraId="5DDA713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486A687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0289758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44294DF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5C6A6C4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6D9FAD3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106455B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p>
    <w:p w14:paraId="747D46AC">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9.与本投标有关的一切正式往来信函请寄：地址：</w:t>
      </w:r>
    </w:p>
    <w:p w14:paraId="7D1548F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邮编：电话：传真：电子邮箱：</w:t>
      </w:r>
    </w:p>
    <w:p w14:paraId="06B80ED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开户行名称：开户银行：银行帐号：</w:t>
      </w:r>
    </w:p>
    <w:p w14:paraId="1939701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13760E8F">
      <w:pPr>
        <w:spacing w:line="360" w:lineRule="auto"/>
        <w:ind w:firstLine="480" w:firstLineChars="200"/>
        <w:contextualSpacing/>
        <w:rPr>
          <w:rFonts w:ascii="宋体" w:hAnsi="宋体" w:cs="宋体"/>
          <w:color w:val="auto"/>
          <w:sz w:val="24"/>
          <w:highlight w:val="none"/>
          <w:u w:val="single"/>
        </w:rPr>
      </w:pPr>
      <w:r>
        <w:rPr>
          <w:rFonts w:hint="eastAsia" w:hAnsi="宋体" w:cs="宋体"/>
          <w:color w:val="auto"/>
          <w:sz w:val="24"/>
          <w:highlight w:val="none"/>
        </w:rPr>
        <w:t>投标人名称（电子签章）：</w:t>
      </w:r>
    </w:p>
    <w:p w14:paraId="473016FE">
      <w:pPr>
        <w:spacing w:line="360" w:lineRule="auto"/>
        <w:ind w:firstLine="480" w:firstLineChars="200"/>
        <w:contextualSpacing/>
        <w:rPr>
          <w:rFonts w:hAnsi="宋体" w:cs="宋体"/>
          <w:color w:val="auto"/>
          <w:sz w:val="24"/>
          <w:highlight w:val="none"/>
        </w:rPr>
      </w:pPr>
      <w:r>
        <w:rPr>
          <w:rFonts w:hint="eastAsia" w:hAnsi="宋体" w:cs="宋体"/>
          <w:color w:val="auto"/>
          <w:sz w:val="24"/>
          <w:highlight w:val="none"/>
        </w:rPr>
        <w:t>日期：年月日</w:t>
      </w:r>
    </w:p>
    <w:p w14:paraId="370F78D8">
      <w:pPr>
        <w:snapToGrid w:val="0"/>
        <w:spacing w:before="120" w:beforeLines="50" w:after="50"/>
        <w:jc w:val="left"/>
        <w:outlineLvl w:val="2"/>
        <w:rPr>
          <w:rFonts w:ascii="宋体" w:hAnsi="宋体" w:cs="宋体"/>
          <w:b/>
          <w:color w:val="auto"/>
          <w:sz w:val="24"/>
          <w:szCs w:val="20"/>
          <w:highlight w:val="none"/>
        </w:rPr>
      </w:pPr>
      <w:r>
        <w:rPr>
          <w:rFonts w:hint="eastAsia" w:ascii="宋体" w:hAnsi="宋体" w:cs="宋体"/>
          <w:color w:val="auto"/>
          <w:highlight w:val="none"/>
          <w:u w:val="single"/>
        </w:rPr>
        <w:br w:type="page"/>
      </w:r>
      <w:bookmarkEnd w:id="176"/>
      <w:bookmarkEnd w:id="177"/>
      <w:r>
        <w:rPr>
          <w:rFonts w:hint="eastAsia" w:ascii="宋体" w:hAnsi="宋体" w:cs="宋体"/>
          <w:b/>
          <w:color w:val="auto"/>
          <w:sz w:val="24"/>
          <w:highlight w:val="none"/>
        </w:rPr>
        <w:t>4.开标一览表</w:t>
      </w:r>
    </w:p>
    <w:p w14:paraId="28264820">
      <w:pPr>
        <w:snapToGrid w:val="0"/>
        <w:spacing w:before="50" w:after="50"/>
        <w:jc w:val="center"/>
        <w:outlineLvl w:val="2"/>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rPr>
        <w:t>开标一览表</w:t>
      </w:r>
      <w:r>
        <w:rPr>
          <w:rFonts w:hint="eastAsia" w:ascii="宋体" w:hAnsi="宋体" w:cs="宋体"/>
          <w:b/>
          <w:color w:val="auto"/>
          <w:sz w:val="32"/>
          <w:highlight w:val="none"/>
          <w:lang w:eastAsia="zh-CN"/>
        </w:rPr>
        <w:t>（</w:t>
      </w:r>
      <w:r>
        <w:rPr>
          <w:rFonts w:hint="eastAsia" w:ascii="宋体" w:hAnsi="宋体" w:cs="宋体"/>
          <w:b/>
          <w:color w:val="auto"/>
          <w:sz w:val="32"/>
          <w:highlight w:val="none"/>
          <w:lang w:val="en-US" w:eastAsia="zh-CN"/>
        </w:rPr>
        <w:t>分标1）</w:t>
      </w:r>
    </w:p>
    <w:p w14:paraId="0F07EAC4">
      <w:pPr>
        <w:pStyle w:val="9"/>
        <w:rPr>
          <w:color w:val="auto"/>
          <w:highlight w:val="none"/>
        </w:rPr>
      </w:pPr>
    </w:p>
    <w:p w14:paraId="0DC27F83">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项目名称：项目编号：</w:t>
      </w:r>
    </w:p>
    <w:p w14:paraId="5304300C">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p>
    <w:tbl>
      <w:tblPr>
        <w:tblStyle w:val="18"/>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18"/>
        <w:gridCol w:w="1417"/>
        <w:gridCol w:w="1276"/>
        <w:gridCol w:w="1417"/>
        <w:gridCol w:w="1985"/>
        <w:gridCol w:w="1115"/>
      </w:tblGrid>
      <w:tr w14:paraId="002B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14937851">
            <w:pPr>
              <w:spacing w:line="400" w:lineRule="exact"/>
              <w:rPr>
                <w:rFonts w:ascii="宋体" w:hAnsi="宋体"/>
                <w:color w:val="auto"/>
                <w:sz w:val="22"/>
                <w:szCs w:val="22"/>
                <w:highlight w:val="none"/>
              </w:rPr>
            </w:pPr>
            <w:r>
              <w:rPr>
                <w:rFonts w:hint="eastAsia" w:ascii="宋体" w:hAnsi="宋体"/>
                <w:color w:val="auto"/>
                <w:sz w:val="22"/>
                <w:szCs w:val="22"/>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521133A1">
            <w:pPr>
              <w:spacing w:line="400" w:lineRule="exact"/>
              <w:rPr>
                <w:rFonts w:ascii="宋体" w:hAnsi="宋体"/>
                <w:color w:val="auto"/>
                <w:sz w:val="22"/>
                <w:szCs w:val="22"/>
                <w:highlight w:val="none"/>
              </w:rPr>
            </w:pPr>
            <w:r>
              <w:rPr>
                <w:rFonts w:hint="eastAsia" w:ascii="宋体" w:hAnsi="宋体"/>
                <w:color w:val="auto"/>
                <w:sz w:val="22"/>
                <w:szCs w:val="22"/>
                <w:highlight w:val="none"/>
              </w:rPr>
              <w:t>标的名称</w:t>
            </w:r>
          </w:p>
        </w:tc>
        <w:tc>
          <w:tcPr>
            <w:tcW w:w="1417" w:type="dxa"/>
            <w:tcBorders>
              <w:top w:val="single" w:color="auto" w:sz="4" w:space="0"/>
              <w:left w:val="single" w:color="auto" w:sz="4" w:space="0"/>
              <w:bottom w:val="single" w:color="auto" w:sz="4" w:space="0"/>
              <w:right w:val="single" w:color="auto" w:sz="4" w:space="0"/>
            </w:tcBorders>
            <w:vAlign w:val="center"/>
          </w:tcPr>
          <w:p w14:paraId="50817397">
            <w:pPr>
              <w:spacing w:line="400" w:lineRule="exact"/>
              <w:rPr>
                <w:rFonts w:ascii="宋体" w:hAnsi="宋体"/>
                <w:color w:val="auto"/>
                <w:sz w:val="22"/>
                <w:szCs w:val="22"/>
                <w:highlight w:val="none"/>
              </w:rPr>
            </w:pPr>
            <w:r>
              <w:rPr>
                <w:rFonts w:hint="eastAsia" w:ascii="宋体" w:hAnsi="宋体"/>
                <w:color w:val="auto"/>
                <w:sz w:val="22"/>
                <w:szCs w:val="22"/>
                <w:highlight w:val="none"/>
              </w:rPr>
              <w:t>服务内容</w:t>
            </w:r>
          </w:p>
        </w:tc>
        <w:tc>
          <w:tcPr>
            <w:tcW w:w="1276" w:type="dxa"/>
            <w:tcBorders>
              <w:top w:val="single" w:color="auto" w:sz="4" w:space="0"/>
              <w:left w:val="single" w:color="auto" w:sz="4" w:space="0"/>
              <w:bottom w:val="single" w:color="auto" w:sz="4" w:space="0"/>
              <w:right w:val="single" w:color="auto" w:sz="4" w:space="0"/>
            </w:tcBorders>
            <w:vAlign w:val="center"/>
          </w:tcPr>
          <w:p w14:paraId="70F5E0F4">
            <w:pPr>
              <w:spacing w:line="400" w:lineRule="exact"/>
              <w:rPr>
                <w:rFonts w:ascii="宋体" w:hAnsi="宋体"/>
                <w:color w:val="auto"/>
                <w:sz w:val="22"/>
                <w:szCs w:val="22"/>
                <w:highlight w:val="none"/>
              </w:rPr>
            </w:pPr>
            <w:r>
              <w:rPr>
                <w:rFonts w:hint="eastAsia" w:ascii="宋体" w:hAnsi="宋体"/>
                <w:color w:val="auto"/>
                <w:sz w:val="22"/>
                <w:szCs w:val="22"/>
                <w:highlight w:val="none"/>
              </w:rPr>
              <w:t>数量</w:t>
            </w:r>
            <w:r>
              <w:rPr>
                <w:rFonts w:ascii="宋体" w:hAnsi="宋体"/>
                <w:color w:val="auto"/>
                <w:sz w:val="22"/>
                <w:szCs w:val="22"/>
                <w:highlight w:val="none"/>
              </w:rPr>
              <w:t>①</w:t>
            </w:r>
          </w:p>
        </w:tc>
        <w:tc>
          <w:tcPr>
            <w:tcW w:w="1417" w:type="dxa"/>
            <w:tcBorders>
              <w:top w:val="single" w:color="auto" w:sz="4" w:space="0"/>
              <w:left w:val="single" w:color="auto" w:sz="4" w:space="0"/>
              <w:bottom w:val="single" w:color="auto" w:sz="4" w:space="0"/>
              <w:right w:val="single" w:color="auto" w:sz="4" w:space="0"/>
            </w:tcBorders>
            <w:vAlign w:val="center"/>
          </w:tcPr>
          <w:p w14:paraId="5282B958">
            <w:pPr>
              <w:spacing w:line="400" w:lineRule="exact"/>
              <w:rPr>
                <w:rFonts w:ascii="宋体" w:hAnsi="宋体"/>
                <w:color w:val="auto"/>
                <w:sz w:val="22"/>
                <w:szCs w:val="22"/>
                <w:highlight w:val="none"/>
              </w:rPr>
            </w:pPr>
            <w:r>
              <w:rPr>
                <w:rFonts w:hint="eastAsia" w:ascii="宋体" w:hAnsi="宋体"/>
                <w:color w:val="auto"/>
                <w:sz w:val="22"/>
                <w:szCs w:val="22"/>
                <w:highlight w:val="none"/>
              </w:rPr>
              <w:t>单价</w:t>
            </w:r>
            <w:r>
              <w:rPr>
                <w:rFonts w:ascii="宋体" w:hAnsi="宋体"/>
                <w:color w:val="auto"/>
                <w:sz w:val="22"/>
                <w:szCs w:val="22"/>
                <w:highlight w:val="none"/>
              </w:rPr>
              <w:t>(</w:t>
            </w:r>
            <w:r>
              <w:rPr>
                <w:rFonts w:hint="eastAsia" w:ascii="宋体" w:hAnsi="宋体"/>
                <w:color w:val="auto"/>
                <w:sz w:val="22"/>
                <w:szCs w:val="22"/>
                <w:highlight w:val="none"/>
              </w:rPr>
              <w:t>元</w:t>
            </w:r>
            <w:r>
              <w:rPr>
                <w:rFonts w:ascii="宋体" w:hAnsi="宋体"/>
                <w:color w:val="auto"/>
                <w:sz w:val="22"/>
                <w:szCs w:val="22"/>
                <w:highlight w:val="none"/>
              </w:rPr>
              <w:t>)②</w:t>
            </w:r>
          </w:p>
        </w:tc>
        <w:tc>
          <w:tcPr>
            <w:tcW w:w="1985" w:type="dxa"/>
            <w:tcBorders>
              <w:top w:val="single" w:color="auto" w:sz="4" w:space="0"/>
              <w:left w:val="single" w:color="auto" w:sz="4" w:space="0"/>
              <w:bottom w:val="single" w:color="auto" w:sz="4" w:space="0"/>
              <w:right w:val="single" w:color="auto" w:sz="4" w:space="0"/>
            </w:tcBorders>
            <w:vAlign w:val="center"/>
          </w:tcPr>
          <w:p w14:paraId="4660D97D">
            <w:pPr>
              <w:spacing w:line="400" w:lineRule="exact"/>
              <w:rPr>
                <w:rFonts w:ascii="宋体" w:hAnsi="宋体"/>
                <w:color w:val="auto"/>
                <w:sz w:val="22"/>
                <w:szCs w:val="22"/>
                <w:highlight w:val="none"/>
              </w:rPr>
            </w:pPr>
            <w:r>
              <w:rPr>
                <w:rFonts w:hint="eastAsia" w:ascii="宋体" w:hAnsi="宋体"/>
                <w:color w:val="auto"/>
                <w:sz w:val="22"/>
                <w:szCs w:val="22"/>
                <w:highlight w:val="none"/>
              </w:rPr>
              <w:t>单项合价（元）</w:t>
            </w:r>
          </w:p>
          <w:p w14:paraId="6EC7AFBD">
            <w:pPr>
              <w:spacing w:line="400" w:lineRule="exact"/>
              <w:rPr>
                <w:rFonts w:ascii="宋体" w:hAnsi="宋体"/>
                <w:color w:val="auto"/>
                <w:sz w:val="22"/>
                <w:szCs w:val="22"/>
                <w:highlight w:val="none"/>
              </w:rPr>
            </w:pPr>
            <w:r>
              <w:rPr>
                <w:rFonts w:ascii="宋体" w:hAnsi="宋体"/>
                <w:color w:val="auto"/>
                <w:sz w:val="22"/>
                <w:szCs w:val="22"/>
                <w:highlight w:val="none"/>
              </w:rPr>
              <w:t>③</w:t>
            </w:r>
            <w:r>
              <w:rPr>
                <w:rFonts w:hint="eastAsia" w:ascii="宋体" w:hAnsi="宋体"/>
                <w:color w:val="auto"/>
                <w:sz w:val="22"/>
                <w:szCs w:val="22"/>
                <w:highlight w:val="none"/>
              </w:rPr>
              <w:t>＝</w:t>
            </w:r>
            <w:r>
              <w:rPr>
                <w:rFonts w:ascii="宋体" w:hAnsi="宋体"/>
                <w:color w:val="auto"/>
                <w:sz w:val="22"/>
                <w:szCs w:val="22"/>
                <w:highlight w:val="none"/>
              </w:rPr>
              <w:t>①×②</w:t>
            </w:r>
          </w:p>
        </w:tc>
        <w:tc>
          <w:tcPr>
            <w:tcW w:w="1115" w:type="dxa"/>
            <w:tcBorders>
              <w:top w:val="single" w:color="auto" w:sz="4" w:space="0"/>
              <w:left w:val="single" w:color="auto" w:sz="4" w:space="0"/>
              <w:bottom w:val="single" w:color="auto" w:sz="4" w:space="0"/>
              <w:right w:val="single" w:color="auto" w:sz="4" w:space="0"/>
            </w:tcBorders>
            <w:vAlign w:val="center"/>
          </w:tcPr>
          <w:p w14:paraId="5AB71D31">
            <w:pPr>
              <w:spacing w:line="400" w:lineRule="exact"/>
              <w:rPr>
                <w:rFonts w:ascii="宋体" w:hAnsi="宋体"/>
                <w:color w:val="auto"/>
                <w:sz w:val="22"/>
                <w:szCs w:val="22"/>
                <w:highlight w:val="none"/>
              </w:rPr>
            </w:pPr>
            <w:r>
              <w:rPr>
                <w:rFonts w:hint="eastAsia" w:ascii="宋体" w:hAnsi="宋体"/>
                <w:color w:val="auto"/>
                <w:sz w:val="22"/>
                <w:szCs w:val="22"/>
                <w:highlight w:val="none"/>
              </w:rPr>
              <w:t>备注</w:t>
            </w:r>
          </w:p>
        </w:tc>
      </w:tr>
      <w:tr w14:paraId="361B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678CCE98">
            <w:pPr>
              <w:spacing w:line="400" w:lineRule="exact"/>
              <w:rPr>
                <w:rFonts w:ascii="宋体" w:hAnsi="宋体"/>
                <w:color w:val="auto"/>
                <w:sz w:val="22"/>
                <w:szCs w:val="22"/>
                <w:highlight w:val="none"/>
              </w:rPr>
            </w:pPr>
            <w:r>
              <w:rPr>
                <w:rFonts w:ascii="宋体" w:hAnsi="宋体"/>
                <w:color w:val="auto"/>
                <w:sz w:val="22"/>
                <w:szCs w:val="22"/>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1FF21A73">
            <w:pPr>
              <w:spacing w:line="400" w:lineRule="exact"/>
              <w:rPr>
                <w:rFonts w:ascii="宋体" w:hAnsi="宋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F5A707C">
            <w:pPr>
              <w:spacing w:line="400" w:lineRule="exact"/>
              <w:rPr>
                <w:rFonts w:ascii="宋体" w:hAnsi="宋体"/>
                <w:color w:val="auto"/>
                <w:sz w:val="22"/>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69355CE">
            <w:pPr>
              <w:spacing w:line="400" w:lineRule="exact"/>
              <w:rPr>
                <w:rFonts w:ascii="宋体" w:hAnsi="宋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007002C">
            <w:pPr>
              <w:spacing w:line="400" w:lineRule="exact"/>
              <w:rPr>
                <w:rFonts w:ascii="宋体" w:hAnsi="宋体"/>
                <w:color w:val="auto"/>
                <w:sz w:val="22"/>
                <w:szCs w:val="2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67547E1E">
            <w:pPr>
              <w:spacing w:line="400" w:lineRule="exact"/>
              <w:rPr>
                <w:rFonts w:ascii="宋体" w:hAnsi="宋体"/>
                <w:color w:val="auto"/>
                <w:sz w:val="22"/>
                <w:szCs w:val="22"/>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14:paraId="0E3F9F19">
            <w:pPr>
              <w:spacing w:line="400" w:lineRule="exact"/>
              <w:rPr>
                <w:rFonts w:ascii="宋体" w:hAnsi="宋体"/>
                <w:color w:val="auto"/>
                <w:sz w:val="22"/>
                <w:szCs w:val="22"/>
                <w:highlight w:val="none"/>
              </w:rPr>
            </w:pPr>
          </w:p>
        </w:tc>
      </w:tr>
      <w:tr w14:paraId="6CDC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3767F05A">
            <w:pPr>
              <w:spacing w:line="400" w:lineRule="exact"/>
              <w:rPr>
                <w:rFonts w:ascii="宋体" w:hAnsi="宋体"/>
                <w:color w:val="auto"/>
                <w:sz w:val="22"/>
                <w:szCs w:val="22"/>
                <w:highlight w:val="none"/>
              </w:rPr>
            </w:pPr>
            <w:r>
              <w:rPr>
                <w:rFonts w:hint="eastAsia" w:ascii="宋体" w:hAnsi="宋体"/>
                <w:color w:val="auto"/>
                <w:sz w:val="22"/>
                <w:szCs w:val="22"/>
                <w:highlight w:val="none"/>
              </w:rPr>
              <w:t>2</w:t>
            </w:r>
          </w:p>
        </w:tc>
        <w:tc>
          <w:tcPr>
            <w:tcW w:w="1418" w:type="dxa"/>
            <w:tcBorders>
              <w:top w:val="single" w:color="auto" w:sz="4" w:space="0"/>
              <w:left w:val="single" w:color="auto" w:sz="4" w:space="0"/>
              <w:bottom w:val="single" w:color="auto" w:sz="4" w:space="0"/>
              <w:right w:val="single" w:color="auto" w:sz="4" w:space="0"/>
            </w:tcBorders>
            <w:vAlign w:val="center"/>
          </w:tcPr>
          <w:p w14:paraId="528FE74B">
            <w:pPr>
              <w:spacing w:line="400" w:lineRule="exact"/>
              <w:rPr>
                <w:rFonts w:ascii="宋体" w:hAnsi="宋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AC70FF6">
            <w:pPr>
              <w:spacing w:line="400" w:lineRule="exact"/>
              <w:rPr>
                <w:rFonts w:ascii="宋体" w:hAnsi="宋体"/>
                <w:color w:val="auto"/>
                <w:sz w:val="22"/>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E0366D8">
            <w:pPr>
              <w:spacing w:line="400" w:lineRule="exact"/>
              <w:rPr>
                <w:rFonts w:ascii="宋体" w:hAnsi="宋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0239F4">
            <w:pPr>
              <w:spacing w:line="400" w:lineRule="exact"/>
              <w:rPr>
                <w:rFonts w:ascii="宋体" w:hAnsi="宋体"/>
                <w:color w:val="auto"/>
                <w:sz w:val="22"/>
                <w:szCs w:val="2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019F1724">
            <w:pPr>
              <w:spacing w:line="400" w:lineRule="exact"/>
              <w:rPr>
                <w:rFonts w:ascii="宋体" w:hAnsi="宋体"/>
                <w:color w:val="auto"/>
                <w:sz w:val="22"/>
                <w:szCs w:val="22"/>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14:paraId="078A0124">
            <w:pPr>
              <w:spacing w:line="400" w:lineRule="exact"/>
              <w:rPr>
                <w:rFonts w:ascii="宋体" w:hAnsi="宋体"/>
                <w:color w:val="auto"/>
                <w:sz w:val="22"/>
                <w:szCs w:val="22"/>
                <w:highlight w:val="none"/>
              </w:rPr>
            </w:pPr>
          </w:p>
        </w:tc>
      </w:tr>
      <w:tr w14:paraId="0F38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14:paraId="120482A7">
            <w:pPr>
              <w:spacing w:line="400" w:lineRule="exact"/>
              <w:rPr>
                <w:rFonts w:ascii="宋体" w:hAnsi="宋体"/>
                <w:color w:val="auto"/>
                <w:sz w:val="22"/>
                <w:szCs w:val="22"/>
                <w:highlight w:val="none"/>
              </w:rPr>
            </w:pPr>
            <w:r>
              <w:rPr>
                <w:rFonts w:ascii="宋体" w:hAnsi="宋体"/>
                <w:color w:val="auto"/>
                <w:sz w:val="22"/>
                <w:szCs w:val="22"/>
                <w:highlight w:val="none"/>
              </w:rPr>
              <w:t>…</w:t>
            </w:r>
          </w:p>
        </w:tc>
        <w:tc>
          <w:tcPr>
            <w:tcW w:w="1418" w:type="dxa"/>
            <w:tcBorders>
              <w:top w:val="single" w:color="auto" w:sz="4" w:space="0"/>
              <w:left w:val="single" w:color="auto" w:sz="4" w:space="0"/>
              <w:bottom w:val="single" w:color="auto" w:sz="4" w:space="0"/>
              <w:right w:val="single" w:color="auto" w:sz="4" w:space="0"/>
            </w:tcBorders>
            <w:vAlign w:val="center"/>
          </w:tcPr>
          <w:p w14:paraId="155D4757">
            <w:pPr>
              <w:spacing w:line="400" w:lineRule="exact"/>
              <w:rPr>
                <w:rFonts w:ascii="宋体" w:hAnsi="宋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FB72EDC">
            <w:pPr>
              <w:spacing w:line="400" w:lineRule="exact"/>
              <w:rPr>
                <w:rFonts w:ascii="宋体" w:hAnsi="宋体"/>
                <w:color w:val="auto"/>
                <w:sz w:val="22"/>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846C8D9">
            <w:pPr>
              <w:spacing w:line="400" w:lineRule="exact"/>
              <w:rPr>
                <w:rFonts w:ascii="宋体" w:hAnsi="宋体"/>
                <w:color w:val="auto"/>
                <w:sz w:val="22"/>
                <w:szCs w:val="22"/>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A2BC729">
            <w:pPr>
              <w:spacing w:line="400" w:lineRule="exact"/>
              <w:rPr>
                <w:rFonts w:ascii="宋体" w:hAnsi="宋体"/>
                <w:color w:val="auto"/>
                <w:sz w:val="22"/>
                <w:szCs w:val="22"/>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1FB2B936">
            <w:pPr>
              <w:spacing w:line="400" w:lineRule="exact"/>
              <w:rPr>
                <w:rFonts w:ascii="宋体" w:hAnsi="宋体"/>
                <w:color w:val="auto"/>
                <w:sz w:val="22"/>
                <w:szCs w:val="22"/>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14:paraId="18D2392B">
            <w:pPr>
              <w:spacing w:line="400" w:lineRule="exact"/>
              <w:rPr>
                <w:rFonts w:ascii="宋体" w:hAnsi="宋体"/>
                <w:color w:val="auto"/>
                <w:sz w:val="22"/>
                <w:szCs w:val="22"/>
                <w:highlight w:val="none"/>
              </w:rPr>
            </w:pPr>
          </w:p>
        </w:tc>
      </w:tr>
      <w:tr w14:paraId="0C81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376" w:type="dxa"/>
            <w:gridSpan w:val="7"/>
            <w:tcBorders>
              <w:top w:val="single" w:color="auto" w:sz="4" w:space="0"/>
              <w:left w:val="single" w:color="auto" w:sz="4" w:space="0"/>
              <w:bottom w:val="single" w:color="auto" w:sz="4" w:space="0"/>
              <w:right w:val="single" w:color="auto" w:sz="4" w:space="0"/>
            </w:tcBorders>
            <w:vAlign w:val="center"/>
          </w:tcPr>
          <w:p w14:paraId="3653337E">
            <w:pPr>
              <w:spacing w:line="400" w:lineRule="exact"/>
              <w:rPr>
                <w:rFonts w:ascii="宋体" w:hAnsi="宋体"/>
                <w:color w:val="auto"/>
                <w:sz w:val="22"/>
                <w:szCs w:val="22"/>
                <w:highlight w:val="none"/>
              </w:rPr>
            </w:pPr>
            <w:r>
              <w:rPr>
                <w:rFonts w:hint="eastAsia" w:ascii="宋体" w:hAnsi="宋体"/>
                <w:color w:val="auto"/>
                <w:sz w:val="22"/>
                <w:szCs w:val="22"/>
                <w:highlight w:val="none"/>
              </w:rPr>
              <w:t>报价合计（包含税费等所有费用）：（大写）（￥元）</w:t>
            </w:r>
          </w:p>
        </w:tc>
      </w:tr>
      <w:tr w14:paraId="1B9D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376" w:type="dxa"/>
            <w:gridSpan w:val="7"/>
            <w:tcBorders>
              <w:top w:val="single" w:color="auto" w:sz="4" w:space="0"/>
              <w:left w:val="single" w:color="auto" w:sz="4" w:space="0"/>
              <w:bottom w:val="single" w:color="auto" w:sz="4" w:space="0"/>
              <w:right w:val="single" w:color="auto" w:sz="4" w:space="0"/>
            </w:tcBorders>
            <w:vAlign w:val="center"/>
          </w:tcPr>
          <w:p w14:paraId="6D25F12F">
            <w:pPr>
              <w:spacing w:line="400" w:lineRule="exact"/>
              <w:rPr>
                <w:rFonts w:ascii="宋体" w:hAnsi="宋体"/>
                <w:color w:val="auto"/>
                <w:sz w:val="22"/>
                <w:szCs w:val="22"/>
                <w:highlight w:val="none"/>
              </w:rPr>
            </w:pPr>
            <w:r>
              <w:rPr>
                <w:rFonts w:hint="eastAsia" w:ascii="宋体" w:hAnsi="宋体"/>
                <w:color w:val="auto"/>
                <w:sz w:val="22"/>
                <w:szCs w:val="22"/>
                <w:highlight w:val="none"/>
                <w:lang w:eastAsia="zh-CN"/>
              </w:rPr>
              <w:t>服务期限</w:t>
            </w:r>
            <w:r>
              <w:rPr>
                <w:rFonts w:hint="eastAsia" w:ascii="宋体" w:hAnsi="宋体"/>
                <w:color w:val="auto"/>
                <w:sz w:val="22"/>
                <w:szCs w:val="22"/>
                <w:highlight w:val="none"/>
              </w:rPr>
              <w:t xml:space="preserve">： </w:t>
            </w:r>
          </w:p>
        </w:tc>
      </w:tr>
      <w:tr w14:paraId="187A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376" w:type="dxa"/>
            <w:gridSpan w:val="7"/>
            <w:tcBorders>
              <w:top w:val="single" w:color="auto" w:sz="4" w:space="0"/>
              <w:left w:val="single" w:color="auto" w:sz="4" w:space="0"/>
              <w:bottom w:val="single" w:color="auto" w:sz="4" w:space="0"/>
              <w:right w:val="single" w:color="auto" w:sz="4" w:space="0"/>
            </w:tcBorders>
            <w:vAlign w:val="center"/>
          </w:tcPr>
          <w:p w14:paraId="09DF36FA">
            <w:pPr>
              <w:spacing w:line="400" w:lineRule="exact"/>
              <w:rPr>
                <w:rFonts w:ascii="宋体" w:hAnsi="宋体"/>
                <w:color w:val="auto"/>
                <w:sz w:val="22"/>
                <w:szCs w:val="22"/>
                <w:highlight w:val="none"/>
              </w:rPr>
            </w:pPr>
            <w:r>
              <w:rPr>
                <w:rFonts w:hint="eastAsia" w:ascii="宋体" w:hAnsi="宋体"/>
                <w:color w:val="auto"/>
                <w:sz w:val="22"/>
                <w:szCs w:val="22"/>
                <w:highlight w:val="none"/>
                <w:lang w:eastAsia="zh-CN"/>
              </w:rPr>
              <w:t>服务</w:t>
            </w:r>
            <w:r>
              <w:rPr>
                <w:rFonts w:hint="eastAsia" w:ascii="宋体" w:hAnsi="宋体"/>
                <w:color w:val="auto"/>
                <w:sz w:val="22"/>
                <w:szCs w:val="22"/>
                <w:highlight w:val="none"/>
              </w:rPr>
              <w:t xml:space="preserve">地点： </w:t>
            </w:r>
          </w:p>
        </w:tc>
      </w:tr>
    </w:tbl>
    <w:p w14:paraId="4100460B">
      <w:pPr>
        <w:snapToGrid w:val="0"/>
        <w:spacing w:line="420" w:lineRule="exact"/>
        <w:jc w:val="left"/>
        <w:rPr>
          <w:rFonts w:ascii="宋体" w:hAnsi="宋体" w:cs="仿宋_GB2312"/>
          <w:color w:val="auto"/>
          <w:kern w:val="0"/>
          <w:sz w:val="22"/>
          <w:szCs w:val="22"/>
          <w:highlight w:val="none"/>
          <w:lang w:val="zh-CN"/>
        </w:rPr>
      </w:pPr>
      <w:r>
        <w:rPr>
          <w:rFonts w:hint="eastAsia" w:ascii="宋体" w:hAnsi="宋体" w:cs="仿宋_GB2312"/>
          <w:color w:val="auto"/>
          <w:kern w:val="0"/>
          <w:sz w:val="22"/>
          <w:szCs w:val="22"/>
          <w:highlight w:val="none"/>
          <w:lang w:val="zh-CN"/>
        </w:rPr>
        <w:t>注： 1、投标人需按本表格式填写，不得自行更改，也不得留空, 如有多分标，按分标分别提供开标一览表，必须加盖投标人有效电子公章，</w:t>
      </w:r>
      <w:r>
        <w:rPr>
          <w:rFonts w:hint="eastAsia" w:ascii="宋体" w:hAnsi="宋体" w:cs="仿宋_GB2312"/>
          <w:b/>
          <w:color w:val="auto"/>
          <w:kern w:val="0"/>
          <w:sz w:val="22"/>
          <w:szCs w:val="22"/>
          <w:highlight w:val="none"/>
          <w:lang w:val="zh-CN"/>
        </w:rPr>
        <w:t>否则其投标作无效标处理。</w:t>
      </w:r>
    </w:p>
    <w:p w14:paraId="13A166B0">
      <w:pPr>
        <w:snapToGrid w:val="0"/>
        <w:spacing w:line="420" w:lineRule="exact"/>
        <w:ind w:firstLine="440" w:firstLineChars="200"/>
        <w:jc w:val="left"/>
        <w:rPr>
          <w:rFonts w:ascii="宋体" w:hAnsi="宋体" w:cs="仿宋_GB2312"/>
          <w:color w:val="auto"/>
          <w:kern w:val="0"/>
          <w:sz w:val="22"/>
          <w:szCs w:val="22"/>
          <w:highlight w:val="none"/>
          <w:lang w:val="zh-CN"/>
        </w:rPr>
      </w:pPr>
      <w:r>
        <w:rPr>
          <w:rFonts w:hint="eastAsia" w:ascii="宋体" w:hAnsi="宋体" w:cs="仿宋_GB2312"/>
          <w:color w:val="auto"/>
          <w:kern w:val="0"/>
          <w:sz w:val="22"/>
          <w:szCs w:val="22"/>
          <w:highlight w:val="none"/>
          <w:lang w:val="zh-CN"/>
        </w:rPr>
        <w:t>2、本表内容均不能涂改，</w:t>
      </w:r>
      <w:r>
        <w:rPr>
          <w:rFonts w:hint="eastAsia" w:ascii="宋体" w:hAnsi="宋体" w:cs="仿宋_GB2312"/>
          <w:b/>
          <w:color w:val="auto"/>
          <w:kern w:val="0"/>
          <w:sz w:val="22"/>
          <w:szCs w:val="22"/>
          <w:highlight w:val="none"/>
          <w:lang w:val="zh-CN"/>
        </w:rPr>
        <w:t>否则其投标作无效标处理。</w:t>
      </w:r>
    </w:p>
    <w:p w14:paraId="76E1DA0D">
      <w:pPr>
        <w:snapToGrid w:val="0"/>
        <w:spacing w:line="420" w:lineRule="exact"/>
        <w:ind w:firstLine="440" w:firstLineChars="200"/>
        <w:jc w:val="left"/>
        <w:rPr>
          <w:rFonts w:ascii="宋体" w:hAnsi="宋体" w:cs="仿宋_GB2312"/>
          <w:b/>
          <w:color w:val="auto"/>
          <w:kern w:val="0"/>
          <w:sz w:val="22"/>
          <w:szCs w:val="22"/>
          <w:highlight w:val="none"/>
          <w:lang w:val="zh-CN"/>
        </w:rPr>
      </w:pPr>
      <w:r>
        <w:rPr>
          <w:rFonts w:hint="eastAsia" w:ascii="宋体" w:hAnsi="宋体" w:cs="仿宋_GB2312"/>
          <w:color w:val="auto"/>
          <w:kern w:val="0"/>
          <w:sz w:val="22"/>
          <w:szCs w:val="22"/>
          <w:highlight w:val="none"/>
          <w:lang w:val="zh-CN"/>
        </w:rPr>
        <w:t>3、如为联合体投标，“投标人名称”处必须列明联合体各方名称，并标注联合体牵头人名称，且盖章处须加盖联合体各方公章，</w:t>
      </w:r>
      <w:r>
        <w:rPr>
          <w:rFonts w:hint="eastAsia" w:ascii="宋体" w:hAnsi="宋体" w:cs="仿宋_GB2312"/>
          <w:b/>
          <w:color w:val="auto"/>
          <w:kern w:val="0"/>
          <w:sz w:val="22"/>
          <w:szCs w:val="22"/>
          <w:highlight w:val="none"/>
          <w:lang w:val="zh-CN"/>
        </w:rPr>
        <w:t>否则其投标作无效标处理。</w:t>
      </w:r>
    </w:p>
    <w:p w14:paraId="4CB44576">
      <w:pPr>
        <w:snapToGrid w:val="0"/>
        <w:spacing w:line="420" w:lineRule="exact"/>
        <w:ind w:firstLine="440" w:firstLineChars="200"/>
        <w:jc w:val="left"/>
        <w:rPr>
          <w:rFonts w:ascii="宋体" w:hAnsi="宋体" w:cs="仿宋_GB2312"/>
          <w:color w:val="auto"/>
          <w:kern w:val="0"/>
          <w:sz w:val="22"/>
          <w:szCs w:val="22"/>
          <w:highlight w:val="none"/>
          <w:lang w:val="zh-CN"/>
        </w:rPr>
      </w:pPr>
      <w:r>
        <w:rPr>
          <w:rFonts w:hint="eastAsia" w:ascii="宋体" w:hAnsi="宋体" w:cs="仿宋_GB2312"/>
          <w:color w:val="auto"/>
          <w:kern w:val="0"/>
          <w:sz w:val="22"/>
          <w:szCs w:val="22"/>
          <w:highlight w:val="none"/>
          <w:lang w:val="zh-CN"/>
        </w:rPr>
        <w:t>4、以上表格要求细分项目及报价，在“具体服务内容”一栏中，填写具体服务，</w:t>
      </w:r>
      <w:r>
        <w:rPr>
          <w:rFonts w:hint="eastAsia" w:ascii="宋体" w:hAnsi="宋体" w:cs="仿宋_GB2312"/>
          <w:b/>
          <w:color w:val="auto"/>
          <w:kern w:val="0"/>
          <w:sz w:val="22"/>
          <w:szCs w:val="22"/>
          <w:highlight w:val="none"/>
          <w:lang w:val="zh-CN"/>
        </w:rPr>
        <w:t>否则其投标作无效标处理</w:t>
      </w:r>
      <w:r>
        <w:rPr>
          <w:rFonts w:hint="eastAsia" w:ascii="宋体" w:hAnsi="宋体" w:cs="仿宋_GB2312"/>
          <w:color w:val="auto"/>
          <w:kern w:val="0"/>
          <w:sz w:val="22"/>
          <w:szCs w:val="22"/>
          <w:highlight w:val="none"/>
          <w:lang w:val="zh-CN"/>
        </w:rPr>
        <w:t>。</w:t>
      </w:r>
    </w:p>
    <w:p w14:paraId="7F8112C5">
      <w:pPr>
        <w:snapToGrid w:val="0"/>
        <w:spacing w:line="420" w:lineRule="exact"/>
        <w:ind w:firstLine="440" w:firstLineChars="200"/>
        <w:jc w:val="left"/>
        <w:rPr>
          <w:rFonts w:ascii="宋体" w:hAnsi="宋体" w:cs="仿宋_GB2312"/>
          <w:color w:val="auto"/>
          <w:kern w:val="0"/>
          <w:sz w:val="22"/>
          <w:szCs w:val="22"/>
          <w:highlight w:val="none"/>
          <w:lang w:val="zh-CN"/>
        </w:rPr>
      </w:pPr>
      <w:r>
        <w:rPr>
          <w:rFonts w:hint="eastAsia" w:ascii="宋体" w:hAnsi="宋体" w:cs="仿宋_GB2312"/>
          <w:color w:val="auto"/>
          <w:kern w:val="0"/>
          <w:sz w:val="22"/>
          <w:szCs w:val="22"/>
          <w:highlight w:val="none"/>
          <w:lang w:val="zh-CN"/>
        </w:rPr>
        <w:t>5、符合招标文件中列明的可享受中小企业扶持政策的投标人，请填写中小企业声明函。注：投标人</w:t>
      </w:r>
      <w:r>
        <w:rPr>
          <w:rFonts w:ascii="宋体" w:hAnsi="宋体" w:cs="仿宋_GB2312"/>
          <w:color w:val="auto"/>
          <w:kern w:val="0"/>
          <w:sz w:val="22"/>
          <w:szCs w:val="22"/>
          <w:highlight w:val="none"/>
          <w:lang w:val="zh-CN"/>
        </w:rPr>
        <w:t>提供</w:t>
      </w:r>
      <w:r>
        <w:rPr>
          <w:rFonts w:hint="eastAsia" w:ascii="宋体" w:hAnsi="宋体" w:cs="仿宋_GB2312"/>
          <w:color w:val="auto"/>
          <w:kern w:val="0"/>
          <w:sz w:val="22"/>
          <w:szCs w:val="22"/>
          <w:highlight w:val="none"/>
          <w:lang w:val="zh-CN"/>
        </w:rPr>
        <w:t>的中小企业</w:t>
      </w:r>
      <w:r>
        <w:rPr>
          <w:rFonts w:ascii="宋体" w:hAnsi="宋体" w:cs="仿宋_GB2312"/>
          <w:color w:val="auto"/>
          <w:kern w:val="0"/>
          <w:sz w:val="22"/>
          <w:szCs w:val="22"/>
          <w:highlight w:val="none"/>
          <w:lang w:val="zh-CN"/>
        </w:rPr>
        <w:t>声明函内容不实的，属于提供虚假材料谋取中标、成交，依照《中华人民共和国政府采购法》等国家有关规定追究相应责任。</w:t>
      </w:r>
    </w:p>
    <w:p w14:paraId="057CAAFA">
      <w:pPr>
        <w:spacing w:line="360" w:lineRule="auto"/>
        <w:ind w:firstLine="440" w:firstLineChars="200"/>
        <w:contextualSpacing/>
        <w:rPr>
          <w:rFonts w:ascii="宋体" w:hAnsi="宋体" w:cs="宋体"/>
          <w:color w:val="auto"/>
          <w:sz w:val="22"/>
          <w:highlight w:val="none"/>
        </w:rPr>
      </w:pPr>
    </w:p>
    <w:p w14:paraId="59524DAC">
      <w:pPr>
        <w:spacing w:line="360" w:lineRule="auto"/>
        <w:ind w:firstLine="440" w:firstLineChars="200"/>
        <w:contextualSpacing/>
        <w:rPr>
          <w:rFonts w:ascii="宋体" w:hAnsi="宋体" w:cs="宋体"/>
          <w:color w:val="auto"/>
          <w:sz w:val="22"/>
          <w:highlight w:val="none"/>
        </w:rPr>
      </w:pPr>
      <w:r>
        <w:rPr>
          <w:rFonts w:hint="eastAsia" w:ascii="宋体" w:hAnsi="宋体" w:cs="宋体"/>
          <w:color w:val="auto"/>
          <w:sz w:val="22"/>
          <w:highlight w:val="none"/>
        </w:rPr>
        <w:t>法定代表人或者委托代理人（签字或者电子签名）：</w:t>
      </w:r>
    </w:p>
    <w:p w14:paraId="047C534C">
      <w:pPr>
        <w:spacing w:line="360" w:lineRule="auto"/>
        <w:ind w:firstLine="440" w:firstLineChars="200"/>
        <w:contextualSpacing/>
        <w:rPr>
          <w:rFonts w:ascii="宋体" w:hAnsi="宋体" w:cs="宋体"/>
          <w:color w:val="auto"/>
          <w:sz w:val="22"/>
          <w:highlight w:val="none"/>
          <w:u w:val="single"/>
        </w:rPr>
      </w:pPr>
      <w:r>
        <w:rPr>
          <w:rFonts w:hint="eastAsia" w:hAnsi="宋体" w:cs="宋体"/>
          <w:color w:val="auto"/>
          <w:sz w:val="22"/>
          <w:highlight w:val="none"/>
        </w:rPr>
        <w:t>投标人名称（电子签章）：</w:t>
      </w:r>
    </w:p>
    <w:p w14:paraId="31A2EF28">
      <w:pPr>
        <w:spacing w:line="360" w:lineRule="auto"/>
        <w:ind w:firstLine="440" w:firstLineChars="200"/>
        <w:contextualSpacing/>
        <w:rPr>
          <w:rFonts w:hAnsi="宋体" w:cs="宋体"/>
          <w:color w:val="auto"/>
          <w:sz w:val="22"/>
          <w:highlight w:val="none"/>
        </w:rPr>
      </w:pPr>
      <w:r>
        <w:rPr>
          <w:rFonts w:hint="eastAsia" w:hAnsi="宋体" w:cs="宋体"/>
          <w:color w:val="auto"/>
          <w:sz w:val="22"/>
          <w:highlight w:val="none"/>
        </w:rPr>
        <w:t>日期：年月日</w:t>
      </w:r>
    </w:p>
    <w:p w14:paraId="7F7AF860">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rPr>
        <w:br w:type="page"/>
      </w:r>
      <w:bookmarkStart w:id="179" w:name="_Toc19686837"/>
      <w:r>
        <w:rPr>
          <w:rFonts w:hint="eastAsia" w:ascii="宋体" w:hAnsi="宋体" w:cs="宋体"/>
          <w:b/>
          <w:bCs/>
          <w:color w:val="auto"/>
          <w:sz w:val="24"/>
          <w:highlight w:val="none"/>
          <w:lang w:val="en-US" w:eastAsia="zh-CN"/>
        </w:rPr>
        <w:t>分标2：</w:t>
      </w:r>
    </w:p>
    <w:p w14:paraId="6C4BB9A3">
      <w:pPr>
        <w:spacing w:line="360" w:lineRule="auto"/>
        <w:jc w:val="center"/>
        <w:outlineLvl w:val="1"/>
        <w:rPr>
          <w:rFonts w:ascii="宋体" w:hAnsi="Courier New"/>
          <w:b/>
          <w:color w:val="auto"/>
          <w:kern w:val="0"/>
          <w:sz w:val="30"/>
          <w:szCs w:val="30"/>
          <w:highlight w:val="none"/>
        </w:rPr>
      </w:pPr>
      <w:bookmarkStart w:id="180" w:name="_Toc4175"/>
      <w:r>
        <w:rPr>
          <w:rFonts w:hint="eastAsia" w:ascii="宋体" w:hAnsi="Courier New"/>
          <w:b/>
          <w:color w:val="auto"/>
          <w:kern w:val="0"/>
          <w:sz w:val="30"/>
          <w:szCs w:val="30"/>
          <w:highlight w:val="none"/>
        </w:rPr>
        <w:t>开标一览表</w:t>
      </w:r>
      <w:bookmarkEnd w:id="180"/>
    </w:p>
    <w:p w14:paraId="71A3D9C1">
      <w:pPr>
        <w:snapToGrid w:val="0"/>
        <w:spacing w:before="50" w:after="50"/>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28E78DF">
      <w:pPr>
        <w:snapToGrid w:val="0"/>
        <w:spacing w:before="50" w:after="5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 xml:space="preserve">            </w:t>
      </w:r>
      <w:r>
        <w:rPr>
          <w:rFonts w:hint="eastAsia" w:ascii="宋体" w:hAnsi="宋体" w:eastAsia="宋体" w:cs="宋体"/>
          <w:color w:val="auto"/>
          <w:sz w:val="24"/>
          <w:highlight w:val="none"/>
        </w:rPr>
        <w:t>分标：</w:t>
      </w:r>
      <w:r>
        <w:rPr>
          <w:rFonts w:hint="eastAsia" w:ascii="宋体" w:hAnsi="宋体" w:eastAsia="宋体" w:cs="宋体"/>
          <w:color w:val="auto"/>
          <w:sz w:val="24"/>
          <w:highlight w:val="none"/>
          <w:u w:val="single"/>
        </w:rPr>
        <w:t xml:space="preserve">           </w:t>
      </w:r>
    </w:p>
    <w:p w14:paraId="2D2DCB73">
      <w:pPr>
        <w:rPr>
          <w:rFonts w:ascii="宋体" w:hAnsi="Courier New"/>
          <w:b/>
          <w:color w:val="auto"/>
          <w:kern w:val="0"/>
          <w:sz w:val="32"/>
          <w:szCs w:val="20"/>
          <w:highlight w:val="none"/>
        </w:rPr>
      </w:pPr>
      <w:r>
        <w:rPr>
          <w:rFonts w:hint="eastAsia" w:ascii="宋体" w:hAnsi="宋体"/>
          <w:color w:val="auto"/>
          <w:kern w:val="0"/>
          <w:sz w:val="24"/>
          <w:szCs w:val="20"/>
          <w:highlight w:val="none"/>
        </w:rPr>
        <w:t>投标人名称：</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 xml:space="preserve">   </w:t>
      </w:r>
    </w:p>
    <w:tbl>
      <w:tblPr>
        <w:tblStyle w:val="18"/>
        <w:tblW w:w="10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984"/>
        <w:gridCol w:w="1732"/>
        <w:gridCol w:w="1492"/>
        <w:gridCol w:w="1492"/>
        <w:gridCol w:w="1248"/>
        <w:gridCol w:w="1374"/>
        <w:gridCol w:w="1182"/>
      </w:tblGrid>
      <w:tr w14:paraId="0862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633" w:type="dxa"/>
            <w:tcBorders>
              <w:top w:val="single" w:color="auto" w:sz="4" w:space="0"/>
              <w:left w:val="single" w:color="auto" w:sz="4" w:space="0"/>
              <w:bottom w:val="single" w:color="auto" w:sz="4" w:space="0"/>
              <w:right w:val="single" w:color="auto" w:sz="4" w:space="0"/>
            </w:tcBorders>
            <w:vAlign w:val="center"/>
          </w:tcPr>
          <w:p w14:paraId="140DFFD5">
            <w:pPr>
              <w:rPr>
                <w:rFonts w:hint="eastAsia" w:ascii="宋体" w:hAnsi="宋体"/>
                <w:color w:val="auto"/>
                <w:szCs w:val="22"/>
                <w:highlight w:val="none"/>
              </w:rPr>
            </w:pPr>
            <w:r>
              <w:rPr>
                <w:rFonts w:hint="eastAsia" w:ascii="宋体" w:hAnsi="宋体"/>
                <w:color w:val="auto"/>
                <w:szCs w:val="22"/>
                <w:highlight w:val="none"/>
              </w:rPr>
              <w:t>序号</w:t>
            </w:r>
          </w:p>
        </w:tc>
        <w:tc>
          <w:tcPr>
            <w:tcW w:w="984" w:type="dxa"/>
            <w:tcBorders>
              <w:top w:val="single" w:color="auto" w:sz="4" w:space="0"/>
              <w:left w:val="single" w:color="auto" w:sz="4" w:space="0"/>
              <w:bottom w:val="single" w:color="auto" w:sz="4" w:space="0"/>
              <w:right w:val="single" w:color="auto" w:sz="4" w:space="0"/>
            </w:tcBorders>
            <w:vAlign w:val="center"/>
          </w:tcPr>
          <w:p w14:paraId="7BAA6D1E">
            <w:pPr>
              <w:rPr>
                <w:rFonts w:hint="eastAsia" w:ascii="宋体" w:hAnsi="宋体"/>
                <w:color w:val="auto"/>
                <w:szCs w:val="22"/>
                <w:highlight w:val="none"/>
              </w:rPr>
            </w:pPr>
            <w:r>
              <w:rPr>
                <w:rFonts w:hint="eastAsia" w:ascii="宋体" w:hAnsi="宋体"/>
                <w:color w:val="auto"/>
                <w:szCs w:val="22"/>
                <w:highlight w:val="none"/>
                <w:lang w:eastAsia="zh-CN"/>
              </w:rPr>
              <w:t>标的</w:t>
            </w:r>
            <w:r>
              <w:rPr>
                <w:rFonts w:hint="eastAsia" w:ascii="宋体" w:hAnsi="宋体"/>
                <w:color w:val="auto"/>
                <w:szCs w:val="22"/>
                <w:highlight w:val="none"/>
              </w:rPr>
              <w:t>名称</w:t>
            </w:r>
          </w:p>
        </w:tc>
        <w:tc>
          <w:tcPr>
            <w:tcW w:w="1732" w:type="dxa"/>
            <w:tcBorders>
              <w:top w:val="single" w:color="auto" w:sz="4" w:space="0"/>
              <w:left w:val="single" w:color="auto" w:sz="4" w:space="0"/>
              <w:bottom w:val="single" w:color="auto" w:sz="4" w:space="0"/>
              <w:right w:val="single" w:color="auto" w:sz="4" w:space="0"/>
            </w:tcBorders>
            <w:vAlign w:val="center"/>
          </w:tcPr>
          <w:p w14:paraId="5DBEC10A">
            <w:pPr>
              <w:jc w:val="center"/>
              <w:rPr>
                <w:rFonts w:hint="eastAsia" w:ascii="宋体" w:hAnsi="宋体"/>
                <w:color w:val="auto"/>
                <w:szCs w:val="22"/>
                <w:highlight w:val="none"/>
              </w:rPr>
            </w:pPr>
            <w:r>
              <w:rPr>
                <w:rFonts w:hint="eastAsia" w:ascii="宋体" w:hAnsi="宋体"/>
                <w:color w:val="auto"/>
                <w:szCs w:val="22"/>
                <w:highlight w:val="none"/>
              </w:rPr>
              <w:t>货物规格型号</w:t>
            </w:r>
          </w:p>
        </w:tc>
        <w:tc>
          <w:tcPr>
            <w:tcW w:w="1492" w:type="dxa"/>
            <w:tcBorders>
              <w:top w:val="single" w:color="auto" w:sz="4" w:space="0"/>
              <w:left w:val="single" w:color="auto" w:sz="4" w:space="0"/>
              <w:bottom w:val="single" w:color="auto" w:sz="4" w:space="0"/>
              <w:right w:val="single" w:color="auto" w:sz="4" w:space="0"/>
            </w:tcBorders>
            <w:vAlign w:val="center"/>
          </w:tcPr>
          <w:p w14:paraId="3399488A">
            <w:pPr>
              <w:jc w:val="center"/>
              <w:rPr>
                <w:rFonts w:hint="eastAsia" w:ascii="宋体" w:hAnsi="宋体"/>
                <w:color w:val="auto"/>
                <w:szCs w:val="22"/>
                <w:highlight w:val="none"/>
              </w:rPr>
            </w:pPr>
            <w:r>
              <w:rPr>
                <w:rFonts w:hint="eastAsia" w:ascii="宋体" w:hAnsi="宋体" w:eastAsia="宋体" w:cs="宋体"/>
                <w:color w:val="auto"/>
                <w:szCs w:val="22"/>
                <w:highlight w:val="none"/>
              </w:rPr>
              <w:t>品牌</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生产厂家</w:t>
            </w:r>
          </w:p>
        </w:tc>
        <w:tc>
          <w:tcPr>
            <w:tcW w:w="1492" w:type="dxa"/>
            <w:tcBorders>
              <w:top w:val="single" w:color="auto" w:sz="4" w:space="0"/>
              <w:left w:val="single" w:color="auto" w:sz="4" w:space="0"/>
              <w:bottom w:val="single" w:color="auto" w:sz="4" w:space="0"/>
              <w:right w:val="single" w:color="auto" w:sz="4" w:space="0"/>
            </w:tcBorders>
            <w:vAlign w:val="center"/>
          </w:tcPr>
          <w:p w14:paraId="588C1E71">
            <w:pPr>
              <w:jc w:val="center"/>
              <w:rPr>
                <w:rFonts w:hint="eastAsia" w:ascii="宋体" w:hAnsi="宋体"/>
                <w:color w:val="auto"/>
                <w:szCs w:val="22"/>
                <w:highlight w:val="none"/>
              </w:rPr>
            </w:pPr>
            <w:r>
              <w:rPr>
                <w:rFonts w:hint="eastAsia" w:ascii="宋体" w:hAnsi="宋体"/>
                <w:color w:val="auto"/>
                <w:szCs w:val="22"/>
                <w:highlight w:val="none"/>
              </w:rPr>
              <w:t>数量</w:t>
            </w:r>
            <w:r>
              <w:rPr>
                <w:rFonts w:ascii="宋体" w:hAnsi="宋体"/>
                <w:color w:val="auto"/>
                <w:szCs w:val="22"/>
                <w:highlight w:val="none"/>
              </w:rPr>
              <w:t>①</w:t>
            </w:r>
          </w:p>
        </w:tc>
        <w:tc>
          <w:tcPr>
            <w:tcW w:w="1248" w:type="dxa"/>
            <w:tcBorders>
              <w:top w:val="single" w:color="auto" w:sz="4" w:space="0"/>
              <w:left w:val="single" w:color="auto" w:sz="4" w:space="0"/>
              <w:bottom w:val="single" w:color="auto" w:sz="4" w:space="0"/>
              <w:right w:val="single" w:color="auto" w:sz="4" w:space="0"/>
            </w:tcBorders>
            <w:vAlign w:val="center"/>
          </w:tcPr>
          <w:p w14:paraId="15EF4A74">
            <w:pPr>
              <w:rPr>
                <w:rFonts w:hint="eastAsia" w:ascii="宋体" w:hAnsi="宋体"/>
                <w:color w:val="auto"/>
                <w:szCs w:val="22"/>
                <w:highlight w:val="none"/>
              </w:rPr>
            </w:pPr>
            <w:r>
              <w:rPr>
                <w:rFonts w:hint="eastAsia" w:ascii="宋体" w:hAnsi="宋体"/>
                <w:color w:val="auto"/>
                <w:szCs w:val="22"/>
                <w:highlight w:val="none"/>
              </w:rPr>
              <w:t>单价</w:t>
            </w:r>
            <w:r>
              <w:rPr>
                <w:rFonts w:ascii="宋体" w:hAnsi="宋体"/>
                <w:color w:val="auto"/>
                <w:szCs w:val="22"/>
                <w:highlight w:val="none"/>
              </w:rPr>
              <w:t>(</w:t>
            </w:r>
            <w:r>
              <w:rPr>
                <w:rFonts w:hint="eastAsia" w:ascii="宋体" w:hAnsi="宋体"/>
                <w:color w:val="auto"/>
                <w:szCs w:val="22"/>
                <w:highlight w:val="none"/>
              </w:rPr>
              <w:t>元</w:t>
            </w:r>
            <w:r>
              <w:rPr>
                <w:rFonts w:ascii="宋体" w:hAnsi="宋体"/>
                <w:color w:val="auto"/>
                <w:szCs w:val="22"/>
                <w:highlight w:val="none"/>
              </w:rPr>
              <w:t>)②</w:t>
            </w:r>
          </w:p>
        </w:tc>
        <w:tc>
          <w:tcPr>
            <w:tcW w:w="1374" w:type="dxa"/>
            <w:tcBorders>
              <w:top w:val="single" w:color="auto" w:sz="4" w:space="0"/>
              <w:left w:val="single" w:color="auto" w:sz="4" w:space="0"/>
              <w:bottom w:val="single" w:color="auto" w:sz="4" w:space="0"/>
              <w:right w:val="single" w:color="auto" w:sz="4" w:space="0"/>
            </w:tcBorders>
            <w:vAlign w:val="center"/>
          </w:tcPr>
          <w:p w14:paraId="262F0A64">
            <w:pPr>
              <w:rPr>
                <w:rFonts w:hint="eastAsia" w:ascii="宋体" w:hAnsi="宋体"/>
                <w:color w:val="auto"/>
                <w:szCs w:val="22"/>
                <w:highlight w:val="none"/>
              </w:rPr>
            </w:pPr>
            <w:r>
              <w:rPr>
                <w:rFonts w:hint="eastAsia" w:ascii="宋体" w:hAnsi="宋体"/>
                <w:color w:val="auto"/>
                <w:szCs w:val="22"/>
                <w:highlight w:val="none"/>
              </w:rPr>
              <w:t>单项合价（元）</w:t>
            </w:r>
          </w:p>
          <w:p w14:paraId="04DD7D9A">
            <w:pPr>
              <w:rPr>
                <w:rFonts w:hint="eastAsia" w:ascii="宋体" w:hAnsi="宋体"/>
                <w:color w:val="auto"/>
                <w:szCs w:val="22"/>
                <w:highlight w:val="none"/>
              </w:rPr>
            </w:pPr>
            <w:r>
              <w:rPr>
                <w:rFonts w:ascii="宋体" w:hAnsi="宋体"/>
                <w:color w:val="auto"/>
                <w:szCs w:val="22"/>
                <w:highlight w:val="none"/>
              </w:rPr>
              <w:t>③</w:t>
            </w:r>
            <w:r>
              <w:rPr>
                <w:rFonts w:hint="eastAsia" w:ascii="宋体" w:hAnsi="宋体"/>
                <w:color w:val="auto"/>
                <w:szCs w:val="22"/>
                <w:highlight w:val="none"/>
              </w:rPr>
              <w:t>＝</w:t>
            </w:r>
            <w:r>
              <w:rPr>
                <w:rFonts w:ascii="宋体" w:hAnsi="宋体"/>
                <w:color w:val="auto"/>
                <w:szCs w:val="22"/>
                <w:highlight w:val="none"/>
              </w:rPr>
              <w:t>①×②</w:t>
            </w:r>
          </w:p>
        </w:tc>
        <w:tc>
          <w:tcPr>
            <w:tcW w:w="1182" w:type="dxa"/>
            <w:tcBorders>
              <w:top w:val="single" w:color="auto" w:sz="4" w:space="0"/>
              <w:left w:val="single" w:color="auto" w:sz="4" w:space="0"/>
              <w:bottom w:val="single" w:color="auto" w:sz="4" w:space="0"/>
              <w:right w:val="single" w:color="auto" w:sz="4" w:space="0"/>
            </w:tcBorders>
            <w:vAlign w:val="center"/>
          </w:tcPr>
          <w:p w14:paraId="3BADAEC8">
            <w:pPr>
              <w:jc w:val="center"/>
              <w:rPr>
                <w:rFonts w:hint="eastAsia" w:ascii="宋体" w:hAnsi="宋体"/>
                <w:color w:val="auto"/>
                <w:szCs w:val="22"/>
                <w:highlight w:val="none"/>
              </w:rPr>
            </w:pPr>
            <w:r>
              <w:rPr>
                <w:rFonts w:hint="eastAsia" w:ascii="宋体" w:hAnsi="宋体"/>
                <w:color w:val="auto"/>
                <w:szCs w:val="22"/>
                <w:highlight w:val="none"/>
              </w:rPr>
              <w:t>备注</w:t>
            </w:r>
          </w:p>
        </w:tc>
      </w:tr>
      <w:tr w14:paraId="54BF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633" w:type="dxa"/>
            <w:tcBorders>
              <w:top w:val="single" w:color="auto" w:sz="4" w:space="0"/>
              <w:left w:val="single" w:color="auto" w:sz="4" w:space="0"/>
              <w:bottom w:val="single" w:color="auto" w:sz="4" w:space="0"/>
              <w:right w:val="single" w:color="auto" w:sz="4" w:space="0"/>
            </w:tcBorders>
            <w:vAlign w:val="center"/>
          </w:tcPr>
          <w:p w14:paraId="3C616E50">
            <w:pPr>
              <w:rPr>
                <w:rFonts w:hint="eastAsia" w:ascii="宋体" w:hAnsi="宋体"/>
                <w:color w:val="auto"/>
                <w:szCs w:val="22"/>
                <w:highlight w:val="none"/>
              </w:rPr>
            </w:pPr>
            <w:r>
              <w:rPr>
                <w:rFonts w:ascii="宋体" w:hAnsi="宋体"/>
                <w:color w:val="auto"/>
                <w:szCs w:val="22"/>
                <w:highlight w:val="none"/>
              </w:rPr>
              <w:t>1</w:t>
            </w:r>
          </w:p>
        </w:tc>
        <w:tc>
          <w:tcPr>
            <w:tcW w:w="984" w:type="dxa"/>
            <w:tcBorders>
              <w:top w:val="single" w:color="auto" w:sz="4" w:space="0"/>
              <w:left w:val="single" w:color="auto" w:sz="4" w:space="0"/>
              <w:bottom w:val="single" w:color="auto" w:sz="4" w:space="0"/>
              <w:right w:val="single" w:color="auto" w:sz="4" w:space="0"/>
            </w:tcBorders>
            <w:vAlign w:val="center"/>
          </w:tcPr>
          <w:p w14:paraId="7057A488">
            <w:pPr>
              <w:rPr>
                <w:rFonts w:hint="eastAsia" w:ascii="宋体" w:hAnsi="宋体"/>
                <w:color w:val="auto"/>
                <w:szCs w:val="22"/>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41A1CDDD">
            <w:pPr>
              <w:rPr>
                <w:rFonts w:hint="eastAsia" w:ascii="宋体" w:hAnsi="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45ED0307">
            <w:pPr>
              <w:rPr>
                <w:rFonts w:hint="eastAsia" w:ascii="宋体" w:hAnsi="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336A5146">
            <w:pPr>
              <w:rPr>
                <w:rFonts w:hint="eastAsia" w:ascii="宋体" w:hAnsi="宋体"/>
                <w:color w:val="auto"/>
                <w:szCs w:val="22"/>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14:paraId="68E4E3E4">
            <w:pPr>
              <w:rPr>
                <w:rFonts w:hint="eastAsia" w:ascii="宋体" w:hAnsi="宋体"/>
                <w:color w:val="auto"/>
                <w:szCs w:val="22"/>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7C31BEAE">
            <w:pPr>
              <w:rPr>
                <w:rFonts w:hint="eastAsia" w:ascii="宋体" w:hAnsi="宋体"/>
                <w:color w:val="auto"/>
                <w:szCs w:val="22"/>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290AA98B">
            <w:pPr>
              <w:jc w:val="center"/>
              <w:rPr>
                <w:rFonts w:hint="eastAsia" w:ascii="宋体" w:hAnsi="宋体"/>
                <w:color w:val="auto"/>
                <w:szCs w:val="22"/>
                <w:highlight w:val="none"/>
              </w:rPr>
            </w:pPr>
          </w:p>
        </w:tc>
      </w:tr>
      <w:tr w14:paraId="2414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633" w:type="dxa"/>
            <w:tcBorders>
              <w:top w:val="single" w:color="auto" w:sz="4" w:space="0"/>
              <w:left w:val="single" w:color="auto" w:sz="4" w:space="0"/>
              <w:bottom w:val="single" w:color="auto" w:sz="4" w:space="0"/>
              <w:right w:val="single" w:color="auto" w:sz="4" w:space="0"/>
            </w:tcBorders>
            <w:vAlign w:val="center"/>
          </w:tcPr>
          <w:p w14:paraId="226DEE00">
            <w:pPr>
              <w:rPr>
                <w:rFonts w:hint="eastAsia" w:ascii="宋体" w:hAnsi="宋体"/>
                <w:color w:val="auto"/>
                <w:szCs w:val="22"/>
                <w:highlight w:val="none"/>
              </w:rPr>
            </w:pPr>
            <w:r>
              <w:rPr>
                <w:rFonts w:ascii="宋体" w:hAnsi="宋体"/>
                <w:color w:val="auto"/>
                <w:szCs w:val="22"/>
                <w:highlight w:val="none"/>
              </w:rPr>
              <w:t>2</w:t>
            </w:r>
          </w:p>
        </w:tc>
        <w:tc>
          <w:tcPr>
            <w:tcW w:w="984" w:type="dxa"/>
            <w:tcBorders>
              <w:top w:val="single" w:color="auto" w:sz="4" w:space="0"/>
              <w:left w:val="single" w:color="auto" w:sz="4" w:space="0"/>
              <w:bottom w:val="single" w:color="auto" w:sz="4" w:space="0"/>
              <w:right w:val="single" w:color="auto" w:sz="4" w:space="0"/>
            </w:tcBorders>
            <w:vAlign w:val="center"/>
          </w:tcPr>
          <w:p w14:paraId="6CAE5638">
            <w:pPr>
              <w:rPr>
                <w:rFonts w:hint="eastAsia" w:ascii="宋体" w:hAnsi="宋体"/>
                <w:color w:val="auto"/>
                <w:szCs w:val="22"/>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6A15B4EE">
            <w:pPr>
              <w:rPr>
                <w:rFonts w:hint="eastAsia" w:ascii="宋体" w:hAnsi="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645CD401">
            <w:pPr>
              <w:rPr>
                <w:rFonts w:hint="eastAsia" w:ascii="宋体" w:hAnsi="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5009D149">
            <w:pPr>
              <w:rPr>
                <w:rFonts w:hint="eastAsia" w:ascii="宋体" w:hAnsi="宋体"/>
                <w:color w:val="auto"/>
                <w:szCs w:val="22"/>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14:paraId="374FC337">
            <w:pPr>
              <w:rPr>
                <w:rFonts w:hint="eastAsia" w:ascii="宋体" w:hAnsi="宋体"/>
                <w:color w:val="auto"/>
                <w:szCs w:val="22"/>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65CFD36D">
            <w:pPr>
              <w:rPr>
                <w:rFonts w:hint="eastAsia" w:ascii="宋体" w:hAnsi="宋体"/>
                <w:color w:val="auto"/>
                <w:szCs w:val="22"/>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368F3D81">
            <w:pPr>
              <w:jc w:val="center"/>
              <w:rPr>
                <w:rFonts w:hint="eastAsia" w:ascii="宋体" w:hAnsi="宋体"/>
                <w:color w:val="auto"/>
                <w:szCs w:val="22"/>
                <w:highlight w:val="none"/>
              </w:rPr>
            </w:pPr>
          </w:p>
        </w:tc>
      </w:tr>
      <w:tr w14:paraId="5699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633" w:type="dxa"/>
            <w:tcBorders>
              <w:top w:val="single" w:color="auto" w:sz="4" w:space="0"/>
              <w:left w:val="single" w:color="auto" w:sz="4" w:space="0"/>
              <w:bottom w:val="single" w:color="auto" w:sz="4" w:space="0"/>
              <w:right w:val="single" w:color="auto" w:sz="4" w:space="0"/>
            </w:tcBorders>
            <w:vAlign w:val="center"/>
          </w:tcPr>
          <w:p w14:paraId="689ABAD3">
            <w:pPr>
              <w:rPr>
                <w:rFonts w:hint="eastAsia" w:ascii="宋体" w:hAnsi="宋体"/>
                <w:color w:val="auto"/>
                <w:szCs w:val="22"/>
                <w:highlight w:val="none"/>
              </w:rPr>
            </w:pPr>
            <w:r>
              <w:rPr>
                <w:rFonts w:ascii="宋体" w:hAnsi="宋体"/>
                <w:color w:val="auto"/>
                <w:szCs w:val="22"/>
                <w:highlight w:val="none"/>
              </w:rPr>
              <w:t>...</w:t>
            </w:r>
          </w:p>
        </w:tc>
        <w:tc>
          <w:tcPr>
            <w:tcW w:w="984" w:type="dxa"/>
            <w:tcBorders>
              <w:top w:val="single" w:color="auto" w:sz="4" w:space="0"/>
              <w:left w:val="single" w:color="auto" w:sz="4" w:space="0"/>
              <w:bottom w:val="single" w:color="auto" w:sz="4" w:space="0"/>
              <w:right w:val="single" w:color="auto" w:sz="4" w:space="0"/>
            </w:tcBorders>
            <w:vAlign w:val="center"/>
          </w:tcPr>
          <w:p w14:paraId="49AA5D64">
            <w:pPr>
              <w:rPr>
                <w:rFonts w:hint="eastAsia" w:ascii="宋体" w:hAnsi="宋体"/>
                <w:color w:val="auto"/>
                <w:szCs w:val="22"/>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0AC50929">
            <w:pPr>
              <w:rPr>
                <w:rFonts w:hint="eastAsia" w:ascii="宋体" w:hAnsi="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1CF8F20A">
            <w:pPr>
              <w:rPr>
                <w:rFonts w:hint="eastAsia" w:ascii="宋体" w:hAnsi="宋体"/>
                <w:color w:val="auto"/>
                <w:szCs w:val="22"/>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14:paraId="627FCB6A">
            <w:pPr>
              <w:rPr>
                <w:rFonts w:hint="eastAsia" w:ascii="宋体" w:hAnsi="宋体"/>
                <w:color w:val="auto"/>
                <w:szCs w:val="22"/>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14:paraId="6EE289AD">
            <w:pPr>
              <w:rPr>
                <w:rFonts w:hint="eastAsia" w:ascii="宋体" w:hAnsi="宋体"/>
                <w:color w:val="auto"/>
                <w:szCs w:val="22"/>
                <w:highlight w:val="none"/>
              </w:rPr>
            </w:pPr>
          </w:p>
        </w:tc>
        <w:tc>
          <w:tcPr>
            <w:tcW w:w="1374" w:type="dxa"/>
            <w:tcBorders>
              <w:top w:val="single" w:color="auto" w:sz="4" w:space="0"/>
              <w:left w:val="single" w:color="auto" w:sz="4" w:space="0"/>
              <w:bottom w:val="single" w:color="auto" w:sz="4" w:space="0"/>
              <w:right w:val="single" w:color="auto" w:sz="4" w:space="0"/>
            </w:tcBorders>
            <w:vAlign w:val="center"/>
          </w:tcPr>
          <w:p w14:paraId="0CC620A3">
            <w:pPr>
              <w:rPr>
                <w:rFonts w:hint="eastAsia" w:ascii="宋体" w:hAnsi="宋体"/>
                <w:color w:val="auto"/>
                <w:szCs w:val="22"/>
                <w:highlight w:val="none"/>
              </w:rPr>
            </w:pPr>
          </w:p>
        </w:tc>
        <w:tc>
          <w:tcPr>
            <w:tcW w:w="1182" w:type="dxa"/>
            <w:tcBorders>
              <w:top w:val="single" w:color="auto" w:sz="4" w:space="0"/>
              <w:left w:val="single" w:color="auto" w:sz="4" w:space="0"/>
              <w:bottom w:val="single" w:color="auto" w:sz="4" w:space="0"/>
              <w:right w:val="single" w:color="auto" w:sz="4" w:space="0"/>
            </w:tcBorders>
            <w:vAlign w:val="center"/>
          </w:tcPr>
          <w:p w14:paraId="454EF81E">
            <w:pPr>
              <w:jc w:val="center"/>
              <w:rPr>
                <w:rFonts w:hint="eastAsia" w:ascii="宋体" w:hAnsi="宋体"/>
                <w:color w:val="auto"/>
                <w:szCs w:val="22"/>
                <w:highlight w:val="none"/>
              </w:rPr>
            </w:pPr>
          </w:p>
        </w:tc>
      </w:tr>
      <w:tr w14:paraId="32C3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10137" w:type="dxa"/>
            <w:gridSpan w:val="8"/>
            <w:tcBorders>
              <w:top w:val="single" w:color="auto" w:sz="4" w:space="0"/>
              <w:left w:val="single" w:color="auto" w:sz="4" w:space="0"/>
              <w:bottom w:val="single" w:color="auto" w:sz="4" w:space="0"/>
              <w:right w:val="single" w:color="auto" w:sz="4" w:space="0"/>
            </w:tcBorders>
          </w:tcPr>
          <w:p w14:paraId="0A969D00">
            <w:pPr>
              <w:rPr>
                <w:rFonts w:hint="eastAsia" w:ascii="宋体" w:hAnsi="宋体"/>
                <w:color w:val="auto"/>
                <w:szCs w:val="22"/>
                <w:highlight w:val="none"/>
              </w:rPr>
            </w:pPr>
            <w:r>
              <w:rPr>
                <w:rFonts w:hint="eastAsia" w:ascii="宋体" w:hAnsi="宋体"/>
                <w:color w:val="auto"/>
                <w:szCs w:val="22"/>
                <w:highlight w:val="none"/>
              </w:rPr>
              <w:t>报价合计（包含税费等所有费用）：（大写）</w:t>
            </w:r>
            <w:r>
              <w:rPr>
                <w:rFonts w:hint="eastAsia" w:ascii="宋体" w:hAnsi="宋体"/>
                <w:color w:val="auto"/>
                <w:szCs w:val="22"/>
                <w:highlight w:val="none"/>
                <w:lang w:val="en-US" w:eastAsia="zh-CN"/>
              </w:rPr>
              <w:t xml:space="preserve">  </w:t>
            </w:r>
            <w:r>
              <w:rPr>
                <w:rFonts w:hint="eastAsia" w:ascii="宋体" w:hAnsi="宋体"/>
                <w:color w:val="auto"/>
                <w:szCs w:val="22"/>
                <w:highlight w:val="none"/>
              </w:rPr>
              <w:t>人民币（</w:t>
            </w:r>
            <w:r>
              <w:rPr>
                <w:color w:val="auto"/>
                <w:highlight w:val="none"/>
              </w:rPr>
              <w:t>¥</w:t>
            </w:r>
            <w:r>
              <w:rPr>
                <w:rFonts w:hint="eastAsia" w:ascii="宋体" w:hAnsi="宋体"/>
                <w:color w:val="auto"/>
                <w:szCs w:val="22"/>
                <w:highlight w:val="none"/>
              </w:rPr>
              <w:t>元）</w:t>
            </w:r>
          </w:p>
        </w:tc>
      </w:tr>
      <w:tr w14:paraId="4B18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0137" w:type="dxa"/>
            <w:gridSpan w:val="8"/>
            <w:tcBorders>
              <w:top w:val="single" w:color="auto" w:sz="4" w:space="0"/>
              <w:left w:val="single" w:color="auto" w:sz="4" w:space="0"/>
              <w:bottom w:val="single" w:color="auto" w:sz="4" w:space="0"/>
              <w:right w:val="single" w:color="auto" w:sz="4" w:space="0"/>
            </w:tcBorders>
          </w:tcPr>
          <w:p w14:paraId="15451215">
            <w:pPr>
              <w:rPr>
                <w:rFonts w:hint="eastAsia"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r w14:paraId="5AFF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10137" w:type="dxa"/>
            <w:gridSpan w:val="8"/>
            <w:tcBorders>
              <w:top w:val="single" w:color="auto" w:sz="4" w:space="0"/>
              <w:left w:val="single" w:color="auto" w:sz="4" w:space="0"/>
              <w:bottom w:val="single" w:color="auto" w:sz="4" w:space="0"/>
              <w:right w:val="single" w:color="auto" w:sz="4" w:space="0"/>
            </w:tcBorders>
          </w:tcPr>
          <w:p w14:paraId="422D5C59">
            <w:pPr>
              <w:rPr>
                <w:rFonts w:hint="eastAsia" w:ascii="宋体" w:hAnsi="宋体"/>
                <w:color w:val="auto"/>
                <w:szCs w:val="22"/>
                <w:highlight w:val="none"/>
              </w:rPr>
            </w:pPr>
            <w:r>
              <w:rPr>
                <w:rFonts w:hint="eastAsia" w:ascii="宋体" w:hAnsi="宋体"/>
                <w:color w:val="auto"/>
                <w:szCs w:val="22"/>
                <w:highlight w:val="none"/>
              </w:rPr>
              <w:t>验收标准：</w:t>
            </w:r>
          </w:p>
        </w:tc>
      </w:tr>
      <w:tr w14:paraId="3A33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0137" w:type="dxa"/>
            <w:gridSpan w:val="8"/>
            <w:tcBorders>
              <w:top w:val="single" w:color="auto" w:sz="4" w:space="0"/>
              <w:left w:val="single" w:color="auto" w:sz="4" w:space="0"/>
              <w:bottom w:val="single" w:color="auto" w:sz="4" w:space="0"/>
              <w:right w:val="single" w:color="auto" w:sz="4" w:space="0"/>
            </w:tcBorders>
          </w:tcPr>
          <w:p w14:paraId="31D93843">
            <w:pPr>
              <w:rPr>
                <w:rFonts w:hint="eastAsia" w:ascii="宋体" w:hAnsi="宋体"/>
                <w:color w:val="auto"/>
                <w:szCs w:val="22"/>
                <w:highlight w:val="none"/>
              </w:rPr>
            </w:pPr>
            <w:r>
              <w:rPr>
                <w:rFonts w:hint="eastAsia" w:ascii="宋体" w:hAnsi="宋体"/>
                <w:color w:val="auto"/>
                <w:szCs w:val="22"/>
                <w:highlight w:val="none"/>
              </w:rPr>
              <w:t>优惠及其它：</w:t>
            </w:r>
          </w:p>
        </w:tc>
      </w:tr>
    </w:tbl>
    <w:p w14:paraId="0520E21B">
      <w:pPr>
        <w:snapToGrid w:val="0"/>
        <w:spacing w:before="50" w:after="50" w:line="440" w:lineRule="exact"/>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4E0142F2">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highlight w:val="none"/>
          <w:lang w:val="zh-CN"/>
        </w:rPr>
        <w:t>否则其投标作无效标处理。</w:t>
      </w:r>
    </w:p>
    <w:p w14:paraId="0922EE56">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2、本表内容均不能涂改，</w:t>
      </w:r>
      <w:r>
        <w:rPr>
          <w:rFonts w:hint="eastAsia" w:ascii="仿宋_GB2312" w:hAnsi="仿宋" w:eastAsia="仿宋_GB2312" w:cs="仿宋_GB2312"/>
          <w:b/>
          <w:color w:val="auto"/>
          <w:kern w:val="0"/>
          <w:sz w:val="24"/>
          <w:highlight w:val="none"/>
          <w:lang w:val="zh-CN"/>
        </w:rPr>
        <w:t>否则其投标作无效标处理。</w:t>
      </w:r>
    </w:p>
    <w:p w14:paraId="68C35678">
      <w:pPr>
        <w:snapToGrid w:val="0"/>
        <w:spacing w:before="50" w:after="50" w:line="360" w:lineRule="auto"/>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否则其投标作无效标处理。</w:t>
      </w:r>
    </w:p>
    <w:p w14:paraId="59E8C47B">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4、以上表格要求细分项目及报价，在“具体货物内容”一栏中，填写具体货物，</w:t>
      </w:r>
      <w:r>
        <w:rPr>
          <w:rFonts w:hint="eastAsia" w:ascii="仿宋_GB2312" w:hAnsi="仿宋" w:eastAsia="仿宋_GB2312" w:cs="仿宋_GB2312"/>
          <w:b/>
          <w:color w:val="auto"/>
          <w:kern w:val="0"/>
          <w:sz w:val="24"/>
          <w:highlight w:val="none"/>
          <w:lang w:val="zh-CN"/>
        </w:rPr>
        <w:t>否则其投标作无效标处理。</w:t>
      </w:r>
    </w:p>
    <w:p w14:paraId="55958819">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5、特别提示：采购机构将对项目名称和项目编号，中标投标人名称、地址和中标金额，主要中标标的的名称、规格型号、数量、单价、货物要求等予以公示。</w:t>
      </w:r>
    </w:p>
    <w:p w14:paraId="3AB3F5EC">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6、</w:t>
      </w:r>
      <w:r>
        <w:rPr>
          <w:rFonts w:hint="eastAsia" w:ascii="仿宋_GB2312" w:hAnsi="仿宋" w:eastAsia="仿宋_GB2312" w:cs="仿宋_GB2312"/>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29831C6">
      <w:pPr>
        <w:snapToGrid w:val="0"/>
        <w:spacing w:line="440" w:lineRule="exact"/>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9C609E1">
      <w:pPr>
        <w:snapToGrid w:val="0"/>
        <w:spacing w:line="440" w:lineRule="exact"/>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030373D">
      <w:pPr>
        <w:widowControl/>
        <w:jc w:val="left"/>
        <w:rPr>
          <w:rFonts w:hint="eastAsia" w:ascii="宋体" w:hAnsi="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1BA6C422">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t>中小企业声明函格式</w:t>
      </w:r>
    </w:p>
    <w:p w14:paraId="5C5737A7">
      <w:pPr>
        <w:rPr>
          <w:rFonts w:ascii="宋体" w:hAnsi="宋体" w:cs="宋体"/>
          <w:color w:val="auto"/>
          <w:highlight w:val="none"/>
        </w:rPr>
      </w:pPr>
    </w:p>
    <w:p w14:paraId="77795FDA">
      <w:pPr>
        <w:snapToGrid w:val="0"/>
        <w:spacing w:before="50" w:after="50"/>
        <w:jc w:val="center"/>
        <w:rPr>
          <w:rFonts w:ascii="宋体" w:hAnsi="宋体" w:cs="宋体"/>
          <w:b/>
          <w:color w:val="auto"/>
          <w:sz w:val="32"/>
          <w:highlight w:val="none"/>
        </w:rPr>
      </w:pPr>
      <w:bookmarkStart w:id="181" w:name="_Toc71365926"/>
      <w:r>
        <w:rPr>
          <w:rFonts w:hint="eastAsia" w:ascii="宋体" w:hAnsi="宋体" w:cs="宋体"/>
          <w:b/>
          <w:color w:val="auto"/>
          <w:sz w:val="32"/>
          <w:highlight w:val="none"/>
        </w:rPr>
        <w:t>中小企业声明函（</w:t>
      </w:r>
      <w:r>
        <w:rPr>
          <w:rFonts w:hint="eastAsia" w:ascii="宋体" w:hAnsi="宋体" w:cs="宋体"/>
          <w:b/>
          <w:color w:val="auto"/>
          <w:sz w:val="32"/>
          <w:highlight w:val="none"/>
          <w:lang w:val="en-US" w:eastAsia="zh-CN"/>
        </w:rPr>
        <w:t>分标1</w:t>
      </w:r>
      <w:r>
        <w:rPr>
          <w:rFonts w:hint="eastAsia" w:ascii="宋体" w:hAnsi="宋体" w:cs="宋体"/>
          <w:b/>
          <w:color w:val="auto"/>
          <w:sz w:val="32"/>
          <w:highlight w:val="none"/>
        </w:rPr>
        <w:t>）</w:t>
      </w:r>
      <w:bookmarkEnd w:id="181"/>
    </w:p>
    <w:p w14:paraId="0E8F8EAB">
      <w:pPr>
        <w:pStyle w:val="16"/>
        <w:rPr>
          <w:color w:val="auto"/>
          <w:highlight w:val="none"/>
        </w:rPr>
      </w:pPr>
    </w:p>
    <w:p w14:paraId="60D7110F">
      <w:pPr>
        <w:spacing w:after="120"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1E10BB61">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7C471E0">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AA4C823">
      <w:pPr>
        <w:spacing w:before="34" w:after="120"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1E372974">
      <w:pPr>
        <w:spacing w:before="34" w:after="120"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4B29D194">
      <w:pPr>
        <w:spacing w:before="25" w:after="120"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42AF134F">
      <w:pPr>
        <w:spacing w:line="360" w:lineRule="auto"/>
        <w:ind w:firstLine="480" w:firstLineChars="200"/>
        <w:contextualSpacing/>
        <w:rPr>
          <w:rFonts w:hAnsi="宋体" w:cs="宋体"/>
          <w:color w:val="auto"/>
          <w:sz w:val="24"/>
          <w:highlight w:val="none"/>
        </w:rPr>
      </w:pPr>
    </w:p>
    <w:p w14:paraId="04F1B913">
      <w:pPr>
        <w:spacing w:line="360" w:lineRule="auto"/>
        <w:ind w:firstLine="480" w:firstLineChars="200"/>
        <w:contextualSpacing/>
        <w:rPr>
          <w:rFonts w:ascii="宋体" w:hAnsi="宋体" w:cs="宋体"/>
          <w:color w:val="auto"/>
          <w:sz w:val="24"/>
          <w:highlight w:val="none"/>
          <w:u w:val="single"/>
        </w:rPr>
      </w:pPr>
      <w:r>
        <w:rPr>
          <w:rFonts w:hint="eastAsia" w:hAnsi="宋体" w:cs="宋体"/>
          <w:color w:val="auto"/>
          <w:sz w:val="24"/>
          <w:highlight w:val="none"/>
        </w:rPr>
        <w:t>投标人名称（电子签章）：</w:t>
      </w:r>
    </w:p>
    <w:p w14:paraId="5573FBF5">
      <w:pPr>
        <w:spacing w:line="360" w:lineRule="auto"/>
        <w:ind w:firstLine="480" w:firstLineChars="200"/>
        <w:contextualSpacing/>
        <w:rPr>
          <w:rFonts w:hAnsi="宋体" w:cs="宋体"/>
          <w:color w:val="auto"/>
          <w:sz w:val="24"/>
          <w:highlight w:val="none"/>
        </w:rPr>
      </w:pPr>
      <w:r>
        <w:rPr>
          <w:rFonts w:hint="eastAsia" w:hAnsi="宋体" w:cs="宋体"/>
          <w:color w:val="auto"/>
          <w:sz w:val="24"/>
          <w:highlight w:val="none"/>
        </w:rPr>
        <w:t>日期：年月日</w:t>
      </w:r>
    </w:p>
    <w:p w14:paraId="58CC61DC">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注：1.享受《政府采购促进中小企业发展管理办法》（财库〔2020〕46号）规定的中小企业扶持政策的，采购人、采购代理机构应当随成交结果公开成交</w:t>
      </w:r>
      <w:r>
        <w:rPr>
          <w:rFonts w:hint="eastAsia" w:ascii="宋体" w:hAnsi="宋体" w:cs="仿宋_GB2312"/>
          <w:color w:val="auto"/>
          <w:sz w:val="24"/>
          <w:highlight w:val="none"/>
          <w:lang w:eastAsia="zh-CN"/>
        </w:rPr>
        <w:t>投标人</w:t>
      </w:r>
      <w:r>
        <w:rPr>
          <w:rFonts w:hint="eastAsia" w:ascii="宋体" w:hAnsi="宋体" w:cs="仿宋_GB2312"/>
          <w:color w:val="auto"/>
          <w:sz w:val="24"/>
          <w:highlight w:val="none"/>
        </w:rPr>
        <w:t>的《中小企业声明函》。从业人员、营业收入、资产总额填报上一年度数据，无上一年度数据的新成立企业可不填报。</w:t>
      </w:r>
    </w:p>
    <w:p w14:paraId="29D50ABE">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2.</w:t>
      </w:r>
      <w:r>
        <w:rPr>
          <w:rFonts w:hint="eastAsia" w:ascii="宋体" w:hAnsi="宋体" w:cs="仿宋_GB2312"/>
          <w:color w:val="auto"/>
          <w:sz w:val="24"/>
          <w:highlight w:val="none"/>
          <w:lang w:eastAsia="zh-CN"/>
        </w:rPr>
        <w:t>投标人</w:t>
      </w:r>
      <w:r>
        <w:rPr>
          <w:rFonts w:hint="eastAsia" w:ascii="宋体" w:hAnsi="宋体" w:cs="仿宋_GB2312"/>
          <w:color w:val="auto"/>
          <w:sz w:val="24"/>
          <w:highlight w:val="none"/>
        </w:rPr>
        <w:t>提供的《中小企业声明函》与事实不符的，依照《中华人民共和国政府采购法》第七十七条第一款的规定追究法律责任。</w:t>
      </w:r>
    </w:p>
    <w:p w14:paraId="33529433">
      <w:pPr>
        <w:spacing w:line="520" w:lineRule="exact"/>
        <w:jc w:val="left"/>
        <w:rPr>
          <w:rFonts w:ascii="宋体" w:hAnsi="宋体" w:cs="宋体"/>
          <w:b/>
          <w:color w:val="auto"/>
          <w:sz w:val="24"/>
          <w:highlight w:val="none"/>
        </w:rPr>
      </w:pPr>
      <w:r>
        <w:rPr>
          <w:rFonts w:hint="eastAsia" w:ascii="宋体" w:hAnsi="宋体" w:cs="仿宋_GB2312"/>
          <w:color w:val="auto"/>
          <w:sz w:val="24"/>
          <w:highlight w:val="none"/>
        </w:rPr>
        <w:t>3.未完整填写以上空白处信息或填写信息（不限于单位名称、项目名称、标的名称、项目所属行业、企业名称等）有误，声明函将做无效处理。</w:t>
      </w:r>
      <w:r>
        <w:rPr>
          <w:rFonts w:ascii="宋体" w:hAnsi="宋体" w:cs="宋体"/>
          <w:b/>
          <w:color w:val="auto"/>
          <w:sz w:val="24"/>
          <w:highlight w:val="none"/>
        </w:rPr>
        <w:br w:type="page"/>
      </w:r>
    </w:p>
    <w:p w14:paraId="58B58309">
      <w:pPr>
        <w:snapToGrid w:val="0"/>
        <w:spacing w:before="120" w:beforeLines="50" w:after="50"/>
        <w:ind w:left="142"/>
        <w:jc w:val="left"/>
        <w:rPr>
          <w:rFonts w:hint="eastAsia" w:ascii="宋体" w:hAnsi="宋体" w:cs="宋体"/>
          <w:b/>
          <w:color w:val="auto"/>
          <w:sz w:val="24"/>
          <w:highlight w:val="none"/>
        </w:rPr>
        <w:sectPr>
          <w:pgSz w:w="11906" w:h="16838"/>
          <w:pgMar w:top="1134" w:right="1247" w:bottom="1134" w:left="1247" w:header="737" w:footer="680" w:gutter="113"/>
          <w:pgNumType w:fmt="decimal"/>
          <w:cols w:space="720" w:num="1"/>
          <w:titlePg/>
          <w:docGrid w:linePitch="312" w:charSpace="0"/>
        </w:sectPr>
      </w:pPr>
    </w:p>
    <w:p w14:paraId="3FE2EB3D">
      <w:pPr>
        <w:jc w:val="center"/>
        <w:outlineLvl w:val="1"/>
        <w:rPr>
          <w:rFonts w:hint="default" w:eastAsia="宋体"/>
          <w:b/>
          <w:color w:val="auto"/>
          <w:kern w:val="0"/>
          <w:sz w:val="30"/>
          <w:szCs w:val="30"/>
          <w:highlight w:val="none"/>
          <w:lang w:val="en-US" w:eastAsia="zh-CN"/>
        </w:rPr>
      </w:pPr>
      <w:bookmarkStart w:id="182" w:name="_Toc728"/>
      <w:r>
        <w:rPr>
          <w:rFonts w:hint="eastAsia"/>
          <w:b/>
          <w:color w:val="auto"/>
          <w:kern w:val="0"/>
          <w:sz w:val="30"/>
          <w:szCs w:val="30"/>
          <w:highlight w:val="none"/>
        </w:rPr>
        <w:t>中小企业声明函</w:t>
      </w:r>
      <w:r>
        <w:rPr>
          <w:rFonts w:hint="eastAsia"/>
          <w:b/>
          <w:color w:val="auto"/>
          <w:kern w:val="0"/>
          <w:sz w:val="30"/>
          <w:szCs w:val="30"/>
          <w:highlight w:val="none"/>
          <w:lang w:eastAsia="zh-CN"/>
        </w:rPr>
        <w:t>（</w:t>
      </w:r>
      <w:r>
        <w:rPr>
          <w:rFonts w:hint="eastAsia"/>
          <w:b/>
          <w:color w:val="auto"/>
          <w:kern w:val="0"/>
          <w:sz w:val="30"/>
          <w:szCs w:val="30"/>
          <w:highlight w:val="none"/>
          <w:lang w:val="en-US" w:eastAsia="zh-CN"/>
        </w:rPr>
        <w:t>分标2）</w:t>
      </w:r>
      <w:bookmarkEnd w:id="182"/>
    </w:p>
    <w:p w14:paraId="37556CF5">
      <w:pPr>
        <w:rPr>
          <w:rFonts w:ascii="宋体" w:hAnsi="Courier New"/>
          <w:color w:val="auto"/>
          <w:spacing w:val="-4"/>
          <w:kern w:val="0"/>
          <w:szCs w:val="21"/>
          <w:highlight w:val="none"/>
        </w:rPr>
      </w:pPr>
      <w:r>
        <w:rPr>
          <w:rFonts w:hint="eastAsia" w:ascii="宋体" w:hAnsi="宋体"/>
          <w:color w:val="auto"/>
          <w:spacing w:val="-4"/>
          <w:kern w:val="0"/>
          <w:szCs w:val="21"/>
          <w:highlight w:val="none"/>
        </w:rPr>
        <w:t>说明：</w:t>
      </w:r>
    </w:p>
    <w:p w14:paraId="440574C4">
      <w:pPr>
        <w:ind w:firstLine="404" w:firstLineChars="200"/>
        <w:rPr>
          <w:rFonts w:ascii="宋体" w:hAnsi="Courier New"/>
          <w:color w:val="auto"/>
          <w:spacing w:val="-4"/>
          <w:kern w:val="0"/>
          <w:szCs w:val="21"/>
          <w:highlight w:val="none"/>
        </w:rPr>
      </w:pPr>
      <w:r>
        <w:rPr>
          <w:rFonts w:ascii="宋体" w:hAnsi="Courier New"/>
          <w:color w:val="auto"/>
          <w:spacing w:val="-4"/>
          <w:kern w:val="0"/>
          <w:szCs w:val="21"/>
          <w:highlight w:val="none"/>
        </w:rPr>
        <w:t>1</w:t>
      </w:r>
      <w:r>
        <w:rPr>
          <w:rFonts w:hint="eastAsia" w:ascii="宋体" w:hAnsi="宋体"/>
          <w:color w:val="auto"/>
          <w:spacing w:val="-4"/>
          <w:kern w:val="0"/>
          <w:szCs w:val="21"/>
          <w:highlight w:val="none"/>
        </w:rPr>
        <w:t>、本声明函主要供参加政府采购活动的中小企业填写，非中小企业无需填写。</w:t>
      </w:r>
    </w:p>
    <w:p w14:paraId="39934B5B">
      <w:pPr>
        <w:ind w:firstLine="404" w:firstLineChars="200"/>
        <w:rPr>
          <w:rFonts w:hint="eastAsia" w:ascii="宋体" w:hAnsi="宋体"/>
          <w:color w:val="auto"/>
          <w:spacing w:val="-4"/>
          <w:kern w:val="0"/>
          <w:szCs w:val="21"/>
          <w:highlight w:val="none"/>
        </w:rPr>
      </w:pPr>
      <w:r>
        <w:rPr>
          <w:rFonts w:ascii="宋体" w:hAnsi="Courier New"/>
          <w:color w:val="auto"/>
          <w:spacing w:val="-4"/>
          <w:kern w:val="0"/>
          <w:szCs w:val="21"/>
          <w:highlight w:val="none"/>
        </w:rPr>
        <w:t>2</w:t>
      </w:r>
      <w:r>
        <w:rPr>
          <w:rFonts w:hint="eastAsia" w:ascii="宋体" w:hAnsi="宋体"/>
          <w:color w:val="auto"/>
          <w:spacing w:val="-4"/>
          <w:kern w:val="0"/>
          <w:szCs w:val="21"/>
          <w:highlight w:val="none"/>
        </w:rPr>
        <w:t>、小型、微型企业提供中型企业提供的</w:t>
      </w:r>
      <w:r>
        <w:rPr>
          <w:rFonts w:hint="eastAsia" w:ascii="宋体" w:hAnsi="宋体"/>
          <w:color w:val="auto"/>
          <w:spacing w:val="-4"/>
          <w:kern w:val="0"/>
          <w:szCs w:val="21"/>
          <w:highlight w:val="none"/>
          <w:lang w:eastAsia="zh-CN"/>
        </w:rPr>
        <w:t>货物</w:t>
      </w:r>
      <w:r>
        <w:rPr>
          <w:rFonts w:hint="eastAsia" w:ascii="宋体" w:hAnsi="宋体"/>
          <w:color w:val="auto"/>
          <w:spacing w:val="-4"/>
          <w:kern w:val="0"/>
          <w:szCs w:val="21"/>
          <w:highlight w:val="none"/>
        </w:rPr>
        <w:t>的，视同为中型企业。</w:t>
      </w:r>
    </w:p>
    <w:p w14:paraId="15B645FF">
      <w:pPr>
        <w:ind w:firstLine="404" w:firstLineChars="200"/>
        <w:rPr>
          <w:rFonts w:hint="eastAsia" w:ascii="宋体" w:hAnsi="宋体"/>
          <w:color w:val="auto"/>
          <w:spacing w:val="-4"/>
          <w:kern w:val="0"/>
          <w:szCs w:val="21"/>
          <w:highlight w:val="none"/>
        </w:rPr>
      </w:pPr>
    </w:p>
    <w:p w14:paraId="52CBCC0D">
      <w:pPr>
        <w:spacing w:after="120" w:line="500" w:lineRule="exact"/>
        <w:ind w:right="142"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本公司（联合体）郑重声明，根据《政府采购促进中小企业发展管理办法》（财库﹝2020﹞46号）的规定，本公司（联合体）参加</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rPr>
        <w:t>的</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rPr>
        <w:t>采购活动，</w:t>
      </w:r>
      <w:r>
        <w:rPr>
          <w:rFonts w:hint="eastAsia" w:ascii="宋体" w:hAnsi="宋体"/>
          <w:color w:val="auto"/>
          <w:kern w:val="24"/>
          <w:highlight w:val="none"/>
        </w:rPr>
        <w:t>提供的货物全部由符合政策要求的中小企业制造。相关企业（含联合体中的中小企业、签订分包意向协议的中小企业）的具体情况如下</w:t>
      </w:r>
      <w:r>
        <w:rPr>
          <w:rFonts w:hint="eastAsia" w:ascii="宋体" w:hAnsi="宋体"/>
          <w:color w:val="auto"/>
          <w:kern w:val="0"/>
          <w:szCs w:val="21"/>
          <w:highlight w:val="none"/>
        </w:rPr>
        <w:t>：</w:t>
      </w:r>
    </w:p>
    <w:p w14:paraId="45750000">
      <w:pPr>
        <w:tabs>
          <w:tab w:val="left" w:pos="1384"/>
          <w:tab w:val="left" w:pos="4562"/>
          <w:tab w:val="left" w:pos="6803"/>
        </w:tabs>
        <w:spacing w:before="13" w:line="500" w:lineRule="exact"/>
        <w:ind w:right="142" w:firstLine="600" w:firstLineChars="286"/>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w:t>
      </w:r>
      <w:r>
        <w:rPr>
          <w:rFonts w:hint="eastAsia" w:ascii="宋体" w:hAnsi="宋体" w:eastAsia="宋体" w:cs="Times New Roman"/>
          <w:color w:val="auto"/>
          <w:kern w:val="24"/>
          <w:highlight w:val="none"/>
        </w:rPr>
        <w:t>制造商</w:t>
      </w:r>
      <w:r>
        <w:rPr>
          <w:rFonts w:hint="eastAsia" w:ascii="宋体" w:hAnsi="宋体"/>
          <w:color w:val="auto"/>
          <w:szCs w:val="21"/>
          <w:highlight w:val="none"/>
        </w:rPr>
        <w:t>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300F01EF">
      <w:pPr>
        <w:tabs>
          <w:tab w:val="left" w:pos="1065"/>
          <w:tab w:val="left" w:pos="4262"/>
          <w:tab w:val="left" w:pos="6477"/>
        </w:tabs>
        <w:spacing w:before="20" w:line="500" w:lineRule="exact"/>
        <w:ind w:right="84" w:firstLine="600" w:firstLineChars="286"/>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w:t>
      </w:r>
      <w:r>
        <w:rPr>
          <w:rFonts w:hint="eastAsia" w:ascii="宋体" w:hAnsi="宋体" w:eastAsia="宋体" w:cs="Times New Roman"/>
          <w:color w:val="auto"/>
          <w:kern w:val="24"/>
          <w:highlight w:val="none"/>
        </w:rPr>
        <w:t>制造商</w:t>
      </w:r>
      <w:r>
        <w:rPr>
          <w:rFonts w:hint="eastAsia" w:ascii="宋体" w:hAnsi="宋体"/>
          <w:color w:val="auto"/>
          <w:szCs w:val="21"/>
          <w:highlight w:val="none"/>
        </w:rPr>
        <w:t>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685D02FF">
      <w:pPr>
        <w:spacing w:before="34" w:after="120" w:line="500" w:lineRule="exact"/>
        <w:ind w:left="765" w:right="142" w:hanging="5"/>
        <w:rPr>
          <w:rFonts w:hint="eastAsia" w:ascii="宋体" w:hAnsi="宋体"/>
          <w:color w:val="auto"/>
          <w:kern w:val="0"/>
          <w:szCs w:val="21"/>
          <w:highlight w:val="none"/>
        </w:rPr>
      </w:pPr>
      <w:r>
        <w:rPr>
          <w:rFonts w:hint="eastAsia" w:ascii="宋体" w:hAnsi="宋体"/>
          <w:color w:val="auto"/>
          <w:kern w:val="0"/>
          <w:szCs w:val="21"/>
          <w:highlight w:val="none"/>
        </w:rPr>
        <w:t xml:space="preserve">…… </w:t>
      </w:r>
    </w:p>
    <w:p w14:paraId="0C142F58">
      <w:pPr>
        <w:spacing w:before="34" w:after="120" w:line="500" w:lineRule="exact"/>
        <w:ind w:right="142"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以上企业，不属于大企业的分支机构，不存在控股股东为大企业的情形，也不存在与大企业的负责人为同一人的情形。</w:t>
      </w:r>
    </w:p>
    <w:p w14:paraId="1E60F1FF">
      <w:pPr>
        <w:spacing w:before="34" w:after="120" w:line="500" w:lineRule="exact"/>
        <w:ind w:right="142"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本企业对上述声明内容的真实性负责。如有虚假，将依法承担相应责任。</w:t>
      </w:r>
    </w:p>
    <w:p w14:paraId="4E3AC806">
      <w:pPr>
        <w:spacing w:line="360" w:lineRule="auto"/>
        <w:ind w:firstLine="420" w:firstLineChars="200"/>
        <w:rPr>
          <w:rFonts w:hint="eastAsia" w:ascii="宋体" w:hAnsi="宋体"/>
          <w:color w:val="auto"/>
          <w:kern w:val="0"/>
          <w:szCs w:val="21"/>
          <w:highlight w:val="none"/>
        </w:rPr>
      </w:pPr>
    </w:p>
    <w:p w14:paraId="76EB1D44">
      <w:pPr>
        <w:spacing w:line="360" w:lineRule="auto"/>
        <w:ind w:firstLine="420" w:firstLineChars="200"/>
        <w:rPr>
          <w:rFonts w:hint="eastAsia" w:ascii="宋体" w:hAnsi="宋体"/>
          <w:color w:val="auto"/>
          <w:kern w:val="0"/>
          <w:szCs w:val="21"/>
          <w:highlight w:val="none"/>
        </w:rPr>
      </w:pPr>
    </w:p>
    <w:p w14:paraId="3B1AA185">
      <w:pPr>
        <w:snapToGrid w:val="0"/>
        <w:spacing w:line="360" w:lineRule="auto"/>
        <w:ind w:firstLine="4410" w:firstLineChars="2100"/>
        <w:rPr>
          <w:rFonts w:hint="eastAsia" w:ascii="仿宋_GB2312" w:hAnsi="仿宋" w:eastAsia="仿宋_GB2312" w:cs="仿宋_GB2312"/>
          <w:color w:val="auto"/>
          <w:kern w:val="0"/>
          <w:szCs w:val="21"/>
          <w:highlight w:val="none"/>
        </w:rPr>
      </w:pPr>
      <w:r>
        <w:rPr>
          <w:rFonts w:hint="eastAsia" w:ascii="仿宋_GB2312" w:hAnsi="仿宋" w:eastAsia="仿宋_GB2312" w:cs="仿宋_GB2312"/>
          <w:color w:val="auto"/>
          <w:kern w:val="0"/>
          <w:szCs w:val="21"/>
          <w:highlight w:val="none"/>
          <w:lang w:val="zh-CN"/>
        </w:rPr>
        <w:t>投标人名称(电子签章)：</w:t>
      </w:r>
    </w:p>
    <w:p w14:paraId="4CB9AE04">
      <w:pPr>
        <w:snapToGrid w:val="0"/>
        <w:spacing w:line="360" w:lineRule="auto"/>
        <w:ind w:firstLine="4515" w:firstLineChars="2150"/>
        <w:rPr>
          <w:rFonts w:hint="eastAsia" w:ascii="仿宋_GB2312" w:hAnsi="仿宋" w:eastAsia="仿宋_GB2312" w:cs="仿宋_GB2312"/>
          <w:color w:val="auto"/>
          <w:kern w:val="0"/>
          <w:szCs w:val="21"/>
          <w:highlight w:val="none"/>
          <w:lang w:val="zh-CN"/>
        </w:rPr>
      </w:pPr>
      <w:r>
        <w:rPr>
          <w:rFonts w:hint="eastAsia" w:ascii="仿宋_GB2312" w:hAnsi="仿宋" w:eastAsia="仿宋_GB2312" w:cs="仿宋_GB2312"/>
          <w:color w:val="auto"/>
          <w:kern w:val="0"/>
          <w:szCs w:val="21"/>
          <w:highlight w:val="none"/>
          <w:lang w:val="zh-CN"/>
        </w:rPr>
        <w:t>日期</w:t>
      </w:r>
      <w:r>
        <w:rPr>
          <w:rFonts w:hint="eastAsia" w:ascii="仿宋_GB2312" w:hAnsi="仿宋" w:eastAsia="仿宋_GB2312" w:cs="仿宋_GB2312"/>
          <w:color w:val="auto"/>
          <w:kern w:val="0"/>
          <w:szCs w:val="21"/>
          <w:highlight w:val="none"/>
        </w:rPr>
        <w:t xml:space="preserve">：  年  </w:t>
      </w:r>
      <w:r>
        <w:rPr>
          <w:rFonts w:hint="eastAsia" w:ascii="仿宋_GB2312" w:hAnsi="仿宋" w:eastAsia="仿宋_GB2312" w:cs="仿宋_GB2312"/>
          <w:color w:val="auto"/>
          <w:kern w:val="0"/>
          <w:szCs w:val="21"/>
          <w:highlight w:val="none"/>
          <w:lang w:val="zh-CN"/>
        </w:rPr>
        <w:t>月</w:t>
      </w:r>
      <w:r>
        <w:rPr>
          <w:rFonts w:hint="eastAsia" w:ascii="仿宋_GB2312" w:hAnsi="仿宋" w:eastAsia="仿宋_GB2312" w:cs="仿宋_GB2312"/>
          <w:color w:val="auto"/>
          <w:kern w:val="0"/>
          <w:szCs w:val="21"/>
          <w:highlight w:val="none"/>
        </w:rPr>
        <w:t xml:space="preserve">   </w:t>
      </w:r>
      <w:r>
        <w:rPr>
          <w:rFonts w:hint="eastAsia" w:ascii="仿宋_GB2312" w:hAnsi="仿宋" w:eastAsia="仿宋_GB2312" w:cs="仿宋_GB2312"/>
          <w:color w:val="auto"/>
          <w:kern w:val="0"/>
          <w:szCs w:val="21"/>
          <w:highlight w:val="none"/>
          <w:lang w:val="zh-CN"/>
        </w:rPr>
        <w:t>日</w:t>
      </w:r>
    </w:p>
    <w:p w14:paraId="016002FC">
      <w:pPr>
        <w:spacing w:line="360" w:lineRule="auto"/>
        <w:ind w:firstLine="420" w:firstLineChars="200"/>
        <w:rPr>
          <w:rFonts w:hint="eastAsia" w:ascii="宋体" w:hAnsi="宋体"/>
          <w:color w:val="auto"/>
          <w:kern w:val="0"/>
          <w:szCs w:val="21"/>
          <w:highlight w:val="none"/>
        </w:rPr>
      </w:pPr>
    </w:p>
    <w:p w14:paraId="560C2222">
      <w:pPr>
        <w:snapToGrid w:val="0"/>
        <w:spacing w:before="50" w:after="165" w:afterLines="50" w:line="360" w:lineRule="auto"/>
        <w:jc w:val="left"/>
        <w:rPr>
          <w:rFonts w:hint="eastAsia" w:hAnsi="宋体" w:cs="宋体"/>
          <w:color w:val="auto"/>
          <w:szCs w:val="21"/>
          <w:highlight w:val="none"/>
        </w:rPr>
      </w:pPr>
      <w:r>
        <w:rPr>
          <w:rFonts w:hint="eastAsia" w:hAnsi="宋体" w:cs="宋体"/>
          <w:color w:val="auto"/>
          <w:szCs w:val="21"/>
          <w:highlight w:val="none"/>
        </w:rPr>
        <w:t>注：</w:t>
      </w:r>
    </w:p>
    <w:p w14:paraId="24817A95">
      <w:pPr>
        <w:numPr>
          <w:ilvl w:val="0"/>
          <w:numId w:val="9"/>
        </w:numPr>
        <w:snapToGrid w:val="0"/>
        <w:spacing w:before="50" w:after="165" w:afterLines="50" w:line="360" w:lineRule="auto"/>
        <w:jc w:val="left"/>
        <w:rPr>
          <w:color w:val="auto"/>
          <w:szCs w:val="21"/>
          <w:highlight w:val="none"/>
        </w:rPr>
      </w:pPr>
      <w:r>
        <w:rPr>
          <w:rFonts w:hint="eastAsia"/>
          <w:color w:val="auto"/>
          <w:szCs w:val="21"/>
          <w:highlight w:val="none"/>
        </w:rPr>
        <w:t>从业人员、营业收入、资产总额填报上一年度数据，无上一年度数据的新成立企业可不填报。</w:t>
      </w:r>
    </w:p>
    <w:p w14:paraId="01161420">
      <w:pPr>
        <w:snapToGrid w:val="0"/>
        <w:spacing w:before="50" w:after="165" w:afterLines="50" w:line="360" w:lineRule="auto"/>
        <w:ind w:firstLine="315" w:firstLineChars="150"/>
        <w:jc w:val="left"/>
        <w:rPr>
          <w:color w:val="auto"/>
          <w:szCs w:val="21"/>
          <w:highlight w:val="none"/>
        </w:rPr>
      </w:pPr>
      <w:r>
        <w:rPr>
          <w:color w:val="auto"/>
          <w:szCs w:val="21"/>
          <w:highlight w:val="none"/>
        </w:rPr>
        <w:t>2</w:t>
      </w:r>
      <w:r>
        <w:rPr>
          <w:rFonts w:hint="eastAsia"/>
          <w:color w:val="auto"/>
          <w:szCs w:val="21"/>
          <w:highlight w:val="none"/>
        </w:rPr>
        <w:t>、请根据自己的真实情况出具《中小企业声明函》。依法享受中小企业优惠政策的，采购人或者采购代理机构在公告中标结果时，同时公告其《中小企业声明函》，接受社会监督。</w:t>
      </w:r>
    </w:p>
    <w:p w14:paraId="114C92A3">
      <w:pPr>
        <w:widowControl/>
        <w:spacing w:line="360" w:lineRule="auto"/>
        <w:jc w:val="left"/>
        <w:rPr>
          <w:color w:val="auto"/>
          <w:szCs w:val="21"/>
          <w:highlight w:val="none"/>
        </w:rPr>
        <w:sectPr>
          <w:pgSz w:w="11906" w:h="16838"/>
          <w:pgMar w:top="1134" w:right="1134" w:bottom="1134" w:left="1134" w:header="720" w:footer="720" w:gutter="0"/>
          <w:cols w:space="720" w:num="1"/>
          <w:docGrid w:type="lines" w:linePitch="331" w:charSpace="0"/>
        </w:sectPr>
      </w:pPr>
    </w:p>
    <w:p w14:paraId="027B7641">
      <w:pPr>
        <w:outlineLvl w:val="1"/>
        <w:rPr>
          <w:rFonts w:ascii="宋体" w:hAnsi="宋体" w:cs="宋体"/>
          <w:b/>
          <w:color w:val="auto"/>
          <w:sz w:val="28"/>
          <w:szCs w:val="28"/>
          <w:highlight w:val="none"/>
        </w:rPr>
      </w:pPr>
      <w:bookmarkStart w:id="183" w:name="_Toc21506"/>
      <w:r>
        <w:rPr>
          <w:rFonts w:hint="eastAsia" w:ascii="宋体" w:hAnsi="宋体" w:cs="宋体"/>
          <w:b/>
          <w:color w:val="auto"/>
          <w:sz w:val="28"/>
          <w:szCs w:val="28"/>
          <w:highlight w:val="none"/>
        </w:rPr>
        <w:t>二、资格证明文件格式</w:t>
      </w:r>
      <w:bookmarkEnd w:id="179"/>
      <w:bookmarkEnd w:id="183"/>
    </w:p>
    <w:p w14:paraId="16ACE3EF">
      <w:pPr>
        <w:tabs>
          <w:tab w:val="left" w:pos="1815"/>
        </w:tabs>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1.资格证明文件封面格式：</w:t>
      </w:r>
    </w:p>
    <w:p w14:paraId="16325B45">
      <w:pPr>
        <w:snapToGrid w:val="0"/>
        <w:spacing w:before="120" w:beforeLines="50" w:after="50" w:line="360" w:lineRule="auto"/>
        <w:jc w:val="center"/>
        <w:rPr>
          <w:rFonts w:ascii="宋体" w:hAnsi="宋体" w:cs="宋体"/>
          <w:bCs/>
          <w:color w:val="auto"/>
          <w:sz w:val="48"/>
          <w:szCs w:val="48"/>
          <w:highlight w:val="none"/>
        </w:rPr>
      </w:pPr>
    </w:p>
    <w:p w14:paraId="73C2A0D5">
      <w:pPr>
        <w:snapToGrid w:val="0"/>
        <w:spacing w:before="120" w:beforeLines="50" w:after="50" w:line="360" w:lineRule="auto"/>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C90768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outlineLvl w:val="0"/>
        <w:rPr>
          <w:rFonts w:ascii="宋体" w:hAnsi="宋体" w:cs="宋体"/>
          <w:b/>
          <w:color w:val="auto"/>
          <w:sz w:val="44"/>
          <w:szCs w:val="44"/>
          <w:highlight w:val="none"/>
        </w:rPr>
      </w:pPr>
      <w:bookmarkStart w:id="184" w:name="_Toc11558"/>
      <w:r>
        <w:rPr>
          <w:rFonts w:hint="eastAsia" w:ascii="宋体" w:hAnsi="宋体" w:cs="宋体"/>
          <w:b/>
          <w:color w:val="auto"/>
          <w:sz w:val="44"/>
          <w:szCs w:val="44"/>
          <w:highlight w:val="none"/>
        </w:rPr>
        <w:t>第二</w:t>
      </w:r>
      <w:r>
        <w:rPr>
          <w:rFonts w:hint="eastAsia" w:ascii="宋体" w:hAnsi="宋体" w:cs="宋体"/>
          <w:b/>
          <w:color w:val="auto"/>
          <w:sz w:val="44"/>
          <w:szCs w:val="44"/>
          <w:highlight w:val="none"/>
          <w:lang w:eastAsia="zh-CN"/>
        </w:rPr>
        <w:t>节</w:t>
      </w:r>
      <w:r>
        <w:rPr>
          <w:rFonts w:hint="eastAsia" w:ascii="宋体" w:hAnsi="宋体" w:cs="宋体"/>
          <w:b/>
          <w:color w:val="auto"/>
          <w:sz w:val="44"/>
          <w:szCs w:val="44"/>
          <w:highlight w:val="none"/>
        </w:rPr>
        <w:t xml:space="preserve"> 资格证明文件</w:t>
      </w:r>
      <w:bookmarkEnd w:id="184"/>
    </w:p>
    <w:p w14:paraId="1AF117AA">
      <w:pPr>
        <w:snapToGrid w:val="0"/>
        <w:spacing w:before="120" w:beforeLines="50" w:after="50"/>
        <w:rPr>
          <w:rFonts w:ascii="宋体" w:hAnsi="宋体" w:cs="宋体"/>
          <w:bCs/>
          <w:color w:val="auto"/>
          <w:sz w:val="24"/>
          <w:szCs w:val="20"/>
          <w:highlight w:val="none"/>
        </w:rPr>
      </w:pPr>
    </w:p>
    <w:p w14:paraId="76D1C385">
      <w:pPr>
        <w:snapToGrid w:val="0"/>
        <w:spacing w:before="120" w:beforeLines="50" w:after="50" w:line="400" w:lineRule="exact"/>
        <w:ind w:left="840" w:leftChars="400" w:firstLine="360" w:firstLineChars="150"/>
        <w:rPr>
          <w:rFonts w:ascii="宋体" w:hAnsi="宋体"/>
          <w:bCs/>
          <w:color w:val="auto"/>
          <w:sz w:val="24"/>
          <w:highlight w:val="none"/>
          <w:u w:val="single"/>
        </w:rPr>
      </w:pPr>
      <w:r>
        <w:rPr>
          <w:rFonts w:hint="eastAsia" w:ascii="宋体" w:hAnsi="宋体"/>
          <w:bCs/>
          <w:color w:val="auto"/>
          <w:sz w:val="24"/>
          <w:highlight w:val="none"/>
        </w:rPr>
        <w:t>项目名称：</w:t>
      </w:r>
    </w:p>
    <w:p w14:paraId="634E4725">
      <w:pPr>
        <w:snapToGrid w:val="0"/>
        <w:spacing w:before="120" w:beforeLines="50" w:after="50" w:line="400" w:lineRule="exact"/>
        <w:ind w:left="840" w:leftChars="400" w:firstLine="360" w:firstLineChars="150"/>
        <w:rPr>
          <w:rFonts w:ascii="宋体" w:hAnsi="宋体"/>
          <w:bCs/>
          <w:color w:val="auto"/>
          <w:sz w:val="24"/>
          <w:highlight w:val="none"/>
        </w:rPr>
      </w:pPr>
    </w:p>
    <w:p w14:paraId="514C1718">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项目编号：</w:t>
      </w:r>
    </w:p>
    <w:p w14:paraId="5AA301C3">
      <w:pPr>
        <w:snapToGrid w:val="0"/>
        <w:spacing w:before="120" w:beforeLines="50" w:after="50" w:line="400" w:lineRule="exact"/>
        <w:ind w:left="840" w:leftChars="400" w:firstLine="360" w:firstLineChars="150"/>
        <w:rPr>
          <w:rFonts w:ascii="宋体" w:hAnsi="宋体"/>
          <w:bCs/>
          <w:color w:val="auto"/>
          <w:sz w:val="24"/>
          <w:highlight w:val="none"/>
        </w:rPr>
      </w:pPr>
    </w:p>
    <w:p w14:paraId="6A8D820F">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42A17A24">
      <w:pPr>
        <w:snapToGrid w:val="0"/>
        <w:spacing w:before="120" w:beforeLines="50" w:after="50" w:line="400" w:lineRule="exact"/>
        <w:ind w:left="840" w:leftChars="400" w:firstLine="360" w:firstLineChars="150"/>
        <w:rPr>
          <w:rFonts w:ascii="宋体" w:hAnsi="宋体"/>
          <w:bCs/>
          <w:color w:val="auto"/>
          <w:sz w:val="24"/>
          <w:highlight w:val="none"/>
        </w:rPr>
      </w:pPr>
    </w:p>
    <w:p w14:paraId="5EA352DA">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7B674F14">
      <w:pPr>
        <w:snapToGrid w:val="0"/>
        <w:spacing w:before="120" w:beforeLines="50" w:after="50" w:line="400" w:lineRule="exact"/>
        <w:ind w:left="840" w:leftChars="400" w:firstLine="360" w:firstLineChars="150"/>
        <w:rPr>
          <w:rFonts w:ascii="宋体" w:hAnsi="宋体"/>
          <w:bCs/>
          <w:color w:val="auto"/>
          <w:sz w:val="24"/>
          <w:highlight w:val="none"/>
        </w:rPr>
      </w:pPr>
    </w:p>
    <w:p w14:paraId="30EDF2D8">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2499F7F1">
      <w:pPr>
        <w:snapToGrid w:val="0"/>
        <w:spacing w:before="120" w:beforeLines="50" w:after="50" w:line="400" w:lineRule="exact"/>
        <w:rPr>
          <w:rFonts w:ascii="宋体" w:hAnsi="宋体" w:cs="宋体"/>
          <w:color w:val="auto"/>
          <w:sz w:val="24"/>
          <w:highlight w:val="none"/>
        </w:rPr>
      </w:pPr>
    </w:p>
    <w:p w14:paraId="58BD7AC1">
      <w:pPr>
        <w:snapToGrid w:val="0"/>
        <w:spacing w:before="120" w:beforeLines="50" w:after="50" w:line="400" w:lineRule="exact"/>
        <w:rPr>
          <w:rFonts w:ascii="宋体" w:hAnsi="宋体" w:cs="宋体"/>
          <w:color w:val="auto"/>
          <w:sz w:val="24"/>
          <w:highlight w:val="none"/>
        </w:rPr>
      </w:pPr>
    </w:p>
    <w:p w14:paraId="0AA3D517">
      <w:pPr>
        <w:snapToGrid w:val="0"/>
        <w:spacing w:before="120" w:beforeLines="50" w:after="50" w:line="400" w:lineRule="exact"/>
        <w:jc w:val="center"/>
        <w:rPr>
          <w:rFonts w:ascii="宋体" w:hAnsi="宋体" w:cs="宋体"/>
          <w:color w:val="auto"/>
          <w:sz w:val="30"/>
          <w:szCs w:val="20"/>
          <w:highlight w:val="none"/>
        </w:rPr>
      </w:pPr>
      <w:r>
        <w:rPr>
          <w:rFonts w:hint="eastAsia" w:ascii="宋体" w:hAnsi="宋体" w:cs="宋体"/>
          <w:color w:val="auto"/>
          <w:sz w:val="24"/>
          <w:highlight w:val="none"/>
        </w:rPr>
        <w:t>年月日</w:t>
      </w:r>
    </w:p>
    <w:p w14:paraId="3A9E4547">
      <w:pPr>
        <w:snapToGrid w:val="0"/>
        <w:spacing w:line="360" w:lineRule="auto"/>
        <w:jc w:val="center"/>
        <w:rPr>
          <w:rFonts w:ascii="宋体" w:hAnsi="宋体" w:cs="宋体"/>
          <w:color w:val="auto"/>
          <w:sz w:val="24"/>
          <w:highlight w:val="none"/>
        </w:rPr>
      </w:pPr>
    </w:p>
    <w:p w14:paraId="16237208">
      <w:pPr>
        <w:tabs>
          <w:tab w:val="left" w:pos="1815"/>
        </w:tabs>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w:t>
      </w:r>
      <w:r>
        <w:rPr>
          <w:rFonts w:hint="eastAsia" w:ascii="宋体" w:hAnsi="宋体" w:cs="宋体"/>
          <w:b/>
          <w:color w:val="auto"/>
          <w:sz w:val="24"/>
          <w:highlight w:val="none"/>
        </w:rPr>
        <w:t>资格证明文件目录</w:t>
      </w:r>
    </w:p>
    <w:p w14:paraId="643BAD8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4FC4ECA1">
      <w:pPr>
        <w:snapToGrid w:val="0"/>
        <w:spacing w:before="50" w:after="120" w:afterLines="50"/>
        <w:jc w:val="left"/>
        <w:rPr>
          <w:rFonts w:ascii="宋体" w:hAnsi="宋体" w:cs="宋体"/>
          <w:color w:val="auto"/>
          <w:sz w:val="24"/>
          <w:highlight w:val="none"/>
        </w:rPr>
      </w:pPr>
    </w:p>
    <w:p w14:paraId="6EFD7BB4">
      <w:pPr>
        <w:snapToGrid w:val="0"/>
        <w:spacing w:before="50" w:after="120" w:afterLines="50"/>
        <w:jc w:val="left"/>
        <w:rPr>
          <w:rFonts w:ascii="宋体" w:hAnsi="宋体" w:cs="宋体"/>
          <w:color w:val="auto"/>
          <w:sz w:val="24"/>
          <w:highlight w:val="none"/>
        </w:rPr>
      </w:pPr>
    </w:p>
    <w:p w14:paraId="1FD8D290">
      <w:pPr>
        <w:tabs>
          <w:tab w:val="left" w:pos="1815"/>
        </w:tabs>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3.投标人直接控股、管理关系信息表</w:t>
      </w:r>
    </w:p>
    <w:p w14:paraId="30BD4BC0">
      <w:pPr>
        <w:snapToGrid w:val="0"/>
        <w:spacing w:before="50" w:after="120" w:afterLines="50"/>
        <w:jc w:val="center"/>
        <w:rPr>
          <w:rFonts w:ascii="宋体" w:hAnsi="宋体" w:cs="宋体"/>
          <w:b/>
          <w:color w:val="auto"/>
          <w:sz w:val="28"/>
          <w:szCs w:val="28"/>
          <w:highlight w:val="none"/>
        </w:rPr>
      </w:pPr>
    </w:p>
    <w:p w14:paraId="190776EB">
      <w:pPr>
        <w:snapToGrid w:val="0"/>
        <w:spacing w:before="50" w:after="50"/>
        <w:jc w:val="center"/>
        <w:rPr>
          <w:rFonts w:ascii="宋体" w:hAnsi="宋体" w:cs="宋体"/>
          <w:b/>
          <w:color w:val="auto"/>
          <w:sz w:val="32"/>
          <w:highlight w:val="none"/>
        </w:rPr>
      </w:pPr>
      <w:r>
        <w:rPr>
          <w:rFonts w:hint="eastAsia" w:ascii="宋体" w:hAnsi="宋体" w:cs="宋体"/>
          <w:b/>
          <w:color w:val="auto"/>
          <w:sz w:val="32"/>
          <w:highlight w:val="none"/>
        </w:rPr>
        <w:t>投标人直接控股股东信息表</w:t>
      </w:r>
    </w:p>
    <w:p w14:paraId="1498DB55">
      <w:pPr>
        <w:pStyle w:val="9"/>
        <w:rPr>
          <w:color w:val="auto"/>
          <w:highlight w:val="none"/>
        </w:rPr>
      </w:pPr>
    </w:p>
    <w:tbl>
      <w:tblPr>
        <w:tblStyle w:val="18"/>
        <w:tblW w:w="9714" w:type="dxa"/>
        <w:jc w:val="center"/>
        <w:shd w:val="clear" w:color="auto" w:fill="FBFBFB"/>
        <w:tblLayout w:type="fixed"/>
        <w:tblCellMar>
          <w:top w:w="0" w:type="dxa"/>
          <w:left w:w="0" w:type="dxa"/>
          <w:bottom w:w="0" w:type="dxa"/>
          <w:right w:w="0" w:type="dxa"/>
        </w:tblCellMar>
      </w:tblPr>
      <w:tblGrid>
        <w:gridCol w:w="1031"/>
        <w:gridCol w:w="2268"/>
        <w:gridCol w:w="1626"/>
        <w:gridCol w:w="3902"/>
        <w:gridCol w:w="887"/>
      </w:tblGrid>
      <w:tr w14:paraId="117AA53E">
        <w:tblPrEx>
          <w:shd w:val="clear" w:color="auto" w:fill="FBFBFB"/>
          <w:tblCellMar>
            <w:top w:w="0" w:type="dxa"/>
            <w:left w:w="0" w:type="dxa"/>
            <w:bottom w:w="0" w:type="dxa"/>
            <w:right w:w="0" w:type="dxa"/>
          </w:tblCellMar>
        </w:tblPrEx>
        <w:trPr>
          <w:trHeight w:val="433" w:hRule="atLeast"/>
          <w:tblHeader/>
          <w:jc w:val="center"/>
        </w:trPr>
        <w:tc>
          <w:tcPr>
            <w:tcW w:w="103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FB94B4">
            <w:pPr>
              <w:spacing w:line="46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376831">
            <w:pPr>
              <w:spacing w:line="46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62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5340DE">
            <w:pPr>
              <w:spacing w:line="46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90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F868AFA">
            <w:pPr>
              <w:spacing w:line="46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B9029A">
            <w:pPr>
              <w:spacing w:line="46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61FBCF1">
        <w:tblPrEx>
          <w:tblCellMar>
            <w:top w:w="0" w:type="dxa"/>
            <w:left w:w="0" w:type="dxa"/>
            <w:bottom w:w="0" w:type="dxa"/>
            <w:right w:w="0" w:type="dxa"/>
          </w:tblCellMar>
        </w:tblPrEx>
        <w:trPr>
          <w:jc w:val="center"/>
        </w:trPr>
        <w:tc>
          <w:tcPr>
            <w:tcW w:w="10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9CEF47">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F3C3AA">
            <w:pPr>
              <w:spacing w:line="460" w:lineRule="exact"/>
              <w:jc w:val="center"/>
              <w:rPr>
                <w:rFonts w:ascii="宋体" w:hAnsi="宋体" w:cs="宋体"/>
                <w:color w:val="auto"/>
                <w:kern w:val="0"/>
                <w:sz w:val="24"/>
                <w:highlight w:val="none"/>
              </w:rPr>
            </w:pPr>
          </w:p>
        </w:tc>
        <w:tc>
          <w:tcPr>
            <w:tcW w:w="16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08968B">
            <w:pPr>
              <w:spacing w:line="460" w:lineRule="exact"/>
              <w:jc w:val="center"/>
              <w:rPr>
                <w:rFonts w:ascii="宋体" w:hAnsi="宋体" w:cs="宋体"/>
                <w:color w:val="auto"/>
                <w:kern w:val="0"/>
                <w:sz w:val="24"/>
                <w:highlight w:val="none"/>
              </w:rPr>
            </w:pPr>
          </w:p>
        </w:tc>
        <w:tc>
          <w:tcPr>
            <w:tcW w:w="3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F2C36C">
            <w:pPr>
              <w:spacing w:line="460" w:lineRule="exact"/>
              <w:jc w:val="center"/>
              <w:rPr>
                <w:rFonts w:ascii="宋体" w:hAnsi="宋体" w:cs="宋体"/>
                <w:color w:val="auto"/>
                <w:kern w:val="0"/>
                <w:sz w:val="24"/>
                <w:highlight w:val="none"/>
              </w:rPr>
            </w:pPr>
          </w:p>
        </w:tc>
        <w:tc>
          <w:tcPr>
            <w:tcW w:w="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F84A05">
            <w:pPr>
              <w:spacing w:line="460" w:lineRule="exact"/>
              <w:jc w:val="center"/>
              <w:rPr>
                <w:rFonts w:ascii="宋体" w:hAnsi="宋体" w:cs="宋体"/>
                <w:color w:val="auto"/>
                <w:kern w:val="0"/>
                <w:sz w:val="24"/>
                <w:highlight w:val="none"/>
              </w:rPr>
            </w:pPr>
          </w:p>
        </w:tc>
      </w:tr>
      <w:tr w14:paraId="13296C25">
        <w:tblPrEx>
          <w:tblCellMar>
            <w:top w:w="0" w:type="dxa"/>
            <w:left w:w="0" w:type="dxa"/>
            <w:bottom w:w="0" w:type="dxa"/>
            <w:right w:w="0" w:type="dxa"/>
          </w:tblCellMar>
        </w:tblPrEx>
        <w:trPr>
          <w:jc w:val="center"/>
        </w:trPr>
        <w:tc>
          <w:tcPr>
            <w:tcW w:w="10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7E5BAD">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B50E51">
            <w:pPr>
              <w:spacing w:line="460" w:lineRule="exact"/>
              <w:jc w:val="center"/>
              <w:rPr>
                <w:rFonts w:ascii="宋体" w:hAnsi="宋体" w:cs="宋体"/>
                <w:color w:val="auto"/>
                <w:kern w:val="0"/>
                <w:sz w:val="24"/>
                <w:highlight w:val="none"/>
              </w:rPr>
            </w:pPr>
          </w:p>
        </w:tc>
        <w:tc>
          <w:tcPr>
            <w:tcW w:w="16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A0D9C8">
            <w:pPr>
              <w:spacing w:line="460" w:lineRule="exact"/>
              <w:jc w:val="center"/>
              <w:rPr>
                <w:rFonts w:ascii="宋体" w:hAnsi="宋体" w:cs="宋体"/>
                <w:color w:val="auto"/>
                <w:kern w:val="0"/>
                <w:sz w:val="24"/>
                <w:highlight w:val="none"/>
              </w:rPr>
            </w:pPr>
          </w:p>
        </w:tc>
        <w:tc>
          <w:tcPr>
            <w:tcW w:w="3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ACDFB9">
            <w:pPr>
              <w:spacing w:line="460" w:lineRule="exact"/>
              <w:jc w:val="center"/>
              <w:rPr>
                <w:rFonts w:ascii="宋体" w:hAnsi="宋体" w:cs="宋体"/>
                <w:color w:val="auto"/>
                <w:kern w:val="0"/>
                <w:sz w:val="24"/>
                <w:highlight w:val="none"/>
              </w:rPr>
            </w:pPr>
          </w:p>
        </w:tc>
        <w:tc>
          <w:tcPr>
            <w:tcW w:w="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B3DFC6">
            <w:pPr>
              <w:spacing w:line="460" w:lineRule="exact"/>
              <w:jc w:val="center"/>
              <w:rPr>
                <w:rFonts w:ascii="宋体" w:hAnsi="宋体" w:cs="宋体"/>
                <w:color w:val="auto"/>
                <w:kern w:val="0"/>
                <w:sz w:val="24"/>
                <w:highlight w:val="none"/>
              </w:rPr>
            </w:pPr>
          </w:p>
        </w:tc>
      </w:tr>
      <w:tr w14:paraId="53DD8FB1">
        <w:tblPrEx>
          <w:tblCellMar>
            <w:top w:w="0" w:type="dxa"/>
            <w:left w:w="0" w:type="dxa"/>
            <w:bottom w:w="0" w:type="dxa"/>
            <w:right w:w="0" w:type="dxa"/>
          </w:tblCellMar>
        </w:tblPrEx>
        <w:trPr>
          <w:jc w:val="center"/>
        </w:trPr>
        <w:tc>
          <w:tcPr>
            <w:tcW w:w="10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9692A2">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2BB705">
            <w:pPr>
              <w:spacing w:line="460" w:lineRule="exact"/>
              <w:jc w:val="center"/>
              <w:rPr>
                <w:rFonts w:ascii="宋体" w:hAnsi="宋体" w:cs="宋体"/>
                <w:color w:val="auto"/>
                <w:kern w:val="0"/>
                <w:sz w:val="24"/>
                <w:highlight w:val="none"/>
              </w:rPr>
            </w:pPr>
          </w:p>
        </w:tc>
        <w:tc>
          <w:tcPr>
            <w:tcW w:w="16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7EB899">
            <w:pPr>
              <w:spacing w:line="460" w:lineRule="exact"/>
              <w:jc w:val="center"/>
              <w:rPr>
                <w:rFonts w:ascii="宋体" w:hAnsi="宋体" w:cs="宋体"/>
                <w:color w:val="auto"/>
                <w:kern w:val="0"/>
                <w:sz w:val="24"/>
                <w:highlight w:val="none"/>
              </w:rPr>
            </w:pPr>
          </w:p>
        </w:tc>
        <w:tc>
          <w:tcPr>
            <w:tcW w:w="3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5F0CEE">
            <w:pPr>
              <w:spacing w:line="460" w:lineRule="exact"/>
              <w:jc w:val="center"/>
              <w:rPr>
                <w:rFonts w:ascii="宋体" w:hAnsi="宋体" w:cs="宋体"/>
                <w:color w:val="auto"/>
                <w:kern w:val="0"/>
                <w:sz w:val="24"/>
                <w:highlight w:val="none"/>
              </w:rPr>
            </w:pPr>
          </w:p>
        </w:tc>
        <w:tc>
          <w:tcPr>
            <w:tcW w:w="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375521">
            <w:pPr>
              <w:spacing w:line="460" w:lineRule="exact"/>
              <w:jc w:val="center"/>
              <w:rPr>
                <w:rFonts w:ascii="宋体" w:hAnsi="宋体" w:cs="宋体"/>
                <w:color w:val="auto"/>
                <w:kern w:val="0"/>
                <w:sz w:val="24"/>
                <w:highlight w:val="none"/>
              </w:rPr>
            </w:pPr>
          </w:p>
        </w:tc>
      </w:tr>
      <w:tr w14:paraId="11525E7C">
        <w:tblPrEx>
          <w:tblCellMar>
            <w:top w:w="0" w:type="dxa"/>
            <w:left w:w="0" w:type="dxa"/>
            <w:bottom w:w="0" w:type="dxa"/>
            <w:right w:w="0" w:type="dxa"/>
          </w:tblCellMar>
        </w:tblPrEx>
        <w:trPr>
          <w:jc w:val="center"/>
        </w:trPr>
        <w:tc>
          <w:tcPr>
            <w:tcW w:w="10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7AC404">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F2E30D">
            <w:pPr>
              <w:spacing w:line="460" w:lineRule="exact"/>
              <w:jc w:val="center"/>
              <w:rPr>
                <w:rFonts w:ascii="宋体" w:hAnsi="宋体" w:cs="宋体"/>
                <w:color w:val="auto"/>
                <w:kern w:val="0"/>
                <w:sz w:val="24"/>
                <w:highlight w:val="none"/>
              </w:rPr>
            </w:pPr>
          </w:p>
        </w:tc>
        <w:tc>
          <w:tcPr>
            <w:tcW w:w="16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006C37">
            <w:pPr>
              <w:spacing w:line="460" w:lineRule="exact"/>
              <w:jc w:val="center"/>
              <w:rPr>
                <w:rFonts w:ascii="宋体" w:hAnsi="宋体" w:cs="宋体"/>
                <w:color w:val="auto"/>
                <w:kern w:val="0"/>
                <w:sz w:val="24"/>
                <w:highlight w:val="none"/>
              </w:rPr>
            </w:pPr>
          </w:p>
        </w:tc>
        <w:tc>
          <w:tcPr>
            <w:tcW w:w="3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498F20">
            <w:pPr>
              <w:spacing w:line="460" w:lineRule="exact"/>
              <w:jc w:val="center"/>
              <w:rPr>
                <w:rFonts w:ascii="宋体" w:hAnsi="宋体" w:cs="宋体"/>
                <w:color w:val="auto"/>
                <w:kern w:val="0"/>
                <w:sz w:val="24"/>
                <w:highlight w:val="none"/>
              </w:rPr>
            </w:pPr>
          </w:p>
        </w:tc>
        <w:tc>
          <w:tcPr>
            <w:tcW w:w="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834B81">
            <w:pPr>
              <w:spacing w:line="460" w:lineRule="exact"/>
              <w:jc w:val="center"/>
              <w:rPr>
                <w:rFonts w:ascii="宋体" w:hAnsi="宋体" w:cs="宋体"/>
                <w:color w:val="auto"/>
                <w:kern w:val="0"/>
                <w:sz w:val="24"/>
                <w:highlight w:val="none"/>
              </w:rPr>
            </w:pPr>
          </w:p>
        </w:tc>
      </w:tr>
    </w:tbl>
    <w:p w14:paraId="69EEC8D3">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1BC5C12C">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A53263D">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401712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不存在直接控股股东的，则在“</w:t>
      </w:r>
      <w:r>
        <w:rPr>
          <w:rFonts w:hint="eastAsia" w:ascii="宋体" w:hAnsi="宋体" w:cs="宋体"/>
          <w:b/>
          <w:bCs/>
          <w:color w:val="auto"/>
          <w:kern w:val="0"/>
          <w:sz w:val="24"/>
          <w:highlight w:val="none"/>
        </w:rPr>
        <w:t>直接控股股东名称</w:t>
      </w:r>
      <w:r>
        <w:rPr>
          <w:rFonts w:hint="eastAsia" w:ascii="宋体" w:hAnsi="宋体" w:cs="宋体"/>
          <w:color w:val="auto"/>
          <w:sz w:val="24"/>
          <w:highlight w:val="none"/>
        </w:rPr>
        <w:t>”中填“无”。</w:t>
      </w:r>
    </w:p>
    <w:p w14:paraId="5D9C14CE">
      <w:pPr>
        <w:snapToGrid w:val="0"/>
        <w:spacing w:line="360" w:lineRule="auto"/>
        <w:jc w:val="left"/>
        <w:rPr>
          <w:rFonts w:ascii="宋体" w:hAnsi="宋体" w:cs="宋体"/>
          <w:color w:val="auto"/>
          <w:sz w:val="24"/>
          <w:highlight w:val="none"/>
        </w:rPr>
      </w:pPr>
    </w:p>
    <w:p w14:paraId="7A7E422F">
      <w:pPr>
        <w:snapToGrid w:val="0"/>
        <w:spacing w:line="360" w:lineRule="auto"/>
        <w:jc w:val="left"/>
        <w:rPr>
          <w:rFonts w:ascii="宋体" w:hAnsi="宋体" w:cs="宋体"/>
          <w:color w:val="auto"/>
          <w:sz w:val="24"/>
          <w:highlight w:val="none"/>
        </w:rPr>
      </w:pPr>
    </w:p>
    <w:p w14:paraId="27485838">
      <w:pPr>
        <w:snapToGrid w:val="0"/>
        <w:spacing w:line="360" w:lineRule="auto"/>
        <w:jc w:val="left"/>
        <w:rPr>
          <w:rFonts w:ascii="宋体" w:hAnsi="宋体" w:cs="宋体"/>
          <w:color w:val="auto"/>
          <w:sz w:val="24"/>
          <w:highlight w:val="none"/>
        </w:rPr>
      </w:pPr>
    </w:p>
    <w:p w14:paraId="48AF655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76C16D9A">
      <w:pPr>
        <w:spacing w:line="360" w:lineRule="auto"/>
        <w:ind w:firstLine="480" w:firstLineChars="200"/>
        <w:contextualSpacing/>
        <w:rPr>
          <w:rFonts w:ascii="宋体" w:hAnsi="宋体" w:cs="宋体"/>
          <w:color w:val="auto"/>
          <w:sz w:val="24"/>
          <w:highlight w:val="none"/>
          <w:u w:val="single"/>
        </w:rPr>
      </w:pPr>
      <w:r>
        <w:rPr>
          <w:rFonts w:hint="eastAsia" w:hAnsi="宋体" w:cs="宋体"/>
          <w:color w:val="auto"/>
          <w:sz w:val="24"/>
          <w:highlight w:val="none"/>
        </w:rPr>
        <w:t>投标人名称（电子签章）：</w:t>
      </w:r>
    </w:p>
    <w:p w14:paraId="77C4885C">
      <w:pPr>
        <w:spacing w:line="360" w:lineRule="auto"/>
        <w:ind w:firstLine="480" w:firstLineChars="200"/>
        <w:contextualSpacing/>
        <w:rPr>
          <w:rFonts w:hAnsi="宋体" w:cs="宋体"/>
          <w:color w:val="auto"/>
          <w:sz w:val="24"/>
          <w:highlight w:val="none"/>
        </w:rPr>
      </w:pPr>
      <w:r>
        <w:rPr>
          <w:rFonts w:hint="eastAsia" w:hAnsi="宋体" w:cs="宋体"/>
          <w:color w:val="auto"/>
          <w:sz w:val="24"/>
          <w:highlight w:val="none"/>
        </w:rPr>
        <w:t>日期：年月日</w:t>
      </w:r>
    </w:p>
    <w:p w14:paraId="7D3B6548">
      <w:pPr>
        <w:snapToGrid w:val="0"/>
        <w:jc w:val="center"/>
        <w:rPr>
          <w:rFonts w:ascii="宋体" w:hAnsi="宋体" w:cs="宋体"/>
          <w:b/>
          <w:color w:val="auto"/>
          <w:sz w:val="28"/>
          <w:szCs w:val="28"/>
          <w:highlight w:val="none"/>
        </w:rPr>
      </w:pPr>
    </w:p>
    <w:p w14:paraId="42B9CEEE">
      <w:pPr>
        <w:snapToGrid w:val="0"/>
        <w:spacing w:before="50" w:after="50"/>
        <w:jc w:val="center"/>
        <w:rPr>
          <w:rFonts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highlight w:val="none"/>
        </w:rPr>
        <w:t>投标人直接管理关系信息表</w:t>
      </w:r>
    </w:p>
    <w:tbl>
      <w:tblPr>
        <w:tblStyle w:val="18"/>
        <w:tblW w:w="9043" w:type="dxa"/>
        <w:jc w:val="center"/>
        <w:shd w:val="clear" w:color="auto" w:fill="FBFBFB"/>
        <w:tblLayout w:type="fixed"/>
        <w:tblCellMar>
          <w:top w:w="0" w:type="dxa"/>
          <w:left w:w="0" w:type="dxa"/>
          <w:bottom w:w="0" w:type="dxa"/>
          <w:right w:w="0" w:type="dxa"/>
        </w:tblCellMar>
      </w:tblPr>
      <w:tblGrid>
        <w:gridCol w:w="1005"/>
        <w:gridCol w:w="2659"/>
        <w:gridCol w:w="3924"/>
        <w:gridCol w:w="1455"/>
      </w:tblGrid>
      <w:tr w14:paraId="494AE1E1">
        <w:tblPrEx>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2C05B7">
            <w:pPr>
              <w:spacing w:line="46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74E8338">
            <w:pPr>
              <w:spacing w:line="46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C29EE5">
            <w:pPr>
              <w:spacing w:line="46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A3E610">
            <w:pPr>
              <w:spacing w:line="46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D5F3182">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574900">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B1AD82">
            <w:pPr>
              <w:spacing w:line="46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1D8E25">
            <w:pPr>
              <w:spacing w:line="460" w:lineRule="exact"/>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447C38">
            <w:pPr>
              <w:spacing w:line="460" w:lineRule="exact"/>
              <w:jc w:val="center"/>
              <w:rPr>
                <w:rFonts w:ascii="宋体" w:hAnsi="宋体" w:cs="宋体"/>
                <w:color w:val="auto"/>
                <w:kern w:val="0"/>
                <w:sz w:val="24"/>
                <w:highlight w:val="none"/>
              </w:rPr>
            </w:pPr>
          </w:p>
        </w:tc>
      </w:tr>
      <w:tr w14:paraId="7783A19D">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F7172E">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AA6FE4">
            <w:pPr>
              <w:spacing w:line="46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1BF40D">
            <w:pPr>
              <w:spacing w:line="460" w:lineRule="exact"/>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155C53">
            <w:pPr>
              <w:spacing w:line="460" w:lineRule="exact"/>
              <w:jc w:val="center"/>
              <w:rPr>
                <w:rFonts w:ascii="宋体" w:hAnsi="宋体" w:cs="宋体"/>
                <w:color w:val="auto"/>
                <w:kern w:val="0"/>
                <w:sz w:val="24"/>
                <w:highlight w:val="none"/>
              </w:rPr>
            </w:pPr>
          </w:p>
        </w:tc>
      </w:tr>
      <w:tr w14:paraId="56B7CACF">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C27EA0">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B5623D">
            <w:pPr>
              <w:spacing w:line="46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7A5ECA">
            <w:pPr>
              <w:spacing w:line="460" w:lineRule="exact"/>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D6D4CB">
            <w:pPr>
              <w:spacing w:line="460" w:lineRule="exact"/>
              <w:jc w:val="center"/>
              <w:rPr>
                <w:rFonts w:ascii="宋体" w:hAnsi="宋体" w:cs="宋体"/>
                <w:color w:val="auto"/>
                <w:kern w:val="0"/>
                <w:sz w:val="24"/>
                <w:highlight w:val="none"/>
              </w:rPr>
            </w:pPr>
          </w:p>
        </w:tc>
      </w:tr>
      <w:tr w14:paraId="45BF49B3">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1D7AB7">
            <w:pPr>
              <w:spacing w:line="46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B054B5">
            <w:pPr>
              <w:spacing w:line="460" w:lineRule="exact"/>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A84256">
            <w:pPr>
              <w:spacing w:line="460" w:lineRule="exact"/>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0CCC49">
            <w:pPr>
              <w:spacing w:line="460" w:lineRule="exact"/>
              <w:jc w:val="center"/>
              <w:rPr>
                <w:rFonts w:ascii="宋体" w:hAnsi="宋体" w:cs="宋体"/>
                <w:color w:val="auto"/>
                <w:kern w:val="0"/>
                <w:sz w:val="24"/>
                <w:highlight w:val="none"/>
              </w:rPr>
            </w:pPr>
          </w:p>
        </w:tc>
      </w:tr>
    </w:tbl>
    <w:p w14:paraId="2C28EDBC">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5A142AE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6076139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12DF47F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不存在直接管理关系的，则在“</w:t>
      </w:r>
      <w:r>
        <w:rPr>
          <w:rFonts w:hint="eastAsia" w:ascii="宋体" w:hAnsi="宋体" w:cs="宋体"/>
          <w:b/>
          <w:bCs/>
          <w:color w:val="auto"/>
          <w:kern w:val="0"/>
          <w:sz w:val="24"/>
          <w:highlight w:val="none"/>
        </w:rPr>
        <w:t>直接管理关系单位名称</w:t>
      </w:r>
      <w:r>
        <w:rPr>
          <w:rFonts w:hint="eastAsia" w:ascii="宋体" w:hAnsi="宋体" w:cs="宋体"/>
          <w:color w:val="auto"/>
          <w:sz w:val="24"/>
          <w:highlight w:val="none"/>
        </w:rPr>
        <w:t>”中填“无”。</w:t>
      </w:r>
    </w:p>
    <w:p w14:paraId="3B6D01DD">
      <w:pPr>
        <w:snapToGrid w:val="0"/>
        <w:spacing w:line="360" w:lineRule="auto"/>
        <w:jc w:val="left"/>
        <w:rPr>
          <w:rFonts w:ascii="宋体" w:hAnsi="宋体" w:cs="宋体"/>
          <w:color w:val="auto"/>
          <w:sz w:val="24"/>
          <w:highlight w:val="none"/>
        </w:rPr>
      </w:pPr>
    </w:p>
    <w:p w14:paraId="55DF9EB3">
      <w:pPr>
        <w:snapToGrid w:val="0"/>
        <w:spacing w:line="360" w:lineRule="auto"/>
        <w:jc w:val="left"/>
        <w:rPr>
          <w:rFonts w:ascii="宋体" w:hAnsi="宋体" w:cs="宋体"/>
          <w:color w:val="auto"/>
          <w:sz w:val="24"/>
          <w:highlight w:val="none"/>
        </w:rPr>
      </w:pPr>
    </w:p>
    <w:p w14:paraId="77CED169">
      <w:pPr>
        <w:snapToGrid w:val="0"/>
        <w:spacing w:line="360" w:lineRule="auto"/>
        <w:jc w:val="left"/>
        <w:rPr>
          <w:rFonts w:ascii="宋体" w:hAnsi="宋体" w:cs="宋体"/>
          <w:color w:val="auto"/>
          <w:sz w:val="24"/>
          <w:highlight w:val="none"/>
        </w:rPr>
      </w:pPr>
    </w:p>
    <w:p w14:paraId="7CA6F475">
      <w:pPr>
        <w:snapToGrid w:val="0"/>
        <w:spacing w:line="360" w:lineRule="auto"/>
        <w:jc w:val="left"/>
        <w:rPr>
          <w:rFonts w:ascii="宋体" w:hAnsi="宋体" w:cs="宋体"/>
          <w:color w:val="auto"/>
          <w:sz w:val="24"/>
          <w:highlight w:val="none"/>
        </w:rPr>
      </w:pPr>
    </w:p>
    <w:p w14:paraId="07DF763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5DC78A8F">
      <w:pPr>
        <w:spacing w:line="360" w:lineRule="auto"/>
        <w:ind w:firstLine="480" w:firstLineChars="200"/>
        <w:contextualSpacing/>
        <w:rPr>
          <w:rFonts w:ascii="宋体" w:hAnsi="宋体" w:cs="宋体"/>
          <w:color w:val="auto"/>
          <w:sz w:val="24"/>
          <w:highlight w:val="none"/>
          <w:u w:val="single"/>
        </w:rPr>
      </w:pPr>
      <w:r>
        <w:rPr>
          <w:rFonts w:hint="eastAsia" w:hAnsi="宋体" w:cs="宋体"/>
          <w:color w:val="auto"/>
          <w:sz w:val="24"/>
          <w:highlight w:val="none"/>
        </w:rPr>
        <w:t>投标人名称（电子签章）：</w:t>
      </w:r>
    </w:p>
    <w:p w14:paraId="1AD238AD">
      <w:pPr>
        <w:spacing w:line="360" w:lineRule="auto"/>
        <w:ind w:firstLine="480" w:firstLineChars="200"/>
        <w:contextualSpacing/>
        <w:rPr>
          <w:rFonts w:hAnsi="宋体" w:cs="宋体"/>
          <w:color w:val="auto"/>
          <w:sz w:val="24"/>
          <w:highlight w:val="none"/>
        </w:rPr>
      </w:pPr>
      <w:r>
        <w:rPr>
          <w:rFonts w:hint="eastAsia" w:hAnsi="宋体" w:cs="宋体"/>
          <w:color w:val="auto"/>
          <w:sz w:val="24"/>
          <w:highlight w:val="none"/>
        </w:rPr>
        <w:t>日期：年月日</w:t>
      </w:r>
    </w:p>
    <w:p w14:paraId="45B91FCC">
      <w:pPr>
        <w:snapToGrid w:val="0"/>
        <w:spacing w:before="120" w:beforeLines="50" w:after="50"/>
        <w:jc w:val="left"/>
        <w:rPr>
          <w:rFonts w:ascii="宋体" w:hAnsi="宋体" w:cs="宋体"/>
          <w:b/>
          <w:color w:val="auto"/>
          <w:sz w:val="24"/>
          <w:szCs w:val="20"/>
          <w:highlight w:val="none"/>
        </w:rPr>
      </w:pPr>
    </w:p>
    <w:p w14:paraId="73AA4F0A">
      <w:pPr>
        <w:tabs>
          <w:tab w:val="left" w:pos="1815"/>
        </w:tabs>
        <w:snapToGrid w:val="0"/>
        <w:spacing w:before="120" w:beforeLines="50" w:after="50" w:line="360" w:lineRule="auto"/>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4.投标声明</w:t>
      </w:r>
    </w:p>
    <w:p w14:paraId="68C5A30E">
      <w:pPr>
        <w:snapToGrid w:val="0"/>
        <w:spacing w:before="50" w:after="50"/>
        <w:jc w:val="center"/>
        <w:rPr>
          <w:rFonts w:ascii="宋体" w:hAnsi="宋体" w:cs="宋体"/>
          <w:b/>
          <w:color w:val="auto"/>
          <w:sz w:val="32"/>
          <w:highlight w:val="none"/>
        </w:rPr>
      </w:pPr>
      <w:r>
        <w:rPr>
          <w:rFonts w:hint="eastAsia" w:ascii="宋体" w:hAnsi="宋体" w:cs="宋体"/>
          <w:b/>
          <w:color w:val="auto"/>
          <w:sz w:val="32"/>
          <w:highlight w:val="none"/>
        </w:rPr>
        <w:t>投标声明</w:t>
      </w:r>
    </w:p>
    <w:p w14:paraId="0B49017F">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58D56E62">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我方参加贵单位组织项目（项目编号：）的政府采购活动。我方在此郑重声明：</w:t>
      </w:r>
    </w:p>
    <w:p w14:paraId="6E88435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因违法经营受到刑事处罚或者责令停产停业、吊销许可证或者执照、较大数额罚款等行政处罚），未被列入失信被执行人、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、政府采购严重违法失信行为记录名单，完全符合《中华人民共和国政府采购法》第二十二条规定的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资格条件，我方对此声明负全部法律责任。</w:t>
      </w:r>
    </w:p>
    <w:p w14:paraId="2C832AE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p>
    <w:p w14:paraId="4FC9908C">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299E4AD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50DE162A">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09BE2A83">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6EF2EFEE">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7694429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2096BD7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062888EC">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7B47F0F3">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特此承诺。</w:t>
      </w:r>
    </w:p>
    <w:p w14:paraId="03E5E04D">
      <w:pPr>
        <w:spacing w:line="400" w:lineRule="exact"/>
        <w:contextualSpacing/>
        <w:jc w:val="left"/>
        <w:rPr>
          <w:rFonts w:ascii="宋体" w:hAnsi="宋体" w:cs="宋体"/>
          <w:color w:val="auto"/>
          <w:sz w:val="24"/>
          <w:highlight w:val="none"/>
        </w:rPr>
      </w:pPr>
    </w:p>
    <w:p w14:paraId="2B53FBB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53432238">
      <w:pPr>
        <w:spacing w:line="360" w:lineRule="auto"/>
        <w:ind w:firstLine="480" w:firstLineChars="200"/>
        <w:contextualSpacing/>
        <w:rPr>
          <w:rFonts w:ascii="宋体" w:hAnsi="宋体" w:cs="宋体"/>
          <w:color w:val="auto"/>
          <w:sz w:val="24"/>
          <w:highlight w:val="none"/>
          <w:u w:val="single"/>
        </w:rPr>
      </w:pPr>
      <w:r>
        <w:rPr>
          <w:rFonts w:hint="eastAsia" w:hAnsi="宋体" w:cs="宋体"/>
          <w:color w:val="auto"/>
          <w:sz w:val="24"/>
          <w:highlight w:val="none"/>
        </w:rPr>
        <w:t>投标人名称（电子签章）：</w:t>
      </w:r>
    </w:p>
    <w:p w14:paraId="664B338C">
      <w:pPr>
        <w:spacing w:line="360" w:lineRule="auto"/>
        <w:ind w:firstLine="480" w:firstLineChars="200"/>
        <w:contextualSpacing/>
        <w:rPr>
          <w:rFonts w:hAnsi="宋体" w:cs="宋体"/>
          <w:color w:val="auto"/>
          <w:sz w:val="24"/>
          <w:highlight w:val="none"/>
        </w:rPr>
      </w:pPr>
      <w:r>
        <w:rPr>
          <w:rFonts w:hint="eastAsia" w:hAnsi="宋体" w:cs="宋体"/>
          <w:color w:val="auto"/>
          <w:sz w:val="24"/>
          <w:highlight w:val="none"/>
        </w:rPr>
        <w:t>日期：年月日</w:t>
      </w:r>
    </w:p>
    <w:p w14:paraId="0B8FFCF5">
      <w:pPr>
        <w:spacing w:line="400" w:lineRule="exact"/>
        <w:contextualSpacing/>
        <w:jc w:val="left"/>
        <w:rPr>
          <w:rFonts w:ascii="宋体" w:hAnsi="宋体" w:cs="宋体"/>
          <w:color w:val="auto"/>
          <w:sz w:val="24"/>
          <w:highlight w:val="none"/>
        </w:rPr>
      </w:pPr>
    </w:p>
    <w:p w14:paraId="2C41041A">
      <w:pPr>
        <w:spacing w:line="440" w:lineRule="exact"/>
        <w:contextualSpacing/>
        <w:rPr>
          <w:rFonts w:ascii="宋体" w:hAnsi="宋体" w:cs="宋体"/>
          <w:b/>
          <w:color w:val="auto"/>
          <w:sz w:val="24"/>
          <w:highlight w:val="none"/>
        </w:rPr>
      </w:pPr>
      <w:bookmarkStart w:id="185" w:name="_Toc19686838"/>
      <w:r>
        <w:rPr>
          <w:rFonts w:hint="eastAsia" w:ascii="宋体" w:hAnsi="宋体" w:cs="宋体"/>
          <w:b/>
          <w:color w:val="auto"/>
          <w:sz w:val="24"/>
          <w:highlight w:val="none"/>
        </w:rPr>
        <w:t>注：如为联合体投标，盖章处须加盖联合体牵头人电子签章并由联合体牵头人法定代表人分别签字或者盖章或者电子签名，否则投标无效。</w:t>
      </w:r>
    </w:p>
    <w:p w14:paraId="2111DE84">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85"/>
    </w:p>
    <w:p w14:paraId="0D92F76E">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1.商务文件封面格式：</w:t>
      </w:r>
    </w:p>
    <w:p w14:paraId="59B6EC6F">
      <w:pPr>
        <w:snapToGrid w:val="0"/>
        <w:spacing w:before="120" w:beforeLines="50" w:after="50" w:line="360" w:lineRule="auto"/>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7AFB51A5">
      <w:pPr>
        <w:snapToGrid w:val="0"/>
        <w:spacing w:before="120" w:beforeLines="50" w:after="50" w:line="400" w:lineRule="exact"/>
        <w:jc w:val="center"/>
        <w:rPr>
          <w:rFonts w:ascii="宋体" w:hAnsi="宋体" w:cs="宋体"/>
          <w:b/>
          <w:color w:val="auto"/>
          <w:sz w:val="44"/>
          <w:szCs w:val="44"/>
          <w:highlight w:val="none"/>
        </w:rPr>
      </w:pPr>
      <w:r>
        <w:rPr>
          <w:rFonts w:hint="eastAsia" w:ascii="宋体" w:hAnsi="宋体" w:cs="宋体"/>
          <w:b/>
          <w:color w:val="auto"/>
          <w:sz w:val="44"/>
          <w:szCs w:val="44"/>
          <w:highlight w:val="none"/>
        </w:rPr>
        <w:t>第三部分 商务文件</w:t>
      </w:r>
    </w:p>
    <w:p w14:paraId="251DC5A5">
      <w:pPr>
        <w:snapToGrid w:val="0"/>
        <w:spacing w:before="120" w:beforeLines="50" w:after="50"/>
        <w:rPr>
          <w:rFonts w:ascii="宋体" w:hAnsi="宋体" w:cs="宋体"/>
          <w:bCs/>
          <w:color w:val="auto"/>
          <w:sz w:val="24"/>
          <w:szCs w:val="20"/>
          <w:highlight w:val="none"/>
        </w:rPr>
      </w:pPr>
    </w:p>
    <w:p w14:paraId="00F49A07">
      <w:pPr>
        <w:snapToGrid w:val="0"/>
        <w:spacing w:before="120" w:beforeLines="50" w:after="50" w:line="400" w:lineRule="exact"/>
        <w:ind w:left="840" w:leftChars="400" w:firstLine="360" w:firstLineChars="150"/>
        <w:rPr>
          <w:rFonts w:ascii="宋体" w:hAnsi="宋体"/>
          <w:bCs/>
          <w:color w:val="auto"/>
          <w:sz w:val="24"/>
          <w:highlight w:val="none"/>
          <w:u w:val="single"/>
        </w:rPr>
      </w:pPr>
      <w:r>
        <w:rPr>
          <w:rFonts w:hint="eastAsia" w:ascii="宋体" w:hAnsi="宋体"/>
          <w:bCs/>
          <w:color w:val="auto"/>
          <w:sz w:val="24"/>
          <w:highlight w:val="none"/>
        </w:rPr>
        <w:t>项目名称：</w:t>
      </w:r>
    </w:p>
    <w:p w14:paraId="01AB8C12">
      <w:pPr>
        <w:snapToGrid w:val="0"/>
        <w:spacing w:before="120" w:beforeLines="50" w:after="50" w:line="400" w:lineRule="exact"/>
        <w:ind w:left="840" w:leftChars="400" w:firstLine="360" w:firstLineChars="150"/>
        <w:rPr>
          <w:rFonts w:ascii="宋体" w:hAnsi="宋体"/>
          <w:bCs/>
          <w:color w:val="auto"/>
          <w:sz w:val="24"/>
          <w:highlight w:val="none"/>
        </w:rPr>
      </w:pPr>
    </w:p>
    <w:p w14:paraId="3A022CC2">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项目编号：</w:t>
      </w:r>
    </w:p>
    <w:p w14:paraId="73326969">
      <w:pPr>
        <w:snapToGrid w:val="0"/>
        <w:spacing w:before="120" w:beforeLines="50" w:after="50" w:line="400" w:lineRule="exact"/>
        <w:ind w:left="840" w:leftChars="400" w:firstLine="360" w:firstLineChars="150"/>
        <w:rPr>
          <w:rFonts w:ascii="宋体" w:hAnsi="宋体"/>
          <w:bCs/>
          <w:color w:val="auto"/>
          <w:sz w:val="24"/>
          <w:highlight w:val="none"/>
        </w:rPr>
      </w:pPr>
    </w:p>
    <w:p w14:paraId="06E9F833">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3C1E579B">
      <w:pPr>
        <w:snapToGrid w:val="0"/>
        <w:spacing w:before="120" w:beforeLines="50" w:after="50" w:line="400" w:lineRule="exact"/>
        <w:ind w:left="840" w:leftChars="400" w:firstLine="360" w:firstLineChars="150"/>
        <w:rPr>
          <w:rFonts w:ascii="宋体" w:hAnsi="宋体"/>
          <w:bCs/>
          <w:color w:val="auto"/>
          <w:sz w:val="24"/>
          <w:highlight w:val="none"/>
        </w:rPr>
      </w:pPr>
    </w:p>
    <w:p w14:paraId="022A8190">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3FBCF927">
      <w:pPr>
        <w:snapToGrid w:val="0"/>
        <w:spacing w:before="120" w:beforeLines="50" w:after="50" w:line="400" w:lineRule="exact"/>
        <w:ind w:left="840" w:leftChars="400" w:firstLine="360" w:firstLineChars="150"/>
        <w:rPr>
          <w:rFonts w:ascii="宋体" w:hAnsi="宋体"/>
          <w:bCs/>
          <w:color w:val="auto"/>
          <w:sz w:val="24"/>
          <w:highlight w:val="none"/>
        </w:rPr>
      </w:pPr>
    </w:p>
    <w:p w14:paraId="5875F15D">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13C7B6EE">
      <w:pPr>
        <w:snapToGrid w:val="0"/>
        <w:spacing w:before="120" w:beforeLines="50" w:after="50" w:line="400" w:lineRule="exact"/>
        <w:rPr>
          <w:rFonts w:ascii="宋体" w:hAnsi="宋体" w:cs="宋体"/>
          <w:color w:val="auto"/>
          <w:sz w:val="24"/>
          <w:highlight w:val="none"/>
        </w:rPr>
      </w:pPr>
    </w:p>
    <w:p w14:paraId="7CB23853">
      <w:pPr>
        <w:snapToGrid w:val="0"/>
        <w:spacing w:before="120" w:beforeLines="50" w:after="50" w:line="400" w:lineRule="exact"/>
        <w:rPr>
          <w:rFonts w:ascii="宋体" w:hAnsi="宋体" w:cs="宋体"/>
          <w:color w:val="auto"/>
          <w:sz w:val="24"/>
          <w:highlight w:val="none"/>
        </w:rPr>
      </w:pPr>
    </w:p>
    <w:p w14:paraId="1B5CB75A">
      <w:pPr>
        <w:snapToGrid w:val="0"/>
        <w:spacing w:before="120" w:beforeLines="50" w:after="50" w:line="400" w:lineRule="exact"/>
        <w:jc w:val="center"/>
        <w:rPr>
          <w:rFonts w:ascii="宋体" w:hAnsi="宋体" w:cs="宋体"/>
          <w:color w:val="auto"/>
          <w:sz w:val="30"/>
          <w:szCs w:val="20"/>
          <w:highlight w:val="none"/>
        </w:rPr>
      </w:pPr>
      <w:r>
        <w:rPr>
          <w:rFonts w:hint="eastAsia" w:ascii="宋体" w:hAnsi="宋体" w:cs="宋体"/>
          <w:color w:val="auto"/>
          <w:sz w:val="24"/>
          <w:highlight w:val="none"/>
        </w:rPr>
        <w:t>年月日</w:t>
      </w:r>
    </w:p>
    <w:p w14:paraId="1F78D64E">
      <w:pPr>
        <w:snapToGrid w:val="0"/>
        <w:spacing w:line="360" w:lineRule="auto"/>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2.商务文件目录</w:t>
      </w:r>
    </w:p>
    <w:p w14:paraId="42718E3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4D313174">
      <w:pPr>
        <w:snapToGrid w:val="0"/>
        <w:spacing w:before="50" w:after="120" w:afterLines="50"/>
        <w:jc w:val="left"/>
        <w:rPr>
          <w:rFonts w:ascii="宋体" w:hAnsi="宋体" w:cs="宋体"/>
          <w:color w:val="auto"/>
          <w:highlight w:val="none"/>
        </w:rPr>
      </w:pPr>
    </w:p>
    <w:p w14:paraId="595219F4">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14:paraId="6A1E0375">
      <w:pPr>
        <w:snapToGrid w:val="0"/>
        <w:spacing w:before="120" w:beforeLines="50" w:after="50"/>
        <w:jc w:val="left"/>
        <w:rPr>
          <w:rFonts w:ascii="宋体" w:hAnsi="宋体" w:cs="宋体"/>
          <w:b/>
          <w:color w:val="auto"/>
          <w:sz w:val="24"/>
          <w:highlight w:val="none"/>
        </w:rPr>
      </w:pPr>
    </w:p>
    <w:p w14:paraId="71081C13">
      <w:pPr>
        <w:snapToGrid w:val="0"/>
        <w:spacing w:before="50" w:after="50"/>
        <w:jc w:val="center"/>
        <w:rPr>
          <w:rFonts w:ascii="宋体" w:hAnsi="宋体" w:cs="宋体"/>
          <w:b/>
          <w:color w:val="auto"/>
          <w:sz w:val="32"/>
          <w:highlight w:val="none"/>
        </w:rPr>
      </w:pPr>
      <w:r>
        <w:rPr>
          <w:rFonts w:hint="eastAsia" w:ascii="宋体" w:hAnsi="宋体" w:cs="宋体"/>
          <w:b/>
          <w:color w:val="auto"/>
          <w:sz w:val="32"/>
          <w:highlight w:val="none"/>
        </w:rPr>
        <w:t>投标人参加本项目无围标串标行为的承诺函</w:t>
      </w:r>
    </w:p>
    <w:p w14:paraId="5AF276B4">
      <w:pPr>
        <w:spacing w:line="440" w:lineRule="exact"/>
        <w:contextualSpacing/>
        <w:jc w:val="left"/>
        <w:rPr>
          <w:rFonts w:ascii="宋体" w:hAnsi="宋体" w:cs="宋体"/>
          <w:b/>
          <w:color w:val="auto"/>
          <w:sz w:val="24"/>
          <w:highlight w:val="none"/>
        </w:rPr>
      </w:pPr>
      <w:bookmarkStart w:id="186" w:name="OLE_LINK45"/>
      <w:bookmarkStart w:id="187" w:name="OLE_LINK44"/>
      <w:r>
        <w:rPr>
          <w:rFonts w:hint="eastAsia" w:ascii="宋体" w:hAnsi="宋体" w:cs="宋体"/>
          <w:b/>
          <w:color w:val="auto"/>
          <w:sz w:val="24"/>
          <w:highlight w:val="none"/>
        </w:rPr>
        <w:t>一、我方承诺无下列相互串通投标的情形：</w:t>
      </w:r>
    </w:p>
    <w:p w14:paraId="7364BEE2">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1.不同投标人的投标文件由同一单位或者个人编制；或者不同投标人报名的IP地址一致的；或者编制标书硬件设备CPU编号、硬盘编号、网卡地址一致的情况；</w:t>
      </w:r>
    </w:p>
    <w:p w14:paraId="0CD46CFC">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7F6B6DE2">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14BCEB08">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6286C468">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5982B6A8">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5A3CE224">
      <w:pPr>
        <w:spacing w:line="44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25D2ED2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w:t>
      </w:r>
    </w:p>
    <w:p w14:paraId="3DE65502">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w:t>
      </w:r>
    </w:p>
    <w:p w14:paraId="036E19AA">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的实质性内容；</w:t>
      </w:r>
    </w:p>
    <w:p w14:paraId="6CF9F8E1">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51E7622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714F738F">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676442B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19697013">
      <w:pPr>
        <w:spacing w:line="44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以上情形一经核查属实，接受政府采购监管部门对我方认定存在围标串标行为，我方愿意承担一切后果，并不再寻求任何旨在减轻或者免除法律责任的辩解。</w:t>
      </w:r>
      <w:bookmarkEnd w:id="186"/>
      <w:bookmarkEnd w:id="187"/>
    </w:p>
    <w:p w14:paraId="7553AE59">
      <w:pPr>
        <w:pStyle w:val="11"/>
        <w:spacing w:line="440" w:lineRule="exact"/>
        <w:ind w:firstLine="6840" w:firstLineChars="2850"/>
        <w:contextualSpacing/>
        <w:rPr>
          <w:rFonts w:hAnsi="宋体" w:cs="宋体"/>
          <w:color w:val="auto"/>
          <w:sz w:val="24"/>
          <w:szCs w:val="24"/>
          <w:highlight w:val="none"/>
        </w:rPr>
      </w:pPr>
    </w:p>
    <w:p w14:paraId="1DAE84BE">
      <w:pPr>
        <w:spacing w:line="360" w:lineRule="auto"/>
        <w:ind w:firstLine="480" w:firstLineChars="200"/>
        <w:contextualSpacing/>
        <w:rPr>
          <w:rFonts w:ascii="宋体" w:hAnsi="宋体" w:cs="宋体"/>
          <w:color w:val="auto"/>
          <w:sz w:val="24"/>
          <w:highlight w:val="none"/>
          <w:u w:val="single"/>
        </w:rPr>
      </w:pPr>
      <w:r>
        <w:rPr>
          <w:rFonts w:hint="eastAsia" w:hAnsi="宋体" w:cs="宋体"/>
          <w:color w:val="auto"/>
          <w:sz w:val="24"/>
          <w:highlight w:val="none"/>
        </w:rPr>
        <w:t>投标人名称（电子签章）：</w:t>
      </w:r>
    </w:p>
    <w:p w14:paraId="124D8A08">
      <w:pPr>
        <w:spacing w:line="360" w:lineRule="auto"/>
        <w:ind w:firstLine="480" w:firstLineChars="200"/>
        <w:contextualSpacing/>
        <w:rPr>
          <w:rFonts w:hAnsi="宋体" w:cs="宋体"/>
          <w:color w:val="auto"/>
          <w:sz w:val="24"/>
          <w:highlight w:val="none"/>
        </w:rPr>
      </w:pPr>
      <w:r>
        <w:rPr>
          <w:rFonts w:hint="eastAsia" w:hAnsi="宋体" w:cs="宋体"/>
          <w:color w:val="auto"/>
          <w:sz w:val="24"/>
          <w:highlight w:val="none"/>
        </w:rPr>
        <w:t>日期：年月日</w:t>
      </w:r>
    </w:p>
    <w:p w14:paraId="7B96167E">
      <w:pPr>
        <w:snapToGrid w:val="0"/>
        <w:spacing w:before="120" w:beforeLines="50" w:after="50"/>
        <w:jc w:val="left"/>
        <w:rPr>
          <w:rFonts w:ascii="宋体" w:hAnsi="宋体" w:cs="宋体"/>
          <w:b/>
          <w:color w:val="auto"/>
          <w:sz w:val="24"/>
          <w:szCs w:val="20"/>
          <w:highlight w:val="none"/>
        </w:rPr>
      </w:pPr>
      <w:r>
        <w:rPr>
          <w:rFonts w:ascii="宋体" w:hAnsi="宋体" w:cs="宋体"/>
          <w:b/>
          <w:color w:val="auto"/>
          <w:sz w:val="24"/>
          <w:highlight w:val="none"/>
        </w:rPr>
        <w:br w:type="page"/>
      </w:r>
      <w:r>
        <w:rPr>
          <w:rFonts w:hint="eastAsia" w:ascii="宋体" w:hAnsi="宋体" w:cs="宋体"/>
          <w:b/>
          <w:color w:val="auto"/>
          <w:sz w:val="24"/>
          <w:highlight w:val="none"/>
        </w:rPr>
        <w:t>4.法定代表人身份证明</w:t>
      </w:r>
    </w:p>
    <w:p w14:paraId="296CCE04">
      <w:pPr>
        <w:spacing w:before="240" w:beforeLines="100" w:after="120" w:afterLines="50"/>
        <w:ind w:left="540"/>
        <w:jc w:val="center"/>
        <w:rPr>
          <w:rFonts w:ascii="宋体" w:hAnsi="宋体" w:cs="宋体"/>
          <w:b/>
          <w:color w:val="auto"/>
          <w:sz w:val="32"/>
          <w:szCs w:val="32"/>
          <w:highlight w:val="none"/>
        </w:rPr>
      </w:pPr>
    </w:p>
    <w:p w14:paraId="2C69B5D5">
      <w:pPr>
        <w:snapToGrid w:val="0"/>
        <w:spacing w:before="50" w:after="50"/>
        <w:jc w:val="center"/>
        <w:rPr>
          <w:rFonts w:ascii="宋体" w:hAnsi="宋体" w:cs="宋体"/>
          <w:b/>
          <w:color w:val="auto"/>
          <w:sz w:val="32"/>
          <w:highlight w:val="none"/>
        </w:rPr>
      </w:pPr>
      <w:r>
        <w:rPr>
          <w:rFonts w:hint="eastAsia" w:ascii="宋体" w:hAnsi="宋体" w:cs="宋体"/>
          <w:b/>
          <w:color w:val="auto"/>
          <w:sz w:val="32"/>
          <w:highlight w:val="none"/>
        </w:rPr>
        <w:t>法定代表人身份证明</w:t>
      </w:r>
    </w:p>
    <w:p w14:paraId="0A19B3FB">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w:t>
      </w:r>
    </w:p>
    <w:p w14:paraId="2287E382">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p>
    <w:p w14:paraId="236942F1">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姓名：性别：</w:t>
      </w:r>
    </w:p>
    <w:p w14:paraId="3EC6CCFA">
      <w:pPr>
        <w:spacing w:line="5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年龄：职务：</w:t>
      </w:r>
    </w:p>
    <w:p w14:paraId="32AD3679">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身份证号码：</w:t>
      </w:r>
    </w:p>
    <w:p w14:paraId="7E2A500C">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（投标人名称）</w:t>
      </w:r>
      <w:r>
        <w:rPr>
          <w:rFonts w:hint="eastAsia" w:ascii="宋体" w:hAnsi="宋体" w:cs="宋体"/>
          <w:color w:val="auto"/>
          <w:sz w:val="24"/>
          <w:highlight w:val="none"/>
        </w:rPr>
        <w:t>的法定代表人。</w:t>
      </w:r>
    </w:p>
    <w:p w14:paraId="76E5D1B2">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274ABAF7">
      <w:pPr>
        <w:spacing w:line="500" w:lineRule="exact"/>
        <w:ind w:firstLine="480" w:firstLineChars="200"/>
        <w:rPr>
          <w:rFonts w:ascii="宋体" w:hAnsi="宋体" w:cs="宋体"/>
          <w:color w:val="auto"/>
          <w:sz w:val="24"/>
          <w:highlight w:val="none"/>
        </w:rPr>
      </w:pPr>
    </w:p>
    <w:p w14:paraId="67D29769">
      <w:pPr>
        <w:spacing w:line="500" w:lineRule="exact"/>
        <w:ind w:firstLine="480" w:firstLineChars="200"/>
        <w:rPr>
          <w:rFonts w:ascii="宋体" w:hAnsi="宋体" w:cs="宋体"/>
          <w:color w:val="auto"/>
          <w:sz w:val="24"/>
          <w:highlight w:val="none"/>
        </w:rPr>
      </w:pPr>
    </w:p>
    <w:p w14:paraId="583DFAD9">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8F969AB">
      <w:pPr>
        <w:spacing w:line="500" w:lineRule="exact"/>
        <w:ind w:firstLine="480" w:firstLineChars="200"/>
        <w:rPr>
          <w:rFonts w:ascii="宋体" w:hAnsi="宋体" w:cs="宋体"/>
          <w:color w:val="auto"/>
          <w:sz w:val="24"/>
          <w:highlight w:val="none"/>
        </w:rPr>
      </w:pPr>
    </w:p>
    <w:p w14:paraId="022DBE0D">
      <w:pPr>
        <w:spacing w:line="500" w:lineRule="exact"/>
        <w:ind w:firstLine="480" w:firstLineChars="200"/>
        <w:contextualSpacing/>
        <w:rPr>
          <w:rFonts w:ascii="宋体" w:hAnsi="宋体" w:cs="宋体"/>
          <w:color w:val="auto"/>
          <w:sz w:val="24"/>
          <w:highlight w:val="none"/>
          <w:u w:val="single"/>
        </w:rPr>
      </w:pPr>
      <w:r>
        <w:rPr>
          <w:rFonts w:hint="eastAsia" w:hAnsi="宋体" w:cs="宋体"/>
          <w:color w:val="auto"/>
          <w:sz w:val="24"/>
          <w:highlight w:val="none"/>
        </w:rPr>
        <w:t>投标人名称（电子签章）：</w:t>
      </w:r>
    </w:p>
    <w:p w14:paraId="240367FE">
      <w:pPr>
        <w:spacing w:line="500" w:lineRule="exact"/>
        <w:ind w:firstLine="480" w:firstLineChars="200"/>
        <w:contextualSpacing/>
        <w:rPr>
          <w:rFonts w:hAnsi="宋体" w:cs="宋体"/>
          <w:color w:val="auto"/>
          <w:sz w:val="24"/>
          <w:highlight w:val="none"/>
        </w:rPr>
      </w:pPr>
      <w:r>
        <w:rPr>
          <w:rFonts w:hint="eastAsia" w:hAnsi="宋体" w:cs="宋体"/>
          <w:color w:val="auto"/>
          <w:sz w:val="24"/>
          <w:highlight w:val="none"/>
        </w:rPr>
        <w:t>日期：年月日</w:t>
      </w:r>
    </w:p>
    <w:p w14:paraId="7B023D32">
      <w:pPr>
        <w:snapToGrid w:val="0"/>
        <w:spacing w:line="440" w:lineRule="exact"/>
        <w:ind w:firstLine="480" w:firstLineChars="200"/>
        <w:jc w:val="left"/>
        <w:rPr>
          <w:rFonts w:ascii="宋体" w:hAnsi="宋体" w:cs="宋体"/>
          <w:color w:val="auto"/>
          <w:sz w:val="24"/>
          <w:highlight w:val="none"/>
        </w:rPr>
      </w:pPr>
    </w:p>
    <w:p w14:paraId="39563EB3">
      <w:pPr>
        <w:snapToGrid w:val="0"/>
        <w:spacing w:line="440" w:lineRule="exact"/>
        <w:ind w:firstLine="480" w:firstLineChars="20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5FA8FAA0">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29EEFB21">
      <w:pPr>
        <w:snapToGrid w:val="0"/>
        <w:spacing w:before="50" w:after="50"/>
        <w:jc w:val="center"/>
        <w:rPr>
          <w:rFonts w:ascii="宋体" w:hAnsi="宋体" w:cs="宋体"/>
          <w:b/>
          <w:color w:val="auto"/>
          <w:sz w:val="32"/>
          <w:highlight w:val="none"/>
        </w:rPr>
      </w:pPr>
      <w:r>
        <w:rPr>
          <w:rFonts w:hint="eastAsia" w:ascii="宋体" w:hAnsi="宋体" w:cs="宋体"/>
          <w:b/>
          <w:color w:val="auto"/>
          <w:sz w:val="32"/>
          <w:highlight w:val="none"/>
        </w:rPr>
        <w:t>授权委托书</w:t>
      </w:r>
    </w:p>
    <w:p w14:paraId="6D1B876E">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4A0B38AE">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1508BEA8">
      <w:pPr>
        <w:spacing w:line="440" w:lineRule="exact"/>
        <w:contextualSpacing/>
        <w:jc w:val="center"/>
        <w:rPr>
          <w:rFonts w:ascii="宋体" w:hAnsi="宋体" w:cs="宋体"/>
          <w:b/>
          <w:color w:val="auto"/>
          <w:sz w:val="24"/>
          <w:highlight w:val="none"/>
        </w:rPr>
      </w:pPr>
    </w:p>
    <w:p w14:paraId="38C4AC43">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1667CF4">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我（姓名）系（投标人名称）的法定代表人，现授权委托</w:t>
      </w:r>
      <w:r>
        <w:rPr>
          <w:rFonts w:hint="eastAsia" w:ascii="宋体" w:hAnsi="宋体" w:cs="宋体"/>
          <w:color w:val="auto"/>
          <w:sz w:val="24"/>
          <w:highlight w:val="none"/>
          <w:u w:val="single"/>
        </w:rPr>
        <w:t>（姓名）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303001E4">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375D29DD">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3269A717">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0E5F356">
      <w:pPr>
        <w:spacing w:line="440" w:lineRule="exact"/>
        <w:ind w:firstLine="480"/>
        <w:contextualSpacing/>
        <w:rPr>
          <w:rFonts w:ascii="宋体" w:hAnsi="宋体" w:cs="宋体"/>
          <w:color w:val="auto"/>
          <w:sz w:val="24"/>
          <w:highlight w:val="none"/>
        </w:rPr>
      </w:pPr>
    </w:p>
    <w:p w14:paraId="08374D7B">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附：1）法定代表人身份证明及委托代理人有效身份证正反面复印件</w:t>
      </w:r>
    </w:p>
    <w:p w14:paraId="684932F1">
      <w:pPr>
        <w:spacing w:line="440" w:lineRule="exact"/>
        <w:contextualSpacing/>
        <w:rPr>
          <w:rFonts w:ascii="宋体" w:hAnsi="宋体" w:cs="宋体"/>
          <w:color w:val="auto"/>
          <w:sz w:val="24"/>
          <w:highlight w:val="none"/>
        </w:rPr>
      </w:pPr>
    </w:p>
    <w:p w14:paraId="0822B422">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委托代理人（签字或者电子签名）：</w:t>
      </w:r>
    </w:p>
    <w:p w14:paraId="17203D85">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委托代理人身份证号码：</w:t>
      </w:r>
    </w:p>
    <w:p w14:paraId="0876269B">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法定代表人（签字或者盖章或者电子签名）：</w:t>
      </w:r>
    </w:p>
    <w:p w14:paraId="65ECE447">
      <w:pPr>
        <w:spacing w:line="440" w:lineRule="exact"/>
        <w:contextualSpacing/>
        <w:rPr>
          <w:rFonts w:ascii="宋体" w:hAnsi="宋体" w:cs="宋体"/>
          <w:color w:val="auto"/>
          <w:sz w:val="24"/>
          <w:highlight w:val="none"/>
        </w:rPr>
      </w:pPr>
    </w:p>
    <w:p w14:paraId="342A53C9">
      <w:pPr>
        <w:spacing w:line="440" w:lineRule="exact"/>
        <w:ind w:firstLine="480" w:firstLineChars="200"/>
        <w:contextualSpacing/>
        <w:rPr>
          <w:rFonts w:ascii="宋体" w:hAnsi="宋体" w:cs="宋体"/>
          <w:color w:val="auto"/>
          <w:sz w:val="24"/>
          <w:highlight w:val="none"/>
          <w:u w:val="single"/>
        </w:rPr>
      </w:pPr>
      <w:r>
        <w:rPr>
          <w:rFonts w:hint="eastAsia" w:hAnsi="宋体" w:cs="宋体"/>
          <w:color w:val="auto"/>
          <w:sz w:val="24"/>
          <w:highlight w:val="none"/>
        </w:rPr>
        <w:t>投标人名称（电子签章）：</w:t>
      </w:r>
    </w:p>
    <w:p w14:paraId="11506A3E">
      <w:pPr>
        <w:spacing w:line="440" w:lineRule="exact"/>
        <w:ind w:firstLine="480" w:firstLineChars="200"/>
        <w:contextualSpacing/>
        <w:rPr>
          <w:rFonts w:hAnsi="宋体" w:cs="宋体"/>
          <w:color w:val="auto"/>
          <w:sz w:val="24"/>
          <w:highlight w:val="none"/>
        </w:rPr>
      </w:pPr>
      <w:r>
        <w:rPr>
          <w:rFonts w:hint="eastAsia" w:hAnsi="宋体" w:cs="宋体"/>
          <w:color w:val="auto"/>
          <w:sz w:val="24"/>
          <w:highlight w:val="none"/>
        </w:rPr>
        <w:t>日期：年月日</w:t>
      </w:r>
    </w:p>
    <w:p w14:paraId="3214162C">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88" w:name="_Hlk65851555"/>
      <w:bookmarkStart w:id="189" w:name="_Hlk65851620"/>
      <w:r>
        <w:rPr>
          <w:rFonts w:hint="eastAsia" w:ascii="宋体" w:hAnsi="宋体" w:cs="宋体"/>
          <w:color w:val="auto"/>
          <w:sz w:val="24"/>
          <w:highlight w:val="none"/>
        </w:rPr>
        <w:t>法定代表人必须在授权委托书上签字或者盖章或者电子签名，</w:t>
      </w:r>
      <w:bookmarkEnd w:id="188"/>
      <w:r>
        <w:rPr>
          <w:rFonts w:hint="eastAsia" w:ascii="宋体" w:hAnsi="宋体" w:cs="宋体"/>
          <w:color w:val="auto"/>
          <w:sz w:val="24"/>
          <w:highlight w:val="none"/>
        </w:rPr>
        <w:t>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89"/>
    </w:p>
    <w:p w14:paraId="2EB2A77E">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1556684B">
      <w:pPr>
        <w:snapToGrid w:val="0"/>
        <w:spacing w:before="50" w:after="50"/>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b/>
          <w:color w:val="auto"/>
          <w:sz w:val="32"/>
          <w:highlight w:val="none"/>
        </w:rPr>
        <w:t>授权委托书</w:t>
      </w:r>
    </w:p>
    <w:p w14:paraId="16F7B738">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2CBF5F92">
      <w:pPr>
        <w:snapToGrid w:val="0"/>
        <w:spacing w:before="120" w:beforeLines="50" w:after="50"/>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12B44840">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469A362">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根据</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（姓名）</w:t>
      </w:r>
      <w:r>
        <w:rPr>
          <w:rFonts w:hint="eastAsia" w:ascii="宋体" w:hAnsi="宋体" w:cs="宋体"/>
          <w:color w:val="auto"/>
          <w:sz w:val="24"/>
          <w:highlight w:val="none"/>
        </w:rPr>
        <w:t>以我方的名义参加项目的投标活动，并代表我方全权办理针对上述项目的所有采购程序和环节的具体事务和签署相关文件。</w:t>
      </w:r>
    </w:p>
    <w:p w14:paraId="1925C97A">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59CEB19A">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51F69D9F">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0EAC28A8">
      <w:pPr>
        <w:spacing w:line="440" w:lineRule="exact"/>
        <w:ind w:firstLine="566" w:firstLineChars="236"/>
        <w:contextualSpacing/>
        <w:rPr>
          <w:rFonts w:ascii="宋体" w:hAnsi="宋体" w:cs="宋体"/>
          <w:color w:val="auto"/>
          <w:sz w:val="24"/>
          <w:highlight w:val="none"/>
        </w:rPr>
      </w:pPr>
      <w:bookmarkStart w:id="190" w:name="OLE_LINK46"/>
      <w:bookmarkStart w:id="191" w:name="OLE_LINK47"/>
      <w:r>
        <w:rPr>
          <w:rFonts w:hint="eastAsia" w:ascii="宋体" w:hAnsi="宋体" w:cs="宋体"/>
          <w:color w:val="auto"/>
          <w:sz w:val="24"/>
          <w:highlight w:val="none"/>
        </w:rPr>
        <w:t>附：1）牵头人法定代表人身份证明及委托代理人有效身份证正反面复印件</w:t>
      </w:r>
    </w:p>
    <w:bookmarkEnd w:id="190"/>
    <w:bookmarkEnd w:id="191"/>
    <w:p w14:paraId="132141E4">
      <w:pPr>
        <w:spacing w:line="440" w:lineRule="exact"/>
        <w:ind w:firstLine="566" w:firstLineChars="236"/>
        <w:contextualSpacing/>
        <w:rPr>
          <w:rFonts w:ascii="宋体" w:hAnsi="宋体" w:cs="宋体"/>
          <w:color w:val="auto"/>
          <w:sz w:val="24"/>
          <w:highlight w:val="none"/>
        </w:rPr>
      </w:pPr>
    </w:p>
    <w:p w14:paraId="38A4DE31">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5D6F221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牵头人（电子签章）：</w:t>
      </w:r>
    </w:p>
    <w:p w14:paraId="092317BB">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w:t>
      </w:r>
      <w:r>
        <w:rPr>
          <w:rFonts w:hint="eastAsia" w:hAnsi="宋体" w:cs="宋体"/>
          <w:color w:val="auto"/>
          <w:sz w:val="24"/>
          <w:highlight w:val="none"/>
        </w:rPr>
        <w:t>年月日</w:t>
      </w:r>
    </w:p>
    <w:p w14:paraId="5B8110E8">
      <w:pPr>
        <w:spacing w:line="440" w:lineRule="exact"/>
        <w:ind w:firstLine="566" w:firstLineChars="236"/>
        <w:contextualSpacing/>
        <w:rPr>
          <w:rFonts w:ascii="宋体" w:hAnsi="宋体" w:cs="宋体"/>
          <w:color w:val="auto"/>
          <w:sz w:val="24"/>
          <w:highlight w:val="none"/>
        </w:rPr>
      </w:pPr>
    </w:p>
    <w:p w14:paraId="6323221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7A472762">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w:t>
      </w:r>
      <w:r>
        <w:rPr>
          <w:rFonts w:hint="eastAsia" w:hAnsi="宋体" w:cs="宋体"/>
          <w:color w:val="auto"/>
          <w:sz w:val="24"/>
          <w:highlight w:val="none"/>
        </w:rPr>
        <w:t>年月日</w:t>
      </w:r>
    </w:p>
    <w:p w14:paraId="22B7AAEA">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注：1.法定代表人必须在授权委托书上签字或者盖章或者电子签名，委托代理人必须在授权委托书上签字或者电子签名，</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5472AE4E">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433CE8C5">
      <w:pPr>
        <w:spacing w:line="440" w:lineRule="exact"/>
        <w:contextualSpacing/>
        <w:rPr>
          <w:rFonts w:ascii="宋体" w:hAnsi="宋体" w:cs="宋体"/>
          <w:color w:val="auto"/>
          <w:sz w:val="24"/>
          <w:highlight w:val="none"/>
        </w:rPr>
      </w:pPr>
    </w:p>
    <w:p w14:paraId="6FE70DCA">
      <w:pPr>
        <w:snapToGrid w:val="0"/>
        <w:spacing w:before="50" w:after="120" w:afterLines="50"/>
        <w:ind w:firstLine="480" w:firstLineChars="200"/>
        <w:jc w:val="left"/>
        <w:rPr>
          <w:rFonts w:ascii="宋体" w:hAnsi="宋体" w:cs="宋体"/>
          <w:color w:val="auto"/>
          <w:sz w:val="24"/>
          <w:highlight w:val="none"/>
        </w:rPr>
        <w:sectPr>
          <w:pgSz w:w="11906" w:h="16838"/>
          <w:pgMar w:top="1134" w:right="1247" w:bottom="1134" w:left="1247" w:header="737" w:footer="680" w:gutter="113"/>
          <w:pgNumType w:fmt="decimal"/>
          <w:cols w:space="720" w:num="1"/>
          <w:titlePg/>
          <w:docGrid w:linePitch="312" w:charSpace="0"/>
        </w:sectPr>
      </w:pPr>
    </w:p>
    <w:p w14:paraId="5922C5AC">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t>6.商务条款偏离表格式（注：按项目需求表具体项目修改）</w:t>
      </w:r>
    </w:p>
    <w:p w14:paraId="1E404ECC">
      <w:pPr>
        <w:snapToGrid w:val="0"/>
        <w:spacing w:before="50"/>
        <w:jc w:val="left"/>
        <w:rPr>
          <w:rFonts w:ascii="宋体" w:hAnsi="宋体" w:cs="宋体"/>
          <w:color w:val="auto"/>
          <w:sz w:val="24"/>
          <w:highlight w:val="none"/>
        </w:rPr>
      </w:pPr>
    </w:p>
    <w:p w14:paraId="463BD4D9">
      <w:pPr>
        <w:pStyle w:val="11"/>
        <w:rPr>
          <w:rFonts w:hAnsi="宋体" w:cs="宋体"/>
          <w:color w:val="auto"/>
          <w:sz w:val="24"/>
          <w:szCs w:val="24"/>
          <w:highlight w:val="none"/>
        </w:rPr>
      </w:pPr>
    </w:p>
    <w:p w14:paraId="7EBBA808">
      <w:pPr>
        <w:snapToGrid w:val="0"/>
        <w:spacing w:before="50" w:after="50"/>
        <w:jc w:val="center"/>
        <w:rPr>
          <w:rFonts w:ascii="宋体" w:hAnsi="宋体" w:cs="宋体"/>
          <w:b/>
          <w:color w:val="auto"/>
          <w:sz w:val="32"/>
          <w:highlight w:val="none"/>
        </w:rPr>
      </w:pPr>
      <w:r>
        <w:rPr>
          <w:rFonts w:hint="eastAsia" w:ascii="宋体" w:hAnsi="宋体" w:cs="宋体"/>
          <w:b/>
          <w:color w:val="auto"/>
          <w:sz w:val="32"/>
          <w:highlight w:val="none"/>
        </w:rPr>
        <w:t>商务条款偏离表</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00"/>
        <w:gridCol w:w="3146"/>
        <w:gridCol w:w="1717"/>
      </w:tblGrid>
      <w:tr w14:paraId="4158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17" w:type="dxa"/>
            <w:tcBorders>
              <w:top w:val="single" w:color="auto" w:sz="4" w:space="0"/>
              <w:left w:val="single" w:color="auto" w:sz="4" w:space="0"/>
              <w:bottom w:val="single" w:color="auto" w:sz="4" w:space="0"/>
              <w:right w:val="single" w:color="auto" w:sz="4" w:space="0"/>
            </w:tcBorders>
            <w:vAlign w:val="center"/>
          </w:tcPr>
          <w:p w14:paraId="6D145EE8">
            <w:pPr>
              <w:spacing w:line="340" w:lineRule="exact"/>
              <w:jc w:val="center"/>
              <w:rPr>
                <w:rFonts w:ascii="宋体" w:hAnsi="宋体"/>
                <w:b/>
                <w:color w:val="auto"/>
                <w:sz w:val="24"/>
                <w:highlight w:val="none"/>
              </w:rPr>
            </w:pPr>
            <w:r>
              <w:rPr>
                <w:rFonts w:hint="eastAsia" w:ascii="宋体" w:hAnsi="宋体"/>
                <w:b/>
                <w:color w:val="auto"/>
                <w:sz w:val="24"/>
                <w:highlight w:val="none"/>
              </w:rPr>
              <w:t>项号</w:t>
            </w:r>
          </w:p>
        </w:tc>
        <w:tc>
          <w:tcPr>
            <w:tcW w:w="3800" w:type="dxa"/>
            <w:tcBorders>
              <w:top w:val="single" w:color="auto" w:sz="4" w:space="0"/>
              <w:left w:val="single" w:color="auto" w:sz="4" w:space="0"/>
              <w:bottom w:val="single" w:color="auto" w:sz="4" w:space="0"/>
              <w:right w:val="single" w:color="auto" w:sz="4" w:space="0"/>
            </w:tcBorders>
            <w:vAlign w:val="center"/>
          </w:tcPr>
          <w:p w14:paraId="7548A9B9">
            <w:pPr>
              <w:spacing w:line="340" w:lineRule="exact"/>
              <w:jc w:val="center"/>
              <w:rPr>
                <w:rFonts w:ascii="宋体" w:hAnsi="宋体"/>
                <w:b/>
                <w:color w:val="auto"/>
                <w:sz w:val="24"/>
                <w:highlight w:val="none"/>
              </w:rPr>
            </w:pPr>
            <w:r>
              <w:rPr>
                <w:rFonts w:hint="eastAsia" w:ascii="宋体" w:hAnsi="宋体"/>
                <w:b/>
                <w:color w:val="auto"/>
                <w:sz w:val="24"/>
                <w:highlight w:val="none"/>
              </w:rPr>
              <w:t>招标文件的商务需求</w:t>
            </w:r>
          </w:p>
        </w:tc>
        <w:tc>
          <w:tcPr>
            <w:tcW w:w="3146" w:type="dxa"/>
            <w:tcBorders>
              <w:top w:val="single" w:color="auto" w:sz="4" w:space="0"/>
              <w:left w:val="single" w:color="auto" w:sz="4" w:space="0"/>
              <w:bottom w:val="single" w:color="auto" w:sz="4" w:space="0"/>
              <w:right w:val="single" w:color="auto" w:sz="4" w:space="0"/>
            </w:tcBorders>
            <w:vAlign w:val="center"/>
          </w:tcPr>
          <w:p w14:paraId="40F8F14B">
            <w:pPr>
              <w:spacing w:line="340" w:lineRule="exact"/>
              <w:jc w:val="center"/>
              <w:rPr>
                <w:rFonts w:ascii="宋体" w:hAnsi="宋体"/>
                <w:b/>
                <w:color w:val="auto"/>
                <w:sz w:val="24"/>
                <w:highlight w:val="none"/>
              </w:rPr>
            </w:pPr>
            <w:r>
              <w:rPr>
                <w:rFonts w:hint="eastAsia" w:ascii="宋体" w:hAnsi="宋体"/>
                <w:b/>
                <w:color w:val="auto"/>
                <w:sz w:val="24"/>
                <w:highlight w:val="none"/>
              </w:rPr>
              <w:t>投标文件承诺的商务条款</w:t>
            </w:r>
          </w:p>
        </w:tc>
        <w:tc>
          <w:tcPr>
            <w:tcW w:w="1717" w:type="dxa"/>
            <w:tcBorders>
              <w:top w:val="single" w:color="auto" w:sz="4" w:space="0"/>
              <w:left w:val="single" w:color="auto" w:sz="4" w:space="0"/>
              <w:bottom w:val="single" w:color="auto" w:sz="4" w:space="0"/>
              <w:right w:val="single" w:color="auto" w:sz="4" w:space="0"/>
            </w:tcBorders>
            <w:vAlign w:val="center"/>
          </w:tcPr>
          <w:p w14:paraId="225207AC">
            <w:pPr>
              <w:spacing w:line="340" w:lineRule="exact"/>
              <w:jc w:val="center"/>
              <w:rPr>
                <w:rFonts w:ascii="宋体" w:hAnsi="宋体"/>
                <w:b/>
                <w:color w:val="auto"/>
                <w:sz w:val="24"/>
                <w:highlight w:val="none"/>
              </w:rPr>
            </w:pPr>
            <w:r>
              <w:rPr>
                <w:rFonts w:hint="eastAsia" w:ascii="宋体" w:hAnsi="宋体"/>
                <w:b/>
                <w:color w:val="auto"/>
                <w:sz w:val="24"/>
                <w:highlight w:val="none"/>
              </w:rPr>
              <w:t>偏离说明</w:t>
            </w:r>
          </w:p>
        </w:tc>
      </w:tr>
      <w:tr w14:paraId="3668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17" w:type="dxa"/>
            <w:tcBorders>
              <w:top w:val="single" w:color="auto" w:sz="4" w:space="0"/>
              <w:left w:val="single" w:color="auto" w:sz="4" w:space="0"/>
              <w:bottom w:val="single" w:color="auto" w:sz="4" w:space="0"/>
              <w:right w:val="single" w:color="auto" w:sz="4" w:space="0"/>
            </w:tcBorders>
          </w:tcPr>
          <w:p w14:paraId="105457A1">
            <w:pPr>
              <w:spacing w:line="340" w:lineRule="exact"/>
              <w:rPr>
                <w:rFonts w:ascii="宋体" w:hAnsi="宋体"/>
                <w:color w:val="auto"/>
                <w:sz w:val="24"/>
                <w:highlight w:val="none"/>
              </w:rPr>
            </w:pPr>
            <w:r>
              <w:rPr>
                <w:rFonts w:hint="eastAsia" w:ascii="宋体" w:hAnsi="宋体"/>
                <w:color w:val="auto"/>
                <w:sz w:val="24"/>
                <w:highlight w:val="none"/>
              </w:rPr>
              <w:t>一</w:t>
            </w:r>
          </w:p>
        </w:tc>
        <w:tc>
          <w:tcPr>
            <w:tcW w:w="3800" w:type="dxa"/>
            <w:tcBorders>
              <w:top w:val="single" w:color="auto" w:sz="4" w:space="0"/>
              <w:left w:val="single" w:color="auto" w:sz="4" w:space="0"/>
              <w:bottom w:val="single" w:color="auto" w:sz="4" w:space="0"/>
              <w:right w:val="single" w:color="auto" w:sz="4" w:space="0"/>
            </w:tcBorders>
          </w:tcPr>
          <w:p w14:paraId="3A5853DD">
            <w:pPr>
              <w:spacing w:line="340" w:lineRule="exact"/>
              <w:rPr>
                <w:rFonts w:ascii="宋体" w:hAnsi="宋体"/>
                <w:color w:val="auto"/>
                <w:sz w:val="24"/>
                <w:highlight w:val="none"/>
              </w:rPr>
            </w:pPr>
            <w:r>
              <w:rPr>
                <w:rFonts w:hint="eastAsia" w:ascii="宋体" w:hAnsi="宋体"/>
                <w:color w:val="auto"/>
                <w:sz w:val="24"/>
                <w:highlight w:val="none"/>
              </w:rPr>
              <w:t>1  ……</w:t>
            </w:r>
          </w:p>
          <w:p w14:paraId="45EEF3EB">
            <w:pPr>
              <w:spacing w:line="340" w:lineRule="exact"/>
              <w:rPr>
                <w:rFonts w:ascii="宋体" w:hAnsi="宋体"/>
                <w:color w:val="auto"/>
                <w:sz w:val="24"/>
                <w:highlight w:val="none"/>
              </w:rPr>
            </w:pPr>
            <w:r>
              <w:rPr>
                <w:rFonts w:hint="eastAsia" w:ascii="宋体" w:hAnsi="宋体"/>
                <w:color w:val="auto"/>
                <w:sz w:val="24"/>
                <w:highlight w:val="none"/>
              </w:rPr>
              <w:t>2  ……</w:t>
            </w:r>
          </w:p>
          <w:p w14:paraId="35414153">
            <w:pPr>
              <w:spacing w:line="340" w:lineRule="exact"/>
              <w:rPr>
                <w:rFonts w:ascii="宋体" w:hAnsi="宋体"/>
                <w:color w:val="auto"/>
                <w:sz w:val="24"/>
                <w:highlight w:val="none"/>
              </w:rPr>
            </w:pPr>
            <w:r>
              <w:rPr>
                <w:rFonts w:hint="eastAsia" w:ascii="宋体" w:hAnsi="宋体"/>
                <w:color w:val="auto"/>
                <w:sz w:val="24"/>
                <w:highlight w:val="none"/>
              </w:rPr>
              <w:t>3  ……</w:t>
            </w:r>
          </w:p>
          <w:p w14:paraId="1A98B937">
            <w:pPr>
              <w:spacing w:line="340" w:lineRule="exact"/>
              <w:rPr>
                <w:rFonts w:ascii="宋体" w:hAnsi="宋体"/>
                <w:color w:val="auto"/>
                <w:sz w:val="24"/>
                <w:highlight w:val="none"/>
              </w:rPr>
            </w:pPr>
            <w:r>
              <w:rPr>
                <w:rFonts w:hint="eastAsia" w:ascii="宋体" w:hAnsi="宋体"/>
                <w:color w:val="auto"/>
                <w:sz w:val="24"/>
                <w:highlight w:val="none"/>
              </w:rPr>
              <w:t>……</w:t>
            </w:r>
          </w:p>
        </w:tc>
        <w:tc>
          <w:tcPr>
            <w:tcW w:w="3146" w:type="dxa"/>
            <w:tcBorders>
              <w:top w:val="single" w:color="auto" w:sz="4" w:space="0"/>
              <w:left w:val="single" w:color="auto" w:sz="4" w:space="0"/>
              <w:bottom w:val="single" w:color="auto" w:sz="4" w:space="0"/>
              <w:right w:val="single" w:color="auto" w:sz="4" w:space="0"/>
            </w:tcBorders>
          </w:tcPr>
          <w:p w14:paraId="59A34170">
            <w:pPr>
              <w:spacing w:line="340" w:lineRule="exact"/>
              <w:rPr>
                <w:rFonts w:ascii="宋体" w:hAnsi="宋体"/>
                <w:color w:val="auto"/>
                <w:sz w:val="24"/>
                <w:highlight w:val="none"/>
              </w:rPr>
            </w:pPr>
            <w:r>
              <w:rPr>
                <w:rFonts w:hint="eastAsia" w:ascii="宋体" w:hAnsi="宋体"/>
                <w:color w:val="auto"/>
                <w:sz w:val="24"/>
                <w:highlight w:val="none"/>
              </w:rPr>
              <w:t>1  ……</w:t>
            </w:r>
          </w:p>
          <w:p w14:paraId="3E5EF4C4">
            <w:pPr>
              <w:spacing w:line="340" w:lineRule="exact"/>
              <w:rPr>
                <w:rFonts w:ascii="宋体" w:hAnsi="宋体"/>
                <w:color w:val="auto"/>
                <w:sz w:val="24"/>
                <w:highlight w:val="none"/>
              </w:rPr>
            </w:pPr>
            <w:r>
              <w:rPr>
                <w:rFonts w:hint="eastAsia" w:ascii="宋体" w:hAnsi="宋体"/>
                <w:color w:val="auto"/>
                <w:sz w:val="24"/>
                <w:highlight w:val="none"/>
              </w:rPr>
              <w:t>2  ……</w:t>
            </w:r>
          </w:p>
          <w:p w14:paraId="25CB87A8">
            <w:pPr>
              <w:spacing w:line="340" w:lineRule="exact"/>
              <w:rPr>
                <w:rFonts w:ascii="宋体" w:hAnsi="宋体"/>
                <w:color w:val="auto"/>
                <w:sz w:val="24"/>
                <w:highlight w:val="none"/>
              </w:rPr>
            </w:pPr>
            <w:r>
              <w:rPr>
                <w:rFonts w:hint="eastAsia" w:ascii="宋体" w:hAnsi="宋体"/>
                <w:color w:val="auto"/>
                <w:sz w:val="24"/>
                <w:highlight w:val="none"/>
              </w:rPr>
              <w:t>3  ……</w:t>
            </w:r>
          </w:p>
          <w:p w14:paraId="3B885FFD">
            <w:pPr>
              <w:spacing w:line="340" w:lineRule="exact"/>
              <w:rPr>
                <w:rFonts w:ascii="宋体" w:hAnsi="宋体"/>
                <w:color w:val="auto"/>
                <w:sz w:val="24"/>
                <w:highlight w:val="none"/>
              </w:rPr>
            </w:pPr>
            <w:r>
              <w:rPr>
                <w:rFonts w:hint="eastAsia" w:ascii="宋体" w:hAnsi="宋体"/>
                <w:color w:val="auto"/>
                <w:sz w:val="24"/>
                <w:highlight w:val="none"/>
              </w:rPr>
              <w:t>……</w:t>
            </w:r>
          </w:p>
        </w:tc>
        <w:tc>
          <w:tcPr>
            <w:tcW w:w="1717" w:type="dxa"/>
            <w:tcBorders>
              <w:top w:val="single" w:color="auto" w:sz="4" w:space="0"/>
              <w:left w:val="single" w:color="auto" w:sz="4" w:space="0"/>
              <w:bottom w:val="single" w:color="auto" w:sz="4" w:space="0"/>
              <w:right w:val="single" w:color="auto" w:sz="4" w:space="0"/>
            </w:tcBorders>
          </w:tcPr>
          <w:p w14:paraId="2F28C91A">
            <w:pPr>
              <w:spacing w:line="300" w:lineRule="exact"/>
              <w:rPr>
                <w:rFonts w:ascii="宋体" w:hAnsi="宋体"/>
                <w:color w:val="auto"/>
                <w:sz w:val="24"/>
                <w:highlight w:val="none"/>
              </w:rPr>
            </w:pPr>
            <w:r>
              <w:rPr>
                <w:rFonts w:hint="eastAsia" w:ascii="宋体" w:hAnsi="宋体"/>
                <w:color w:val="auto"/>
                <w:sz w:val="24"/>
                <w:highlight w:val="none"/>
              </w:rPr>
              <w:t>正偏离（负偏离或无偏离）</w:t>
            </w:r>
          </w:p>
        </w:tc>
      </w:tr>
      <w:tr w14:paraId="6717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17" w:type="dxa"/>
            <w:tcBorders>
              <w:top w:val="single" w:color="auto" w:sz="4" w:space="0"/>
              <w:left w:val="single" w:color="auto" w:sz="4" w:space="0"/>
              <w:bottom w:val="single" w:color="auto" w:sz="4" w:space="0"/>
              <w:right w:val="single" w:color="auto" w:sz="4" w:space="0"/>
            </w:tcBorders>
          </w:tcPr>
          <w:p w14:paraId="083C9739">
            <w:pPr>
              <w:spacing w:line="340" w:lineRule="exact"/>
              <w:rPr>
                <w:rFonts w:ascii="宋体" w:hAnsi="宋体"/>
                <w:color w:val="auto"/>
                <w:sz w:val="24"/>
                <w:highlight w:val="none"/>
              </w:rPr>
            </w:pPr>
            <w:r>
              <w:rPr>
                <w:rFonts w:hint="eastAsia" w:ascii="宋体" w:hAnsi="宋体"/>
                <w:color w:val="auto"/>
                <w:sz w:val="24"/>
                <w:highlight w:val="none"/>
              </w:rPr>
              <w:t>二</w:t>
            </w:r>
          </w:p>
        </w:tc>
        <w:tc>
          <w:tcPr>
            <w:tcW w:w="3800" w:type="dxa"/>
            <w:tcBorders>
              <w:top w:val="single" w:color="auto" w:sz="4" w:space="0"/>
              <w:left w:val="single" w:color="auto" w:sz="4" w:space="0"/>
              <w:bottom w:val="single" w:color="auto" w:sz="4" w:space="0"/>
              <w:right w:val="single" w:color="auto" w:sz="4" w:space="0"/>
            </w:tcBorders>
          </w:tcPr>
          <w:p w14:paraId="01E6EAE8">
            <w:pPr>
              <w:spacing w:line="340" w:lineRule="exact"/>
              <w:rPr>
                <w:rFonts w:ascii="宋体" w:hAnsi="宋体"/>
                <w:color w:val="auto"/>
                <w:sz w:val="24"/>
                <w:highlight w:val="none"/>
              </w:rPr>
            </w:pPr>
            <w:r>
              <w:rPr>
                <w:rFonts w:hint="eastAsia" w:ascii="宋体" w:hAnsi="宋体"/>
                <w:color w:val="auto"/>
                <w:sz w:val="24"/>
                <w:highlight w:val="none"/>
              </w:rPr>
              <w:t>1  ……</w:t>
            </w:r>
          </w:p>
          <w:p w14:paraId="195334F7">
            <w:pPr>
              <w:spacing w:line="340" w:lineRule="exact"/>
              <w:rPr>
                <w:rFonts w:ascii="宋体" w:hAnsi="宋体"/>
                <w:color w:val="auto"/>
                <w:sz w:val="24"/>
                <w:highlight w:val="none"/>
              </w:rPr>
            </w:pPr>
            <w:r>
              <w:rPr>
                <w:rFonts w:hint="eastAsia" w:ascii="宋体" w:hAnsi="宋体"/>
                <w:color w:val="auto"/>
                <w:sz w:val="24"/>
                <w:highlight w:val="none"/>
              </w:rPr>
              <w:t>2  ……</w:t>
            </w:r>
          </w:p>
          <w:p w14:paraId="72DDBA8C">
            <w:pPr>
              <w:spacing w:line="340" w:lineRule="exact"/>
              <w:rPr>
                <w:rFonts w:ascii="宋体" w:hAnsi="宋体"/>
                <w:color w:val="auto"/>
                <w:sz w:val="24"/>
                <w:highlight w:val="none"/>
              </w:rPr>
            </w:pPr>
            <w:r>
              <w:rPr>
                <w:rFonts w:hint="eastAsia" w:ascii="宋体" w:hAnsi="宋体"/>
                <w:color w:val="auto"/>
                <w:sz w:val="24"/>
                <w:highlight w:val="none"/>
              </w:rPr>
              <w:t>3  ……</w:t>
            </w:r>
          </w:p>
          <w:p w14:paraId="59F0E419">
            <w:pPr>
              <w:spacing w:line="340" w:lineRule="exact"/>
              <w:rPr>
                <w:rFonts w:ascii="宋体" w:hAnsi="宋体"/>
                <w:color w:val="auto"/>
                <w:sz w:val="24"/>
                <w:highlight w:val="none"/>
              </w:rPr>
            </w:pPr>
            <w:r>
              <w:rPr>
                <w:rFonts w:hint="eastAsia" w:ascii="宋体" w:hAnsi="宋体"/>
                <w:color w:val="auto"/>
                <w:sz w:val="24"/>
                <w:highlight w:val="none"/>
              </w:rPr>
              <w:t>……</w:t>
            </w:r>
          </w:p>
        </w:tc>
        <w:tc>
          <w:tcPr>
            <w:tcW w:w="3146" w:type="dxa"/>
            <w:tcBorders>
              <w:top w:val="single" w:color="auto" w:sz="4" w:space="0"/>
              <w:left w:val="single" w:color="auto" w:sz="4" w:space="0"/>
              <w:bottom w:val="single" w:color="auto" w:sz="4" w:space="0"/>
              <w:right w:val="single" w:color="auto" w:sz="4" w:space="0"/>
            </w:tcBorders>
          </w:tcPr>
          <w:p w14:paraId="60283BE2">
            <w:pPr>
              <w:spacing w:line="340" w:lineRule="exact"/>
              <w:rPr>
                <w:rFonts w:ascii="宋体" w:hAnsi="宋体"/>
                <w:color w:val="auto"/>
                <w:sz w:val="24"/>
                <w:highlight w:val="none"/>
              </w:rPr>
            </w:pPr>
            <w:r>
              <w:rPr>
                <w:rFonts w:hint="eastAsia" w:ascii="宋体" w:hAnsi="宋体"/>
                <w:color w:val="auto"/>
                <w:sz w:val="24"/>
                <w:highlight w:val="none"/>
              </w:rPr>
              <w:t>1  ……</w:t>
            </w:r>
          </w:p>
          <w:p w14:paraId="0A47C6E1">
            <w:pPr>
              <w:spacing w:line="340" w:lineRule="exact"/>
              <w:rPr>
                <w:rFonts w:ascii="宋体" w:hAnsi="宋体"/>
                <w:color w:val="auto"/>
                <w:sz w:val="24"/>
                <w:highlight w:val="none"/>
              </w:rPr>
            </w:pPr>
            <w:r>
              <w:rPr>
                <w:rFonts w:hint="eastAsia" w:ascii="宋体" w:hAnsi="宋体"/>
                <w:color w:val="auto"/>
                <w:sz w:val="24"/>
                <w:highlight w:val="none"/>
              </w:rPr>
              <w:t>2  ……</w:t>
            </w:r>
          </w:p>
          <w:p w14:paraId="3F94D58E">
            <w:pPr>
              <w:spacing w:line="340" w:lineRule="exact"/>
              <w:rPr>
                <w:rFonts w:ascii="宋体" w:hAnsi="宋体"/>
                <w:color w:val="auto"/>
                <w:sz w:val="24"/>
                <w:highlight w:val="none"/>
              </w:rPr>
            </w:pPr>
            <w:r>
              <w:rPr>
                <w:rFonts w:hint="eastAsia" w:ascii="宋体" w:hAnsi="宋体"/>
                <w:color w:val="auto"/>
                <w:sz w:val="24"/>
                <w:highlight w:val="none"/>
              </w:rPr>
              <w:t>3  ……</w:t>
            </w:r>
          </w:p>
          <w:p w14:paraId="28B2A2DD">
            <w:pPr>
              <w:spacing w:line="340" w:lineRule="exact"/>
              <w:rPr>
                <w:rFonts w:ascii="宋体" w:hAnsi="宋体"/>
                <w:color w:val="auto"/>
                <w:sz w:val="24"/>
                <w:highlight w:val="none"/>
              </w:rPr>
            </w:pPr>
            <w:r>
              <w:rPr>
                <w:rFonts w:hint="eastAsia" w:ascii="宋体" w:hAnsi="宋体"/>
                <w:color w:val="auto"/>
                <w:sz w:val="24"/>
                <w:highlight w:val="none"/>
              </w:rPr>
              <w:t>……</w:t>
            </w:r>
          </w:p>
        </w:tc>
        <w:tc>
          <w:tcPr>
            <w:tcW w:w="1717" w:type="dxa"/>
            <w:tcBorders>
              <w:top w:val="single" w:color="auto" w:sz="4" w:space="0"/>
              <w:left w:val="single" w:color="auto" w:sz="4" w:space="0"/>
              <w:bottom w:val="single" w:color="auto" w:sz="4" w:space="0"/>
              <w:right w:val="single" w:color="auto" w:sz="4" w:space="0"/>
            </w:tcBorders>
          </w:tcPr>
          <w:p w14:paraId="4A74ECC3">
            <w:pPr>
              <w:spacing w:line="300" w:lineRule="exact"/>
              <w:rPr>
                <w:rFonts w:ascii="宋体" w:hAnsi="宋体"/>
                <w:color w:val="auto"/>
                <w:sz w:val="24"/>
                <w:highlight w:val="none"/>
              </w:rPr>
            </w:pPr>
            <w:r>
              <w:rPr>
                <w:rFonts w:hint="eastAsia" w:ascii="宋体" w:hAnsi="宋体"/>
                <w:color w:val="auto"/>
                <w:sz w:val="24"/>
                <w:highlight w:val="none"/>
              </w:rPr>
              <w:t>正偏离（负偏离或无偏离）</w:t>
            </w:r>
          </w:p>
        </w:tc>
      </w:tr>
      <w:tr w14:paraId="2200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817" w:type="dxa"/>
            <w:tcBorders>
              <w:top w:val="single" w:color="auto" w:sz="4" w:space="0"/>
              <w:left w:val="single" w:color="auto" w:sz="4" w:space="0"/>
              <w:bottom w:val="single" w:color="auto" w:sz="4" w:space="0"/>
              <w:right w:val="single" w:color="auto" w:sz="4" w:space="0"/>
            </w:tcBorders>
          </w:tcPr>
          <w:p w14:paraId="5E0F4DBB">
            <w:pPr>
              <w:spacing w:line="340" w:lineRule="exact"/>
              <w:rPr>
                <w:rFonts w:ascii="宋体" w:hAnsi="宋体"/>
                <w:color w:val="auto"/>
                <w:sz w:val="24"/>
                <w:highlight w:val="none"/>
              </w:rPr>
            </w:pPr>
            <w:r>
              <w:rPr>
                <w:rFonts w:hint="eastAsia" w:ascii="宋体" w:hAnsi="宋体"/>
                <w:color w:val="auto"/>
                <w:sz w:val="24"/>
                <w:highlight w:val="none"/>
              </w:rPr>
              <w:t>...</w:t>
            </w:r>
          </w:p>
        </w:tc>
        <w:tc>
          <w:tcPr>
            <w:tcW w:w="3800" w:type="dxa"/>
            <w:tcBorders>
              <w:top w:val="single" w:color="auto" w:sz="4" w:space="0"/>
              <w:left w:val="single" w:color="auto" w:sz="4" w:space="0"/>
              <w:bottom w:val="single" w:color="auto" w:sz="4" w:space="0"/>
              <w:right w:val="single" w:color="auto" w:sz="4" w:space="0"/>
            </w:tcBorders>
          </w:tcPr>
          <w:p w14:paraId="622F12A2">
            <w:pPr>
              <w:spacing w:line="340" w:lineRule="exact"/>
              <w:rPr>
                <w:rFonts w:ascii="宋体" w:hAnsi="宋体"/>
                <w:color w:val="auto"/>
                <w:sz w:val="24"/>
                <w:highlight w:val="none"/>
              </w:rPr>
            </w:pPr>
            <w:r>
              <w:rPr>
                <w:rFonts w:hint="eastAsia" w:ascii="宋体" w:hAnsi="宋体"/>
                <w:color w:val="auto"/>
                <w:sz w:val="24"/>
                <w:highlight w:val="none"/>
              </w:rPr>
              <w:t>1  ……</w:t>
            </w:r>
          </w:p>
          <w:p w14:paraId="3FF25A6A">
            <w:pPr>
              <w:spacing w:line="340" w:lineRule="exact"/>
              <w:rPr>
                <w:rFonts w:ascii="宋体" w:hAnsi="宋体"/>
                <w:color w:val="auto"/>
                <w:sz w:val="24"/>
                <w:highlight w:val="none"/>
              </w:rPr>
            </w:pPr>
            <w:r>
              <w:rPr>
                <w:rFonts w:hint="eastAsia" w:ascii="宋体" w:hAnsi="宋体"/>
                <w:color w:val="auto"/>
                <w:sz w:val="24"/>
                <w:highlight w:val="none"/>
              </w:rPr>
              <w:t>2  ……</w:t>
            </w:r>
          </w:p>
          <w:p w14:paraId="43D3905E">
            <w:pPr>
              <w:spacing w:line="340" w:lineRule="exact"/>
              <w:rPr>
                <w:rFonts w:ascii="宋体" w:hAnsi="宋体"/>
                <w:color w:val="auto"/>
                <w:sz w:val="24"/>
                <w:highlight w:val="none"/>
              </w:rPr>
            </w:pPr>
            <w:r>
              <w:rPr>
                <w:rFonts w:hint="eastAsia" w:ascii="宋体" w:hAnsi="宋体"/>
                <w:color w:val="auto"/>
                <w:sz w:val="24"/>
                <w:highlight w:val="none"/>
              </w:rPr>
              <w:t>3  ……</w:t>
            </w:r>
          </w:p>
          <w:p w14:paraId="7EF7403E">
            <w:pPr>
              <w:spacing w:line="340" w:lineRule="exact"/>
              <w:rPr>
                <w:rFonts w:ascii="宋体" w:hAnsi="宋体"/>
                <w:color w:val="auto"/>
                <w:sz w:val="24"/>
                <w:highlight w:val="none"/>
              </w:rPr>
            </w:pPr>
            <w:r>
              <w:rPr>
                <w:rFonts w:hint="eastAsia" w:ascii="宋体" w:hAnsi="宋体"/>
                <w:color w:val="auto"/>
                <w:sz w:val="24"/>
                <w:highlight w:val="none"/>
              </w:rPr>
              <w:t>……</w:t>
            </w:r>
          </w:p>
        </w:tc>
        <w:tc>
          <w:tcPr>
            <w:tcW w:w="3146" w:type="dxa"/>
            <w:tcBorders>
              <w:top w:val="single" w:color="auto" w:sz="4" w:space="0"/>
              <w:left w:val="single" w:color="auto" w:sz="4" w:space="0"/>
              <w:bottom w:val="single" w:color="auto" w:sz="4" w:space="0"/>
              <w:right w:val="single" w:color="auto" w:sz="4" w:space="0"/>
            </w:tcBorders>
          </w:tcPr>
          <w:p w14:paraId="280165E6">
            <w:pPr>
              <w:spacing w:line="340" w:lineRule="exact"/>
              <w:rPr>
                <w:rFonts w:ascii="宋体" w:hAnsi="宋体"/>
                <w:color w:val="auto"/>
                <w:sz w:val="24"/>
                <w:highlight w:val="none"/>
              </w:rPr>
            </w:pPr>
            <w:r>
              <w:rPr>
                <w:rFonts w:hint="eastAsia" w:ascii="宋体" w:hAnsi="宋体"/>
                <w:color w:val="auto"/>
                <w:sz w:val="24"/>
                <w:highlight w:val="none"/>
              </w:rPr>
              <w:t>1  ……</w:t>
            </w:r>
          </w:p>
          <w:p w14:paraId="41119508">
            <w:pPr>
              <w:spacing w:line="340" w:lineRule="exact"/>
              <w:rPr>
                <w:rFonts w:ascii="宋体" w:hAnsi="宋体"/>
                <w:color w:val="auto"/>
                <w:sz w:val="24"/>
                <w:highlight w:val="none"/>
              </w:rPr>
            </w:pPr>
            <w:r>
              <w:rPr>
                <w:rFonts w:hint="eastAsia" w:ascii="宋体" w:hAnsi="宋体"/>
                <w:color w:val="auto"/>
                <w:sz w:val="24"/>
                <w:highlight w:val="none"/>
              </w:rPr>
              <w:t>2  ……</w:t>
            </w:r>
          </w:p>
          <w:p w14:paraId="04D742C3">
            <w:pPr>
              <w:spacing w:line="340" w:lineRule="exact"/>
              <w:rPr>
                <w:rFonts w:ascii="宋体" w:hAnsi="宋体"/>
                <w:color w:val="auto"/>
                <w:sz w:val="24"/>
                <w:highlight w:val="none"/>
              </w:rPr>
            </w:pPr>
            <w:r>
              <w:rPr>
                <w:rFonts w:hint="eastAsia" w:ascii="宋体" w:hAnsi="宋体"/>
                <w:color w:val="auto"/>
                <w:sz w:val="24"/>
                <w:highlight w:val="none"/>
              </w:rPr>
              <w:t>3  ……</w:t>
            </w:r>
          </w:p>
          <w:p w14:paraId="386F43DB">
            <w:pPr>
              <w:spacing w:line="340" w:lineRule="exact"/>
              <w:rPr>
                <w:rFonts w:ascii="宋体" w:hAnsi="宋体"/>
                <w:color w:val="auto"/>
                <w:sz w:val="24"/>
                <w:highlight w:val="none"/>
              </w:rPr>
            </w:pPr>
            <w:r>
              <w:rPr>
                <w:rFonts w:hint="eastAsia" w:ascii="宋体" w:hAnsi="宋体"/>
                <w:color w:val="auto"/>
                <w:sz w:val="24"/>
                <w:highlight w:val="none"/>
              </w:rPr>
              <w:t>……</w:t>
            </w:r>
          </w:p>
        </w:tc>
        <w:tc>
          <w:tcPr>
            <w:tcW w:w="1717" w:type="dxa"/>
            <w:tcBorders>
              <w:top w:val="single" w:color="auto" w:sz="4" w:space="0"/>
              <w:left w:val="single" w:color="auto" w:sz="4" w:space="0"/>
              <w:bottom w:val="single" w:color="auto" w:sz="4" w:space="0"/>
              <w:right w:val="single" w:color="auto" w:sz="4" w:space="0"/>
            </w:tcBorders>
          </w:tcPr>
          <w:p w14:paraId="111C6040">
            <w:pPr>
              <w:spacing w:line="300" w:lineRule="exact"/>
              <w:rPr>
                <w:rFonts w:ascii="宋体" w:hAnsi="宋体"/>
                <w:color w:val="auto"/>
                <w:sz w:val="24"/>
                <w:highlight w:val="none"/>
              </w:rPr>
            </w:pPr>
            <w:r>
              <w:rPr>
                <w:rFonts w:hint="eastAsia" w:ascii="宋体" w:hAnsi="宋体"/>
                <w:color w:val="auto"/>
                <w:sz w:val="24"/>
                <w:highlight w:val="none"/>
              </w:rPr>
              <w:t>正偏离（负偏离或无偏离）</w:t>
            </w:r>
          </w:p>
        </w:tc>
      </w:tr>
      <w:tr w14:paraId="35BA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14:paraId="4A972626">
            <w:pPr>
              <w:spacing w:line="340" w:lineRule="exact"/>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分标（此处有分标时填写具体分标号，无分标时填写“无”）</w:t>
            </w:r>
          </w:p>
        </w:tc>
      </w:tr>
    </w:tbl>
    <w:p w14:paraId="6CB7596E">
      <w:pPr>
        <w:pStyle w:val="8"/>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注：</w:t>
      </w:r>
    </w:p>
    <w:p w14:paraId="6A710EAA">
      <w:pPr>
        <w:pStyle w:val="10"/>
        <w:spacing w:line="400" w:lineRule="exac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1.请</w:t>
      </w:r>
      <w:r>
        <w:rPr>
          <w:rFonts w:hint="eastAsia" w:ascii="宋体" w:hAnsi="宋体" w:eastAsia="宋体" w:cs="宋体"/>
          <w:b/>
          <w:color w:val="auto"/>
          <w:sz w:val="28"/>
          <w:szCs w:val="22"/>
          <w:highlight w:val="none"/>
          <w:u w:val="single"/>
        </w:rPr>
        <w:t>逐条</w:t>
      </w:r>
      <w:r>
        <w:rPr>
          <w:rFonts w:hint="eastAsia" w:ascii="宋体" w:hAnsi="宋体" w:eastAsia="宋体" w:cs="宋体"/>
          <w:color w:val="auto"/>
          <w:sz w:val="22"/>
          <w:szCs w:val="22"/>
          <w:highlight w:val="none"/>
        </w:rPr>
        <w:t>对应本项目招标文件第二章“服务需求一览表”中“商务条款”“商务条款其他要求”的要求，详细填写相应的具体内容。“偏离说明”一栏应当选择“正偏离”、“负偏离”或“无偏离”进行填写。</w:t>
      </w:r>
    </w:p>
    <w:p w14:paraId="52B628BE">
      <w:pPr>
        <w:pStyle w:val="10"/>
        <w:spacing w:line="400" w:lineRule="exac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2.应对照招标文件“第二章采购需求”中的商务要求逐条作明确的投标响应，并作出偏离说明。</w:t>
      </w:r>
    </w:p>
    <w:p w14:paraId="5D106D43">
      <w:pPr>
        <w:pStyle w:val="10"/>
        <w:spacing w:line="400" w:lineRule="exac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3.表格内容均需按要求填写并盖章，不得留空，否则按投标无效处理。</w:t>
      </w:r>
    </w:p>
    <w:p w14:paraId="6F7D6455">
      <w:pPr>
        <w:pStyle w:val="10"/>
        <w:spacing w:line="400" w:lineRule="exac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4.如果招标文件需求为小于或大于某个数值标准时</w:t>
      </w:r>
      <w:r>
        <w:rPr>
          <w:rFonts w:hint="eastAsia" w:ascii="宋体" w:hAnsi="宋体" w:eastAsia="宋体" w:cs="宋体"/>
          <w:color w:val="auto"/>
          <w:sz w:val="22"/>
          <w:szCs w:val="22"/>
          <w:highlight w:val="none"/>
          <w:u w:val="single"/>
        </w:rPr>
        <w:t>（除特殊技术或服务要求）</w:t>
      </w:r>
      <w:r>
        <w:rPr>
          <w:rFonts w:hint="eastAsia" w:ascii="宋体" w:hAnsi="宋体" w:eastAsia="宋体" w:cs="宋体"/>
          <w:color w:val="auto"/>
          <w:sz w:val="22"/>
          <w:szCs w:val="22"/>
          <w:highlight w:val="none"/>
        </w:rPr>
        <w:t>，投标文件承诺不得直接复制招标文件需求，投标文件承诺内容应当写明投标货物具体参数或商务响应承诺的具体数值，否则按投标无效处理。</w:t>
      </w:r>
    </w:p>
    <w:p w14:paraId="71935002">
      <w:pPr>
        <w:pStyle w:val="10"/>
        <w:spacing w:line="400" w:lineRule="exac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5.当投标文件的商务内容低于招标文件要求时，投标人应当如实写明“负偏离”，否则视为虚假应标。</w:t>
      </w:r>
    </w:p>
    <w:p w14:paraId="68231AA7">
      <w:pPr>
        <w:pStyle w:val="10"/>
        <w:spacing w:line="400" w:lineRule="exact"/>
        <w:ind w:firstLine="440" w:firstLineChars="200"/>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6.采购需求中带“▲”及“★”的条款，也要分别在本表“投标文件的商务需求”、“投标文件承诺的商务条款”中标记。</w:t>
      </w:r>
    </w:p>
    <w:p w14:paraId="07D2A0DD">
      <w:pPr>
        <w:snapToGrid w:val="0"/>
        <w:spacing w:before="50" w:after="50"/>
        <w:rPr>
          <w:rFonts w:ascii="宋体" w:hAnsi="宋体" w:cs="宋体"/>
          <w:color w:val="auto"/>
          <w:sz w:val="24"/>
          <w:highlight w:val="none"/>
        </w:rPr>
      </w:pPr>
    </w:p>
    <w:p w14:paraId="035809D2">
      <w:pPr>
        <w:spacing w:line="360" w:lineRule="auto"/>
        <w:ind w:firstLine="440" w:firstLineChars="200"/>
        <w:contextualSpacing/>
        <w:rPr>
          <w:rFonts w:ascii="宋体" w:hAnsi="宋体" w:cs="宋体"/>
          <w:color w:val="auto"/>
          <w:sz w:val="22"/>
          <w:highlight w:val="none"/>
        </w:rPr>
      </w:pPr>
      <w:r>
        <w:rPr>
          <w:rFonts w:hint="eastAsia" w:ascii="宋体" w:hAnsi="宋体" w:cs="宋体"/>
          <w:color w:val="auto"/>
          <w:sz w:val="22"/>
          <w:highlight w:val="none"/>
        </w:rPr>
        <w:t>法定代表人或者委托代理人（签字或者电子签名）：</w:t>
      </w:r>
    </w:p>
    <w:p w14:paraId="65955132">
      <w:pPr>
        <w:spacing w:line="360" w:lineRule="auto"/>
        <w:ind w:firstLine="440" w:firstLineChars="200"/>
        <w:contextualSpacing/>
        <w:rPr>
          <w:rFonts w:ascii="宋体" w:hAnsi="宋体" w:cs="宋体"/>
          <w:color w:val="auto"/>
          <w:sz w:val="22"/>
          <w:highlight w:val="none"/>
          <w:u w:val="single"/>
        </w:rPr>
      </w:pPr>
      <w:r>
        <w:rPr>
          <w:rFonts w:hint="eastAsia" w:hAnsi="宋体" w:cs="宋体"/>
          <w:color w:val="auto"/>
          <w:sz w:val="22"/>
          <w:highlight w:val="none"/>
        </w:rPr>
        <w:t>投标人名称（电子签章）：</w:t>
      </w:r>
    </w:p>
    <w:p w14:paraId="549FAA03">
      <w:pPr>
        <w:spacing w:line="360" w:lineRule="auto"/>
        <w:ind w:firstLine="440" w:firstLineChars="200"/>
        <w:contextualSpacing/>
        <w:rPr>
          <w:rFonts w:hAnsi="宋体" w:cs="宋体"/>
          <w:color w:val="auto"/>
          <w:sz w:val="22"/>
          <w:highlight w:val="none"/>
        </w:rPr>
      </w:pPr>
      <w:r>
        <w:rPr>
          <w:rFonts w:hint="eastAsia" w:hAnsi="宋体" w:cs="宋体"/>
          <w:color w:val="auto"/>
          <w:sz w:val="22"/>
          <w:highlight w:val="none"/>
        </w:rPr>
        <w:t>日期：年月日</w:t>
      </w:r>
    </w:p>
    <w:p w14:paraId="3345A9F7">
      <w:pPr>
        <w:snapToGrid w:val="0"/>
        <w:spacing w:before="120" w:beforeLines="50" w:after="50"/>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7.投标人业绩证明材料</w:t>
      </w:r>
    </w:p>
    <w:p w14:paraId="43B5A374">
      <w:pPr>
        <w:pStyle w:val="15"/>
        <w:snapToGrid w:val="0"/>
        <w:ind w:left="480" w:hanging="480"/>
        <w:rPr>
          <w:rFonts w:ascii="宋体" w:hAnsi="宋体" w:cs="宋体"/>
          <w:color w:val="auto"/>
          <w:sz w:val="24"/>
          <w:highlight w:val="none"/>
        </w:rPr>
      </w:pPr>
    </w:p>
    <w:p w14:paraId="27376AD5">
      <w:pPr>
        <w:snapToGrid w:val="0"/>
        <w:spacing w:before="50" w:after="50"/>
        <w:jc w:val="center"/>
        <w:rPr>
          <w:rFonts w:ascii="宋体" w:hAnsi="宋体" w:cs="宋体"/>
          <w:b/>
          <w:color w:val="auto"/>
          <w:sz w:val="32"/>
          <w:highlight w:val="none"/>
        </w:rPr>
      </w:pPr>
      <w:r>
        <w:rPr>
          <w:rFonts w:hint="eastAsia" w:ascii="宋体" w:hAnsi="宋体" w:cs="宋体"/>
          <w:b/>
          <w:color w:val="auto"/>
          <w:sz w:val="32"/>
          <w:highlight w:val="none"/>
        </w:rPr>
        <w:t>投标人业绩情况一览表（格式）</w:t>
      </w:r>
    </w:p>
    <w:tbl>
      <w:tblPr>
        <w:tblStyle w:val="18"/>
        <w:tblW w:w="518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025"/>
        <w:gridCol w:w="1718"/>
        <w:gridCol w:w="1797"/>
        <w:gridCol w:w="2898"/>
        <w:gridCol w:w="1583"/>
      </w:tblGrid>
      <w:tr w14:paraId="737C0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14:paraId="2C42A7A7">
            <w:pPr>
              <w:snapToGrid w:val="0"/>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519" w:type="pct"/>
            <w:tcBorders>
              <w:top w:val="single" w:color="auto" w:sz="4" w:space="0"/>
              <w:left w:val="single" w:color="auto" w:sz="4" w:space="0"/>
              <w:bottom w:val="single" w:color="auto" w:sz="4" w:space="0"/>
              <w:right w:val="single" w:color="auto" w:sz="4" w:space="0"/>
            </w:tcBorders>
            <w:vAlign w:val="center"/>
          </w:tcPr>
          <w:p w14:paraId="3BCDEC35">
            <w:pPr>
              <w:snapToGrid w:val="0"/>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采购人名称</w:t>
            </w:r>
          </w:p>
        </w:tc>
        <w:tc>
          <w:tcPr>
            <w:tcW w:w="870" w:type="pct"/>
            <w:tcBorders>
              <w:top w:val="single" w:color="auto" w:sz="4" w:space="0"/>
              <w:left w:val="single" w:color="auto" w:sz="4" w:space="0"/>
              <w:bottom w:val="single" w:color="auto" w:sz="4" w:space="0"/>
              <w:right w:val="single" w:color="auto" w:sz="4" w:space="0"/>
            </w:tcBorders>
            <w:vAlign w:val="center"/>
          </w:tcPr>
          <w:p w14:paraId="27BB48B4">
            <w:pPr>
              <w:snapToGrid w:val="0"/>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项目名称</w:t>
            </w:r>
          </w:p>
        </w:tc>
        <w:tc>
          <w:tcPr>
            <w:tcW w:w="910" w:type="pct"/>
            <w:tcBorders>
              <w:top w:val="single" w:color="auto" w:sz="4" w:space="0"/>
              <w:left w:val="single" w:color="auto" w:sz="4" w:space="0"/>
              <w:bottom w:val="single" w:color="auto" w:sz="4" w:space="0"/>
              <w:right w:val="single" w:color="auto" w:sz="4" w:space="0"/>
            </w:tcBorders>
            <w:vAlign w:val="center"/>
          </w:tcPr>
          <w:p w14:paraId="31E00814">
            <w:pPr>
              <w:snapToGrid w:val="0"/>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合同金额（万元）</w:t>
            </w:r>
          </w:p>
        </w:tc>
        <w:tc>
          <w:tcPr>
            <w:tcW w:w="1468" w:type="pct"/>
            <w:tcBorders>
              <w:top w:val="single" w:color="auto" w:sz="4" w:space="0"/>
              <w:left w:val="single" w:color="auto" w:sz="4" w:space="0"/>
              <w:bottom w:val="single" w:color="auto" w:sz="4" w:space="0"/>
              <w:right w:val="single" w:color="auto" w:sz="4" w:space="0"/>
            </w:tcBorders>
          </w:tcPr>
          <w:p w14:paraId="05CCD4C4">
            <w:pPr>
              <w:snapToGrid w:val="0"/>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业绩证明材料（中标通知书、合同、协议、验收报告等）</w:t>
            </w:r>
          </w:p>
        </w:tc>
        <w:tc>
          <w:tcPr>
            <w:tcW w:w="802" w:type="pct"/>
            <w:tcBorders>
              <w:top w:val="single" w:color="auto" w:sz="4" w:space="0"/>
              <w:left w:val="single" w:color="auto" w:sz="4" w:space="0"/>
              <w:bottom w:val="single" w:color="auto" w:sz="4" w:space="0"/>
              <w:right w:val="single" w:color="auto" w:sz="4" w:space="0"/>
            </w:tcBorders>
            <w:vAlign w:val="center"/>
          </w:tcPr>
          <w:p w14:paraId="0A01CC19">
            <w:pPr>
              <w:snapToGrid w:val="0"/>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采购人联系人及联系电话</w:t>
            </w:r>
          </w:p>
        </w:tc>
      </w:tr>
      <w:tr w14:paraId="0D656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14:paraId="73A7EABD">
            <w:pPr>
              <w:snapToGrid w:val="0"/>
              <w:spacing w:line="400" w:lineRule="exact"/>
              <w:jc w:val="center"/>
              <w:rPr>
                <w:rFonts w:ascii="宋体" w:hAnsi="宋体" w:cs="宋体"/>
                <w:color w:val="auto"/>
                <w:sz w:val="22"/>
                <w:szCs w:val="22"/>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14:paraId="042505F1">
            <w:pPr>
              <w:snapToGrid w:val="0"/>
              <w:spacing w:line="400" w:lineRule="exact"/>
              <w:jc w:val="center"/>
              <w:rPr>
                <w:rFonts w:ascii="宋体" w:hAnsi="宋体" w:cs="宋体"/>
                <w:color w:val="auto"/>
                <w:sz w:val="22"/>
                <w:szCs w:val="22"/>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1589A7AC">
            <w:pPr>
              <w:snapToGrid w:val="0"/>
              <w:spacing w:line="400" w:lineRule="exact"/>
              <w:jc w:val="center"/>
              <w:rPr>
                <w:rFonts w:ascii="宋体" w:hAnsi="宋体" w:cs="宋体"/>
                <w:color w:val="auto"/>
                <w:sz w:val="22"/>
                <w:szCs w:val="22"/>
                <w:highlight w:val="none"/>
              </w:rPr>
            </w:pPr>
          </w:p>
        </w:tc>
        <w:tc>
          <w:tcPr>
            <w:tcW w:w="910" w:type="pct"/>
            <w:tcBorders>
              <w:top w:val="single" w:color="auto" w:sz="4" w:space="0"/>
              <w:left w:val="single" w:color="auto" w:sz="4" w:space="0"/>
              <w:bottom w:val="single" w:color="auto" w:sz="4" w:space="0"/>
              <w:right w:val="single" w:color="auto" w:sz="4" w:space="0"/>
            </w:tcBorders>
            <w:vAlign w:val="center"/>
          </w:tcPr>
          <w:p w14:paraId="693BFCB1">
            <w:pPr>
              <w:snapToGrid w:val="0"/>
              <w:spacing w:line="400" w:lineRule="exact"/>
              <w:jc w:val="center"/>
              <w:rPr>
                <w:rFonts w:ascii="宋体" w:hAnsi="宋体" w:cs="宋体"/>
                <w:color w:val="auto"/>
                <w:sz w:val="22"/>
                <w:szCs w:val="22"/>
                <w:highlight w:val="none"/>
              </w:rPr>
            </w:pPr>
          </w:p>
        </w:tc>
        <w:tc>
          <w:tcPr>
            <w:tcW w:w="1468" w:type="pct"/>
            <w:tcBorders>
              <w:top w:val="single" w:color="auto" w:sz="4" w:space="0"/>
              <w:left w:val="single" w:color="auto" w:sz="4" w:space="0"/>
              <w:bottom w:val="single" w:color="auto" w:sz="4" w:space="0"/>
              <w:right w:val="single" w:color="auto" w:sz="4" w:space="0"/>
            </w:tcBorders>
          </w:tcPr>
          <w:p w14:paraId="6F9D1C06">
            <w:pPr>
              <w:snapToGrid w:val="0"/>
              <w:spacing w:line="400" w:lineRule="exact"/>
              <w:jc w:val="center"/>
              <w:rPr>
                <w:rFonts w:ascii="宋体" w:hAnsi="宋体" w:cs="宋体"/>
                <w:color w:val="auto"/>
                <w:sz w:val="22"/>
                <w:szCs w:val="22"/>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02D3775E">
            <w:pPr>
              <w:snapToGrid w:val="0"/>
              <w:spacing w:line="400" w:lineRule="exact"/>
              <w:jc w:val="center"/>
              <w:rPr>
                <w:rFonts w:ascii="宋体" w:hAnsi="宋体" w:cs="宋体"/>
                <w:color w:val="auto"/>
                <w:sz w:val="22"/>
                <w:szCs w:val="22"/>
                <w:highlight w:val="none"/>
              </w:rPr>
            </w:pPr>
          </w:p>
        </w:tc>
      </w:tr>
      <w:tr w14:paraId="0632C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14:paraId="1F9A9D59">
            <w:pPr>
              <w:snapToGrid w:val="0"/>
              <w:spacing w:line="400" w:lineRule="exact"/>
              <w:jc w:val="center"/>
              <w:rPr>
                <w:rFonts w:ascii="宋体" w:hAnsi="宋体" w:cs="宋体"/>
                <w:color w:val="auto"/>
                <w:sz w:val="22"/>
                <w:szCs w:val="22"/>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14:paraId="7F4D622C">
            <w:pPr>
              <w:snapToGrid w:val="0"/>
              <w:spacing w:line="400" w:lineRule="exact"/>
              <w:jc w:val="center"/>
              <w:rPr>
                <w:rFonts w:ascii="宋体" w:hAnsi="宋体" w:cs="宋体"/>
                <w:color w:val="auto"/>
                <w:sz w:val="22"/>
                <w:szCs w:val="22"/>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48A97114">
            <w:pPr>
              <w:snapToGrid w:val="0"/>
              <w:spacing w:line="400" w:lineRule="exact"/>
              <w:jc w:val="center"/>
              <w:rPr>
                <w:rFonts w:ascii="宋体" w:hAnsi="宋体" w:cs="宋体"/>
                <w:color w:val="auto"/>
                <w:sz w:val="22"/>
                <w:szCs w:val="22"/>
                <w:highlight w:val="none"/>
              </w:rPr>
            </w:pPr>
          </w:p>
        </w:tc>
        <w:tc>
          <w:tcPr>
            <w:tcW w:w="910" w:type="pct"/>
            <w:tcBorders>
              <w:top w:val="single" w:color="auto" w:sz="4" w:space="0"/>
              <w:left w:val="single" w:color="auto" w:sz="4" w:space="0"/>
              <w:bottom w:val="single" w:color="auto" w:sz="4" w:space="0"/>
              <w:right w:val="single" w:color="auto" w:sz="4" w:space="0"/>
            </w:tcBorders>
            <w:vAlign w:val="center"/>
          </w:tcPr>
          <w:p w14:paraId="0C9882CE">
            <w:pPr>
              <w:snapToGrid w:val="0"/>
              <w:spacing w:line="400" w:lineRule="exact"/>
              <w:jc w:val="center"/>
              <w:rPr>
                <w:rFonts w:ascii="宋体" w:hAnsi="宋体" w:cs="宋体"/>
                <w:color w:val="auto"/>
                <w:sz w:val="22"/>
                <w:szCs w:val="22"/>
                <w:highlight w:val="none"/>
              </w:rPr>
            </w:pPr>
          </w:p>
        </w:tc>
        <w:tc>
          <w:tcPr>
            <w:tcW w:w="1468" w:type="pct"/>
            <w:tcBorders>
              <w:top w:val="single" w:color="auto" w:sz="4" w:space="0"/>
              <w:left w:val="single" w:color="auto" w:sz="4" w:space="0"/>
              <w:bottom w:val="single" w:color="auto" w:sz="4" w:space="0"/>
              <w:right w:val="single" w:color="auto" w:sz="4" w:space="0"/>
            </w:tcBorders>
          </w:tcPr>
          <w:p w14:paraId="26DBEA07">
            <w:pPr>
              <w:snapToGrid w:val="0"/>
              <w:spacing w:line="400" w:lineRule="exact"/>
              <w:jc w:val="center"/>
              <w:rPr>
                <w:rFonts w:ascii="宋体" w:hAnsi="宋体" w:cs="宋体"/>
                <w:color w:val="auto"/>
                <w:sz w:val="22"/>
                <w:szCs w:val="22"/>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32D04A74">
            <w:pPr>
              <w:snapToGrid w:val="0"/>
              <w:spacing w:line="400" w:lineRule="exact"/>
              <w:jc w:val="center"/>
              <w:rPr>
                <w:rFonts w:ascii="宋体" w:hAnsi="宋体" w:cs="宋体"/>
                <w:color w:val="auto"/>
                <w:sz w:val="22"/>
                <w:szCs w:val="22"/>
                <w:highlight w:val="none"/>
              </w:rPr>
            </w:pPr>
          </w:p>
        </w:tc>
      </w:tr>
      <w:tr w14:paraId="0D2FA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14:paraId="05D0189E">
            <w:pPr>
              <w:snapToGrid w:val="0"/>
              <w:spacing w:line="400" w:lineRule="exact"/>
              <w:jc w:val="center"/>
              <w:rPr>
                <w:rFonts w:ascii="宋体" w:hAnsi="宋体" w:cs="宋体"/>
                <w:color w:val="auto"/>
                <w:sz w:val="22"/>
                <w:szCs w:val="22"/>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14:paraId="45B6A601">
            <w:pPr>
              <w:snapToGrid w:val="0"/>
              <w:spacing w:line="400" w:lineRule="exact"/>
              <w:jc w:val="center"/>
              <w:rPr>
                <w:rFonts w:ascii="宋体" w:hAnsi="宋体" w:cs="宋体"/>
                <w:color w:val="auto"/>
                <w:sz w:val="22"/>
                <w:szCs w:val="22"/>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0065DB78">
            <w:pPr>
              <w:snapToGrid w:val="0"/>
              <w:spacing w:line="400" w:lineRule="exact"/>
              <w:jc w:val="center"/>
              <w:rPr>
                <w:rFonts w:ascii="宋体" w:hAnsi="宋体" w:cs="宋体"/>
                <w:color w:val="auto"/>
                <w:sz w:val="22"/>
                <w:szCs w:val="22"/>
                <w:highlight w:val="none"/>
              </w:rPr>
            </w:pPr>
          </w:p>
        </w:tc>
        <w:tc>
          <w:tcPr>
            <w:tcW w:w="910" w:type="pct"/>
            <w:tcBorders>
              <w:top w:val="single" w:color="auto" w:sz="4" w:space="0"/>
              <w:left w:val="single" w:color="auto" w:sz="4" w:space="0"/>
              <w:bottom w:val="single" w:color="auto" w:sz="4" w:space="0"/>
              <w:right w:val="single" w:color="auto" w:sz="4" w:space="0"/>
            </w:tcBorders>
            <w:vAlign w:val="center"/>
          </w:tcPr>
          <w:p w14:paraId="59342711">
            <w:pPr>
              <w:snapToGrid w:val="0"/>
              <w:spacing w:line="400" w:lineRule="exact"/>
              <w:jc w:val="center"/>
              <w:rPr>
                <w:rFonts w:ascii="宋体" w:hAnsi="宋体" w:cs="宋体"/>
                <w:color w:val="auto"/>
                <w:sz w:val="22"/>
                <w:szCs w:val="22"/>
                <w:highlight w:val="none"/>
              </w:rPr>
            </w:pPr>
          </w:p>
        </w:tc>
        <w:tc>
          <w:tcPr>
            <w:tcW w:w="1468" w:type="pct"/>
            <w:tcBorders>
              <w:top w:val="single" w:color="auto" w:sz="4" w:space="0"/>
              <w:left w:val="single" w:color="auto" w:sz="4" w:space="0"/>
              <w:bottom w:val="single" w:color="auto" w:sz="4" w:space="0"/>
              <w:right w:val="single" w:color="auto" w:sz="4" w:space="0"/>
            </w:tcBorders>
          </w:tcPr>
          <w:p w14:paraId="6F7CAFEE">
            <w:pPr>
              <w:snapToGrid w:val="0"/>
              <w:spacing w:line="400" w:lineRule="exact"/>
              <w:jc w:val="center"/>
              <w:rPr>
                <w:rFonts w:ascii="宋体" w:hAnsi="宋体" w:cs="宋体"/>
                <w:color w:val="auto"/>
                <w:sz w:val="22"/>
                <w:szCs w:val="22"/>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725C4265">
            <w:pPr>
              <w:snapToGrid w:val="0"/>
              <w:spacing w:line="400" w:lineRule="exact"/>
              <w:jc w:val="center"/>
              <w:rPr>
                <w:rFonts w:ascii="宋体" w:hAnsi="宋体" w:cs="宋体"/>
                <w:color w:val="auto"/>
                <w:sz w:val="22"/>
                <w:szCs w:val="22"/>
                <w:highlight w:val="none"/>
              </w:rPr>
            </w:pPr>
          </w:p>
        </w:tc>
      </w:tr>
      <w:tr w14:paraId="76859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14:paraId="276DFB06">
            <w:pPr>
              <w:snapToGrid w:val="0"/>
              <w:spacing w:line="400" w:lineRule="exact"/>
              <w:jc w:val="center"/>
              <w:rPr>
                <w:rFonts w:ascii="宋体" w:hAnsi="宋体" w:cs="宋体"/>
                <w:color w:val="auto"/>
                <w:sz w:val="22"/>
                <w:szCs w:val="22"/>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14:paraId="3BA7998A">
            <w:pPr>
              <w:snapToGrid w:val="0"/>
              <w:spacing w:line="400" w:lineRule="exact"/>
              <w:jc w:val="center"/>
              <w:rPr>
                <w:rFonts w:ascii="宋体" w:hAnsi="宋体" w:cs="宋体"/>
                <w:color w:val="auto"/>
                <w:sz w:val="22"/>
                <w:szCs w:val="22"/>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7E95BC61">
            <w:pPr>
              <w:snapToGrid w:val="0"/>
              <w:spacing w:line="400" w:lineRule="exact"/>
              <w:jc w:val="center"/>
              <w:rPr>
                <w:rFonts w:ascii="宋体" w:hAnsi="宋体" w:cs="宋体"/>
                <w:color w:val="auto"/>
                <w:sz w:val="22"/>
                <w:szCs w:val="22"/>
                <w:highlight w:val="none"/>
              </w:rPr>
            </w:pPr>
          </w:p>
        </w:tc>
        <w:tc>
          <w:tcPr>
            <w:tcW w:w="910" w:type="pct"/>
            <w:tcBorders>
              <w:top w:val="single" w:color="auto" w:sz="4" w:space="0"/>
              <w:left w:val="single" w:color="auto" w:sz="4" w:space="0"/>
              <w:bottom w:val="single" w:color="auto" w:sz="4" w:space="0"/>
              <w:right w:val="single" w:color="auto" w:sz="4" w:space="0"/>
            </w:tcBorders>
            <w:vAlign w:val="center"/>
          </w:tcPr>
          <w:p w14:paraId="1D72A435">
            <w:pPr>
              <w:snapToGrid w:val="0"/>
              <w:spacing w:line="400" w:lineRule="exact"/>
              <w:jc w:val="center"/>
              <w:rPr>
                <w:rFonts w:ascii="宋体" w:hAnsi="宋体" w:cs="宋体"/>
                <w:color w:val="auto"/>
                <w:sz w:val="22"/>
                <w:szCs w:val="22"/>
                <w:highlight w:val="none"/>
              </w:rPr>
            </w:pPr>
          </w:p>
        </w:tc>
        <w:tc>
          <w:tcPr>
            <w:tcW w:w="1468" w:type="pct"/>
            <w:tcBorders>
              <w:top w:val="single" w:color="auto" w:sz="4" w:space="0"/>
              <w:left w:val="single" w:color="auto" w:sz="4" w:space="0"/>
              <w:bottom w:val="single" w:color="auto" w:sz="4" w:space="0"/>
              <w:right w:val="single" w:color="auto" w:sz="4" w:space="0"/>
            </w:tcBorders>
          </w:tcPr>
          <w:p w14:paraId="0A7E10AF">
            <w:pPr>
              <w:snapToGrid w:val="0"/>
              <w:spacing w:line="400" w:lineRule="exact"/>
              <w:jc w:val="center"/>
              <w:rPr>
                <w:rFonts w:ascii="宋体" w:hAnsi="宋体" w:cs="宋体"/>
                <w:color w:val="auto"/>
                <w:sz w:val="22"/>
                <w:szCs w:val="22"/>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10A441C8">
            <w:pPr>
              <w:snapToGrid w:val="0"/>
              <w:spacing w:line="400" w:lineRule="exact"/>
              <w:jc w:val="center"/>
              <w:rPr>
                <w:rFonts w:ascii="宋体" w:hAnsi="宋体" w:cs="宋体"/>
                <w:color w:val="auto"/>
                <w:sz w:val="22"/>
                <w:szCs w:val="22"/>
                <w:highlight w:val="none"/>
              </w:rPr>
            </w:pPr>
          </w:p>
        </w:tc>
      </w:tr>
      <w:tr w14:paraId="3F7EB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14:paraId="76D505DF">
            <w:pPr>
              <w:snapToGrid w:val="0"/>
              <w:spacing w:line="400" w:lineRule="exact"/>
              <w:jc w:val="center"/>
              <w:rPr>
                <w:rFonts w:ascii="宋体" w:hAnsi="宋体" w:cs="宋体"/>
                <w:color w:val="auto"/>
                <w:sz w:val="22"/>
                <w:szCs w:val="22"/>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14:paraId="6BCC9A7D">
            <w:pPr>
              <w:snapToGrid w:val="0"/>
              <w:spacing w:line="400" w:lineRule="exact"/>
              <w:jc w:val="center"/>
              <w:rPr>
                <w:rFonts w:ascii="宋体" w:hAnsi="宋体" w:cs="宋体"/>
                <w:color w:val="auto"/>
                <w:sz w:val="22"/>
                <w:szCs w:val="22"/>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14847B3E">
            <w:pPr>
              <w:snapToGrid w:val="0"/>
              <w:spacing w:line="400" w:lineRule="exact"/>
              <w:jc w:val="center"/>
              <w:rPr>
                <w:rFonts w:ascii="宋体" w:hAnsi="宋体" w:cs="宋体"/>
                <w:color w:val="auto"/>
                <w:sz w:val="22"/>
                <w:szCs w:val="22"/>
                <w:highlight w:val="none"/>
              </w:rPr>
            </w:pPr>
          </w:p>
        </w:tc>
        <w:tc>
          <w:tcPr>
            <w:tcW w:w="910" w:type="pct"/>
            <w:tcBorders>
              <w:top w:val="single" w:color="auto" w:sz="4" w:space="0"/>
              <w:left w:val="single" w:color="auto" w:sz="4" w:space="0"/>
              <w:bottom w:val="single" w:color="auto" w:sz="4" w:space="0"/>
              <w:right w:val="single" w:color="auto" w:sz="4" w:space="0"/>
            </w:tcBorders>
            <w:vAlign w:val="center"/>
          </w:tcPr>
          <w:p w14:paraId="5E32F91F">
            <w:pPr>
              <w:snapToGrid w:val="0"/>
              <w:spacing w:line="400" w:lineRule="exact"/>
              <w:jc w:val="center"/>
              <w:rPr>
                <w:rFonts w:ascii="宋体" w:hAnsi="宋体" w:cs="宋体"/>
                <w:color w:val="auto"/>
                <w:sz w:val="22"/>
                <w:szCs w:val="22"/>
                <w:highlight w:val="none"/>
              </w:rPr>
            </w:pPr>
          </w:p>
        </w:tc>
        <w:tc>
          <w:tcPr>
            <w:tcW w:w="1468" w:type="pct"/>
            <w:tcBorders>
              <w:top w:val="single" w:color="auto" w:sz="4" w:space="0"/>
              <w:left w:val="single" w:color="auto" w:sz="4" w:space="0"/>
              <w:bottom w:val="single" w:color="auto" w:sz="4" w:space="0"/>
              <w:right w:val="single" w:color="auto" w:sz="4" w:space="0"/>
            </w:tcBorders>
          </w:tcPr>
          <w:p w14:paraId="541BEACB">
            <w:pPr>
              <w:snapToGrid w:val="0"/>
              <w:spacing w:line="400" w:lineRule="exact"/>
              <w:jc w:val="center"/>
              <w:rPr>
                <w:rFonts w:ascii="宋体" w:hAnsi="宋体" w:cs="宋体"/>
                <w:color w:val="auto"/>
                <w:sz w:val="22"/>
                <w:szCs w:val="22"/>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566B1B73">
            <w:pPr>
              <w:snapToGrid w:val="0"/>
              <w:spacing w:line="400" w:lineRule="exact"/>
              <w:jc w:val="center"/>
              <w:rPr>
                <w:rFonts w:ascii="宋体" w:hAnsi="宋体" w:cs="宋体"/>
                <w:color w:val="auto"/>
                <w:sz w:val="22"/>
                <w:szCs w:val="22"/>
                <w:highlight w:val="none"/>
              </w:rPr>
            </w:pPr>
          </w:p>
        </w:tc>
      </w:tr>
      <w:tr w14:paraId="3A05E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14:paraId="38CF4EC6">
            <w:pPr>
              <w:snapToGrid w:val="0"/>
              <w:spacing w:line="400" w:lineRule="exact"/>
              <w:jc w:val="center"/>
              <w:rPr>
                <w:rFonts w:ascii="宋体" w:hAnsi="宋体" w:cs="宋体"/>
                <w:color w:val="auto"/>
                <w:sz w:val="22"/>
                <w:szCs w:val="22"/>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14:paraId="426BC28E">
            <w:pPr>
              <w:snapToGrid w:val="0"/>
              <w:spacing w:line="400" w:lineRule="exact"/>
              <w:jc w:val="center"/>
              <w:rPr>
                <w:rFonts w:ascii="宋体" w:hAnsi="宋体" w:cs="宋体"/>
                <w:color w:val="auto"/>
                <w:sz w:val="22"/>
                <w:szCs w:val="22"/>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4F8E7E74">
            <w:pPr>
              <w:snapToGrid w:val="0"/>
              <w:spacing w:line="400" w:lineRule="exact"/>
              <w:jc w:val="center"/>
              <w:rPr>
                <w:rFonts w:ascii="宋体" w:hAnsi="宋体" w:cs="宋体"/>
                <w:color w:val="auto"/>
                <w:sz w:val="22"/>
                <w:szCs w:val="22"/>
                <w:highlight w:val="none"/>
              </w:rPr>
            </w:pPr>
          </w:p>
        </w:tc>
        <w:tc>
          <w:tcPr>
            <w:tcW w:w="910" w:type="pct"/>
            <w:tcBorders>
              <w:top w:val="single" w:color="auto" w:sz="4" w:space="0"/>
              <w:left w:val="single" w:color="auto" w:sz="4" w:space="0"/>
              <w:bottom w:val="single" w:color="auto" w:sz="4" w:space="0"/>
              <w:right w:val="single" w:color="auto" w:sz="4" w:space="0"/>
            </w:tcBorders>
            <w:vAlign w:val="center"/>
          </w:tcPr>
          <w:p w14:paraId="06012E0F">
            <w:pPr>
              <w:snapToGrid w:val="0"/>
              <w:spacing w:line="400" w:lineRule="exact"/>
              <w:jc w:val="center"/>
              <w:rPr>
                <w:rFonts w:ascii="宋体" w:hAnsi="宋体" w:cs="宋体"/>
                <w:color w:val="auto"/>
                <w:sz w:val="22"/>
                <w:szCs w:val="22"/>
                <w:highlight w:val="none"/>
              </w:rPr>
            </w:pPr>
          </w:p>
        </w:tc>
        <w:tc>
          <w:tcPr>
            <w:tcW w:w="1468" w:type="pct"/>
            <w:tcBorders>
              <w:top w:val="single" w:color="auto" w:sz="4" w:space="0"/>
              <w:left w:val="single" w:color="auto" w:sz="4" w:space="0"/>
              <w:bottom w:val="single" w:color="auto" w:sz="4" w:space="0"/>
              <w:right w:val="single" w:color="auto" w:sz="4" w:space="0"/>
            </w:tcBorders>
          </w:tcPr>
          <w:p w14:paraId="2DA41509">
            <w:pPr>
              <w:snapToGrid w:val="0"/>
              <w:spacing w:line="400" w:lineRule="exact"/>
              <w:jc w:val="center"/>
              <w:rPr>
                <w:rFonts w:ascii="宋体" w:hAnsi="宋体" w:cs="宋体"/>
                <w:color w:val="auto"/>
                <w:sz w:val="22"/>
                <w:szCs w:val="22"/>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60752CA3">
            <w:pPr>
              <w:snapToGrid w:val="0"/>
              <w:spacing w:line="400" w:lineRule="exact"/>
              <w:jc w:val="center"/>
              <w:rPr>
                <w:rFonts w:ascii="宋体" w:hAnsi="宋体" w:cs="宋体"/>
                <w:color w:val="auto"/>
                <w:sz w:val="22"/>
                <w:szCs w:val="22"/>
                <w:highlight w:val="none"/>
              </w:rPr>
            </w:pPr>
          </w:p>
        </w:tc>
      </w:tr>
      <w:tr w14:paraId="6DE9A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14:paraId="57EA868E">
            <w:pPr>
              <w:snapToGrid w:val="0"/>
              <w:spacing w:line="400" w:lineRule="exact"/>
              <w:jc w:val="center"/>
              <w:rPr>
                <w:rFonts w:ascii="宋体" w:hAnsi="宋体" w:cs="宋体"/>
                <w:color w:val="auto"/>
                <w:sz w:val="22"/>
                <w:szCs w:val="22"/>
                <w:highlight w:val="none"/>
              </w:rPr>
            </w:pPr>
          </w:p>
        </w:tc>
        <w:tc>
          <w:tcPr>
            <w:tcW w:w="519" w:type="pct"/>
            <w:tcBorders>
              <w:top w:val="single" w:color="auto" w:sz="4" w:space="0"/>
              <w:left w:val="single" w:color="auto" w:sz="4" w:space="0"/>
              <w:bottom w:val="single" w:color="auto" w:sz="4" w:space="0"/>
              <w:right w:val="single" w:color="auto" w:sz="4" w:space="0"/>
            </w:tcBorders>
            <w:vAlign w:val="center"/>
          </w:tcPr>
          <w:p w14:paraId="45298B08">
            <w:pPr>
              <w:snapToGrid w:val="0"/>
              <w:spacing w:line="400" w:lineRule="exact"/>
              <w:jc w:val="center"/>
              <w:rPr>
                <w:rFonts w:ascii="宋体" w:hAnsi="宋体" w:cs="宋体"/>
                <w:color w:val="auto"/>
                <w:sz w:val="22"/>
                <w:szCs w:val="22"/>
                <w:highlight w:val="none"/>
              </w:rPr>
            </w:pPr>
          </w:p>
        </w:tc>
        <w:tc>
          <w:tcPr>
            <w:tcW w:w="870" w:type="pct"/>
            <w:tcBorders>
              <w:top w:val="single" w:color="auto" w:sz="4" w:space="0"/>
              <w:left w:val="single" w:color="auto" w:sz="4" w:space="0"/>
              <w:bottom w:val="single" w:color="auto" w:sz="4" w:space="0"/>
              <w:right w:val="single" w:color="auto" w:sz="4" w:space="0"/>
            </w:tcBorders>
            <w:vAlign w:val="center"/>
          </w:tcPr>
          <w:p w14:paraId="325ED201">
            <w:pPr>
              <w:snapToGrid w:val="0"/>
              <w:spacing w:line="400" w:lineRule="exact"/>
              <w:jc w:val="center"/>
              <w:rPr>
                <w:rFonts w:ascii="宋体" w:hAnsi="宋体" w:cs="宋体"/>
                <w:color w:val="auto"/>
                <w:sz w:val="22"/>
                <w:szCs w:val="22"/>
                <w:highlight w:val="none"/>
              </w:rPr>
            </w:pPr>
          </w:p>
        </w:tc>
        <w:tc>
          <w:tcPr>
            <w:tcW w:w="910" w:type="pct"/>
            <w:tcBorders>
              <w:top w:val="single" w:color="auto" w:sz="4" w:space="0"/>
              <w:left w:val="single" w:color="auto" w:sz="4" w:space="0"/>
              <w:bottom w:val="single" w:color="auto" w:sz="4" w:space="0"/>
              <w:right w:val="single" w:color="auto" w:sz="4" w:space="0"/>
            </w:tcBorders>
            <w:vAlign w:val="center"/>
          </w:tcPr>
          <w:p w14:paraId="66D6B9F9">
            <w:pPr>
              <w:snapToGrid w:val="0"/>
              <w:spacing w:line="400" w:lineRule="exact"/>
              <w:jc w:val="center"/>
              <w:rPr>
                <w:rFonts w:ascii="宋体" w:hAnsi="宋体" w:cs="宋体"/>
                <w:color w:val="auto"/>
                <w:sz w:val="22"/>
                <w:szCs w:val="22"/>
                <w:highlight w:val="none"/>
              </w:rPr>
            </w:pPr>
          </w:p>
        </w:tc>
        <w:tc>
          <w:tcPr>
            <w:tcW w:w="1468" w:type="pct"/>
            <w:tcBorders>
              <w:top w:val="single" w:color="auto" w:sz="4" w:space="0"/>
              <w:left w:val="single" w:color="auto" w:sz="4" w:space="0"/>
              <w:bottom w:val="single" w:color="auto" w:sz="4" w:space="0"/>
              <w:right w:val="single" w:color="auto" w:sz="4" w:space="0"/>
            </w:tcBorders>
          </w:tcPr>
          <w:p w14:paraId="38A369D1">
            <w:pPr>
              <w:snapToGrid w:val="0"/>
              <w:spacing w:line="400" w:lineRule="exact"/>
              <w:jc w:val="center"/>
              <w:rPr>
                <w:rFonts w:ascii="宋体" w:hAnsi="宋体" w:cs="宋体"/>
                <w:color w:val="auto"/>
                <w:sz w:val="22"/>
                <w:szCs w:val="22"/>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775DACAC">
            <w:pPr>
              <w:snapToGrid w:val="0"/>
              <w:spacing w:line="400" w:lineRule="exact"/>
              <w:jc w:val="center"/>
              <w:rPr>
                <w:rFonts w:ascii="宋体" w:hAnsi="宋体" w:cs="宋体"/>
                <w:color w:val="auto"/>
                <w:sz w:val="22"/>
                <w:szCs w:val="22"/>
                <w:highlight w:val="none"/>
              </w:rPr>
            </w:pPr>
          </w:p>
        </w:tc>
      </w:tr>
    </w:tbl>
    <w:p w14:paraId="7EFB9014">
      <w:pPr>
        <w:pStyle w:val="6"/>
        <w:spacing w:before="0" w:after="0" w:line="360" w:lineRule="auto"/>
        <w:contextualSpacing/>
        <w:rPr>
          <w:rFonts w:ascii="宋体" w:hAnsi="宋体" w:eastAsia="宋体" w:cs="宋体"/>
          <w:color w:val="auto"/>
          <w:sz w:val="24"/>
          <w:szCs w:val="24"/>
          <w:highlight w:val="none"/>
        </w:rPr>
      </w:pPr>
    </w:p>
    <w:p w14:paraId="3D5AEEE3">
      <w:pPr>
        <w:pStyle w:val="6"/>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596D34AF">
      <w:pPr>
        <w:pStyle w:val="6"/>
        <w:spacing w:before="0" w:after="0" w:line="360" w:lineRule="auto"/>
        <w:contextualSpacing/>
        <w:jc w:val="left"/>
        <w:rPr>
          <w:rFonts w:ascii="宋体" w:hAnsi="宋体" w:eastAsia="宋体" w:cs="宋体"/>
          <w:color w:val="auto"/>
          <w:sz w:val="24"/>
          <w:szCs w:val="24"/>
          <w:highlight w:val="none"/>
        </w:rPr>
      </w:pPr>
    </w:p>
    <w:p w14:paraId="3FBA1C9B">
      <w:pPr>
        <w:spacing w:line="360" w:lineRule="auto"/>
        <w:ind w:firstLine="480" w:firstLineChars="200"/>
        <w:contextualSpacing/>
        <w:rPr>
          <w:rFonts w:ascii="宋体" w:hAnsi="宋体" w:cs="宋体"/>
          <w:color w:val="auto"/>
          <w:sz w:val="24"/>
          <w:highlight w:val="none"/>
          <w:u w:val="single"/>
        </w:rPr>
      </w:pPr>
      <w:r>
        <w:rPr>
          <w:rFonts w:hint="eastAsia" w:hAnsi="宋体" w:cs="宋体"/>
          <w:color w:val="auto"/>
          <w:sz w:val="24"/>
          <w:highlight w:val="none"/>
        </w:rPr>
        <w:t>投标人名称（电子签章）：</w:t>
      </w:r>
    </w:p>
    <w:p w14:paraId="2F971DAB">
      <w:pPr>
        <w:spacing w:line="360" w:lineRule="auto"/>
        <w:ind w:firstLine="480" w:firstLineChars="200"/>
        <w:contextualSpacing/>
        <w:rPr>
          <w:rFonts w:hAnsi="宋体" w:cs="宋体"/>
          <w:color w:val="auto"/>
          <w:sz w:val="24"/>
          <w:highlight w:val="none"/>
        </w:rPr>
      </w:pPr>
      <w:r>
        <w:rPr>
          <w:rFonts w:hint="eastAsia" w:hAnsi="宋体" w:cs="宋体"/>
          <w:color w:val="auto"/>
          <w:sz w:val="24"/>
          <w:highlight w:val="none"/>
        </w:rPr>
        <w:t>日期：年月日</w:t>
      </w:r>
    </w:p>
    <w:p w14:paraId="13084D68">
      <w:pPr>
        <w:snapToGrid w:val="0"/>
        <w:spacing w:before="120" w:beforeLines="50"/>
        <w:rPr>
          <w:rFonts w:ascii="宋体" w:hAnsi="宋体" w:cs="宋体"/>
          <w:color w:val="auto"/>
          <w:sz w:val="24"/>
          <w:szCs w:val="20"/>
          <w:highlight w:val="none"/>
        </w:rPr>
        <w:sectPr>
          <w:pgSz w:w="11906" w:h="16838"/>
          <w:pgMar w:top="1134" w:right="1247" w:bottom="1134" w:left="1247" w:header="851" w:footer="992" w:gutter="113"/>
          <w:pgNumType w:fmt="decimal"/>
          <w:cols w:space="720" w:num="1"/>
          <w:docGrid w:linePitch="312" w:charSpace="0"/>
        </w:sectPr>
      </w:pPr>
    </w:p>
    <w:p w14:paraId="424342CB">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323E005F">
      <w:pPr>
        <w:snapToGrid w:val="0"/>
        <w:spacing w:before="120" w:beforeLines="50" w:after="50"/>
        <w:ind w:left="142"/>
        <w:jc w:val="left"/>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技术文件封面格式：</w:t>
      </w:r>
      <w:r>
        <w:rPr>
          <w:rFonts w:hint="eastAsia" w:ascii="宋体" w:hAnsi="宋体" w:cs="宋体"/>
          <w:b/>
          <w:color w:val="auto"/>
          <w:sz w:val="24"/>
          <w:highlight w:val="none"/>
          <w:lang w:eastAsia="zh-CN"/>
        </w:rPr>
        <w:t>（分标</w:t>
      </w:r>
      <w:r>
        <w:rPr>
          <w:rFonts w:hint="eastAsia" w:ascii="宋体" w:hAnsi="宋体" w:cs="宋体"/>
          <w:b/>
          <w:color w:val="auto"/>
          <w:sz w:val="24"/>
          <w:highlight w:val="none"/>
          <w:lang w:val="en-US" w:eastAsia="zh-CN"/>
        </w:rPr>
        <w:t>1、分标2）</w:t>
      </w:r>
    </w:p>
    <w:p w14:paraId="68A27642">
      <w:pPr>
        <w:snapToGrid w:val="0"/>
        <w:spacing w:before="120" w:beforeLines="50" w:after="50"/>
        <w:ind w:left="142"/>
        <w:jc w:val="left"/>
        <w:rPr>
          <w:rFonts w:ascii="宋体" w:hAnsi="宋体" w:cs="宋体"/>
          <w:b/>
          <w:color w:val="auto"/>
          <w:sz w:val="24"/>
          <w:highlight w:val="none"/>
        </w:rPr>
      </w:pPr>
    </w:p>
    <w:p w14:paraId="0D612AA0">
      <w:pPr>
        <w:snapToGrid w:val="0"/>
        <w:spacing w:before="120" w:beforeLines="50" w:after="50" w:line="360" w:lineRule="auto"/>
        <w:jc w:val="center"/>
        <w:rPr>
          <w:rFonts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150DAB2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outlineLvl w:val="0"/>
        <w:rPr>
          <w:rFonts w:ascii="宋体" w:hAnsi="宋体" w:cs="宋体"/>
          <w:b/>
          <w:color w:val="auto"/>
          <w:sz w:val="44"/>
          <w:szCs w:val="44"/>
          <w:highlight w:val="none"/>
        </w:rPr>
      </w:pPr>
      <w:bookmarkStart w:id="192" w:name="_Toc9991"/>
      <w:r>
        <w:rPr>
          <w:rFonts w:hint="eastAsia" w:ascii="宋体" w:hAnsi="宋体" w:cs="宋体"/>
          <w:b/>
          <w:color w:val="auto"/>
          <w:sz w:val="44"/>
          <w:szCs w:val="44"/>
          <w:highlight w:val="none"/>
        </w:rPr>
        <w:t>第三</w:t>
      </w:r>
      <w:r>
        <w:rPr>
          <w:rFonts w:hint="eastAsia" w:ascii="宋体" w:hAnsi="宋体" w:cs="宋体"/>
          <w:b/>
          <w:color w:val="auto"/>
          <w:sz w:val="44"/>
          <w:szCs w:val="44"/>
          <w:highlight w:val="none"/>
          <w:lang w:eastAsia="zh-CN"/>
        </w:rPr>
        <w:t>节</w:t>
      </w:r>
      <w:r>
        <w:rPr>
          <w:rFonts w:hint="eastAsia" w:ascii="宋体" w:hAnsi="宋体" w:cs="宋体"/>
          <w:b/>
          <w:color w:val="auto"/>
          <w:sz w:val="44"/>
          <w:szCs w:val="44"/>
          <w:highlight w:val="none"/>
          <w:lang w:val="en-US" w:eastAsia="zh-CN"/>
        </w:rPr>
        <w:t xml:space="preserve"> </w:t>
      </w:r>
      <w:r>
        <w:rPr>
          <w:rFonts w:hint="eastAsia" w:ascii="宋体" w:hAnsi="宋体" w:cs="宋体"/>
          <w:b/>
          <w:color w:val="auto"/>
          <w:sz w:val="44"/>
          <w:szCs w:val="44"/>
          <w:highlight w:val="none"/>
        </w:rPr>
        <w:t>技术文件</w:t>
      </w:r>
      <w:bookmarkEnd w:id="192"/>
    </w:p>
    <w:p w14:paraId="59F8D4C8">
      <w:pPr>
        <w:snapToGrid w:val="0"/>
        <w:spacing w:before="120" w:beforeLines="50" w:after="50"/>
        <w:rPr>
          <w:rFonts w:ascii="宋体" w:hAnsi="宋体" w:cs="宋体"/>
          <w:bCs/>
          <w:color w:val="auto"/>
          <w:sz w:val="24"/>
          <w:szCs w:val="20"/>
          <w:highlight w:val="none"/>
        </w:rPr>
      </w:pPr>
    </w:p>
    <w:p w14:paraId="4D87DD7E">
      <w:pPr>
        <w:snapToGrid w:val="0"/>
        <w:spacing w:before="120" w:beforeLines="50" w:after="50" w:line="400" w:lineRule="exact"/>
        <w:ind w:left="840" w:leftChars="400" w:firstLine="360" w:firstLineChars="150"/>
        <w:rPr>
          <w:rFonts w:ascii="宋体" w:hAnsi="宋体"/>
          <w:bCs/>
          <w:color w:val="auto"/>
          <w:sz w:val="24"/>
          <w:highlight w:val="none"/>
          <w:u w:val="single"/>
        </w:rPr>
      </w:pPr>
      <w:r>
        <w:rPr>
          <w:rFonts w:hint="eastAsia" w:ascii="宋体" w:hAnsi="宋体"/>
          <w:bCs/>
          <w:color w:val="auto"/>
          <w:sz w:val="24"/>
          <w:highlight w:val="none"/>
        </w:rPr>
        <w:t>项目名称：</w:t>
      </w:r>
    </w:p>
    <w:p w14:paraId="4812558A">
      <w:pPr>
        <w:snapToGrid w:val="0"/>
        <w:spacing w:before="120" w:beforeLines="50" w:after="50" w:line="400" w:lineRule="exact"/>
        <w:ind w:left="840" w:leftChars="400" w:firstLine="360" w:firstLineChars="150"/>
        <w:rPr>
          <w:rFonts w:ascii="宋体" w:hAnsi="宋体"/>
          <w:bCs/>
          <w:color w:val="auto"/>
          <w:sz w:val="24"/>
          <w:highlight w:val="none"/>
        </w:rPr>
      </w:pPr>
    </w:p>
    <w:p w14:paraId="47C86921">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项目编号：</w:t>
      </w:r>
    </w:p>
    <w:p w14:paraId="610EE94F">
      <w:pPr>
        <w:snapToGrid w:val="0"/>
        <w:spacing w:before="120" w:beforeLines="50" w:after="50" w:line="400" w:lineRule="exact"/>
        <w:ind w:left="840" w:leftChars="400" w:firstLine="360" w:firstLineChars="150"/>
        <w:rPr>
          <w:rFonts w:ascii="宋体" w:hAnsi="宋体"/>
          <w:bCs/>
          <w:color w:val="auto"/>
          <w:sz w:val="24"/>
          <w:highlight w:val="none"/>
        </w:rPr>
      </w:pPr>
    </w:p>
    <w:p w14:paraId="2CD9BBDE">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633343E4">
      <w:pPr>
        <w:snapToGrid w:val="0"/>
        <w:spacing w:before="120" w:beforeLines="50" w:after="50" w:line="400" w:lineRule="exact"/>
        <w:ind w:left="840" w:leftChars="400" w:firstLine="360" w:firstLineChars="150"/>
        <w:rPr>
          <w:rFonts w:ascii="宋体" w:hAnsi="宋体"/>
          <w:bCs/>
          <w:color w:val="auto"/>
          <w:sz w:val="24"/>
          <w:highlight w:val="none"/>
        </w:rPr>
      </w:pPr>
    </w:p>
    <w:p w14:paraId="6529FE42">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768144D8">
      <w:pPr>
        <w:snapToGrid w:val="0"/>
        <w:spacing w:before="120" w:beforeLines="50" w:after="50" w:line="400" w:lineRule="exact"/>
        <w:ind w:left="840" w:leftChars="400" w:firstLine="360" w:firstLineChars="150"/>
        <w:rPr>
          <w:rFonts w:ascii="宋体" w:hAnsi="宋体"/>
          <w:bCs/>
          <w:color w:val="auto"/>
          <w:sz w:val="24"/>
          <w:highlight w:val="none"/>
        </w:rPr>
      </w:pPr>
    </w:p>
    <w:p w14:paraId="753F970B">
      <w:pPr>
        <w:snapToGrid w:val="0"/>
        <w:spacing w:before="120" w:beforeLines="50" w:after="50" w:line="400" w:lineRule="exact"/>
        <w:ind w:left="840" w:leftChars="400"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625A7E91">
      <w:pPr>
        <w:snapToGrid w:val="0"/>
        <w:spacing w:before="120" w:beforeLines="50" w:after="50" w:line="400" w:lineRule="exact"/>
        <w:rPr>
          <w:rFonts w:ascii="宋体" w:hAnsi="宋体" w:cs="宋体"/>
          <w:color w:val="auto"/>
          <w:sz w:val="24"/>
          <w:highlight w:val="none"/>
        </w:rPr>
      </w:pPr>
    </w:p>
    <w:p w14:paraId="2485D897">
      <w:pPr>
        <w:snapToGrid w:val="0"/>
        <w:spacing w:before="120" w:beforeLines="50" w:after="50" w:line="400" w:lineRule="exact"/>
        <w:rPr>
          <w:rFonts w:ascii="宋体" w:hAnsi="宋体" w:cs="宋体"/>
          <w:color w:val="auto"/>
          <w:sz w:val="24"/>
          <w:highlight w:val="none"/>
        </w:rPr>
      </w:pPr>
    </w:p>
    <w:p w14:paraId="706E4884">
      <w:pPr>
        <w:snapToGrid w:val="0"/>
        <w:spacing w:before="120" w:beforeLines="50" w:after="50" w:line="400" w:lineRule="exact"/>
        <w:jc w:val="center"/>
        <w:rPr>
          <w:rFonts w:ascii="宋体" w:hAnsi="宋体" w:cs="宋体"/>
          <w:color w:val="auto"/>
          <w:sz w:val="30"/>
          <w:szCs w:val="20"/>
          <w:highlight w:val="none"/>
        </w:rPr>
      </w:pPr>
      <w:r>
        <w:rPr>
          <w:rFonts w:hint="eastAsia" w:ascii="宋体" w:hAnsi="宋体" w:cs="宋体"/>
          <w:color w:val="auto"/>
          <w:sz w:val="24"/>
          <w:highlight w:val="none"/>
        </w:rPr>
        <w:t>年月日</w:t>
      </w:r>
    </w:p>
    <w:p w14:paraId="314380C2">
      <w:pPr>
        <w:snapToGrid w:val="0"/>
        <w:spacing w:before="120" w:beforeLines="50" w:after="50"/>
        <w:ind w:firstLine="645"/>
        <w:jc w:val="center"/>
        <w:rPr>
          <w:rFonts w:ascii="宋体" w:hAnsi="宋体" w:cs="宋体"/>
          <w:color w:val="auto"/>
          <w:sz w:val="24"/>
          <w:szCs w:val="20"/>
          <w:highlight w:val="none"/>
        </w:rPr>
      </w:pPr>
    </w:p>
    <w:p w14:paraId="5E339F55">
      <w:pPr>
        <w:snapToGrid w:val="0"/>
        <w:spacing w:before="120" w:beforeLines="50" w:after="50"/>
        <w:ind w:left="142"/>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57C616B1">
      <w:pPr>
        <w:snapToGrid w:val="0"/>
        <w:spacing w:before="120" w:beforeLines="50" w:after="50"/>
        <w:ind w:left="142"/>
        <w:jc w:val="left"/>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eastAsia="zh-CN"/>
        </w:rPr>
        <w:t>分标</w:t>
      </w:r>
      <w:r>
        <w:rPr>
          <w:rFonts w:hint="eastAsia" w:ascii="宋体" w:hAnsi="宋体" w:cs="宋体"/>
          <w:b/>
          <w:color w:val="auto"/>
          <w:sz w:val="24"/>
          <w:highlight w:val="none"/>
          <w:lang w:val="en-US" w:eastAsia="zh-CN"/>
        </w:rPr>
        <w:t>1：</w:t>
      </w:r>
    </w:p>
    <w:p w14:paraId="6D31F844">
      <w:pPr>
        <w:snapToGrid w:val="0"/>
        <w:spacing w:before="120" w:beforeLines="50" w:after="50"/>
        <w:ind w:left="142"/>
        <w:jc w:val="center"/>
        <w:rPr>
          <w:rFonts w:ascii="宋体" w:hAnsi="宋体" w:cs="宋体"/>
          <w:b/>
          <w:color w:val="auto"/>
          <w:sz w:val="24"/>
          <w:highlight w:val="none"/>
        </w:rPr>
      </w:pPr>
      <w:r>
        <w:rPr>
          <w:rFonts w:hint="eastAsia" w:ascii="宋体" w:hAnsi="宋体" w:cs="宋体"/>
          <w:b/>
          <w:color w:val="auto"/>
          <w:sz w:val="24"/>
          <w:highlight w:val="none"/>
        </w:rPr>
        <w:t>技术文件目录</w:t>
      </w:r>
    </w:p>
    <w:p w14:paraId="496F28CD">
      <w:pPr>
        <w:adjustRightInd w:val="0"/>
        <w:spacing w:line="360" w:lineRule="auto"/>
        <w:ind w:left="2" w:firstLine="480" w:firstLineChars="200"/>
        <w:rPr>
          <w:rFonts w:hint="eastAsia" w:ascii="方正仿宋_GB2312" w:hAnsi="仿宋" w:eastAsia="方正仿宋_GB2312" w:cs="方正仿宋_GB2312"/>
          <w:color w:val="auto"/>
          <w:sz w:val="24"/>
          <w:highlight w:val="none"/>
          <w:lang w:val="zh-CN"/>
        </w:rPr>
      </w:pPr>
      <w:r>
        <w:rPr>
          <w:rFonts w:hint="eastAsia" w:ascii="方正仿宋_GB2312" w:hAnsi="仿宋" w:eastAsia="方正仿宋_GB2312" w:cs="方正仿宋_GB2312"/>
          <w:color w:val="auto"/>
          <w:sz w:val="24"/>
          <w:highlight w:val="none"/>
          <w:lang w:val="zh-CN"/>
        </w:rPr>
        <w:t>一、</w:t>
      </w:r>
      <w:r>
        <w:rPr>
          <w:rFonts w:hint="eastAsia" w:ascii="方正仿宋_GB2312" w:hAnsi="仿宋" w:eastAsia="方正仿宋_GB2312" w:cs="方正仿宋_GB2312"/>
          <w:color w:val="auto"/>
          <w:sz w:val="24"/>
          <w:szCs w:val="24"/>
          <w:highlight w:val="none"/>
          <w:lang w:val="zh-CN"/>
        </w:rPr>
        <w:t>服务需求偏离表</w:t>
      </w:r>
      <w:r>
        <w:rPr>
          <w:rFonts w:hint="eastAsia" w:ascii="方正仿宋_GB2312" w:hAnsi="仿宋" w:eastAsia="方正仿宋_GB2312" w:cs="方正仿宋_GB2312"/>
          <w:color w:val="auto"/>
          <w:sz w:val="24"/>
          <w:highlight w:val="none"/>
          <w:lang w:val="zh-CN" w:eastAsia="zh-CN"/>
        </w:rPr>
        <w:t xml:space="preserve">  </w:t>
      </w:r>
      <w:r>
        <w:rPr>
          <w:rFonts w:hint="eastAsia" w:ascii="方正仿宋_GB2312" w:hAnsi="仿宋" w:eastAsia="方正仿宋_GB2312" w:cs="方正仿宋_GB2312"/>
          <w:color w:val="auto"/>
          <w:sz w:val="24"/>
          <w:highlight w:val="none"/>
          <w:lang w:val="zh-CN"/>
        </w:rPr>
        <w:t>………………………………………………（页码）</w:t>
      </w:r>
    </w:p>
    <w:p w14:paraId="2F67E93A">
      <w:pPr>
        <w:adjustRightInd w:val="0"/>
        <w:spacing w:line="360" w:lineRule="auto"/>
        <w:ind w:left="2" w:firstLine="480" w:firstLineChars="200"/>
        <w:rPr>
          <w:rFonts w:hint="eastAsia" w:ascii="方正仿宋_GB2312" w:hAnsi="仿宋" w:eastAsia="方正仿宋_GB2312" w:cs="方正仿宋_GB2312"/>
          <w:color w:val="auto"/>
          <w:sz w:val="24"/>
          <w:highlight w:val="none"/>
          <w:lang w:val="zh-CN"/>
        </w:rPr>
      </w:pPr>
      <w:r>
        <w:rPr>
          <w:rFonts w:hint="eastAsia" w:ascii="方正仿宋_GB2312" w:hAnsi="仿宋" w:eastAsia="方正仿宋_GB2312" w:cs="方正仿宋_GB2312"/>
          <w:color w:val="auto"/>
          <w:sz w:val="24"/>
          <w:highlight w:val="none"/>
          <w:lang w:val="zh-CN"/>
        </w:rPr>
        <w:t>二、服务方案…………………………………………………………………（页码）</w:t>
      </w:r>
    </w:p>
    <w:p w14:paraId="41F080BA">
      <w:pPr>
        <w:adjustRightInd w:val="0"/>
        <w:spacing w:line="360" w:lineRule="auto"/>
        <w:ind w:left="2" w:firstLine="480" w:firstLineChars="200"/>
        <w:rPr>
          <w:rFonts w:hint="eastAsia" w:ascii="方正仿宋_GB2312" w:hAnsi="仿宋" w:eastAsia="方正仿宋_GB2312" w:cs="方正仿宋_GB2312"/>
          <w:color w:val="auto"/>
          <w:sz w:val="24"/>
          <w:highlight w:val="none"/>
          <w:lang w:val="zh-CN"/>
        </w:rPr>
      </w:pPr>
      <w:r>
        <w:rPr>
          <w:rFonts w:hint="eastAsia" w:ascii="方正仿宋_GB2312" w:hAnsi="仿宋" w:eastAsia="方正仿宋_GB2312" w:cs="方正仿宋_GB2312"/>
          <w:color w:val="auto"/>
          <w:sz w:val="24"/>
          <w:highlight w:val="none"/>
          <w:lang w:val="zh-CN"/>
        </w:rPr>
        <w:t>三、售后服务方案…………………………………………………………………（页码）</w:t>
      </w:r>
    </w:p>
    <w:p w14:paraId="688D6BCD">
      <w:pPr>
        <w:adjustRightInd w:val="0"/>
        <w:spacing w:line="360" w:lineRule="auto"/>
        <w:ind w:left="2" w:firstLine="480" w:firstLineChars="200"/>
        <w:rPr>
          <w:rFonts w:hint="eastAsia" w:ascii="方正仿宋_GB2312" w:hAnsi="仿宋" w:eastAsia="方正仿宋_GB2312" w:cs="方正仿宋_GB2312"/>
          <w:color w:val="auto"/>
          <w:sz w:val="24"/>
          <w:highlight w:val="none"/>
          <w:lang w:val="zh-CN"/>
        </w:rPr>
      </w:pPr>
      <w:r>
        <w:rPr>
          <w:rFonts w:hint="eastAsia" w:ascii="方正仿宋_GB2312" w:hAnsi="仿宋" w:eastAsia="方正仿宋_GB2312" w:cs="方正仿宋_GB2312"/>
          <w:color w:val="auto"/>
          <w:sz w:val="24"/>
          <w:highlight w:val="none"/>
          <w:lang w:val="zh-CN"/>
        </w:rPr>
        <w:t>四、项目实施人员一览表…………………………………………………………（页码）</w:t>
      </w:r>
    </w:p>
    <w:p w14:paraId="57E2081B">
      <w:pPr>
        <w:adjustRightInd w:val="0"/>
        <w:spacing w:line="360" w:lineRule="auto"/>
        <w:ind w:left="2" w:firstLine="480" w:firstLineChars="200"/>
        <w:rPr>
          <w:rFonts w:hint="eastAsia" w:ascii="方正仿宋_GB2312" w:hAnsi="仿宋" w:eastAsia="方正仿宋_GB2312" w:cs="方正仿宋_GB2312"/>
          <w:color w:val="auto"/>
          <w:sz w:val="24"/>
          <w:highlight w:val="none"/>
          <w:lang w:val="zh-CN" w:eastAsia="zh-CN"/>
        </w:rPr>
      </w:pPr>
      <w:r>
        <w:rPr>
          <w:rFonts w:hint="eastAsia" w:ascii="方正仿宋_GB2312" w:hAnsi="仿宋" w:eastAsia="方正仿宋_GB2312" w:cs="方正仿宋_GB2312"/>
          <w:color w:val="auto"/>
          <w:sz w:val="24"/>
          <w:highlight w:val="none"/>
          <w:lang w:val="zh-CN" w:eastAsia="zh-CN"/>
        </w:rPr>
        <w:t>五、</w:t>
      </w:r>
      <w:r>
        <w:rPr>
          <w:rFonts w:hint="eastAsia" w:ascii="方正仿宋_GB2312" w:hAnsi="仿宋" w:eastAsia="方正仿宋_GB2312" w:cs="方正仿宋_GB2312"/>
          <w:color w:val="auto"/>
          <w:sz w:val="24"/>
          <w:szCs w:val="24"/>
          <w:highlight w:val="none"/>
          <w:lang w:val="zh-CN"/>
        </w:rPr>
        <w:t>投标人业绩情况一览表</w:t>
      </w:r>
      <w:r>
        <w:rPr>
          <w:rFonts w:hint="eastAsia" w:ascii="方正仿宋_GB2312" w:hAnsi="仿宋" w:eastAsia="方正仿宋_GB2312" w:cs="方正仿宋_GB2312"/>
          <w:color w:val="auto"/>
          <w:sz w:val="24"/>
          <w:highlight w:val="none"/>
          <w:lang w:val="zh-CN"/>
        </w:rPr>
        <w:t>……………………………………………………（页码）</w:t>
      </w:r>
    </w:p>
    <w:p w14:paraId="049CA4B7">
      <w:pPr>
        <w:adjustRightInd w:val="0"/>
        <w:spacing w:line="360" w:lineRule="auto"/>
        <w:ind w:left="2" w:firstLine="480" w:firstLineChars="200"/>
        <w:rPr>
          <w:rFonts w:hint="eastAsia" w:ascii="方正仿宋_GB2312" w:hAnsi="仿宋" w:eastAsia="方正仿宋_GB2312" w:cs="方正仿宋_GB2312"/>
          <w:color w:val="auto"/>
          <w:sz w:val="24"/>
          <w:highlight w:val="none"/>
          <w:lang w:val="zh-CN"/>
        </w:rPr>
      </w:pPr>
      <w:r>
        <w:rPr>
          <w:rFonts w:hint="eastAsia" w:ascii="方正仿宋_GB2312" w:hAnsi="仿宋" w:eastAsia="方正仿宋_GB2312" w:cs="方正仿宋_GB2312"/>
          <w:color w:val="auto"/>
          <w:sz w:val="24"/>
          <w:highlight w:val="none"/>
          <w:lang w:val="zh-CN" w:eastAsia="zh-CN"/>
        </w:rPr>
        <w:t>六</w:t>
      </w:r>
      <w:r>
        <w:rPr>
          <w:rFonts w:hint="eastAsia" w:ascii="方正仿宋_GB2312" w:hAnsi="仿宋" w:eastAsia="方正仿宋_GB2312" w:cs="方正仿宋_GB2312"/>
          <w:color w:val="auto"/>
          <w:sz w:val="24"/>
          <w:highlight w:val="none"/>
          <w:lang w:val="zh-CN"/>
        </w:rPr>
        <w:t>、投标人对项目的合理化建议和改进措施……………………………………（页码）</w:t>
      </w:r>
    </w:p>
    <w:p w14:paraId="48B9495C">
      <w:pPr>
        <w:adjustRightInd w:val="0"/>
        <w:spacing w:line="360" w:lineRule="auto"/>
        <w:ind w:left="2" w:firstLine="480" w:firstLineChars="200"/>
        <w:rPr>
          <w:rFonts w:hint="eastAsia" w:ascii="方正仿宋_GB2312" w:hAnsi="仿宋" w:eastAsia="方正仿宋_GB2312" w:cs="方正仿宋_GB2312"/>
          <w:color w:val="auto"/>
          <w:sz w:val="24"/>
          <w:highlight w:val="none"/>
          <w:lang w:val="zh-CN"/>
        </w:rPr>
      </w:pPr>
      <w:r>
        <w:rPr>
          <w:rFonts w:hint="eastAsia" w:ascii="方正仿宋_GB2312" w:hAnsi="仿宋" w:eastAsia="方正仿宋_GB2312" w:cs="方正仿宋_GB2312"/>
          <w:color w:val="auto"/>
          <w:sz w:val="24"/>
          <w:highlight w:val="none"/>
          <w:lang w:val="zh-CN" w:eastAsia="zh-CN"/>
        </w:rPr>
        <w:t>七</w:t>
      </w:r>
      <w:r>
        <w:rPr>
          <w:rFonts w:hint="eastAsia" w:ascii="方正仿宋_GB2312" w:hAnsi="仿宋" w:eastAsia="方正仿宋_GB2312" w:cs="方正仿宋_GB2312"/>
          <w:color w:val="auto"/>
          <w:sz w:val="24"/>
          <w:highlight w:val="none"/>
          <w:lang w:val="zh-CN"/>
        </w:rPr>
        <w:t>、认为需要的其他技术文件或说明（如有）…………………………………（页码）</w:t>
      </w:r>
    </w:p>
    <w:p w14:paraId="513CE88F">
      <w:pPr>
        <w:spacing w:line="360" w:lineRule="auto"/>
        <w:rPr>
          <w:rFonts w:hint="eastAsia" w:ascii="方正仿宋_GB2312" w:hAnsi="仿宋" w:eastAsia="方正仿宋_GB2312" w:cs="方正仿宋_GB2312"/>
          <w:b/>
          <w:bCs/>
          <w:color w:val="auto"/>
          <w:sz w:val="24"/>
          <w:highlight w:val="none"/>
        </w:rPr>
      </w:pPr>
      <w:r>
        <w:rPr>
          <w:rFonts w:hint="eastAsia" w:ascii="方正仿宋_GB2312" w:hAnsi="仿宋" w:eastAsia="方正仿宋_GB2312" w:cs="方正仿宋_GB2312"/>
          <w:b/>
          <w:bCs/>
          <w:color w:val="auto"/>
          <w:sz w:val="24"/>
          <w:highlight w:val="none"/>
        </w:rPr>
        <w:t>注：以上目录是基本格式要求，各投标人可根据自身情况进一步向下增加内容或细化。</w:t>
      </w:r>
    </w:p>
    <w:p w14:paraId="5468EB39">
      <w:pPr>
        <w:snapToGrid w:val="0"/>
        <w:spacing w:before="120" w:beforeLines="50" w:after="50"/>
        <w:ind w:left="142"/>
        <w:jc w:val="left"/>
        <w:rPr>
          <w:rFonts w:ascii="宋体" w:hAnsi="宋体" w:cs="宋体"/>
          <w:color w:val="auto"/>
          <w:sz w:val="24"/>
          <w:szCs w:val="20"/>
          <w:highlight w:val="none"/>
        </w:rPr>
      </w:pPr>
      <w:r>
        <w:rPr>
          <w:rFonts w:hint="eastAsia" w:ascii="宋体" w:hAnsi="宋体" w:cs="宋体"/>
          <w:b/>
          <w:color w:val="auto"/>
          <w:sz w:val="24"/>
          <w:highlight w:val="none"/>
        </w:rPr>
        <w:br w:type="page"/>
      </w:r>
    </w:p>
    <w:p w14:paraId="3F7D2D27">
      <w:pPr>
        <w:spacing w:line="500" w:lineRule="exact"/>
        <w:jc w:val="both"/>
        <w:rPr>
          <w:b/>
          <w:bCs/>
          <w:color w:val="auto"/>
          <w:sz w:val="30"/>
          <w:szCs w:val="30"/>
          <w:highlight w:val="none"/>
        </w:rPr>
      </w:pPr>
      <w:r>
        <w:rPr>
          <w:rFonts w:hint="eastAsia" w:ascii="宋体" w:hAnsi="宋体" w:cs="宋体"/>
          <w:b/>
          <w:color w:val="auto"/>
          <w:sz w:val="24"/>
          <w:highlight w:val="none"/>
          <w:lang w:eastAsia="zh-CN"/>
        </w:rPr>
        <w:t>一、</w:t>
      </w:r>
      <w:r>
        <w:rPr>
          <w:rFonts w:hint="eastAsia"/>
          <w:b/>
          <w:bCs/>
          <w:color w:val="auto"/>
          <w:sz w:val="30"/>
          <w:szCs w:val="30"/>
          <w:highlight w:val="none"/>
        </w:rPr>
        <w:t>服务需求偏离表</w:t>
      </w:r>
    </w:p>
    <w:p w14:paraId="7261923D">
      <w:pPr>
        <w:snapToGrid w:val="0"/>
        <w:spacing w:before="120" w:beforeLines="50" w:after="50"/>
        <w:ind w:left="142"/>
        <w:jc w:val="left"/>
        <w:rPr>
          <w:rFonts w:ascii="宋体" w:hAnsi="宋体" w:cs="宋体"/>
          <w:b/>
          <w:color w:val="auto"/>
          <w:sz w:val="24"/>
          <w:highlight w:val="none"/>
        </w:rPr>
      </w:pPr>
    </w:p>
    <w:p w14:paraId="3C7DFD15">
      <w:pPr>
        <w:snapToGrid/>
        <w:spacing w:before="0" w:after="0" w:line="500" w:lineRule="exact"/>
        <w:jc w:val="center"/>
        <w:rPr>
          <w:rFonts w:hint="default" w:ascii="宋体" w:hAnsi="宋体" w:eastAsia="宋体" w:cs="宋体"/>
          <w:b/>
          <w:color w:val="auto"/>
          <w:sz w:val="32"/>
          <w:highlight w:val="none"/>
          <w:lang w:val="en-US" w:eastAsia="zh-CN"/>
        </w:rPr>
      </w:pPr>
      <w:r>
        <w:rPr>
          <w:rFonts w:hint="eastAsia"/>
          <w:b/>
          <w:bCs/>
          <w:color w:val="auto"/>
          <w:sz w:val="30"/>
          <w:szCs w:val="30"/>
          <w:highlight w:val="none"/>
        </w:rPr>
        <w:t>服务需求偏离表</w:t>
      </w:r>
      <w:r>
        <w:rPr>
          <w:rFonts w:hint="eastAsia" w:ascii="宋体" w:hAnsi="宋体" w:cs="宋体"/>
          <w:b/>
          <w:color w:val="auto"/>
          <w:sz w:val="32"/>
          <w:highlight w:val="none"/>
          <w:lang w:val="en-US" w:eastAsia="zh-CN"/>
        </w:rPr>
        <w:t>(分标1）</w:t>
      </w:r>
    </w:p>
    <w:p w14:paraId="752C8438">
      <w:pPr>
        <w:pStyle w:val="10"/>
        <w:spacing w:line="400" w:lineRule="exact"/>
        <w:ind w:firstLine="440" w:firstLineChars="200"/>
        <w:jc w:val="left"/>
        <w:rPr>
          <w:rFonts w:ascii="宋体" w:hAnsi="宋体" w:eastAsia="宋体" w:cs="宋体"/>
          <w:color w:val="auto"/>
          <w:sz w:val="22"/>
          <w:szCs w:val="22"/>
          <w:highlight w:val="none"/>
        </w:rPr>
      </w:pPr>
    </w:p>
    <w:tbl>
      <w:tblPr>
        <w:tblStyle w:val="18"/>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626"/>
        <w:gridCol w:w="2835"/>
        <w:gridCol w:w="1276"/>
      </w:tblGrid>
      <w:tr w14:paraId="340D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36505CC7">
            <w:pPr>
              <w:spacing w:line="400" w:lineRule="exact"/>
              <w:rPr>
                <w:rFonts w:ascii="宋体" w:hAnsi="宋体"/>
                <w:b/>
                <w:color w:val="auto"/>
                <w:sz w:val="22"/>
                <w:szCs w:val="22"/>
                <w:highlight w:val="none"/>
              </w:rPr>
            </w:pPr>
            <w:r>
              <w:rPr>
                <w:rFonts w:hint="eastAsia" w:ascii="宋体" w:hAnsi="宋体"/>
                <w:b/>
                <w:color w:val="auto"/>
                <w:sz w:val="22"/>
                <w:szCs w:val="22"/>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519C8E7E">
            <w:pPr>
              <w:spacing w:line="400" w:lineRule="exact"/>
              <w:jc w:val="center"/>
              <w:rPr>
                <w:rFonts w:ascii="宋体" w:hAnsi="宋体"/>
                <w:b/>
                <w:color w:val="auto"/>
                <w:sz w:val="22"/>
                <w:szCs w:val="22"/>
                <w:highlight w:val="none"/>
              </w:rPr>
            </w:pPr>
            <w:r>
              <w:rPr>
                <w:rFonts w:hint="eastAsia" w:ascii="宋体" w:hAnsi="宋体"/>
                <w:b/>
                <w:color w:val="auto"/>
                <w:sz w:val="22"/>
                <w:szCs w:val="22"/>
                <w:highlight w:val="none"/>
              </w:rPr>
              <w:t>招标文件需求</w:t>
            </w:r>
          </w:p>
        </w:tc>
        <w:tc>
          <w:tcPr>
            <w:tcW w:w="4461" w:type="dxa"/>
            <w:gridSpan w:val="2"/>
            <w:tcBorders>
              <w:top w:val="single" w:color="auto" w:sz="4" w:space="0"/>
              <w:left w:val="single" w:color="auto" w:sz="4" w:space="0"/>
              <w:bottom w:val="single" w:color="auto" w:sz="4" w:space="0"/>
              <w:right w:val="single" w:color="auto" w:sz="4" w:space="0"/>
            </w:tcBorders>
            <w:vAlign w:val="center"/>
          </w:tcPr>
          <w:p w14:paraId="4D74CF47">
            <w:pPr>
              <w:spacing w:line="400" w:lineRule="exact"/>
              <w:jc w:val="center"/>
              <w:rPr>
                <w:rFonts w:ascii="宋体" w:hAnsi="宋体"/>
                <w:b/>
                <w:color w:val="auto"/>
                <w:sz w:val="22"/>
                <w:szCs w:val="22"/>
                <w:highlight w:val="none"/>
              </w:rPr>
            </w:pPr>
            <w:r>
              <w:rPr>
                <w:rFonts w:hint="eastAsia" w:ascii="宋体" w:hAnsi="宋体"/>
                <w:b/>
                <w:color w:val="auto"/>
                <w:sz w:val="22"/>
                <w:szCs w:val="22"/>
                <w:highlight w:val="none"/>
              </w:rPr>
              <w:t>投标文件承诺</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4CBEFBB8">
            <w:pPr>
              <w:spacing w:line="400" w:lineRule="exact"/>
              <w:rPr>
                <w:rFonts w:ascii="宋体" w:hAnsi="宋体"/>
                <w:b/>
                <w:color w:val="auto"/>
                <w:sz w:val="22"/>
                <w:szCs w:val="22"/>
                <w:highlight w:val="none"/>
              </w:rPr>
            </w:pPr>
            <w:r>
              <w:rPr>
                <w:rFonts w:hint="eastAsia" w:ascii="宋体" w:hAnsi="宋体"/>
                <w:b/>
                <w:color w:val="auto"/>
                <w:sz w:val="22"/>
                <w:szCs w:val="22"/>
                <w:highlight w:val="none"/>
              </w:rPr>
              <w:t>偏离说明</w:t>
            </w:r>
          </w:p>
        </w:tc>
      </w:tr>
      <w:tr w14:paraId="6A5C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5450A665">
            <w:pPr>
              <w:widowControl/>
              <w:spacing w:line="400" w:lineRule="exact"/>
              <w:jc w:val="left"/>
              <w:rPr>
                <w:rFonts w:ascii="宋体" w:hAnsi="宋体"/>
                <w:color w:val="auto"/>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4217CC7">
            <w:pPr>
              <w:spacing w:line="400" w:lineRule="exact"/>
              <w:jc w:val="center"/>
              <w:rPr>
                <w:rFonts w:ascii="宋体" w:hAnsi="宋体"/>
                <w:b/>
                <w:color w:val="auto"/>
                <w:sz w:val="22"/>
                <w:szCs w:val="22"/>
                <w:highlight w:val="none"/>
              </w:rPr>
            </w:pPr>
            <w:r>
              <w:rPr>
                <w:rFonts w:hint="eastAsia" w:ascii="宋体" w:hAnsi="宋体"/>
                <w:b/>
                <w:color w:val="auto"/>
                <w:sz w:val="22"/>
                <w:szCs w:val="22"/>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5472D5B3">
            <w:pPr>
              <w:spacing w:line="400" w:lineRule="exact"/>
              <w:jc w:val="center"/>
              <w:rPr>
                <w:rFonts w:ascii="宋体" w:hAnsi="宋体"/>
                <w:b/>
                <w:color w:val="auto"/>
                <w:sz w:val="22"/>
                <w:szCs w:val="22"/>
                <w:highlight w:val="none"/>
              </w:rPr>
            </w:pPr>
            <w:r>
              <w:rPr>
                <w:rFonts w:hint="eastAsia" w:ascii="宋体" w:hAnsi="宋体"/>
                <w:b/>
                <w:color w:val="auto"/>
                <w:sz w:val="22"/>
                <w:szCs w:val="22"/>
                <w:highlight w:val="none"/>
              </w:rPr>
              <w:t>服务参数</w:t>
            </w:r>
          </w:p>
        </w:tc>
        <w:tc>
          <w:tcPr>
            <w:tcW w:w="1626" w:type="dxa"/>
            <w:tcBorders>
              <w:top w:val="single" w:color="auto" w:sz="4" w:space="0"/>
              <w:left w:val="single" w:color="auto" w:sz="4" w:space="0"/>
              <w:bottom w:val="single" w:color="auto" w:sz="4" w:space="0"/>
              <w:right w:val="single" w:color="auto" w:sz="4" w:space="0"/>
            </w:tcBorders>
            <w:vAlign w:val="center"/>
          </w:tcPr>
          <w:p w14:paraId="7ABF7BDB">
            <w:pPr>
              <w:spacing w:line="400" w:lineRule="exact"/>
              <w:jc w:val="center"/>
              <w:rPr>
                <w:rFonts w:ascii="宋体" w:hAnsi="宋体"/>
                <w:b/>
                <w:color w:val="auto"/>
                <w:sz w:val="22"/>
                <w:szCs w:val="22"/>
                <w:highlight w:val="none"/>
              </w:rPr>
            </w:pPr>
            <w:r>
              <w:rPr>
                <w:rFonts w:hint="eastAsia" w:ascii="宋体" w:hAnsi="宋体"/>
                <w:b/>
                <w:color w:val="auto"/>
                <w:sz w:val="22"/>
                <w:szCs w:val="22"/>
                <w:highlight w:val="none"/>
              </w:rPr>
              <w:t>服务名称</w:t>
            </w:r>
          </w:p>
        </w:tc>
        <w:tc>
          <w:tcPr>
            <w:tcW w:w="2835" w:type="dxa"/>
            <w:tcBorders>
              <w:top w:val="single" w:color="auto" w:sz="4" w:space="0"/>
              <w:left w:val="single" w:color="auto" w:sz="4" w:space="0"/>
              <w:bottom w:val="single" w:color="auto" w:sz="4" w:space="0"/>
              <w:right w:val="single" w:color="auto" w:sz="4" w:space="0"/>
            </w:tcBorders>
            <w:vAlign w:val="center"/>
          </w:tcPr>
          <w:p w14:paraId="39281EE3">
            <w:pPr>
              <w:spacing w:line="400" w:lineRule="exact"/>
              <w:jc w:val="center"/>
              <w:rPr>
                <w:rFonts w:ascii="宋体" w:hAnsi="宋体"/>
                <w:b/>
                <w:color w:val="auto"/>
                <w:sz w:val="22"/>
                <w:szCs w:val="22"/>
                <w:highlight w:val="none"/>
              </w:rPr>
            </w:pPr>
            <w:r>
              <w:rPr>
                <w:rFonts w:hint="eastAsia" w:ascii="宋体" w:hAnsi="宋体"/>
                <w:b/>
                <w:color w:val="auto"/>
                <w:sz w:val="22"/>
                <w:szCs w:val="22"/>
                <w:highlight w:val="none"/>
              </w:rPr>
              <w:t>所提供服务的内容</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0261013">
            <w:pPr>
              <w:widowControl/>
              <w:spacing w:line="400" w:lineRule="exact"/>
              <w:jc w:val="left"/>
              <w:rPr>
                <w:rFonts w:ascii="宋体" w:hAnsi="宋体"/>
                <w:color w:val="auto"/>
                <w:sz w:val="22"/>
                <w:szCs w:val="22"/>
                <w:highlight w:val="none"/>
              </w:rPr>
            </w:pPr>
          </w:p>
        </w:tc>
      </w:tr>
      <w:tr w14:paraId="521D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8D1EEE2">
            <w:pPr>
              <w:spacing w:line="400" w:lineRule="exact"/>
              <w:rPr>
                <w:rFonts w:ascii="宋体" w:hAnsi="宋体"/>
                <w:color w:val="auto"/>
                <w:sz w:val="22"/>
                <w:szCs w:val="22"/>
                <w:highlight w:val="none"/>
              </w:rPr>
            </w:pPr>
            <w:r>
              <w:rPr>
                <w:rFonts w:ascii="宋体" w:hAnsi="宋体"/>
                <w:color w:val="auto"/>
                <w:sz w:val="22"/>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15FB8D34">
            <w:pPr>
              <w:spacing w:line="400" w:lineRule="exact"/>
              <w:rPr>
                <w:rFonts w:ascii="宋体" w:hAnsi="宋体"/>
                <w:color w:val="auto"/>
                <w:sz w:val="22"/>
                <w:szCs w:val="22"/>
                <w:highlight w:val="none"/>
              </w:rPr>
            </w:pPr>
            <w:r>
              <w:rPr>
                <w:rFonts w:ascii="宋体" w:hAnsi="宋体"/>
                <w:color w:val="auto"/>
                <w:sz w:val="22"/>
                <w:szCs w:val="22"/>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C283E27">
            <w:pPr>
              <w:spacing w:line="400" w:lineRule="exact"/>
              <w:rPr>
                <w:rFonts w:ascii="宋体" w:hAnsi="宋体"/>
                <w:color w:val="auto"/>
                <w:sz w:val="22"/>
                <w:szCs w:val="22"/>
                <w:highlight w:val="none"/>
              </w:rPr>
            </w:pPr>
            <w:r>
              <w:rPr>
                <w:rFonts w:ascii="宋体" w:hAnsi="宋体"/>
                <w:color w:val="auto"/>
                <w:sz w:val="22"/>
                <w:szCs w:val="22"/>
                <w:highlight w:val="none"/>
              </w:rPr>
              <w:t>1  ……</w:t>
            </w:r>
          </w:p>
          <w:p w14:paraId="7E3B689B">
            <w:pPr>
              <w:spacing w:line="400" w:lineRule="exact"/>
              <w:rPr>
                <w:rFonts w:ascii="宋体" w:hAnsi="宋体"/>
                <w:color w:val="auto"/>
                <w:sz w:val="22"/>
                <w:szCs w:val="22"/>
                <w:highlight w:val="none"/>
              </w:rPr>
            </w:pPr>
            <w:r>
              <w:rPr>
                <w:rFonts w:ascii="宋体" w:hAnsi="宋体"/>
                <w:color w:val="auto"/>
                <w:sz w:val="22"/>
                <w:szCs w:val="22"/>
                <w:highlight w:val="none"/>
              </w:rPr>
              <w:t>2  ……</w:t>
            </w:r>
          </w:p>
          <w:p w14:paraId="3B243E50">
            <w:pPr>
              <w:spacing w:line="400" w:lineRule="exact"/>
              <w:rPr>
                <w:rFonts w:ascii="宋体" w:hAnsi="宋体"/>
                <w:color w:val="auto"/>
                <w:sz w:val="22"/>
                <w:szCs w:val="22"/>
                <w:highlight w:val="none"/>
              </w:rPr>
            </w:pPr>
            <w:r>
              <w:rPr>
                <w:rFonts w:ascii="宋体" w:hAnsi="宋体"/>
                <w:color w:val="auto"/>
                <w:sz w:val="22"/>
                <w:szCs w:val="22"/>
                <w:highlight w:val="none"/>
              </w:rPr>
              <w:t>3  ……</w:t>
            </w:r>
          </w:p>
          <w:p w14:paraId="704B3F0F">
            <w:pPr>
              <w:spacing w:line="400" w:lineRule="exact"/>
              <w:rPr>
                <w:rFonts w:ascii="宋体" w:hAnsi="宋体"/>
                <w:color w:val="auto"/>
                <w:sz w:val="22"/>
                <w:szCs w:val="22"/>
                <w:highlight w:val="none"/>
              </w:rPr>
            </w:pPr>
            <w:r>
              <w:rPr>
                <w:rFonts w:ascii="宋体" w:hAnsi="宋体"/>
                <w:color w:val="auto"/>
                <w:sz w:val="22"/>
                <w:szCs w:val="22"/>
                <w:highlight w:val="none"/>
              </w:rPr>
              <w:t>……</w:t>
            </w:r>
          </w:p>
        </w:tc>
        <w:tc>
          <w:tcPr>
            <w:tcW w:w="1626" w:type="dxa"/>
            <w:tcBorders>
              <w:top w:val="single" w:color="auto" w:sz="4" w:space="0"/>
              <w:left w:val="single" w:color="auto" w:sz="4" w:space="0"/>
              <w:bottom w:val="single" w:color="auto" w:sz="4" w:space="0"/>
              <w:right w:val="single" w:color="auto" w:sz="4" w:space="0"/>
            </w:tcBorders>
            <w:vAlign w:val="center"/>
          </w:tcPr>
          <w:p w14:paraId="2ADE5B58">
            <w:pPr>
              <w:spacing w:line="400" w:lineRule="exact"/>
              <w:rPr>
                <w:rFonts w:ascii="宋体" w:hAnsi="宋体"/>
                <w:color w:val="auto"/>
                <w:sz w:val="22"/>
                <w:szCs w:val="22"/>
                <w:highlight w:val="none"/>
              </w:rPr>
            </w:pPr>
            <w:r>
              <w:rPr>
                <w:rFonts w:ascii="宋体" w:hAnsi="宋体"/>
                <w:color w:val="auto"/>
                <w:sz w:val="22"/>
                <w:szCs w:val="22"/>
                <w:highlight w:val="none"/>
              </w:rPr>
              <w:t>……</w:t>
            </w:r>
          </w:p>
        </w:tc>
        <w:tc>
          <w:tcPr>
            <w:tcW w:w="2835" w:type="dxa"/>
            <w:tcBorders>
              <w:top w:val="single" w:color="auto" w:sz="4" w:space="0"/>
              <w:left w:val="single" w:color="auto" w:sz="4" w:space="0"/>
              <w:bottom w:val="single" w:color="auto" w:sz="4" w:space="0"/>
              <w:right w:val="single" w:color="auto" w:sz="4" w:space="0"/>
            </w:tcBorders>
            <w:vAlign w:val="center"/>
          </w:tcPr>
          <w:p w14:paraId="0AB24E35">
            <w:pPr>
              <w:spacing w:line="400" w:lineRule="exact"/>
              <w:rPr>
                <w:rFonts w:ascii="宋体" w:hAnsi="宋体"/>
                <w:color w:val="auto"/>
                <w:sz w:val="22"/>
                <w:szCs w:val="22"/>
                <w:highlight w:val="none"/>
              </w:rPr>
            </w:pPr>
            <w:r>
              <w:rPr>
                <w:rFonts w:ascii="宋体" w:hAnsi="宋体"/>
                <w:color w:val="auto"/>
                <w:sz w:val="22"/>
                <w:szCs w:val="22"/>
                <w:highlight w:val="none"/>
              </w:rPr>
              <w:t>1  ……</w:t>
            </w:r>
          </w:p>
          <w:p w14:paraId="2446AFB3">
            <w:pPr>
              <w:spacing w:line="400" w:lineRule="exact"/>
              <w:rPr>
                <w:rFonts w:ascii="宋体" w:hAnsi="宋体"/>
                <w:color w:val="auto"/>
                <w:sz w:val="22"/>
                <w:szCs w:val="22"/>
                <w:highlight w:val="none"/>
              </w:rPr>
            </w:pPr>
            <w:r>
              <w:rPr>
                <w:rFonts w:ascii="宋体" w:hAnsi="宋体"/>
                <w:color w:val="auto"/>
                <w:sz w:val="22"/>
                <w:szCs w:val="22"/>
                <w:highlight w:val="none"/>
              </w:rPr>
              <w:t>2  ……</w:t>
            </w:r>
          </w:p>
          <w:p w14:paraId="3BAD9449">
            <w:pPr>
              <w:spacing w:line="400" w:lineRule="exact"/>
              <w:rPr>
                <w:rFonts w:ascii="宋体" w:hAnsi="宋体"/>
                <w:color w:val="auto"/>
                <w:sz w:val="22"/>
                <w:szCs w:val="22"/>
                <w:highlight w:val="none"/>
              </w:rPr>
            </w:pPr>
            <w:r>
              <w:rPr>
                <w:rFonts w:ascii="宋体" w:hAnsi="宋体"/>
                <w:color w:val="auto"/>
                <w:sz w:val="22"/>
                <w:szCs w:val="22"/>
                <w:highlight w:val="none"/>
              </w:rPr>
              <w:t>3  ……</w:t>
            </w:r>
          </w:p>
          <w:p w14:paraId="77851B86">
            <w:pPr>
              <w:spacing w:line="400" w:lineRule="exact"/>
              <w:rPr>
                <w:rFonts w:ascii="宋体" w:hAnsi="宋体"/>
                <w:color w:val="auto"/>
                <w:sz w:val="22"/>
                <w:szCs w:val="22"/>
                <w:highlight w:val="none"/>
              </w:rPr>
            </w:pPr>
            <w:r>
              <w:rPr>
                <w:rFonts w:ascii="宋体" w:hAnsi="宋体"/>
                <w:color w:val="auto"/>
                <w:sz w:val="22"/>
                <w:szCs w:val="22"/>
                <w:highlight w:val="none"/>
              </w:rPr>
              <w:t>……</w:t>
            </w:r>
          </w:p>
        </w:tc>
        <w:tc>
          <w:tcPr>
            <w:tcW w:w="1276" w:type="dxa"/>
            <w:tcBorders>
              <w:top w:val="single" w:color="auto" w:sz="4" w:space="0"/>
              <w:left w:val="single" w:color="auto" w:sz="4" w:space="0"/>
              <w:bottom w:val="single" w:color="auto" w:sz="4" w:space="0"/>
              <w:right w:val="single" w:color="auto" w:sz="4" w:space="0"/>
            </w:tcBorders>
            <w:vAlign w:val="center"/>
          </w:tcPr>
          <w:p w14:paraId="18D21DC1">
            <w:pPr>
              <w:spacing w:line="400" w:lineRule="exact"/>
              <w:rPr>
                <w:rFonts w:ascii="宋体" w:hAnsi="宋体"/>
                <w:color w:val="auto"/>
                <w:sz w:val="22"/>
                <w:szCs w:val="22"/>
                <w:highlight w:val="none"/>
              </w:rPr>
            </w:pPr>
            <w:r>
              <w:rPr>
                <w:rFonts w:hint="eastAsia" w:ascii="宋体" w:hAnsi="宋体"/>
                <w:color w:val="auto"/>
                <w:sz w:val="22"/>
                <w:szCs w:val="22"/>
                <w:highlight w:val="none"/>
              </w:rPr>
              <w:t>正偏离（负偏离或无偏离）</w:t>
            </w:r>
          </w:p>
        </w:tc>
      </w:tr>
      <w:tr w14:paraId="3FE2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065D077">
            <w:pPr>
              <w:spacing w:line="400" w:lineRule="exact"/>
              <w:rPr>
                <w:rFonts w:ascii="宋体" w:hAnsi="宋体"/>
                <w:color w:val="auto"/>
                <w:sz w:val="22"/>
                <w:szCs w:val="22"/>
                <w:highlight w:val="none"/>
              </w:rPr>
            </w:pPr>
            <w:r>
              <w:rPr>
                <w:rFonts w:ascii="宋体" w:hAnsi="宋体"/>
                <w:color w:val="auto"/>
                <w:sz w:val="22"/>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36219A4A">
            <w:pPr>
              <w:spacing w:line="400" w:lineRule="exact"/>
              <w:rPr>
                <w:rFonts w:ascii="宋体" w:hAnsi="宋体"/>
                <w:color w:val="auto"/>
                <w:sz w:val="22"/>
                <w:szCs w:val="22"/>
                <w:highlight w:val="none"/>
              </w:rPr>
            </w:pPr>
            <w:r>
              <w:rPr>
                <w:rFonts w:ascii="宋体" w:hAnsi="宋体"/>
                <w:color w:val="auto"/>
                <w:sz w:val="22"/>
                <w:szCs w:val="22"/>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7BD75E39">
            <w:pPr>
              <w:spacing w:line="400" w:lineRule="exact"/>
              <w:rPr>
                <w:rFonts w:ascii="宋体" w:hAnsi="宋体"/>
                <w:color w:val="auto"/>
                <w:sz w:val="22"/>
                <w:szCs w:val="22"/>
                <w:highlight w:val="none"/>
              </w:rPr>
            </w:pPr>
            <w:r>
              <w:rPr>
                <w:rFonts w:ascii="宋体" w:hAnsi="宋体"/>
                <w:color w:val="auto"/>
                <w:sz w:val="22"/>
                <w:szCs w:val="22"/>
                <w:highlight w:val="none"/>
              </w:rPr>
              <w:t>1  ……</w:t>
            </w:r>
          </w:p>
          <w:p w14:paraId="06D09B85">
            <w:pPr>
              <w:spacing w:line="400" w:lineRule="exact"/>
              <w:rPr>
                <w:rFonts w:ascii="宋体" w:hAnsi="宋体"/>
                <w:color w:val="auto"/>
                <w:sz w:val="22"/>
                <w:szCs w:val="22"/>
                <w:highlight w:val="none"/>
              </w:rPr>
            </w:pPr>
            <w:r>
              <w:rPr>
                <w:rFonts w:ascii="宋体" w:hAnsi="宋体"/>
                <w:color w:val="auto"/>
                <w:sz w:val="22"/>
                <w:szCs w:val="22"/>
                <w:highlight w:val="none"/>
              </w:rPr>
              <w:t>2  ……</w:t>
            </w:r>
          </w:p>
          <w:p w14:paraId="69144556">
            <w:pPr>
              <w:spacing w:line="400" w:lineRule="exact"/>
              <w:rPr>
                <w:rFonts w:ascii="宋体" w:hAnsi="宋体"/>
                <w:color w:val="auto"/>
                <w:sz w:val="22"/>
                <w:szCs w:val="22"/>
                <w:highlight w:val="none"/>
              </w:rPr>
            </w:pPr>
            <w:r>
              <w:rPr>
                <w:rFonts w:ascii="宋体" w:hAnsi="宋体"/>
                <w:color w:val="auto"/>
                <w:sz w:val="22"/>
                <w:szCs w:val="22"/>
                <w:highlight w:val="none"/>
              </w:rPr>
              <w:t>3  ……</w:t>
            </w:r>
          </w:p>
          <w:p w14:paraId="458E0C47">
            <w:pPr>
              <w:spacing w:line="400" w:lineRule="exact"/>
              <w:rPr>
                <w:rFonts w:ascii="宋体" w:hAnsi="宋体"/>
                <w:color w:val="auto"/>
                <w:sz w:val="22"/>
                <w:szCs w:val="22"/>
                <w:highlight w:val="none"/>
              </w:rPr>
            </w:pPr>
            <w:r>
              <w:rPr>
                <w:rFonts w:ascii="宋体" w:hAnsi="宋体"/>
                <w:color w:val="auto"/>
                <w:sz w:val="22"/>
                <w:szCs w:val="22"/>
                <w:highlight w:val="none"/>
              </w:rPr>
              <w:t>……</w:t>
            </w:r>
          </w:p>
        </w:tc>
        <w:tc>
          <w:tcPr>
            <w:tcW w:w="1626" w:type="dxa"/>
            <w:tcBorders>
              <w:top w:val="single" w:color="auto" w:sz="4" w:space="0"/>
              <w:left w:val="single" w:color="auto" w:sz="4" w:space="0"/>
              <w:bottom w:val="single" w:color="auto" w:sz="4" w:space="0"/>
              <w:right w:val="single" w:color="auto" w:sz="4" w:space="0"/>
            </w:tcBorders>
            <w:vAlign w:val="center"/>
          </w:tcPr>
          <w:p w14:paraId="62039AD9">
            <w:pPr>
              <w:spacing w:line="400" w:lineRule="exact"/>
              <w:rPr>
                <w:rFonts w:ascii="宋体" w:hAnsi="宋体"/>
                <w:color w:val="auto"/>
                <w:sz w:val="22"/>
                <w:szCs w:val="22"/>
                <w:highlight w:val="none"/>
              </w:rPr>
            </w:pPr>
            <w:r>
              <w:rPr>
                <w:rFonts w:ascii="宋体" w:hAnsi="宋体"/>
                <w:color w:val="auto"/>
                <w:sz w:val="22"/>
                <w:szCs w:val="22"/>
                <w:highlight w:val="none"/>
              </w:rPr>
              <w:t>……</w:t>
            </w:r>
          </w:p>
        </w:tc>
        <w:tc>
          <w:tcPr>
            <w:tcW w:w="2835" w:type="dxa"/>
            <w:tcBorders>
              <w:top w:val="single" w:color="auto" w:sz="4" w:space="0"/>
              <w:left w:val="single" w:color="auto" w:sz="4" w:space="0"/>
              <w:bottom w:val="single" w:color="auto" w:sz="4" w:space="0"/>
              <w:right w:val="single" w:color="auto" w:sz="4" w:space="0"/>
            </w:tcBorders>
            <w:vAlign w:val="center"/>
          </w:tcPr>
          <w:p w14:paraId="374D083D">
            <w:pPr>
              <w:spacing w:line="400" w:lineRule="exact"/>
              <w:rPr>
                <w:rFonts w:ascii="宋体" w:hAnsi="宋体"/>
                <w:color w:val="auto"/>
                <w:sz w:val="22"/>
                <w:szCs w:val="22"/>
                <w:highlight w:val="none"/>
              </w:rPr>
            </w:pPr>
            <w:r>
              <w:rPr>
                <w:rFonts w:ascii="宋体" w:hAnsi="宋体"/>
                <w:color w:val="auto"/>
                <w:sz w:val="22"/>
                <w:szCs w:val="22"/>
                <w:highlight w:val="none"/>
              </w:rPr>
              <w:t>1  ……</w:t>
            </w:r>
          </w:p>
          <w:p w14:paraId="10959E4B">
            <w:pPr>
              <w:spacing w:line="400" w:lineRule="exact"/>
              <w:rPr>
                <w:rFonts w:ascii="宋体" w:hAnsi="宋体"/>
                <w:color w:val="auto"/>
                <w:sz w:val="22"/>
                <w:szCs w:val="22"/>
                <w:highlight w:val="none"/>
              </w:rPr>
            </w:pPr>
            <w:r>
              <w:rPr>
                <w:rFonts w:ascii="宋体" w:hAnsi="宋体"/>
                <w:color w:val="auto"/>
                <w:sz w:val="22"/>
                <w:szCs w:val="22"/>
                <w:highlight w:val="none"/>
              </w:rPr>
              <w:t>2  ……</w:t>
            </w:r>
          </w:p>
          <w:p w14:paraId="3C2D2513">
            <w:pPr>
              <w:spacing w:line="400" w:lineRule="exact"/>
              <w:rPr>
                <w:rFonts w:ascii="宋体" w:hAnsi="宋体"/>
                <w:color w:val="auto"/>
                <w:sz w:val="22"/>
                <w:szCs w:val="22"/>
                <w:highlight w:val="none"/>
              </w:rPr>
            </w:pPr>
            <w:r>
              <w:rPr>
                <w:rFonts w:ascii="宋体" w:hAnsi="宋体"/>
                <w:color w:val="auto"/>
                <w:sz w:val="22"/>
                <w:szCs w:val="22"/>
                <w:highlight w:val="none"/>
              </w:rPr>
              <w:t>3  ……</w:t>
            </w:r>
          </w:p>
          <w:p w14:paraId="3001FA87">
            <w:pPr>
              <w:spacing w:line="400" w:lineRule="exact"/>
              <w:rPr>
                <w:rFonts w:ascii="宋体" w:hAnsi="宋体"/>
                <w:color w:val="auto"/>
                <w:sz w:val="22"/>
                <w:szCs w:val="22"/>
                <w:highlight w:val="none"/>
              </w:rPr>
            </w:pPr>
            <w:r>
              <w:rPr>
                <w:rFonts w:ascii="宋体" w:hAnsi="宋体"/>
                <w:color w:val="auto"/>
                <w:sz w:val="22"/>
                <w:szCs w:val="22"/>
                <w:highlight w:val="none"/>
              </w:rPr>
              <w:t>……</w:t>
            </w:r>
          </w:p>
        </w:tc>
        <w:tc>
          <w:tcPr>
            <w:tcW w:w="1276" w:type="dxa"/>
            <w:tcBorders>
              <w:top w:val="single" w:color="auto" w:sz="4" w:space="0"/>
              <w:left w:val="single" w:color="auto" w:sz="4" w:space="0"/>
              <w:bottom w:val="single" w:color="auto" w:sz="4" w:space="0"/>
              <w:right w:val="single" w:color="auto" w:sz="4" w:space="0"/>
            </w:tcBorders>
            <w:vAlign w:val="center"/>
          </w:tcPr>
          <w:p w14:paraId="7AB14FF7">
            <w:pPr>
              <w:spacing w:line="400" w:lineRule="exact"/>
              <w:rPr>
                <w:rFonts w:ascii="宋体" w:hAnsi="宋体"/>
                <w:color w:val="auto"/>
                <w:sz w:val="22"/>
                <w:szCs w:val="22"/>
                <w:highlight w:val="none"/>
              </w:rPr>
            </w:pPr>
            <w:r>
              <w:rPr>
                <w:rFonts w:hint="eastAsia" w:ascii="宋体" w:hAnsi="宋体"/>
                <w:color w:val="auto"/>
                <w:sz w:val="22"/>
                <w:szCs w:val="22"/>
                <w:highlight w:val="none"/>
              </w:rPr>
              <w:t>正偏离（负偏离或无偏离）</w:t>
            </w:r>
          </w:p>
        </w:tc>
      </w:tr>
      <w:tr w14:paraId="11E2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42DEEE3">
            <w:pPr>
              <w:spacing w:line="400" w:lineRule="exact"/>
              <w:rPr>
                <w:rFonts w:ascii="宋体" w:hAnsi="宋体"/>
                <w:color w:val="auto"/>
                <w:sz w:val="22"/>
                <w:szCs w:val="22"/>
                <w:highlight w:val="none"/>
              </w:rPr>
            </w:pPr>
            <w:r>
              <w:rPr>
                <w:rFonts w:ascii="宋体" w:hAnsi="宋体"/>
                <w:color w:val="auto"/>
                <w:sz w:val="22"/>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74C4718F">
            <w:pPr>
              <w:spacing w:line="400" w:lineRule="exact"/>
              <w:rPr>
                <w:rFonts w:ascii="宋体" w:hAnsi="宋体"/>
                <w:color w:val="auto"/>
                <w:sz w:val="22"/>
                <w:szCs w:val="22"/>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638C59D9">
            <w:pPr>
              <w:spacing w:line="400" w:lineRule="exact"/>
              <w:rPr>
                <w:rFonts w:ascii="宋体" w:hAnsi="宋体"/>
                <w:color w:val="auto"/>
                <w:sz w:val="22"/>
                <w:szCs w:val="22"/>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14:paraId="055E4AC7">
            <w:pPr>
              <w:spacing w:line="400" w:lineRule="exact"/>
              <w:rPr>
                <w:rFonts w:ascii="宋体" w:hAnsi="宋体"/>
                <w:color w:val="auto"/>
                <w:sz w:val="22"/>
                <w:szCs w:val="22"/>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3879F0A1">
            <w:pPr>
              <w:spacing w:line="400" w:lineRule="exact"/>
              <w:rPr>
                <w:rFonts w:ascii="宋体" w:hAnsi="宋体"/>
                <w:color w:val="auto"/>
                <w:sz w:val="22"/>
                <w:szCs w:val="22"/>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1284C5E">
            <w:pPr>
              <w:spacing w:line="400" w:lineRule="exact"/>
              <w:rPr>
                <w:rFonts w:ascii="宋体" w:hAnsi="宋体"/>
                <w:color w:val="auto"/>
                <w:sz w:val="22"/>
                <w:szCs w:val="22"/>
                <w:highlight w:val="none"/>
              </w:rPr>
            </w:pPr>
          </w:p>
        </w:tc>
      </w:tr>
      <w:tr w14:paraId="47CC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941" w:type="dxa"/>
            <w:gridSpan w:val="6"/>
            <w:tcBorders>
              <w:top w:val="single" w:color="auto" w:sz="4" w:space="0"/>
              <w:left w:val="single" w:color="auto" w:sz="4" w:space="0"/>
              <w:bottom w:val="single" w:color="auto" w:sz="4" w:space="0"/>
              <w:right w:val="single" w:color="auto" w:sz="4" w:space="0"/>
            </w:tcBorders>
            <w:vAlign w:val="center"/>
          </w:tcPr>
          <w:p w14:paraId="24F07E31">
            <w:pPr>
              <w:spacing w:line="400" w:lineRule="exact"/>
              <w:rPr>
                <w:rFonts w:ascii="宋体" w:hAnsi="宋体"/>
                <w:color w:val="auto"/>
                <w:sz w:val="22"/>
                <w:szCs w:val="22"/>
                <w:highlight w:val="none"/>
              </w:rPr>
            </w:pPr>
            <w:r>
              <w:rPr>
                <w:rFonts w:hint="eastAsia" w:ascii="宋体" w:hAnsi="宋体"/>
                <w:color w:val="auto"/>
                <w:sz w:val="22"/>
                <w:szCs w:val="22"/>
                <w:highlight w:val="none"/>
                <w:u w:val="single"/>
              </w:rPr>
              <w:t>　　</w:t>
            </w:r>
            <w:r>
              <w:rPr>
                <w:rFonts w:hint="eastAsia" w:ascii="宋体" w:hAnsi="宋体"/>
                <w:color w:val="auto"/>
                <w:sz w:val="22"/>
                <w:szCs w:val="22"/>
                <w:highlight w:val="none"/>
              </w:rPr>
              <w:t>分标（此处有分标时填写具体分标号，无分标时填写</w:t>
            </w:r>
            <w:r>
              <w:rPr>
                <w:rFonts w:ascii="宋体" w:hAnsi="宋体"/>
                <w:color w:val="auto"/>
                <w:sz w:val="22"/>
                <w:szCs w:val="22"/>
                <w:highlight w:val="none"/>
              </w:rPr>
              <w:t>“</w:t>
            </w:r>
            <w:r>
              <w:rPr>
                <w:rFonts w:hint="eastAsia" w:ascii="宋体" w:hAnsi="宋体"/>
                <w:color w:val="auto"/>
                <w:sz w:val="22"/>
                <w:szCs w:val="22"/>
                <w:highlight w:val="none"/>
              </w:rPr>
              <w:t>无</w:t>
            </w:r>
            <w:r>
              <w:rPr>
                <w:rFonts w:ascii="宋体" w:hAnsi="宋体"/>
                <w:color w:val="auto"/>
                <w:sz w:val="22"/>
                <w:szCs w:val="22"/>
                <w:highlight w:val="none"/>
              </w:rPr>
              <w:t>”</w:t>
            </w:r>
            <w:r>
              <w:rPr>
                <w:rFonts w:hint="eastAsia" w:ascii="宋体" w:hAnsi="宋体"/>
                <w:color w:val="auto"/>
                <w:sz w:val="22"/>
                <w:szCs w:val="22"/>
                <w:highlight w:val="none"/>
              </w:rPr>
              <w:t>）</w:t>
            </w:r>
          </w:p>
        </w:tc>
      </w:tr>
    </w:tbl>
    <w:p w14:paraId="16AB47EF">
      <w:pPr>
        <w:pStyle w:val="8"/>
        <w:spacing w:line="400" w:lineRule="exact"/>
        <w:rPr>
          <w:rFonts w:ascii="宋体" w:hAnsi="宋体" w:cs="宋体"/>
          <w:color w:val="auto"/>
          <w:sz w:val="22"/>
          <w:highlight w:val="none"/>
        </w:rPr>
      </w:pPr>
      <w:r>
        <w:rPr>
          <w:rFonts w:hint="eastAsia" w:ascii="宋体" w:hAnsi="宋体" w:cs="宋体"/>
          <w:color w:val="auto"/>
          <w:sz w:val="22"/>
          <w:highlight w:val="none"/>
        </w:rPr>
        <w:t>注：</w:t>
      </w:r>
    </w:p>
    <w:p w14:paraId="41F4163D">
      <w:pPr>
        <w:pStyle w:val="10"/>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4"/>
          <w:highlight w:val="none"/>
        </w:rPr>
        <w:t>1.</w:t>
      </w:r>
      <w:r>
        <w:rPr>
          <w:rFonts w:hint="eastAsia" w:ascii="宋体" w:hAnsi="宋体" w:eastAsia="宋体" w:cs="宋体"/>
          <w:color w:val="auto"/>
          <w:sz w:val="22"/>
          <w:szCs w:val="22"/>
          <w:highlight w:val="none"/>
        </w:rPr>
        <w:t>请根据所投服务的实际技术服务参数，</w:t>
      </w:r>
      <w:r>
        <w:rPr>
          <w:rFonts w:hint="eastAsia" w:ascii="宋体" w:hAnsi="宋体" w:eastAsia="宋体" w:cs="宋体"/>
          <w:b/>
          <w:color w:val="auto"/>
          <w:sz w:val="28"/>
          <w:szCs w:val="22"/>
          <w:highlight w:val="none"/>
          <w:u w:val="single"/>
        </w:rPr>
        <w:t>逐条</w:t>
      </w:r>
      <w:r>
        <w:rPr>
          <w:rFonts w:hint="eastAsia" w:ascii="宋体" w:hAnsi="宋体" w:eastAsia="宋体" w:cs="宋体"/>
          <w:color w:val="auto"/>
          <w:sz w:val="22"/>
          <w:szCs w:val="22"/>
          <w:highlight w:val="none"/>
        </w:rPr>
        <w:t>对应本项目招标文件第二章“服务需求一览表”中的采购清单及服务参数要求详细填写相应的具体内容。“偏离说明”一栏应当选择“正偏离”、“负偏离”或“无偏离”进行填写。</w:t>
      </w:r>
    </w:p>
    <w:p w14:paraId="6C6CE3DA">
      <w:pPr>
        <w:pStyle w:val="10"/>
        <w:spacing w:line="400" w:lineRule="exact"/>
        <w:ind w:firstLine="440"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2.表格内容均需按要求填写并盖章，不得留空，否则按投标无效处理。</w:t>
      </w:r>
    </w:p>
    <w:p w14:paraId="4DD7C54E">
      <w:pPr>
        <w:pStyle w:val="10"/>
        <w:spacing w:line="400" w:lineRule="exact"/>
        <w:ind w:firstLine="440"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3.当投标文件的服务内容低于招标文件要求时，投标人应当如实写明“负偏离”，否则视为虚假应标。</w:t>
      </w:r>
    </w:p>
    <w:p w14:paraId="07C05E14">
      <w:pPr>
        <w:pStyle w:val="10"/>
        <w:spacing w:line="400" w:lineRule="exact"/>
        <w:ind w:firstLine="440"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4.采购需求中带“▲”及“★”的条款，也要分别在本表“服务参数”、“所提供服务的内容”中标记。</w:t>
      </w:r>
    </w:p>
    <w:p w14:paraId="0C9378BD">
      <w:pPr>
        <w:pStyle w:val="10"/>
        <w:spacing w:line="400" w:lineRule="exact"/>
        <w:ind w:firstLine="440"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5.如技术要求偏离表中的投标响应与佐证材料不一致的，以佐证材料为准。</w:t>
      </w:r>
    </w:p>
    <w:p w14:paraId="5CFDB241">
      <w:pPr>
        <w:snapToGrid w:val="0"/>
        <w:spacing w:line="400" w:lineRule="exact"/>
        <w:ind w:firstLine="440" w:firstLineChars="200"/>
        <w:rPr>
          <w:rFonts w:ascii="宋体" w:hAnsi="宋体" w:cs="宋体"/>
          <w:color w:val="auto"/>
          <w:sz w:val="22"/>
          <w:highlight w:val="none"/>
        </w:rPr>
      </w:pPr>
    </w:p>
    <w:p w14:paraId="7CDB848E">
      <w:pPr>
        <w:spacing w:line="400" w:lineRule="exact"/>
        <w:ind w:firstLine="440" w:firstLineChars="200"/>
        <w:contextualSpacing/>
        <w:rPr>
          <w:rFonts w:ascii="宋体" w:hAnsi="宋体" w:cs="宋体"/>
          <w:color w:val="auto"/>
          <w:sz w:val="22"/>
          <w:highlight w:val="none"/>
        </w:rPr>
      </w:pPr>
      <w:r>
        <w:rPr>
          <w:rFonts w:hint="eastAsia" w:ascii="宋体" w:hAnsi="宋体" w:cs="宋体"/>
          <w:color w:val="auto"/>
          <w:sz w:val="22"/>
          <w:highlight w:val="none"/>
        </w:rPr>
        <w:t>法定代表人或者委托代理人（签字或者电子签名）：</w:t>
      </w:r>
    </w:p>
    <w:p w14:paraId="4652A4B6">
      <w:pPr>
        <w:spacing w:line="400" w:lineRule="exact"/>
        <w:ind w:firstLine="440" w:firstLineChars="200"/>
        <w:contextualSpacing/>
        <w:rPr>
          <w:rFonts w:ascii="宋体" w:hAnsi="宋体" w:cs="宋体"/>
          <w:color w:val="auto"/>
          <w:sz w:val="22"/>
          <w:highlight w:val="none"/>
          <w:u w:val="single"/>
        </w:rPr>
      </w:pPr>
      <w:r>
        <w:rPr>
          <w:rFonts w:hint="eastAsia" w:hAnsi="宋体" w:cs="宋体"/>
          <w:color w:val="auto"/>
          <w:sz w:val="22"/>
          <w:highlight w:val="none"/>
        </w:rPr>
        <w:t>投标人名称（电子签章）：</w:t>
      </w:r>
    </w:p>
    <w:p w14:paraId="1A842F36">
      <w:pPr>
        <w:rPr>
          <w:color w:val="auto"/>
          <w:highlight w:val="none"/>
        </w:rPr>
      </w:pPr>
      <w:r>
        <w:rPr>
          <w:rFonts w:hint="eastAsia" w:hAnsi="宋体" w:cs="宋体"/>
          <w:color w:val="auto"/>
          <w:sz w:val="22"/>
          <w:highlight w:val="none"/>
        </w:rPr>
        <w:t>日期：年月日</w:t>
      </w:r>
    </w:p>
    <w:p w14:paraId="6210D6B5">
      <w:pPr>
        <w:snapToGrid/>
        <w:spacing w:before="0" w:beforeLines="-2147483648" w:after="0"/>
        <w:ind w:firstLine="602" w:firstLineChars="200"/>
        <w:jc w:val="left"/>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4965BC5A">
      <w:pPr>
        <w:rPr>
          <w:color w:val="auto"/>
          <w:highlight w:val="none"/>
        </w:rPr>
      </w:pPr>
    </w:p>
    <w:p w14:paraId="0D6A5C10">
      <w:pPr>
        <w:snapToGrid w:val="0"/>
        <w:spacing w:before="120" w:beforeLines="50" w:after="50"/>
        <w:ind w:left="142"/>
        <w:jc w:val="left"/>
        <w:rPr>
          <w:rFonts w:hint="eastAsia" w:ascii="宋体" w:hAnsi="宋体" w:cs="宋体"/>
          <w:b/>
          <w:color w:val="auto"/>
          <w:sz w:val="24"/>
          <w:highlight w:val="none"/>
        </w:rPr>
      </w:pPr>
    </w:p>
    <w:p w14:paraId="7FB2A17D">
      <w:pPr>
        <w:numPr>
          <w:ilvl w:val="0"/>
          <w:numId w:val="10"/>
        </w:numPr>
        <w:snapToGrid w:val="0"/>
        <w:spacing w:before="120" w:beforeLines="50" w:after="50"/>
        <w:ind w:left="142"/>
        <w:jc w:val="left"/>
        <w:rPr>
          <w:rFonts w:hint="eastAsia" w:ascii="宋体" w:hAnsi="宋体" w:cs="宋体"/>
          <w:b/>
          <w:color w:val="auto"/>
          <w:sz w:val="24"/>
          <w:highlight w:val="none"/>
          <w:lang w:eastAsia="zh-CN"/>
        </w:rPr>
      </w:pPr>
      <w:r>
        <w:rPr>
          <w:rFonts w:hint="eastAsia" w:ascii="宋体" w:hAnsi="宋体" w:cs="宋体"/>
          <w:b/>
          <w:color w:val="auto"/>
          <w:sz w:val="24"/>
          <w:highlight w:val="none"/>
          <w:lang w:eastAsia="zh-CN"/>
        </w:rPr>
        <w:t>服务方案</w:t>
      </w:r>
    </w:p>
    <w:p w14:paraId="6B9492E5">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（由投标人自行结合“采购需求”及“评标办法”编制，格式自拟）</w:t>
      </w:r>
    </w:p>
    <w:p w14:paraId="5D8E42E3">
      <w:pPr>
        <w:rPr>
          <w:rFonts w:hint="eastAsia" w:ascii="方正仿宋_GB2312" w:hAnsi="仿宋" w:eastAsia="方正仿宋_GB2312" w:cs="方正仿宋_GB2312"/>
          <w:b/>
          <w:bCs/>
          <w:color w:val="auto"/>
          <w:kern w:val="0"/>
          <w:sz w:val="24"/>
          <w:highlight w:val="none"/>
          <w:lang w:val="zh-CN"/>
        </w:rPr>
      </w:pPr>
    </w:p>
    <w:p w14:paraId="4D28C4F2">
      <w:pPr>
        <w:autoSpaceDE w:val="0"/>
        <w:autoSpaceDN w:val="0"/>
        <w:spacing w:line="360" w:lineRule="auto"/>
        <w:ind w:firstLine="4440" w:firstLineChars="1850"/>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rPr>
        <w:t>投标人名称（电子签章）：</w:t>
      </w:r>
    </w:p>
    <w:p w14:paraId="15722973">
      <w:pPr>
        <w:autoSpaceDE w:val="0"/>
        <w:autoSpaceDN w:val="0"/>
        <w:spacing w:line="360" w:lineRule="auto"/>
        <w:rPr>
          <w:rFonts w:hint="eastAsia" w:ascii="方正仿宋_GB2312" w:hAnsi="仿宋" w:eastAsia="方正仿宋_GB2312" w:cs="方正仿宋_GB2312"/>
          <w:b/>
          <w:bCs/>
          <w:color w:val="auto"/>
          <w:sz w:val="32"/>
          <w:szCs w:val="32"/>
          <w:highlight w:val="none"/>
        </w:rPr>
      </w:pP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日期：  年  月   日</w:t>
      </w:r>
    </w:p>
    <w:p w14:paraId="5A7B3E09">
      <w:pPr>
        <w:numPr>
          <w:ilvl w:val="0"/>
          <w:numId w:val="0"/>
        </w:numPr>
        <w:snapToGrid w:val="0"/>
        <w:spacing w:before="120" w:beforeLines="50" w:after="50"/>
        <w:ind w:left="142"/>
        <w:jc w:val="left"/>
        <w:rPr>
          <w:rFonts w:hint="eastAsia" w:ascii="宋体" w:hAnsi="宋体" w:cs="宋体"/>
          <w:b/>
          <w:color w:val="auto"/>
          <w:sz w:val="24"/>
          <w:highlight w:val="none"/>
          <w:lang w:eastAsia="zh-CN"/>
        </w:rPr>
      </w:pPr>
    </w:p>
    <w:p w14:paraId="4106F3F1">
      <w:pPr>
        <w:numPr>
          <w:ilvl w:val="0"/>
          <w:numId w:val="0"/>
        </w:numPr>
        <w:snapToGrid w:val="0"/>
        <w:spacing w:before="120" w:beforeLines="50" w:after="50"/>
        <w:ind w:left="142"/>
        <w:jc w:val="left"/>
        <w:rPr>
          <w:rFonts w:hint="eastAsia" w:ascii="宋体" w:hAnsi="宋体" w:cs="宋体"/>
          <w:b/>
          <w:color w:val="auto"/>
          <w:sz w:val="24"/>
          <w:highlight w:val="none"/>
          <w:lang w:eastAsia="zh-CN"/>
        </w:rPr>
      </w:pPr>
    </w:p>
    <w:p w14:paraId="7670A4BB">
      <w:pPr>
        <w:numPr>
          <w:ilvl w:val="0"/>
          <w:numId w:val="10"/>
        </w:numPr>
        <w:snapToGrid w:val="0"/>
        <w:spacing w:before="120" w:beforeLines="50" w:after="50"/>
        <w:ind w:left="142"/>
        <w:jc w:val="left"/>
        <w:rPr>
          <w:rFonts w:hint="eastAsia" w:ascii="宋体" w:hAnsi="宋体" w:cs="宋体"/>
          <w:b/>
          <w:bCs w:val="0"/>
          <w:color w:val="auto"/>
          <w:sz w:val="24"/>
          <w:szCs w:val="24"/>
          <w:highlight w:val="none"/>
        </w:rPr>
      </w:pPr>
      <w:r>
        <w:rPr>
          <w:rFonts w:hint="eastAsia" w:ascii="宋体" w:hAnsi="宋体" w:cs="宋体"/>
          <w:b/>
          <w:bCs w:val="0"/>
          <w:color w:val="auto"/>
          <w:sz w:val="24"/>
          <w:szCs w:val="24"/>
          <w:highlight w:val="none"/>
        </w:rPr>
        <w:t>售后服务方案</w:t>
      </w:r>
    </w:p>
    <w:p w14:paraId="478062F2">
      <w:pPr>
        <w:autoSpaceDE w:val="0"/>
        <w:autoSpaceDN w:val="0"/>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（由投标人根据采购需求及招标文件要求编制）</w:t>
      </w:r>
    </w:p>
    <w:p w14:paraId="6CBEB221">
      <w:pPr>
        <w:snapToGrid w:val="0"/>
        <w:spacing w:before="165" w:beforeLines="50" w:after="50"/>
        <w:ind w:left="142"/>
        <w:jc w:val="center"/>
        <w:rPr>
          <w:rFonts w:hint="eastAsia" w:ascii="宋体" w:hAnsi="宋体"/>
          <w:b/>
          <w:color w:val="auto"/>
          <w:sz w:val="32"/>
          <w:szCs w:val="32"/>
          <w:highlight w:val="none"/>
        </w:rPr>
      </w:pPr>
    </w:p>
    <w:p w14:paraId="3E0C8054">
      <w:pPr>
        <w:snapToGrid w:val="0"/>
        <w:spacing w:before="165" w:beforeLines="50" w:line="360" w:lineRule="auto"/>
        <w:ind w:right="480" w:firstLine="3967" w:firstLineChars="1653"/>
        <w:rPr>
          <w:rFonts w:hint="eastAsia" w:ascii="宋体" w:hAnsi="宋体"/>
          <w:color w:val="auto"/>
          <w:sz w:val="24"/>
          <w:highlight w:val="none"/>
        </w:rPr>
      </w:pPr>
    </w:p>
    <w:p w14:paraId="10F3195A">
      <w:pPr>
        <w:snapToGrid w:val="0"/>
        <w:spacing w:line="360" w:lineRule="auto"/>
        <w:ind w:firstLine="5160" w:firstLineChars="2150"/>
        <w:rPr>
          <w:rFonts w:hint="eastAsia" w:ascii="方正仿宋_GB2312" w:hAnsi="仿宋" w:eastAsia="方正仿宋_GB2312" w:cs="方正仿宋_GB2312"/>
          <w:color w:val="auto"/>
          <w:kern w:val="0"/>
          <w:sz w:val="24"/>
          <w:highlight w:val="none"/>
        </w:rPr>
      </w:pPr>
      <w:r>
        <w:rPr>
          <w:rFonts w:hint="eastAsia" w:ascii="方正仿宋_GB2312" w:hAnsi="仿宋" w:eastAsia="方正仿宋_GB2312" w:cs="方正仿宋_GB2312"/>
          <w:color w:val="auto"/>
          <w:kern w:val="0"/>
          <w:sz w:val="24"/>
          <w:highlight w:val="none"/>
          <w:lang w:val="zh-CN"/>
        </w:rPr>
        <w:t>投标人名称(电子签章)：</w:t>
      </w:r>
    </w:p>
    <w:p w14:paraId="7AFB9266">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2B3D2A59">
      <w:pPr>
        <w:numPr>
          <w:ilvl w:val="0"/>
          <w:numId w:val="0"/>
        </w:numPr>
        <w:snapToGrid w:val="0"/>
        <w:spacing w:before="120" w:beforeLines="50" w:after="50"/>
        <w:ind w:left="142"/>
        <w:jc w:val="left"/>
        <w:rPr>
          <w:rFonts w:hint="eastAsia" w:ascii="宋体" w:hAnsi="宋体" w:cs="宋体"/>
          <w:b/>
          <w:color w:val="auto"/>
          <w:sz w:val="24"/>
          <w:highlight w:val="none"/>
          <w:lang w:eastAsia="zh-CN"/>
        </w:rPr>
      </w:pPr>
    </w:p>
    <w:p w14:paraId="4CE4D725">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lang w:eastAsia="zh-CN"/>
        </w:rPr>
        <w:t>四、</w:t>
      </w:r>
      <w:r>
        <w:rPr>
          <w:rFonts w:hint="eastAsia" w:ascii="宋体" w:hAnsi="宋体" w:cs="宋体"/>
          <w:b/>
          <w:color w:val="auto"/>
          <w:sz w:val="24"/>
          <w:highlight w:val="none"/>
        </w:rPr>
        <w:t>项目实施人员一览表格式</w:t>
      </w:r>
    </w:p>
    <w:p w14:paraId="2A4414C2">
      <w:pPr>
        <w:snapToGrid w:val="0"/>
        <w:spacing w:before="120" w:beforeLines="50" w:after="50"/>
        <w:ind w:left="142"/>
        <w:jc w:val="left"/>
        <w:rPr>
          <w:rFonts w:ascii="宋体" w:hAnsi="宋体" w:cs="宋体"/>
          <w:b/>
          <w:color w:val="auto"/>
          <w:sz w:val="24"/>
          <w:highlight w:val="none"/>
        </w:rPr>
      </w:pPr>
    </w:p>
    <w:p w14:paraId="14C78DF4">
      <w:pPr>
        <w:snapToGrid/>
        <w:spacing w:before="0" w:beforeLines="-2147483648" w:after="0"/>
        <w:ind w:left="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4BEA6D05">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0A1705DA">
      <w:pPr>
        <w:keepNext/>
        <w:keepLines/>
        <w:autoSpaceDE w:val="0"/>
        <w:autoSpaceDN w:val="0"/>
        <w:spacing w:line="360" w:lineRule="auto"/>
        <w:jc w:val="center"/>
        <w:rPr>
          <w:rFonts w:ascii="宋体" w:hAnsi="宋体" w:cs="宋体"/>
          <w:b/>
          <w:color w:val="auto"/>
          <w:sz w:val="24"/>
          <w:highlight w:val="none"/>
        </w:rPr>
      </w:pPr>
      <w:r>
        <w:rPr>
          <w:rFonts w:hint="eastAsia" w:ascii="宋体" w:hAnsi="宋体" w:cs="宋体"/>
          <w:color w:val="auto"/>
          <w:sz w:val="24"/>
          <w:highlight w:val="none"/>
        </w:rPr>
        <w:t>（格式仅供参考）</w:t>
      </w:r>
    </w:p>
    <w:p w14:paraId="75A75EC3">
      <w:pPr>
        <w:rPr>
          <w:color w:val="auto"/>
          <w:highlight w:val="none"/>
        </w:rPr>
      </w:pPr>
    </w:p>
    <w:p w14:paraId="3E029C56">
      <w:pPr>
        <w:pStyle w:val="11"/>
        <w:spacing w:line="400" w:lineRule="exact"/>
        <w:rPr>
          <w:rFonts w:hAnsi="宋体"/>
          <w:color w:val="auto"/>
          <w:sz w:val="21"/>
          <w:highlight w:val="none"/>
        </w:rPr>
      </w:pPr>
      <w:r>
        <w:rPr>
          <w:rFonts w:hint="eastAsia" w:hAnsi="宋体"/>
          <w:color w:val="auto"/>
          <w:sz w:val="21"/>
          <w:highlight w:val="none"/>
        </w:rPr>
        <w:t>所投分标：分标</w:t>
      </w:r>
    </w:p>
    <w:tbl>
      <w:tblPr>
        <w:tblStyle w:val="18"/>
        <w:tblW w:w="9526" w:type="dxa"/>
        <w:jc w:val="center"/>
        <w:tblLayout w:type="fixed"/>
        <w:tblCellMar>
          <w:top w:w="0" w:type="dxa"/>
          <w:left w:w="108" w:type="dxa"/>
          <w:bottom w:w="0" w:type="dxa"/>
          <w:right w:w="108" w:type="dxa"/>
        </w:tblCellMar>
      </w:tblPr>
      <w:tblGrid>
        <w:gridCol w:w="474"/>
        <w:gridCol w:w="889"/>
        <w:gridCol w:w="466"/>
        <w:gridCol w:w="662"/>
        <w:gridCol w:w="1170"/>
        <w:gridCol w:w="1487"/>
        <w:gridCol w:w="1163"/>
        <w:gridCol w:w="1187"/>
        <w:gridCol w:w="950"/>
        <w:gridCol w:w="1078"/>
      </w:tblGrid>
      <w:tr w14:paraId="5DFD2C6A">
        <w:tblPrEx>
          <w:tblCellMar>
            <w:top w:w="0" w:type="dxa"/>
            <w:left w:w="108" w:type="dxa"/>
            <w:bottom w:w="0" w:type="dxa"/>
            <w:right w:w="108" w:type="dxa"/>
          </w:tblCellMar>
        </w:tblPrEx>
        <w:trPr>
          <w:jc w:val="center"/>
        </w:trPr>
        <w:tc>
          <w:tcPr>
            <w:tcW w:w="474" w:type="dxa"/>
            <w:tcBorders>
              <w:top w:val="single" w:color="auto" w:sz="6" w:space="0"/>
              <w:left w:val="single" w:color="auto" w:sz="6" w:space="0"/>
              <w:bottom w:val="single" w:color="auto" w:sz="6" w:space="0"/>
              <w:right w:val="single" w:color="auto" w:sz="6" w:space="0"/>
            </w:tcBorders>
            <w:shd w:val="clear" w:color="auto" w:fill="D7D7D7"/>
            <w:vAlign w:val="center"/>
          </w:tcPr>
          <w:p w14:paraId="5F0A4351">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889" w:type="dxa"/>
            <w:tcBorders>
              <w:top w:val="single" w:color="auto" w:sz="6" w:space="0"/>
              <w:left w:val="single" w:color="auto" w:sz="6" w:space="0"/>
              <w:bottom w:val="single" w:color="auto" w:sz="6" w:space="0"/>
              <w:right w:val="single" w:color="auto" w:sz="6" w:space="0"/>
            </w:tcBorders>
            <w:shd w:val="clear" w:color="auto" w:fill="D7D7D7"/>
            <w:vAlign w:val="center"/>
          </w:tcPr>
          <w:p w14:paraId="2E487C97">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姓名</w:t>
            </w:r>
          </w:p>
        </w:tc>
        <w:tc>
          <w:tcPr>
            <w:tcW w:w="466" w:type="dxa"/>
            <w:tcBorders>
              <w:top w:val="single" w:color="auto" w:sz="6" w:space="0"/>
              <w:left w:val="single" w:color="auto" w:sz="6" w:space="0"/>
              <w:bottom w:val="single" w:color="auto" w:sz="6" w:space="0"/>
              <w:right w:val="single" w:color="auto" w:sz="6" w:space="0"/>
            </w:tcBorders>
            <w:shd w:val="clear" w:color="auto" w:fill="D7D7D7"/>
            <w:vAlign w:val="center"/>
          </w:tcPr>
          <w:p w14:paraId="33A1BC33">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性别</w:t>
            </w:r>
          </w:p>
        </w:tc>
        <w:tc>
          <w:tcPr>
            <w:tcW w:w="662" w:type="dxa"/>
            <w:tcBorders>
              <w:top w:val="single" w:color="auto" w:sz="6" w:space="0"/>
              <w:left w:val="single" w:color="auto" w:sz="6" w:space="0"/>
              <w:bottom w:val="single" w:color="auto" w:sz="6" w:space="0"/>
              <w:right w:val="single" w:color="auto" w:sz="6" w:space="0"/>
            </w:tcBorders>
            <w:shd w:val="clear" w:color="auto" w:fill="D7D7D7"/>
            <w:vAlign w:val="center"/>
          </w:tcPr>
          <w:p w14:paraId="41EF72E1">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年龄</w:t>
            </w:r>
          </w:p>
        </w:tc>
        <w:tc>
          <w:tcPr>
            <w:tcW w:w="1170" w:type="dxa"/>
            <w:tcBorders>
              <w:top w:val="single" w:color="auto" w:sz="6" w:space="0"/>
              <w:left w:val="single" w:color="auto" w:sz="6" w:space="0"/>
              <w:bottom w:val="single" w:color="auto" w:sz="6" w:space="0"/>
              <w:right w:val="single" w:color="auto" w:sz="6" w:space="0"/>
            </w:tcBorders>
            <w:shd w:val="clear" w:color="auto" w:fill="D7D7D7"/>
            <w:vAlign w:val="center"/>
          </w:tcPr>
          <w:p w14:paraId="79E3F816">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学历</w:t>
            </w:r>
          </w:p>
          <w:p w14:paraId="598059A9">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（页码）</w:t>
            </w:r>
          </w:p>
        </w:tc>
        <w:tc>
          <w:tcPr>
            <w:tcW w:w="1487" w:type="dxa"/>
            <w:tcBorders>
              <w:top w:val="single" w:color="auto" w:sz="6" w:space="0"/>
              <w:left w:val="single" w:color="auto" w:sz="6" w:space="0"/>
              <w:bottom w:val="single" w:color="auto" w:sz="6" w:space="0"/>
              <w:right w:val="single" w:color="auto" w:sz="6" w:space="0"/>
            </w:tcBorders>
            <w:shd w:val="clear" w:color="auto" w:fill="D7D7D7"/>
            <w:vAlign w:val="center"/>
          </w:tcPr>
          <w:p w14:paraId="25ECF253">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专业及职称</w:t>
            </w:r>
          </w:p>
          <w:p w14:paraId="4CDF63BA">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（页码）</w:t>
            </w:r>
          </w:p>
        </w:tc>
        <w:tc>
          <w:tcPr>
            <w:tcW w:w="1163" w:type="dxa"/>
            <w:tcBorders>
              <w:top w:val="single" w:color="auto" w:sz="6" w:space="0"/>
              <w:left w:val="single" w:color="auto" w:sz="6" w:space="0"/>
              <w:bottom w:val="single" w:color="auto" w:sz="6" w:space="0"/>
              <w:right w:val="single" w:color="auto" w:sz="6" w:space="0"/>
            </w:tcBorders>
            <w:shd w:val="clear" w:color="auto" w:fill="D7D7D7"/>
            <w:vAlign w:val="center"/>
          </w:tcPr>
          <w:p w14:paraId="2ADAE3AE">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b/>
                <w:bCs/>
                <w:color w:val="auto"/>
                <w:szCs w:val="21"/>
                <w:highlight w:val="none"/>
              </w:rPr>
              <w:t>资格（注册）证书</w:t>
            </w:r>
            <w:r>
              <w:rPr>
                <w:rFonts w:hint="eastAsia" w:ascii="宋体" w:hAnsi="宋体" w:cs="宋体"/>
                <w:b/>
                <w:bCs/>
                <w:color w:val="auto"/>
                <w:szCs w:val="21"/>
                <w:highlight w:val="none"/>
              </w:rPr>
              <w:t>（页码）</w:t>
            </w:r>
          </w:p>
        </w:tc>
        <w:tc>
          <w:tcPr>
            <w:tcW w:w="1187" w:type="dxa"/>
            <w:tcBorders>
              <w:top w:val="single" w:color="auto" w:sz="6" w:space="0"/>
              <w:left w:val="single" w:color="auto" w:sz="6" w:space="0"/>
              <w:bottom w:val="single" w:color="auto" w:sz="6" w:space="0"/>
              <w:right w:val="single" w:color="auto" w:sz="6" w:space="0"/>
            </w:tcBorders>
            <w:shd w:val="clear" w:color="auto" w:fill="D7D7D7"/>
            <w:vAlign w:val="center"/>
          </w:tcPr>
          <w:p w14:paraId="6272E1F8">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本项目中的职责</w:t>
            </w:r>
          </w:p>
        </w:tc>
        <w:tc>
          <w:tcPr>
            <w:tcW w:w="950" w:type="dxa"/>
            <w:tcBorders>
              <w:top w:val="single" w:color="auto" w:sz="6" w:space="0"/>
              <w:left w:val="single" w:color="auto" w:sz="6" w:space="0"/>
              <w:bottom w:val="single" w:color="auto" w:sz="6" w:space="0"/>
              <w:right w:val="single" w:color="auto" w:sz="6" w:space="0"/>
            </w:tcBorders>
            <w:shd w:val="clear" w:color="auto" w:fill="D7D7D7"/>
            <w:vAlign w:val="center"/>
          </w:tcPr>
          <w:p w14:paraId="7ED3BD00">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项目经历</w:t>
            </w:r>
          </w:p>
        </w:tc>
        <w:tc>
          <w:tcPr>
            <w:tcW w:w="1078" w:type="dxa"/>
            <w:tcBorders>
              <w:top w:val="single" w:color="auto" w:sz="6" w:space="0"/>
              <w:left w:val="single" w:color="auto" w:sz="6" w:space="0"/>
              <w:bottom w:val="single" w:color="auto" w:sz="6" w:space="0"/>
              <w:right w:val="single" w:color="auto" w:sz="6" w:space="0"/>
            </w:tcBorders>
            <w:shd w:val="clear" w:color="auto" w:fill="D7D7D7"/>
            <w:vAlign w:val="center"/>
          </w:tcPr>
          <w:p w14:paraId="1713018C">
            <w:pPr>
              <w:keepNext/>
              <w:keepLines/>
              <w:autoSpaceDE w:val="0"/>
              <w:autoSpaceDN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其他说明</w:t>
            </w:r>
          </w:p>
        </w:tc>
      </w:tr>
      <w:tr w14:paraId="12BB1517">
        <w:tblPrEx>
          <w:tblCellMar>
            <w:top w:w="0" w:type="dxa"/>
            <w:left w:w="108" w:type="dxa"/>
            <w:bottom w:w="0" w:type="dxa"/>
            <w:right w:w="108" w:type="dxa"/>
          </w:tblCellMar>
        </w:tblPrEx>
        <w:trPr>
          <w:trHeight w:val="479" w:hRule="atLeast"/>
          <w:jc w:val="center"/>
        </w:trPr>
        <w:tc>
          <w:tcPr>
            <w:tcW w:w="474" w:type="dxa"/>
            <w:tcBorders>
              <w:top w:val="single" w:color="auto" w:sz="6" w:space="0"/>
              <w:left w:val="single" w:color="auto" w:sz="6" w:space="0"/>
              <w:bottom w:val="single" w:color="auto" w:sz="6" w:space="0"/>
              <w:right w:val="single" w:color="auto" w:sz="6" w:space="0"/>
            </w:tcBorders>
          </w:tcPr>
          <w:p w14:paraId="3F2F4481">
            <w:pPr>
              <w:keepNext/>
              <w:keepLines/>
              <w:autoSpaceDE w:val="0"/>
              <w:autoSpaceDN w:val="0"/>
              <w:spacing w:line="360" w:lineRule="auto"/>
              <w:jc w:val="center"/>
              <w:rPr>
                <w:rFonts w:ascii="宋体" w:hAnsi="宋体" w:cs="宋体"/>
                <w:color w:val="auto"/>
                <w:szCs w:val="21"/>
                <w:highlight w:val="none"/>
              </w:rPr>
            </w:pPr>
          </w:p>
        </w:tc>
        <w:tc>
          <w:tcPr>
            <w:tcW w:w="889" w:type="dxa"/>
            <w:tcBorders>
              <w:top w:val="single" w:color="auto" w:sz="6" w:space="0"/>
              <w:left w:val="single" w:color="auto" w:sz="6" w:space="0"/>
              <w:bottom w:val="single" w:color="auto" w:sz="6" w:space="0"/>
              <w:right w:val="single" w:color="auto" w:sz="6" w:space="0"/>
            </w:tcBorders>
          </w:tcPr>
          <w:p w14:paraId="1B4A7ECB">
            <w:pPr>
              <w:keepNext/>
              <w:keepLines/>
              <w:autoSpaceDE w:val="0"/>
              <w:autoSpaceDN w:val="0"/>
              <w:spacing w:line="360" w:lineRule="auto"/>
              <w:rPr>
                <w:rFonts w:ascii="宋体" w:hAnsi="宋体" w:cs="宋体"/>
                <w:color w:val="auto"/>
                <w:szCs w:val="21"/>
                <w:highlight w:val="none"/>
              </w:rPr>
            </w:pPr>
          </w:p>
        </w:tc>
        <w:tc>
          <w:tcPr>
            <w:tcW w:w="466" w:type="dxa"/>
            <w:tcBorders>
              <w:top w:val="single" w:color="auto" w:sz="6" w:space="0"/>
              <w:left w:val="single" w:color="auto" w:sz="6" w:space="0"/>
              <w:bottom w:val="single" w:color="auto" w:sz="6" w:space="0"/>
              <w:right w:val="single" w:color="auto" w:sz="6" w:space="0"/>
            </w:tcBorders>
          </w:tcPr>
          <w:p w14:paraId="54CE6ECB">
            <w:pPr>
              <w:keepNext/>
              <w:keepLines/>
              <w:autoSpaceDE w:val="0"/>
              <w:autoSpaceDN w:val="0"/>
              <w:spacing w:line="360" w:lineRule="auto"/>
              <w:rPr>
                <w:rFonts w:ascii="宋体" w:hAnsi="宋体" w:cs="宋体"/>
                <w:color w:val="auto"/>
                <w:szCs w:val="21"/>
                <w:highlight w:val="none"/>
              </w:rPr>
            </w:pPr>
          </w:p>
        </w:tc>
        <w:tc>
          <w:tcPr>
            <w:tcW w:w="662" w:type="dxa"/>
            <w:tcBorders>
              <w:top w:val="single" w:color="auto" w:sz="6" w:space="0"/>
              <w:left w:val="single" w:color="auto" w:sz="6" w:space="0"/>
              <w:bottom w:val="single" w:color="auto" w:sz="6" w:space="0"/>
              <w:right w:val="single" w:color="auto" w:sz="6" w:space="0"/>
            </w:tcBorders>
          </w:tcPr>
          <w:p w14:paraId="7BFB2D1F">
            <w:pPr>
              <w:keepNext/>
              <w:keepLines/>
              <w:autoSpaceDE w:val="0"/>
              <w:autoSpaceDN w:val="0"/>
              <w:spacing w:line="360" w:lineRule="auto"/>
              <w:rPr>
                <w:rFonts w:ascii="宋体" w:hAnsi="宋体" w:cs="宋体"/>
                <w:color w:val="auto"/>
                <w:szCs w:val="21"/>
                <w:highlight w:val="none"/>
              </w:rPr>
            </w:pPr>
          </w:p>
        </w:tc>
        <w:tc>
          <w:tcPr>
            <w:tcW w:w="1170" w:type="dxa"/>
            <w:tcBorders>
              <w:top w:val="single" w:color="auto" w:sz="6" w:space="0"/>
              <w:left w:val="single" w:color="auto" w:sz="6" w:space="0"/>
              <w:bottom w:val="single" w:color="auto" w:sz="6" w:space="0"/>
              <w:right w:val="single" w:color="auto" w:sz="6" w:space="0"/>
            </w:tcBorders>
          </w:tcPr>
          <w:p w14:paraId="1CEA1CDB">
            <w:pPr>
              <w:keepNext/>
              <w:keepLines/>
              <w:autoSpaceDE w:val="0"/>
              <w:autoSpaceDN w:val="0"/>
              <w:spacing w:line="360" w:lineRule="auto"/>
              <w:rPr>
                <w:rFonts w:ascii="宋体" w:hAnsi="宋体" w:cs="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tcPr>
          <w:p w14:paraId="6D574407">
            <w:pPr>
              <w:keepNext/>
              <w:keepLines/>
              <w:autoSpaceDE w:val="0"/>
              <w:autoSpaceDN w:val="0"/>
              <w:spacing w:line="360" w:lineRule="auto"/>
              <w:rPr>
                <w:rFonts w:ascii="宋体" w:hAnsi="宋体" w:cs="宋体"/>
                <w:color w:val="auto"/>
                <w:szCs w:val="21"/>
                <w:highlight w:val="none"/>
              </w:rPr>
            </w:pPr>
          </w:p>
        </w:tc>
        <w:tc>
          <w:tcPr>
            <w:tcW w:w="1163" w:type="dxa"/>
            <w:tcBorders>
              <w:top w:val="single" w:color="auto" w:sz="6" w:space="0"/>
              <w:left w:val="single" w:color="auto" w:sz="6" w:space="0"/>
              <w:bottom w:val="single" w:color="auto" w:sz="6" w:space="0"/>
              <w:right w:val="single" w:color="auto" w:sz="6" w:space="0"/>
            </w:tcBorders>
          </w:tcPr>
          <w:p w14:paraId="4BC25B89">
            <w:pPr>
              <w:keepNext/>
              <w:keepLines/>
              <w:autoSpaceDE w:val="0"/>
              <w:autoSpaceDN w:val="0"/>
              <w:spacing w:line="360" w:lineRule="auto"/>
              <w:rPr>
                <w:rFonts w:ascii="宋体" w:hAnsi="宋体" w:cs="宋体"/>
                <w:color w:val="auto"/>
                <w:szCs w:val="21"/>
                <w:highlight w:val="none"/>
              </w:rPr>
            </w:pPr>
          </w:p>
        </w:tc>
        <w:tc>
          <w:tcPr>
            <w:tcW w:w="1187" w:type="dxa"/>
            <w:tcBorders>
              <w:top w:val="single" w:color="auto" w:sz="6" w:space="0"/>
              <w:left w:val="single" w:color="auto" w:sz="6" w:space="0"/>
              <w:bottom w:val="single" w:color="auto" w:sz="6" w:space="0"/>
              <w:right w:val="single" w:color="auto" w:sz="6" w:space="0"/>
            </w:tcBorders>
          </w:tcPr>
          <w:p w14:paraId="275E08F1">
            <w:pPr>
              <w:keepNext/>
              <w:keepLines/>
              <w:autoSpaceDE w:val="0"/>
              <w:autoSpaceDN w:val="0"/>
              <w:spacing w:line="360" w:lineRule="auto"/>
              <w:rPr>
                <w:rFonts w:ascii="宋体" w:hAnsi="宋体" w:cs="宋体"/>
                <w:color w:val="auto"/>
                <w:szCs w:val="21"/>
                <w:highlight w:val="none"/>
              </w:rPr>
            </w:pPr>
          </w:p>
        </w:tc>
        <w:tc>
          <w:tcPr>
            <w:tcW w:w="950" w:type="dxa"/>
            <w:tcBorders>
              <w:top w:val="single" w:color="auto" w:sz="6" w:space="0"/>
              <w:left w:val="single" w:color="auto" w:sz="6" w:space="0"/>
              <w:bottom w:val="single" w:color="auto" w:sz="6" w:space="0"/>
              <w:right w:val="single" w:color="auto" w:sz="6" w:space="0"/>
            </w:tcBorders>
          </w:tcPr>
          <w:p w14:paraId="5CFA0154">
            <w:pPr>
              <w:keepNext/>
              <w:keepLines/>
              <w:autoSpaceDE w:val="0"/>
              <w:autoSpaceDN w:val="0"/>
              <w:spacing w:line="360" w:lineRule="auto"/>
              <w:rPr>
                <w:rFonts w:ascii="宋体" w:hAnsi="宋体" w:cs="宋体"/>
                <w:color w:val="auto"/>
                <w:szCs w:val="21"/>
                <w:highlight w:val="none"/>
              </w:rPr>
            </w:pPr>
          </w:p>
        </w:tc>
        <w:tc>
          <w:tcPr>
            <w:tcW w:w="1078" w:type="dxa"/>
            <w:tcBorders>
              <w:top w:val="single" w:color="auto" w:sz="6" w:space="0"/>
              <w:left w:val="single" w:color="auto" w:sz="6" w:space="0"/>
              <w:bottom w:val="single" w:color="auto" w:sz="6" w:space="0"/>
              <w:right w:val="single" w:color="auto" w:sz="6" w:space="0"/>
            </w:tcBorders>
          </w:tcPr>
          <w:p w14:paraId="67DAD127">
            <w:pPr>
              <w:keepNext/>
              <w:keepLines/>
              <w:autoSpaceDE w:val="0"/>
              <w:autoSpaceDN w:val="0"/>
              <w:spacing w:line="360" w:lineRule="auto"/>
              <w:rPr>
                <w:rFonts w:ascii="宋体" w:hAnsi="宋体" w:cs="宋体"/>
                <w:color w:val="auto"/>
                <w:szCs w:val="21"/>
                <w:highlight w:val="none"/>
              </w:rPr>
            </w:pPr>
          </w:p>
        </w:tc>
      </w:tr>
      <w:tr w14:paraId="3C58AA7A">
        <w:tblPrEx>
          <w:tblCellMar>
            <w:top w:w="0" w:type="dxa"/>
            <w:left w:w="108" w:type="dxa"/>
            <w:bottom w:w="0" w:type="dxa"/>
            <w:right w:w="108" w:type="dxa"/>
          </w:tblCellMar>
        </w:tblPrEx>
        <w:trPr>
          <w:trHeight w:val="473" w:hRule="atLeast"/>
          <w:jc w:val="center"/>
        </w:trPr>
        <w:tc>
          <w:tcPr>
            <w:tcW w:w="474" w:type="dxa"/>
            <w:tcBorders>
              <w:top w:val="single" w:color="auto" w:sz="6" w:space="0"/>
              <w:left w:val="single" w:color="auto" w:sz="6" w:space="0"/>
              <w:bottom w:val="single" w:color="auto" w:sz="6" w:space="0"/>
              <w:right w:val="single" w:color="auto" w:sz="6" w:space="0"/>
            </w:tcBorders>
          </w:tcPr>
          <w:p w14:paraId="4429C600">
            <w:pPr>
              <w:keepNext/>
              <w:keepLines/>
              <w:autoSpaceDE w:val="0"/>
              <w:autoSpaceDN w:val="0"/>
              <w:spacing w:line="360" w:lineRule="auto"/>
              <w:jc w:val="center"/>
              <w:rPr>
                <w:rFonts w:ascii="宋体" w:hAnsi="宋体" w:cs="宋体"/>
                <w:color w:val="auto"/>
                <w:szCs w:val="21"/>
                <w:highlight w:val="none"/>
              </w:rPr>
            </w:pPr>
          </w:p>
        </w:tc>
        <w:tc>
          <w:tcPr>
            <w:tcW w:w="889" w:type="dxa"/>
            <w:tcBorders>
              <w:top w:val="single" w:color="auto" w:sz="6" w:space="0"/>
              <w:left w:val="single" w:color="auto" w:sz="6" w:space="0"/>
              <w:bottom w:val="single" w:color="auto" w:sz="6" w:space="0"/>
              <w:right w:val="single" w:color="auto" w:sz="6" w:space="0"/>
            </w:tcBorders>
          </w:tcPr>
          <w:p w14:paraId="49450C27">
            <w:pPr>
              <w:keepNext/>
              <w:keepLines/>
              <w:autoSpaceDE w:val="0"/>
              <w:autoSpaceDN w:val="0"/>
              <w:spacing w:line="360" w:lineRule="auto"/>
              <w:rPr>
                <w:rFonts w:ascii="宋体" w:hAnsi="宋体" w:cs="宋体"/>
                <w:color w:val="auto"/>
                <w:szCs w:val="21"/>
                <w:highlight w:val="none"/>
              </w:rPr>
            </w:pPr>
          </w:p>
        </w:tc>
        <w:tc>
          <w:tcPr>
            <w:tcW w:w="466" w:type="dxa"/>
            <w:tcBorders>
              <w:top w:val="single" w:color="auto" w:sz="6" w:space="0"/>
              <w:left w:val="single" w:color="auto" w:sz="6" w:space="0"/>
              <w:bottom w:val="single" w:color="auto" w:sz="6" w:space="0"/>
              <w:right w:val="single" w:color="auto" w:sz="6" w:space="0"/>
            </w:tcBorders>
          </w:tcPr>
          <w:p w14:paraId="7ABA9146">
            <w:pPr>
              <w:keepNext/>
              <w:keepLines/>
              <w:autoSpaceDE w:val="0"/>
              <w:autoSpaceDN w:val="0"/>
              <w:spacing w:line="360" w:lineRule="auto"/>
              <w:rPr>
                <w:rFonts w:ascii="宋体" w:hAnsi="宋体" w:cs="宋体"/>
                <w:color w:val="auto"/>
                <w:szCs w:val="21"/>
                <w:highlight w:val="none"/>
              </w:rPr>
            </w:pPr>
          </w:p>
        </w:tc>
        <w:tc>
          <w:tcPr>
            <w:tcW w:w="662" w:type="dxa"/>
            <w:tcBorders>
              <w:top w:val="single" w:color="auto" w:sz="6" w:space="0"/>
              <w:left w:val="single" w:color="auto" w:sz="6" w:space="0"/>
              <w:bottom w:val="single" w:color="auto" w:sz="6" w:space="0"/>
              <w:right w:val="single" w:color="auto" w:sz="6" w:space="0"/>
            </w:tcBorders>
          </w:tcPr>
          <w:p w14:paraId="62BA3A70">
            <w:pPr>
              <w:keepNext/>
              <w:keepLines/>
              <w:autoSpaceDE w:val="0"/>
              <w:autoSpaceDN w:val="0"/>
              <w:spacing w:line="360" w:lineRule="auto"/>
              <w:rPr>
                <w:rFonts w:ascii="宋体" w:hAnsi="宋体" w:cs="宋体"/>
                <w:color w:val="auto"/>
                <w:szCs w:val="21"/>
                <w:highlight w:val="none"/>
              </w:rPr>
            </w:pPr>
          </w:p>
        </w:tc>
        <w:tc>
          <w:tcPr>
            <w:tcW w:w="1170" w:type="dxa"/>
            <w:tcBorders>
              <w:top w:val="single" w:color="auto" w:sz="6" w:space="0"/>
              <w:left w:val="single" w:color="auto" w:sz="6" w:space="0"/>
              <w:bottom w:val="single" w:color="auto" w:sz="6" w:space="0"/>
              <w:right w:val="single" w:color="auto" w:sz="6" w:space="0"/>
            </w:tcBorders>
          </w:tcPr>
          <w:p w14:paraId="77A41E1C">
            <w:pPr>
              <w:keepNext/>
              <w:keepLines/>
              <w:autoSpaceDE w:val="0"/>
              <w:autoSpaceDN w:val="0"/>
              <w:spacing w:line="360" w:lineRule="auto"/>
              <w:rPr>
                <w:rFonts w:ascii="宋体" w:hAnsi="宋体" w:cs="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tcPr>
          <w:p w14:paraId="170D3F2B">
            <w:pPr>
              <w:keepNext/>
              <w:keepLines/>
              <w:autoSpaceDE w:val="0"/>
              <w:autoSpaceDN w:val="0"/>
              <w:spacing w:line="360" w:lineRule="auto"/>
              <w:rPr>
                <w:rFonts w:ascii="宋体" w:hAnsi="宋体" w:cs="宋体"/>
                <w:color w:val="auto"/>
                <w:szCs w:val="21"/>
                <w:highlight w:val="none"/>
              </w:rPr>
            </w:pPr>
          </w:p>
        </w:tc>
        <w:tc>
          <w:tcPr>
            <w:tcW w:w="1163" w:type="dxa"/>
            <w:tcBorders>
              <w:top w:val="single" w:color="auto" w:sz="6" w:space="0"/>
              <w:left w:val="single" w:color="auto" w:sz="6" w:space="0"/>
              <w:bottom w:val="single" w:color="auto" w:sz="6" w:space="0"/>
              <w:right w:val="single" w:color="auto" w:sz="6" w:space="0"/>
            </w:tcBorders>
          </w:tcPr>
          <w:p w14:paraId="74BB75DA">
            <w:pPr>
              <w:keepNext/>
              <w:keepLines/>
              <w:autoSpaceDE w:val="0"/>
              <w:autoSpaceDN w:val="0"/>
              <w:spacing w:line="360" w:lineRule="auto"/>
              <w:rPr>
                <w:rFonts w:ascii="宋体" w:hAnsi="宋体" w:cs="宋体"/>
                <w:color w:val="auto"/>
                <w:szCs w:val="21"/>
                <w:highlight w:val="none"/>
              </w:rPr>
            </w:pPr>
          </w:p>
        </w:tc>
        <w:tc>
          <w:tcPr>
            <w:tcW w:w="1187" w:type="dxa"/>
            <w:tcBorders>
              <w:top w:val="single" w:color="auto" w:sz="6" w:space="0"/>
              <w:left w:val="single" w:color="auto" w:sz="6" w:space="0"/>
              <w:bottom w:val="single" w:color="auto" w:sz="6" w:space="0"/>
              <w:right w:val="single" w:color="auto" w:sz="6" w:space="0"/>
            </w:tcBorders>
          </w:tcPr>
          <w:p w14:paraId="5BB2036A">
            <w:pPr>
              <w:keepNext/>
              <w:keepLines/>
              <w:autoSpaceDE w:val="0"/>
              <w:autoSpaceDN w:val="0"/>
              <w:spacing w:line="360" w:lineRule="auto"/>
              <w:rPr>
                <w:rFonts w:ascii="宋体" w:hAnsi="宋体" w:cs="宋体"/>
                <w:color w:val="auto"/>
                <w:szCs w:val="21"/>
                <w:highlight w:val="none"/>
              </w:rPr>
            </w:pPr>
          </w:p>
        </w:tc>
        <w:tc>
          <w:tcPr>
            <w:tcW w:w="950" w:type="dxa"/>
            <w:tcBorders>
              <w:top w:val="single" w:color="auto" w:sz="6" w:space="0"/>
              <w:left w:val="single" w:color="auto" w:sz="6" w:space="0"/>
              <w:bottom w:val="single" w:color="auto" w:sz="6" w:space="0"/>
              <w:right w:val="single" w:color="auto" w:sz="6" w:space="0"/>
            </w:tcBorders>
          </w:tcPr>
          <w:p w14:paraId="20D16C72">
            <w:pPr>
              <w:keepNext/>
              <w:keepLines/>
              <w:autoSpaceDE w:val="0"/>
              <w:autoSpaceDN w:val="0"/>
              <w:spacing w:line="360" w:lineRule="auto"/>
              <w:rPr>
                <w:rFonts w:ascii="宋体" w:hAnsi="宋体" w:cs="宋体"/>
                <w:color w:val="auto"/>
                <w:szCs w:val="21"/>
                <w:highlight w:val="none"/>
              </w:rPr>
            </w:pPr>
          </w:p>
        </w:tc>
        <w:tc>
          <w:tcPr>
            <w:tcW w:w="1078" w:type="dxa"/>
            <w:tcBorders>
              <w:top w:val="single" w:color="auto" w:sz="6" w:space="0"/>
              <w:left w:val="single" w:color="auto" w:sz="6" w:space="0"/>
              <w:bottom w:val="single" w:color="auto" w:sz="6" w:space="0"/>
              <w:right w:val="single" w:color="auto" w:sz="6" w:space="0"/>
            </w:tcBorders>
          </w:tcPr>
          <w:p w14:paraId="34B2CB4F">
            <w:pPr>
              <w:keepNext/>
              <w:keepLines/>
              <w:autoSpaceDE w:val="0"/>
              <w:autoSpaceDN w:val="0"/>
              <w:spacing w:line="360" w:lineRule="auto"/>
              <w:rPr>
                <w:rFonts w:ascii="宋体" w:hAnsi="宋体" w:cs="宋体"/>
                <w:color w:val="auto"/>
                <w:szCs w:val="21"/>
                <w:highlight w:val="none"/>
              </w:rPr>
            </w:pPr>
          </w:p>
        </w:tc>
      </w:tr>
      <w:tr w14:paraId="0DA1BABB">
        <w:tblPrEx>
          <w:tblCellMar>
            <w:top w:w="0" w:type="dxa"/>
            <w:left w:w="108" w:type="dxa"/>
            <w:bottom w:w="0" w:type="dxa"/>
            <w:right w:w="108" w:type="dxa"/>
          </w:tblCellMar>
        </w:tblPrEx>
        <w:trPr>
          <w:trHeight w:val="473" w:hRule="atLeast"/>
          <w:jc w:val="center"/>
        </w:trPr>
        <w:tc>
          <w:tcPr>
            <w:tcW w:w="474" w:type="dxa"/>
            <w:tcBorders>
              <w:top w:val="single" w:color="auto" w:sz="6" w:space="0"/>
              <w:left w:val="single" w:color="auto" w:sz="6" w:space="0"/>
              <w:bottom w:val="single" w:color="auto" w:sz="6" w:space="0"/>
              <w:right w:val="single" w:color="auto" w:sz="6" w:space="0"/>
            </w:tcBorders>
          </w:tcPr>
          <w:p w14:paraId="6E978ACA">
            <w:pPr>
              <w:keepNext/>
              <w:keepLines/>
              <w:autoSpaceDE w:val="0"/>
              <w:autoSpaceDN w:val="0"/>
              <w:spacing w:line="360" w:lineRule="auto"/>
              <w:jc w:val="center"/>
              <w:rPr>
                <w:rFonts w:ascii="宋体" w:hAnsi="宋体" w:cs="宋体"/>
                <w:color w:val="auto"/>
                <w:szCs w:val="21"/>
                <w:highlight w:val="none"/>
              </w:rPr>
            </w:pPr>
          </w:p>
        </w:tc>
        <w:tc>
          <w:tcPr>
            <w:tcW w:w="889" w:type="dxa"/>
            <w:tcBorders>
              <w:top w:val="single" w:color="auto" w:sz="6" w:space="0"/>
              <w:left w:val="single" w:color="auto" w:sz="6" w:space="0"/>
              <w:bottom w:val="single" w:color="auto" w:sz="6" w:space="0"/>
              <w:right w:val="single" w:color="auto" w:sz="6" w:space="0"/>
            </w:tcBorders>
          </w:tcPr>
          <w:p w14:paraId="53488430">
            <w:pPr>
              <w:keepNext/>
              <w:keepLines/>
              <w:autoSpaceDE w:val="0"/>
              <w:autoSpaceDN w:val="0"/>
              <w:spacing w:line="360" w:lineRule="auto"/>
              <w:rPr>
                <w:rFonts w:ascii="宋体" w:hAnsi="宋体" w:cs="宋体"/>
                <w:color w:val="auto"/>
                <w:szCs w:val="21"/>
                <w:highlight w:val="none"/>
              </w:rPr>
            </w:pPr>
          </w:p>
        </w:tc>
        <w:tc>
          <w:tcPr>
            <w:tcW w:w="466" w:type="dxa"/>
            <w:tcBorders>
              <w:top w:val="single" w:color="auto" w:sz="6" w:space="0"/>
              <w:left w:val="single" w:color="auto" w:sz="6" w:space="0"/>
              <w:bottom w:val="single" w:color="auto" w:sz="6" w:space="0"/>
              <w:right w:val="single" w:color="auto" w:sz="6" w:space="0"/>
            </w:tcBorders>
          </w:tcPr>
          <w:p w14:paraId="2A1BD053">
            <w:pPr>
              <w:keepNext/>
              <w:keepLines/>
              <w:autoSpaceDE w:val="0"/>
              <w:autoSpaceDN w:val="0"/>
              <w:spacing w:line="360" w:lineRule="auto"/>
              <w:rPr>
                <w:rFonts w:ascii="宋体" w:hAnsi="宋体" w:cs="宋体"/>
                <w:color w:val="auto"/>
                <w:szCs w:val="21"/>
                <w:highlight w:val="none"/>
              </w:rPr>
            </w:pPr>
          </w:p>
        </w:tc>
        <w:tc>
          <w:tcPr>
            <w:tcW w:w="662" w:type="dxa"/>
            <w:tcBorders>
              <w:top w:val="single" w:color="auto" w:sz="6" w:space="0"/>
              <w:left w:val="single" w:color="auto" w:sz="6" w:space="0"/>
              <w:bottom w:val="single" w:color="auto" w:sz="6" w:space="0"/>
              <w:right w:val="single" w:color="auto" w:sz="6" w:space="0"/>
            </w:tcBorders>
          </w:tcPr>
          <w:p w14:paraId="1BDEB1AB">
            <w:pPr>
              <w:keepNext/>
              <w:keepLines/>
              <w:autoSpaceDE w:val="0"/>
              <w:autoSpaceDN w:val="0"/>
              <w:spacing w:line="360" w:lineRule="auto"/>
              <w:rPr>
                <w:rFonts w:ascii="宋体" w:hAnsi="宋体" w:cs="宋体"/>
                <w:color w:val="auto"/>
                <w:szCs w:val="21"/>
                <w:highlight w:val="none"/>
              </w:rPr>
            </w:pPr>
          </w:p>
        </w:tc>
        <w:tc>
          <w:tcPr>
            <w:tcW w:w="1170" w:type="dxa"/>
            <w:tcBorders>
              <w:top w:val="single" w:color="auto" w:sz="6" w:space="0"/>
              <w:left w:val="single" w:color="auto" w:sz="6" w:space="0"/>
              <w:bottom w:val="single" w:color="auto" w:sz="6" w:space="0"/>
              <w:right w:val="single" w:color="auto" w:sz="6" w:space="0"/>
            </w:tcBorders>
          </w:tcPr>
          <w:p w14:paraId="6AB3FB53">
            <w:pPr>
              <w:keepNext/>
              <w:keepLines/>
              <w:autoSpaceDE w:val="0"/>
              <w:autoSpaceDN w:val="0"/>
              <w:spacing w:line="360" w:lineRule="auto"/>
              <w:rPr>
                <w:rFonts w:ascii="宋体" w:hAnsi="宋体" w:cs="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tcPr>
          <w:p w14:paraId="2A688813">
            <w:pPr>
              <w:keepNext/>
              <w:keepLines/>
              <w:autoSpaceDE w:val="0"/>
              <w:autoSpaceDN w:val="0"/>
              <w:spacing w:line="360" w:lineRule="auto"/>
              <w:rPr>
                <w:rFonts w:ascii="宋体" w:hAnsi="宋体" w:cs="宋体"/>
                <w:color w:val="auto"/>
                <w:szCs w:val="21"/>
                <w:highlight w:val="none"/>
              </w:rPr>
            </w:pPr>
          </w:p>
        </w:tc>
        <w:tc>
          <w:tcPr>
            <w:tcW w:w="1163" w:type="dxa"/>
            <w:tcBorders>
              <w:top w:val="single" w:color="auto" w:sz="6" w:space="0"/>
              <w:left w:val="single" w:color="auto" w:sz="6" w:space="0"/>
              <w:bottom w:val="single" w:color="auto" w:sz="6" w:space="0"/>
              <w:right w:val="single" w:color="auto" w:sz="6" w:space="0"/>
            </w:tcBorders>
          </w:tcPr>
          <w:p w14:paraId="5EAD1C35">
            <w:pPr>
              <w:keepNext/>
              <w:keepLines/>
              <w:autoSpaceDE w:val="0"/>
              <w:autoSpaceDN w:val="0"/>
              <w:spacing w:line="360" w:lineRule="auto"/>
              <w:rPr>
                <w:rFonts w:ascii="宋体" w:hAnsi="宋体" w:cs="宋体"/>
                <w:color w:val="auto"/>
                <w:szCs w:val="21"/>
                <w:highlight w:val="none"/>
              </w:rPr>
            </w:pPr>
          </w:p>
        </w:tc>
        <w:tc>
          <w:tcPr>
            <w:tcW w:w="1187" w:type="dxa"/>
            <w:tcBorders>
              <w:top w:val="single" w:color="auto" w:sz="6" w:space="0"/>
              <w:left w:val="single" w:color="auto" w:sz="6" w:space="0"/>
              <w:bottom w:val="single" w:color="auto" w:sz="6" w:space="0"/>
              <w:right w:val="single" w:color="auto" w:sz="6" w:space="0"/>
            </w:tcBorders>
          </w:tcPr>
          <w:p w14:paraId="05196868">
            <w:pPr>
              <w:keepNext/>
              <w:keepLines/>
              <w:autoSpaceDE w:val="0"/>
              <w:autoSpaceDN w:val="0"/>
              <w:spacing w:line="360" w:lineRule="auto"/>
              <w:rPr>
                <w:rFonts w:ascii="宋体" w:hAnsi="宋体" w:cs="宋体"/>
                <w:color w:val="auto"/>
                <w:szCs w:val="21"/>
                <w:highlight w:val="none"/>
              </w:rPr>
            </w:pPr>
          </w:p>
        </w:tc>
        <w:tc>
          <w:tcPr>
            <w:tcW w:w="950" w:type="dxa"/>
            <w:tcBorders>
              <w:top w:val="single" w:color="auto" w:sz="6" w:space="0"/>
              <w:left w:val="single" w:color="auto" w:sz="6" w:space="0"/>
              <w:bottom w:val="single" w:color="auto" w:sz="6" w:space="0"/>
              <w:right w:val="single" w:color="auto" w:sz="6" w:space="0"/>
            </w:tcBorders>
          </w:tcPr>
          <w:p w14:paraId="45BFFA5C">
            <w:pPr>
              <w:keepNext/>
              <w:keepLines/>
              <w:autoSpaceDE w:val="0"/>
              <w:autoSpaceDN w:val="0"/>
              <w:spacing w:line="360" w:lineRule="auto"/>
              <w:rPr>
                <w:rFonts w:ascii="宋体" w:hAnsi="宋体" w:cs="宋体"/>
                <w:color w:val="auto"/>
                <w:szCs w:val="21"/>
                <w:highlight w:val="none"/>
              </w:rPr>
            </w:pPr>
          </w:p>
        </w:tc>
        <w:tc>
          <w:tcPr>
            <w:tcW w:w="1078" w:type="dxa"/>
            <w:tcBorders>
              <w:top w:val="single" w:color="auto" w:sz="6" w:space="0"/>
              <w:left w:val="single" w:color="auto" w:sz="6" w:space="0"/>
              <w:bottom w:val="single" w:color="auto" w:sz="6" w:space="0"/>
              <w:right w:val="single" w:color="auto" w:sz="6" w:space="0"/>
            </w:tcBorders>
          </w:tcPr>
          <w:p w14:paraId="1599CEAF">
            <w:pPr>
              <w:keepNext/>
              <w:keepLines/>
              <w:autoSpaceDE w:val="0"/>
              <w:autoSpaceDN w:val="0"/>
              <w:spacing w:line="360" w:lineRule="auto"/>
              <w:rPr>
                <w:rFonts w:ascii="宋体" w:hAnsi="宋体" w:cs="宋体"/>
                <w:color w:val="auto"/>
                <w:szCs w:val="21"/>
                <w:highlight w:val="none"/>
              </w:rPr>
            </w:pPr>
          </w:p>
        </w:tc>
      </w:tr>
      <w:tr w14:paraId="12114627">
        <w:tblPrEx>
          <w:tblCellMar>
            <w:top w:w="0" w:type="dxa"/>
            <w:left w:w="108" w:type="dxa"/>
            <w:bottom w:w="0" w:type="dxa"/>
            <w:right w:w="108" w:type="dxa"/>
          </w:tblCellMar>
        </w:tblPrEx>
        <w:trPr>
          <w:trHeight w:val="473" w:hRule="atLeast"/>
          <w:jc w:val="center"/>
        </w:trPr>
        <w:tc>
          <w:tcPr>
            <w:tcW w:w="474" w:type="dxa"/>
            <w:tcBorders>
              <w:top w:val="single" w:color="auto" w:sz="6" w:space="0"/>
              <w:left w:val="single" w:color="auto" w:sz="6" w:space="0"/>
              <w:bottom w:val="single" w:color="auto" w:sz="6" w:space="0"/>
              <w:right w:val="single" w:color="auto" w:sz="6" w:space="0"/>
            </w:tcBorders>
          </w:tcPr>
          <w:p w14:paraId="31C12C0F">
            <w:pPr>
              <w:keepNext/>
              <w:keepLines/>
              <w:autoSpaceDE w:val="0"/>
              <w:autoSpaceDN w:val="0"/>
              <w:spacing w:line="360" w:lineRule="auto"/>
              <w:jc w:val="center"/>
              <w:rPr>
                <w:rFonts w:ascii="宋体" w:hAnsi="宋体" w:cs="宋体"/>
                <w:color w:val="auto"/>
                <w:szCs w:val="21"/>
                <w:highlight w:val="none"/>
              </w:rPr>
            </w:pPr>
          </w:p>
        </w:tc>
        <w:tc>
          <w:tcPr>
            <w:tcW w:w="889" w:type="dxa"/>
            <w:tcBorders>
              <w:top w:val="single" w:color="auto" w:sz="6" w:space="0"/>
              <w:left w:val="single" w:color="auto" w:sz="6" w:space="0"/>
              <w:bottom w:val="single" w:color="auto" w:sz="6" w:space="0"/>
              <w:right w:val="single" w:color="auto" w:sz="6" w:space="0"/>
            </w:tcBorders>
          </w:tcPr>
          <w:p w14:paraId="40F1B067">
            <w:pPr>
              <w:keepNext/>
              <w:keepLines/>
              <w:autoSpaceDE w:val="0"/>
              <w:autoSpaceDN w:val="0"/>
              <w:spacing w:line="360" w:lineRule="auto"/>
              <w:rPr>
                <w:rFonts w:ascii="宋体" w:hAnsi="宋体" w:cs="宋体"/>
                <w:color w:val="auto"/>
                <w:szCs w:val="21"/>
                <w:highlight w:val="none"/>
              </w:rPr>
            </w:pPr>
          </w:p>
        </w:tc>
        <w:tc>
          <w:tcPr>
            <w:tcW w:w="466" w:type="dxa"/>
            <w:tcBorders>
              <w:top w:val="single" w:color="auto" w:sz="6" w:space="0"/>
              <w:left w:val="single" w:color="auto" w:sz="6" w:space="0"/>
              <w:bottom w:val="single" w:color="auto" w:sz="6" w:space="0"/>
              <w:right w:val="single" w:color="auto" w:sz="6" w:space="0"/>
            </w:tcBorders>
          </w:tcPr>
          <w:p w14:paraId="46C67181">
            <w:pPr>
              <w:keepNext/>
              <w:keepLines/>
              <w:autoSpaceDE w:val="0"/>
              <w:autoSpaceDN w:val="0"/>
              <w:spacing w:line="360" w:lineRule="auto"/>
              <w:rPr>
                <w:rFonts w:ascii="宋体" w:hAnsi="宋体" w:cs="宋体"/>
                <w:color w:val="auto"/>
                <w:szCs w:val="21"/>
                <w:highlight w:val="none"/>
              </w:rPr>
            </w:pPr>
          </w:p>
        </w:tc>
        <w:tc>
          <w:tcPr>
            <w:tcW w:w="662" w:type="dxa"/>
            <w:tcBorders>
              <w:top w:val="single" w:color="auto" w:sz="6" w:space="0"/>
              <w:left w:val="single" w:color="auto" w:sz="6" w:space="0"/>
              <w:bottom w:val="single" w:color="auto" w:sz="6" w:space="0"/>
              <w:right w:val="single" w:color="auto" w:sz="6" w:space="0"/>
            </w:tcBorders>
          </w:tcPr>
          <w:p w14:paraId="047C0614">
            <w:pPr>
              <w:keepNext/>
              <w:keepLines/>
              <w:autoSpaceDE w:val="0"/>
              <w:autoSpaceDN w:val="0"/>
              <w:spacing w:line="360" w:lineRule="auto"/>
              <w:rPr>
                <w:rFonts w:ascii="宋体" w:hAnsi="宋体" w:cs="宋体"/>
                <w:color w:val="auto"/>
                <w:szCs w:val="21"/>
                <w:highlight w:val="none"/>
              </w:rPr>
            </w:pPr>
          </w:p>
        </w:tc>
        <w:tc>
          <w:tcPr>
            <w:tcW w:w="1170" w:type="dxa"/>
            <w:tcBorders>
              <w:top w:val="single" w:color="auto" w:sz="6" w:space="0"/>
              <w:left w:val="single" w:color="auto" w:sz="6" w:space="0"/>
              <w:bottom w:val="single" w:color="auto" w:sz="6" w:space="0"/>
              <w:right w:val="single" w:color="auto" w:sz="6" w:space="0"/>
            </w:tcBorders>
          </w:tcPr>
          <w:p w14:paraId="6DEFAD6F">
            <w:pPr>
              <w:keepNext/>
              <w:keepLines/>
              <w:autoSpaceDE w:val="0"/>
              <w:autoSpaceDN w:val="0"/>
              <w:spacing w:line="360" w:lineRule="auto"/>
              <w:rPr>
                <w:rFonts w:ascii="宋体" w:hAnsi="宋体" w:cs="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tcPr>
          <w:p w14:paraId="040515F5">
            <w:pPr>
              <w:keepNext/>
              <w:keepLines/>
              <w:autoSpaceDE w:val="0"/>
              <w:autoSpaceDN w:val="0"/>
              <w:spacing w:line="360" w:lineRule="auto"/>
              <w:rPr>
                <w:rFonts w:ascii="宋体" w:hAnsi="宋体" w:cs="宋体"/>
                <w:color w:val="auto"/>
                <w:szCs w:val="21"/>
                <w:highlight w:val="none"/>
              </w:rPr>
            </w:pPr>
          </w:p>
        </w:tc>
        <w:tc>
          <w:tcPr>
            <w:tcW w:w="1163" w:type="dxa"/>
            <w:tcBorders>
              <w:top w:val="single" w:color="auto" w:sz="6" w:space="0"/>
              <w:left w:val="single" w:color="auto" w:sz="6" w:space="0"/>
              <w:bottom w:val="single" w:color="auto" w:sz="6" w:space="0"/>
              <w:right w:val="single" w:color="auto" w:sz="6" w:space="0"/>
            </w:tcBorders>
          </w:tcPr>
          <w:p w14:paraId="2F208B5C">
            <w:pPr>
              <w:keepNext/>
              <w:keepLines/>
              <w:autoSpaceDE w:val="0"/>
              <w:autoSpaceDN w:val="0"/>
              <w:spacing w:line="360" w:lineRule="auto"/>
              <w:rPr>
                <w:rFonts w:ascii="宋体" w:hAnsi="宋体" w:cs="宋体"/>
                <w:color w:val="auto"/>
                <w:szCs w:val="21"/>
                <w:highlight w:val="none"/>
              </w:rPr>
            </w:pPr>
          </w:p>
        </w:tc>
        <w:tc>
          <w:tcPr>
            <w:tcW w:w="1187" w:type="dxa"/>
            <w:tcBorders>
              <w:top w:val="single" w:color="auto" w:sz="6" w:space="0"/>
              <w:left w:val="single" w:color="auto" w:sz="6" w:space="0"/>
              <w:bottom w:val="single" w:color="auto" w:sz="6" w:space="0"/>
              <w:right w:val="single" w:color="auto" w:sz="6" w:space="0"/>
            </w:tcBorders>
          </w:tcPr>
          <w:p w14:paraId="087A7627">
            <w:pPr>
              <w:keepNext/>
              <w:keepLines/>
              <w:autoSpaceDE w:val="0"/>
              <w:autoSpaceDN w:val="0"/>
              <w:spacing w:line="360" w:lineRule="auto"/>
              <w:rPr>
                <w:rFonts w:ascii="宋体" w:hAnsi="宋体" w:cs="宋体"/>
                <w:color w:val="auto"/>
                <w:szCs w:val="21"/>
                <w:highlight w:val="none"/>
              </w:rPr>
            </w:pPr>
          </w:p>
        </w:tc>
        <w:tc>
          <w:tcPr>
            <w:tcW w:w="950" w:type="dxa"/>
            <w:tcBorders>
              <w:top w:val="single" w:color="auto" w:sz="6" w:space="0"/>
              <w:left w:val="single" w:color="auto" w:sz="6" w:space="0"/>
              <w:bottom w:val="single" w:color="auto" w:sz="6" w:space="0"/>
              <w:right w:val="single" w:color="auto" w:sz="6" w:space="0"/>
            </w:tcBorders>
          </w:tcPr>
          <w:p w14:paraId="168DF15B">
            <w:pPr>
              <w:keepNext/>
              <w:keepLines/>
              <w:autoSpaceDE w:val="0"/>
              <w:autoSpaceDN w:val="0"/>
              <w:spacing w:line="360" w:lineRule="auto"/>
              <w:rPr>
                <w:rFonts w:ascii="宋体" w:hAnsi="宋体" w:cs="宋体"/>
                <w:color w:val="auto"/>
                <w:szCs w:val="21"/>
                <w:highlight w:val="none"/>
              </w:rPr>
            </w:pPr>
          </w:p>
        </w:tc>
        <w:tc>
          <w:tcPr>
            <w:tcW w:w="1078" w:type="dxa"/>
            <w:tcBorders>
              <w:top w:val="single" w:color="auto" w:sz="6" w:space="0"/>
              <w:left w:val="single" w:color="auto" w:sz="6" w:space="0"/>
              <w:bottom w:val="single" w:color="auto" w:sz="6" w:space="0"/>
              <w:right w:val="single" w:color="auto" w:sz="6" w:space="0"/>
            </w:tcBorders>
          </w:tcPr>
          <w:p w14:paraId="38FA164E">
            <w:pPr>
              <w:keepNext/>
              <w:keepLines/>
              <w:autoSpaceDE w:val="0"/>
              <w:autoSpaceDN w:val="0"/>
              <w:spacing w:line="360" w:lineRule="auto"/>
              <w:rPr>
                <w:rFonts w:ascii="宋体" w:hAnsi="宋体" w:cs="宋体"/>
                <w:color w:val="auto"/>
                <w:szCs w:val="21"/>
                <w:highlight w:val="none"/>
              </w:rPr>
            </w:pPr>
          </w:p>
        </w:tc>
      </w:tr>
    </w:tbl>
    <w:p w14:paraId="7D8C54DB">
      <w:pPr>
        <w:keepNext/>
        <w:keepLines/>
        <w:spacing w:line="360" w:lineRule="auto"/>
        <w:rPr>
          <w:rFonts w:ascii="仿宋" w:hAnsi="仿宋" w:eastAsia="仿宋" w:cs="仿宋"/>
          <w:bCs/>
          <w:color w:val="auto"/>
          <w:szCs w:val="21"/>
          <w:highlight w:val="none"/>
        </w:rPr>
      </w:pPr>
      <w:r>
        <w:rPr>
          <w:rFonts w:hint="eastAsia" w:ascii="仿宋" w:hAnsi="仿宋" w:eastAsia="仿宋" w:cs="仿宋"/>
          <w:bCs/>
          <w:color w:val="auto"/>
          <w:szCs w:val="21"/>
          <w:highlight w:val="none"/>
        </w:rPr>
        <w:t>注：格式仅供参考，投标人可按第二章及第四章的要求自行编制。</w:t>
      </w:r>
    </w:p>
    <w:p w14:paraId="3E54A1D8">
      <w:pPr>
        <w:spacing w:line="360" w:lineRule="auto"/>
        <w:contextualSpacing/>
        <w:jc w:val="left"/>
        <w:rPr>
          <w:rFonts w:ascii="宋体" w:hAnsi="宋体" w:cs="宋体"/>
          <w:color w:val="auto"/>
          <w:sz w:val="24"/>
          <w:szCs w:val="20"/>
          <w:highlight w:val="none"/>
        </w:rPr>
      </w:pPr>
    </w:p>
    <w:p w14:paraId="684DA3B3">
      <w:pPr>
        <w:spacing w:line="360" w:lineRule="auto"/>
        <w:ind w:firstLine="480" w:firstLineChars="200"/>
        <w:contextualSpacing/>
        <w:rPr>
          <w:rFonts w:ascii="宋体" w:hAnsi="宋体" w:cs="宋体"/>
          <w:color w:val="auto"/>
          <w:sz w:val="24"/>
          <w:highlight w:val="none"/>
          <w:u w:val="single"/>
        </w:rPr>
      </w:pPr>
      <w:r>
        <w:rPr>
          <w:rFonts w:hint="eastAsia" w:hAnsi="宋体" w:cs="宋体"/>
          <w:color w:val="auto"/>
          <w:sz w:val="24"/>
          <w:highlight w:val="none"/>
        </w:rPr>
        <w:t>投标人名称（电子签章）：</w:t>
      </w:r>
    </w:p>
    <w:p w14:paraId="6E549EE9">
      <w:pPr>
        <w:spacing w:line="360" w:lineRule="auto"/>
        <w:ind w:firstLine="480" w:firstLineChars="200"/>
        <w:contextualSpacing/>
        <w:rPr>
          <w:rFonts w:hAnsi="宋体" w:cs="宋体"/>
          <w:color w:val="auto"/>
          <w:sz w:val="24"/>
          <w:highlight w:val="none"/>
        </w:rPr>
      </w:pPr>
      <w:r>
        <w:rPr>
          <w:rFonts w:hint="eastAsia" w:hAnsi="宋体" w:cs="宋体"/>
          <w:color w:val="auto"/>
          <w:sz w:val="24"/>
          <w:highlight w:val="none"/>
        </w:rPr>
        <w:t>日期：年月日</w:t>
      </w:r>
    </w:p>
    <w:p w14:paraId="14C83980">
      <w:pPr>
        <w:snapToGrid w:val="0"/>
        <w:spacing w:before="50" w:after="120" w:afterLines="50"/>
        <w:jc w:val="left"/>
        <w:rPr>
          <w:rFonts w:ascii="宋体" w:hAnsi="宋体" w:cs="宋体"/>
          <w:color w:val="auto"/>
          <w:sz w:val="24"/>
          <w:szCs w:val="20"/>
          <w:highlight w:val="none"/>
        </w:rPr>
      </w:pPr>
    </w:p>
    <w:p w14:paraId="0FE9E671">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1A75FDC3">
      <w:pPr>
        <w:spacing w:line="360" w:lineRule="auto"/>
        <w:jc w:val="left"/>
        <w:rPr>
          <w:rFonts w:hint="eastAsia" w:ascii="宋体" w:hAnsi="宋体" w:eastAsia="宋体" w:cs="Times New Roman"/>
          <w:b/>
          <w:color w:val="auto"/>
          <w:sz w:val="32"/>
          <w:szCs w:val="32"/>
          <w:highlight w:val="none"/>
        </w:rPr>
      </w:pPr>
      <w:r>
        <w:rPr>
          <w:rFonts w:hint="eastAsia" w:ascii="宋体" w:hAnsi="宋体" w:cs="Times New Roman"/>
          <w:b/>
          <w:color w:val="auto"/>
          <w:sz w:val="32"/>
          <w:szCs w:val="32"/>
          <w:highlight w:val="none"/>
          <w:lang w:val="en-US" w:eastAsia="zh-CN"/>
        </w:rPr>
        <w:t>五</w:t>
      </w:r>
      <w:r>
        <w:rPr>
          <w:rFonts w:hint="eastAsia" w:ascii="宋体" w:hAnsi="宋体" w:eastAsia="宋体" w:cs="Times New Roman"/>
          <w:b/>
          <w:color w:val="auto"/>
          <w:sz w:val="32"/>
          <w:szCs w:val="32"/>
          <w:highlight w:val="none"/>
          <w:lang w:val="en-US" w:eastAsia="zh-CN"/>
        </w:rPr>
        <w:t>、</w:t>
      </w:r>
      <w:r>
        <w:rPr>
          <w:rFonts w:hint="eastAsia" w:ascii="宋体" w:hAnsi="宋体" w:eastAsia="宋体" w:cs="Times New Roman"/>
          <w:b/>
          <w:color w:val="auto"/>
          <w:sz w:val="32"/>
          <w:szCs w:val="32"/>
          <w:highlight w:val="none"/>
        </w:rPr>
        <w:t>投标人业绩证明材料</w:t>
      </w:r>
    </w:p>
    <w:p w14:paraId="4C092DBC">
      <w:pPr>
        <w:keepNext/>
        <w:keepLines/>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投标人业绩情况一览表</w:t>
      </w:r>
    </w:p>
    <w:tbl>
      <w:tblPr>
        <w:tblStyle w:val="18"/>
        <w:tblW w:w="498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68"/>
        <w:gridCol w:w="1984"/>
        <w:gridCol w:w="1620"/>
        <w:gridCol w:w="2092"/>
        <w:gridCol w:w="1764"/>
        <w:gridCol w:w="1300"/>
      </w:tblGrid>
      <w:tr w14:paraId="0A70D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3" w:type="pct"/>
            <w:tcBorders>
              <w:top w:val="single" w:color="auto" w:sz="4" w:space="0"/>
              <w:left w:val="single" w:color="auto" w:sz="4" w:space="0"/>
              <w:bottom w:val="single" w:color="auto" w:sz="4" w:space="0"/>
              <w:right w:val="single" w:color="auto" w:sz="4" w:space="0"/>
            </w:tcBorders>
            <w:shd w:val="clear" w:color="auto" w:fill="D7D7D7"/>
            <w:vAlign w:val="center"/>
          </w:tcPr>
          <w:p w14:paraId="25E3000F">
            <w:pPr>
              <w:keepNext/>
              <w:keepLines/>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序号</w:t>
            </w:r>
          </w:p>
        </w:tc>
        <w:tc>
          <w:tcPr>
            <w:tcW w:w="1009" w:type="pct"/>
            <w:tcBorders>
              <w:top w:val="single" w:color="auto" w:sz="4" w:space="0"/>
              <w:left w:val="single" w:color="auto" w:sz="4" w:space="0"/>
              <w:bottom w:val="single" w:color="auto" w:sz="4" w:space="0"/>
              <w:right w:val="single" w:color="auto" w:sz="4" w:space="0"/>
            </w:tcBorders>
            <w:shd w:val="clear" w:color="auto" w:fill="D7D7D7"/>
            <w:vAlign w:val="center"/>
          </w:tcPr>
          <w:p w14:paraId="2C255D01">
            <w:pPr>
              <w:keepNext/>
              <w:keepLines/>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采购人名称</w:t>
            </w:r>
          </w:p>
        </w:tc>
        <w:tc>
          <w:tcPr>
            <w:tcW w:w="824" w:type="pct"/>
            <w:tcBorders>
              <w:top w:val="single" w:color="auto" w:sz="4" w:space="0"/>
              <w:left w:val="single" w:color="auto" w:sz="4" w:space="0"/>
              <w:bottom w:val="single" w:color="auto" w:sz="4" w:space="0"/>
              <w:right w:val="single" w:color="auto" w:sz="4" w:space="0"/>
            </w:tcBorders>
            <w:shd w:val="clear" w:color="auto" w:fill="D7D7D7"/>
            <w:vAlign w:val="center"/>
          </w:tcPr>
          <w:p w14:paraId="5FE038EA">
            <w:pPr>
              <w:keepNext/>
              <w:keepLines/>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合同名称</w:t>
            </w:r>
          </w:p>
        </w:tc>
        <w:tc>
          <w:tcPr>
            <w:tcW w:w="1064" w:type="pct"/>
            <w:tcBorders>
              <w:top w:val="single" w:color="auto" w:sz="4" w:space="0"/>
              <w:left w:val="single" w:color="auto" w:sz="4" w:space="0"/>
              <w:bottom w:val="single" w:color="auto" w:sz="4" w:space="0"/>
              <w:right w:val="single" w:color="auto" w:sz="4" w:space="0"/>
            </w:tcBorders>
            <w:shd w:val="clear" w:color="auto" w:fill="D7D7D7"/>
            <w:vAlign w:val="center"/>
          </w:tcPr>
          <w:p w14:paraId="3DAF9CEE">
            <w:pPr>
              <w:keepNext/>
              <w:keepLines/>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合同内容或概况</w:t>
            </w:r>
          </w:p>
        </w:tc>
        <w:tc>
          <w:tcPr>
            <w:tcW w:w="897" w:type="pct"/>
            <w:tcBorders>
              <w:top w:val="single" w:color="auto" w:sz="4" w:space="0"/>
              <w:left w:val="single" w:color="auto" w:sz="4" w:space="0"/>
              <w:bottom w:val="single" w:color="auto" w:sz="4" w:space="0"/>
              <w:right w:val="single" w:color="auto" w:sz="4" w:space="0"/>
            </w:tcBorders>
            <w:shd w:val="clear" w:color="auto" w:fill="D7D7D7"/>
            <w:vAlign w:val="center"/>
          </w:tcPr>
          <w:p w14:paraId="72D5F02C">
            <w:pPr>
              <w:keepNext/>
              <w:keepLines/>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合同签订时间</w:t>
            </w:r>
          </w:p>
        </w:tc>
        <w:tc>
          <w:tcPr>
            <w:tcW w:w="661" w:type="pct"/>
            <w:tcBorders>
              <w:top w:val="single" w:color="auto" w:sz="4" w:space="0"/>
              <w:left w:val="single" w:color="auto" w:sz="4" w:space="0"/>
              <w:bottom w:val="single" w:color="auto" w:sz="4" w:space="0"/>
              <w:right w:val="single" w:color="auto" w:sz="4" w:space="0"/>
            </w:tcBorders>
            <w:shd w:val="clear" w:color="auto" w:fill="D7D7D7"/>
            <w:vAlign w:val="center"/>
          </w:tcPr>
          <w:p w14:paraId="17F2CCE5">
            <w:pPr>
              <w:keepNext/>
              <w:keepLines/>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备注</w:t>
            </w:r>
          </w:p>
        </w:tc>
      </w:tr>
      <w:tr w14:paraId="0B9D8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0D0F970C">
            <w:pPr>
              <w:pStyle w:val="5"/>
              <w:keepNext/>
              <w:keepLines/>
              <w:spacing w:line="360" w:lineRule="auto"/>
              <w:ind w:firstLine="0"/>
              <w:jc w:val="center"/>
              <w:rPr>
                <w:rFonts w:ascii="宋体" w:hAnsi="宋体"/>
                <w:color w:val="auto"/>
                <w:szCs w:val="21"/>
                <w:highlight w:val="none"/>
              </w:rPr>
            </w:pPr>
            <w:r>
              <w:rPr>
                <w:rFonts w:hint="eastAsia" w:ascii="宋体" w:hAnsi="宋体"/>
                <w:color w:val="auto"/>
                <w:szCs w:val="21"/>
                <w:highlight w:val="none"/>
              </w:rPr>
              <w:t>…</w:t>
            </w:r>
          </w:p>
        </w:tc>
        <w:tc>
          <w:tcPr>
            <w:tcW w:w="1009" w:type="pct"/>
            <w:tcBorders>
              <w:top w:val="single" w:color="auto" w:sz="4" w:space="0"/>
              <w:left w:val="single" w:color="auto" w:sz="4" w:space="0"/>
              <w:bottom w:val="single" w:color="auto" w:sz="4" w:space="0"/>
              <w:right w:val="single" w:color="auto" w:sz="4" w:space="0"/>
            </w:tcBorders>
            <w:vAlign w:val="center"/>
          </w:tcPr>
          <w:p w14:paraId="226C6A1B">
            <w:pPr>
              <w:pStyle w:val="5"/>
              <w:keepNext/>
              <w:keepLines/>
              <w:spacing w:line="360" w:lineRule="auto"/>
              <w:ind w:firstLine="0"/>
              <w:jc w:val="center"/>
              <w:rPr>
                <w:rFonts w:ascii="宋体" w:hAnsi="宋体"/>
                <w:color w:val="auto"/>
                <w:szCs w:val="21"/>
                <w:highlight w:val="none"/>
              </w:rPr>
            </w:pPr>
            <w:r>
              <w:rPr>
                <w:rFonts w:hint="eastAsia" w:ascii="宋体" w:hAnsi="宋体"/>
                <w:color w:val="auto"/>
                <w:szCs w:val="21"/>
                <w:highlight w:val="none"/>
              </w:rPr>
              <w:t>……</w:t>
            </w:r>
          </w:p>
        </w:tc>
        <w:tc>
          <w:tcPr>
            <w:tcW w:w="824" w:type="pct"/>
            <w:tcBorders>
              <w:top w:val="single" w:color="auto" w:sz="4" w:space="0"/>
              <w:left w:val="single" w:color="auto" w:sz="4" w:space="0"/>
              <w:bottom w:val="single" w:color="auto" w:sz="4" w:space="0"/>
              <w:right w:val="single" w:color="auto" w:sz="4" w:space="0"/>
            </w:tcBorders>
            <w:vAlign w:val="center"/>
          </w:tcPr>
          <w:p w14:paraId="4380E1C4">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064" w:type="pct"/>
            <w:tcBorders>
              <w:top w:val="single" w:color="auto" w:sz="4" w:space="0"/>
              <w:left w:val="single" w:color="auto" w:sz="4" w:space="0"/>
              <w:bottom w:val="single" w:color="auto" w:sz="4" w:space="0"/>
              <w:right w:val="single" w:color="auto" w:sz="4" w:space="0"/>
            </w:tcBorders>
            <w:vAlign w:val="center"/>
          </w:tcPr>
          <w:p w14:paraId="21C96405">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897" w:type="pct"/>
            <w:tcBorders>
              <w:top w:val="single" w:color="auto" w:sz="4" w:space="0"/>
              <w:left w:val="single" w:color="auto" w:sz="4" w:space="0"/>
              <w:bottom w:val="single" w:color="auto" w:sz="4" w:space="0"/>
              <w:right w:val="single" w:color="auto" w:sz="4" w:space="0"/>
            </w:tcBorders>
            <w:vAlign w:val="center"/>
          </w:tcPr>
          <w:p w14:paraId="167463FE">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661" w:type="pct"/>
            <w:tcBorders>
              <w:top w:val="single" w:color="auto" w:sz="4" w:space="0"/>
              <w:left w:val="single" w:color="auto" w:sz="4" w:space="0"/>
              <w:bottom w:val="single" w:color="auto" w:sz="4" w:space="0"/>
              <w:right w:val="single" w:color="auto" w:sz="4" w:space="0"/>
            </w:tcBorders>
            <w:vAlign w:val="center"/>
          </w:tcPr>
          <w:p w14:paraId="081D33FC">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r>
      <w:tr w14:paraId="3A24D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3" w:type="pct"/>
            <w:tcBorders>
              <w:top w:val="single" w:color="auto" w:sz="4" w:space="0"/>
              <w:left w:val="single" w:color="auto" w:sz="4" w:space="0"/>
              <w:bottom w:val="single" w:color="auto" w:sz="4" w:space="0"/>
              <w:right w:val="single" w:color="auto" w:sz="4" w:space="0"/>
            </w:tcBorders>
            <w:vAlign w:val="center"/>
          </w:tcPr>
          <w:p w14:paraId="240C9C98">
            <w:pPr>
              <w:pStyle w:val="5"/>
              <w:keepNext/>
              <w:keepLines/>
              <w:spacing w:line="360" w:lineRule="auto"/>
              <w:ind w:firstLine="0"/>
              <w:jc w:val="center"/>
              <w:rPr>
                <w:rFonts w:ascii="宋体" w:hAnsi="宋体"/>
                <w:color w:val="auto"/>
                <w:szCs w:val="21"/>
                <w:highlight w:val="none"/>
              </w:rPr>
            </w:pPr>
            <w:r>
              <w:rPr>
                <w:rFonts w:hint="eastAsia" w:ascii="宋体" w:hAnsi="宋体"/>
                <w:color w:val="auto"/>
                <w:szCs w:val="21"/>
                <w:highlight w:val="none"/>
              </w:rPr>
              <w:t>…</w:t>
            </w:r>
          </w:p>
        </w:tc>
        <w:tc>
          <w:tcPr>
            <w:tcW w:w="1009" w:type="pct"/>
            <w:tcBorders>
              <w:top w:val="single" w:color="auto" w:sz="4" w:space="0"/>
              <w:left w:val="single" w:color="auto" w:sz="4" w:space="0"/>
              <w:bottom w:val="single" w:color="auto" w:sz="4" w:space="0"/>
              <w:right w:val="single" w:color="auto" w:sz="4" w:space="0"/>
            </w:tcBorders>
            <w:vAlign w:val="center"/>
          </w:tcPr>
          <w:p w14:paraId="74D0C709">
            <w:pPr>
              <w:pStyle w:val="5"/>
              <w:keepNext/>
              <w:keepLines/>
              <w:spacing w:line="360" w:lineRule="auto"/>
              <w:ind w:firstLine="0"/>
              <w:jc w:val="center"/>
              <w:rPr>
                <w:rFonts w:ascii="宋体" w:hAnsi="宋体"/>
                <w:color w:val="auto"/>
                <w:szCs w:val="21"/>
                <w:highlight w:val="none"/>
              </w:rPr>
            </w:pPr>
            <w:r>
              <w:rPr>
                <w:rFonts w:hint="eastAsia" w:ascii="宋体" w:hAnsi="宋体"/>
                <w:color w:val="auto"/>
                <w:szCs w:val="21"/>
                <w:highlight w:val="none"/>
              </w:rPr>
              <w:t>……</w:t>
            </w:r>
          </w:p>
        </w:tc>
        <w:tc>
          <w:tcPr>
            <w:tcW w:w="824" w:type="pct"/>
            <w:tcBorders>
              <w:top w:val="single" w:color="auto" w:sz="4" w:space="0"/>
              <w:left w:val="single" w:color="auto" w:sz="4" w:space="0"/>
              <w:bottom w:val="single" w:color="auto" w:sz="4" w:space="0"/>
              <w:right w:val="single" w:color="auto" w:sz="4" w:space="0"/>
            </w:tcBorders>
            <w:vAlign w:val="center"/>
          </w:tcPr>
          <w:p w14:paraId="1ABA13CA">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064" w:type="pct"/>
            <w:tcBorders>
              <w:top w:val="single" w:color="auto" w:sz="4" w:space="0"/>
              <w:left w:val="single" w:color="auto" w:sz="4" w:space="0"/>
              <w:bottom w:val="single" w:color="auto" w:sz="4" w:space="0"/>
              <w:right w:val="single" w:color="auto" w:sz="4" w:space="0"/>
            </w:tcBorders>
            <w:vAlign w:val="center"/>
          </w:tcPr>
          <w:p w14:paraId="55A8880A">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897" w:type="pct"/>
            <w:tcBorders>
              <w:top w:val="single" w:color="auto" w:sz="4" w:space="0"/>
              <w:left w:val="single" w:color="auto" w:sz="4" w:space="0"/>
              <w:bottom w:val="single" w:color="auto" w:sz="4" w:space="0"/>
              <w:right w:val="single" w:color="auto" w:sz="4" w:space="0"/>
            </w:tcBorders>
            <w:vAlign w:val="center"/>
          </w:tcPr>
          <w:p w14:paraId="3B759BDE">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661" w:type="pct"/>
            <w:tcBorders>
              <w:top w:val="single" w:color="auto" w:sz="4" w:space="0"/>
              <w:left w:val="single" w:color="auto" w:sz="4" w:space="0"/>
              <w:bottom w:val="single" w:color="auto" w:sz="4" w:space="0"/>
              <w:right w:val="single" w:color="auto" w:sz="4" w:space="0"/>
            </w:tcBorders>
            <w:vAlign w:val="center"/>
          </w:tcPr>
          <w:p w14:paraId="79005FF2">
            <w:pPr>
              <w:keepNext/>
              <w:keepLines/>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r>
    </w:tbl>
    <w:p w14:paraId="1CE40DCC">
      <w:pPr>
        <w:pStyle w:val="6"/>
        <w:keepNext/>
        <w:keepLines/>
        <w:spacing w:before="0" w:after="0" w:line="360" w:lineRule="auto"/>
        <w:contextualSpacing/>
        <w:rPr>
          <w:rFonts w:ascii="宋体" w:hAnsi="宋体" w:eastAsia="宋体" w:cs="宋体"/>
          <w:color w:val="auto"/>
          <w:szCs w:val="21"/>
          <w:highlight w:val="none"/>
        </w:rPr>
      </w:pPr>
    </w:p>
    <w:p w14:paraId="0B9CA533">
      <w:pPr>
        <w:pStyle w:val="6"/>
        <w:keepNext/>
        <w:keepLines/>
        <w:spacing w:before="0" w:after="0" w:line="360" w:lineRule="auto"/>
        <w:contextualSpacing/>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注：</w:t>
      </w:r>
    </w:p>
    <w:p w14:paraId="032794B5">
      <w:pPr>
        <w:pStyle w:val="6"/>
        <w:keepNext/>
        <w:keepLines/>
        <w:spacing w:before="0" w:after="0" w:line="360" w:lineRule="auto"/>
        <w:contextualSpacing/>
        <w:rPr>
          <w:rFonts w:ascii="仿宋" w:hAnsi="仿宋" w:eastAsia="仿宋" w:cs="仿宋"/>
          <w:b/>
          <w:bCs/>
          <w:color w:val="auto"/>
          <w:szCs w:val="21"/>
          <w:highlight w:val="none"/>
        </w:rPr>
      </w:pPr>
      <w:r>
        <w:rPr>
          <w:rFonts w:hint="eastAsia" w:ascii="仿宋" w:hAnsi="仿宋" w:eastAsia="仿宋" w:cs="仿宋"/>
          <w:b/>
          <w:bCs/>
          <w:color w:val="auto"/>
          <w:szCs w:val="21"/>
          <w:highlight w:val="none"/>
        </w:rPr>
        <w:t>（1）以上格式仅供参考，投标人可根据采购文件要求及自身情况修改；</w:t>
      </w:r>
    </w:p>
    <w:p w14:paraId="1D63C9C7">
      <w:pPr>
        <w:pStyle w:val="6"/>
        <w:keepNext/>
        <w:keepLines/>
        <w:spacing w:before="0" w:after="0" w:line="360" w:lineRule="auto"/>
        <w:contextualSpacing/>
        <w:rPr>
          <w:rFonts w:ascii="仿宋" w:hAnsi="仿宋" w:eastAsia="仿宋" w:cs="仿宋"/>
          <w:b/>
          <w:bCs/>
          <w:color w:val="auto"/>
          <w:szCs w:val="21"/>
          <w:highlight w:val="none"/>
        </w:rPr>
      </w:pPr>
      <w:r>
        <w:rPr>
          <w:rFonts w:hint="eastAsia" w:ascii="仿宋" w:hAnsi="仿宋" w:eastAsia="仿宋" w:cs="仿宋"/>
          <w:b/>
          <w:bCs/>
          <w:color w:val="auto"/>
          <w:szCs w:val="21"/>
          <w:highlight w:val="none"/>
        </w:rPr>
        <w:t>（2）投标人根据《第四章 评标办法及评分标准》的具体要求附业绩证明材料。</w:t>
      </w:r>
    </w:p>
    <w:p w14:paraId="62E53E13">
      <w:pPr>
        <w:pStyle w:val="6"/>
        <w:keepNext/>
        <w:keepLines/>
        <w:spacing w:before="0" w:after="0" w:line="360" w:lineRule="auto"/>
        <w:contextualSpacing/>
        <w:jc w:val="left"/>
        <w:rPr>
          <w:rFonts w:ascii="宋体" w:hAnsi="宋体" w:eastAsia="宋体" w:cs="宋体"/>
          <w:color w:val="auto"/>
          <w:szCs w:val="21"/>
          <w:highlight w:val="none"/>
        </w:rPr>
      </w:pPr>
    </w:p>
    <w:p w14:paraId="46BF99E9">
      <w:pPr>
        <w:keepNext/>
        <w:keepLines/>
        <w:snapToGrid w:val="0"/>
        <w:spacing w:line="360" w:lineRule="auto"/>
        <w:ind w:firstLine="5355" w:firstLineChars="2550"/>
        <w:rPr>
          <w:rFonts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lang w:val="zh-CN"/>
        </w:rPr>
        <w:t>投标人名称（电子签章）：</w:t>
      </w:r>
    </w:p>
    <w:p w14:paraId="1F4996EA">
      <w:pPr>
        <w:keepNext/>
        <w:keepLines/>
        <w:snapToGrid w:val="0"/>
        <w:spacing w:line="360" w:lineRule="auto"/>
        <w:ind w:firstLine="4515" w:firstLineChars="2150"/>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12AB6252">
      <w:pPr>
        <w:snapToGrid w:val="0"/>
        <w:spacing w:before="165" w:beforeLines="50" w:after="50"/>
        <w:ind w:left="142"/>
        <w:jc w:val="left"/>
        <w:rPr>
          <w:rFonts w:hint="eastAsia" w:ascii="宋体" w:hAnsi="宋体"/>
          <w:b/>
          <w:color w:val="auto"/>
          <w:sz w:val="32"/>
          <w:szCs w:val="32"/>
          <w:highlight w:val="none"/>
        </w:rPr>
      </w:pPr>
      <w:r>
        <w:rPr>
          <w:rFonts w:hint="eastAsia" w:ascii="宋体" w:hAnsi="宋体"/>
          <w:b/>
          <w:color w:val="auto"/>
          <w:sz w:val="32"/>
          <w:szCs w:val="32"/>
          <w:highlight w:val="none"/>
          <w:lang w:eastAsia="zh-CN"/>
        </w:rPr>
        <w:t>六</w:t>
      </w:r>
      <w:r>
        <w:rPr>
          <w:rFonts w:hint="eastAsia" w:ascii="宋体" w:hAnsi="宋体"/>
          <w:b/>
          <w:color w:val="auto"/>
          <w:sz w:val="32"/>
          <w:szCs w:val="32"/>
          <w:highlight w:val="none"/>
        </w:rPr>
        <w:t>、投标人对项目的合理化建议和改进措施</w:t>
      </w:r>
    </w:p>
    <w:p w14:paraId="628F1BBF">
      <w:pPr>
        <w:spacing w:line="360" w:lineRule="auto"/>
        <w:ind w:firstLine="4048" w:firstLineChars="1687"/>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（格式自拟）</w:t>
      </w:r>
    </w:p>
    <w:p w14:paraId="08704751">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6E2E9975">
      <w:pPr>
        <w:snapToGrid w:val="0"/>
        <w:spacing w:line="360" w:lineRule="auto"/>
        <w:ind w:firstLine="4935" w:firstLineChars="2350"/>
        <w:rPr>
          <w:rFonts w:hint="eastAsia" w:hAnsi="宋体"/>
          <w:color w:val="auto"/>
          <w:szCs w:val="21"/>
          <w:highlight w:val="none"/>
        </w:rPr>
      </w:pPr>
    </w:p>
    <w:p w14:paraId="4245D04D">
      <w:pPr>
        <w:snapToGrid w:val="0"/>
        <w:spacing w:line="360" w:lineRule="auto"/>
        <w:ind w:firstLine="4935" w:firstLineChars="2350"/>
        <w:rPr>
          <w:rFonts w:hint="eastAsia" w:hAnsi="宋体"/>
          <w:color w:val="auto"/>
          <w:szCs w:val="21"/>
          <w:highlight w:val="none"/>
        </w:rPr>
      </w:pPr>
    </w:p>
    <w:p w14:paraId="08A5D304">
      <w:pPr>
        <w:snapToGrid w:val="0"/>
        <w:spacing w:line="360" w:lineRule="auto"/>
        <w:ind w:firstLine="4935" w:firstLineChars="2350"/>
        <w:rPr>
          <w:rFonts w:hint="eastAsia" w:hAnsi="宋体"/>
          <w:color w:val="auto"/>
          <w:szCs w:val="21"/>
          <w:highlight w:val="none"/>
        </w:rPr>
      </w:pPr>
    </w:p>
    <w:p w14:paraId="7869633B">
      <w:pPr>
        <w:snapToGrid w:val="0"/>
        <w:spacing w:line="360" w:lineRule="auto"/>
        <w:ind w:firstLine="4935" w:firstLineChars="2350"/>
        <w:rPr>
          <w:rFonts w:hint="eastAsia" w:ascii="方正仿宋_GB2312" w:hAnsi="仿宋" w:eastAsia="方正仿宋_GB2312" w:cs="方正仿宋_GB2312"/>
          <w:color w:val="auto"/>
          <w:kern w:val="0"/>
          <w:sz w:val="24"/>
          <w:highlight w:val="none"/>
        </w:rPr>
      </w:pPr>
      <w:r>
        <w:rPr>
          <w:rFonts w:hAnsi="宋体"/>
          <w:color w:val="auto"/>
          <w:szCs w:val="21"/>
          <w:highlight w:val="none"/>
        </w:rPr>
        <w:t xml:space="preserve">  </w:t>
      </w:r>
      <w:r>
        <w:rPr>
          <w:rFonts w:hint="eastAsia" w:ascii="方正仿宋_GB2312" w:hAnsi="仿宋" w:eastAsia="方正仿宋_GB2312" w:cs="方正仿宋_GB2312"/>
          <w:color w:val="auto"/>
          <w:kern w:val="0"/>
          <w:sz w:val="24"/>
          <w:highlight w:val="none"/>
          <w:lang w:val="zh-CN"/>
        </w:rPr>
        <w:t>投标人名称(电子签章)：</w:t>
      </w:r>
    </w:p>
    <w:p w14:paraId="7DB7AA47">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02982E38">
      <w:pPr>
        <w:autoSpaceDE w:val="0"/>
        <w:autoSpaceDN w:val="0"/>
        <w:spacing w:line="360" w:lineRule="auto"/>
        <w:ind w:firstLine="120"/>
        <w:rPr>
          <w:rFonts w:hint="eastAsia" w:ascii="方正仿宋_GB2312" w:hAnsi="仿宋" w:eastAsia="方正仿宋_GB2312" w:cs="方正仿宋_GB2312"/>
          <w:color w:val="auto"/>
          <w:sz w:val="24"/>
          <w:highlight w:val="none"/>
        </w:rPr>
      </w:pPr>
    </w:p>
    <w:p w14:paraId="4F64C583">
      <w:pPr>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lang w:eastAsia="zh-CN"/>
        </w:rPr>
        <w:t>七</w:t>
      </w:r>
      <w:r>
        <w:rPr>
          <w:rFonts w:hint="eastAsia" w:ascii="宋体" w:hAnsi="宋体"/>
          <w:b/>
          <w:color w:val="auto"/>
          <w:sz w:val="32"/>
          <w:szCs w:val="32"/>
          <w:highlight w:val="none"/>
        </w:rPr>
        <w:t>、认为需要的其他技术文件或说明</w:t>
      </w:r>
    </w:p>
    <w:p w14:paraId="32393D3E">
      <w:pPr>
        <w:spacing w:line="360" w:lineRule="auto"/>
        <w:jc w:val="center"/>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sz w:val="24"/>
          <w:highlight w:val="none"/>
        </w:rPr>
        <w:t>（由投标人根据采购需求自行编制）</w:t>
      </w:r>
    </w:p>
    <w:p w14:paraId="0B39DD26">
      <w:pPr>
        <w:spacing w:line="360" w:lineRule="auto"/>
        <w:jc w:val="center"/>
        <w:rPr>
          <w:rFonts w:hint="eastAsia" w:ascii="方正仿宋_GB2312" w:hAnsi="仿宋" w:eastAsia="方正仿宋_GB2312" w:cs="方正仿宋_GB2312"/>
          <w:color w:val="auto"/>
          <w:sz w:val="24"/>
          <w:highlight w:val="none"/>
        </w:rPr>
      </w:pPr>
    </w:p>
    <w:p w14:paraId="6B6E89A7">
      <w:pPr>
        <w:autoSpaceDE w:val="0"/>
        <w:autoSpaceDN w:val="0"/>
        <w:spacing w:line="360" w:lineRule="auto"/>
        <w:ind w:firstLine="4800" w:firstLineChars="2000"/>
        <w:rPr>
          <w:rFonts w:hint="eastAsia" w:ascii="方正仿宋_GB2312" w:hAnsi="仿宋" w:eastAsia="方正仿宋_GB2312" w:cs="方正仿宋_GB2312"/>
          <w:color w:val="auto"/>
          <w:sz w:val="24"/>
          <w:highlight w:val="none"/>
        </w:rPr>
      </w:pPr>
      <w:r>
        <w:rPr>
          <w:rFonts w:hint="eastAsia" w:ascii="方正仿宋_GB2312" w:hAnsi="仿宋" w:eastAsia="方正仿宋_GB2312" w:cs="方正仿宋_GB2312"/>
          <w:color w:val="auto"/>
          <w:kern w:val="0"/>
          <w:sz w:val="24"/>
          <w:highlight w:val="none"/>
        </w:rPr>
        <w:t>投标人名称（电子</w:t>
      </w:r>
      <w:r>
        <w:rPr>
          <w:rFonts w:hint="eastAsia" w:ascii="方正仿宋_GB2312" w:hAnsi="仿宋" w:eastAsia="方正仿宋_GB2312" w:cs="方正仿宋_GB2312"/>
          <w:color w:val="auto"/>
          <w:kern w:val="0"/>
          <w:sz w:val="24"/>
          <w:highlight w:val="none"/>
          <w:lang w:val="zh-CN"/>
        </w:rPr>
        <w:t>签章</w:t>
      </w:r>
      <w:r>
        <w:rPr>
          <w:rFonts w:hint="eastAsia" w:ascii="方正仿宋_GB2312" w:hAnsi="仿宋" w:eastAsia="方正仿宋_GB2312" w:cs="方正仿宋_GB2312"/>
          <w:color w:val="auto"/>
          <w:kern w:val="0"/>
          <w:sz w:val="24"/>
          <w:highlight w:val="none"/>
        </w:rPr>
        <w:t xml:space="preserve">）：                       </w:t>
      </w:r>
    </w:p>
    <w:p w14:paraId="092D3549">
      <w:pPr>
        <w:autoSpaceDE w:val="0"/>
        <w:autoSpaceDN w:val="0"/>
        <w:spacing w:line="360" w:lineRule="auto"/>
        <w:rPr>
          <w:rFonts w:hint="eastAsia" w:ascii="方正仿宋_GB2312" w:hAnsi="仿宋" w:eastAsia="方正仿宋_GB2312" w:cs="方正仿宋_GB2312"/>
          <w:b/>
          <w:bCs/>
          <w:color w:val="auto"/>
          <w:sz w:val="30"/>
          <w:szCs w:val="30"/>
          <w:highlight w:val="none"/>
        </w:rPr>
      </w:pP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日期：  年  月   日</w:t>
      </w:r>
    </w:p>
    <w:p w14:paraId="02374EA1">
      <w:pPr>
        <w:widowControl/>
        <w:jc w:val="left"/>
        <w:rPr>
          <w:rFonts w:hint="eastAsia" w:ascii="宋体" w:hAnsi="宋体"/>
          <w:b/>
          <w:bCs/>
          <w:color w:val="auto"/>
          <w:sz w:val="24"/>
          <w:highlight w:val="none"/>
        </w:rPr>
        <w:sectPr>
          <w:pgSz w:w="11906" w:h="16838"/>
          <w:pgMar w:top="1134" w:right="1134" w:bottom="1134" w:left="1134" w:header="720" w:footer="720" w:gutter="0"/>
          <w:cols w:space="720" w:num="1"/>
          <w:docGrid w:type="lines" w:linePitch="331" w:charSpace="0"/>
        </w:sectPr>
      </w:pPr>
    </w:p>
    <w:p w14:paraId="576410FC">
      <w:pPr>
        <w:snapToGrid w:val="0"/>
        <w:spacing w:before="120" w:beforeLines="50" w:after="50"/>
        <w:ind w:left="142"/>
        <w:jc w:val="left"/>
        <w:rPr>
          <w:rFonts w:hint="default"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eastAsia="zh-CN"/>
        </w:rPr>
        <w:t>分标</w:t>
      </w:r>
      <w:r>
        <w:rPr>
          <w:rFonts w:hint="eastAsia" w:ascii="宋体" w:hAnsi="宋体" w:cs="宋体"/>
          <w:b/>
          <w:color w:val="auto"/>
          <w:sz w:val="36"/>
          <w:szCs w:val="36"/>
          <w:highlight w:val="none"/>
          <w:lang w:val="en-US" w:eastAsia="zh-CN"/>
        </w:rPr>
        <w:t>2：</w:t>
      </w:r>
    </w:p>
    <w:p w14:paraId="1A398E34">
      <w:pPr>
        <w:snapToGrid w:val="0"/>
        <w:spacing w:before="120" w:beforeLines="50" w:after="50"/>
        <w:ind w:left="142"/>
        <w:jc w:val="center"/>
        <w:rPr>
          <w:rFonts w:ascii="宋体" w:hAnsi="宋体" w:cs="宋体"/>
          <w:b/>
          <w:color w:val="auto"/>
          <w:sz w:val="24"/>
          <w:highlight w:val="none"/>
        </w:rPr>
      </w:pPr>
      <w:r>
        <w:rPr>
          <w:rFonts w:hint="eastAsia" w:ascii="宋体" w:hAnsi="宋体" w:cs="宋体"/>
          <w:b/>
          <w:color w:val="auto"/>
          <w:sz w:val="24"/>
          <w:highlight w:val="none"/>
        </w:rPr>
        <w:t>技术文件目录</w:t>
      </w:r>
    </w:p>
    <w:p w14:paraId="7FF1B2A1">
      <w:pPr>
        <w:pStyle w:val="26"/>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一、技术需求偏离表……………………………………………………………（页码）</w:t>
      </w:r>
    </w:p>
    <w:p w14:paraId="647EF70E">
      <w:pPr>
        <w:pStyle w:val="26"/>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二、项目实施方案………………………………………………………………（页码）</w:t>
      </w:r>
    </w:p>
    <w:p w14:paraId="77B5B7B7">
      <w:pPr>
        <w:pStyle w:val="26"/>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三、对本项目总体要求的理解（如有要求）…………………………………（页码）</w:t>
      </w:r>
    </w:p>
    <w:p w14:paraId="6B63A130">
      <w:pPr>
        <w:pStyle w:val="26"/>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zh-CN"/>
        </w:rPr>
        <w:t>产品出产标准及质量检测报告……………………</w:t>
      </w:r>
      <w:r>
        <w:rPr>
          <w:rFonts w:hint="eastAsia" w:ascii="仿宋" w:hAnsi="仿宋" w:eastAsia="仿宋" w:cs="仿宋"/>
          <w:color w:val="auto"/>
          <w:highlight w:val="none"/>
        </w:rPr>
        <w:t>………………………（页码）</w:t>
      </w:r>
    </w:p>
    <w:p w14:paraId="3C9C79A7">
      <w:pPr>
        <w:pStyle w:val="26"/>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五、优惠条件及特殊承诺（如有要求）</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53ED06ED">
      <w:pPr>
        <w:pStyle w:val="26"/>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六、对项目的合理化建议和改进措施</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0523AE94">
      <w:pPr>
        <w:pStyle w:val="26"/>
        <w:shd w:val="clear" w:color="auto" w:fill="auto"/>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七、认为需要的其他技术文件或说明（如有）</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33143EEB">
      <w:pPr>
        <w:shd w:val="clear" w:color="auto" w:fill="auto"/>
        <w:spacing w:line="360" w:lineRule="auto"/>
        <w:rPr>
          <w:rFonts w:hint="eastAsia" w:ascii="宋体" w:hAnsi="宋体" w:eastAsia="宋体" w:cs="宋体"/>
          <w:b/>
          <w:bCs/>
          <w:color w:val="auto"/>
          <w:sz w:val="24"/>
          <w:highlight w:val="none"/>
        </w:rPr>
      </w:pPr>
      <w:r>
        <w:rPr>
          <w:rFonts w:hint="eastAsia" w:ascii="仿宋" w:hAnsi="仿宋" w:eastAsia="仿宋" w:cs="仿宋"/>
          <w:b/>
          <w:bCs/>
          <w:color w:val="auto"/>
          <w:sz w:val="24"/>
          <w:highlight w:val="none"/>
        </w:rPr>
        <w:t>注：以上目录是基本格式要求，各投标人可根据自身情况进一步向下增加内容或细化。</w:t>
      </w:r>
    </w:p>
    <w:p w14:paraId="15AB1D41">
      <w:pPr>
        <w:snapToGrid/>
        <w:spacing w:before="0" w:beforeLines="-2147483648" w:after="0"/>
        <w:ind w:left="0"/>
        <w:jc w:val="left"/>
        <w:rPr>
          <w:rFonts w:hint="eastAsia" w:ascii="宋体" w:hAnsi="宋体" w:cs="宋体"/>
          <w:b/>
          <w:color w:val="auto"/>
          <w:sz w:val="24"/>
          <w:highlight w:val="none"/>
          <w:lang w:eastAsia="zh-CN"/>
        </w:rPr>
      </w:pPr>
      <w:r>
        <w:rPr>
          <w:rFonts w:hint="eastAsia" w:ascii="宋体" w:hAnsi="宋体" w:cs="宋体"/>
          <w:b/>
          <w:color w:val="auto"/>
          <w:sz w:val="24"/>
          <w:highlight w:val="none"/>
          <w:lang w:eastAsia="zh-CN"/>
        </w:rPr>
        <w:br w:type="page"/>
      </w:r>
    </w:p>
    <w:p w14:paraId="38BAE7E4">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lang w:eastAsia="zh-CN"/>
        </w:rPr>
        <w:t>一、</w:t>
      </w:r>
      <w:r>
        <w:rPr>
          <w:rFonts w:hint="eastAsia" w:ascii="宋体" w:hAnsi="宋体" w:cs="宋体"/>
          <w:b/>
          <w:color w:val="auto"/>
          <w:sz w:val="24"/>
          <w:highlight w:val="none"/>
        </w:rPr>
        <w:t>技术条款偏离表格式</w:t>
      </w:r>
    </w:p>
    <w:p w14:paraId="2E90BC3F">
      <w:pPr>
        <w:snapToGrid w:val="0"/>
        <w:spacing w:before="165" w:beforeLines="50" w:after="50"/>
        <w:ind w:firstLine="602"/>
        <w:jc w:val="center"/>
        <w:rPr>
          <w:rFonts w:hint="default" w:ascii="Times New Roman" w:hAnsi="Times New Roman" w:eastAsia="宋体" w:cs="Times New Roman"/>
          <w:b/>
          <w:bCs/>
          <w:color w:val="auto"/>
          <w:sz w:val="30"/>
          <w:szCs w:val="30"/>
          <w:highlight w:val="none"/>
          <w:lang w:val="en-US" w:eastAsia="zh-CN"/>
        </w:rPr>
      </w:pPr>
      <w:r>
        <w:rPr>
          <w:rFonts w:hint="eastAsia" w:ascii="Times New Roman" w:hAnsi="Times New Roman" w:eastAsia="宋体" w:cs="Times New Roman"/>
          <w:b/>
          <w:bCs/>
          <w:color w:val="auto"/>
          <w:sz w:val="30"/>
          <w:szCs w:val="30"/>
          <w:highlight w:val="none"/>
        </w:rPr>
        <w:t>技术需求偏离表</w:t>
      </w:r>
    </w:p>
    <w:p w14:paraId="29F3B056">
      <w:pPr>
        <w:pStyle w:val="11"/>
        <w:shd w:val="clear" w:color="auto" w:fill="auto"/>
        <w:spacing w:line="600" w:lineRule="exact"/>
        <w:ind w:firstLine="480" w:firstLineChars="200"/>
        <w:rPr>
          <w:rFonts w:hint="eastAsia" w:ascii="宋体" w:hAnsi="宋体" w:eastAsia="宋体" w:cs="宋体"/>
          <w:color w:val="auto"/>
          <w:sz w:val="24"/>
          <w:szCs w:val="24"/>
          <w:highlight w:val="none"/>
        </w:rPr>
      </w:pPr>
    </w:p>
    <w:p w14:paraId="6391E087">
      <w:pPr>
        <w:pStyle w:val="11"/>
        <w:shd w:val="clear" w:color="auto" w:fill="auto"/>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请根据所投货物的实际技术参数，</w:t>
      </w:r>
      <w:r>
        <w:rPr>
          <w:rFonts w:hint="eastAsia" w:ascii="宋体" w:hAnsi="宋体" w:eastAsia="宋体" w:cs="宋体"/>
          <w:b/>
          <w:color w:val="auto"/>
          <w:sz w:val="28"/>
          <w:szCs w:val="28"/>
          <w:highlight w:val="none"/>
        </w:rPr>
        <w:t>逐条对应</w:t>
      </w:r>
      <w:r>
        <w:rPr>
          <w:rFonts w:hint="eastAsia" w:ascii="宋体" w:hAnsi="宋体" w:eastAsia="宋体" w:cs="宋体"/>
          <w:color w:val="auto"/>
          <w:sz w:val="24"/>
          <w:szCs w:val="24"/>
          <w:highlight w:val="none"/>
        </w:rPr>
        <w:t>本项目招标文件第二章“货物需求一览表”中的</w:t>
      </w:r>
      <w:r>
        <w:rPr>
          <w:rFonts w:hint="eastAsia" w:ascii="宋体" w:hAnsi="宋体" w:eastAsia="宋体" w:cs="宋体"/>
          <w:b/>
          <w:color w:val="auto"/>
          <w:sz w:val="28"/>
          <w:szCs w:val="28"/>
          <w:highlight w:val="none"/>
        </w:rPr>
        <w:t>采购清单及货物参数</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18"/>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1EDE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1F327A76">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0CDBE27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1407BDB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568618AA">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F36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0C95AFDF">
            <w:pPr>
              <w:widowControl/>
              <w:shd w:val="clear" w:color="auto" w:fill="auto"/>
              <w:jc w:val="left"/>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B9886B">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757F355">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35FEF13">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D489360">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35EE61A2">
            <w:pPr>
              <w:widowControl/>
              <w:shd w:val="clear" w:color="auto" w:fill="auto"/>
              <w:jc w:val="left"/>
              <w:rPr>
                <w:rFonts w:hint="eastAsia" w:ascii="宋体" w:hAnsi="宋体" w:eastAsia="宋体" w:cs="宋体"/>
                <w:color w:val="auto"/>
                <w:szCs w:val="21"/>
                <w:highlight w:val="none"/>
              </w:rPr>
            </w:pPr>
          </w:p>
        </w:tc>
      </w:tr>
      <w:tr w14:paraId="0C72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38F719C">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05C06C">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5D2C7FF">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56C6012">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0A91179">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F8795DE">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4218CD2">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6A20B2E7">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7675BD5">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A19D725">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3525293">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BA0A81E">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1902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D113008">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F26C0E">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8C4C129">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B5081B6">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8DD400F">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0CD212A">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EF9F188">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DB5BAF9">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9CF460C">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2516591">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0F8773C">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A839F96">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5646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D6053D3">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671BA1">
            <w:pPr>
              <w:shd w:val="clear" w:color="auto" w:fill="auto"/>
              <w:rPr>
                <w:rFonts w:hint="eastAsia" w:ascii="宋体" w:hAnsi="宋体" w:eastAsia="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C7ADE48">
            <w:pPr>
              <w:shd w:val="clear" w:color="auto" w:fill="auto"/>
              <w:rPr>
                <w:rFonts w:hint="eastAsia"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85D825A">
            <w:pPr>
              <w:shd w:val="clear" w:color="auto" w:fill="auto"/>
              <w:rPr>
                <w:rFonts w:hint="eastAsia" w:ascii="宋体" w:hAnsi="宋体" w:eastAsia="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22ACD585">
            <w:pPr>
              <w:shd w:val="clear" w:color="auto" w:fill="auto"/>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C173C0A">
            <w:pPr>
              <w:shd w:val="clear" w:color="auto" w:fill="auto"/>
              <w:rPr>
                <w:rFonts w:hint="eastAsia" w:ascii="宋体" w:hAnsi="宋体" w:eastAsia="宋体" w:cs="宋体"/>
                <w:color w:val="auto"/>
                <w:szCs w:val="21"/>
                <w:highlight w:val="none"/>
              </w:rPr>
            </w:pPr>
          </w:p>
        </w:tc>
      </w:tr>
      <w:tr w14:paraId="1541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07633068">
            <w:pPr>
              <w:shd w:val="clear" w:color="auto" w:fil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5CDAA237">
      <w:pPr>
        <w:pStyle w:val="11"/>
        <w:shd w:val="clear" w:color="auto" w:fill="auto"/>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08E4BDE">
      <w:pPr>
        <w:pStyle w:val="11"/>
        <w:shd w:val="clear" w:color="auto" w:fill="auto"/>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1.表格内容均需按要求填写并盖章，不得留空，</w:t>
      </w:r>
      <w:r>
        <w:rPr>
          <w:rFonts w:hint="eastAsia" w:ascii="宋体" w:hAnsi="宋体" w:eastAsia="宋体" w:cs="宋体"/>
          <w:bCs/>
          <w:color w:val="auto"/>
          <w:szCs w:val="21"/>
          <w:highlight w:val="none"/>
        </w:rPr>
        <w:t>否则按投标无效处理</w:t>
      </w:r>
      <w:r>
        <w:rPr>
          <w:rFonts w:hint="eastAsia" w:ascii="宋体" w:hAnsi="宋体" w:eastAsia="宋体" w:cs="宋体"/>
          <w:color w:val="auto"/>
          <w:szCs w:val="21"/>
          <w:highlight w:val="none"/>
        </w:rPr>
        <w:t>。</w:t>
      </w:r>
    </w:p>
    <w:p w14:paraId="6C3611BC">
      <w:pPr>
        <w:pStyle w:val="11"/>
        <w:shd w:val="clear" w:color="auto" w:fill="auto"/>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2.当投标文件的货物内容低于招标文件要求时，投标人应当如实写明“负偏离”，否则视为虚假应标。</w:t>
      </w:r>
    </w:p>
    <w:p w14:paraId="0BFC0CB8">
      <w:pPr>
        <w:pStyle w:val="11"/>
        <w:shd w:val="clear" w:color="auto" w:fill="auto"/>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szCs w:val="21"/>
          <w:highlight w:val="none"/>
        </w:rPr>
        <w:t>采购需求中带“▲”及“★”的条款，也要分别在本表“货物参数”、“所提供货物的内容”中标记。</w:t>
      </w:r>
    </w:p>
    <w:p w14:paraId="486EF495">
      <w:pPr>
        <w:shd w:val="clear" w:color="auto" w:fill="auto"/>
        <w:snapToGrid w:val="0"/>
        <w:spacing w:line="360" w:lineRule="auto"/>
        <w:ind w:firstLine="5640" w:firstLineChars="2350"/>
        <w:rPr>
          <w:rFonts w:hint="eastAsia" w:ascii="宋体" w:hAnsi="宋体" w:eastAsia="宋体" w:cs="宋体"/>
          <w:color w:val="auto"/>
          <w:kern w:val="0"/>
          <w:sz w:val="24"/>
          <w:highlight w:val="none"/>
          <w:lang w:val="zh-CN"/>
        </w:rPr>
      </w:pPr>
    </w:p>
    <w:p w14:paraId="72597477">
      <w:pPr>
        <w:shd w:val="clear" w:color="auto" w:fill="auto"/>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794EE18F">
      <w:pPr>
        <w:shd w:val="clear" w:color="auto" w:fill="auto"/>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42DC3D6">
      <w:pPr>
        <w:widowControl/>
        <w:jc w:val="left"/>
        <w:rPr>
          <w:rFonts w:hint="eastAsia" w:ascii="宋体" w:hAnsi="宋体"/>
          <w:color w:val="auto"/>
          <w:sz w:val="30"/>
          <w:szCs w:val="20"/>
          <w:highlight w:val="none"/>
        </w:rPr>
        <w:sectPr>
          <w:headerReference r:id="rId8" w:type="default"/>
          <w:footerReference r:id="rId9" w:type="default"/>
          <w:pgSz w:w="11906" w:h="16838"/>
          <w:pgMar w:top="1134" w:right="1134" w:bottom="1134" w:left="1134" w:header="720" w:footer="720" w:gutter="0"/>
          <w:cols w:space="720" w:num="1"/>
          <w:docGrid w:type="lines" w:linePitch="331" w:charSpace="0"/>
        </w:sectPr>
      </w:pPr>
    </w:p>
    <w:p w14:paraId="372B09F8">
      <w:pPr>
        <w:snapToGrid w:val="0"/>
        <w:spacing w:before="165" w:beforeLines="50" w:after="50"/>
        <w:ind w:firstLine="602"/>
        <w:jc w:val="center"/>
        <w:rPr>
          <w:rFonts w:hint="eastAsia"/>
          <w:b/>
          <w:bCs/>
          <w:color w:val="auto"/>
          <w:sz w:val="30"/>
          <w:szCs w:val="30"/>
          <w:highlight w:val="none"/>
        </w:rPr>
      </w:pPr>
      <w:r>
        <w:rPr>
          <w:rFonts w:hint="eastAsia"/>
          <w:b/>
          <w:bCs/>
          <w:color w:val="auto"/>
          <w:sz w:val="30"/>
          <w:szCs w:val="30"/>
          <w:highlight w:val="none"/>
        </w:rPr>
        <w:t>二、项目实施方案</w:t>
      </w:r>
    </w:p>
    <w:p w14:paraId="0E2749CA">
      <w:pPr>
        <w:autoSpaceDE w:val="0"/>
        <w:autoSpaceDN w:val="0"/>
        <w:spacing w:line="360" w:lineRule="auto"/>
        <w:ind w:firstLine="480"/>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251CDFF3">
      <w:pPr>
        <w:ind w:firstLine="482"/>
        <w:rPr>
          <w:rFonts w:hint="eastAsia" w:ascii="仿宋_GB2312" w:hAnsi="仿宋" w:eastAsia="仿宋_GB2312" w:cs="仿宋_GB2312"/>
          <w:b/>
          <w:bCs/>
          <w:color w:val="auto"/>
          <w:kern w:val="0"/>
          <w:sz w:val="24"/>
          <w:highlight w:val="none"/>
          <w:lang w:val="zh-CN"/>
        </w:rPr>
      </w:pPr>
    </w:p>
    <w:p w14:paraId="2AF04818">
      <w:pPr>
        <w:ind w:firstLine="482"/>
        <w:rPr>
          <w:rFonts w:hint="eastAsia" w:ascii="仿宋_GB2312" w:hAnsi="仿宋" w:eastAsia="仿宋_GB2312" w:cs="仿宋_GB2312"/>
          <w:b/>
          <w:bCs/>
          <w:color w:val="auto"/>
          <w:kern w:val="0"/>
          <w:sz w:val="24"/>
          <w:highlight w:val="none"/>
          <w:lang w:val="zh-CN"/>
        </w:rPr>
      </w:pPr>
    </w:p>
    <w:p w14:paraId="778FB1CE">
      <w:pPr>
        <w:ind w:firstLine="472" w:firstLineChars="196"/>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（一）项目前期准备</w:t>
      </w:r>
    </w:p>
    <w:p w14:paraId="6AA50FB9">
      <w:pPr>
        <w:autoSpaceDE w:val="0"/>
        <w:autoSpaceDN w:val="0"/>
        <w:spacing w:line="360" w:lineRule="auto"/>
        <w:ind w:firstLine="480" w:firstLineChars="200"/>
        <w:jc w:val="left"/>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6D7D4791">
      <w:pPr>
        <w:ind w:firstLine="472" w:firstLineChars="196"/>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（二）项目实施计划</w:t>
      </w:r>
    </w:p>
    <w:p w14:paraId="24ED175F">
      <w:pPr>
        <w:ind w:firstLine="482"/>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附表:项目实施进度计划表</w:t>
      </w:r>
      <w:r>
        <w:rPr>
          <w:rFonts w:hint="eastAsia" w:ascii="仿宋_GB2312" w:hAnsi="仿宋" w:eastAsia="仿宋_GB2312" w:cs="仿宋_GB2312"/>
          <w:b/>
          <w:color w:val="auto"/>
          <w:sz w:val="24"/>
          <w:highlight w:val="none"/>
        </w:rPr>
        <w:t>(以生效日算起)</w:t>
      </w: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561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ign w:val="center"/>
          </w:tcPr>
          <w:p w14:paraId="322285C4">
            <w:pPr>
              <w:spacing w:line="360" w:lineRule="auto"/>
              <w:ind w:firstLine="480"/>
              <w:rPr>
                <w:rFonts w:hint="eastAsia" w:ascii="仿宋_GB2312" w:hAnsi="仿宋" w:eastAsia="仿宋_GB2312" w:cs="仿宋_GB2312"/>
                <w:color w:val="auto"/>
                <w:sz w:val="24"/>
                <w:highlight w:val="none"/>
              </w:rPr>
            </w:pPr>
            <w:r>
              <w:rPr>
                <w:color w:val="auto"/>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5" name="组合 15"/>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6" name="__TH_L2"/>
                              <wps:cNvCnPr/>
                              <wps:spPr bwMode="auto">
                                <a:xfrm>
                                  <a:off x="0" y="0"/>
                                  <a:ext cx="1178" cy="1860"/>
                                </a:xfrm>
                                <a:prstGeom prst="line">
                                  <a:avLst/>
                                </a:prstGeom>
                                <a:noFill/>
                                <a:ln w="6350">
                                  <a:solidFill>
                                    <a:srgbClr val="000000"/>
                                  </a:solidFill>
                                  <a:round/>
                                </a:ln>
                                <a:effectLst/>
                              </wps:spPr>
                              <wps:bodyPr/>
                            </wps:wsp>
                            <wps:wsp>
                              <wps:cNvPr id="17" name="__TH_B113"/>
                              <wps:cNvSpPr txBox="1">
                                <a:spLocks noChangeArrowheads="1"/>
                              </wps:cNvSpPr>
                              <wps:spPr bwMode="auto">
                                <a:xfrm>
                                  <a:off x="455" y="122"/>
                                  <a:ext cx="253" cy="263"/>
                                </a:xfrm>
                                <a:prstGeom prst="rect">
                                  <a:avLst/>
                                </a:prstGeom>
                                <a:noFill/>
                                <a:ln>
                                  <a:noFill/>
                                </a:ln>
                                <a:effectLst/>
                              </wps:spPr>
                              <wps:txbx>
                                <w:txbxContent>
                                  <w:p w14:paraId="3562F899">
                                    <w:pPr>
                                      <w:snapToGrid w:val="0"/>
                                    </w:pPr>
                                    <w:r>
                                      <w:rPr>
                                        <w:rFonts w:hint="eastAsia"/>
                                      </w:rPr>
                                      <w:t>工</w:t>
                                    </w:r>
                                  </w:p>
                                </w:txbxContent>
                              </wps:txbx>
                              <wps:bodyPr rot="0" vert="horz" wrap="square" lIns="0" tIns="0" rIns="0" bIns="0" anchor="t" anchorCtr="0" upright="1">
                                <a:noAutofit/>
                              </wps:bodyPr>
                            </wps:wsp>
                            <wps:wsp>
                              <wps:cNvPr id="18" name="__TH_B124"/>
                              <wps:cNvSpPr txBox="1">
                                <a:spLocks noChangeArrowheads="1"/>
                              </wps:cNvSpPr>
                              <wps:spPr bwMode="auto">
                                <a:xfrm>
                                  <a:off x="643" y="419"/>
                                  <a:ext cx="253" cy="263"/>
                                </a:xfrm>
                                <a:prstGeom prst="rect">
                                  <a:avLst/>
                                </a:prstGeom>
                                <a:noFill/>
                                <a:ln>
                                  <a:noFill/>
                                </a:ln>
                                <a:effectLst/>
                              </wps:spPr>
                              <wps:txbx>
                                <w:txbxContent>
                                  <w:p w14:paraId="3E82D1FB">
                                    <w:pPr>
                                      <w:snapToGrid w:val="0"/>
                                    </w:pPr>
                                    <w:r>
                                      <w:rPr>
                                        <w:rFonts w:hint="eastAsia"/>
                                      </w:rPr>
                                      <w:t>作</w:t>
                                    </w:r>
                                  </w:p>
                                </w:txbxContent>
                              </wps:txbx>
                              <wps:bodyPr rot="0" vert="horz" wrap="square" lIns="0" tIns="0" rIns="0" bIns="0" anchor="t" anchorCtr="0" upright="1">
                                <a:noAutofit/>
                              </wps:bodyPr>
                            </wps:wsp>
                            <wps:wsp>
                              <wps:cNvPr id="19" name="__TH_B135"/>
                              <wps:cNvSpPr txBox="1">
                                <a:spLocks noChangeArrowheads="1"/>
                              </wps:cNvSpPr>
                              <wps:spPr bwMode="auto">
                                <a:xfrm>
                                  <a:off x="831" y="717"/>
                                  <a:ext cx="253" cy="262"/>
                                </a:xfrm>
                                <a:prstGeom prst="rect">
                                  <a:avLst/>
                                </a:prstGeom>
                                <a:noFill/>
                                <a:ln>
                                  <a:noFill/>
                                </a:ln>
                                <a:effectLst/>
                              </wps:spPr>
                              <wps:txbx>
                                <w:txbxContent>
                                  <w:p w14:paraId="6C8291F9">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tHq1lBgDAABKCwAADgAAAGRycy9lMm9Eb2MueG1s7VbL&#10;bhMxFN0j8Q+W93TivDvqpGpTWpAKVGpZV47H8xAztrGdTsqaBUv+h+9B/AbX9uTRVEAEorBoFhO/&#10;7vW95xxf++BwUVfohmtTSpFgstfBiAsm01LkCX57dfpsjJGxVKS0koIn+JYbfDh5+uSgUTHvykJW&#10;KdcInAgTNyrBhbUqjiLDCl5TsycVFzCZSV1TC12dR6mmDXivq6jb6QyjRupUacm4MTB6EiZx61Hv&#10;4lBmWcn4iWTzmgsbvGpeUQspmaJUBk98tFnGmX2TZYZbVCUYMrX+C5tAe+a+0eSAxrmmqihZGwLd&#10;JYStnGpaCth05eqEWormurznqi6ZlkZmdo/JOgqJeEQgC9LZwuZMy7nyueRxk6sV6EDUFuq/7Za9&#10;vrnQqExBCQOMBK2B8W9fPn79/AnBAKDTqDyGRWdaXaoL3Q7koecSXmS6dv+QClp4XG9XuPKFRQwG&#10;R/1xpweIM5giZExIpwWeFcDOPTNWPG8NCRmBGr3ZeOhtovWO3NN7biwEFbkwV1E1CqRp1niZP8Pr&#10;sqCKexqMg2KJ13CJ1/X11Yvr825Ayy+ZihYqExtADc2aVzIFZOncSi+TXVD7afJKG3vGZY1cI8FV&#10;KVyENKY3LSA0Xi5xw0KellXlxV4J1CR42Bt0vIGRVZm6SbfM6Hw2rTS6oe64+J/LCkC/swxkKdIw&#10;Xglnt0VFyNppx8Qzmd56MIAiz0oY/vv0jO7Qc0xIb4Mgp2VkF8cS1EkCDupcsncGCTktqMj5kday&#10;KThNQTzEg+DiB/qdachhJ2r7AzhXTvddLxDAqtV2d9AL0u4OfWQbyl4y15KroYrtTO4dtsHnLwmy&#10;i9kCuFxzhbQMZRIuCWgUUn/AqIESmWDzfk41x6h6KQAWV0+XDb1szJYNKhiYJthiFJpTG+ruXOky&#10;L8BzAF7IIzgVWdke46Vi/Jl+UMFApQn1z5/nY9Lt/xPBDPugCxBMn+y7/R8Fg/5XwexvCabXXpir&#10;MvEwFWbcI14wIzL6oWB87XmsMG1RCXfSZoXx7wd4Yvm7rn0OujfcZt+vXz+BJ9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9ctcntgAAAAIAQAADwAAAAAAAAABACAAAAAiAAAAZHJzL2Rvd25yZXYu&#10;eG1sUEsBAhQAFAAAAAgAh07iQLR6tZQYAwAASgsAAA4AAAAAAAAAAQAgAAAAJwEAAGRycy9lMm9E&#10;b2MueG1sUEsFBgAAAAAGAAYAWQEAALEGAAAAAA==&#10;">
                      <o:lock v:ext="edit" aspectratio="f"/>
                      <v:line id="__TH_L2" o:spid="_x0000_s1026" o:spt="20" style="position:absolute;left:0;top:0;height:1860;width:1178;" filled="f" stroked="t" coordsize="21600,21600" o:gfxdata="UEsDBAoAAAAAAIdO4kAAAAAAAAAAAAAAAAAEAAAAZHJzL1BLAwQUAAAACACHTuJACD56fLkAAADb&#10;AAAADwAAAGRycy9kb3ducmV2LnhtbEVPTUsDMRC9C/0PYQrebLLCFlmb9iBs6cWDVTwPm3F3cTNZ&#10;kumm+uuNIHibx/uc3eHqJ7VQTGNgC9XGgCLughu5t/D22t49gEqC7HAKTBa+KMFhv7rZYeNC5hda&#10;ztKrEsKpQQuDyNxonbqBPKZNmIkL9xGiRykw9tpFzCXcT/remK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eny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562F899">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E82D1FB">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C8291F9">
                              <w:pPr>
                                <w:snapToGrid w:val="0"/>
                              </w:pPr>
                              <w:r>
                                <w:rPr>
                                  <w:rFonts w:hint="eastAsia"/>
                                </w:rPr>
                                <w:t>日</w:t>
                              </w:r>
                            </w:p>
                          </w:txbxContent>
                        </v:textbox>
                      </v:shape>
                    </v:group>
                  </w:pict>
                </mc:Fallback>
              </mc:AlternateContent>
            </w:r>
          </w:p>
          <w:p w14:paraId="2D0B1461">
            <w:pPr>
              <w:spacing w:line="360" w:lineRule="auto"/>
              <w:ind w:firstLine="480"/>
              <w:rPr>
                <w:rFonts w:hint="eastAsia" w:ascii="仿宋_GB2312" w:hAnsi="仿宋" w:eastAsia="仿宋_GB2312" w:cs="仿宋_GB2312"/>
                <w:color w:val="auto"/>
                <w:sz w:val="24"/>
                <w:highlight w:val="none"/>
              </w:rPr>
            </w:pPr>
          </w:p>
          <w:p w14:paraId="1DA6056C">
            <w:pPr>
              <w:spacing w:line="360" w:lineRule="auto"/>
              <w:ind w:firstLine="480"/>
              <w:rPr>
                <w:rFonts w:hint="eastAsia" w:ascii="仿宋_GB2312" w:hAnsi="仿宋" w:eastAsia="仿宋_GB2312" w:cs="仿宋_GB2312"/>
                <w:color w:val="auto"/>
                <w:sz w:val="24"/>
                <w:highlight w:val="none"/>
              </w:rPr>
            </w:pPr>
          </w:p>
          <w:p w14:paraId="279F448B">
            <w:pPr>
              <w:spacing w:line="360" w:lineRule="auto"/>
              <w:ind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ign w:val="center"/>
          </w:tcPr>
          <w:p w14:paraId="4F843CFC">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1</w:t>
            </w:r>
            <w:r>
              <w:rPr>
                <w:rFonts w:hint="eastAsia" w:ascii="仿宋_GB2312" w:hAnsi="仿宋" w:eastAsia="仿宋_GB2312" w:cs="仿宋_GB2312"/>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ign w:val="center"/>
          </w:tcPr>
          <w:p w14:paraId="164C05DB">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2</w:t>
            </w:r>
            <w:r>
              <w:rPr>
                <w:rFonts w:hint="eastAsia" w:ascii="仿宋_GB2312" w:hAnsi="仿宋" w:eastAsia="仿宋_GB2312" w:cs="仿宋_GB2312"/>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ign w:val="center"/>
          </w:tcPr>
          <w:p w14:paraId="65044014">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3</w:t>
            </w:r>
            <w:r>
              <w:rPr>
                <w:rFonts w:hint="eastAsia" w:ascii="仿宋_GB2312" w:hAnsi="仿宋" w:eastAsia="仿宋_GB2312" w:cs="仿宋_GB2312"/>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ign w:val="center"/>
          </w:tcPr>
          <w:p w14:paraId="77024C94">
            <w:pPr>
              <w:spacing w:line="360" w:lineRule="auto"/>
              <w:ind w:firstLine="480"/>
              <w:jc w:val="center"/>
              <w:rPr>
                <w:rFonts w:hint="eastAsia" w:ascii="仿宋_GB2312" w:hAnsi="仿宋" w:eastAsia="仿宋_GB2312" w:cs="仿宋_GB2312"/>
                <w:color w:val="auto"/>
                <w:sz w:val="24"/>
                <w:highlight w:val="none"/>
              </w:rPr>
            </w:pPr>
          </w:p>
          <w:p w14:paraId="279EEC95">
            <w:pPr>
              <w:spacing w:line="360" w:lineRule="auto"/>
              <w:ind w:firstLine="480"/>
              <w:jc w:val="both"/>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ign w:val="center"/>
          </w:tcPr>
          <w:p w14:paraId="6489FE0D">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ign w:val="center"/>
          </w:tcPr>
          <w:p w14:paraId="63A722F4">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ign w:val="center"/>
          </w:tcPr>
          <w:p w14:paraId="6114F8B4">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ign w:val="center"/>
          </w:tcPr>
          <w:p w14:paraId="35902ECA">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ign w:val="center"/>
          </w:tcPr>
          <w:p w14:paraId="7FA807F1">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ign w:val="center"/>
          </w:tcPr>
          <w:p w14:paraId="1B21B771">
            <w:pPr>
              <w:spacing w:line="360" w:lineRule="auto"/>
              <w:ind w:firstLine="480"/>
              <w:jc w:val="center"/>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center"/>
          </w:tcPr>
          <w:p w14:paraId="461D0C5A">
            <w:pPr>
              <w:spacing w:line="360" w:lineRule="auto"/>
              <w:ind w:firstLine="480"/>
              <w:jc w:val="center"/>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center"/>
          </w:tcPr>
          <w:p w14:paraId="39D6BD83">
            <w:pPr>
              <w:spacing w:line="360" w:lineRule="auto"/>
              <w:ind w:firstLine="480"/>
              <w:jc w:val="center"/>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center"/>
          </w:tcPr>
          <w:p w14:paraId="2B3F8721">
            <w:pPr>
              <w:spacing w:line="360" w:lineRule="auto"/>
              <w:ind w:firstLine="480"/>
              <w:jc w:val="center"/>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center"/>
          </w:tcPr>
          <w:p w14:paraId="4573EF26">
            <w:pPr>
              <w:spacing w:line="360" w:lineRule="auto"/>
              <w:ind w:firstLine="480"/>
              <w:jc w:val="center"/>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center"/>
          </w:tcPr>
          <w:p w14:paraId="6A302DA7">
            <w:pPr>
              <w:spacing w:line="360" w:lineRule="auto"/>
              <w:ind w:firstLine="480"/>
              <w:jc w:val="center"/>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center"/>
          </w:tcPr>
          <w:p w14:paraId="6438DD04">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p>
        </w:tc>
      </w:tr>
      <w:tr w14:paraId="24DA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4DAC9163">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4C2E1F5B">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2C7E5E48">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4E7772B">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6F0BBB36">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043446FC">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751217F8">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58C33AA">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5253B68">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C905F46">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E5CE979">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1C9196D">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5982DFA">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74B3D0E">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2FC317B">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40BAB87">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F35960A">
            <w:pPr>
              <w:spacing w:line="360" w:lineRule="auto"/>
              <w:ind w:firstLine="480"/>
              <w:rPr>
                <w:rFonts w:hint="eastAsia" w:ascii="仿宋_GB2312" w:hAnsi="仿宋" w:eastAsia="仿宋_GB2312" w:cs="仿宋_GB2312"/>
                <w:color w:val="auto"/>
                <w:sz w:val="24"/>
                <w:highlight w:val="none"/>
              </w:rPr>
            </w:pPr>
          </w:p>
        </w:tc>
      </w:tr>
      <w:tr w14:paraId="68AB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51374EAC">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2988B820">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0DBFC1C">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7AF4C1B7">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3A3D16E">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6E63A5C2">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0E9DABD">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EEF2E48">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0CD70FE">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FA02015">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763B7A1">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D32433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8D5216E">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E4A9DE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FE2CF9C">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F042D54">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254FC5B">
            <w:pPr>
              <w:spacing w:line="360" w:lineRule="auto"/>
              <w:ind w:firstLine="480"/>
              <w:rPr>
                <w:rFonts w:hint="eastAsia" w:ascii="仿宋_GB2312" w:hAnsi="仿宋" w:eastAsia="仿宋_GB2312" w:cs="仿宋_GB2312"/>
                <w:color w:val="auto"/>
                <w:sz w:val="24"/>
                <w:highlight w:val="none"/>
              </w:rPr>
            </w:pPr>
          </w:p>
        </w:tc>
      </w:tr>
      <w:tr w14:paraId="7633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0866BC12">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69692552">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64F8D8C0">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756A0392">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20A5E130">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CDEC6D6">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08E8B889">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4AE55F2">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69DAAC8">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4B42B5C">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DE7B461">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829C2B8">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9E0EE4B">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E6CE8E7">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FB7ECDC">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02E5AC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17A4D3E">
            <w:pPr>
              <w:spacing w:line="360" w:lineRule="auto"/>
              <w:ind w:firstLine="480"/>
              <w:rPr>
                <w:rFonts w:hint="eastAsia" w:ascii="仿宋_GB2312" w:hAnsi="仿宋" w:eastAsia="仿宋_GB2312" w:cs="仿宋_GB2312"/>
                <w:color w:val="auto"/>
                <w:sz w:val="24"/>
                <w:highlight w:val="none"/>
              </w:rPr>
            </w:pPr>
          </w:p>
        </w:tc>
      </w:tr>
      <w:tr w14:paraId="1AC9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184E1F08">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7E78BEC">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4A6A9633">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79EDCEFA">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416728C8">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0B661B2B">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13897A9">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1550B8D">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2DEBAE5">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829C83B">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E8D6E7C">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241E45E">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8BEA5EA">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D58A23C">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1C8C716">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DC9816C">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677053D">
            <w:pPr>
              <w:spacing w:line="360" w:lineRule="auto"/>
              <w:ind w:firstLine="480"/>
              <w:rPr>
                <w:rFonts w:hint="eastAsia" w:ascii="仿宋_GB2312" w:hAnsi="仿宋" w:eastAsia="仿宋_GB2312" w:cs="仿宋_GB2312"/>
                <w:color w:val="auto"/>
                <w:sz w:val="24"/>
                <w:highlight w:val="none"/>
              </w:rPr>
            </w:pPr>
          </w:p>
        </w:tc>
      </w:tr>
      <w:tr w14:paraId="62FF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305749AD">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31885733">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635974DE">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6B983A3">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D65FF0D">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32142AF8">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3C11486">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0C19BB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A427FA9">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6F801DE">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946F812">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3D946F2">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8CD4862">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D4F5B69">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B972967">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D7EB094">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065F79B">
            <w:pPr>
              <w:spacing w:line="360" w:lineRule="auto"/>
              <w:ind w:firstLine="480"/>
              <w:rPr>
                <w:rFonts w:hint="eastAsia" w:ascii="仿宋_GB2312" w:hAnsi="仿宋" w:eastAsia="仿宋_GB2312" w:cs="仿宋_GB2312"/>
                <w:color w:val="auto"/>
                <w:sz w:val="24"/>
                <w:highlight w:val="none"/>
              </w:rPr>
            </w:pPr>
          </w:p>
        </w:tc>
      </w:tr>
      <w:tr w14:paraId="391D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684569C0">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6B090EF8">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2DACB6F4">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7720A256">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7D668943">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7BAEC6C">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8423007">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BE46BB1">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FBC1501">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D632D5A">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AC43CC8">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6B1363F">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BE6DC53">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F9D9151">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48CF20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701D479">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56691FF">
            <w:pPr>
              <w:spacing w:line="360" w:lineRule="auto"/>
              <w:ind w:firstLine="480"/>
              <w:rPr>
                <w:rFonts w:hint="eastAsia" w:ascii="仿宋_GB2312" w:hAnsi="仿宋" w:eastAsia="仿宋_GB2312" w:cs="仿宋_GB2312"/>
                <w:color w:val="auto"/>
                <w:sz w:val="24"/>
                <w:highlight w:val="none"/>
              </w:rPr>
            </w:pPr>
          </w:p>
        </w:tc>
      </w:tr>
      <w:tr w14:paraId="15C0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27C74597">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4FDA431D">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4937C06">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0C09C33C">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6BC1C0C3">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32073399">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2DD2BFD8">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D1CC1E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AE77B07">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9F72BB6">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2728033">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FE4F713">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13AE734">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2812034">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FB245C9">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4A4958E6">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4A48804">
            <w:pPr>
              <w:spacing w:line="360" w:lineRule="auto"/>
              <w:ind w:firstLine="480"/>
              <w:rPr>
                <w:rFonts w:hint="eastAsia" w:ascii="仿宋_GB2312" w:hAnsi="仿宋" w:eastAsia="仿宋_GB2312" w:cs="仿宋_GB2312"/>
                <w:color w:val="auto"/>
                <w:sz w:val="24"/>
                <w:highlight w:val="none"/>
              </w:rPr>
            </w:pPr>
          </w:p>
        </w:tc>
      </w:tr>
      <w:tr w14:paraId="0AB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615D2541">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0903D1F5">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39306D73">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2B85EFF4">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27F9D2D8">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6B7360C">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3D501843">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3A1F7C5B">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70A56C9">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9A94AFF">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46FC4E2">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0BD45642">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574D35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292A79C">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1EBADFD">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69FF7902">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B357D40">
            <w:pPr>
              <w:spacing w:line="360" w:lineRule="auto"/>
              <w:ind w:firstLine="480"/>
              <w:rPr>
                <w:rFonts w:hint="eastAsia" w:ascii="仿宋_GB2312" w:hAnsi="仿宋" w:eastAsia="仿宋_GB2312" w:cs="仿宋_GB2312"/>
                <w:color w:val="auto"/>
                <w:sz w:val="24"/>
                <w:highlight w:val="none"/>
              </w:rPr>
            </w:pPr>
          </w:p>
        </w:tc>
      </w:tr>
      <w:tr w14:paraId="1828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ign w:val="center"/>
          </w:tcPr>
          <w:p w14:paraId="40064607">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F21CE35">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0A5B6D16">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5EF0E67F">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33CCC5E4">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74401B2B">
            <w:pPr>
              <w:spacing w:line="360" w:lineRule="auto"/>
              <w:ind w:firstLine="480"/>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ign w:val="top"/>
          </w:tcPr>
          <w:p w14:paraId="1C1252EA">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2784E30">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174A22A">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FAB0488">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ACE3096">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7CCA180A">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5738B3D">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BB95614">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2D0C893E">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5351CB06">
            <w:pPr>
              <w:spacing w:line="360" w:lineRule="auto"/>
              <w:ind w:firstLine="480"/>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ign w:val="top"/>
          </w:tcPr>
          <w:p w14:paraId="16BE7251">
            <w:pPr>
              <w:spacing w:line="360" w:lineRule="auto"/>
              <w:ind w:firstLine="480"/>
              <w:rPr>
                <w:rFonts w:hint="eastAsia" w:ascii="仿宋_GB2312" w:hAnsi="仿宋" w:eastAsia="仿宋_GB2312" w:cs="仿宋_GB2312"/>
                <w:color w:val="auto"/>
                <w:sz w:val="24"/>
                <w:highlight w:val="none"/>
              </w:rPr>
            </w:pPr>
          </w:p>
        </w:tc>
      </w:tr>
    </w:tbl>
    <w:p w14:paraId="18A68232">
      <w:pPr>
        <w:keepNext w:val="0"/>
        <w:keepLines w:val="0"/>
        <w:pageBreakBefore w:val="0"/>
        <w:widowControl w:val="0"/>
        <w:numPr>
          <w:ilvl w:val="0"/>
          <w:numId w:val="0"/>
        </w:numPr>
        <w:kinsoku/>
        <w:wordWrap/>
        <w:overflowPunct/>
        <w:topLinePunct w:val="0"/>
        <w:autoSpaceDE/>
        <w:autoSpaceDN/>
        <w:bidi w:val="0"/>
        <w:adjustRightInd/>
        <w:snapToGrid w:val="0"/>
        <w:spacing w:before="120" w:beforeLines="50" w:after="50"/>
        <w:jc w:val="left"/>
        <w:textAlignment w:val="auto"/>
        <w:outlineLvl w:val="0"/>
        <w:rPr>
          <w:rFonts w:hint="eastAsia" w:ascii="仿宋_GB2312" w:hAnsi="仿宋" w:eastAsia="仿宋_GB2312" w:cs="仿宋_GB2312"/>
          <w:b/>
          <w:color w:val="auto"/>
          <w:sz w:val="24"/>
          <w:highlight w:val="none"/>
        </w:rPr>
      </w:pPr>
      <w:bookmarkStart w:id="193" w:name="_Toc10220"/>
      <w:r>
        <w:rPr>
          <w:rFonts w:hint="eastAsia" w:ascii="仿宋_GB2312" w:hAnsi="仿宋" w:eastAsia="仿宋_GB2312" w:cs="仿宋_GB2312"/>
          <w:b/>
          <w:color w:val="auto"/>
          <w:sz w:val="24"/>
          <w:highlight w:val="none"/>
        </w:rPr>
        <w:t>注：投标人可按上述时间表的格式自行编制切合实际的具体时间表。</w:t>
      </w:r>
      <w:bookmarkEnd w:id="193"/>
    </w:p>
    <w:p w14:paraId="777688CE">
      <w:pPr>
        <w:keepNext w:val="0"/>
        <w:keepLines w:val="0"/>
        <w:pageBreakBefore w:val="0"/>
        <w:widowControl w:val="0"/>
        <w:numPr>
          <w:ilvl w:val="0"/>
          <w:numId w:val="0"/>
        </w:numPr>
        <w:kinsoku/>
        <w:wordWrap/>
        <w:overflowPunct/>
        <w:topLinePunct w:val="0"/>
        <w:autoSpaceDE/>
        <w:autoSpaceDN/>
        <w:bidi w:val="0"/>
        <w:adjustRightInd/>
        <w:snapToGrid w:val="0"/>
        <w:spacing w:before="120" w:beforeLines="50" w:after="50"/>
        <w:jc w:val="left"/>
        <w:textAlignment w:val="auto"/>
        <w:outlineLvl w:val="9"/>
        <w:rPr>
          <w:rFonts w:hint="eastAsia" w:ascii="仿宋_GB2312" w:hAnsi="仿宋" w:eastAsia="仿宋_GB2312" w:cs="仿宋_GB2312"/>
          <w:b/>
          <w:color w:val="auto"/>
          <w:sz w:val="24"/>
          <w:highlight w:val="none"/>
        </w:rPr>
      </w:pPr>
    </w:p>
    <w:p w14:paraId="2B3D3BE2">
      <w:pPr>
        <w:snapToGrid w:val="0"/>
        <w:spacing w:line="360" w:lineRule="auto"/>
        <w:ind w:firstLine="472" w:firstLineChars="196"/>
        <w:rPr>
          <w:rFonts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（三）项目实施人员一览表</w:t>
      </w:r>
    </w:p>
    <w:p w14:paraId="1CF7166B">
      <w:pPr>
        <w:spacing w:line="360" w:lineRule="auto"/>
        <w:ind w:firstLine="480"/>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2645B2CB">
      <w:pPr>
        <w:ind w:firstLine="480"/>
        <w:rPr>
          <w:rFonts w:hint="eastAsia" w:ascii="宋体" w:hAnsi="Courier New"/>
          <w:color w:val="auto"/>
          <w:sz w:val="24"/>
          <w:highlight w:val="none"/>
        </w:rPr>
      </w:pPr>
      <w:r>
        <w:rPr>
          <w:rFonts w:hint="eastAsia" w:ascii="宋体" w:hAnsi="Courier New"/>
          <w:color w:val="auto"/>
          <w:sz w:val="24"/>
          <w:highlight w:val="none"/>
        </w:rPr>
        <w:t>所投分标：分标</w:t>
      </w:r>
    </w:p>
    <w:p w14:paraId="6E8EBD1A">
      <w:pPr>
        <w:keepNext/>
        <w:autoSpaceDE w:val="0"/>
        <w:autoSpaceDN w:val="0"/>
        <w:spacing w:line="360" w:lineRule="auto"/>
        <w:ind w:firstLine="482"/>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18"/>
        <w:tblW w:w="0" w:type="auto"/>
        <w:tblInd w:w="116" w:type="dxa"/>
        <w:tblLayout w:type="fixed"/>
        <w:tblCellMar>
          <w:top w:w="0" w:type="dxa"/>
          <w:left w:w="108" w:type="dxa"/>
          <w:bottom w:w="0" w:type="dxa"/>
          <w:right w:w="108" w:type="dxa"/>
        </w:tblCellMar>
      </w:tblPr>
      <w:tblGrid>
        <w:gridCol w:w="2241"/>
        <w:gridCol w:w="1399"/>
        <w:gridCol w:w="1370"/>
        <w:gridCol w:w="4509"/>
      </w:tblGrid>
      <w:tr w14:paraId="786CE28D">
        <w:tblPrEx>
          <w:tblCellMar>
            <w:top w:w="0" w:type="dxa"/>
            <w:left w:w="108" w:type="dxa"/>
            <w:bottom w:w="0" w:type="dxa"/>
            <w:right w:w="108" w:type="dxa"/>
          </w:tblCellMar>
        </w:tblPrEx>
        <w:trPr>
          <w:trHeight w:val="1447" w:hRule="atLeast"/>
        </w:trPr>
        <w:tc>
          <w:tcPr>
            <w:tcW w:w="224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D15AB50">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399" w:type="dxa"/>
            <w:tcBorders>
              <w:top w:val="single" w:color="auto" w:sz="6" w:space="0"/>
              <w:left w:val="single" w:color="auto" w:sz="6" w:space="0"/>
              <w:bottom w:val="single" w:color="auto" w:sz="6" w:space="0"/>
              <w:right w:val="single" w:color="auto" w:sz="4" w:space="0"/>
            </w:tcBorders>
            <w:shd w:val="clear" w:color="auto" w:fill="B3B3B3"/>
            <w:noWrap/>
            <w:vAlign w:val="center"/>
          </w:tcPr>
          <w:p w14:paraId="65C921D2">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noWrap/>
            <w:vAlign w:val="center"/>
          </w:tcPr>
          <w:p w14:paraId="18F6333C">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509" w:type="dxa"/>
            <w:tcBorders>
              <w:top w:val="single" w:color="auto" w:sz="6" w:space="0"/>
              <w:left w:val="single" w:color="auto" w:sz="6" w:space="0"/>
              <w:bottom w:val="single" w:color="auto" w:sz="6" w:space="0"/>
              <w:right w:val="single" w:color="auto" w:sz="6" w:space="0"/>
            </w:tcBorders>
            <w:noWrap/>
            <w:vAlign w:val="center"/>
          </w:tcPr>
          <w:p w14:paraId="2F405BC8">
            <w:pPr>
              <w:autoSpaceDE w:val="0"/>
              <w:autoSpaceDN w:val="0"/>
              <w:spacing w:line="360" w:lineRule="auto"/>
              <w:ind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p>
        </w:tc>
      </w:tr>
      <w:tr w14:paraId="3B754176">
        <w:tblPrEx>
          <w:tblCellMar>
            <w:top w:w="0" w:type="dxa"/>
            <w:left w:w="108" w:type="dxa"/>
            <w:bottom w:w="0" w:type="dxa"/>
            <w:right w:w="108" w:type="dxa"/>
          </w:tblCellMar>
        </w:tblPrEx>
        <w:trPr>
          <w:cantSplit/>
          <w:trHeight w:val="492" w:hRule="atLeast"/>
        </w:trPr>
        <w:tc>
          <w:tcPr>
            <w:tcW w:w="224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DD16DE">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39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B704917">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2AEE9E56">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restart"/>
            <w:tcBorders>
              <w:top w:val="single" w:color="auto" w:sz="6" w:space="0"/>
              <w:left w:val="single" w:color="auto" w:sz="6" w:space="0"/>
              <w:bottom w:val="single" w:color="auto" w:sz="6" w:space="0"/>
              <w:right w:val="single" w:color="auto" w:sz="6" w:space="0"/>
            </w:tcBorders>
            <w:noWrap/>
            <w:vAlign w:val="center"/>
          </w:tcPr>
          <w:p w14:paraId="3282CD84">
            <w:pPr>
              <w:autoSpaceDE w:val="0"/>
              <w:autoSpaceDN w:val="0"/>
              <w:spacing w:line="360" w:lineRule="auto"/>
              <w:ind w:firstLine="480"/>
              <w:jc w:val="center"/>
              <w:rPr>
                <w:rFonts w:hint="eastAsia" w:ascii="仿宋_GB2312" w:hAnsi="仿宋" w:eastAsia="仿宋_GB2312" w:cs="仿宋_GB2312"/>
                <w:color w:val="auto"/>
                <w:sz w:val="24"/>
                <w:highlight w:val="none"/>
              </w:rPr>
            </w:pPr>
          </w:p>
        </w:tc>
      </w:tr>
      <w:tr w14:paraId="5BE7446A">
        <w:tblPrEx>
          <w:tblCellMar>
            <w:top w:w="0" w:type="dxa"/>
            <w:left w:w="108" w:type="dxa"/>
            <w:bottom w:w="0" w:type="dxa"/>
            <w:right w:w="108" w:type="dxa"/>
          </w:tblCellMar>
        </w:tblPrEx>
        <w:trPr>
          <w:cantSplit/>
          <w:trHeight w:val="492" w:hRule="atLeast"/>
        </w:trPr>
        <w:tc>
          <w:tcPr>
            <w:tcW w:w="224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21B7906">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39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2221C7D">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6C6905BF">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50621D51">
            <w:pPr>
              <w:widowControl/>
              <w:jc w:val="left"/>
              <w:rPr>
                <w:rFonts w:ascii="仿宋_GB2312" w:hAnsi="仿宋" w:eastAsia="仿宋_GB2312" w:cs="仿宋_GB2312"/>
                <w:color w:val="auto"/>
                <w:sz w:val="24"/>
                <w:highlight w:val="none"/>
              </w:rPr>
            </w:pPr>
          </w:p>
        </w:tc>
      </w:tr>
      <w:tr w14:paraId="5F18BAAE">
        <w:tblPrEx>
          <w:tblCellMar>
            <w:top w:w="0" w:type="dxa"/>
            <w:left w:w="108" w:type="dxa"/>
            <w:bottom w:w="0" w:type="dxa"/>
            <w:right w:w="108" w:type="dxa"/>
          </w:tblCellMar>
        </w:tblPrEx>
        <w:trPr>
          <w:cantSplit/>
          <w:trHeight w:val="492" w:hRule="atLeast"/>
        </w:trPr>
        <w:tc>
          <w:tcPr>
            <w:tcW w:w="2241" w:type="dxa"/>
            <w:tcBorders>
              <w:top w:val="single" w:color="auto" w:sz="6" w:space="0"/>
              <w:left w:val="single" w:color="auto" w:sz="6" w:space="0"/>
              <w:bottom w:val="single" w:color="auto" w:sz="6" w:space="0"/>
              <w:right w:val="single" w:color="auto" w:sz="6" w:space="0"/>
            </w:tcBorders>
            <w:noWrap/>
            <w:vAlign w:val="center"/>
          </w:tcPr>
          <w:p w14:paraId="019B8492">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399" w:type="dxa"/>
            <w:tcBorders>
              <w:top w:val="single" w:color="auto" w:sz="6" w:space="0"/>
              <w:left w:val="single" w:color="auto" w:sz="6" w:space="0"/>
              <w:bottom w:val="single" w:color="auto" w:sz="6" w:space="0"/>
              <w:right w:val="single" w:color="auto" w:sz="4" w:space="0"/>
            </w:tcBorders>
            <w:noWrap/>
            <w:vAlign w:val="center"/>
          </w:tcPr>
          <w:p w14:paraId="0837ADE3">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noWrap/>
            <w:vAlign w:val="center"/>
          </w:tcPr>
          <w:p w14:paraId="44F133C9">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3AB39C71">
            <w:pPr>
              <w:widowControl/>
              <w:jc w:val="left"/>
              <w:rPr>
                <w:rFonts w:ascii="仿宋_GB2312" w:hAnsi="仿宋" w:eastAsia="仿宋_GB2312" w:cs="仿宋_GB2312"/>
                <w:color w:val="auto"/>
                <w:sz w:val="24"/>
                <w:highlight w:val="none"/>
              </w:rPr>
            </w:pPr>
          </w:p>
        </w:tc>
      </w:tr>
      <w:tr w14:paraId="7083FE5B">
        <w:tblPrEx>
          <w:tblCellMar>
            <w:top w:w="0" w:type="dxa"/>
            <w:left w:w="108" w:type="dxa"/>
            <w:bottom w:w="0" w:type="dxa"/>
            <w:right w:w="108" w:type="dxa"/>
          </w:tblCellMar>
        </w:tblPrEx>
        <w:trPr>
          <w:cantSplit/>
          <w:trHeight w:val="492" w:hRule="atLeast"/>
        </w:trPr>
        <w:tc>
          <w:tcPr>
            <w:tcW w:w="2241" w:type="dxa"/>
            <w:tcBorders>
              <w:top w:val="single" w:color="auto" w:sz="6" w:space="0"/>
              <w:left w:val="single" w:color="auto" w:sz="6" w:space="0"/>
              <w:bottom w:val="single" w:color="auto" w:sz="6" w:space="0"/>
              <w:right w:val="single" w:color="auto" w:sz="6" w:space="0"/>
            </w:tcBorders>
            <w:noWrap/>
            <w:vAlign w:val="center"/>
          </w:tcPr>
          <w:p w14:paraId="6E0E6C3C">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399" w:type="dxa"/>
            <w:tcBorders>
              <w:top w:val="single" w:color="auto" w:sz="6" w:space="0"/>
              <w:left w:val="single" w:color="auto" w:sz="6" w:space="0"/>
              <w:bottom w:val="single" w:color="auto" w:sz="6" w:space="0"/>
              <w:right w:val="single" w:color="auto" w:sz="4" w:space="0"/>
            </w:tcBorders>
            <w:noWrap/>
            <w:vAlign w:val="center"/>
          </w:tcPr>
          <w:p w14:paraId="4DD8E50A">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noWrap/>
            <w:vAlign w:val="center"/>
          </w:tcPr>
          <w:p w14:paraId="22648AD3">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372B6E67">
            <w:pPr>
              <w:widowControl/>
              <w:jc w:val="left"/>
              <w:rPr>
                <w:rFonts w:ascii="仿宋_GB2312" w:hAnsi="仿宋" w:eastAsia="仿宋_GB2312" w:cs="仿宋_GB2312"/>
                <w:color w:val="auto"/>
                <w:sz w:val="24"/>
                <w:highlight w:val="none"/>
              </w:rPr>
            </w:pPr>
          </w:p>
        </w:tc>
      </w:tr>
      <w:tr w14:paraId="2DCE8B49">
        <w:tblPrEx>
          <w:tblCellMar>
            <w:top w:w="0" w:type="dxa"/>
            <w:left w:w="108" w:type="dxa"/>
            <w:bottom w:w="0" w:type="dxa"/>
            <w:right w:w="108" w:type="dxa"/>
          </w:tblCellMar>
        </w:tblPrEx>
        <w:trPr>
          <w:cantSplit/>
          <w:trHeight w:val="492" w:hRule="atLeast"/>
        </w:trPr>
        <w:tc>
          <w:tcPr>
            <w:tcW w:w="2241" w:type="dxa"/>
            <w:tcBorders>
              <w:top w:val="single" w:color="auto" w:sz="6" w:space="0"/>
              <w:left w:val="single" w:color="auto" w:sz="6" w:space="0"/>
              <w:bottom w:val="single" w:color="auto" w:sz="6" w:space="0"/>
              <w:right w:val="single" w:color="auto" w:sz="6" w:space="0"/>
            </w:tcBorders>
            <w:noWrap/>
            <w:vAlign w:val="center"/>
          </w:tcPr>
          <w:p w14:paraId="0289D4B8">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399" w:type="dxa"/>
            <w:tcBorders>
              <w:top w:val="single" w:color="auto" w:sz="6" w:space="0"/>
              <w:left w:val="single" w:color="auto" w:sz="6" w:space="0"/>
              <w:bottom w:val="single" w:color="auto" w:sz="6" w:space="0"/>
              <w:right w:val="single" w:color="auto" w:sz="4" w:space="0"/>
            </w:tcBorders>
            <w:noWrap/>
            <w:vAlign w:val="center"/>
          </w:tcPr>
          <w:p w14:paraId="01BA1154">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noWrap/>
            <w:vAlign w:val="center"/>
          </w:tcPr>
          <w:p w14:paraId="4FC0C832">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12078942">
            <w:pPr>
              <w:widowControl/>
              <w:jc w:val="left"/>
              <w:rPr>
                <w:rFonts w:ascii="仿宋_GB2312" w:hAnsi="仿宋" w:eastAsia="仿宋_GB2312" w:cs="仿宋_GB2312"/>
                <w:color w:val="auto"/>
                <w:sz w:val="24"/>
                <w:highlight w:val="none"/>
              </w:rPr>
            </w:pPr>
          </w:p>
        </w:tc>
      </w:tr>
      <w:tr w14:paraId="66F3D1BE">
        <w:tblPrEx>
          <w:tblCellMar>
            <w:top w:w="0" w:type="dxa"/>
            <w:left w:w="108" w:type="dxa"/>
            <w:bottom w:w="0" w:type="dxa"/>
            <w:right w:w="108" w:type="dxa"/>
          </w:tblCellMar>
        </w:tblPrEx>
        <w:trPr>
          <w:cantSplit/>
          <w:trHeight w:val="492" w:hRule="atLeast"/>
        </w:trPr>
        <w:tc>
          <w:tcPr>
            <w:tcW w:w="2241" w:type="dxa"/>
            <w:tcBorders>
              <w:top w:val="single" w:color="auto" w:sz="6" w:space="0"/>
              <w:left w:val="single" w:color="auto" w:sz="6" w:space="0"/>
              <w:bottom w:val="single" w:color="auto" w:sz="6" w:space="0"/>
              <w:right w:val="single" w:color="auto" w:sz="6" w:space="0"/>
            </w:tcBorders>
            <w:noWrap/>
            <w:vAlign w:val="center"/>
          </w:tcPr>
          <w:p w14:paraId="3DE215F7">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399" w:type="dxa"/>
            <w:tcBorders>
              <w:top w:val="single" w:color="auto" w:sz="6" w:space="0"/>
              <w:left w:val="single" w:color="auto" w:sz="6" w:space="0"/>
              <w:bottom w:val="single" w:color="auto" w:sz="6" w:space="0"/>
              <w:right w:val="single" w:color="auto" w:sz="4" w:space="0"/>
            </w:tcBorders>
            <w:noWrap/>
            <w:vAlign w:val="center"/>
          </w:tcPr>
          <w:p w14:paraId="0AE6A5C8">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noWrap/>
            <w:vAlign w:val="center"/>
          </w:tcPr>
          <w:p w14:paraId="62310A6F">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01C3EFD1">
            <w:pPr>
              <w:widowControl/>
              <w:jc w:val="left"/>
              <w:rPr>
                <w:rFonts w:ascii="仿宋_GB2312" w:hAnsi="仿宋" w:eastAsia="仿宋_GB2312" w:cs="仿宋_GB2312"/>
                <w:color w:val="auto"/>
                <w:sz w:val="24"/>
                <w:highlight w:val="none"/>
              </w:rPr>
            </w:pPr>
          </w:p>
        </w:tc>
      </w:tr>
      <w:tr w14:paraId="38C3C4B0">
        <w:tblPrEx>
          <w:tblCellMar>
            <w:top w:w="0" w:type="dxa"/>
            <w:left w:w="108" w:type="dxa"/>
            <w:bottom w:w="0" w:type="dxa"/>
            <w:right w:w="108" w:type="dxa"/>
          </w:tblCellMar>
        </w:tblPrEx>
        <w:trPr>
          <w:cantSplit/>
          <w:trHeight w:val="970" w:hRule="atLeast"/>
        </w:trPr>
        <w:tc>
          <w:tcPr>
            <w:tcW w:w="2241" w:type="dxa"/>
            <w:tcBorders>
              <w:top w:val="single" w:color="auto" w:sz="6" w:space="0"/>
              <w:left w:val="single" w:color="auto" w:sz="6" w:space="0"/>
              <w:bottom w:val="single" w:color="auto" w:sz="6" w:space="0"/>
              <w:right w:val="single" w:color="auto" w:sz="6" w:space="0"/>
            </w:tcBorders>
            <w:noWrap/>
            <w:vAlign w:val="center"/>
          </w:tcPr>
          <w:p w14:paraId="4997B214">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399" w:type="dxa"/>
            <w:tcBorders>
              <w:top w:val="single" w:color="auto" w:sz="6" w:space="0"/>
              <w:left w:val="single" w:color="auto" w:sz="6" w:space="0"/>
              <w:bottom w:val="single" w:color="auto" w:sz="6" w:space="0"/>
              <w:right w:val="single" w:color="auto" w:sz="4" w:space="0"/>
            </w:tcBorders>
            <w:noWrap/>
            <w:vAlign w:val="center"/>
          </w:tcPr>
          <w:p w14:paraId="52F9FB12">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noWrap/>
            <w:vAlign w:val="center"/>
          </w:tcPr>
          <w:p w14:paraId="42F4D762">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218B7E62">
            <w:pPr>
              <w:widowControl/>
              <w:jc w:val="left"/>
              <w:rPr>
                <w:rFonts w:ascii="仿宋_GB2312" w:hAnsi="仿宋" w:eastAsia="仿宋_GB2312" w:cs="仿宋_GB2312"/>
                <w:color w:val="auto"/>
                <w:sz w:val="24"/>
                <w:highlight w:val="none"/>
              </w:rPr>
            </w:pPr>
          </w:p>
        </w:tc>
      </w:tr>
      <w:tr w14:paraId="76396BDD">
        <w:tblPrEx>
          <w:tblCellMar>
            <w:top w:w="0" w:type="dxa"/>
            <w:left w:w="108" w:type="dxa"/>
            <w:bottom w:w="0" w:type="dxa"/>
            <w:right w:w="108" w:type="dxa"/>
          </w:tblCellMar>
        </w:tblPrEx>
        <w:trPr>
          <w:cantSplit/>
          <w:trHeight w:val="970" w:hRule="atLeast"/>
        </w:trPr>
        <w:tc>
          <w:tcPr>
            <w:tcW w:w="2241" w:type="dxa"/>
            <w:tcBorders>
              <w:top w:val="single" w:color="auto" w:sz="6" w:space="0"/>
              <w:left w:val="single" w:color="auto" w:sz="6" w:space="0"/>
              <w:bottom w:val="single" w:color="auto" w:sz="6" w:space="0"/>
              <w:right w:val="single" w:color="auto" w:sz="6" w:space="0"/>
            </w:tcBorders>
            <w:noWrap/>
            <w:vAlign w:val="center"/>
          </w:tcPr>
          <w:p w14:paraId="4B63A4A9">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399" w:type="dxa"/>
            <w:tcBorders>
              <w:top w:val="single" w:color="auto" w:sz="6" w:space="0"/>
              <w:left w:val="single" w:color="auto" w:sz="6" w:space="0"/>
              <w:bottom w:val="single" w:color="auto" w:sz="6" w:space="0"/>
              <w:right w:val="single" w:color="auto" w:sz="4" w:space="0"/>
            </w:tcBorders>
            <w:noWrap/>
            <w:vAlign w:val="center"/>
          </w:tcPr>
          <w:p w14:paraId="1A833C4D">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noWrap/>
            <w:vAlign w:val="center"/>
          </w:tcPr>
          <w:p w14:paraId="34748F2D">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26DB61FA">
            <w:pPr>
              <w:widowControl/>
              <w:jc w:val="left"/>
              <w:rPr>
                <w:rFonts w:ascii="仿宋_GB2312" w:hAnsi="仿宋" w:eastAsia="仿宋_GB2312" w:cs="仿宋_GB2312"/>
                <w:color w:val="auto"/>
                <w:sz w:val="24"/>
                <w:highlight w:val="none"/>
              </w:rPr>
            </w:pPr>
          </w:p>
        </w:tc>
      </w:tr>
      <w:tr w14:paraId="437CF15F">
        <w:tblPrEx>
          <w:tblCellMar>
            <w:top w:w="0" w:type="dxa"/>
            <w:left w:w="108" w:type="dxa"/>
            <w:bottom w:w="0" w:type="dxa"/>
            <w:right w:w="108" w:type="dxa"/>
          </w:tblCellMar>
        </w:tblPrEx>
        <w:trPr>
          <w:cantSplit/>
          <w:trHeight w:val="506" w:hRule="atLeast"/>
        </w:trPr>
        <w:tc>
          <w:tcPr>
            <w:tcW w:w="224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2660B75">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399"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19928CB">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37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723B57E2">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4509" w:type="dxa"/>
            <w:vMerge w:val="continue"/>
            <w:tcBorders>
              <w:top w:val="single" w:color="auto" w:sz="6" w:space="0"/>
              <w:left w:val="single" w:color="auto" w:sz="6" w:space="0"/>
              <w:bottom w:val="single" w:color="auto" w:sz="6" w:space="0"/>
              <w:right w:val="single" w:color="auto" w:sz="6" w:space="0"/>
            </w:tcBorders>
            <w:noWrap w:val="0"/>
            <w:vAlign w:val="center"/>
          </w:tcPr>
          <w:p w14:paraId="5C4BEDF4">
            <w:pPr>
              <w:widowControl/>
              <w:jc w:val="left"/>
              <w:rPr>
                <w:rFonts w:ascii="仿宋_GB2312" w:hAnsi="仿宋" w:eastAsia="仿宋_GB2312" w:cs="仿宋_GB2312"/>
                <w:color w:val="auto"/>
                <w:sz w:val="24"/>
                <w:highlight w:val="none"/>
              </w:rPr>
            </w:pPr>
          </w:p>
        </w:tc>
      </w:tr>
    </w:tbl>
    <w:p w14:paraId="461000D1">
      <w:pPr>
        <w:autoSpaceDE w:val="0"/>
        <w:autoSpaceDN w:val="0"/>
        <w:spacing w:line="360" w:lineRule="auto"/>
        <w:ind w:firstLine="482"/>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注：须随表提交相应的证书复印件并注明所在投标技术文件页码。</w:t>
      </w:r>
    </w:p>
    <w:p w14:paraId="5FA3529E">
      <w:pPr>
        <w:autoSpaceDE w:val="0"/>
        <w:autoSpaceDN w:val="0"/>
        <w:spacing w:line="360" w:lineRule="auto"/>
        <w:ind w:firstLine="482"/>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18"/>
        <w:tblW w:w="0" w:type="auto"/>
        <w:tblInd w:w="108" w:type="dxa"/>
        <w:tblLayout w:type="fixed"/>
        <w:tblCellMar>
          <w:top w:w="0" w:type="dxa"/>
          <w:left w:w="108" w:type="dxa"/>
          <w:bottom w:w="0" w:type="dxa"/>
          <w:right w:w="108" w:type="dxa"/>
        </w:tblCellMar>
      </w:tblPr>
      <w:tblGrid>
        <w:gridCol w:w="621"/>
        <w:gridCol w:w="643"/>
        <w:gridCol w:w="544"/>
        <w:gridCol w:w="742"/>
        <w:gridCol w:w="842"/>
        <w:gridCol w:w="1131"/>
        <w:gridCol w:w="1131"/>
        <w:gridCol w:w="1320"/>
        <w:gridCol w:w="942"/>
        <w:gridCol w:w="1540"/>
      </w:tblGrid>
      <w:tr w14:paraId="4B0F6B69">
        <w:tblPrEx>
          <w:tblCellMar>
            <w:top w:w="0" w:type="dxa"/>
            <w:left w:w="108" w:type="dxa"/>
            <w:bottom w:w="0" w:type="dxa"/>
            <w:right w:w="108" w:type="dxa"/>
          </w:tblCellMar>
        </w:tblPrEx>
        <w:trPr>
          <w:trHeight w:val="1496" w:hRule="atLeast"/>
        </w:trPr>
        <w:tc>
          <w:tcPr>
            <w:tcW w:w="621" w:type="dxa"/>
            <w:tcBorders>
              <w:top w:val="single" w:color="auto" w:sz="6" w:space="0"/>
              <w:left w:val="single" w:color="auto" w:sz="6" w:space="0"/>
              <w:bottom w:val="single" w:color="auto" w:sz="6" w:space="0"/>
              <w:right w:val="single" w:color="auto" w:sz="6" w:space="0"/>
            </w:tcBorders>
            <w:noWrap/>
            <w:vAlign w:val="center"/>
          </w:tcPr>
          <w:p w14:paraId="1D802A41">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643" w:type="dxa"/>
            <w:tcBorders>
              <w:top w:val="single" w:color="auto" w:sz="6" w:space="0"/>
              <w:left w:val="single" w:color="auto" w:sz="6" w:space="0"/>
              <w:bottom w:val="single" w:color="auto" w:sz="6" w:space="0"/>
              <w:right w:val="single" w:color="auto" w:sz="6" w:space="0"/>
            </w:tcBorders>
            <w:noWrap/>
            <w:vAlign w:val="center"/>
          </w:tcPr>
          <w:p w14:paraId="05A93E0A">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544" w:type="dxa"/>
            <w:tcBorders>
              <w:top w:val="single" w:color="auto" w:sz="6" w:space="0"/>
              <w:left w:val="single" w:color="auto" w:sz="6" w:space="0"/>
              <w:bottom w:val="single" w:color="auto" w:sz="6" w:space="0"/>
              <w:right w:val="single" w:color="auto" w:sz="6" w:space="0"/>
            </w:tcBorders>
            <w:noWrap/>
            <w:vAlign w:val="center"/>
          </w:tcPr>
          <w:p w14:paraId="0083D468">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742" w:type="dxa"/>
            <w:tcBorders>
              <w:top w:val="single" w:color="auto" w:sz="6" w:space="0"/>
              <w:left w:val="single" w:color="auto" w:sz="6" w:space="0"/>
              <w:bottom w:val="single" w:color="auto" w:sz="6" w:space="0"/>
              <w:right w:val="single" w:color="auto" w:sz="6" w:space="0"/>
            </w:tcBorders>
            <w:noWrap/>
            <w:vAlign w:val="center"/>
          </w:tcPr>
          <w:p w14:paraId="3F72EE34">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842" w:type="dxa"/>
            <w:tcBorders>
              <w:top w:val="single" w:color="auto" w:sz="6" w:space="0"/>
              <w:left w:val="single" w:color="auto" w:sz="6" w:space="0"/>
              <w:bottom w:val="single" w:color="auto" w:sz="6" w:space="0"/>
              <w:right w:val="single" w:color="auto" w:sz="6" w:space="0"/>
            </w:tcBorders>
            <w:noWrap/>
            <w:vAlign w:val="center"/>
          </w:tcPr>
          <w:p w14:paraId="1B887250">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学历(页码)</w:t>
            </w:r>
          </w:p>
        </w:tc>
        <w:tc>
          <w:tcPr>
            <w:tcW w:w="1131" w:type="dxa"/>
            <w:tcBorders>
              <w:top w:val="single" w:color="auto" w:sz="6" w:space="0"/>
              <w:left w:val="single" w:color="auto" w:sz="6" w:space="0"/>
              <w:bottom w:val="single" w:color="auto" w:sz="6" w:space="0"/>
              <w:right w:val="single" w:color="auto" w:sz="6" w:space="0"/>
            </w:tcBorders>
            <w:noWrap/>
            <w:vAlign w:val="center"/>
          </w:tcPr>
          <w:p w14:paraId="12EE24B8">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专业(页码)</w:t>
            </w:r>
          </w:p>
        </w:tc>
        <w:tc>
          <w:tcPr>
            <w:tcW w:w="1131" w:type="dxa"/>
            <w:tcBorders>
              <w:top w:val="single" w:color="auto" w:sz="6" w:space="0"/>
              <w:left w:val="single" w:color="auto" w:sz="6" w:space="0"/>
              <w:bottom w:val="single" w:color="auto" w:sz="6" w:space="0"/>
              <w:right w:val="single" w:color="auto" w:sz="6" w:space="0"/>
            </w:tcBorders>
            <w:noWrap/>
            <w:vAlign w:val="center"/>
          </w:tcPr>
          <w:p w14:paraId="0E1C5342">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职称(页码)</w:t>
            </w:r>
          </w:p>
        </w:tc>
        <w:tc>
          <w:tcPr>
            <w:tcW w:w="1320" w:type="dxa"/>
            <w:tcBorders>
              <w:top w:val="single" w:color="auto" w:sz="6" w:space="0"/>
              <w:left w:val="single" w:color="auto" w:sz="6" w:space="0"/>
              <w:bottom w:val="single" w:color="auto" w:sz="6" w:space="0"/>
              <w:right w:val="single" w:color="auto" w:sz="6" w:space="0"/>
            </w:tcBorders>
            <w:noWrap/>
            <w:vAlign w:val="center"/>
          </w:tcPr>
          <w:p w14:paraId="129F5CA3">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42" w:type="dxa"/>
            <w:tcBorders>
              <w:top w:val="single" w:color="auto" w:sz="6" w:space="0"/>
              <w:left w:val="single" w:color="auto" w:sz="6" w:space="0"/>
              <w:bottom w:val="single" w:color="auto" w:sz="6" w:space="0"/>
              <w:right w:val="single" w:color="auto" w:sz="6" w:space="0"/>
            </w:tcBorders>
            <w:noWrap/>
            <w:vAlign w:val="center"/>
          </w:tcPr>
          <w:p w14:paraId="74EEA694">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540" w:type="dxa"/>
            <w:tcBorders>
              <w:top w:val="single" w:color="auto" w:sz="6" w:space="0"/>
              <w:left w:val="single" w:color="auto" w:sz="6" w:space="0"/>
              <w:bottom w:val="single" w:color="auto" w:sz="6" w:space="0"/>
              <w:right w:val="single" w:color="auto" w:sz="6" w:space="0"/>
            </w:tcBorders>
            <w:noWrap/>
            <w:vAlign w:val="center"/>
          </w:tcPr>
          <w:p w14:paraId="2194FF45">
            <w:pPr>
              <w:autoSpaceDE w:val="0"/>
              <w:autoSpaceDN w:val="0"/>
              <w:spacing w:line="360" w:lineRule="auto"/>
              <w:ind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268FAA18">
        <w:tblPrEx>
          <w:tblCellMar>
            <w:top w:w="0" w:type="dxa"/>
            <w:left w:w="108" w:type="dxa"/>
            <w:bottom w:w="0" w:type="dxa"/>
            <w:right w:w="108" w:type="dxa"/>
          </w:tblCellMar>
        </w:tblPrEx>
        <w:trPr>
          <w:trHeight w:val="508" w:hRule="atLeast"/>
        </w:trPr>
        <w:tc>
          <w:tcPr>
            <w:tcW w:w="621" w:type="dxa"/>
            <w:tcBorders>
              <w:top w:val="single" w:color="auto" w:sz="6" w:space="0"/>
              <w:left w:val="single" w:color="auto" w:sz="6" w:space="0"/>
              <w:bottom w:val="single" w:color="auto" w:sz="6" w:space="0"/>
              <w:right w:val="single" w:color="auto" w:sz="6" w:space="0"/>
            </w:tcBorders>
            <w:noWrap/>
            <w:vAlign w:val="top"/>
          </w:tcPr>
          <w:p w14:paraId="5097630F">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643" w:type="dxa"/>
            <w:tcBorders>
              <w:top w:val="single" w:color="auto" w:sz="6" w:space="0"/>
              <w:left w:val="single" w:color="auto" w:sz="6" w:space="0"/>
              <w:bottom w:val="single" w:color="auto" w:sz="6" w:space="0"/>
              <w:right w:val="single" w:color="auto" w:sz="6" w:space="0"/>
            </w:tcBorders>
            <w:noWrap/>
            <w:vAlign w:val="top"/>
          </w:tcPr>
          <w:p w14:paraId="3267C87E">
            <w:pPr>
              <w:autoSpaceDE w:val="0"/>
              <w:autoSpaceDN w:val="0"/>
              <w:spacing w:line="360" w:lineRule="auto"/>
              <w:ind w:firstLine="480"/>
              <w:rPr>
                <w:rFonts w:hint="eastAsia" w:ascii="仿宋_GB2312" w:hAnsi="仿宋" w:eastAsia="仿宋_GB2312" w:cs="仿宋_GB2312"/>
                <w:color w:val="auto"/>
                <w:sz w:val="24"/>
                <w:highlight w:val="none"/>
              </w:rPr>
            </w:pPr>
          </w:p>
        </w:tc>
        <w:tc>
          <w:tcPr>
            <w:tcW w:w="544" w:type="dxa"/>
            <w:tcBorders>
              <w:top w:val="single" w:color="auto" w:sz="6" w:space="0"/>
              <w:left w:val="single" w:color="auto" w:sz="6" w:space="0"/>
              <w:bottom w:val="single" w:color="auto" w:sz="6" w:space="0"/>
              <w:right w:val="single" w:color="auto" w:sz="6" w:space="0"/>
            </w:tcBorders>
            <w:noWrap/>
            <w:vAlign w:val="top"/>
          </w:tcPr>
          <w:p w14:paraId="35A31EC7">
            <w:pPr>
              <w:autoSpaceDE w:val="0"/>
              <w:autoSpaceDN w:val="0"/>
              <w:spacing w:line="360" w:lineRule="auto"/>
              <w:ind w:firstLine="480"/>
              <w:rPr>
                <w:rFonts w:hint="eastAsia" w:ascii="仿宋_GB2312" w:hAnsi="仿宋" w:eastAsia="仿宋_GB2312" w:cs="仿宋_GB2312"/>
                <w:color w:val="auto"/>
                <w:sz w:val="24"/>
                <w:highlight w:val="none"/>
              </w:rPr>
            </w:pPr>
          </w:p>
        </w:tc>
        <w:tc>
          <w:tcPr>
            <w:tcW w:w="742" w:type="dxa"/>
            <w:tcBorders>
              <w:top w:val="single" w:color="auto" w:sz="6" w:space="0"/>
              <w:left w:val="single" w:color="auto" w:sz="6" w:space="0"/>
              <w:bottom w:val="single" w:color="auto" w:sz="6" w:space="0"/>
              <w:right w:val="single" w:color="auto" w:sz="6" w:space="0"/>
            </w:tcBorders>
            <w:noWrap/>
            <w:vAlign w:val="top"/>
          </w:tcPr>
          <w:p w14:paraId="6716A78E">
            <w:pPr>
              <w:autoSpaceDE w:val="0"/>
              <w:autoSpaceDN w:val="0"/>
              <w:spacing w:line="360" w:lineRule="auto"/>
              <w:ind w:firstLine="480"/>
              <w:rPr>
                <w:rFonts w:hint="eastAsia" w:ascii="仿宋_GB2312" w:hAnsi="仿宋" w:eastAsia="仿宋_GB2312" w:cs="仿宋_GB2312"/>
                <w:color w:val="auto"/>
                <w:sz w:val="24"/>
                <w:highlight w:val="none"/>
              </w:rPr>
            </w:pPr>
          </w:p>
        </w:tc>
        <w:tc>
          <w:tcPr>
            <w:tcW w:w="842" w:type="dxa"/>
            <w:tcBorders>
              <w:top w:val="single" w:color="auto" w:sz="6" w:space="0"/>
              <w:left w:val="single" w:color="auto" w:sz="6" w:space="0"/>
              <w:bottom w:val="single" w:color="auto" w:sz="6" w:space="0"/>
              <w:right w:val="single" w:color="auto" w:sz="6" w:space="0"/>
            </w:tcBorders>
            <w:noWrap/>
            <w:vAlign w:val="top"/>
          </w:tcPr>
          <w:p w14:paraId="63EF5E3E">
            <w:pPr>
              <w:autoSpaceDE w:val="0"/>
              <w:autoSpaceDN w:val="0"/>
              <w:spacing w:line="360" w:lineRule="auto"/>
              <w:ind w:firstLine="480"/>
              <w:rPr>
                <w:rFonts w:hint="eastAsia" w:ascii="仿宋_GB2312" w:hAnsi="仿宋" w:eastAsia="仿宋_GB2312" w:cs="仿宋_GB2312"/>
                <w:color w:val="auto"/>
                <w:sz w:val="24"/>
                <w:highlight w:val="none"/>
              </w:rPr>
            </w:pPr>
          </w:p>
        </w:tc>
        <w:tc>
          <w:tcPr>
            <w:tcW w:w="1131" w:type="dxa"/>
            <w:tcBorders>
              <w:top w:val="single" w:color="auto" w:sz="6" w:space="0"/>
              <w:left w:val="single" w:color="auto" w:sz="6" w:space="0"/>
              <w:bottom w:val="single" w:color="auto" w:sz="6" w:space="0"/>
              <w:right w:val="single" w:color="auto" w:sz="6" w:space="0"/>
            </w:tcBorders>
            <w:noWrap/>
            <w:vAlign w:val="top"/>
          </w:tcPr>
          <w:p w14:paraId="42BBDA84">
            <w:pPr>
              <w:autoSpaceDE w:val="0"/>
              <w:autoSpaceDN w:val="0"/>
              <w:spacing w:line="360" w:lineRule="auto"/>
              <w:ind w:firstLine="480"/>
              <w:rPr>
                <w:rFonts w:hint="eastAsia" w:ascii="仿宋_GB2312" w:hAnsi="仿宋" w:eastAsia="仿宋_GB2312" w:cs="仿宋_GB2312"/>
                <w:color w:val="auto"/>
                <w:sz w:val="24"/>
                <w:highlight w:val="none"/>
              </w:rPr>
            </w:pPr>
          </w:p>
        </w:tc>
        <w:tc>
          <w:tcPr>
            <w:tcW w:w="1131" w:type="dxa"/>
            <w:tcBorders>
              <w:top w:val="single" w:color="auto" w:sz="6" w:space="0"/>
              <w:left w:val="single" w:color="auto" w:sz="6" w:space="0"/>
              <w:bottom w:val="single" w:color="auto" w:sz="6" w:space="0"/>
              <w:right w:val="single" w:color="auto" w:sz="6" w:space="0"/>
            </w:tcBorders>
            <w:noWrap/>
            <w:vAlign w:val="top"/>
          </w:tcPr>
          <w:p w14:paraId="096F117B">
            <w:pPr>
              <w:autoSpaceDE w:val="0"/>
              <w:autoSpaceDN w:val="0"/>
              <w:spacing w:line="360" w:lineRule="auto"/>
              <w:ind w:firstLine="480"/>
              <w:rPr>
                <w:rFonts w:hint="eastAsia" w:ascii="仿宋_GB2312" w:hAnsi="仿宋" w:eastAsia="仿宋_GB2312" w:cs="仿宋_GB2312"/>
                <w:color w:val="auto"/>
                <w:sz w:val="24"/>
                <w:highlight w:val="none"/>
              </w:rPr>
            </w:pPr>
          </w:p>
        </w:tc>
        <w:tc>
          <w:tcPr>
            <w:tcW w:w="1320" w:type="dxa"/>
            <w:tcBorders>
              <w:top w:val="single" w:color="auto" w:sz="6" w:space="0"/>
              <w:left w:val="single" w:color="auto" w:sz="6" w:space="0"/>
              <w:bottom w:val="single" w:color="auto" w:sz="6" w:space="0"/>
              <w:right w:val="single" w:color="auto" w:sz="6" w:space="0"/>
            </w:tcBorders>
            <w:noWrap/>
            <w:vAlign w:val="top"/>
          </w:tcPr>
          <w:p w14:paraId="012D1BC1">
            <w:pPr>
              <w:autoSpaceDE w:val="0"/>
              <w:autoSpaceDN w:val="0"/>
              <w:spacing w:line="360" w:lineRule="auto"/>
              <w:ind w:firstLine="480"/>
              <w:rPr>
                <w:rFonts w:hint="eastAsia" w:ascii="仿宋_GB2312" w:hAnsi="仿宋" w:eastAsia="仿宋_GB2312" w:cs="仿宋_GB2312"/>
                <w:color w:val="auto"/>
                <w:sz w:val="24"/>
                <w:highlight w:val="none"/>
              </w:rPr>
            </w:pPr>
          </w:p>
        </w:tc>
        <w:tc>
          <w:tcPr>
            <w:tcW w:w="942" w:type="dxa"/>
            <w:tcBorders>
              <w:top w:val="single" w:color="auto" w:sz="6" w:space="0"/>
              <w:left w:val="single" w:color="auto" w:sz="6" w:space="0"/>
              <w:bottom w:val="single" w:color="auto" w:sz="6" w:space="0"/>
              <w:right w:val="single" w:color="auto" w:sz="6" w:space="0"/>
            </w:tcBorders>
            <w:noWrap/>
            <w:vAlign w:val="top"/>
          </w:tcPr>
          <w:p w14:paraId="66F835CF">
            <w:pPr>
              <w:autoSpaceDE w:val="0"/>
              <w:autoSpaceDN w:val="0"/>
              <w:spacing w:line="360" w:lineRule="auto"/>
              <w:ind w:firstLine="480"/>
              <w:rPr>
                <w:rFonts w:hint="eastAsia" w:ascii="仿宋_GB2312" w:hAnsi="仿宋" w:eastAsia="仿宋_GB2312" w:cs="仿宋_GB2312"/>
                <w:color w:val="auto"/>
                <w:sz w:val="24"/>
                <w:highlight w:val="none"/>
              </w:rPr>
            </w:pPr>
          </w:p>
        </w:tc>
        <w:tc>
          <w:tcPr>
            <w:tcW w:w="1540" w:type="dxa"/>
            <w:tcBorders>
              <w:top w:val="single" w:color="auto" w:sz="6" w:space="0"/>
              <w:left w:val="single" w:color="auto" w:sz="6" w:space="0"/>
              <w:bottom w:val="single" w:color="auto" w:sz="6" w:space="0"/>
              <w:right w:val="single" w:color="auto" w:sz="6" w:space="0"/>
            </w:tcBorders>
            <w:noWrap/>
            <w:vAlign w:val="top"/>
          </w:tcPr>
          <w:p w14:paraId="3BFE33FD">
            <w:pPr>
              <w:autoSpaceDE w:val="0"/>
              <w:autoSpaceDN w:val="0"/>
              <w:spacing w:line="360" w:lineRule="auto"/>
              <w:ind w:firstLine="480"/>
              <w:rPr>
                <w:rFonts w:hint="eastAsia" w:ascii="仿宋_GB2312" w:hAnsi="仿宋" w:eastAsia="仿宋_GB2312" w:cs="仿宋_GB2312"/>
                <w:color w:val="auto"/>
                <w:sz w:val="24"/>
                <w:highlight w:val="none"/>
              </w:rPr>
            </w:pPr>
          </w:p>
        </w:tc>
      </w:tr>
      <w:tr w14:paraId="05EF6306">
        <w:tblPrEx>
          <w:tblCellMar>
            <w:top w:w="0" w:type="dxa"/>
            <w:left w:w="108" w:type="dxa"/>
            <w:bottom w:w="0" w:type="dxa"/>
            <w:right w:w="108" w:type="dxa"/>
          </w:tblCellMar>
        </w:tblPrEx>
        <w:trPr>
          <w:trHeight w:val="523" w:hRule="atLeast"/>
        </w:trPr>
        <w:tc>
          <w:tcPr>
            <w:tcW w:w="621" w:type="dxa"/>
            <w:tcBorders>
              <w:top w:val="single" w:color="auto" w:sz="6" w:space="0"/>
              <w:left w:val="single" w:color="auto" w:sz="6" w:space="0"/>
              <w:bottom w:val="single" w:color="auto" w:sz="6" w:space="0"/>
              <w:right w:val="single" w:color="auto" w:sz="6" w:space="0"/>
            </w:tcBorders>
            <w:noWrap/>
            <w:vAlign w:val="top"/>
          </w:tcPr>
          <w:p w14:paraId="0743799F">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643" w:type="dxa"/>
            <w:tcBorders>
              <w:top w:val="single" w:color="auto" w:sz="6" w:space="0"/>
              <w:left w:val="single" w:color="auto" w:sz="6" w:space="0"/>
              <w:bottom w:val="single" w:color="auto" w:sz="6" w:space="0"/>
              <w:right w:val="single" w:color="auto" w:sz="6" w:space="0"/>
            </w:tcBorders>
            <w:noWrap/>
            <w:vAlign w:val="top"/>
          </w:tcPr>
          <w:p w14:paraId="4CA09A2F">
            <w:pPr>
              <w:autoSpaceDE w:val="0"/>
              <w:autoSpaceDN w:val="0"/>
              <w:spacing w:line="360" w:lineRule="auto"/>
              <w:ind w:firstLine="480"/>
              <w:rPr>
                <w:rFonts w:hint="eastAsia" w:ascii="仿宋_GB2312" w:hAnsi="仿宋" w:eastAsia="仿宋_GB2312" w:cs="仿宋_GB2312"/>
                <w:color w:val="auto"/>
                <w:sz w:val="24"/>
                <w:highlight w:val="none"/>
              </w:rPr>
            </w:pPr>
          </w:p>
        </w:tc>
        <w:tc>
          <w:tcPr>
            <w:tcW w:w="544" w:type="dxa"/>
            <w:tcBorders>
              <w:top w:val="single" w:color="auto" w:sz="6" w:space="0"/>
              <w:left w:val="single" w:color="auto" w:sz="6" w:space="0"/>
              <w:bottom w:val="single" w:color="auto" w:sz="6" w:space="0"/>
              <w:right w:val="single" w:color="auto" w:sz="6" w:space="0"/>
            </w:tcBorders>
            <w:noWrap/>
            <w:vAlign w:val="top"/>
          </w:tcPr>
          <w:p w14:paraId="134DA527">
            <w:pPr>
              <w:autoSpaceDE w:val="0"/>
              <w:autoSpaceDN w:val="0"/>
              <w:spacing w:line="360" w:lineRule="auto"/>
              <w:ind w:firstLine="480"/>
              <w:rPr>
                <w:rFonts w:hint="eastAsia" w:ascii="仿宋_GB2312" w:hAnsi="仿宋" w:eastAsia="仿宋_GB2312" w:cs="仿宋_GB2312"/>
                <w:color w:val="auto"/>
                <w:sz w:val="24"/>
                <w:highlight w:val="none"/>
              </w:rPr>
            </w:pPr>
          </w:p>
        </w:tc>
        <w:tc>
          <w:tcPr>
            <w:tcW w:w="742" w:type="dxa"/>
            <w:tcBorders>
              <w:top w:val="single" w:color="auto" w:sz="6" w:space="0"/>
              <w:left w:val="single" w:color="auto" w:sz="6" w:space="0"/>
              <w:bottom w:val="single" w:color="auto" w:sz="6" w:space="0"/>
              <w:right w:val="single" w:color="auto" w:sz="6" w:space="0"/>
            </w:tcBorders>
            <w:noWrap/>
            <w:vAlign w:val="top"/>
          </w:tcPr>
          <w:p w14:paraId="0E529B5C">
            <w:pPr>
              <w:autoSpaceDE w:val="0"/>
              <w:autoSpaceDN w:val="0"/>
              <w:spacing w:line="360" w:lineRule="auto"/>
              <w:ind w:firstLine="480"/>
              <w:rPr>
                <w:rFonts w:hint="eastAsia" w:ascii="仿宋_GB2312" w:hAnsi="仿宋" w:eastAsia="仿宋_GB2312" w:cs="仿宋_GB2312"/>
                <w:color w:val="auto"/>
                <w:sz w:val="24"/>
                <w:highlight w:val="none"/>
              </w:rPr>
            </w:pPr>
          </w:p>
        </w:tc>
        <w:tc>
          <w:tcPr>
            <w:tcW w:w="842" w:type="dxa"/>
            <w:tcBorders>
              <w:top w:val="single" w:color="auto" w:sz="6" w:space="0"/>
              <w:left w:val="single" w:color="auto" w:sz="6" w:space="0"/>
              <w:bottom w:val="single" w:color="auto" w:sz="6" w:space="0"/>
              <w:right w:val="single" w:color="auto" w:sz="6" w:space="0"/>
            </w:tcBorders>
            <w:noWrap/>
            <w:vAlign w:val="top"/>
          </w:tcPr>
          <w:p w14:paraId="30917C8C">
            <w:pPr>
              <w:autoSpaceDE w:val="0"/>
              <w:autoSpaceDN w:val="0"/>
              <w:spacing w:line="360" w:lineRule="auto"/>
              <w:ind w:firstLine="480"/>
              <w:rPr>
                <w:rFonts w:hint="eastAsia" w:ascii="仿宋_GB2312" w:hAnsi="仿宋" w:eastAsia="仿宋_GB2312" w:cs="仿宋_GB2312"/>
                <w:color w:val="auto"/>
                <w:sz w:val="24"/>
                <w:highlight w:val="none"/>
              </w:rPr>
            </w:pPr>
          </w:p>
        </w:tc>
        <w:tc>
          <w:tcPr>
            <w:tcW w:w="1131" w:type="dxa"/>
            <w:tcBorders>
              <w:top w:val="single" w:color="auto" w:sz="6" w:space="0"/>
              <w:left w:val="single" w:color="auto" w:sz="6" w:space="0"/>
              <w:bottom w:val="single" w:color="auto" w:sz="6" w:space="0"/>
              <w:right w:val="single" w:color="auto" w:sz="6" w:space="0"/>
            </w:tcBorders>
            <w:noWrap/>
            <w:vAlign w:val="top"/>
          </w:tcPr>
          <w:p w14:paraId="4F811235">
            <w:pPr>
              <w:autoSpaceDE w:val="0"/>
              <w:autoSpaceDN w:val="0"/>
              <w:spacing w:line="360" w:lineRule="auto"/>
              <w:ind w:firstLine="480"/>
              <w:rPr>
                <w:rFonts w:hint="eastAsia" w:ascii="仿宋_GB2312" w:hAnsi="仿宋" w:eastAsia="仿宋_GB2312" w:cs="仿宋_GB2312"/>
                <w:color w:val="auto"/>
                <w:sz w:val="24"/>
                <w:highlight w:val="none"/>
              </w:rPr>
            </w:pPr>
          </w:p>
        </w:tc>
        <w:tc>
          <w:tcPr>
            <w:tcW w:w="1131" w:type="dxa"/>
            <w:tcBorders>
              <w:top w:val="single" w:color="auto" w:sz="6" w:space="0"/>
              <w:left w:val="single" w:color="auto" w:sz="6" w:space="0"/>
              <w:bottom w:val="single" w:color="auto" w:sz="6" w:space="0"/>
              <w:right w:val="single" w:color="auto" w:sz="6" w:space="0"/>
            </w:tcBorders>
            <w:noWrap/>
            <w:vAlign w:val="top"/>
          </w:tcPr>
          <w:p w14:paraId="3AD1F923">
            <w:pPr>
              <w:autoSpaceDE w:val="0"/>
              <w:autoSpaceDN w:val="0"/>
              <w:spacing w:line="360" w:lineRule="auto"/>
              <w:ind w:firstLine="480"/>
              <w:rPr>
                <w:rFonts w:hint="eastAsia" w:ascii="仿宋_GB2312" w:hAnsi="仿宋" w:eastAsia="仿宋_GB2312" w:cs="仿宋_GB2312"/>
                <w:color w:val="auto"/>
                <w:sz w:val="24"/>
                <w:highlight w:val="none"/>
              </w:rPr>
            </w:pPr>
          </w:p>
        </w:tc>
        <w:tc>
          <w:tcPr>
            <w:tcW w:w="1320" w:type="dxa"/>
            <w:tcBorders>
              <w:top w:val="single" w:color="auto" w:sz="6" w:space="0"/>
              <w:left w:val="single" w:color="auto" w:sz="6" w:space="0"/>
              <w:bottom w:val="single" w:color="auto" w:sz="6" w:space="0"/>
              <w:right w:val="single" w:color="auto" w:sz="6" w:space="0"/>
            </w:tcBorders>
            <w:noWrap/>
            <w:vAlign w:val="top"/>
          </w:tcPr>
          <w:p w14:paraId="650C436D">
            <w:pPr>
              <w:autoSpaceDE w:val="0"/>
              <w:autoSpaceDN w:val="0"/>
              <w:spacing w:line="360" w:lineRule="auto"/>
              <w:ind w:firstLine="480"/>
              <w:rPr>
                <w:rFonts w:hint="eastAsia" w:ascii="仿宋_GB2312" w:hAnsi="仿宋" w:eastAsia="仿宋_GB2312" w:cs="仿宋_GB2312"/>
                <w:color w:val="auto"/>
                <w:sz w:val="24"/>
                <w:highlight w:val="none"/>
              </w:rPr>
            </w:pPr>
          </w:p>
        </w:tc>
        <w:tc>
          <w:tcPr>
            <w:tcW w:w="942" w:type="dxa"/>
            <w:tcBorders>
              <w:top w:val="single" w:color="auto" w:sz="6" w:space="0"/>
              <w:left w:val="single" w:color="auto" w:sz="6" w:space="0"/>
              <w:bottom w:val="single" w:color="auto" w:sz="6" w:space="0"/>
              <w:right w:val="single" w:color="auto" w:sz="6" w:space="0"/>
            </w:tcBorders>
            <w:noWrap/>
            <w:vAlign w:val="top"/>
          </w:tcPr>
          <w:p w14:paraId="10FAAFEE">
            <w:pPr>
              <w:autoSpaceDE w:val="0"/>
              <w:autoSpaceDN w:val="0"/>
              <w:spacing w:line="360" w:lineRule="auto"/>
              <w:ind w:firstLine="480"/>
              <w:rPr>
                <w:rFonts w:hint="eastAsia" w:ascii="仿宋_GB2312" w:hAnsi="仿宋" w:eastAsia="仿宋_GB2312" w:cs="仿宋_GB2312"/>
                <w:color w:val="auto"/>
                <w:sz w:val="24"/>
                <w:highlight w:val="none"/>
              </w:rPr>
            </w:pPr>
          </w:p>
        </w:tc>
        <w:tc>
          <w:tcPr>
            <w:tcW w:w="1540" w:type="dxa"/>
            <w:tcBorders>
              <w:top w:val="single" w:color="auto" w:sz="6" w:space="0"/>
              <w:left w:val="single" w:color="auto" w:sz="6" w:space="0"/>
              <w:bottom w:val="single" w:color="auto" w:sz="6" w:space="0"/>
              <w:right w:val="single" w:color="auto" w:sz="6" w:space="0"/>
            </w:tcBorders>
            <w:noWrap/>
            <w:vAlign w:val="top"/>
          </w:tcPr>
          <w:p w14:paraId="24DD9CB0">
            <w:pPr>
              <w:autoSpaceDE w:val="0"/>
              <w:autoSpaceDN w:val="0"/>
              <w:spacing w:line="360" w:lineRule="auto"/>
              <w:ind w:firstLine="480"/>
              <w:rPr>
                <w:rFonts w:hint="eastAsia" w:ascii="仿宋_GB2312" w:hAnsi="仿宋" w:eastAsia="仿宋_GB2312" w:cs="仿宋_GB2312"/>
                <w:color w:val="auto"/>
                <w:sz w:val="24"/>
                <w:highlight w:val="none"/>
              </w:rPr>
            </w:pPr>
          </w:p>
        </w:tc>
      </w:tr>
    </w:tbl>
    <w:p w14:paraId="19506922">
      <w:pPr>
        <w:spacing w:line="360" w:lineRule="auto"/>
        <w:ind w:firstLine="482"/>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注：投标人可按上述的格式自行编制，须随表提交相应的证书复印件并注明所在投标技术文件页码。</w:t>
      </w:r>
    </w:p>
    <w:p w14:paraId="7476A921">
      <w:pPr>
        <w:spacing w:line="360" w:lineRule="auto"/>
        <w:ind w:firstLine="482"/>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附表C:本项目的项目经理和小组人员近3个月交纳社保记录情况表</w:t>
      </w:r>
      <w:r>
        <w:rPr>
          <w:rFonts w:hint="eastAsia" w:ascii="仿宋_GB2312" w:hAnsi="仿宋" w:eastAsia="仿宋_GB2312" w:cs="仿宋_GB2312"/>
          <w:color w:val="auto"/>
          <w:sz w:val="24"/>
          <w:highlight w:val="none"/>
        </w:rPr>
        <w:t>（以社保局缴纳凭证作附件）</w:t>
      </w:r>
    </w:p>
    <w:p w14:paraId="538DE812">
      <w:pPr>
        <w:snapToGrid w:val="0"/>
        <w:spacing w:line="360" w:lineRule="auto"/>
        <w:ind w:firstLine="472" w:firstLineChars="196"/>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（四）技术服务内容</w:t>
      </w:r>
    </w:p>
    <w:p w14:paraId="368A6EEA">
      <w:pPr>
        <w:autoSpaceDE w:val="0"/>
        <w:autoSpaceDN w:val="0"/>
        <w:spacing w:line="360" w:lineRule="auto"/>
        <w:ind w:firstLine="480" w:firstLineChars="200"/>
        <w:jc w:val="left"/>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0FCA1BE0">
      <w:pPr>
        <w:snapToGrid w:val="0"/>
        <w:spacing w:line="360" w:lineRule="auto"/>
        <w:ind w:firstLine="472" w:firstLineChars="196"/>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（五）技术培训内容</w:t>
      </w:r>
    </w:p>
    <w:p w14:paraId="6D7CADA5">
      <w:pPr>
        <w:spacing w:line="360" w:lineRule="auto"/>
        <w:ind w:firstLine="480"/>
        <w:jc w:val="both"/>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4D4941DC">
      <w:pPr>
        <w:keepNext/>
        <w:autoSpaceDE w:val="0"/>
        <w:autoSpaceDN w:val="0"/>
        <w:spacing w:line="360" w:lineRule="auto"/>
        <w:ind w:firstLine="482"/>
        <w:jc w:val="left"/>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 培训日程及费用</w:t>
      </w:r>
    </w:p>
    <w:tbl>
      <w:tblPr>
        <w:tblStyle w:val="18"/>
        <w:tblW w:w="0" w:type="auto"/>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27517EF6">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noWrap/>
            <w:vAlign w:val="center"/>
          </w:tcPr>
          <w:p w14:paraId="16A2C0B9">
            <w:pPr>
              <w:tabs>
                <w:tab w:val="center" w:pos="1690"/>
              </w:tabs>
              <w:suppressAutoHyphens/>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noWrap/>
            <w:vAlign w:val="top"/>
          </w:tcPr>
          <w:p w14:paraId="1B2606DD">
            <w:pPr>
              <w:tabs>
                <w:tab w:val="center" w:pos="595"/>
              </w:tabs>
              <w:suppressAutoHyphens/>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noWrap/>
            <w:vAlign w:val="center"/>
          </w:tcPr>
          <w:p w14:paraId="7571AE52">
            <w:pPr>
              <w:tabs>
                <w:tab w:val="center" w:pos="595"/>
              </w:tabs>
              <w:suppressAutoHyphens/>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noWrap/>
            <w:vAlign w:val="center"/>
          </w:tcPr>
          <w:p w14:paraId="0119E1CA">
            <w:pPr>
              <w:tabs>
                <w:tab w:val="center" w:pos="1028"/>
              </w:tabs>
              <w:suppressAutoHyphens/>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noWrap/>
            <w:vAlign w:val="center"/>
          </w:tcPr>
          <w:p w14:paraId="78FEA0F9">
            <w:pPr>
              <w:tabs>
                <w:tab w:val="center" w:pos="595"/>
              </w:tabs>
              <w:suppressAutoHyphens/>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noWrap/>
            <w:vAlign w:val="center"/>
          </w:tcPr>
          <w:p w14:paraId="70A8DE8B">
            <w:pPr>
              <w:tabs>
                <w:tab w:val="center" w:pos="520"/>
              </w:tabs>
              <w:suppressAutoHyphens/>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noWrap/>
            <w:vAlign w:val="center"/>
          </w:tcPr>
          <w:p w14:paraId="2A72CB57">
            <w:pPr>
              <w:suppressAutoHyphens/>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课程费用</w:t>
            </w:r>
          </w:p>
        </w:tc>
      </w:tr>
      <w:tr w14:paraId="1658A5AD">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ign w:val="top"/>
          </w:tcPr>
          <w:p w14:paraId="00A5FA0A">
            <w:pPr>
              <w:tabs>
                <w:tab w:val="left" w:pos="589"/>
                <w:tab w:val="left" w:pos="1303"/>
                <w:tab w:val="left" w:pos="2017"/>
                <w:tab w:val="left" w:pos="2731"/>
                <w:tab w:val="left" w:pos="3445"/>
                <w:tab w:val="left" w:pos="4159"/>
                <w:tab w:val="left" w:pos="4873"/>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254" w:type="dxa"/>
            <w:tcBorders>
              <w:top w:val="single" w:color="auto" w:sz="6" w:space="0"/>
              <w:left w:val="single" w:color="auto" w:sz="6" w:space="0"/>
              <w:bottom w:val="nil"/>
              <w:right w:val="single" w:color="auto" w:sz="6" w:space="0"/>
            </w:tcBorders>
            <w:noWrap/>
            <w:vAlign w:val="top"/>
          </w:tcPr>
          <w:p w14:paraId="2BC95CD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30" w:type="dxa"/>
            <w:tcBorders>
              <w:top w:val="single" w:color="auto" w:sz="6" w:space="0"/>
              <w:left w:val="single" w:color="auto" w:sz="6" w:space="0"/>
              <w:bottom w:val="nil"/>
              <w:right w:val="nil"/>
            </w:tcBorders>
            <w:noWrap/>
            <w:vAlign w:val="top"/>
          </w:tcPr>
          <w:p w14:paraId="7801EFD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53" w:type="dxa"/>
            <w:tcBorders>
              <w:top w:val="single" w:color="auto" w:sz="6" w:space="0"/>
              <w:left w:val="single" w:color="auto" w:sz="6" w:space="0"/>
              <w:bottom w:val="nil"/>
              <w:right w:val="nil"/>
            </w:tcBorders>
            <w:noWrap/>
            <w:vAlign w:val="top"/>
          </w:tcPr>
          <w:p w14:paraId="68C0CADD">
            <w:pPr>
              <w:tabs>
                <w:tab w:val="left" w:pos="573"/>
                <w:tab w:val="left" w:pos="1287"/>
                <w:tab w:val="left" w:pos="2001"/>
                <w:tab w:val="left" w:pos="2715"/>
                <w:tab w:val="left" w:pos="3429"/>
                <w:tab w:val="left" w:pos="4211"/>
                <w:tab w:val="left" w:pos="4643"/>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97" w:type="dxa"/>
            <w:tcBorders>
              <w:top w:val="single" w:color="auto" w:sz="6" w:space="0"/>
              <w:left w:val="single" w:color="auto" w:sz="6" w:space="0"/>
              <w:bottom w:val="nil"/>
              <w:right w:val="nil"/>
            </w:tcBorders>
            <w:noWrap/>
            <w:vAlign w:val="top"/>
          </w:tcPr>
          <w:p w14:paraId="086E23CE">
            <w:pPr>
              <w:tabs>
                <w:tab w:val="left" w:pos="440"/>
                <w:tab w:val="left" w:pos="1154"/>
                <w:tab w:val="left" w:pos="1936"/>
                <w:tab w:val="left" w:pos="2368"/>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440" w:type="dxa"/>
            <w:tcBorders>
              <w:top w:val="single" w:color="auto" w:sz="6" w:space="0"/>
              <w:left w:val="single" w:color="auto" w:sz="6" w:space="0"/>
              <w:bottom w:val="nil"/>
              <w:right w:val="nil"/>
            </w:tcBorders>
            <w:noWrap/>
            <w:vAlign w:val="top"/>
          </w:tcPr>
          <w:p w14:paraId="77AEF269">
            <w:pPr>
              <w:tabs>
                <w:tab w:val="left" w:pos="589"/>
                <w:tab w:val="left" w:pos="1303"/>
                <w:tab w:val="left" w:pos="2017"/>
                <w:tab w:val="left" w:pos="2731"/>
                <w:tab w:val="left" w:pos="3445"/>
                <w:tab w:val="left" w:pos="4159"/>
                <w:tab w:val="left" w:pos="4873"/>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620" w:type="dxa"/>
            <w:tcBorders>
              <w:top w:val="single" w:color="auto" w:sz="6" w:space="0"/>
              <w:left w:val="single" w:color="auto" w:sz="6" w:space="0"/>
              <w:bottom w:val="nil"/>
              <w:right w:val="single" w:color="auto" w:sz="6" w:space="0"/>
            </w:tcBorders>
            <w:noWrap/>
            <w:vAlign w:val="top"/>
          </w:tcPr>
          <w:p w14:paraId="471390BC">
            <w:pPr>
              <w:suppressAutoHyphens/>
              <w:autoSpaceDE w:val="0"/>
              <w:autoSpaceDN w:val="0"/>
              <w:spacing w:line="360" w:lineRule="auto"/>
              <w:ind w:firstLine="480"/>
              <w:rPr>
                <w:rFonts w:hint="eastAsia" w:ascii="仿宋_GB2312" w:hAnsi="仿宋" w:eastAsia="仿宋_GB2312" w:cs="仿宋_GB2312"/>
                <w:color w:val="auto"/>
                <w:sz w:val="24"/>
                <w:highlight w:val="none"/>
              </w:rPr>
            </w:pPr>
          </w:p>
        </w:tc>
      </w:tr>
      <w:tr w14:paraId="4B6D4EAC">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ign w:val="top"/>
          </w:tcPr>
          <w:p w14:paraId="0314C7AA">
            <w:pPr>
              <w:tabs>
                <w:tab w:val="left" w:pos="589"/>
                <w:tab w:val="left" w:pos="1303"/>
                <w:tab w:val="left" w:pos="2017"/>
                <w:tab w:val="left" w:pos="2731"/>
                <w:tab w:val="left" w:pos="3445"/>
                <w:tab w:val="left" w:pos="4159"/>
                <w:tab w:val="left" w:pos="4873"/>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254" w:type="dxa"/>
            <w:tcBorders>
              <w:top w:val="single" w:color="auto" w:sz="6" w:space="0"/>
              <w:left w:val="single" w:color="auto" w:sz="6" w:space="0"/>
              <w:bottom w:val="nil"/>
              <w:right w:val="single" w:color="auto" w:sz="6" w:space="0"/>
            </w:tcBorders>
            <w:noWrap/>
            <w:vAlign w:val="top"/>
          </w:tcPr>
          <w:p w14:paraId="4E542B8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30" w:type="dxa"/>
            <w:tcBorders>
              <w:top w:val="single" w:color="auto" w:sz="6" w:space="0"/>
              <w:left w:val="single" w:color="auto" w:sz="6" w:space="0"/>
              <w:bottom w:val="nil"/>
              <w:right w:val="nil"/>
            </w:tcBorders>
            <w:noWrap/>
            <w:vAlign w:val="top"/>
          </w:tcPr>
          <w:p w14:paraId="7C8882A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53" w:type="dxa"/>
            <w:tcBorders>
              <w:top w:val="single" w:color="auto" w:sz="6" w:space="0"/>
              <w:left w:val="single" w:color="auto" w:sz="6" w:space="0"/>
              <w:bottom w:val="nil"/>
              <w:right w:val="nil"/>
            </w:tcBorders>
            <w:noWrap/>
            <w:vAlign w:val="top"/>
          </w:tcPr>
          <w:p w14:paraId="2277D2F1">
            <w:pPr>
              <w:tabs>
                <w:tab w:val="left" w:pos="573"/>
                <w:tab w:val="left" w:pos="1287"/>
                <w:tab w:val="left" w:pos="2001"/>
                <w:tab w:val="left" w:pos="2715"/>
                <w:tab w:val="left" w:pos="3429"/>
                <w:tab w:val="left" w:pos="4211"/>
                <w:tab w:val="left" w:pos="4643"/>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97" w:type="dxa"/>
            <w:tcBorders>
              <w:top w:val="single" w:color="auto" w:sz="6" w:space="0"/>
              <w:left w:val="single" w:color="auto" w:sz="6" w:space="0"/>
              <w:bottom w:val="nil"/>
              <w:right w:val="nil"/>
            </w:tcBorders>
            <w:noWrap/>
            <w:vAlign w:val="top"/>
          </w:tcPr>
          <w:p w14:paraId="138290D7">
            <w:pPr>
              <w:tabs>
                <w:tab w:val="left" w:pos="440"/>
                <w:tab w:val="left" w:pos="1154"/>
                <w:tab w:val="left" w:pos="1936"/>
                <w:tab w:val="left" w:pos="2368"/>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440" w:type="dxa"/>
            <w:tcBorders>
              <w:top w:val="single" w:color="auto" w:sz="6" w:space="0"/>
              <w:left w:val="single" w:color="auto" w:sz="6" w:space="0"/>
              <w:bottom w:val="nil"/>
              <w:right w:val="nil"/>
            </w:tcBorders>
            <w:noWrap/>
            <w:vAlign w:val="top"/>
          </w:tcPr>
          <w:p w14:paraId="0801BAFA">
            <w:pPr>
              <w:tabs>
                <w:tab w:val="left" w:pos="7"/>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620" w:type="dxa"/>
            <w:tcBorders>
              <w:top w:val="single" w:color="auto" w:sz="6" w:space="0"/>
              <w:left w:val="single" w:color="auto" w:sz="6" w:space="0"/>
              <w:bottom w:val="nil"/>
              <w:right w:val="single" w:color="auto" w:sz="6" w:space="0"/>
            </w:tcBorders>
            <w:noWrap/>
            <w:vAlign w:val="top"/>
          </w:tcPr>
          <w:p w14:paraId="5E2541B2">
            <w:pPr>
              <w:suppressAutoHyphens/>
              <w:autoSpaceDE w:val="0"/>
              <w:autoSpaceDN w:val="0"/>
              <w:spacing w:line="360" w:lineRule="auto"/>
              <w:ind w:firstLine="480"/>
              <w:rPr>
                <w:rFonts w:hint="eastAsia" w:ascii="仿宋_GB2312" w:hAnsi="仿宋" w:eastAsia="仿宋_GB2312" w:cs="仿宋_GB2312"/>
                <w:color w:val="auto"/>
                <w:sz w:val="24"/>
                <w:highlight w:val="none"/>
              </w:rPr>
            </w:pPr>
          </w:p>
        </w:tc>
      </w:tr>
      <w:tr w14:paraId="5CBED6FF">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ign w:val="center"/>
          </w:tcPr>
          <w:p w14:paraId="3923485B">
            <w:pPr>
              <w:tabs>
                <w:tab w:val="left" w:pos="589"/>
                <w:tab w:val="left" w:pos="1303"/>
                <w:tab w:val="left" w:pos="2017"/>
                <w:tab w:val="left" w:pos="2731"/>
                <w:tab w:val="left" w:pos="3445"/>
                <w:tab w:val="left" w:pos="4159"/>
                <w:tab w:val="left" w:pos="4873"/>
              </w:tabs>
              <w:suppressAutoHyphens/>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noWrap/>
            <w:vAlign w:val="top"/>
          </w:tcPr>
          <w:p w14:paraId="347A2FA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noWrap/>
            <w:vAlign w:val="top"/>
          </w:tcPr>
          <w:p w14:paraId="223837E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noWrap/>
            <w:vAlign w:val="top"/>
          </w:tcPr>
          <w:p w14:paraId="7C4218BE">
            <w:pPr>
              <w:tabs>
                <w:tab w:val="left" w:pos="573"/>
                <w:tab w:val="left" w:pos="1287"/>
                <w:tab w:val="left" w:pos="2001"/>
                <w:tab w:val="left" w:pos="2715"/>
                <w:tab w:val="left" w:pos="3429"/>
                <w:tab w:val="left" w:pos="4211"/>
                <w:tab w:val="left" w:pos="4643"/>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noWrap/>
            <w:vAlign w:val="top"/>
          </w:tcPr>
          <w:p w14:paraId="5197F13A">
            <w:pPr>
              <w:tabs>
                <w:tab w:val="left" w:pos="440"/>
                <w:tab w:val="left" w:pos="1154"/>
                <w:tab w:val="left" w:pos="1936"/>
                <w:tab w:val="left" w:pos="2368"/>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noWrap/>
            <w:vAlign w:val="top"/>
          </w:tcPr>
          <w:p w14:paraId="4293D882">
            <w:pPr>
              <w:tabs>
                <w:tab w:val="left" w:pos="7"/>
              </w:tabs>
              <w:suppressAutoHyphens/>
              <w:autoSpaceDE w:val="0"/>
              <w:autoSpaceDN w:val="0"/>
              <w:spacing w:line="360" w:lineRule="auto"/>
              <w:ind w:firstLine="480"/>
              <w:rPr>
                <w:rFonts w:hint="eastAsia" w:ascii="仿宋_GB2312" w:hAnsi="仿宋" w:eastAsia="仿宋_GB2312" w:cs="仿宋_GB2312"/>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noWrap/>
            <w:vAlign w:val="top"/>
          </w:tcPr>
          <w:p w14:paraId="4CFBC645">
            <w:pPr>
              <w:suppressAutoHyphens/>
              <w:autoSpaceDE w:val="0"/>
              <w:autoSpaceDN w:val="0"/>
              <w:spacing w:line="360" w:lineRule="auto"/>
              <w:ind w:firstLine="480"/>
              <w:rPr>
                <w:rFonts w:hint="eastAsia" w:ascii="仿宋_GB2312" w:hAnsi="仿宋" w:eastAsia="仿宋_GB2312" w:cs="仿宋_GB2312"/>
                <w:color w:val="auto"/>
                <w:sz w:val="24"/>
                <w:highlight w:val="none"/>
              </w:rPr>
            </w:pPr>
          </w:p>
        </w:tc>
      </w:tr>
    </w:tbl>
    <w:p w14:paraId="0676A2AD">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注解:A</w:t>
      </w:r>
      <w:r>
        <w:rPr>
          <w:rFonts w:hint="eastAsia" w:ascii="仿宋_GB2312" w:hAnsi="仿宋" w:eastAsia="仿宋_GB2312" w:cs="仿宋_GB2312"/>
          <w:color w:val="auto"/>
          <w:sz w:val="24"/>
          <w:highlight w:val="none"/>
        </w:rPr>
        <w:tab/>
      </w:r>
      <w:r>
        <w:rPr>
          <w:rFonts w:hint="eastAsia" w:ascii="仿宋_GB2312" w:hAnsi="仿宋" w:eastAsia="仿宋_GB2312" w:cs="仿宋_GB2312"/>
          <w:color w:val="auto"/>
          <w:sz w:val="24"/>
          <w:highlight w:val="none"/>
        </w:rPr>
        <w:t>课程清单按时间顺序排列，并提供以下详细资料：</w:t>
      </w:r>
    </w:p>
    <w:p w14:paraId="51C9C793">
      <w:pPr>
        <w:numPr>
          <w:ilvl w:val="0"/>
          <w:numId w:val="11"/>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课程概要</w:t>
      </w:r>
    </w:p>
    <w:p w14:paraId="7330EA49">
      <w:pPr>
        <w:numPr>
          <w:ilvl w:val="0"/>
          <w:numId w:val="11"/>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课程目的</w:t>
      </w:r>
    </w:p>
    <w:p w14:paraId="364E9034">
      <w:pPr>
        <w:numPr>
          <w:ilvl w:val="0"/>
          <w:numId w:val="11"/>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教学方式</w:t>
      </w:r>
    </w:p>
    <w:p w14:paraId="102E17AB">
      <w:pPr>
        <w:numPr>
          <w:ilvl w:val="0"/>
          <w:numId w:val="11"/>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先决条件</w:t>
      </w:r>
    </w:p>
    <w:p w14:paraId="716ACEF1">
      <w:pPr>
        <w:numPr>
          <w:ilvl w:val="0"/>
          <w:numId w:val="11"/>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教材目录</w:t>
      </w:r>
    </w:p>
    <w:p w14:paraId="5A8ABBFE">
      <w:pPr>
        <w:autoSpaceDE w:val="0"/>
        <w:autoSpaceDN w:val="0"/>
        <w:spacing w:line="360" w:lineRule="auto"/>
        <w:ind w:firstLine="48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B  按照附表A提供授课教师的简历</w:t>
      </w:r>
    </w:p>
    <w:p w14:paraId="34BA11A6">
      <w:pPr>
        <w:autoSpaceDE w:val="0"/>
        <w:autoSpaceDN w:val="0"/>
        <w:spacing w:line="360" w:lineRule="auto"/>
        <w:ind w:firstLine="482"/>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注：须随表提交相应的证书复印件并注明所在投标技术文件页码。</w:t>
      </w:r>
    </w:p>
    <w:p w14:paraId="00AAA513">
      <w:pPr>
        <w:snapToGrid w:val="0"/>
        <w:spacing w:line="360" w:lineRule="auto"/>
        <w:ind w:firstLine="482"/>
        <w:rPr>
          <w:rFonts w:hint="eastAsia" w:ascii="仿宋_GB2312" w:hAnsi="仿宋" w:eastAsia="仿宋_GB2312" w:cs="仿宋_GB2312"/>
          <w:b/>
          <w:bCs/>
          <w:color w:val="auto"/>
          <w:kern w:val="0"/>
          <w:sz w:val="24"/>
          <w:highlight w:val="none"/>
        </w:rPr>
      </w:pPr>
    </w:p>
    <w:p w14:paraId="7C33FC1B">
      <w:pPr>
        <w:snapToGrid w:val="0"/>
        <w:spacing w:line="360" w:lineRule="auto"/>
        <w:ind w:firstLine="4935" w:firstLineChars="2350"/>
        <w:rPr>
          <w:rFonts w:hint="eastAsia" w:hAnsi="宋体"/>
          <w:color w:val="auto"/>
          <w:szCs w:val="21"/>
          <w:highlight w:val="none"/>
        </w:rPr>
      </w:pPr>
    </w:p>
    <w:p w14:paraId="354F656D">
      <w:pPr>
        <w:snapToGrid w:val="0"/>
        <w:spacing w:line="360" w:lineRule="auto"/>
        <w:ind w:firstLine="472" w:firstLineChars="196"/>
        <w:rPr>
          <w:rFonts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（六）售后服务方案</w:t>
      </w:r>
    </w:p>
    <w:p w14:paraId="5F9349C1">
      <w:pPr>
        <w:autoSpaceDE w:val="0"/>
        <w:autoSpaceDN w:val="0"/>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3C9BCB84">
      <w:pPr>
        <w:snapToGrid w:val="0"/>
        <w:spacing w:before="165" w:beforeLines="50" w:after="50"/>
        <w:ind w:left="142" w:firstLine="643"/>
        <w:jc w:val="center"/>
        <w:rPr>
          <w:rFonts w:hint="eastAsia" w:ascii="宋体" w:hAnsi="宋体"/>
          <w:b/>
          <w:color w:val="auto"/>
          <w:sz w:val="32"/>
          <w:szCs w:val="32"/>
          <w:highlight w:val="none"/>
        </w:rPr>
      </w:pPr>
      <w:r>
        <w:rPr>
          <w:rFonts w:hint="eastAsia" w:ascii="宋体" w:hAnsi="宋体"/>
          <w:b/>
          <w:color w:val="auto"/>
          <w:sz w:val="32"/>
          <w:szCs w:val="32"/>
          <w:highlight w:val="none"/>
        </w:rPr>
        <w:t>1、售后服务承诺</w:t>
      </w:r>
    </w:p>
    <w:p w14:paraId="5A52A18D">
      <w:pPr>
        <w:autoSpaceDE w:val="0"/>
        <w:autoSpaceDN w:val="0"/>
        <w:spacing w:line="360" w:lineRule="auto"/>
        <w:ind w:firstLine="482"/>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附表A:售后服务机构情况表</w:t>
      </w:r>
      <w:r>
        <w:rPr>
          <w:rFonts w:hint="eastAsia" w:ascii="仿宋_GB2312" w:hAnsi="仿宋" w:eastAsia="仿宋_GB2312" w:cs="仿宋_GB2312"/>
          <w:color w:val="auto"/>
          <w:sz w:val="24"/>
          <w:highlight w:val="none"/>
        </w:rPr>
        <w:t>（按此格式自制）</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5C70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157371C8">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noWrap/>
            <w:vAlign w:val="top"/>
          </w:tcPr>
          <w:p w14:paraId="5F4FB1E1">
            <w:pPr>
              <w:autoSpaceDE w:val="0"/>
              <w:autoSpaceDN w:val="0"/>
              <w:spacing w:line="360" w:lineRule="auto"/>
              <w:ind w:firstLine="482"/>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ign w:val="top"/>
          </w:tcPr>
          <w:p w14:paraId="0A064A48">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ign w:val="top"/>
          </w:tcPr>
          <w:p w14:paraId="70A6CA5D">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ign w:val="top"/>
          </w:tcPr>
          <w:p w14:paraId="1BE4F02F">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技术人员数量</w:t>
            </w:r>
          </w:p>
        </w:tc>
        <w:tc>
          <w:tcPr>
            <w:tcW w:w="1260" w:type="dxa"/>
            <w:tcBorders>
              <w:top w:val="single" w:color="auto" w:sz="4" w:space="0"/>
              <w:left w:val="single" w:color="auto" w:sz="4" w:space="0"/>
              <w:bottom w:val="single" w:color="auto" w:sz="4" w:space="0"/>
              <w:right w:val="single" w:color="auto" w:sz="4" w:space="0"/>
            </w:tcBorders>
            <w:noWrap/>
            <w:vAlign w:val="top"/>
          </w:tcPr>
          <w:p w14:paraId="72458DF8">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14:paraId="1254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3CA53892">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6DF40695">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2C8AE13A">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1CC31E45">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27B57CF3">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457F2B10">
            <w:pPr>
              <w:autoSpaceDE w:val="0"/>
              <w:autoSpaceDN w:val="0"/>
              <w:spacing w:line="360" w:lineRule="auto"/>
              <w:ind w:firstLine="480"/>
              <w:jc w:val="center"/>
              <w:rPr>
                <w:rFonts w:hint="eastAsia" w:ascii="仿宋_GB2312" w:hAnsi="仿宋" w:eastAsia="仿宋_GB2312" w:cs="仿宋_GB2312"/>
                <w:color w:val="auto"/>
                <w:sz w:val="24"/>
                <w:highlight w:val="none"/>
              </w:rPr>
            </w:pPr>
          </w:p>
        </w:tc>
      </w:tr>
      <w:tr w14:paraId="2622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1F7C361C">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66DB2783">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38E27F66">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4A3F3F9F">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1EE06660">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511DFD38">
            <w:pPr>
              <w:autoSpaceDE w:val="0"/>
              <w:autoSpaceDN w:val="0"/>
              <w:spacing w:line="360" w:lineRule="auto"/>
              <w:ind w:firstLine="480"/>
              <w:jc w:val="center"/>
              <w:rPr>
                <w:rFonts w:hint="eastAsia" w:ascii="仿宋_GB2312" w:hAnsi="仿宋" w:eastAsia="仿宋_GB2312" w:cs="仿宋_GB2312"/>
                <w:color w:val="auto"/>
                <w:sz w:val="24"/>
                <w:highlight w:val="none"/>
              </w:rPr>
            </w:pPr>
          </w:p>
        </w:tc>
      </w:tr>
      <w:tr w14:paraId="7367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7227EAC6">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30BEF652">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3D71E117">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6252B5E4">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2EFEE0DF">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42F40041">
            <w:pPr>
              <w:autoSpaceDE w:val="0"/>
              <w:autoSpaceDN w:val="0"/>
              <w:spacing w:line="360" w:lineRule="auto"/>
              <w:ind w:firstLine="480"/>
              <w:jc w:val="center"/>
              <w:rPr>
                <w:rFonts w:hint="eastAsia" w:ascii="仿宋_GB2312" w:hAnsi="仿宋" w:eastAsia="仿宋_GB2312" w:cs="仿宋_GB2312"/>
                <w:color w:val="auto"/>
                <w:sz w:val="24"/>
                <w:highlight w:val="none"/>
              </w:rPr>
            </w:pPr>
          </w:p>
        </w:tc>
      </w:tr>
    </w:tbl>
    <w:p w14:paraId="110D46B0">
      <w:pPr>
        <w:autoSpaceDE w:val="0"/>
        <w:autoSpaceDN w:val="0"/>
        <w:spacing w:line="360" w:lineRule="auto"/>
        <w:ind w:firstLine="482"/>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注：关于项目涉及的所有售后服务机构均在本表注明，包括投标人本单位和符合条件的第三方货物机构；</w:t>
      </w:r>
    </w:p>
    <w:p w14:paraId="1185D850">
      <w:pPr>
        <w:autoSpaceDE w:val="0"/>
        <w:autoSpaceDN w:val="0"/>
        <w:spacing w:line="360" w:lineRule="auto"/>
        <w:ind w:firstLine="480"/>
        <w:rPr>
          <w:rFonts w:hint="eastAsia" w:ascii="仿宋_GB2312" w:hAnsi="仿宋" w:eastAsia="仿宋_GB2312" w:cs="仿宋_GB2312"/>
          <w:color w:val="auto"/>
          <w:kern w:val="0"/>
          <w:sz w:val="24"/>
          <w:highlight w:val="none"/>
        </w:rPr>
      </w:pPr>
    </w:p>
    <w:p w14:paraId="2D2E43C5">
      <w:pPr>
        <w:autoSpaceDE w:val="0"/>
        <w:autoSpaceDN w:val="0"/>
        <w:spacing w:line="360" w:lineRule="auto"/>
        <w:ind w:firstLine="482"/>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附表B：售后服务人员情况表</w:t>
      </w:r>
      <w:r>
        <w:rPr>
          <w:rFonts w:hint="eastAsia" w:ascii="仿宋_GB2312" w:hAnsi="仿宋" w:eastAsia="仿宋_GB2312" w:cs="仿宋_GB2312"/>
          <w:color w:val="auto"/>
          <w:sz w:val="24"/>
          <w:highlight w:val="none"/>
        </w:rPr>
        <w:t>（按此格式自制）</w:t>
      </w:r>
    </w:p>
    <w:tbl>
      <w:tblPr>
        <w:tblStyle w:val="18"/>
        <w:tblW w:w="10005" w:type="dxa"/>
        <w:jc w:val="center"/>
        <w:tblLayout w:type="fixed"/>
        <w:tblCellMar>
          <w:top w:w="0" w:type="dxa"/>
          <w:left w:w="108" w:type="dxa"/>
          <w:bottom w:w="0" w:type="dxa"/>
          <w:right w:w="108" w:type="dxa"/>
        </w:tblCellMar>
      </w:tblPr>
      <w:tblGrid>
        <w:gridCol w:w="647"/>
        <w:gridCol w:w="747"/>
        <w:gridCol w:w="788"/>
        <w:gridCol w:w="412"/>
        <w:gridCol w:w="900"/>
        <w:gridCol w:w="1080"/>
        <w:gridCol w:w="1080"/>
        <w:gridCol w:w="1080"/>
        <w:gridCol w:w="1260"/>
        <w:gridCol w:w="900"/>
        <w:gridCol w:w="1111"/>
      </w:tblGrid>
      <w:tr w14:paraId="221C111E">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ign w:val="center"/>
          </w:tcPr>
          <w:p w14:paraId="5BD0B763">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p w14:paraId="0AAF7CF3">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ign w:val="center"/>
          </w:tcPr>
          <w:p w14:paraId="08499254">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ign w:val="center"/>
          </w:tcPr>
          <w:p w14:paraId="6CA4E373">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7719FC0F">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ign w:val="center"/>
          </w:tcPr>
          <w:p w14:paraId="5F720DB7">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ign w:val="center"/>
          </w:tcPr>
          <w:p w14:paraId="2E23A42D">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ign w:val="center"/>
          </w:tcPr>
          <w:p w14:paraId="5E834BA0">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ign w:val="center"/>
          </w:tcPr>
          <w:p w14:paraId="705040AB">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ign w:val="center"/>
          </w:tcPr>
          <w:p w14:paraId="713A5C7F">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7883F638">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ign w:val="center"/>
          </w:tcPr>
          <w:p w14:paraId="62F2A40B">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7C2A2C85">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6BF5754C">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06B68088">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ign w:val="top"/>
          </w:tcPr>
          <w:p w14:paraId="1A6C6342">
            <w:pPr>
              <w:autoSpaceDE w:val="0"/>
              <w:autoSpaceDN w:val="0"/>
              <w:spacing w:line="360" w:lineRule="auto"/>
              <w:ind w:firstLine="480"/>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6658DAE6">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3BA12DD5">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2D414A65">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1DC9F474">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3C454B4">
            <w:pPr>
              <w:autoSpaceDE w:val="0"/>
              <w:autoSpaceDN w:val="0"/>
              <w:spacing w:line="360" w:lineRule="auto"/>
              <w:ind w:firstLine="480"/>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26225198">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30B6116A">
            <w:pPr>
              <w:autoSpaceDE w:val="0"/>
              <w:autoSpaceDN w:val="0"/>
              <w:spacing w:line="360" w:lineRule="auto"/>
              <w:ind w:firstLine="480"/>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5562C3B4">
            <w:pPr>
              <w:autoSpaceDE w:val="0"/>
              <w:autoSpaceDN w:val="0"/>
              <w:spacing w:line="360" w:lineRule="auto"/>
              <w:ind w:firstLine="480"/>
              <w:rPr>
                <w:rFonts w:hint="eastAsia" w:ascii="仿宋_GB2312" w:hAnsi="仿宋" w:eastAsia="仿宋_GB2312" w:cs="仿宋_GB2312"/>
                <w:color w:val="auto"/>
                <w:sz w:val="24"/>
                <w:highlight w:val="none"/>
              </w:rPr>
            </w:pPr>
          </w:p>
        </w:tc>
      </w:tr>
      <w:tr w14:paraId="502EAA1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7C9B6BA9">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483D31E5">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ign w:val="top"/>
          </w:tcPr>
          <w:p w14:paraId="7EDE7316">
            <w:pPr>
              <w:autoSpaceDE w:val="0"/>
              <w:autoSpaceDN w:val="0"/>
              <w:spacing w:line="360" w:lineRule="auto"/>
              <w:ind w:firstLine="480"/>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4288EE3F">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032F54B7">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582439D">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A2055B7">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3FCCBAB1">
            <w:pPr>
              <w:autoSpaceDE w:val="0"/>
              <w:autoSpaceDN w:val="0"/>
              <w:spacing w:line="360" w:lineRule="auto"/>
              <w:ind w:firstLine="480"/>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785E19F4">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7CC5EB24">
            <w:pPr>
              <w:autoSpaceDE w:val="0"/>
              <w:autoSpaceDN w:val="0"/>
              <w:spacing w:line="360" w:lineRule="auto"/>
              <w:ind w:firstLine="480"/>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6A54AE21">
            <w:pPr>
              <w:autoSpaceDE w:val="0"/>
              <w:autoSpaceDN w:val="0"/>
              <w:spacing w:line="360" w:lineRule="auto"/>
              <w:ind w:firstLine="480"/>
              <w:rPr>
                <w:rFonts w:hint="eastAsia" w:ascii="仿宋_GB2312" w:hAnsi="仿宋" w:eastAsia="仿宋_GB2312" w:cs="仿宋_GB2312"/>
                <w:color w:val="auto"/>
                <w:sz w:val="24"/>
                <w:highlight w:val="none"/>
              </w:rPr>
            </w:pPr>
          </w:p>
        </w:tc>
      </w:tr>
      <w:tr w14:paraId="723C45F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1F28F03D">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3C8961D0">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57013690">
            <w:pPr>
              <w:autoSpaceDE w:val="0"/>
              <w:autoSpaceDN w:val="0"/>
              <w:spacing w:line="360" w:lineRule="auto"/>
              <w:ind w:firstLine="480"/>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359A254E">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157C657B">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76960C23">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6C761E87">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79B9BA74">
            <w:pPr>
              <w:autoSpaceDE w:val="0"/>
              <w:autoSpaceDN w:val="0"/>
              <w:spacing w:line="360" w:lineRule="auto"/>
              <w:ind w:firstLine="480"/>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46371DFB">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7B5E66F6">
            <w:pPr>
              <w:autoSpaceDE w:val="0"/>
              <w:autoSpaceDN w:val="0"/>
              <w:spacing w:line="360" w:lineRule="auto"/>
              <w:ind w:firstLine="480"/>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2DB0358D">
            <w:pPr>
              <w:autoSpaceDE w:val="0"/>
              <w:autoSpaceDN w:val="0"/>
              <w:spacing w:line="360" w:lineRule="auto"/>
              <w:ind w:firstLine="480"/>
              <w:rPr>
                <w:rFonts w:hint="eastAsia" w:ascii="仿宋_GB2312" w:hAnsi="仿宋" w:eastAsia="仿宋_GB2312" w:cs="仿宋_GB2312"/>
                <w:color w:val="auto"/>
                <w:sz w:val="24"/>
                <w:highlight w:val="none"/>
              </w:rPr>
            </w:pPr>
          </w:p>
        </w:tc>
      </w:tr>
      <w:tr w14:paraId="27E98A5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2A434739">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3C54E0B7">
            <w:pPr>
              <w:autoSpaceDE w:val="0"/>
              <w:autoSpaceDN w:val="0"/>
              <w:spacing w:line="360" w:lineRule="auto"/>
              <w:ind w:firstLine="480"/>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30B1C968">
            <w:pPr>
              <w:autoSpaceDE w:val="0"/>
              <w:autoSpaceDN w:val="0"/>
              <w:spacing w:line="360" w:lineRule="auto"/>
              <w:ind w:firstLine="480"/>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22891680">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7E79E2BB">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DD7D661">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D0A1064">
            <w:pPr>
              <w:autoSpaceDE w:val="0"/>
              <w:autoSpaceDN w:val="0"/>
              <w:spacing w:line="360" w:lineRule="auto"/>
              <w:ind w:firstLine="480"/>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9456E01">
            <w:pPr>
              <w:autoSpaceDE w:val="0"/>
              <w:autoSpaceDN w:val="0"/>
              <w:spacing w:line="360" w:lineRule="auto"/>
              <w:ind w:firstLine="480"/>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3394CA9A">
            <w:pPr>
              <w:autoSpaceDE w:val="0"/>
              <w:autoSpaceDN w:val="0"/>
              <w:spacing w:line="360" w:lineRule="auto"/>
              <w:ind w:firstLine="480"/>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50B16A63">
            <w:pPr>
              <w:autoSpaceDE w:val="0"/>
              <w:autoSpaceDN w:val="0"/>
              <w:spacing w:line="360" w:lineRule="auto"/>
              <w:ind w:firstLine="480"/>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217C5A84">
            <w:pPr>
              <w:autoSpaceDE w:val="0"/>
              <w:autoSpaceDN w:val="0"/>
              <w:spacing w:line="360" w:lineRule="auto"/>
              <w:ind w:firstLine="480"/>
              <w:rPr>
                <w:rFonts w:hint="eastAsia" w:ascii="仿宋_GB2312" w:hAnsi="仿宋" w:eastAsia="仿宋_GB2312" w:cs="仿宋_GB2312"/>
                <w:color w:val="auto"/>
                <w:sz w:val="24"/>
                <w:highlight w:val="none"/>
              </w:rPr>
            </w:pPr>
          </w:p>
        </w:tc>
      </w:tr>
    </w:tbl>
    <w:p w14:paraId="6C346BBC">
      <w:pPr>
        <w:snapToGrid w:val="0"/>
        <w:spacing w:before="120" w:line="360" w:lineRule="auto"/>
        <w:ind w:firstLine="472" w:firstLineChars="196"/>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（七）其他（根据采购需求内容由投标人自行决定是否还有其他内容）</w:t>
      </w:r>
    </w:p>
    <w:p w14:paraId="19EA12AF">
      <w:pPr>
        <w:snapToGrid w:val="0"/>
        <w:spacing w:before="165" w:beforeLines="50" w:after="50"/>
        <w:ind w:left="142" w:firstLine="643"/>
        <w:jc w:val="center"/>
        <w:rPr>
          <w:rFonts w:hint="eastAsia" w:ascii="宋体" w:hAnsi="宋体"/>
          <w:b/>
          <w:color w:val="auto"/>
          <w:sz w:val="32"/>
          <w:szCs w:val="32"/>
          <w:highlight w:val="none"/>
        </w:rPr>
      </w:pPr>
    </w:p>
    <w:p w14:paraId="0642263B">
      <w:pPr>
        <w:snapToGrid w:val="0"/>
        <w:spacing w:before="165" w:beforeLines="50" w:line="360" w:lineRule="auto"/>
        <w:ind w:right="480" w:firstLine="3967" w:firstLineChars="1653"/>
        <w:rPr>
          <w:rFonts w:hint="eastAsia" w:ascii="宋体" w:hAnsi="宋体"/>
          <w:color w:val="auto"/>
          <w:sz w:val="24"/>
          <w:highlight w:val="none"/>
        </w:rPr>
      </w:pPr>
    </w:p>
    <w:p w14:paraId="0B24F4CC">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F3F1E9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月日</w:t>
      </w:r>
    </w:p>
    <w:p w14:paraId="2ACC669C">
      <w:pPr>
        <w:snapToGrid w:val="0"/>
        <w:spacing w:before="165" w:beforeLines="50" w:after="50"/>
        <w:ind w:firstLine="482"/>
        <w:jc w:val="left"/>
        <w:rPr>
          <w:rFonts w:hint="eastAsia" w:ascii="宋体" w:hAnsi="宋体"/>
          <w:color w:val="auto"/>
          <w:sz w:val="24"/>
          <w:highlight w:val="none"/>
        </w:rPr>
      </w:pPr>
      <w:r>
        <w:rPr>
          <w:rFonts w:hint="eastAsia" w:ascii="宋体" w:hAnsi="宋体"/>
          <w:b/>
          <w:color w:val="auto"/>
          <w:sz w:val="24"/>
          <w:highlight w:val="none"/>
        </w:rPr>
        <w:br w:type="page"/>
      </w:r>
    </w:p>
    <w:p w14:paraId="7EBE4D53">
      <w:pPr>
        <w:keepNext w:val="0"/>
        <w:keepLines w:val="0"/>
        <w:pageBreakBefore w:val="0"/>
        <w:widowControl w:val="0"/>
        <w:numPr>
          <w:ilvl w:val="0"/>
          <w:numId w:val="0"/>
        </w:numPr>
        <w:kinsoku/>
        <w:wordWrap/>
        <w:overflowPunct/>
        <w:topLinePunct w:val="0"/>
        <w:autoSpaceDE/>
        <w:autoSpaceDN/>
        <w:bidi w:val="0"/>
        <w:adjustRightInd/>
        <w:snapToGrid w:val="0"/>
        <w:spacing w:before="120" w:beforeLines="50" w:after="50"/>
        <w:jc w:val="left"/>
        <w:textAlignment w:val="auto"/>
        <w:outlineLvl w:val="9"/>
        <w:rPr>
          <w:rFonts w:hint="eastAsia" w:ascii="宋体" w:hAnsi="宋体" w:cs="宋体"/>
          <w:b/>
          <w:color w:val="auto"/>
          <w:sz w:val="28"/>
          <w:szCs w:val="28"/>
          <w:highlight w:val="none"/>
          <w:lang w:eastAsia="zh-CN"/>
        </w:rPr>
        <w:sectPr>
          <w:pgSz w:w="11906" w:h="16838"/>
          <w:pgMar w:top="1134" w:right="1134" w:bottom="1134" w:left="1134" w:header="720" w:footer="720" w:gutter="0"/>
          <w:cols w:space="720" w:num="1"/>
          <w:docGrid w:type="lines" w:linePitch="331" w:charSpace="0"/>
        </w:sectPr>
      </w:pPr>
    </w:p>
    <w:p w14:paraId="79F43EF1">
      <w:pPr>
        <w:snapToGrid w:val="0"/>
        <w:spacing w:before="165" w:beforeLines="50" w:after="50"/>
        <w:ind w:left="142" w:firstLine="643"/>
        <w:jc w:val="center"/>
        <w:rPr>
          <w:rFonts w:hint="eastAsia" w:ascii="宋体" w:hAnsi="宋体"/>
          <w:b/>
          <w:color w:val="auto"/>
          <w:sz w:val="32"/>
          <w:szCs w:val="32"/>
          <w:highlight w:val="none"/>
        </w:rPr>
      </w:pPr>
      <w:r>
        <w:rPr>
          <w:rFonts w:hint="eastAsia" w:ascii="宋体" w:hAnsi="宋体"/>
          <w:b/>
          <w:color w:val="auto"/>
          <w:sz w:val="32"/>
          <w:szCs w:val="32"/>
          <w:highlight w:val="none"/>
        </w:rPr>
        <w:t>三、对本项目总体要求和理解（如有要求）</w:t>
      </w:r>
    </w:p>
    <w:p w14:paraId="45D8D533">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3B235850">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5468CEFB">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27C81D7">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月日</w:t>
      </w:r>
    </w:p>
    <w:p w14:paraId="74D35740">
      <w:pPr>
        <w:snapToGrid w:val="0"/>
        <w:spacing w:before="165" w:beforeLines="50" w:after="50"/>
        <w:ind w:left="142" w:firstLine="643"/>
        <w:jc w:val="center"/>
        <w:rPr>
          <w:rFonts w:hint="eastAsia" w:ascii="宋体" w:hAnsi="宋体"/>
          <w:b/>
          <w:color w:val="auto"/>
          <w:sz w:val="32"/>
          <w:szCs w:val="32"/>
          <w:highlight w:val="none"/>
        </w:rPr>
      </w:pPr>
    </w:p>
    <w:p w14:paraId="778BBC70">
      <w:pPr>
        <w:snapToGrid w:val="0"/>
        <w:spacing w:before="165" w:beforeLines="50" w:after="50"/>
        <w:ind w:left="142" w:firstLine="643"/>
        <w:jc w:val="center"/>
        <w:rPr>
          <w:rFonts w:hint="eastAsia" w:ascii="宋体" w:hAnsi="宋体"/>
          <w:b/>
          <w:color w:val="auto"/>
          <w:sz w:val="32"/>
          <w:szCs w:val="32"/>
          <w:highlight w:val="none"/>
        </w:rPr>
      </w:pPr>
      <w:r>
        <w:rPr>
          <w:rFonts w:hint="eastAsia" w:ascii="宋体" w:hAnsi="宋体"/>
          <w:b/>
          <w:color w:val="auto"/>
          <w:sz w:val="32"/>
          <w:szCs w:val="32"/>
          <w:highlight w:val="none"/>
        </w:rPr>
        <w:t>四、产品出厂标准、质量检测报告</w:t>
      </w:r>
    </w:p>
    <w:p w14:paraId="2BC915F2">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48C8E02F">
      <w:pPr>
        <w:snapToGrid w:val="0"/>
        <w:spacing w:before="165" w:beforeLines="50" w:after="50"/>
        <w:ind w:left="142" w:firstLine="643"/>
        <w:jc w:val="center"/>
        <w:rPr>
          <w:rFonts w:hint="eastAsia" w:ascii="宋体" w:hAnsi="宋体"/>
          <w:b/>
          <w:color w:val="auto"/>
          <w:sz w:val="32"/>
          <w:szCs w:val="32"/>
          <w:highlight w:val="none"/>
        </w:rPr>
      </w:pPr>
    </w:p>
    <w:p w14:paraId="4A4FB153">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3E9A4A6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月日</w:t>
      </w:r>
    </w:p>
    <w:p w14:paraId="3AB00EBD">
      <w:pPr>
        <w:spacing w:line="360" w:lineRule="auto"/>
        <w:ind w:firstLine="643"/>
        <w:jc w:val="center"/>
        <w:rPr>
          <w:rFonts w:hint="eastAsia" w:ascii="宋体" w:hAnsi="宋体"/>
          <w:b/>
          <w:color w:val="auto"/>
          <w:sz w:val="32"/>
          <w:szCs w:val="32"/>
          <w:highlight w:val="none"/>
        </w:rPr>
      </w:pPr>
      <w:r>
        <w:rPr>
          <w:rFonts w:hint="eastAsia" w:ascii="宋体" w:hAnsi="宋体"/>
          <w:b/>
          <w:color w:val="auto"/>
          <w:sz w:val="32"/>
          <w:szCs w:val="32"/>
          <w:highlight w:val="none"/>
        </w:rPr>
        <w:t>五、优惠条件及特殊承诺</w:t>
      </w:r>
    </w:p>
    <w:p w14:paraId="44E49735">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3611CC13">
      <w:pPr>
        <w:spacing w:line="360" w:lineRule="auto"/>
        <w:ind w:firstLine="360"/>
        <w:jc w:val="center"/>
        <w:rPr>
          <w:rFonts w:hint="eastAsia" w:ascii="仿宋_GB2312" w:hAnsi="仿宋" w:eastAsia="仿宋_GB2312" w:cs="仿宋_GB2312"/>
          <w:color w:val="auto"/>
          <w:sz w:val="18"/>
          <w:szCs w:val="18"/>
          <w:highlight w:val="none"/>
        </w:rPr>
      </w:pPr>
    </w:p>
    <w:p w14:paraId="22881E2F">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CABAF8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月日</w:t>
      </w:r>
    </w:p>
    <w:p w14:paraId="7B6CC1AE">
      <w:pPr>
        <w:snapToGrid w:val="0"/>
        <w:spacing w:before="165" w:beforeLines="50" w:after="50"/>
        <w:ind w:left="142" w:firstLine="643"/>
        <w:jc w:val="center"/>
        <w:rPr>
          <w:rFonts w:hint="eastAsia" w:ascii="宋体" w:hAnsi="宋体"/>
          <w:b/>
          <w:color w:val="auto"/>
          <w:sz w:val="32"/>
          <w:szCs w:val="32"/>
          <w:highlight w:val="none"/>
        </w:rPr>
      </w:pPr>
    </w:p>
    <w:p w14:paraId="102FC85E">
      <w:pPr>
        <w:snapToGrid w:val="0"/>
        <w:spacing w:before="165" w:beforeLines="50" w:after="50"/>
        <w:ind w:left="142" w:firstLine="643"/>
        <w:jc w:val="center"/>
        <w:rPr>
          <w:rFonts w:hint="eastAsia" w:ascii="宋体" w:hAnsi="宋体"/>
          <w:b/>
          <w:color w:val="auto"/>
          <w:sz w:val="32"/>
          <w:szCs w:val="32"/>
          <w:highlight w:val="none"/>
        </w:rPr>
      </w:pPr>
      <w:r>
        <w:rPr>
          <w:rFonts w:hint="eastAsia" w:ascii="宋体" w:hAnsi="宋体"/>
          <w:b/>
          <w:color w:val="auto"/>
          <w:sz w:val="32"/>
          <w:szCs w:val="32"/>
          <w:highlight w:val="none"/>
        </w:rPr>
        <w:t>六、投标人对项目的合理化建议和改进措施</w:t>
      </w:r>
    </w:p>
    <w:p w14:paraId="61BB4B5A">
      <w:pPr>
        <w:spacing w:line="360" w:lineRule="auto"/>
        <w:ind w:firstLine="4048" w:firstLineChars="1687"/>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（格式自拟）</w:t>
      </w:r>
    </w:p>
    <w:p w14:paraId="5124AE0F">
      <w:pPr>
        <w:snapToGrid w:val="0"/>
        <w:spacing w:line="360" w:lineRule="auto"/>
        <w:ind w:firstLine="4935" w:firstLineChars="2350"/>
        <w:rPr>
          <w:rFonts w:hint="eastAsia" w:hAnsi="宋体"/>
          <w:color w:val="auto"/>
          <w:szCs w:val="21"/>
          <w:highlight w:val="none"/>
        </w:rPr>
      </w:pPr>
    </w:p>
    <w:p w14:paraId="449C0925">
      <w:pPr>
        <w:snapToGrid w:val="0"/>
        <w:spacing w:line="360" w:lineRule="auto"/>
        <w:ind w:firstLine="480"/>
        <w:rPr>
          <w:rFonts w:hAnsi="宋体"/>
          <w:color w:val="auto"/>
          <w:szCs w:val="21"/>
          <w:highlight w:val="none"/>
        </w:rPr>
      </w:pPr>
    </w:p>
    <w:p w14:paraId="57357750">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6D9A8F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月日</w:t>
      </w:r>
    </w:p>
    <w:p w14:paraId="3A61B55A">
      <w:pPr>
        <w:autoSpaceDE w:val="0"/>
        <w:autoSpaceDN w:val="0"/>
        <w:spacing w:line="360" w:lineRule="auto"/>
        <w:ind w:firstLine="480"/>
        <w:rPr>
          <w:rFonts w:hint="eastAsia" w:ascii="仿宋_GB2312" w:hAnsi="仿宋" w:eastAsia="仿宋_GB2312" w:cs="仿宋_GB2312"/>
          <w:color w:val="auto"/>
          <w:sz w:val="24"/>
          <w:highlight w:val="none"/>
        </w:rPr>
      </w:pPr>
    </w:p>
    <w:p w14:paraId="13EB2325">
      <w:pPr>
        <w:spacing w:line="360" w:lineRule="auto"/>
        <w:ind w:firstLine="643"/>
        <w:jc w:val="center"/>
        <w:rPr>
          <w:rFonts w:hint="eastAsia" w:ascii="宋体" w:hAnsi="宋体"/>
          <w:b/>
          <w:color w:val="auto"/>
          <w:sz w:val="32"/>
          <w:szCs w:val="32"/>
          <w:highlight w:val="none"/>
        </w:rPr>
      </w:pPr>
      <w:r>
        <w:rPr>
          <w:rFonts w:hint="eastAsia" w:ascii="宋体" w:hAnsi="宋体"/>
          <w:b/>
          <w:color w:val="auto"/>
          <w:sz w:val="32"/>
          <w:szCs w:val="32"/>
          <w:highlight w:val="none"/>
        </w:rPr>
        <w:t>七、认为需要的其他技术文件或说明</w:t>
      </w:r>
    </w:p>
    <w:p w14:paraId="3402EF68">
      <w:pPr>
        <w:spacing w:line="360" w:lineRule="auto"/>
        <w:ind w:firstLine="480"/>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4299D837">
      <w:pPr>
        <w:autoSpaceDE w:val="0"/>
        <w:autoSpaceDN w:val="0"/>
        <w:spacing w:line="360" w:lineRule="auto"/>
        <w:ind w:firstLine="4800" w:firstLineChars="20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投标人名称（电子</w:t>
      </w:r>
      <w:r>
        <w:rPr>
          <w:rFonts w:hint="eastAsia" w:ascii="仿宋_GB2312" w:hAnsi="仿宋" w:eastAsia="仿宋_GB2312" w:cs="仿宋_GB2312"/>
          <w:color w:val="auto"/>
          <w:kern w:val="0"/>
          <w:sz w:val="24"/>
          <w:highlight w:val="none"/>
          <w:lang w:val="zh-CN"/>
        </w:rPr>
        <w:t>签章</w:t>
      </w:r>
      <w:r>
        <w:rPr>
          <w:rFonts w:hint="eastAsia" w:ascii="仿宋_GB2312" w:hAnsi="仿宋" w:eastAsia="仿宋_GB2312" w:cs="仿宋_GB2312"/>
          <w:color w:val="auto"/>
          <w:kern w:val="0"/>
          <w:sz w:val="24"/>
          <w:highlight w:val="none"/>
        </w:rPr>
        <w:t xml:space="preserve">）：                       </w:t>
      </w:r>
    </w:p>
    <w:p w14:paraId="7A05199A">
      <w:pPr>
        <w:autoSpaceDE w:val="0"/>
        <w:autoSpaceDN w:val="0"/>
        <w:spacing w:line="360" w:lineRule="auto"/>
        <w:ind w:firstLine="5040" w:firstLineChars="2100"/>
        <w:rPr>
          <w:rFonts w:hint="eastAsia" w:ascii="仿宋_GB2312" w:hAnsi="仿宋" w:eastAsia="仿宋_GB2312" w:cs="仿宋_GB2312"/>
          <w:b/>
          <w:bCs/>
          <w:color w:val="auto"/>
          <w:sz w:val="30"/>
          <w:szCs w:val="30"/>
          <w:highlight w:val="none"/>
        </w:rPr>
      </w:pPr>
      <w:r>
        <w:rPr>
          <w:rFonts w:hint="eastAsia" w:ascii="仿宋_GB2312" w:hAnsi="仿宋" w:eastAsia="仿宋_GB2312" w:cs="仿宋_GB2312"/>
          <w:color w:val="auto"/>
          <w:kern w:val="0"/>
          <w:sz w:val="24"/>
          <w:highlight w:val="none"/>
          <w:lang w:val="zh-CN"/>
        </w:rPr>
        <w:t>日期：  年  月   日</w:t>
      </w:r>
    </w:p>
    <w:p w14:paraId="6C856E8C">
      <w:pPr>
        <w:widowControl/>
        <w:jc w:val="left"/>
        <w:rPr>
          <w:rFonts w:ascii="宋体" w:hAnsi="宋体"/>
          <w:b/>
          <w:bCs/>
          <w:color w:val="auto"/>
          <w:sz w:val="24"/>
          <w:highlight w:val="none"/>
        </w:rPr>
        <w:sectPr>
          <w:pgSz w:w="11906" w:h="16838"/>
          <w:pgMar w:top="1134" w:right="1134" w:bottom="1134" w:left="1134" w:header="720" w:footer="720" w:gutter="0"/>
          <w:cols w:space="720" w:num="1"/>
          <w:docGrid w:type="lines" w:linePitch="331" w:charSpace="0"/>
        </w:sectPr>
      </w:pPr>
    </w:p>
    <w:p w14:paraId="1D6A86DF">
      <w:pPr>
        <w:keepNext w:val="0"/>
        <w:keepLines w:val="0"/>
        <w:pageBreakBefore w:val="0"/>
        <w:widowControl w:val="0"/>
        <w:numPr>
          <w:ilvl w:val="0"/>
          <w:numId w:val="0"/>
        </w:numPr>
        <w:kinsoku/>
        <w:wordWrap/>
        <w:overflowPunct/>
        <w:topLinePunct w:val="0"/>
        <w:autoSpaceDE/>
        <w:autoSpaceDN/>
        <w:bidi w:val="0"/>
        <w:adjustRightInd/>
        <w:snapToGrid w:val="0"/>
        <w:spacing w:before="120" w:beforeLines="50" w:after="50"/>
        <w:jc w:val="center"/>
        <w:textAlignment w:val="auto"/>
        <w:outlineLvl w:val="0"/>
        <w:rPr>
          <w:rFonts w:hint="eastAsia" w:ascii="宋体" w:hAnsi="宋体" w:cs="宋体"/>
          <w:b/>
          <w:color w:val="auto"/>
          <w:sz w:val="28"/>
          <w:szCs w:val="28"/>
          <w:highlight w:val="none"/>
        </w:rPr>
      </w:pPr>
      <w:bookmarkStart w:id="194" w:name="_Toc7760"/>
      <w:r>
        <w:rPr>
          <w:rFonts w:hint="eastAsia" w:ascii="宋体" w:hAnsi="宋体" w:cs="宋体"/>
          <w:b/>
          <w:color w:val="auto"/>
          <w:sz w:val="28"/>
          <w:szCs w:val="28"/>
          <w:highlight w:val="none"/>
          <w:lang w:eastAsia="zh-CN"/>
        </w:rPr>
        <w:t>第四节</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rPr>
        <w:t>其他文书、文件格式</w:t>
      </w:r>
      <w:bookmarkEnd w:id="194"/>
    </w:p>
    <w:p w14:paraId="0C0DBD84">
      <w:pPr>
        <w:jc w:val="center"/>
        <w:rPr>
          <w:rFonts w:hint="eastAsia" w:ascii="宋体" w:hAnsi="宋体" w:cs="宋体"/>
          <w:b/>
          <w:bCs/>
          <w:color w:val="auto"/>
          <w:sz w:val="32"/>
          <w:szCs w:val="32"/>
          <w:highlight w:val="none"/>
          <w:lang w:val="en"/>
        </w:rPr>
      </w:pPr>
    </w:p>
    <w:p w14:paraId="10E7F3AC">
      <w:pPr>
        <w:jc w:val="center"/>
        <w:rPr>
          <w:rFonts w:hint="eastAsia" w:ascii="宋体" w:hAnsi="宋体" w:cs="宋体"/>
          <w:b/>
          <w:bCs/>
          <w:color w:val="auto"/>
          <w:sz w:val="32"/>
          <w:szCs w:val="32"/>
          <w:highlight w:val="none"/>
          <w:lang w:val="en"/>
        </w:rPr>
      </w:pPr>
    </w:p>
    <w:p w14:paraId="25C99619">
      <w:pPr>
        <w:jc w:val="center"/>
        <w:outlineLvl w:val="2"/>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0B2651A9">
      <w:pPr>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 xml:space="preserve">    </w:t>
      </w:r>
    </w:p>
    <w:p w14:paraId="7A60EA6C">
      <w:pPr>
        <w:rPr>
          <w:rFonts w:hint="eastAsia" w:ascii="方正仿宋_GB2312" w:hAnsi="方正仿宋_GB2312" w:eastAsia="方正仿宋_GB2312" w:cs="方正仿宋_GB2312"/>
          <w:color w:val="auto"/>
          <w:sz w:val="30"/>
          <w:szCs w:val="30"/>
          <w:highlight w:val="none"/>
          <w:lang w:val="en"/>
        </w:rPr>
      </w:pPr>
      <w:r>
        <w:rPr>
          <w:rFonts w:hint="eastAsia" w:ascii="方正仿宋_GB2312" w:hAnsi="方正仿宋_GB2312" w:eastAsia="方正仿宋_GB2312" w:cs="方正仿宋_GB2312"/>
          <w:color w:val="auto"/>
          <w:sz w:val="30"/>
          <w:szCs w:val="30"/>
          <w:highlight w:val="none"/>
        </w:rPr>
        <w:t xml:space="preserve">    本</w:t>
      </w:r>
      <w:r>
        <w:rPr>
          <w:rFonts w:hint="eastAsia" w:ascii="方正仿宋_GB2312" w:hAnsi="方正仿宋_GB2312" w:eastAsia="方正仿宋_GB2312" w:cs="方正仿宋_GB2312"/>
          <w:color w:val="auto"/>
          <w:sz w:val="30"/>
          <w:szCs w:val="30"/>
          <w:highlight w:val="none"/>
          <w:lang w:val="en"/>
        </w:rPr>
        <w:t>企业自愿参与政府投资政府采购的</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lang w:val="en"/>
        </w:rPr>
        <w:t>项目，</w:t>
      </w:r>
      <w:r>
        <w:rPr>
          <w:rFonts w:hint="eastAsia" w:ascii="方正仿宋_GB2312" w:hAnsi="方正仿宋_GB2312" w:eastAsia="方正仿宋_GB2312" w:cs="方正仿宋_GB2312"/>
          <w:b/>
          <w:bCs/>
          <w:color w:val="auto"/>
          <w:sz w:val="30"/>
          <w:szCs w:val="30"/>
          <w:highlight w:val="none"/>
          <w:lang w:val="en"/>
        </w:rPr>
        <w:t>在此郑重承诺：</w:t>
      </w:r>
      <w:r>
        <w:rPr>
          <w:rFonts w:hint="eastAsia" w:ascii="方正仿宋_GB2312" w:hAnsi="方正仿宋_GB2312" w:eastAsia="方正仿宋_GB2312" w:cs="方正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22BA9D6E">
      <w:pPr>
        <w:snapToGrid w:val="0"/>
        <w:spacing w:line="360" w:lineRule="auto"/>
        <w:ind w:left="5137" w:leftChars="1736" w:hanging="1491" w:hangingChars="825"/>
        <w:rPr>
          <w:b/>
          <w:color w:val="auto"/>
          <w:sz w:val="18"/>
          <w:szCs w:val="18"/>
          <w:highlight w:val="none"/>
        </w:rPr>
      </w:pPr>
      <w:r>
        <w:rPr>
          <w:b/>
          <w:color w:val="auto"/>
          <w:sz w:val="18"/>
          <w:szCs w:val="18"/>
          <w:highlight w:val="none"/>
        </w:rPr>
        <w:t xml:space="preserve">           </w:t>
      </w:r>
    </w:p>
    <w:p w14:paraId="7DA017C8">
      <w:pPr>
        <w:snapToGrid w:val="0"/>
        <w:spacing w:line="360" w:lineRule="auto"/>
        <w:ind w:left="5137" w:leftChars="1736" w:hanging="1491" w:hangingChars="825"/>
        <w:rPr>
          <w:b/>
          <w:color w:val="auto"/>
          <w:sz w:val="18"/>
          <w:szCs w:val="18"/>
          <w:highlight w:val="none"/>
        </w:rPr>
      </w:pPr>
    </w:p>
    <w:p w14:paraId="0EC2C8F7">
      <w:pPr>
        <w:snapToGrid w:val="0"/>
        <w:spacing w:line="360" w:lineRule="auto"/>
        <w:ind w:left="5137" w:leftChars="1736" w:hanging="1491" w:hangingChars="825"/>
        <w:rPr>
          <w:b/>
          <w:color w:val="auto"/>
          <w:sz w:val="18"/>
          <w:szCs w:val="18"/>
          <w:highlight w:val="none"/>
        </w:rPr>
      </w:pPr>
    </w:p>
    <w:p w14:paraId="2D29BBA2">
      <w:pPr>
        <w:snapToGrid w:val="0"/>
        <w:spacing w:line="360" w:lineRule="auto"/>
        <w:ind w:left="5137" w:leftChars="1736" w:hanging="1491" w:hangingChars="825"/>
        <w:rPr>
          <w:b/>
          <w:color w:val="auto"/>
          <w:sz w:val="18"/>
          <w:szCs w:val="18"/>
          <w:highlight w:val="none"/>
        </w:rPr>
      </w:pPr>
    </w:p>
    <w:p w14:paraId="540409B9">
      <w:pPr>
        <w:snapToGrid w:val="0"/>
        <w:spacing w:line="360" w:lineRule="auto"/>
        <w:ind w:left="5137" w:leftChars="1736" w:hanging="1491" w:hangingChars="825"/>
        <w:rPr>
          <w:rFonts w:hint="eastAsia" w:ascii="方正仿宋_GB2312" w:hAnsi="仿宋" w:eastAsia="方正仿宋_GB2312" w:cs="方正仿宋_GB2312"/>
          <w:color w:val="auto"/>
          <w:kern w:val="0"/>
          <w:sz w:val="24"/>
          <w:highlight w:val="none"/>
        </w:rPr>
      </w:pPr>
      <w:r>
        <w:rPr>
          <w:b/>
          <w:color w:val="auto"/>
          <w:sz w:val="18"/>
          <w:szCs w:val="18"/>
          <w:highlight w:val="none"/>
        </w:rPr>
        <w:t xml:space="preserve">      </w:t>
      </w:r>
      <w:r>
        <w:rPr>
          <w:rFonts w:hint="eastAsia" w:ascii="方正仿宋_GB2312" w:hAnsi="仿宋" w:eastAsia="方正仿宋_GB2312" w:cs="方正仿宋_GB2312"/>
          <w:color w:val="auto"/>
          <w:kern w:val="0"/>
          <w:sz w:val="24"/>
          <w:highlight w:val="none"/>
          <w:lang w:val="zh-CN"/>
        </w:rPr>
        <w:t>投标人名称(电子签章)：</w:t>
      </w:r>
    </w:p>
    <w:p w14:paraId="0FA53A4D">
      <w:pPr>
        <w:snapToGrid w:val="0"/>
        <w:spacing w:line="360" w:lineRule="auto"/>
        <w:ind w:firstLine="5160" w:firstLineChars="2150"/>
        <w:rPr>
          <w:rFonts w:hint="eastAsia" w:ascii="方正仿宋_GB2312" w:hAnsi="仿宋" w:eastAsia="方正仿宋_GB2312" w:cs="方正仿宋_GB2312"/>
          <w:color w:val="auto"/>
          <w:kern w:val="0"/>
          <w:sz w:val="24"/>
          <w:highlight w:val="none"/>
          <w:lang w:val="zh-CN"/>
        </w:rPr>
      </w:pPr>
      <w:r>
        <w:rPr>
          <w:rFonts w:hint="eastAsia" w:ascii="方正仿宋_GB2312" w:hAnsi="仿宋" w:eastAsia="方正仿宋_GB2312" w:cs="方正仿宋_GB2312"/>
          <w:color w:val="auto"/>
          <w:kern w:val="0"/>
          <w:sz w:val="24"/>
          <w:highlight w:val="none"/>
          <w:lang w:val="zh-CN"/>
        </w:rPr>
        <w:t>日期</w:t>
      </w:r>
      <w:r>
        <w:rPr>
          <w:rFonts w:hint="eastAsia" w:ascii="方正仿宋_GB2312" w:hAnsi="仿宋" w:eastAsia="方正仿宋_GB2312" w:cs="方正仿宋_GB2312"/>
          <w:color w:val="auto"/>
          <w:kern w:val="0"/>
          <w:sz w:val="24"/>
          <w:highlight w:val="none"/>
        </w:rPr>
        <w:t xml:space="preserve">：  年  </w:t>
      </w:r>
      <w:r>
        <w:rPr>
          <w:rFonts w:hint="eastAsia" w:ascii="方正仿宋_GB2312" w:hAnsi="仿宋" w:eastAsia="方正仿宋_GB2312" w:cs="方正仿宋_GB2312"/>
          <w:color w:val="auto"/>
          <w:kern w:val="0"/>
          <w:sz w:val="24"/>
          <w:highlight w:val="none"/>
          <w:lang w:val="zh-CN"/>
        </w:rPr>
        <w:t>月</w:t>
      </w:r>
      <w:r>
        <w:rPr>
          <w:rFonts w:hint="eastAsia" w:ascii="方正仿宋_GB2312" w:hAnsi="仿宋" w:eastAsia="方正仿宋_GB2312" w:cs="方正仿宋_GB2312"/>
          <w:color w:val="auto"/>
          <w:kern w:val="0"/>
          <w:sz w:val="24"/>
          <w:highlight w:val="none"/>
        </w:rPr>
        <w:t xml:space="preserve">   </w:t>
      </w:r>
      <w:r>
        <w:rPr>
          <w:rFonts w:hint="eastAsia" w:ascii="方正仿宋_GB2312" w:hAnsi="仿宋" w:eastAsia="方正仿宋_GB2312" w:cs="方正仿宋_GB2312"/>
          <w:color w:val="auto"/>
          <w:kern w:val="0"/>
          <w:sz w:val="24"/>
          <w:highlight w:val="none"/>
          <w:lang w:val="zh-CN"/>
        </w:rPr>
        <w:t>日</w:t>
      </w:r>
    </w:p>
    <w:p w14:paraId="1ADDC5B8">
      <w:pPr>
        <w:rPr>
          <w:rFonts w:hint="eastAsia" w:ascii="宋体" w:hAnsi="宋体" w:cs="宋体"/>
          <w:b/>
          <w:color w:val="auto"/>
          <w:spacing w:val="20"/>
          <w:sz w:val="24"/>
          <w:highlight w:val="none"/>
        </w:rPr>
      </w:pPr>
      <w:r>
        <w:rPr>
          <w:rFonts w:hint="eastAsia" w:ascii="宋体" w:hAnsi="宋体" w:cs="宋体"/>
          <w:b/>
          <w:color w:val="auto"/>
          <w:spacing w:val="20"/>
          <w:sz w:val="24"/>
          <w:highlight w:val="none"/>
        </w:rPr>
        <w:br w:type="page"/>
      </w:r>
    </w:p>
    <w:p w14:paraId="02E352EB">
      <w:pPr>
        <w:snapToGrid w:val="0"/>
        <w:spacing w:before="50" w:after="50"/>
        <w:jc w:val="center"/>
        <w:outlineLvl w:val="2"/>
        <w:rPr>
          <w:rFonts w:ascii="宋体" w:hAnsi="宋体" w:cs="宋体"/>
          <w:b/>
          <w:color w:val="auto"/>
          <w:sz w:val="32"/>
          <w:highlight w:val="none"/>
        </w:rPr>
      </w:pPr>
      <w:r>
        <w:rPr>
          <w:rFonts w:hint="eastAsia" w:ascii="宋体" w:hAnsi="宋体" w:cs="宋体"/>
          <w:b/>
          <w:color w:val="auto"/>
          <w:sz w:val="32"/>
          <w:highlight w:val="none"/>
        </w:rPr>
        <w:t>联合体协议书</w:t>
      </w:r>
      <w:r>
        <w:rPr>
          <w:rFonts w:hint="eastAsia" w:ascii="宋体" w:hAnsi="Courier New"/>
          <w:b/>
          <w:color w:val="auto"/>
          <w:kern w:val="0"/>
          <w:sz w:val="30"/>
          <w:szCs w:val="30"/>
          <w:highlight w:val="none"/>
        </w:rPr>
        <w:t>（如有）</w:t>
      </w:r>
    </w:p>
    <w:p w14:paraId="3608FDFE">
      <w:pPr>
        <w:pStyle w:val="5"/>
        <w:overflowPunct w:val="0"/>
        <w:rPr>
          <w:rFonts w:ascii="宋体" w:hAnsi="宋体" w:cs="宋体"/>
          <w:color w:val="auto"/>
          <w:sz w:val="24"/>
          <w:highlight w:val="none"/>
        </w:rPr>
      </w:pPr>
    </w:p>
    <w:p w14:paraId="2C49871F">
      <w:pPr>
        <w:pStyle w:val="5"/>
        <w:overflowPunct w:val="0"/>
        <w:spacing w:line="360" w:lineRule="auto"/>
        <w:contextualSpacing/>
        <w:rPr>
          <w:rFonts w:ascii="宋体" w:hAnsi="宋体" w:cs="宋体"/>
          <w:color w:val="auto"/>
          <w:sz w:val="24"/>
          <w:highlight w:val="none"/>
        </w:rPr>
      </w:pPr>
      <w:bookmarkStart w:id="195" w:name="OLE_LINK74"/>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采购招标项目投标。现就联合体投标事宜订立如下协议。</w:t>
      </w:r>
    </w:p>
    <w:p w14:paraId="3115AFB9">
      <w:pPr>
        <w:pStyle w:val="5"/>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07F9C6F5">
      <w:pPr>
        <w:pStyle w:val="5"/>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0D9B3662">
      <w:pPr>
        <w:pStyle w:val="5"/>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3D603BC0">
      <w:pPr>
        <w:pStyle w:val="5"/>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0F185E71">
      <w:pPr>
        <w:pStyle w:val="5"/>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5.本协议书自所有成员单位法定代表人或者其委托代理人签字（或者电子签名）或者盖公章之日起生效，合同履行完毕后自动失效。</w:t>
      </w:r>
    </w:p>
    <w:p w14:paraId="07640A3D">
      <w:pPr>
        <w:pStyle w:val="5"/>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2B539986">
      <w:pPr>
        <w:pStyle w:val="5"/>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注：本协议书应附法定代表人身份证明；有委托代理的，应附授权委托书（格式自拟）。</w:t>
      </w:r>
    </w:p>
    <w:p w14:paraId="074638B8">
      <w:pPr>
        <w:pStyle w:val="5"/>
        <w:overflowPunct w:val="0"/>
        <w:spacing w:line="360" w:lineRule="auto"/>
        <w:ind w:firstLineChars="175"/>
        <w:contextualSpacing/>
        <w:rPr>
          <w:rFonts w:ascii="宋体" w:hAnsi="宋体" w:cs="宋体"/>
          <w:color w:val="auto"/>
          <w:sz w:val="24"/>
          <w:highlight w:val="none"/>
        </w:rPr>
      </w:pPr>
    </w:p>
    <w:p w14:paraId="4FCA388F">
      <w:pPr>
        <w:pStyle w:val="5"/>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联合体牵头人名称（电子签章）：</w:t>
      </w:r>
    </w:p>
    <w:p w14:paraId="64777E86">
      <w:pPr>
        <w:pStyle w:val="5"/>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法定代表人或者其委托代理人：（签字或者电子签名）</w:t>
      </w:r>
    </w:p>
    <w:p w14:paraId="68866A36">
      <w:pPr>
        <w:pStyle w:val="5"/>
        <w:overflowPunct w:val="0"/>
        <w:spacing w:line="360" w:lineRule="auto"/>
        <w:ind w:firstLineChars="175"/>
        <w:contextualSpacing/>
        <w:rPr>
          <w:rFonts w:ascii="宋体" w:hAnsi="宋体" w:cs="宋体"/>
          <w:color w:val="auto"/>
          <w:sz w:val="24"/>
          <w:highlight w:val="none"/>
        </w:rPr>
      </w:pPr>
    </w:p>
    <w:p w14:paraId="26203002">
      <w:pPr>
        <w:pStyle w:val="5"/>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联合体成员名称（盖公章或者电子签章）：</w:t>
      </w:r>
    </w:p>
    <w:p w14:paraId="42617AA9">
      <w:pPr>
        <w:pStyle w:val="5"/>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法定代表人或者其委托代理人：（签字或者电子签名）</w:t>
      </w:r>
    </w:p>
    <w:p w14:paraId="5F2D2B0D">
      <w:pPr>
        <w:pStyle w:val="5"/>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6C64F682">
      <w:pPr>
        <w:pStyle w:val="5"/>
        <w:overflowPunct w:val="0"/>
        <w:spacing w:line="360" w:lineRule="auto"/>
        <w:ind w:firstLineChars="175"/>
        <w:contextualSpacing/>
        <w:rPr>
          <w:rFonts w:ascii="宋体" w:hAnsi="宋体" w:cs="宋体"/>
          <w:color w:val="auto"/>
          <w:sz w:val="24"/>
          <w:highlight w:val="none"/>
        </w:rPr>
      </w:pPr>
    </w:p>
    <w:p w14:paraId="1B001C4D">
      <w:pPr>
        <w:spacing w:line="360" w:lineRule="auto"/>
        <w:ind w:firstLine="480" w:firstLineChars="200"/>
        <w:contextualSpacing/>
        <w:rPr>
          <w:rFonts w:hAnsi="宋体" w:cs="宋体"/>
          <w:color w:val="auto"/>
          <w:sz w:val="24"/>
          <w:highlight w:val="none"/>
        </w:rPr>
      </w:pPr>
      <w:r>
        <w:rPr>
          <w:rFonts w:hint="eastAsia" w:hAnsi="宋体" w:cs="宋体"/>
          <w:color w:val="auto"/>
          <w:sz w:val="24"/>
          <w:highlight w:val="none"/>
        </w:rPr>
        <w:t>日期：年月日</w:t>
      </w:r>
    </w:p>
    <w:bookmarkEnd w:id="195"/>
    <w:p w14:paraId="36CE1ABB">
      <w:pPr>
        <w:snapToGrid w:val="0"/>
        <w:spacing w:before="120" w:beforeLines="50" w:after="50"/>
        <w:jc w:val="left"/>
        <w:rPr>
          <w:rFonts w:ascii="宋体" w:hAnsi="宋体" w:cs="宋体"/>
          <w:b/>
          <w:color w:val="auto"/>
          <w:sz w:val="24"/>
          <w:highlight w:val="none"/>
        </w:rPr>
      </w:pPr>
    </w:p>
    <w:p w14:paraId="0C91B46B">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p>
    <w:p w14:paraId="7B87B59C">
      <w:pPr>
        <w:spacing w:line="588" w:lineRule="exact"/>
        <w:jc w:val="center"/>
        <w:rPr>
          <w:rFonts w:ascii="宋体" w:hAnsi="宋体" w:cs="宋体"/>
          <w:b/>
          <w:color w:val="auto"/>
          <w:spacing w:val="6"/>
          <w:sz w:val="32"/>
          <w:szCs w:val="32"/>
          <w:highlight w:val="none"/>
        </w:rPr>
      </w:pPr>
    </w:p>
    <w:p w14:paraId="5FD85795">
      <w:pPr>
        <w:snapToGrid w:val="0"/>
        <w:spacing w:before="50" w:after="50"/>
        <w:jc w:val="center"/>
        <w:outlineLvl w:val="2"/>
        <w:rPr>
          <w:rFonts w:ascii="宋体" w:hAnsi="宋体" w:cs="宋体"/>
          <w:b/>
          <w:color w:val="auto"/>
          <w:sz w:val="32"/>
          <w:highlight w:val="none"/>
        </w:rPr>
      </w:pPr>
      <w:bookmarkStart w:id="196" w:name="OLE_LINK20"/>
      <w:bookmarkStart w:id="197" w:name="OLE_LINK21"/>
      <w:r>
        <w:rPr>
          <w:rFonts w:hint="eastAsia" w:ascii="宋体" w:hAnsi="宋体" w:cs="宋体"/>
          <w:b/>
          <w:color w:val="auto"/>
          <w:sz w:val="32"/>
          <w:highlight w:val="none"/>
        </w:rPr>
        <w:t>残疾人福利性单位声明函</w:t>
      </w:r>
      <w:bookmarkEnd w:id="196"/>
      <w:bookmarkEnd w:id="197"/>
      <w:r>
        <w:rPr>
          <w:rFonts w:hint="eastAsia" w:ascii="宋体" w:hAnsi="Courier New"/>
          <w:b/>
          <w:color w:val="auto"/>
          <w:kern w:val="0"/>
          <w:sz w:val="30"/>
          <w:szCs w:val="30"/>
          <w:highlight w:val="none"/>
        </w:rPr>
        <w:t>（如有）</w:t>
      </w:r>
    </w:p>
    <w:p w14:paraId="61B8ED78">
      <w:pPr>
        <w:spacing w:line="360" w:lineRule="auto"/>
        <w:contextualSpacing/>
        <w:rPr>
          <w:rFonts w:ascii="仿宋_GB2312" w:hAnsi="仿宋_GB2312" w:eastAsia="仿宋_GB2312" w:cs="仿宋_GB2312"/>
          <w:color w:val="auto"/>
          <w:sz w:val="32"/>
          <w:szCs w:val="32"/>
          <w:highlight w:val="none"/>
        </w:rPr>
      </w:pPr>
    </w:p>
    <w:p w14:paraId="69FD836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DB4F7F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ABFCBC1">
      <w:pPr>
        <w:spacing w:line="360" w:lineRule="auto"/>
        <w:contextualSpacing/>
        <w:rPr>
          <w:rFonts w:ascii="宋体" w:hAnsi="宋体" w:cs="仿宋_GB2312"/>
          <w:color w:val="auto"/>
          <w:sz w:val="24"/>
          <w:highlight w:val="none"/>
        </w:rPr>
      </w:pPr>
    </w:p>
    <w:p w14:paraId="7E9D9A20">
      <w:pPr>
        <w:spacing w:line="360" w:lineRule="auto"/>
        <w:contextualSpacing/>
        <w:rPr>
          <w:rFonts w:ascii="宋体" w:hAnsi="宋体" w:cs="仿宋_GB2312"/>
          <w:color w:val="auto"/>
          <w:sz w:val="24"/>
          <w:highlight w:val="none"/>
        </w:rPr>
      </w:pPr>
    </w:p>
    <w:p w14:paraId="5F031106">
      <w:pPr>
        <w:spacing w:line="360" w:lineRule="auto"/>
        <w:ind w:firstLine="480" w:firstLineChars="200"/>
        <w:contextualSpacing/>
        <w:rPr>
          <w:rFonts w:ascii="宋体" w:hAnsi="宋体" w:cs="宋体"/>
          <w:color w:val="auto"/>
          <w:sz w:val="24"/>
          <w:highlight w:val="none"/>
          <w:u w:val="single"/>
        </w:rPr>
      </w:pPr>
      <w:r>
        <w:rPr>
          <w:rFonts w:hint="eastAsia" w:hAnsi="宋体" w:cs="宋体"/>
          <w:color w:val="auto"/>
          <w:sz w:val="24"/>
          <w:highlight w:val="none"/>
        </w:rPr>
        <w:t>投标人名称（电子签章）：</w:t>
      </w:r>
    </w:p>
    <w:p w14:paraId="6FCB2C4A">
      <w:pPr>
        <w:spacing w:line="360" w:lineRule="auto"/>
        <w:ind w:firstLine="480" w:firstLineChars="200"/>
        <w:contextualSpacing/>
        <w:rPr>
          <w:rFonts w:hAnsi="宋体" w:cs="宋体"/>
          <w:color w:val="auto"/>
          <w:sz w:val="24"/>
          <w:highlight w:val="none"/>
        </w:rPr>
      </w:pPr>
      <w:r>
        <w:rPr>
          <w:rFonts w:hint="eastAsia" w:hAnsi="宋体" w:cs="宋体"/>
          <w:color w:val="auto"/>
          <w:sz w:val="24"/>
          <w:highlight w:val="none"/>
        </w:rPr>
        <w:t>日期：年月日</w:t>
      </w:r>
    </w:p>
    <w:p w14:paraId="716B43C6">
      <w:pPr>
        <w:spacing w:line="360" w:lineRule="auto"/>
        <w:contextualSpacing/>
        <w:rPr>
          <w:rFonts w:ascii="宋体" w:hAnsi="宋体" w:cs="仿宋_GB2312"/>
          <w:color w:val="auto"/>
          <w:sz w:val="24"/>
          <w:highlight w:val="none"/>
        </w:rPr>
      </w:pPr>
    </w:p>
    <w:p w14:paraId="4CC762EE">
      <w:pPr>
        <w:spacing w:line="360" w:lineRule="auto"/>
        <w:contextualSpacing/>
        <w:rPr>
          <w:rFonts w:ascii="宋体" w:hAnsi="宋体" w:cs="仿宋_GB2312"/>
          <w:color w:val="auto"/>
          <w:sz w:val="24"/>
          <w:highlight w:val="none"/>
        </w:rPr>
      </w:pPr>
    </w:p>
    <w:p w14:paraId="38CD6A4E">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注：1.请根据自己的真实情况出具《残疾人福利性单位声明函》。依法享受中小企业优惠政策的，采购人或者采购代理机构在公告中标结果时，同时公告其《残疾人福利性单位声明函》，接受社会监督。</w:t>
      </w:r>
    </w:p>
    <w:p w14:paraId="062ABFB6">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2.</w:t>
      </w:r>
      <w:r>
        <w:rPr>
          <w:rFonts w:hint="eastAsia" w:ascii="宋体" w:hAnsi="宋体" w:cs="仿宋_GB2312"/>
          <w:color w:val="auto"/>
          <w:sz w:val="24"/>
          <w:highlight w:val="none"/>
          <w:lang w:eastAsia="zh-CN"/>
        </w:rPr>
        <w:t>投标人</w:t>
      </w:r>
      <w:r>
        <w:rPr>
          <w:rFonts w:hint="eastAsia" w:ascii="宋体" w:hAnsi="宋体" w:cs="仿宋_GB2312"/>
          <w:color w:val="auto"/>
          <w:sz w:val="24"/>
          <w:highlight w:val="none"/>
        </w:rPr>
        <w:t>提供的《残疾人福利性单位声明函》与事实不符的，依照《中华人民共和国政府采购法》第七十七条第一款的规定追究法律责任。</w:t>
      </w:r>
    </w:p>
    <w:p w14:paraId="44BE4911">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3.未完整填写以上空白处信息，声明函将做无效处理。</w:t>
      </w:r>
    </w:p>
    <w:p w14:paraId="226E4E30">
      <w:pPr>
        <w:spacing w:line="360" w:lineRule="auto"/>
        <w:contextualSpacing/>
        <w:rPr>
          <w:rFonts w:ascii="宋体" w:hAnsi="宋体" w:cs="宋体"/>
          <w:color w:val="auto"/>
          <w:sz w:val="24"/>
          <w:highlight w:val="none"/>
        </w:rPr>
      </w:pPr>
    </w:p>
    <w:p w14:paraId="5D0E6463">
      <w:pPr>
        <w:keepNext w:val="0"/>
        <w:keepLines w:val="0"/>
        <w:pageBreakBefore w:val="0"/>
        <w:tabs>
          <w:tab w:val="left" w:pos="2472"/>
        </w:tabs>
        <w:kinsoku/>
        <w:wordWrap/>
        <w:overflowPunct/>
        <w:topLinePunct w:val="0"/>
        <w:autoSpaceDE/>
        <w:autoSpaceDN/>
        <w:bidi w:val="0"/>
        <w:adjustRightInd/>
        <w:snapToGrid/>
        <w:spacing w:line="460" w:lineRule="exact"/>
        <w:jc w:val="center"/>
        <w:textAlignment w:val="auto"/>
        <w:outlineLvl w:val="0"/>
        <w:rPr>
          <w:b/>
          <w:color w:val="auto"/>
          <w:kern w:val="0"/>
          <w:sz w:val="36"/>
          <w:szCs w:val="20"/>
          <w:highlight w:val="none"/>
        </w:rPr>
      </w:pPr>
      <w:r>
        <w:rPr>
          <w:rFonts w:hint="eastAsia" w:ascii="宋体" w:hAnsi="宋体" w:cs="宋体"/>
          <w:color w:val="auto"/>
          <w:sz w:val="24"/>
          <w:highlight w:val="none"/>
        </w:rPr>
        <w:br w:type="page"/>
      </w:r>
      <w:bookmarkStart w:id="198" w:name="_Toc7086"/>
      <w:bookmarkStart w:id="199" w:name="_Toc16858"/>
      <w:r>
        <w:rPr>
          <w:rFonts w:hint="eastAsia"/>
          <w:b/>
          <w:color w:val="auto"/>
          <w:kern w:val="0"/>
          <w:sz w:val="36"/>
          <w:szCs w:val="20"/>
          <w:highlight w:val="none"/>
        </w:rPr>
        <w:t>第七章</w:t>
      </w:r>
      <w:r>
        <w:rPr>
          <w:b/>
          <w:color w:val="auto"/>
          <w:kern w:val="0"/>
          <w:sz w:val="36"/>
          <w:szCs w:val="20"/>
          <w:highlight w:val="none"/>
        </w:rPr>
        <w:t xml:space="preserve"> </w:t>
      </w:r>
      <w:r>
        <w:rPr>
          <w:rFonts w:hint="eastAsia"/>
          <w:b/>
          <w:color w:val="auto"/>
          <w:kern w:val="0"/>
          <w:sz w:val="36"/>
          <w:szCs w:val="20"/>
          <w:highlight w:val="none"/>
        </w:rPr>
        <w:t>质疑、投诉证明材料格式</w:t>
      </w:r>
      <w:bookmarkEnd w:id="198"/>
      <w:bookmarkEnd w:id="199"/>
    </w:p>
    <w:p w14:paraId="4B04E7C5">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color w:val="auto"/>
          <w:sz w:val="20"/>
          <w:highlight w:val="none"/>
        </w:rPr>
        <w:sectPr>
          <w:pgSz w:w="11906" w:h="16838"/>
          <w:pgMar w:top="1134" w:right="1134" w:bottom="1134" w:left="1134" w:header="720" w:footer="720" w:gutter="0"/>
          <w:cols w:space="720" w:num="1"/>
          <w:docGrid w:type="lines" w:linePitch="331" w:charSpace="0"/>
        </w:sectPr>
      </w:pPr>
    </w:p>
    <w:p w14:paraId="65088B61">
      <w:pPr>
        <w:spacing w:line="360" w:lineRule="auto"/>
        <w:jc w:val="left"/>
        <w:rPr>
          <w:rFonts w:ascii="宋体" w:hAnsi="宋体" w:cs="宋体"/>
          <w:color w:val="auto"/>
          <w:sz w:val="24"/>
          <w:highlight w:val="none"/>
        </w:rPr>
      </w:pPr>
    </w:p>
    <w:p w14:paraId="47B4D400">
      <w:pPr>
        <w:snapToGrid w:val="0"/>
        <w:spacing w:before="50" w:after="50"/>
        <w:jc w:val="center"/>
        <w:outlineLvl w:val="0"/>
        <w:rPr>
          <w:rFonts w:ascii="宋体" w:hAnsi="宋体" w:cs="宋体"/>
          <w:b/>
          <w:color w:val="auto"/>
          <w:sz w:val="36"/>
          <w:highlight w:val="none"/>
        </w:rPr>
      </w:pPr>
      <w:bookmarkStart w:id="200" w:name="_Toc11598"/>
      <w:r>
        <w:rPr>
          <w:rFonts w:hint="eastAsia" w:ascii="宋体" w:hAnsi="宋体" w:cs="宋体"/>
          <w:b/>
          <w:color w:val="auto"/>
          <w:sz w:val="36"/>
          <w:highlight w:val="none"/>
        </w:rPr>
        <w:t>质疑函（格式）</w:t>
      </w:r>
      <w:bookmarkEnd w:id="200"/>
    </w:p>
    <w:p w14:paraId="56BB748B">
      <w:pPr>
        <w:pStyle w:val="11"/>
        <w:snapToGrid w:val="0"/>
        <w:spacing w:line="360" w:lineRule="auto"/>
        <w:ind w:firstLine="482" w:firstLineChars="200"/>
        <w:outlineLvl w:val="1"/>
        <w:rPr>
          <w:rFonts w:hAnsi="宋体" w:cs="宋体"/>
          <w:b/>
          <w:bCs/>
          <w:color w:val="auto"/>
          <w:sz w:val="24"/>
          <w:szCs w:val="24"/>
          <w:highlight w:val="none"/>
        </w:rPr>
      </w:pPr>
      <w:bookmarkStart w:id="201" w:name="_Toc27180"/>
      <w:r>
        <w:rPr>
          <w:rFonts w:hint="eastAsia" w:hAnsi="宋体" w:cs="宋体"/>
          <w:b/>
          <w:bCs/>
          <w:color w:val="auto"/>
          <w:sz w:val="24"/>
          <w:szCs w:val="24"/>
          <w:highlight w:val="none"/>
        </w:rPr>
        <w:t>一、质疑</w:t>
      </w:r>
      <w:r>
        <w:rPr>
          <w:rFonts w:hint="eastAsia" w:hAnsi="宋体" w:cs="宋体"/>
          <w:b/>
          <w:bCs/>
          <w:color w:val="auto"/>
          <w:sz w:val="24"/>
          <w:szCs w:val="24"/>
          <w:highlight w:val="none"/>
          <w:lang w:eastAsia="zh-CN"/>
        </w:rPr>
        <w:t>投标人</w:t>
      </w:r>
      <w:r>
        <w:rPr>
          <w:rFonts w:hint="eastAsia" w:hAnsi="宋体" w:cs="宋体"/>
          <w:b/>
          <w:bCs/>
          <w:color w:val="auto"/>
          <w:sz w:val="24"/>
          <w:szCs w:val="24"/>
          <w:highlight w:val="none"/>
        </w:rPr>
        <w:t>基本信息：</w:t>
      </w:r>
      <w:bookmarkEnd w:id="201"/>
    </w:p>
    <w:p w14:paraId="0A55057A">
      <w:pPr>
        <w:pStyle w:val="11"/>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w:t>
      </w:r>
      <w:r>
        <w:rPr>
          <w:rFonts w:hint="eastAsia" w:hAnsi="宋体" w:cs="宋体"/>
          <w:bCs/>
          <w:color w:val="auto"/>
          <w:sz w:val="24"/>
          <w:szCs w:val="24"/>
          <w:highlight w:val="none"/>
          <w:lang w:eastAsia="zh-CN"/>
        </w:rPr>
        <w:t>投标人</w:t>
      </w:r>
      <w:r>
        <w:rPr>
          <w:rFonts w:hint="eastAsia" w:hAnsi="宋体" w:cs="宋体"/>
          <w:bCs/>
          <w:color w:val="auto"/>
          <w:sz w:val="24"/>
          <w:szCs w:val="24"/>
          <w:highlight w:val="none"/>
        </w:rPr>
        <w:t>：</w:t>
      </w:r>
    </w:p>
    <w:p w14:paraId="257A9B52">
      <w:pPr>
        <w:pStyle w:val="11"/>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地址：邮编：</w:t>
      </w:r>
    </w:p>
    <w:p w14:paraId="0CFAFC33">
      <w:pPr>
        <w:pStyle w:val="11"/>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联系人：联系电话：</w:t>
      </w:r>
    </w:p>
    <w:p w14:paraId="07E25BB0">
      <w:pPr>
        <w:pStyle w:val="11"/>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p>
    <w:p w14:paraId="6A6115B6">
      <w:pPr>
        <w:pStyle w:val="11"/>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p>
    <w:p w14:paraId="7721DB70">
      <w:pPr>
        <w:pStyle w:val="11"/>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地址：邮编：</w:t>
      </w:r>
    </w:p>
    <w:p w14:paraId="6BEA1A04">
      <w:pPr>
        <w:pStyle w:val="11"/>
        <w:snapToGrid w:val="0"/>
        <w:spacing w:line="360" w:lineRule="auto"/>
        <w:ind w:firstLine="482" w:firstLineChars="200"/>
        <w:outlineLvl w:val="1"/>
        <w:rPr>
          <w:rFonts w:hAnsi="宋体" w:cs="宋体"/>
          <w:b/>
          <w:bCs/>
          <w:color w:val="auto"/>
          <w:sz w:val="24"/>
          <w:szCs w:val="24"/>
          <w:highlight w:val="none"/>
        </w:rPr>
      </w:pPr>
      <w:bookmarkStart w:id="202" w:name="_Toc29072"/>
      <w:r>
        <w:rPr>
          <w:rFonts w:hint="eastAsia" w:hAnsi="宋体" w:cs="宋体"/>
          <w:b/>
          <w:bCs/>
          <w:color w:val="auto"/>
          <w:sz w:val="24"/>
          <w:szCs w:val="24"/>
          <w:highlight w:val="none"/>
        </w:rPr>
        <w:t>二、质疑项目基本情况：</w:t>
      </w:r>
      <w:bookmarkEnd w:id="202"/>
    </w:p>
    <w:p w14:paraId="49090F37">
      <w:pPr>
        <w:pStyle w:val="11"/>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p>
    <w:p w14:paraId="43D787BD">
      <w:pPr>
        <w:pStyle w:val="11"/>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p>
    <w:p w14:paraId="22C04077">
      <w:pPr>
        <w:pStyle w:val="11"/>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p>
    <w:p w14:paraId="0600CF37">
      <w:pPr>
        <w:pStyle w:val="11"/>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p>
    <w:p w14:paraId="7E82EB05">
      <w:pPr>
        <w:pStyle w:val="11"/>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□采购文件采购文件获取日期：</w:t>
      </w:r>
    </w:p>
    <w:p w14:paraId="5DF11C42">
      <w:pPr>
        <w:pStyle w:val="11"/>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□采购过程</w:t>
      </w:r>
    </w:p>
    <w:p w14:paraId="247E0921">
      <w:pPr>
        <w:pStyle w:val="11"/>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□采购结果</w:t>
      </w:r>
    </w:p>
    <w:p w14:paraId="50E8760F">
      <w:pPr>
        <w:pStyle w:val="11"/>
        <w:spacing w:line="360" w:lineRule="auto"/>
        <w:ind w:left="25" w:leftChars="12" w:firstLine="472" w:firstLineChars="196"/>
        <w:outlineLvl w:val="1"/>
        <w:rPr>
          <w:rFonts w:hAnsi="宋体" w:cs="宋体"/>
          <w:b/>
          <w:color w:val="auto"/>
          <w:sz w:val="24"/>
          <w:szCs w:val="24"/>
          <w:highlight w:val="none"/>
        </w:rPr>
      </w:pPr>
      <w:bookmarkStart w:id="203" w:name="_Toc11864"/>
      <w:r>
        <w:rPr>
          <w:rFonts w:hint="eastAsia" w:hAnsi="宋体" w:cs="宋体"/>
          <w:b/>
          <w:color w:val="auto"/>
          <w:sz w:val="24"/>
          <w:szCs w:val="24"/>
          <w:highlight w:val="none"/>
        </w:rPr>
        <w:t>三、质疑事项具体内容</w:t>
      </w:r>
      <w:bookmarkEnd w:id="203"/>
    </w:p>
    <w:p w14:paraId="7A2783A4">
      <w:pPr>
        <w:pStyle w:val="11"/>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p>
    <w:p w14:paraId="2B29A5C5">
      <w:pPr>
        <w:pStyle w:val="11"/>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p>
    <w:p w14:paraId="0BEAE27A">
      <w:pPr>
        <w:pStyle w:val="11"/>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p>
    <w:p w14:paraId="443083E2">
      <w:pPr>
        <w:pStyle w:val="11"/>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3DEE984C">
      <w:pPr>
        <w:pStyle w:val="11"/>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06EC7570">
      <w:pPr>
        <w:pStyle w:val="11"/>
        <w:spacing w:line="360" w:lineRule="auto"/>
        <w:ind w:left="25" w:leftChars="12" w:firstLine="472" w:firstLineChars="197"/>
        <w:outlineLvl w:val="1"/>
        <w:rPr>
          <w:rFonts w:hAnsi="宋体" w:cs="宋体"/>
          <w:color w:val="auto"/>
          <w:sz w:val="24"/>
          <w:szCs w:val="24"/>
          <w:highlight w:val="none"/>
        </w:rPr>
      </w:pPr>
      <w:bookmarkStart w:id="204" w:name="_Toc6227"/>
      <w:r>
        <w:rPr>
          <w:rFonts w:hint="eastAsia" w:hAnsi="宋体" w:cs="宋体"/>
          <w:color w:val="auto"/>
          <w:sz w:val="24"/>
          <w:szCs w:val="24"/>
          <w:highlight w:val="none"/>
        </w:rPr>
        <w:t>四、与质疑事项相关的质疑请求：</w:t>
      </w:r>
      <w:bookmarkEnd w:id="204"/>
    </w:p>
    <w:p w14:paraId="082A941C">
      <w:pPr>
        <w:pStyle w:val="11"/>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28FB9EDF">
      <w:pPr>
        <w:pStyle w:val="11"/>
        <w:spacing w:line="360" w:lineRule="auto"/>
        <w:ind w:left="25" w:leftChars="12" w:firstLine="352" w:firstLineChars="147"/>
        <w:rPr>
          <w:rFonts w:hAnsi="宋体" w:cs="宋体"/>
          <w:color w:val="auto"/>
          <w:sz w:val="24"/>
          <w:szCs w:val="24"/>
          <w:highlight w:val="none"/>
        </w:rPr>
      </w:pPr>
    </w:p>
    <w:p w14:paraId="74843D8C">
      <w:pPr>
        <w:pStyle w:val="11"/>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签字（签章）：公章：</w:t>
      </w:r>
    </w:p>
    <w:p w14:paraId="5C453246">
      <w:pPr>
        <w:pStyle w:val="11"/>
        <w:spacing w:line="360" w:lineRule="auto"/>
        <w:ind w:left="25" w:leftChars="12" w:firstLine="352" w:firstLineChars="147"/>
        <w:rPr>
          <w:rFonts w:hAnsi="宋体" w:cs="宋体"/>
          <w:color w:val="auto"/>
          <w:sz w:val="24"/>
          <w:szCs w:val="24"/>
          <w:highlight w:val="none"/>
        </w:rPr>
      </w:pPr>
    </w:p>
    <w:p w14:paraId="00F6BF54">
      <w:pPr>
        <w:pStyle w:val="11"/>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6F9D7954">
      <w:pPr>
        <w:pStyle w:val="11"/>
        <w:snapToGrid w:val="0"/>
        <w:spacing w:line="360" w:lineRule="auto"/>
        <w:rPr>
          <w:rFonts w:hAnsi="宋体" w:cs="宋体"/>
          <w:b/>
          <w:color w:val="auto"/>
          <w:sz w:val="24"/>
          <w:szCs w:val="24"/>
          <w:highlight w:val="none"/>
        </w:rPr>
      </w:pPr>
    </w:p>
    <w:p w14:paraId="03DEFF3E">
      <w:pPr>
        <w:pStyle w:val="11"/>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1BC7590B">
      <w:pPr>
        <w:pStyle w:val="11"/>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提出质疑时，应提交质疑函和必要的证明材料</w:t>
      </w:r>
      <w:r>
        <w:rPr>
          <w:rFonts w:hint="eastAsia" w:hAnsi="宋体" w:cs="宋体"/>
          <w:b/>
          <w:bCs/>
          <w:color w:val="auto"/>
          <w:sz w:val="24"/>
          <w:szCs w:val="24"/>
          <w:highlight w:val="none"/>
        </w:rPr>
        <w:t>。</w:t>
      </w:r>
    </w:p>
    <w:p w14:paraId="7D21FC89">
      <w:pPr>
        <w:pStyle w:val="11"/>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若委托代理人进行质疑的，质疑函应按要求列明“授权代表”的有关内容，并在附件中提交由质疑</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签署的授权委托书。授权委托书应载明代理人的姓名或者名称、代理事项、具体权限、期限和相关事项。</w:t>
      </w:r>
    </w:p>
    <w:p w14:paraId="360115F1">
      <w:pPr>
        <w:pStyle w:val="11"/>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4441CC24">
      <w:pPr>
        <w:pStyle w:val="11"/>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2EB0C61E">
      <w:pPr>
        <w:pStyle w:val="11"/>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为法人或者其他组织的，质疑函应由法定代表人、主要负责人，或者其授权代表签字或者盖章，并加盖公章。</w:t>
      </w:r>
    </w:p>
    <w:p w14:paraId="65EC8E16">
      <w:pPr>
        <w:pStyle w:val="11"/>
        <w:snapToGrid w:val="0"/>
        <w:rPr>
          <w:rFonts w:hAnsi="宋体" w:cs="宋体"/>
          <w:b/>
          <w:color w:val="auto"/>
          <w:sz w:val="24"/>
          <w:szCs w:val="24"/>
          <w:highlight w:val="none"/>
        </w:rPr>
      </w:pPr>
    </w:p>
    <w:p w14:paraId="05C1A017">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01584D9B">
      <w:pPr>
        <w:snapToGrid w:val="0"/>
        <w:spacing w:before="50" w:after="50"/>
        <w:jc w:val="center"/>
        <w:outlineLvl w:val="0"/>
        <w:rPr>
          <w:rFonts w:ascii="宋体" w:hAnsi="宋体" w:cs="宋体"/>
          <w:b/>
          <w:color w:val="auto"/>
          <w:sz w:val="36"/>
          <w:highlight w:val="none"/>
        </w:rPr>
      </w:pPr>
      <w:bookmarkStart w:id="205" w:name="_Toc28123"/>
      <w:r>
        <w:rPr>
          <w:rFonts w:hint="eastAsia" w:ascii="宋体" w:hAnsi="宋体" w:cs="宋体"/>
          <w:b/>
          <w:color w:val="auto"/>
          <w:sz w:val="36"/>
          <w:highlight w:val="none"/>
        </w:rPr>
        <w:t>投诉书（格式）</w:t>
      </w:r>
      <w:bookmarkEnd w:id="205"/>
    </w:p>
    <w:p w14:paraId="55E853FC">
      <w:pPr>
        <w:pStyle w:val="11"/>
        <w:snapToGrid w:val="0"/>
        <w:spacing w:line="360" w:lineRule="auto"/>
        <w:ind w:firstLine="482" w:firstLineChars="200"/>
        <w:outlineLvl w:val="2"/>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4727D200">
      <w:pPr>
        <w:pStyle w:val="11"/>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p>
    <w:p w14:paraId="66D76F1F">
      <w:pPr>
        <w:pStyle w:val="11"/>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地址：邮编：</w:t>
      </w:r>
    </w:p>
    <w:p w14:paraId="2CA4EDCC">
      <w:pPr>
        <w:pStyle w:val="11"/>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p>
    <w:p w14:paraId="34542F73">
      <w:pPr>
        <w:pStyle w:val="11"/>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p>
    <w:p w14:paraId="76BDFD3E">
      <w:pPr>
        <w:pStyle w:val="11"/>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授权代表：联系电话：</w:t>
      </w:r>
    </w:p>
    <w:p w14:paraId="3E9ED9FB">
      <w:pPr>
        <w:pStyle w:val="11"/>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p>
    <w:p w14:paraId="53BE2448">
      <w:pPr>
        <w:pStyle w:val="11"/>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p>
    <w:p w14:paraId="6BCFC3ED">
      <w:pPr>
        <w:pStyle w:val="11"/>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14:paraId="7727FA7D">
      <w:pPr>
        <w:pStyle w:val="11"/>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p>
    <w:p w14:paraId="747DE39B">
      <w:pPr>
        <w:pStyle w:val="11"/>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p>
    <w:p w14:paraId="2477B4F2">
      <w:pPr>
        <w:pStyle w:val="11"/>
        <w:snapToGrid w:val="0"/>
        <w:spacing w:line="360" w:lineRule="auto"/>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联系人：联系电话：</w:t>
      </w:r>
    </w:p>
    <w:p w14:paraId="21D11270">
      <w:pPr>
        <w:pStyle w:val="11"/>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14:paraId="1A4F299F">
      <w:pPr>
        <w:pStyle w:val="11"/>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32A49487">
      <w:pPr>
        <w:pStyle w:val="11"/>
        <w:snapToGrid w:val="0"/>
        <w:spacing w:line="360" w:lineRule="auto"/>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相关</w:t>
      </w:r>
      <w:r>
        <w:rPr>
          <w:rFonts w:hint="eastAsia" w:hAnsi="宋体" w:cs="宋体"/>
          <w:bCs/>
          <w:color w:val="auto"/>
          <w:sz w:val="24"/>
          <w:szCs w:val="24"/>
          <w:highlight w:val="none"/>
          <w:lang w:eastAsia="zh-CN"/>
        </w:rPr>
        <w:t>投标人</w:t>
      </w:r>
      <w:r>
        <w:rPr>
          <w:rFonts w:hint="eastAsia" w:hAnsi="宋体" w:cs="宋体"/>
          <w:bCs/>
          <w:color w:val="auto"/>
          <w:sz w:val="24"/>
          <w:szCs w:val="24"/>
          <w:highlight w:val="none"/>
        </w:rPr>
        <w:t>：地址：邮编：联系人：联系电话：</w:t>
      </w:r>
    </w:p>
    <w:p w14:paraId="479ABEC1">
      <w:pPr>
        <w:pStyle w:val="11"/>
        <w:snapToGrid w:val="0"/>
        <w:spacing w:line="360" w:lineRule="auto"/>
        <w:ind w:firstLine="482" w:firstLineChars="200"/>
        <w:outlineLvl w:val="2"/>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7E31BE5">
      <w:pPr>
        <w:pStyle w:val="11"/>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p>
    <w:p w14:paraId="5B315ED7">
      <w:pPr>
        <w:pStyle w:val="11"/>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p>
    <w:p w14:paraId="4E4D37D0">
      <w:pPr>
        <w:pStyle w:val="11"/>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p>
    <w:p w14:paraId="5EFD2130">
      <w:pPr>
        <w:pStyle w:val="11"/>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p>
    <w:p w14:paraId="3FA2FD6F">
      <w:pPr>
        <w:pStyle w:val="11"/>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14:paraId="14D81265">
      <w:pPr>
        <w:pStyle w:val="11"/>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14:paraId="293A6DCC">
      <w:pPr>
        <w:pStyle w:val="11"/>
        <w:spacing w:line="360" w:lineRule="auto"/>
        <w:ind w:left="25" w:leftChars="12" w:firstLine="472" w:firstLineChars="196"/>
        <w:outlineLvl w:val="2"/>
        <w:rPr>
          <w:rFonts w:hAnsi="宋体" w:cs="宋体"/>
          <w:b/>
          <w:color w:val="auto"/>
          <w:sz w:val="24"/>
          <w:szCs w:val="24"/>
          <w:highlight w:val="none"/>
        </w:rPr>
      </w:pPr>
      <w:r>
        <w:rPr>
          <w:rFonts w:hint="eastAsia" w:hAnsi="宋体" w:cs="宋体"/>
          <w:b/>
          <w:color w:val="auto"/>
          <w:sz w:val="24"/>
          <w:szCs w:val="24"/>
          <w:highlight w:val="none"/>
        </w:rPr>
        <w:t>三、质疑基本情况</w:t>
      </w:r>
    </w:p>
    <w:p w14:paraId="2827D5DC">
      <w:pPr>
        <w:pStyle w:val="11"/>
        <w:spacing w:line="360" w:lineRule="auto"/>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4D57E0FB">
      <w:pPr>
        <w:pStyle w:val="11"/>
        <w:spacing w:line="360" w:lineRule="auto"/>
        <w:ind w:firstLine="241"/>
        <w:rPr>
          <w:rFonts w:hAnsi="宋体" w:cs="宋体"/>
          <w:bCs/>
          <w:color w:val="auto"/>
          <w:sz w:val="24"/>
          <w:szCs w:val="24"/>
          <w:highlight w:val="none"/>
          <w:u w:val="single"/>
        </w:rPr>
      </w:pPr>
    </w:p>
    <w:p w14:paraId="43C5F262">
      <w:pPr>
        <w:pStyle w:val="11"/>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就质疑事项作出了答复/没有在法定期限内作出答复。</w:t>
      </w:r>
    </w:p>
    <w:p w14:paraId="33579B24">
      <w:pPr>
        <w:pStyle w:val="11"/>
        <w:spacing w:line="360" w:lineRule="auto"/>
        <w:ind w:left="25" w:leftChars="12" w:firstLine="472" w:firstLineChars="196"/>
        <w:outlineLvl w:val="2"/>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69846CA2">
      <w:pPr>
        <w:pStyle w:val="11"/>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0DE9D80C">
      <w:pPr>
        <w:pStyle w:val="11"/>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7ABDBF61">
      <w:pPr>
        <w:pStyle w:val="11"/>
        <w:spacing w:line="360" w:lineRule="auto"/>
        <w:ind w:left="25" w:leftChars="12" w:firstLine="472" w:firstLineChars="197"/>
        <w:rPr>
          <w:rFonts w:hAnsi="宋体" w:cs="宋体"/>
          <w:color w:val="auto"/>
          <w:sz w:val="24"/>
          <w:szCs w:val="24"/>
          <w:highlight w:val="none"/>
        </w:rPr>
      </w:pPr>
    </w:p>
    <w:p w14:paraId="4AB3F6A6">
      <w:pPr>
        <w:pStyle w:val="11"/>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4557DBC7">
      <w:pPr>
        <w:pStyle w:val="11"/>
        <w:spacing w:line="360" w:lineRule="auto"/>
        <w:ind w:left="25" w:leftChars="12" w:firstLine="352" w:firstLineChars="147"/>
        <w:rPr>
          <w:rFonts w:hAnsi="宋体" w:cs="宋体"/>
          <w:bCs/>
          <w:color w:val="auto"/>
          <w:sz w:val="24"/>
          <w:szCs w:val="24"/>
          <w:highlight w:val="none"/>
          <w:u w:val="single"/>
        </w:rPr>
      </w:pPr>
    </w:p>
    <w:p w14:paraId="400D637D">
      <w:pPr>
        <w:pStyle w:val="11"/>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6ADF1165">
      <w:pPr>
        <w:pStyle w:val="11"/>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45CA48E8">
      <w:pPr>
        <w:pStyle w:val="11"/>
        <w:spacing w:line="360" w:lineRule="auto"/>
        <w:ind w:left="25" w:leftChars="12" w:firstLine="472" w:firstLineChars="196"/>
        <w:outlineLvl w:val="2"/>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7F61BAB5">
      <w:pPr>
        <w:pStyle w:val="11"/>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143CECFA">
      <w:pPr>
        <w:pStyle w:val="11"/>
        <w:spacing w:line="360" w:lineRule="auto"/>
        <w:ind w:left="25" w:leftChars="12" w:firstLine="352" w:firstLineChars="147"/>
        <w:rPr>
          <w:rFonts w:hAnsi="宋体" w:cs="宋体"/>
          <w:color w:val="auto"/>
          <w:sz w:val="24"/>
          <w:szCs w:val="24"/>
          <w:highlight w:val="none"/>
        </w:rPr>
      </w:pPr>
    </w:p>
    <w:p w14:paraId="2E062F3F">
      <w:pPr>
        <w:pStyle w:val="11"/>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签字（签章）：公章：</w:t>
      </w:r>
    </w:p>
    <w:p w14:paraId="5BC12CFA">
      <w:pPr>
        <w:pStyle w:val="11"/>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05B1232C">
      <w:pPr>
        <w:pStyle w:val="11"/>
        <w:spacing w:line="360" w:lineRule="auto"/>
        <w:ind w:left="25" w:leftChars="12" w:firstLine="472" w:firstLineChars="197"/>
        <w:rPr>
          <w:rFonts w:hAnsi="宋体" w:cs="宋体"/>
          <w:color w:val="auto"/>
          <w:sz w:val="24"/>
          <w:szCs w:val="24"/>
          <w:highlight w:val="none"/>
        </w:rPr>
      </w:pPr>
    </w:p>
    <w:p w14:paraId="4340E1E4">
      <w:pPr>
        <w:pStyle w:val="11"/>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2B444FC4">
      <w:pPr>
        <w:pStyle w:val="11"/>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数量提供投诉书副本</w:t>
      </w:r>
      <w:r>
        <w:rPr>
          <w:rFonts w:hint="eastAsia" w:hAnsi="宋体" w:cs="宋体"/>
          <w:b/>
          <w:bCs/>
          <w:color w:val="auto"/>
          <w:sz w:val="24"/>
          <w:szCs w:val="24"/>
          <w:highlight w:val="none"/>
        </w:rPr>
        <w:t>。</w:t>
      </w:r>
    </w:p>
    <w:p w14:paraId="1601AD63">
      <w:pPr>
        <w:pStyle w:val="11"/>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B824FAC">
      <w:pPr>
        <w:pStyle w:val="11"/>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2A724D2D">
      <w:pPr>
        <w:pStyle w:val="11"/>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05CF5FA1">
      <w:pPr>
        <w:pStyle w:val="11"/>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28EBD699">
      <w:pPr>
        <w:pStyle w:val="11"/>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bookmarkEnd w:id="0"/>
    <w:bookmarkEnd w:id="1"/>
    <w:p w14:paraId="5F6263C5">
      <w:pPr>
        <w:snapToGrid w:val="0"/>
        <w:spacing w:before="120" w:beforeLines="50" w:after="50"/>
        <w:jc w:val="left"/>
        <w:rPr>
          <w:rFonts w:hAnsi="宋体" w:cs="宋体"/>
          <w:b/>
          <w:color w:val="auto"/>
          <w:highlight w:val="none"/>
        </w:rPr>
      </w:pPr>
    </w:p>
    <w:p w14:paraId="1B788026">
      <w:pPr>
        <w:rPr>
          <w:color w:val="auto"/>
          <w:highlight w:val="none"/>
        </w:rPr>
      </w:pPr>
    </w:p>
    <w:sectPr>
      <w:pgSz w:w="11906" w:h="16838"/>
      <w:pgMar w:top="1134" w:right="1247" w:bottom="1134" w:left="1247" w:header="737" w:footer="680" w:gutter="113"/>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roman"/>
    <w:pitch w:val="default"/>
    <w:sig w:usb0="E00002FF" w:usb1="6AC7FDFB" w:usb2="00000012" w:usb3="00000000" w:csb0="4002009F" w:csb1="DFD70000"/>
  </w:font>
  <w:font w:name="M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ss Sweetie">
    <w:altName w:val="MV Boli"/>
    <w:panose1 w:val="02000503000000000000"/>
    <w:charset w:val="00"/>
    <w:family w:val="auto"/>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MS PGothic">
    <w:panose1 w:val="020B0600070205080204"/>
    <w:charset w:val="80"/>
    <w:family w:val="swiss"/>
    <w:pitch w:val="default"/>
    <w:sig w:usb0="E00002FF" w:usb1="6AC7FDFB" w:usb2="00000012" w:usb3="00000000" w:csb0="4002009F" w:csb1="DFD70000"/>
  </w:font>
  <w:font w:name="方正仿宋_GB2312">
    <w:altName w:val="仿宋"/>
    <w:panose1 w:val="02000000000000000000"/>
    <w:charset w:val="86"/>
    <w:family w:val="auto"/>
    <w:pitch w:val="default"/>
    <w:sig w:usb0="00000000" w:usb1="00000000"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6617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92CC6">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092CC6">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704AD">
    <w:pPr>
      <w:pStyle w:val="12"/>
      <w:ind w:right="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0F05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C0F05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38BDF">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D81DC">
                          <w:pPr>
                            <w:pStyle w:val="12"/>
                            <w:jc w:val="center"/>
                          </w:pPr>
                          <w:r>
                            <w:fldChar w:fldCharType="begin"/>
                          </w:r>
                          <w:r>
                            <w:instrText xml:space="preserve"> PAGE   \* MERGEFORMAT </w:instrText>
                          </w:r>
                          <w:r>
                            <w:fldChar w:fldCharType="separate"/>
                          </w:r>
                          <w:r>
                            <w:rPr>
                              <w:lang w:val="zh-CN"/>
                            </w:rPr>
                            <w:t>24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7D81DC">
                    <w:pPr>
                      <w:pStyle w:val="12"/>
                      <w:jc w:val="center"/>
                    </w:pPr>
                    <w:r>
                      <w:fldChar w:fldCharType="begin"/>
                    </w:r>
                    <w:r>
                      <w:instrText xml:space="preserve"> PAGE   \* MERGEFORMAT </w:instrText>
                    </w:r>
                    <w:r>
                      <w:fldChar w:fldCharType="separate"/>
                    </w:r>
                    <w:r>
                      <w:rPr>
                        <w:lang w:val="zh-CN"/>
                      </w:rPr>
                      <w:t>24</w:t>
                    </w:r>
                    <w:r>
                      <w:rPr>
                        <w:lang w:val="zh-CN"/>
                      </w:rPr>
                      <w:fldChar w:fldCharType="end"/>
                    </w:r>
                  </w:p>
                </w:txbxContent>
              </v:textbox>
            </v:shape>
          </w:pict>
        </mc:Fallback>
      </mc:AlternateContent>
    </w:r>
  </w:p>
  <w:p w14:paraId="08FA829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78B4">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C08CF">
                          <w:pPr>
                            <w:pStyle w:val="12"/>
                            <w:jc w:val="center"/>
                          </w:pPr>
                          <w:r>
                            <w:fldChar w:fldCharType="begin"/>
                          </w:r>
                          <w:r>
                            <w:instrText xml:space="preserve">PAGE   \* MERGEFORMAT</w:instrText>
                          </w:r>
                          <w: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A3C08CF">
                    <w:pPr>
                      <w:pStyle w:val="12"/>
                      <w:jc w:val="center"/>
                    </w:pPr>
                    <w:r>
                      <w:fldChar w:fldCharType="begin"/>
                    </w:r>
                    <w:r>
                      <w:instrText xml:space="preserve">PAGE   \* MERGEFORMAT</w:instrText>
                    </w:r>
                    <w:r>
                      <w:fldChar w:fldCharType="separate"/>
                    </w:r>
                    <w:r>
                      <w:rPr>
                        <w:lang w:val="zh-CN"/>
                      </w:rPr>
                      <w:t>1</w:t>
                    </w:r>
                    <w:r>
                      <w:rPr>
                        <w:lang w:val="zh-CN"/>
                      </w:rPr>
                      <w:fldChar w:fldCharType="end"/>
                    </w:r>
                  </w:p>
                </w:txbxContent>
              </v:textbox>
            </v:shape>
          </w:pict>
        </mc:Fallback>
      </mc:AlternateContent>
    </w:r>
  </w:p>
  <w:p w14:paraId="40CF8CCF">
    <w:pPr>
      <w:pStyle w:val="12"/>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25213">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C9831">
                          <w:pPr>
                            <w:pStyle w:val="12"/>
                            <w:jc w:val="center"/>
                          </w:pPr>
                          <w:r>
                            <w:fldChar w:fldCharType="begin"/>
                          </w:r>
                          <w:r>
                            <w:instrText xml:space="preserve"> PAGE   \* MERGEFORMAT </w:instrText>
                          </w:r>
                          <w:r>
                            <w:fldChar w:fldCharType="separate"/>
                          </w:r>
                          <w:r>
                            <w:rPr>
                              <w:lang w:val="zh-CN"/>
                            </w:rPr>
                            <w:t>80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1AC9831">
                    <w:pPr>
                      <w:pStyle w:val="12"/>
                      <w:jc w:val="center"/>
                    </w:pPr>
                    <w:r>
                      <w:fldChar w:fldCharType="begin"/>
                    </w:r>
                    <w:r>
                      <w:instrText xml:space="preserve"> PAGE   \* MERGEFORMAT </w:instrText>
                    </w:r>
                    <w:r>
                      <w:fldChar w:fldCharType="separate"/>
                    </w:r>
                    <w:r>
                      <w:rPr>
                        <w:lang w:val="zh-CN"/>
                      </w:rPr>
                      <w:t>80</w:t>
                    </w:r>
                    <w:r>
                      <w:rPr>
                        <w:lang w:val="zh-CN"/>
                      </w:rPr>
                      <w:fldChar w:fldCharType="end"/>
                    </w:r>
                  </w:p>
                </w:txbxContent>
              </v:textbox>
            </v:shape>
          </w:pict>
        </mc:Fallback>
      </mc:AlternateContent>
    </w:r>
  </w:p>
  <w:p w14:paraId="23E748A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EAB1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A2F4">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9405F"/>
    <w:multiLevelType w:val="singleLevel"/>
    <w:tmpl w:val="83C9405F"/>
    <w:lvl w:ilvl="0" w:tentative="0">
      <w:start w:val="1"/>
      <w:numFmt w:val="decimal"/>
      <w:suff w:val="nothing"/>
      <w:lvlText w:val="%1、"/>
      <w:lvlJc w:val="left"/>
    </w:lvl>
  </w:abstractNum>
  <w:abstractNum w:abstractNumId="1">
    <w:nsid w:val="A33EAE1B"/>
    <w:multiLevelType w:val="singleLevel"/>
    <w:tmpl w:val="A33EAE1B"/>
    <w:lvl w:ilvl="0" w:tentative="0">
      <w:start w:val="1"/>
      <w:numFmt w:val="decimal"/>
      <w:suff w:val="nothing"/>
      <w:lvlText w:val="%1、"/>
      <w:lvlJc w:val="left"/>
    </w:lvl>
  </w:abstractNum>
  <w:abstractNum w:abstractNumId="2">
    <w:nsid w:val="C1F96E2B"/>
    <w:multiLevelType w:val="singleLevel"/>
    <w:tmpl w:val="C1F96E2B"/>
    <w:lvl w:ilvl="0" w:tentative="0">
      <w:start w:val="2"/>
      <w:numFmt w:val="chineseCounting"/>
      <w:suff w:val="space"/>
      <w:lvlText w:val="第%1章"/>
      <w:lvlJc w:val="left"/>
      <w:rPr>
        <w:rFonts w:hint="eastAsia"/>
      </w:rPr>
    </w:lvl>
  </w:abstractNum>
  <w:abstractNum w:abstractNumId="3">
    <w:nsid w:val="FBEE55B8"/>
    <w:multiLevelType w:val="singleLevel"/>
    <w:tmpl w:val="FBEE55B8"/>
    <w:lvl w:ilvl="0" w:tentative="0">
      <w:start w:val="1"/>
      <w:numFmt w:val="decimal"/>
      <w:lvlText w:val="%1."/>
      <w:lvlJc w:val="left"/>
      <w:pPr>
        <w:tabs>
          <w:tab w:val="left" w:pos="312"/>
        </w:tabs>
      </w:p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A"/>
    <w:multiLevelType w:val="multilevel"/>
    <w:tmpl w:val="0000000A"/>
    <w:lvl w:ilvl="0" w:tentative="0">
      <w:start w:val="1"/>
      <w:numFmt w:val="decimal"/>
      <w:lvlText w:val="%1、"/>
      <w:lvlJc w:val="left"/>
      <w:pPr>
        <w:tabs>
          <w:tab w:val="left" w:pos="972"/>
        </w:tabs>
        <w:ind w:left="1320" w:hanging="564"/>
      </w:pPr>
      <w:rPr>
        <w:rFonts w:hint="eastAsia"/>
      </w:rPr>
    </w:lvl>
    <w:lvl w:ilvl="1" w:tentative="0">
      <w:start w:val="1"/>
      <w:numFmt w:val="lowerLetter"/>
      <w:lvlText w:val="%2."/>
      <w:lvlJc w:val="left"/>
      <w:pPr>
        <w:tabs>
          <w:tab w:val="left" w:pos="1980"/>
        </w:tabs>
        <w:ind w:left="1980" w:hanging="360"/>
      </w:pPr>
    </w:lvl>
    <w:lvl w:ilvl="2" w:tentative="0">
      <w:start w:val="1"/>
      <w:numFmt w:val="lowerRoman"/>
      <w:lvlText w:val="%3."/>
      <w:lvlJc w:val="right"/>
      <w:pPr>
        <w:tabs>
          <w:tab w:val="left" w:pos="2700"/>
        </w:tabs>
        <w:ind w:left="2700" w:hanging="180"/>
      </w:pPr>
    </w:lvl>
    <w:lvl w:ilvl="3" w:tentative="0">
      <w:start w:val="1"/>
      <w:numFmt w:val="decimal"/>
      <w:lvlText w:val="%4."/>
      <w:lvlJc w:val="left"/>
      <w:pPr>
        <w:tabs>
          <w:tab w:val="left" w:pos="3420"/>
        </w:tabs>
        <w:ind w:left="3420" w:hanging="360"/>
      </w:pPr>
    </w:lvl>
    <w:lvl w:ilvl="4" w:tentative="0">
      <w:start w:val="1"/>
      <w:numFmt w:val="lowerLetter"/>
      <w:lvlText w:val="%5."/>
      <w:lvlJc w:val="left"/>
      <w:pPr>
        <w:tabs>
          <w:tab w:val="left" w:pos="4140"/>
        </w:tabs>
        <w:ind w:left="4140" w:hanging="360"/>
      </w:pPr>
    </w:lvl>
    <w:lvl w:ilvl="5" w:tentative="0">
      <w:start w:val="1"/>
      <w:numFmt w:val="lowerRoman"/>
      <w:lvlText w:val="%6."/>
      <w:lvlJc w:val="right"/>
      <w:pPr>
        <w:tabs>
          <w:tab w:val="left" w:pos="4860"/>
        </w:tabs>
        <w:ind w:left="4860" w:hanging="180"/>
      </w:pPr>
    </w:lvl>
    <w:lvl w:ilvl="6" w:tentative="0">
      <w:start w:val="1"/>
      <w:numFmt w:val="decimal"/>
      <w:lvlText w:val="%7."/>
      <w:lvlJc w:val="left"/>
      <w:pPr>
        <w:tabs>
          <w:tab w:val="left" w:pos="5580"/>
        </w:tabs>
        <w:ind w:left="5580" w:hanging="360"/>
      </w:pPr>
    </w:lvl>
    <w:lvl w:ilvl="7" w:tentative="0">
      <w:start w:val="1"/>
      <w:numFmt w:val="lowerLetter"/>
      <w:lvlText w:val="%8."/>
      <w:lvlJc w:val="left"/>
      <w:pPr>
        <w:tabs>
          <w:tab w:val="left" w:pos="6300"/>
        </w:tabs>
        <w:ind w:left="6300" w:hanging="360"/>
      </w:pPr>
    </w:lvl>
    <w:lvl w:ilvl="8" w:tentative="0">
      <w:start w:val="1"/>
      <w:numFmt w:val="lowerRoman"/>
      <w:lvlText w:val="%9."/>
      <w:lvlJc w:val="right"/>
      <w:pPr>
        <w:tabs>
          <w:tab w:val="left" w:pos="7020"/>
        </w:tabs>
        <w:ind w:left="7020" w:hanging="180"/>
      </w:pPr>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4"/>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8">
    <w:nsid w:val="38850AD8"/>
    <w:multiLevelType w:val="multilevel"/>
    <w:tmpl w:val="38850AD8"/>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3"/>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9">
    <w:nsid w:val="683F32DB"/>
    <w:multiLevelType w:val="singleLevel"/>
    <w:tmpl w:val="683F32DB"/>
    <w:lvl w:ilvl="0" w:tentative="0">
      <w:start w:val="1"/>
      <w:numFmt w:val="decimal"/>
      <w:lvlText w:val="%1."/>
      <w:lvlJc w:val="left"/>
      <w:pPr>
        <w:tabs>
          <w:tab w:val="left" w:pos="312"/>
        </w:tabs>
      </w:pPr>
    </w:lvl>
  </w:abstractNum>
  <w:abstractNum w:abstractNumId="10">
    <w:nsid w:val="70102260"/>
    <w:multiLevelType w:val="singleLevel"/>
    <w:tmpl w:val="70102260"/>
    <w:lvl w:ilvl="0" w:tentative="0">
      <w:start w:val="2"/>
      <w:numFmt w:val="chineseCounting"/>
      <w:suff w:val="nothing"/>
      <w:lvlText w:val="%1、"/>
      <w:lvlJc w:val="left"/>
      <w:rPr>
        <w:rFonts w:hint="eastAsia"/>
      </w:rPr>
    </w:lvl>
  </w:abstractNum>
  <w:num w:numId="1">
    <w:abstractNumId w:val="8"/>
  </w:num>
  <w:num w:numId="2">
    <w:abstractNumId w:val="6"/>
  </w:num>
  <w:num w:numId="3">
    <w:abstractNumId w:val="2"/>
  </w:num>
  <w:num w:numId="4">
    <w:abstractNumId w:val="3"/>
  </w:num>
  <w:num w:numId="5">
    <w:abstractNumId w:val="1"/>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96619"/>
    <w:rsid w:val="01E94196"/>
    <w:rsid w:val="074B496E"/>
    <w:rsid w:val="0EBA0FAC"/>
    <w:rsid w:val="0F481A9F"/>
    <w:rsid w:val="125A4B56"/>
    <w:rsid w:val="17A64C80"/>
    <w:rsid w:val="2DAF3E40"/>
    <w:rsid w:val="34D56612"/>
    <w:rsid w:val="39CE371B"/>
    <w:rsid w:val="3D7C2891"/>
    <w:rsid w:val="4CF517F4"/>
    <w:rsid w:val="55F903EE"/>
    <w:rsid w:val="6C0C6CE6"/>
    <w:rsid w:val="70100420"/>
    <w:rsid w:val="726141B3"/>
    <w:rsid w:val="74796619"/>
    <w:rsid w:val="7B1D62C4"/>
    <w:rsid w:val="7DD95B91"/>
    <w:rsid w:val="7FF83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40" w:after="240" w:line="480" w:lineRule="auto"/>
      <w:jc w:val="center"/>
      <w:outlineLvl w:val="0"/>
    </w:pPr>
    <w:rPr>
      <w:b/>
      <w:bCs/>
      <w:kern w:val="44"/>
      <w:sz w:val="36"/>
      <w:szCs w:val="44"/>
    </w:rPr>
  </w:style>
  <w:style w:type="paragraph" w:styleId="3">
    <w:name w:val="heading 4"/>
    <w:basedOn w:val="1"/>
    <w:next w:val="1"/>
    <w:unhideWhenUsed/>
    <w:qFormat/>
    <w:uiPriority w:val="0"/>
    <w:pPr>
      <w:keepNext/>
      <w:keepLines/>
      <w:numPr>
        <w:ilvl w:val="3"/>
        <w:numId w:val="1"/>
      </w:numPr>
      <w:spacing w:before="280" w:after="290" w:line="376" w:lineRule="auto"/>
      <w:outlineLvl w:val="3"/>
    </w:pPr>
    <w:rPr>
      <w:rFonts w:eastAsiaTheme="majorEastAsia" w:cstheme="majorBidi"/>
      <w:b/>
      <w:bCs/>
      <w:sz w:val="28"/>
      <w:szCs w:val="28"/>
    </w:rPr>
  </w:style>
  <w:style w:type="paragraph" w:styleId="4">
    <w:name w:val="heading 5"/>
    <w:basedOn w:val="1"/>
    <w:next w:val="1"/>
    <w:qFormat/>
    <w:uiPriority w:val="0"/>
    <w:pPr>
      <w:keepNext/>
      <w:keepLines/>
      <w:numPr>
        <w:ilvl w:val="4"/>
        <w:numId w:val="2"/>
      </w:numPr>
      <w:spacing w:before="280" w:after="290" w:line="376" w:lineRule="auto"/>
      <w:outlineLvl w:val="4"/>
    </w:pPr>
    <w:rPr>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annotation text"/>
    <w:basedOn w:val="1"/>
    <w:unhideWhenUsed/>
    <w:qFormat/>
    <w:uiPriority w:val="0"/>
    <w:pPr>
      <w:jc w:val="left"/>
    </w:pPr>
  </w:style>
  <w:style w:type="paragraph" w:styleId="8">
    <w:name w:val="Body Text 3"/>
    <w:basedOn w:val="1"/>
    <w:qFormat/>
    <w:uiPriority w:val="0"/>
    <w:pPr>
      <w:spacing w:line="500" w:lineRule="exact"/>
    </w:pPr>
    <w:rPr>
      <w:b/>
      <w:bCs/>
      <w:kern w:val="0"/>
      <w:sz w:val="24"/>
    </w:rPr>
  </w:style>
  <w:style w:type="paragraph" w:styleId="9">
    <w:name w:val="Body Text"/>
    <w:basedOn w:val="1"/>
    <w:next w:val="1"/>
    <w:qFormat/>
    <w:uiPriority w:val="0"/>
    <w:pPr>
      <w:spacing w:after="120" w:afterLines="0" w:afterAutospacing="0"/>
    </w:p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Plain Text"/>
    <w:basedOn w:val="1"/>
    <w:qFormat/>
    <w:uiPriority w:val="0"/>
    <w:rPr>
      <w:rFonts w:ascii="宋体" w:hAnsi="Courier New"/>
      <w:kern w:val="0"/>
      <w:sz w:val="20"/>
      <w:szCs w:val="21"/>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14">
    <w:name w:val="toc 1"/>
    <w:basedOn w:val="1"/>
    <w:next w:val="1"/>
    <w:qFormat/>
    <w:uiPriority w:val="39"/>
    <w:pPr>
      <w:tabs>
        <w:tab w:val="right" w:leader="dot" w:pos="8398"/>
      </w:tabs>
      <w:spacing w:before="120" w:after="120" w:line="360" w:lineRule="auto"/>
      <w:ind w:firstLine="100" w:firstLineChars="100"/>
      <w:jc w:val="left"/>
    </w:pPr>
    <w:rPr>
      <w:rFonts w:ascii="宋体" w:hAnsi="宋体"/>
      <w:b/>
      <w:bCs/>
      <w:caps/>
      <w:sz w:val="30"/>
    </w:rPr>
  </w:style>
  <w:style w:type="paragraph" w:styleId="15">
    <w:name w:val="List"/>
    <w:basedOn w:val="1"/>
    <w:qFormat/>
    <w:uiPriority w:val="0"/>
    <w:pPr>
      <w:ind w:left="200" w:hanging="200" w:hangingChars="200"/>
    </w:pPr>
    <w:rPr>
      <w:sz w:val="28"/>
    </w:rPr>
  </w:style>
  <w:style w:type="paragraph" w:styleId="16">
    <w:name w:val="toc 2"/>
    <w:basedOn w:val="1"/>
    <w:next w:val="1"/>
    <w:unhideWhenUsed/>
    <w:qFormat/>
    <w:uiPriority w:val="39"/>
    <w:pPr>
      <w:ind w:left="420" w:leftChars="200"/>
    </w:pPr>
  </w:style>
  <w:style w:type="paragraph" w:styleId="17">
    <w:name w:val="Body Text First Indent"/>
    <w:basedOn w:val="9"/>
    <w:semiHidden/>
    <w:unhideWhenUsed/>
    <w:qFormat/>
    <w:uiPriority w:val="99"/>
    <w:pPr>
      <w:spacing w:after="120" w:line="240" w:lineRule="auto"/>
      <w:ind w:firstLine="420" w:firstLineChars="100"/>
    </w:pPr>
    <w:rPr>
      <w:kern w:val="2"/>
      <w:sz w:val="21"/>
    </w:rPr>
  </w:style>
  <w:style w:type="character" w:styleId="20">
    <w:name w:val="page number"/>
    <w:qFormat/>
    <w:uiPriority w:val="0"/>
  </w:style>
  <w:style w:type="character" w:styleId="21">
    <w:name w:val="Hyperlink"/>
    <w:qFormat/>
    <w:uiPriority w:val="99"/>
    <w:rPr>
      <w:color w:val="0000FF"/>
      <w:u w:val="single"/>
    </w:rPr>
  </w:style>
  <w:style w:type="table" w:customStyle="1" w:styleId="2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paragraph" w:customStyle="1" w:styleId="24">
    <w:name w:val="正文2"/>
    <w:basedOn w:val="1"/>
    <w:qFormat/>
    <w:uiPriority w:val="0"/>
    <w:pPr>
      <w:adjustRightInd w:val="0"/>
      <w:spacing w:before="156" w:line="360" w:lineRule="auto"/>
      <w:ind w:firstLine="510" w:firstLineChars="200"/>
    </w:pPr>
    <w:rPr>
      <w:sz w:val="24"/>
      <w:szCs w:val="20"/>
    </w:rPr>
  </w:style>
  <w:style w:type="character" w:customStyle="1" w:styleId="25">
    <w:name w:val="纯文本 字符"/>
    <w:qFormat/>
    <w:uiPriority w:val="0"/>
    <w:rPr>
      <w:rFonts w:ascii="宋体" w:hAnsi="Courier New" w:eastAsia="宋体" w:cs="Courier New"/>
      <w:szCs w:val="21"/>
    </w:rPr>
  </w:style>
  <w:style w:type="paragraph" w:customStyle="1" w:styleId="26">
    <w:name w:val="样式5"/>
    <w:basedOn w:val="1"/>
    <w:qFormat/>
    <w:uiPriority w:val="0"/>
    <w:pPr>
      <w:adjustRightInd w:val="0"/>
      <w:spacing w:line="440" w:lineRule="exact"/>
      <w:ind w:left="2" w:firstLine="480" w:firstLineChars="200"/>
    </w:pPr>
    <w:rPr>
      <w:rFonts w:ascii="仿宋_GB2312" w:hAnsi="仿宋"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133</Pages>
  <Words>548</Words>
  <Characters>679</Characters>
  <Lines>0</Lines>
  <Paragraphs>0</Paragraphs>
  <TotalTime>28</TotalTime>
  <ScaleCrop>false</ScaleCrop>
  <LinksUpToDate>false</LinksUpToDate>
  <CharactersWithSpaces>700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2025-12-04T08:19:00Z</dcterms:created>
  <dc:creator>朱凌超</dc:creator>
  <cp:lastModifiedBy>炎炎</cp:lastModifiedBy>
  <cp:lastPrinted>2025-12-09T01:51:18Z</cp:lastPrinted>
  <dcterms:modified xsi:type="dcterms:W3CDTF">2025-12-09T01:56:12Z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D265C7F4ABE34BC98968C3710736F409_13</vt:lpwstr>
  </property>
  <property fmtid="{D5CDD505-2E9C-101B-9397-08002B2CF9AE}" pid="4" name="KSOTemplateDocerSaveRecord">
    <vt:lpwstr>eyJoZGlkIjoiNGNiZDA4NjliYjNjYzhkYWVmNWI4ZjZmMTA4ZjliYmYiLCJ1c2VySWQiOiIxMTY2MzcwOTA2In0=</vt:lpwstr>
  </property>
</Properties>
</file>